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297" w:rsidRDefault="00976297" w:rsidP="00976297"/>
    <w:p w:rsidR="00976297" w:rsidRDefault="00976297" w:rsidP="00976297"/>
    <w:p w:rsidR="00976297" w:rsidRDefault="00976297" w:rsidP="00976297"/>
    <w:p w:rsidR="00976297" w:rsidRDefault="00976297" w:rsidP="00976297"/>
    <w:p w:rsidR="00976297" w:rsidRDefault="00976297" w:rsidP="00976297"/>
    <w:p w:rsidR="00976297" w:rsidRDefault="00976297" w:rsidP="00976297"/>
    <w:p w:rsidR="00976297" w:rsidRDefault="00976297" w:rsidP="00976297"/>
    <w:p w:rsidR="00976297" w:rsidRDefault="00976297" w:rsidP="00976297"/>
    <w:p w:rsidR="00976297" w:rsidRDefault="00976297" w:rsidP="00976297"/>
    <w:tbl>
      <w:tblPr>
        <w:tblW w:w="10089" w:type="dxa"/>
        <w:tblLook w:val="01E0" w:firstRow="1" w:lastRow="1" w:firstColumn="1" w:lastColumn="1" w:noHBand="0" w:noVBand="0"/>
      </w:tblPr>
      <w:tblGrid>
        <w:gridCol w:w="10089"/>
      </w:tblGrid>
      <w:tr w:rsidR="00976297" w:rsidRPr="004F65E4" w:rsidTr="007822D5">
        <w:tc>
          <w:tcPr>
            <w:tcW w:w="10089" w:type="dxa"/>
          </w:tcPr>
          <w:p w:rsidR="00976297" w:rsidRPr="001511A6" w:rsidRDefault="00976297" w:rsidP="007822D5">
            <w:pPr>
              <w:spacing w:before="380" w:line="280" w:lineRule="exact"/>
              <w:jc w:val="right"/>
              <w:rPr>
                <w:rFonts w:ascii="Tahoma" w:hAnsi="Tahoma" w:cs="Tahoma"/>
                <w:b/>
                <w:bCs/>
                <w:iCs/>
                <w:color w:val="243285"/>
                <w:sz w:val="32"/>
                <w:szCs w:val="32"/>
                <w:lang w:val="en-US"/>
              </w:rPr>
            </w:pPr>
          </w:p>
          <w:p w:rsidR="00976297" w:rsidRPr="004F65E4" w:rsidRDefault="00976297" w:rsidP="007822D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1459</w:t>
            </w:r>
          </w:p>
          <w:p w:rsidR="00976297" w:rsidRPr="004F65E4" w:rsidRDefault="00976297" w:rsidP="007822D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05</w:t>
            </w:r>
            <w:r w:rsidRPr="004F65E4">
              <w:rPr>
                <w:rFonts w:ascii="Tahoma" w:hAnsi="Tahoma" w:cs="Tahoma"/>
                <w:b/>
                <w:bCs/>
                <w:iCs/>
                <w:color w:val="243285"/>
                <w:szCs w:val="24"/>
              </w:rPr>
              <w:t>/</w:t>
            </w:r>
            <w:r>
              <w:rPr>
                <w:rFonts w:ascii="Tahoma" w:hAnsi="Tahoma" w:cs="Tahoma"/>
                <w:b/>
                <w:bCs/>
                <w:iCs/>
                <w:color w:val="243285"/>
                <w:szCs w:val="24"/>
              </w:rPr>
              <w:t>2000</w:t>
            </w:r>
            <w:r w:rsidRPr="004F65E4">
              <w:rPr>
                <w:rFonts w:ascii="Tahoma" w:hAnsi="Tahoma" w:cs="Tahoma"/>
                <w:b/>
                <w:bCs/>
                <w:iCs/>
                <w:color w:val="243285"/>
                <w:szCs w:val="24"/>
              </w:rPr>
              <w:t>)</w:t>
            </w:r>
          </w:p>
        </w:tc>
      </w:tr>
      <w:tr w:rsidR="00976297" w:rsidRPr="00660486" w:rsidTr="007822D5">
        <w:tc>
          <w:tcPr>
            <w:tcW w:w="10089" w:type="dxa"/>
          </w:tcPr>
          <w:p w:rsidR="00976297" w:rsidRPr="00660486" w:rsidRDefault="00976297" w:rsidP="007822D5">
            <w:pPr>
              <w:spacing w:before="80" w:line="500" w:lineRule="exact"/>
              <w:jc w:val="right"/>
              <w:rPr>
                <w:rFonts w:ascii="Tahoma" w:hAnsi="Tahoma" w:cs="Tahoma"/>
                <w:b/>
                <w:bCs/>
                <w:iCs/>
                <w:color w:val="243285"/>
                <w:sz w:val="44"/>
                <w:szCs w:val="44"/>
                <w:lang w:val="en-US"/>
              </w:rPr>
            </w:pPr>
          </w:p>
          <w:p w:rsidR="00976297" w:rsidRPr="001511A6" w:rsidRDefault="00976297" w:rsidP="005C2332">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Protection criteria for telemetry systems</w:t>
            </w:r>
            <w:r>
              <w:rPr>
                <w:rFonts w:ascii="Tahoma" w:hAnsi="Tahoma" w:cs="Tahoma"/>
                <w:b/>
                <w:bCs/>
                <w:iCs/>
                <w:color w:val="243285"/>
                <w:sz w:val="44"/>
                <w:szCs w:val="44"/>
                <w:lang w:val="en-US"/>
              </w:rPr>
              <w:br/>
              <w:t>in the aeronautical mobile service and mitigation techniques to facilitate sharing with geostationary broadcasting-satellite and mobile-satellite services in the frequency bands 1 452-1 525 MHz</w:t>
            </w:r>
            <w:r>
              <w:rPr>
                <w:rFonts w:ascii="Tahoma" w:hAnsi="Tahoma" w:cs="Tahoma"/>
                <w:b/>
                <w:bCs/>
                <w:iCs/>
                <w:color w:val="243285"/>
                <w:sz w:val="44"/>
                <w:szCs w:val="44"/>
                <w:lang w:val="en-US"/>
              </w:rPr>
              <w:br/>
              <w:t>and 2 310-2 360 MHz</w:t>
            </w:r>
          </w:p>
          <w:p w:rsidR="00976297" w:rsidRPr="001511A6" w:rsidRDefault="00976297" w:rsidP="007822D5">
            <w:pPr>
              <w:spacing w:before="80" w:line="500" w:lineRule="exact"/>
              <w:jc w:val="right"/>
              <w:rPr>
                <w:rFonts w:ascii="Tahoma" w:hAnsi="Tahoma" w:cs="Tahoma"/>
                <w:b/>
                <w:bCs/>
                <w:iCs/>
                <w:color w:val="243285"/>
                <w:sz w:val="40"/>
                <w:szCs w:val="40"/>
                <w:lang w:val="en-US"/>
              </w:rPr>
            </w:pPr>
          </w:p>
        </w:tc>
      </w:tr>
      <w:tr w:rsidR="00976297" w:rsidTr="007822D5">
        <w:tc>
          <w:tcPr>
            <w:tcW w:w="10089" w:type="dxa"/>
          </w:tcPr>
          <w:p w:rsidR="00976297" w:rsidRPr="00660486" w:rsidRDefault="00976297" w:rsidP="007822D5">
            <w:pPr>
              <w:spacing w:before="80" w:line="280" w:lineRule="exact"/>
              <w:ind w:right="640"/>
              <w:rPr>
                <w:rFonts w:ascii="Tahoma" w:hAnsi="Tahoma" w:cs="Tahoma"/>
                <w:b/>
                <w:bCs/>
                <w:iCs/>
                <w:color w:val="243285"/>
                <w:sz w:val="32"/>
                <w:szCs w:val="32"/>
                <w:lang w:val="en-US"/>
              </w:rPr>
            </w:pPr>
          </w:p>
          <w:p w:rsidR="00976297" w:rsidRPr="00660486" w:rsidRDefault="00976297" w:rsidP="007822D5">
            <w:pPr>
              <w:spacing w:before="80" w:after="180" w:line="360" w:lineRule="exact"/>
              <w:ind w:right="720"/>
              <w:rPr>
                <w:rFonts w:ascii="Tahoma" w:hAnsi="Tahoma" w:cs="Tahoma"/>
                <w:b/>
                <w:bCs/>
                <w:iCs/>
                <w:color w:val="243285"/>
                <w:sz w:val="36"/>
                <w:szCs w:val="36"/>
                <w:lang w:val="en-US"/>
              </w:rPr>
            </w:pPr>
          </w:p>
          <w:p w:rsidR="00976297" w:rsidRPr="001511A6" w:rsidRDefault="00976297" w:rsidP="007822D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976297" w:rsidRDefault="00976297" w:rsidP="007822D5">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976297" w:rsidRPr="0041667C" w:rsidRDefault="00976297" w:rsidP="007822D5">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976297" w:rsidRDefault="00976297" w:rsidP="00976297">
      <w:pPr>
        <w:spacing w:before="80"/>
        <w:rPr>
          <w:i/>
          <w:sz w:val="22"/>
          <w:lang w:val="en-US"/>
        </w:rPr>
      </w:pPr>
    </w:p>
    <w:p w:rsidR="00976297" w:rsidRDefault="00976297" w:rsidP="00976297">
      <w:pPr>
        <w:spacing w:before="80"/>
        <w:rPr>
          <w:i/>
          <w:sz w:val="22"/>
          <w:lang w:val="en-US"/>
        </w:rPr>
      </w:pPr>
    </w:p>
    <w:p w:rsidR="00976297" w:rsidRDefault="00976297" w:rsidP="00976297">
      <w:pPr>
        <w:spacing w:before="80"/>
        <w:rPr>
          <w:i/>
          <w:sz w:val="22"/>
          <w:lang w:val="en-US"/>
        </w:rPr>
      </w:pPr>
    </w:p>
    <w:p w:rsidR="00976297" w:rsidRDefault="00976297" w:rsidP="00976297">
      <w:pPr>
        <w:spacing w:before="80"/>
        <w:rPr>
          <w:i/>
          <w:sz w:val="22"/>
          <w:lang w:val="en-US"/>
        </w:rPr>
      </w:pPr>
    </w:p>
    <w:p w:rsidR="00976297" w:rsidRDefault="00976297" w:rsidP="00976297">
      <w:pPr>
        <w:spacing w:before="80"/>
        <w:rPr>
          <w:i/>
          <w:sz w:val="22"/>
          <w:lang w:val="en-US"/>
        </w:rPr>
      </w:pPr>
    </w:p>
    <w:p w:rsidR="00976297" w:rsidRDefault="00976297" w:rsidP="00976297">
      <w:pPr>
        <w:spacing w:before="80"/>
        <w:rPr>
          <w:i/>
          <w:sz w:val="22"/>
          <w:lang w:val="en-US"/>
        </w:rPr>
      </w:pPr>
    </w:p>
    <w:p w:rsidR="00976297" w:rsidRDefault="00976297" w:rsidP="00976297">
      <w:pPr>
        <w:pStyle w:val="Equation"/>
        <w:tabs>
          <w:tab w:val="left" w:pos="1191"/>
          <w:tab w:val="left" w:pos="1588"/>
          <w:tab w:val="left" w:pos="1985"/>
        </w:tabs>
        <w:rPr>
          <w:rFonts w:ascii="Palatino Linotype" w:hAnsi="Palatino Linotype"/>
          <w:lang w:val="en-US"/>
        </w:rPr>
        <w:sectPr w:rsidR="00976297">
          <w:headerReference w:type="even" r:id="rId8"/>
          <w:headerReference w:type="default" r:id="rId9"/>
          <w:pgSz w:w="11907" w:h="16840" w:code="9"/>
          <w:pgMar w:top="1089" w:right="1089" w:bottom="284" w:left="1089" w:header="567" w:footer="284" w:gutter="0"/>
          <w:pgNumType w:start="1"/>
          <w:cols w:space="720"/>
        </w:sectPr>
      </w:pPr>
    </w:p>
    <w:p w:rsidR="00976297" w:rsidRPr="00586EF8" w:rsidRDefault="00976297" w:rsidP="00976297">
      <w:pPr>
        <w:pStyle w:val="Tablehead"/>
        <w:tabs>
          <w:tab w:val="clear" w:pos="567"/>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76297" w:rsidRDefault="00976297" w:rsidP="00976297">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76297" w:rsidRDefault="00976297" w:rsidP="00976297">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976297" w:rsidRPr="00B714F3" w:rsidRDefault="00976297" w:rsidP="00976297">
      <w:pPr>
        <w:pStyle w:val="Heading1"/>
        <w:spacing w:before="680"/>
        <w:jc w:val="center"/>
        <w:rPr>
          <w:szCs w:val="24"/>
          <w:lang w:val="en-US"/>
        </w:rPr>
      </w:pPr>
      <w:r w:rsidRPr="00B714F3">
        <w:rPr>
          <w:szCs w:val="24"/>
          <w:lang w:val="en-US"/>
        </w:rPr>
        <w:t>Policy on Intellectual Property Right (IPR)</w:t>
      </w:r>
    </w:p>
    <w:p w:rsidR="00976297" w:rsidRPr="00B714F3" w:rsidRDefault="00976297" w:rsidP="00976297">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976297" w:rsidRDefault="00976297" w:rsidP="00976297">
      <w:pPr>
        <w:jc w:val="center"/>
        <w:rPr>
          <w:sz w:val="22"/>
          <w:lang w:val="en-US"/>
        </w:rPr>
      </w:pPr>
    </w:p>
    <w:p w:rsidR="00976297" w:rsidRDefault="00976297" w:rsidP="0097629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76297" w:rsidRPr="00660486" w:rsidTr="007822D5">
        <w:tc>
          <w:tcPr>
            <w:tcW w:w="9360" w:type="dxa"/>
            <w:gridSpan w:val="2"/>
          </w:tcPr>
          <w:p w:rsidR="00976297" w:rsidRPr="00036EE3" w:rsidRDefault="00976297" w:rsidP="007822D5">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76297" w:rsidRPr="00036EE3" w:rsidRDefault="00976297" w:rsidP="007822D5">
            <w:pPr>
              <w:pStyle w:val="Tablehead"/>
              <w:tabs>
                <w:tab w:val="clear" w:pos="567"/>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976297" w:rsidRPr="00036EE3" w:rsidTr="007822D5">
        <w:tc>
          <w:tcPr>
            <w:tcW w:w="1140" w:type="dxa"/>
          </w:tcPr>
          <w:p w:rsidR="00976297" w:rsidRPr="00036EE3" w:rsidRDefault="00976297" w:rsidP="007822D5">
            <w:pPr>
              <w:spacing w:before="200" w:after="100"/>
              <w:ind w:left="57"/>
              <w:rPr>
                <w:b/>
                <w:bCs/>
                <w:lang w:val="en-US"/>
              </w:rPr>
            </w:pPr>
            <w:r w:rsidRPr="00036EE3">
              <w:rPr>
                <w:b/>
                <w:bCs/>
                <w:lang w:val="en-US"/>
              </w:rPr>
              <w:t>Series</w:t>
            </w:r>
          </w:p>
        </w:tc>
        <w:tc>
          <w:tcPr>
            <w:tcW w:w="8220" w:type="dxa"/>
          </w:tcPr>
          <w:p w:rsidR="00976297" w:rsidRPr="00036EE3" w:rsidRDefault="00976297" w:rsidP="007822D5">
            <w:pPr>
              <w:pStyle w:val="Tablehead"/>
              <w:tabs>
                <w:tab w:val="clear" w:pos="567"/>
                <w:tab w:val="left" w:pos="794"/>
                <w:tab w:val="left" w:pos="1191"/>
                <w:tab w:val="left" w:pos="1588"/>
              </w:tabs>
              <w:spacing w:before="140" w:after="100"/>
              <w:rPr>
                <w:bCs/>
                <w:lang w:val="en-US"/>
              </w:rPr>
            </w:pPr>
            <w:r w:rsidRPr="00036EE3">
              <w:rPr>
                <w:bCs/>
                <w:lang w:val="en-US"/>
              </w:rPr>
              <w:t>Title</w:t>
            </w:r>
          </w:p>
        </w:tc>
      </w:tr>
      <w:tr w:rsidR="00976297" w:rsidRPr="00036EE3" w:rsidTr="007822D5">
        <w:tc>
          <w:tcPr>
            <w:tcW w:w="1140" w:type="dxa"/>
          </w:tcPr>
          <w:p w:rsidR="00976297" w:rsidRPr="00036EE3" w:rsidRDefault="00976297" w:rsidP="007822D5">
            <w:pPr>
              <w:spacing w:before="30" w:after="30"/>
              <w:ind w:left="57"/>
              <w:jc w:val="left"/>
              <w:rPr>
                <w:b/>
                <w:bCs/>
                <w:lang w:val="en-US"/>
              </w:rPr>
            </w:pPr>
            <w:r w:rsidRPr="00036EE3">
              <w:rPr>
                <w:b/>
                <w:bCs/>
                <w:lang w:val="en-US"/>
              </w:rPr>
              <w:t>BO</w:t>
            </w:r>
          </w:p>
        </w:tc>
        <w:tc>
          <w:tcPr>
            <w:tcW w:w="8220" w:type="dxa"/>
          </w:tcPr>
          <w:p w:rsidR="00976297" w:rsidRPr="00036EE3" w:rsidRDefault="00976297" w:rsidP="007822D5">
            <w:pPr>
              <w:pStyle w:val="Tablehead"/>
              <w:tabs>
                <w:tab w:val="clear" w:pos="567"/>
                <w:tab w:val="left" w:pos="794"/>
                <w:tab w:val="left" w:pos="1191"/>
                <w:tab w:val="left" w:pos="1588"/>
              </w:tabs>
              <w:spacing w:before="30" w:after="30"/>
              <w:jc w:val="left"/>
              <w:rPr>
                <w:b w:val="0"/>
                <w:bCs/>
                <w:lang w:val="en-US"/>
              </w:rPr>
            </w:pPr>
            <w:r w:rsidRPr="00036EE3">
              <w:rPr>
                <w:b w:val="0"/>
                <w:bCs/>
                <w:lang w:val="en-US"/>
              </w:rPr>
              <w:t>Satellite delivery</w:t>
            </w:r>
          </w:p>
        </w:tc>
      </w:tr>
      <w:tr w:rsidR="00976297" w:rsidRPr="00660486" w:rsidTr="007822D5">
        <w:tc>
          <w:tcPr>
            <w:tcW w:w="1140" w:type="dxa"/>
            <w:tcBorders>
              <w:bottom w:val="nil"/>
            </w:tcBorders>
          </w:tcPr>
          <w:p w:rsidR="00976297" w:rsidRPr="00036EE3" w:rsidRDefault="00976297" w:rsidP="007822D5">
            <w:pPr>
              <w:spacing w:before="30" w:after="30"/>
              <w:ind w:left="57"/>
              <w:jc w:val="left"/>
              <w:rPr>
                <w:b/>
                <w:bCs/>
                <w:lang w:val="en-US"/>
              </w:rPr>
            </w:pPr>
            <w:r w:rsidRPr="00036EE3">
              <w:rPr>
                <w:b/>
                <w:bCs/>
                <w:lang w:val="en-US"/>
              </w:rPr>
              <w:t>BR</w:t>
            </w:r>
          </w:p>
        </w:tc>
        <w:tc>
          <w:tcPr>
            <w:tcW w:w="8220" w:type="dxa"/>
            <w:tcBorders>
              <w:bottom w:val="nil"/>
            </w:tcBorders>
          </w:tcPr>
          <w:p w:rsidR="00976297" w:rsidRPr="00036EE3" w:rsidRDefault="00976297" w:rsidP="007822D5">
            <w:pPr>
              <w:pStyle w:val="Tablehead"/>
              <w:tabs>
                <w:tab w:val="clear" w:pos="567"/>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976297" w:rsidRPr="00036EE3" w:rsidTr="007822D5">
        <w:tc>
          <w:tcPr>
            <w:tcW w:w="1140" w:type="dxa"/>
            <w:tcBorders>
              <w:top w:val="nil"/>
              <w:bottom w:val="nil"/>
            </w:tcBorders>
            <w:shd w:val="clear" w:color="auto" w:fill="auto"/>
          </w:tcPr>
          <w:p w:rsidR="00976297" w:rsidRPr="007D224F" w:rsidRDefault="00976297" w:rsidP="007822D5">
            <w:pPr>
              <w:spacing w:before="30" w:after="30"/>
              <w:ind w:left="57"/>
              <w:jc w:val="left"/>
              <w:rPr>
                <w:rFonts w:hAnsi="Times New Roman Bold"/>
                <w:b/>
                <w:bCs/>
                <w:lang w:val="en-US"/>
              </w:rPr>
            </w:pPr>
            <w:r w:rsidRPr="007D224F">
              <w:rPr>
                <w:rFonts w:hAnsi="Times New Roman Bold"/>
                <w:b/>
                <w:bCs/>
                <w:lang w:val="en-US"/>
              </w:rPr>
              <w:t>BS</w:t>
            </w:r>
          </w:p>
        </w:tc>
        <w:tc>
          <w:tcPr>
            <w:tcW w:w="8220" w:type="dxa"/>
            <w:tcBorders>
              <w:top w:val="nil"/>
              <w:bottom w:val="nil"/>
            </w:tcBorders>
            <w:shd w:val="clear" w:color="auto" w:fill="auto"/>
          </w:tcPr>
          <w:p w:rsidR="00976297" w:rsidRPr="007D224F" w:rsidRDefault="00976297" w:rsidP="007822D5">
            <w:pPr>
              <w:pStyle w:val="Tablehead"/>
              <w:tabs>
                <w:tab w:val="clear" w:pos="567"/>
                <w:tab w:val="left" w:pos="794"/>
                <w:tab w:val="left" w:pos="1191"/>
                <w:tab w:val="left" w:pos="1588"/>
              </w:tabs>
              <w:spacing w:before="30" w:after="30"/>
              <w:jc w:val="left"/>
              <w:rPr>
                <w:rFonts w:hAnsi="Times New Roman Bold"/>
                <w:b w:val="0"/>
                <w:lang w:val="en-US"/>
              </w:rPr>
            </w:pPr>
            <w:r w:rsidRPr="007D224F">
              <w:rPr>
                <w:rFonts w:hAnsi="Times New Roman Bold"/>
                <w:b w:val="0"/>
                <w:lang w:val="en-US"/>
              </w:rPr>
              <w:t>Broadcasting service (sound)</w:t>
            </w:r>
          </w:p>
        </w:tc>
      </w:tr>
      <w:tr w:rsidR="00976297" w:rsidRPr="00ED2695" w:rsidTr="007822D5">
        <w:tc>
          <w:tcPr>
            <w:tcW w:w="1140" w:type="dxa"/>
            <w:tcBorders>
              <w:top w:val="nil"/>
              <w:bottom w:val="nil"/>
            </w:tcBorders>
            <w:shd w:val="clear" w:color="auto" w:fill="auto"/>
          </w:tcPr>
          <w:p w:rsidR="00976297" w:rsidRPr="00ED2695" w:rsidRDefault="00976297" w:rsidP="007822D5">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976297" w:rsidRPr="00ED2695" w:rsidRDefault="00976297" w:rsidP="007822D5">
            <w:pPr>
              <w:pStyle w:val="Tablehead"/>
              <w:tabs>
                <w:tab w:val="clear" w:pos="567"/>
                <w:tab w:val="left" w:pos="794"/>
                <w:tab w:val="left" w:pos="1191"/>
                <w:tab w:val="left" w:pos="1588"/>
              </w:tabs>
              <w:spacing w:before="30" w:after="30"/>
              <w:jc w:val="left"/>
              <w:rPr>
                <w:b w:val="0"/>
                <w:lang w:val="en-US"/>
              </w:rPr>
            </w:pPr>
            <w:r w:rsidRPr="00ED2695">
              <w:rPr>
                <w:b w:val="0"/>
                <w:lang w:val="en-US"/>
              </w:rPr>
              <w:t>Broadcasting service (television)</w:t>
            </w:r>
          </w:p>
        </w:tc>
      </w:tr>
      <w:tr w:rsidR="00976297" w:rsidRPr="007D224F" w:rsidTr="007822D5">
        <w:tc>
          <w:tcPr>
            <w:tcW w:w="1140" w:type="dxa"/>
            <w:tcBorders>
              <w:top w:val="nil"/>
              <w:bottom w:val="nil"/>
            </w:tcBorders>
            <w:shd w:val="clear" w:color="auto" w:fill="auto"/>
          </w:tcPr>
          <w:p w:rsidR="00976297" w:rsidRPr="0041667C" w:rsidRDefault="00976297" w:rsidP="007822D5">
            <w:pPr>
              <w:spacing w:before="30" w:after="30"/>
              <w:ind w:left="57"/>
              <w:jc w:val="left"/>
              <w:rPr>
                <w:rFonts w:hAnsi="Times New Roman Bold"/>
                <w:b/>
                <w:bCs/>
                <w:lang w:val="fr-CH"/>
              </w:rPr>
            </w:pPr>
            <w:r w:rsidRPr="0041667C">
              <w:rPr>
                <w:rFonts w:hAnsi="Times New Roman Bold"/>
                <w:b/>
                <w:bCs/>
                <w:lang w:val="fr-CH"/>
              </w:rPr>
              <w:t>F</w:t>
            </w:r>
          </w:p>
        </w:tc>
        <w:tc>
          <w:tcPr>
            <w:tcW w:w="8220" w:type="dxa"/>
            <w:tcBorders>
              <w:top w:val="nil"/>
              <w:bottom w:val="nil"/>
            </w:tcBorders>
            <w:shd w:val="clear" w:color="auto" w:fill="auto"/>
          </w:tcPr>
          <w:p w:rsidR="00976297" w:rsidRPr="0041667C" w:rsidRDefault="00976297" w:rsidP="007822D5">
            <w:pPr>
              <w:pStyle w:val="Tabletext0"/>
              <w:tabs>
                <w:tab w:val="clear" w:pos="567"/>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976297" w:rsidRPr="0041667C" w:rsidTr="007822D5">
        <w:tc>
          <w:tcPr>
            <w:tcW w:w="1140" w:type="dxa"/>
            <w:tcBorders>
              <w:top w:val="nil"/>
              <w:bottom w:val="nil"/>
            </w:tcBorders>
            <w:shd w:val="clear" w:color="auto" w:fill="F3F3F3"/>
          </w:tcPr>
          <w:p w:rsidR="00976297" w:rsidRPr="0041667C" w:rsidRDefault="00976297" w:rsidP="007822D5">
            <w:pPr>
              <w:spacing w:before="30" w:after="30"/>
              <w:ind w:left="57"/>
              <w:jc w:val="left"/>
              <w:rPr>
                <w:rFonts w:ascii="Times New Roman Bold" w:hAnsi="Times New Roman Bold" w:cs="Times New Roman Bold"/>
                <w:bCs/>
                <w:color w:val="000080"/>
                <w:lang w:val="en-US"/>
              </w:rPr>
            </w:pPr>
            <w:r w:rsidRPr="0041667C">
              <w:rPr>
                <w:rFonts w:ascii="Times New Roman Bold" w:hAnsi="Times New Roman Bold" w:cs="Times New Roman Bold"/>
                <w:bCs/>
                <w:color w:val="000080"/>
                <w:lang w:val="en-US"/>
              </w:rPr>
              <w:t>M</w:t>
            </w:r>
          </w:p>
        </w:tc>
        <w:tc>
          <w:tcPr>
            <w:tcW w:w="8220" w:type="dxa"/>
            <w:tcBorders>
              <w:top w:val="nil"/>
              <w:bottom w:val="nil"/>
            </w:tcBorders>
            <w:shd w:val="clear" w:color="auto" w:fill="F3F3F3"/>
          </w:tcPr>
          <w:p w:rsidR="00976297" w:rsidRPr="0041667C" w:rsidRDefault="00976297" w:rsidP="007822D5">
            <w:pPr>
              <w:pStyle w:val="Tablehead"/>
              <w:tabs>
                <w:tab w:val="clear" w:pos="567"/>
                <w:tab w:val="left" w:pos="794"/>
                <w:tab w:val="left" w:pos="1191"/>
                <w:tab w:val="left" w:pos="1588"/>
              </w:tabs>
              <w:spacing w:before="30" w:after="30"/>
              <w:jc w:val="left"/>
              <w:rPr>
                <w:rFonts w:ascii="Times New Roman Bold" w:hAnsi="Times New Roman Bold" w:cs="Times New Roman Bold"/>
                <w:b w:val="0"/>
                <w:bCs/>
                <w:color w:val="000080"/>
                <w:lang w:val="en-US"/>
              </w:rPr>
            </w:pPr>
            <w:r w:rsidRPr="0041667C">
              <w:rPr>
                <w:rFonts w:ascii="Times New Roman Bold" w:hAnsi="Times New Roman Bold" w:cs="Times New Roman Bold"/>
                <w:b w:val="0"/>
                <w:bCs/>
                <w:color w:val="000080"/>
                <w:lang w:val="en-US"/>
              </w:rPr>
              <w:t>Mobile, radiodetermination, amateur and related satellite services</w:t>
            </w:r>
          </w:p>
        </w:tc>
      </w:tr>
      <w:tr w:rsidR="00976297" w:rsidRPr="00036EE3" w:rsidTr="007822D5">
        <w:tc>
          <w:tcPr>
            <w:tcW w:w="1140" w:type="dxa"/>
            <w:tcBorders>
              <w:top w:val="nil"/>
            </w:tcBorders>
          </w:tcPr>
          <w:p w:rsidR="00976297" w:rsidRPr="00036EE3" w:rsidRDefault="00976297" w:rsidP="007822D5">
            <w:pPr>
              <w:spacing w:before="30" w:after="30"/>
              <w:ind w:left="57"/>
              <w:jc w:val="left"/>
              <w:rPr>
                <w:b/>
                <w:bCs/>
                <w:lang w:val="fr-CH"/>
              </w:rPr>
            </w:pPr>
            <w:r w:rsidRPr="00036EE3">
              <w:rPr>
                <w:b/>
                <w:bCs/>
                <w:lang w:val="fr-CH"/>
              </w:rPr>
              <w:t>P</w:t>
            </w:r>
          </w:p>
        </w:tc>
        <w:tc>
          <w:tcPr>
            <w:tcW w:w="8220" w:type="dxa"/>
            <w:tcBorders>
              <w:top w:val="nil"/>
            </w:tcBorders>
          </w:tcPr>
          <w:p w:rsidR="00976297" w:rsidRPr="00036EE3" w:rsidRDefault="00976297" w:rsidP="007822D5">
            <w:pPr>
              <w:spacing w:before="30" w:after="30"/>
              <w:jc w:val="left"/>
              <w:rPr>
                <w:lang w:val="fr-CH"/>
              </w:rPr>
            </w:pPr>
            <w:r w:rsidRPr="00036EE3">
              <w:rPr>
                <w:lang w:val="fr-CH"/>
              </w:rPr>
              <w:t>Radiowave propagation</w:t>
            </w:r>
          </w:p>
        </w:tc>
      </w:tr>
      <w:tr w:rsidR="00976297" w:rsidRPr="00036EE3" w:rsidTr="007822D5">
        <w:tc>
          <w:tcPr>
            <w:tcW w:w="1140" w:type="dxa"/>
          </w:tcPr>
          <w:p w:rsidR="00976297" w:rsidRPr="00036EE3" w:rsidRDefault="00976297" w:rsidP="007822D5">
            <w:pPr>
              <w:spacing w:before="30" w:after="30"/>
              <w:ind w:left="57"/>
              <w:jc w:val="left"/>
              <w:rPr>
                <w:b/>
                <w:bCs/>
                <w:lang w:val="en-US"/>
              </w:rPr>
            </w:pPr>
            <w:r w:rsidRPr="00036EE3">
              <w:rPr>
                <w:b/>
                <w:bCs/>
                <w:lang w:val="en-US"/>
              </w:rPr>
              <w:t>RA</w:t>
            </w:r>
          </w:p>
        </w:tc>
        <w:tc>
          <w:tcPr>
            <w:tcW w:w="8220" w:type="dxa"/>
          </w:tcPr>
          <w:p w:rsidR="00976297" w:rsidRPr="00036EE3" w:rsidRDefault="00976297" w:rsidP="007822D5">
            <w:pPr>
              <w:pStyle w:val="Tabletext0"/>
              <w:tabs>
                <w:tab w:val="clear" w:pos="567"/>
                <w:tab w:val="left" w:pos="794"/>
                <w:tab w:val="left" w:pos="1191"/>
                <w:tab w:val="left" w:pos="1588"/>
              </w:tabs>
              <w:spacing w:before="30" w:after="30"/>
              <w:rPr>
                <w:lang w:val="en-US"/>
              </w:rPr>
            </w:pPr>
            <w:r w:rsidRPr="00036EE3">
              <w:rPr>
                <w:lang w:val="en-US"/>
              </w:rPr>
              <w:t>Radio astronomy</w:t>
            </w:r>
          </w:p>
        </w:tc>
      </w:tr>
      <w:tr w:rsidR="00976297" w:rsidRPr="00036EE3" w:rsidTr="007822D5">
        <w:tc>
          <w:tcPr>
            <w:tcW w:w="1140" w:type="dxa"/>
          </w:tcPr>
          <w:p w:rsidR="00976297" w:rsidRPr="00036EE3" w:rsidRDefault="00976297" w:rsidP="007822D5">
            <w:pPr>
              <w:spacing w:before="30" w:after="30"/>
              <w:ind w:left="57"/>
              <w:jc w:val="left"/>
              <w:rPr>
                <w:b/>
                <w:bCs/>
                <w:lang w:val="en-US"/>
              </w:rPr>
            </w:pPr>
            <w:r w:rsidRPr="00036EE3">
              <w:rPr>
                <w:b/>
                <w:bCs/>
                <w:lang w:val="en-US"/>
              </w:rPr>
              <w:t>RS</w:t>
            </w:r>
          </w:p>
        </w:tc>
        <w:tc>
          <w:tcPr>
            <w:tcW w:w="8220" w:type="dxa"/>
          </w:tcPr>
          <w:p w:rsidR="00976297" w:rsidRPr="00036EE3" w:rsidRDefault="00976297" w:rsidP="007822D5">
            <w:pPr>
              <w:pStyle w:val="Tabletext0"/>
              <w:tabs>
                <w:tab w:val="clear" w:pos="567"/>
                <w:tab w:val="left" w:pos="794"/>
                <w:tab w:val="left" w:pos="1191"/>
                <w:tab w:val="left" w:pos="1588"/>
              </w:tabs>
              <w:spacing w:before="30" w:after="30"/>
              <w:rPr>
                <w:lang w:val="en-US"/>
              </w:rPr>
            </w:pPr>
            <w:r w:rsidRPr="00036EE3">
              <w:rPr>
                <w:lang w:val="en-US"/>
              </w:rPr>
              <w:t>Remote sensing systems</w:t>
            </w:r>
          </w:p>
        </w:tc>
      </w:tr>
      <w:tr w:rsidR="00976297" w:rsidRPr="00036EE3" w:rsidTr="007822D5">
        <w:tc>
          <w:tcPr>
            <w:tcW w:w="1140" w:type="dxa"/>
          </w:tcPr>
          <w:p w:rsidR="00976297" w:rsidRPr="00036EE3" w:rsidRDefault="00976297" w:rsidP="007822D5">
            <w:pPr>
              <w:spacing w:before="30" w:after="30"/>
              <w:ind w:left="57"/>
              <w:jc w:val="left"/>
              <w:rPr>
                <w:b/>
                <w:bCs/>
                <w:lang w:val="en-US"/>
              </w:rPr>
            </w:pPr>
            <w:r w:rsidRPr="00036EE3">
              <w:rPr>
                <w:b/>
                <w:bCs/>
                <w:lang w:val="en-US"/>
              </w:rPr>
              <w:t>S</w:t>
            </w:r>
          </w:p>
        </w:tc>
        <w:tc>
          <w:tcPr>
            <w:tcW w:w="8220" w:type="dxa"/>
          </w:tcPr>
          <w:p w:rsidR="00976297" w:rsidRPr="00036EE3" w:rsidRDefault="00976297" w:rsidP="007822D5">
            <w:pPr>
              <w:spacing w:before="30" w:after="30"/>
              <w:jc w:val="left"/>
              <w:rPr>
                <w:lang w:val="en-US"/>
              </w:rPr>
            </w:pPr>
            <w:r w:rsidRPr="00036EE3">
              <w:rPr>
                <w:lang w:val="en-US"/>
              </w:rPr>
              <w:t>Fixed-satellite service</w:t>
            </w:r>
          </w:p>
        </w:tc>
      </w:tr>
      <w:tr w:rsidR="00976297" w:rsidRPr="00036EE3" w:rsidTr="007822D5">
        <w:tc>
          <w:tcPr>
            <w:tcW w:w="1140" w:type="dxa"/>
          </w:tcPr>
          <w:p w:rsidR="00976297" w:rsidRPr="00036EE3" w:rsidRDefault="00976297" w:rsidP="007822D5">
            <w:pPr>
              <w:spacing w:before="30" w:after="30"/>
              <w:ind w:left="57"/>
              <w:jc w:val="left"/>
              <w:rPr>
                <w:b/>
                <w:bCs/>
                <w:lang w:val="en-US"/>
              </w:rPr>
            </w:pPr>
            <w:r w:rsidRPr="00036EE3">
              <w:rPr>
                <w:b/>
                <w:bCs/>
                <w:lang w:val="en-US"/>
              </w:rPr>
              <w:t>SA</w:t>
            </w:r>
          </w:p>
        </w:tc>
        <w:tc>
          <w:tcPr>
            <w:tcW w:w="8220" w:type="dxa"/>
          </w:tcPr>
          <w:p w:rsidR="00976297" w:rsidRPr="00036EE3" w:rsidRDefault="00976297" w:rsidP="007822D5">
            <w:pPr>
              <w:spacing w:before="30" w:after="30"/>
              <w:jc w:val="left"/>
              <w:rPr>
                <w:lang w:val="en-US"/>
              </w:rPr>
            </w:pPr>
            <w:r w:rsidRPr="00036EE3">
              <w:rPr>
                <w:lang w:val="en-US"/>
              </w:rPr>
              <w:t>Space applications and meteorology</w:t>
            </w:r>
          </w:p>
        </w:tc>
      </w:tr>
      <w:tr w:rsidR="00976297" w:rsidRPr="00660486" w:rsidTr="007822D5">
        <w:tc>
          <w:tcPr>
            <w:tcW w:w="1140" w:type="dxa"/>
            <w:tcBorders>
              <w:bottom w:val="nil"/>
            </w:tcBorders>
          </w:tcPr>
          <w:p w:rsidR="00976297" w:rsidRPr="00036EE3" w:rsidRDefault="00976297" w:rsidP="007822D5">
            <w:pPr>
              <w:spacing w:before="30" w:after="30"/>
              <w:ind w:left="57"/>
              <w:jc w:val="left"/>
              <w:rPr>
                <w:b/>
                <w:bCs/>
                <w:lang w:val="en-US"/>
              </w:rPr>
            </w:pPr>
            <w:r w:rsidRPr="00036EE3">
              <w:rPr>
                <w:b/>
                <w:bCs/>
                <w:lang w:val="en-US"/>
              </w:rPr>
              <w:t>SF</w:t>
            </w:r>
          </w:p>
        </w:tc>
        <w:tc>
          <w:tcPr>
            <w:tcW w:w="8220" w:type="dxa"/>
            <w:tcBorders>
              <w:bottom w:val="nil"/>
            </w:tcBorders>
          </w:tcPr>
          <w:p w:rsidR="00976297" w:rsidRPr="00036EE3" w:rsidRDefault="00976297" w:rsidP="007822D5">
            <w:pPr>
              <w:spacing w:before="30" w:after="30"/>
              <w:jc w:val="left"/>
              <w:rPr>
                <w:lang w:val="en-US"/>
              </w:rPr>
            </w:pPr>
            <w:r w:rsidRPr="00036EE3">
              <w:rPr>
                <w:lang w:val="en-US"/>
              </w:rPr>
              <w:t>Frequency sharing and coordination between fixed-satellite and fixed service systems</w:t>
            </w:r>
          </w:p>
        </w:tc>
      </w:tr>
      <w:tr w:rsidR="00976297" w:rsidRPr="00036EE3" w:rsidTr="007822D5">
        <w:tc>
          <w:tcPr>
            <w:tcW w:w="1140" w:type="dxa"/>
            <w:tcBorders>
              <w:top w:val="nil"/>
              <w:bottom w:val="nil"/>
            </w:tcBorders>
            <w:shd w:val="clear" w:color="auto" w:fill="auto"/>
          </w:tcPr>
          <w:p w:rsidR="00976297" w:rsidRPr="000A4386" w:rsidRDefault="00976297" w:rsidP="007822D5">
            <w:pPr>
              <w:spacing w:before="30" w:after="30"/>
              <w:ind w:left="57"/>
              <w:jc w:val="left"/>
              <w:rPr>
                <w:b/>
                <w:bCs/>
                <w:lang w:val="en-US"/>
              </w:rPr>
            </w:pPr>
            <w:r w:rsidRPr="000A4386">
              <w:rPr>
                <w:b/>
                <w:bCs/>
                <w:lang w:val="en-US"/>
              </w:rPr>
              <w:t>SM</w:t>
            </w:r>
          </w:p>
        </w:tc>
        <w:tc>
          <w:tcPr>
            <w:tcW w:w="8220" w:type="dxa"/>
            <w:tcBorders>
              <w:top w:val="nil"/>
              <w:bottom w:val="nil"/>
            </w:tcBorders>
            <w:shd w:val="clear" w:color="auto" w:fill="auto"/>
          </w:tcPr>
          <w:p w:rsidR="00976297" w:rsidRPr="000A4386" w:rsidRDefault="00976297" w:rsidP="007822D5">
            <w:pPr>
              <w:spacing w:before="30" w:after="30"/>
              <w:jc w:val="left"/>
              <w:rPr>
                <w:lang w:val="en-US"/>
              </w:rPr>
            </w:pPr>
            <w:r w:rsidRPr="000A4386">
              <w:rPr>
                <w:lang w:val="en-US"/>
              </w:rPr>
              <w:t>Spectrum management</w:t>
            </w:r>
          </w:p>
        </w:tc>
      </w:tr>
      <w:tr w:rsidR="00976297" w:rsidRPr="00036EE3" w:rsidTr="007822D5">
        <w:tc>
          <w:tcPr>
            <w:tcW w:w="1140" w:type="dxa"/>
            <w:tcBorders>
              <w:top w:val="nil"/>
            </w:tcBorders>
          </w:tcPr>
          <w:p w:rsidR="00976297" w:rsidRPr="00036EE3" w:rsidRDefault="00976297" w:rsidP="007822D5">
            <w:pPr>
              <w:spacing w:before="30" w:after="30"/>
              <w:ind w:left="57"/>
              <w:jc w:val="left"/>
              <w:rPr>
                <w:b/>
                <w:bCs/>
                <w:lang w:val="en-US"/>
              </w:rPr>
            </w:pPr>
            <w:r w:rsidRPr="00036EE3">
              <w:rPr>
                <w:b/>
                <w:bCs/>
                <w:lang w:val="en-US"/>
              </w:rPr>
              <w:t>SNG</w:t>
            </w:r>
          </w:p>
        </w:tc>
        <w:tc>
          <w:tcPr>
            <w:tcW w:w="8220" w:type="dxa"/>
            <w:tcBorders>
              <w:top w:val="nil"/>
            </w:tcBorders>
          </w:tcPr>
          <w:p w:rsidR="00976297" w:rsidRPr="00036EE3" w:rsidRDefault="00976297" w:rsidP="007822D5">
            <w:pPr>
              <w:spacing w:before="30" w:after="30"/>
              <w:jc w:val="left"/>
              <w:rPr>
                <w:lang w:val="en-US"/>
              </w:rPr>
            </w:pPr>
            <w:r w:rsidRPr="00036EE3">
              <w:rPr>
                <w:lang w:val="en-US"/>
              </w:rPr>
              <w:t>Satellite news gathering</w:t>
            </w:r>
          </w:p>
        </w:tc>
      </w:tr>
      <w:tr w:rsidR="00976297" w:rsidRPr="00660486" w:rsidTr="007822D5">
        <w:tc>
          <w:tcPr>
            <w:tcW w:w="1140" w:type="dxa"/>
          </w:tcPr>
          <w:p w:rsidR="00976297" w:rsidRPr="00036EE3" w:rsidRDefault="00976297" w:rsidP="007822D5">
            <w:pPr>
              <w:spacing w:before="30" w:after="30"/>
              <w:ind w:left="57"/>
              <w:jc w:val="left"/>
              <w:rPr>
                <w:b/>
                <w:bCs/>
                <w:lang w:val="en-US"/>
              </w:rPr>
            </w:pPr>
            <w:r w:rsidRPr="00036EE3">
              <w:rPr>
                <w:b/>
                <w:bCs/>
                <w:lang w:val="en-US"/>
              </w:rPr>
              <w:t>TF</w:t>
            </w:r>
          </w:p>
        </w:tc>
        <w:tc>
          <w:tcPr>
            <w:tcW w:w="8220" w:type="dxa"/>
          </w:tcPr>
          <w:p w:rsidR="00976297" w:rsidRPr="00036EE3" w:rsidRDefault="00976297" w:rsidP="007822D5">
            <w:pPr>
              <w:spacing w:before="30" w:after="30"/>
              <w:jc w:val="left"/>
              <w:rPr>
                <w:lang w:val="en-US"/>
              </w:rPr>
            </w:pPr>
            <w:r w:rsidRPr="00036EE3">
              <w:rPr>
                <w:lang w:val="en-US"/>
              </w:rPr>
              <w:t>Time signals and frequency standards emissions</w:t>
            </w:r>
          </w:p>
        </w:tc>
      </w:tr>
      <w:tr w:rsidR="00976297" w:rsidRPr="00036EE3" w:rsidTr="007822D5">
        <w:tc>
          <w:tcPr>
            <w:tcW w:w="1140" w:type="dxa"/>
          </w:tcPr>
          <w:p w:rsidR="00976297" w:rsidRPr="00036EE3" w:rsidRDefault="00976297" w:rsidP="007822D5">
            <w:pPr>
              <w:spacing w:before="30" w:after="30"/>
              <w:ind w:left="57"/>
              <w:jc w:val="left"/>
              <w:rPr>
                <w:b/>
                <w:bCs/>
                <w:lang w:val="en-US"/>
              </w:rPr>
            </w:pPr>
            <w:r w:rsidRPr="00036EE3">
              <w:rPr>
                <w:b/>
                <w:bCs/>
                <w:lang w:val="en-US"/>
              </w:rPr>
              <w:t>V</w:t>
            </w:r>
          </w:p>
        </w:tc>
        <w:tc>
          <w:tcPr>
            <w:tcW w:w="8220" w:type="dxa"/>
          </w:tcPr>
          <w:p w:rsidR="00976297" w:rsidRPr="00036EE3" w:rsidRDefault="00976297" w:rsidP="007822D5">
            <w:pPr>
              <w:spacing w:before="30" w:after="180"/>
              <w:jc w:val="left"/>
              <w:rPr>
                <w:lang w:val="en-US"/>
              </w:rPr>
            </w:pPr>
            <w:r w:rsidRPr="00036EE3">
              <w:rPr>
                <w:lang w:val="en-US"/>
              </w:rPr>
              <w:t>Vocabulary and related subjects</w:t>
            </w:r>
          </w:p>
        </w:tc>
      </w:tr>
    </w:tbl>
    <w:p w:rsidR="00976297" w:rsidRPr="00036EE3" w:rsidRDefault="00976297" w:rsidP="00976297">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76297" w:rsidTr="007822D5">
        <w:tc>
          <w:tcPr>
            <w:tcW w:w="720" w:type="dxa"/>
          </w:tcPr>
          <w:p w:rsidR="00976297" w:rsidRDefault="00976297" w:rsidP="007822D5">
            <w:pPr>
              <w:jc w:val="center"/>
              <w:rPr>
                <w:sz w:val="22"/>
                <w:lang w:val="en-US"/>
              </w:rPr>
            </w:pPr>
          </w:p>
        </w:tc>
      </w:tr>
    </w:tbl>
    <w:p w:rsidR="00976297" w:rsidRPr="00036EE3" w:rsidRDefault="00976297" w:rsidP="0097629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76297" w:rsidRPr="00660486" w:rsidTr="007822D5">
        <w:tc>
          <w:tcPr>
            <w:tcW w:w="9360" w:type="dxa"/>
          </w:tcPr>
          <w:p w:rsidR="00976297" w:rsidRPr="002F5199" w:rsidRDefault="00976297" w:rsidP="007822D5">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976297" w:rsidRDefault="00976297" w:rsidP="00976297">
      <w:pPr>
        <w:spacing w:before="0"/>
        <w:jc w:val="center"/>
        <w:rPr>
          <w:sz w:val="22"/>
          <w:lang w:val="en-US"/>
        </w:rPr>
      </w:pPr>
    </w:p>
    <w:p w:rsidR="00976297" w:rsidRDefault="00976297" w:rsidP="00976297">
      <w:pPr>
        <w:spacing w:before="0"/>
        <w:jc w:val="center"/>
        <w:rPr>
          <w:sz w:val="22"/>
          <w:lang w:val="en-US"/>
        </w:rPr>
      </w:pPr>
    </w:p>
    <w:p w:rsidR="00976297" w:rsidRPr="002F5199" w:rsidRDefault="00976297" w:rsidP="00976297">
      <w:pPr>
        <w:spacing w:before="0"/>
        <w:jc w:val="right"/>
        <w:rPr>
          <w:i/>
          <w:iCs/>
          <w:lang w:val="en-US"/>
        </w:rPr>
      </w:pPr>
      <w:r w:rsidRPr="002F5199">
        <w:rPr>
          <w:i/>
          <w:iCs/>
          <w:lang w:val="en-US"/>
        </w:rPr>
        <w:t>Electronic Publication</w:t>
      </w:r>
    </w:p>
    <w:p w:rsidR="00976297" w:rsidRPr="002F5199" w:rsidRDefault="00976297" w:rsidP="00976297">
      <w:pPr>
        <w:spacing w:before="0"/>
        <w:jc w:val="right"/>
        <w:rPr>
          <w:lang w:val="en-US"/>
        </w:rPr>
      </w:pPr>
      <w:smartTag w:uri="urn:schemas-microsoft-com:office:smarttags" w:element="State">
        <w:smartTag w:uri="urn:schemas-microsoft-com:office:smarttags" w:element="place">
          <w:r w:rsidRPr="002F5199">
            <w:rPr>
              <w:lang w:val="en-US"/>
            </w:rPr>
            <w:t>Geneva</w:t>
          </w:r>
        </w:smartTag>
      </w:smartTag>
      <w:r w:rsidRPr="002F5199">
        <w:rPr>
          <w:lang w:val="en-US"/>
        </w:rPr>
        <w:t>, 20</w:t>
      </w:r>
      <w:r>
        <w:rPr>
          <w:lang w:val="en-US"/>
        </w:rPr>
        <w:t>11</w:t>
      </w:r>
    </w:p>
    <w:p w:rsidR="00976297" w:rsidRPr="00470E28" w:rsidRDefault="00976297" w:rsidP="00976297">
      <w:pPr>
        <w:jc w:val="center"/>
        <w:rPr>
          <w:lang w:val="en-US"/>
        </w:rPr>
      </w:pPr>
      <w:r w:rsidRPr="00470E28">
        <w:rPr>
          <w:lang w:val="en-US"/>
        </w:rPr>
        <w:sym w:font="Symbol" w:char="F0E3"/>
      </w:r>
      <w:r w:rsidRPr="00470E28">
        <w:rPr>
          <w:lang w:val="en-US"/>
        </w:rPr>
        <w:t xml:space="preserve"> ITU </w:t>
      </w:r>
      <w:bookmarkStart w:id="1" w:name="iiannee"/>
      <w:bookmarkEnd w:id="1"/>
      <w:r w:rsidRPr="00470E28">
        <w:rPr>
          <w:lang w:val="en-US"/>
        </w:rPr>
        <w:t>20</w:t>
      </w:r>
      <w:r>
        <w:rPr>
          <w:lang w:val="en-US"/>
        </w:rPr>
        <w:t>11</w:t>
      </w:r>
    </w:p>
    <w:p w:rsidR="00976297" w:rsidRPr="00470E28" w:rsidRDefault="00976297" w:rsidP="0097629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76297" w:rsidRDefault="00976297" w:rsidP="00976297">
      <w:pPr>
        <w:spacing w:before="160"/>
        <w:rPr>
          <w:i/>
          <w:lang w:val="en-US"/>
        </w:rPr>
        <w:sectPr w:rsidR="0097629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D7E17" w:rsidRDefault="003D7E17">
      <w:pPr>
        <w:pStyle w:val="Rec"/>
        <w:spacing w:before="0"/>
      </w:pPr>
      <w:r>
        <w:lastRenderedPageBreak/>
        <w:t xml:space="preserve">RECOMMENDATION  </w:t>
      </w:r>
      <w:r w:rsidRPr="00976297">
        <w:rPr>
          <w:rStyle w:val="href"/>
        </w:rPr>
        <w:t>ITU-R  M.1459</w:t>
      </w:r>
      <w:r>
        <w:rPr>
          <w:rStyle w:val="FootnoteReference"/>
          <w:position w:val="0"/>
        </w:rPr>
        <w:footnoteReference w:customMarkFollows="1" w:id="1"/>
        <w:t>*</w:t>
      </w:r>
      <w:r w:rsidR="00135944">
        <w:rPr>
          <w:rStyle w:val="FootnoteReference"/>
          <w:position w:val="0"/>
        </w:rPr>
        <w:t>,**</w:t>
      </w:r>
    </w:p>
    <w:p w:rsidR="003D7E17" w:rsidRDefault="003D7E17" w:rsidP="00976297">
      <w:pPr>
        <w:pStyle w:val="RecTitle"/>
      </w:pPr>
      <w:r>
        <w:t>PROTECTION  CRITERIA  FOR  TELEMETRY  SYSTEMS  IN  THE  AERONAUTICAL  MOBILE</w:t>
      </w:r>
      <w:r w:rsidR="00976297">
        <w:br/>
      </w:r>
      <w:r>
        <w:t>SERVICE  AND  MITIGATION  TECHNIQUES  TO  FACILITATE  SHARING  WITH  GEOSTATIONARY</w:t>
      </w:r>
      <w:r w:rsidR="00976297">
        <w:br/>
      </w:r>
      <w:r>
        <w:t>BROADCASTING</w:t>
      </w:r>
      <w:r>
        <w:noBreakHyphen/>
        <w:t>SATELLITE  AND  MOBILE-SATELLITE  SERVICES  IN  THE</w:t>
      </w:r>
      <w:r>
        <w:br/>
        <w:t>FREQUENCY  BANDS  1 452-1 525  MHz  AND  2 310-2 360  MHz</w:t>
      </w:r>
    </w:p>
    <w:p w:rsidR="003D7E17" w:rsidRPr="00B86BCC" w:rsidRDefault="003D7E17">
      <w:pPr>
        <w:pStyle w:val="RecTitleRef"/>
        <w:rPr>
          <w:lang w:val="fr-CH"/>
        </w:rPr>
      </w:pPr>
      <w:r w:rsidRPr="00B86BCC">
        <w:rPr>
          <w:lang w:val="fr-CH"/>
        </w:rPr>
        <w:t>(Question ITU-R 62/8)</w:t>
      </w:r>
    </w:p>
    <w:p w:rsidR="003D7E17" w:rsidRPr="00B86BCC" w:rsidRDefault="003D7E17">
      <w:pPr>
        <w:pStyle w:val="RecTitleDate"/>
        <w:rPr>
          <w:lang w:val="fr-CH"/>
        </w:rPr>
      </w:pPr>
      <w:r w:rsidRPr="00B86BCC">
        <w:rPr>
          <w:lang w:val="fr-CH"/>
        </w:rPr>
        <w:t>(2000)</w:t>
      </w:r>
    </w:p>
    <w:p w:rsidR="003D7E17" w:rsidRPr="00B86BCC" w:rsidRDefault="003D7E17">
      <w:pPr>
        <w:pStyle w:val="headfoot"/>
        <w:rPr>
          <w:lang w:val="fr-CH"/>
        </w:rPr>
      </w:pPr>
      <w:r w:rsidRPr="00B86BCC">
        <w:rPr>
          <w:lang w:val="fr-CH"/>
        </w:rPr>
        <w:t>Rec. ITU-R M.1459</w:t>
      </w:r>
    </w:p>
    <w:p w:rsidR="004175E0" w:rsidRPr="00976297" w:rsidRDefault="004175E0">
      <w:pPr>
        <w:rPr>
          <w:b/>
          <w:bCs/>
          <w:lang w:val="en-US"/>
          <w:rPrChange w:id="2" w:author="santosbo" w:date="2011-03-08T08:57:00Z">
            <w:rPr>
              <w:lang w:val="fr-FR"/>
            </w:rPr>
          </w:rPrChange>
        </w:rPr>
      </w:pPr>
      <w:r w:rsidRPr="00976297">
        <w:rPr>
          <w:b/>
          <w:bCs/>
          <w:lang w:val="en-US"/>
          <w:rPrChange w:id="3" w:author="santosbo" w:date="2011-03-08T08:57:00Z">
            <w:rPr>
              <w:lang w:val="fr-FR"/>
            </w:rPr>
          </w:rPrChange>
        </w:rPr>
        <w:t>Scope</w:t>
      </w:r>
    </w:p>
    <w:p w:rsidR="003D7E17" w:rsidRDefault="004175E0">
      <w:r w:rsidRPr="00A63186">
        <w:t>This Recommendation provides information on the protection criteria required for aeronautical telemetry systems operating in the frequency bands 1 45</w:t>
      </w:r>
      <w:smartTag w:uri="urn:schemas-microsoft-com:office:smarttags" w:element="PersonName">
        <w:r w:rsidRPr="00A63186">
          <w:t>2</w:t>
        </w:r>
      </w:smartTag>
      <w:r w:rsidRPr="00A63186">
        <w:t>-1 5</w:t>
      </w:r>
      <w:smartTag w:uri="urn:schemas-microsoft-com:office:smarttags" w:element="PersonName">
        <w:r w:rsidRPr="00A63186">
          <w:t>2</w:t>
        </w:r>
      </w:smartTag>
      <w:r w:rsidRPr="00A63186">
        <w:t xml:space="preserve">5 MHz and 2 310- </w:t>
      </w:r>
      <w:smartTag w:uri="urn:schemas-microsoft-com:office:smarttags" w:element="PersonName">
        <w:r w:rsidRPr="00A63186">
          <w:t>2</w:t>
        </w:r>
      </w:smartTag>
      <w:r w:rsidRPr="00A63186">
        <w:t xml:space="preserve"> 360 MHz and potential mitigation techniques that would facilitate sharing with geostationary broadcasting-satellite and mobile-satellite services.</w:t>
      </w:r>
    </w:p>
    <w:p w:rsidR="004175E0" w:rsidRDefault="004175E0"/>
    <w:p w:rsidR="003D7E17" w:rsidRDefault="003D7E17">
      <w:pPr>
        <w:pStyle w:val="Normalaftertitle"/>
      </w:pPr>
      <w:r>
        <w:t>The ITU Radiocommunication Assembly,</w:t>
      </w:r>
    </w:p>
    <w:p w:rsidR="003D7E17" w:rsidRDefault="003D7E17">
      <w:pPr>
        <w:pStyle w:val="call"/>
      </w:pPr>
      <w:r>
        <w:t>considering</w:t>
      </w:r>
    </w:p>
    <w:p w:rsidR="003D7E17" w:rsidRDefault="003D7E17" w:rsidP="00C02EC3">
      <w:r>
        <w:t>a)</w:t>
      </w:r>
      <w:r>
        <w:tab/>
        <w:t>that in Region 2, frequency allocations to the aeronautical mobile service for telemetry have a primary status in the band 1</w:t>
      </w:r>
      <w:r>
        <w:rPr>
          <w:rFonts w:ascii="Tms Rmn" w:hAnsi="Tms Rmn"/>
          <w:sz w:val="12"/>
        </w:rPr>
        <w:t> </w:t>
      </w:r>
      <w:r>
        <w:t>435-1</w:t>
      </w:r>
      <w:r>
        <w:rPr>
          <w:rFonts w:ascii="Tms Rmn" w:hAnsi="Tms Rmn"/>
          <w:sz w:val="12"/>
        </w:rPr>
        <w:t> </w:t>
      </w:r>
      <w:r>
        <w:t>525 MHz and have priority over other mobile services under RR No. 5.343;</w:t>
      </w:r>
    </w:p>
    <w:p w:rsidR="003D7E17" w:rsidRDefault="003D7E17" w:rsidP="00C02EC3">
      <w:r>
        <w:t>b)</w:t>
      </w:r>
      <w:r>
        <w:tab/>
        <w:t>that WARC-92 adopted an additional allocation in the band 1</w:t>
      </w:r>
      <w:r>
        <w:rPr>
          <w:rFonts w:ascii="Tms Rmn" w:hAnsi="Tms Rmn"/>
          <w:sz w:val="12"/>
        </w:rPr>
        <w:t> </w:t>
      </w:r>
      <w:r>
        <w:t>429-1</w:t>
      </w:r>
      <w:r>
        <w:rPr>
          <w:rFonts w:ascii="Tms Rmn" w:hAnsi="Tms Rmn"/>
          <w:sz w:val="12"/>
        </w:rPr>
        <w:t> </w:t>
      </w:r>
      <w:r>
        <w:t>535 MHz, on a primary basis to the aeronautical mobile service for Belarus, the Russian Federation and Ukraine to be used exclusively for aeronautical telemetry subject to RR No. 5.342;</w:t>
      </w:r>
    </w:p>
    <w:p w:rsidR="003D7E17" w:rsidRDefault="003D7E17" w:rsidP="00C02EC3">
      <w:r>
        <w:t>c)</w:t>
      </w:r>
      <w:r>
        <w:tab/>
        <w:t>that in accordance with the decision by WRC-95, in the United States of America, telemetry stations in the aeronautical mobile service have a primary status in the 2</w:t>
      </w:r>
      <w:r>
        <w:rPr>
          <w:rFonts w:ascii="Tms Rmn" w:hAnsi="Tms Rmn"/>
          <w:sz w:val="12"/>
        </w:rPr>
        <w:t> </w:t>
      </w:r>
      <w:r>
        <w:t>300-2</w:t>
      </w:r>
      <w:r>
        <w:rPr>
          <w:rFonts w:ascii="Tms Rmn" w:hAnsi="Tms Rmn"/>
          <w:sz w:val="12"/>
        </w:rPr>
        <w:t> </w:t>
      </w:r>
      <w:r>
        <w:t>390 MHz band and have priority over other mobile services under RR No. 5.394;</w:t>
      </w:r>
    </w:p>
    <w:p w:rsidR="003D7E17" w:rsidRDefault="003D7E17" w:rsidP="00C02EC3">
      <w:r>
        <w:t>d)</w:t>
      </w:r>
      <w:r>
        <w:tab/>
        <w:t>that in Canada, telemetry stations in the aeronautical mobile service have a primary status in the 2</w:t>
      </w:r>
      <w:r>
        <w:rPr>
          <w:rFonts w:ascii="Tms Rmn" w:hAnsi="Tms Rmn"/>
          <w:sz w:val="12"/>
        </w:rPr>
        <w:t> </w:t>
      </w:r>
      <w:r>
        <w:t>300</w:t>
      </w:r>
      <w:r>
        <w:noBreakHyphen/>
        <w:t>2</w:t>
      </w:r>
      <w:r>
        <w:rPr>
          <w:rFonts w:ascii="Tms Rmn" w:hAnsi="Tms Rmn"/>
          <w:sz w:val="12"/>
        </w:rPr>
        <w:t> </w:t>
      </w:r>
      <w:r>
        <w:t>483.5 MHz band and have priority over other mobile services under RR No. 5.394;</w:t>
      </w:r>
    </w:p>
    <w:p w:rsidR="003D7E17" w:rsidRDefault="003D7E17" w:rsidP="00C02EC3">
      <w:r>
        <w:t>e)</w:t>
      </w:r>
      <w:r>
        <w:tab/>
        <w:t>that in France, frequency assignments to telemetry stations in the aeronautical mobile service have a primary status in the 2</w:t>
      </w:r>
      <w:r>
        <w:rPr>
          <w:rFonts w:ascii="Tms Rmn" w:hAnsi="Tms Rmn"/>
          <w:sz w:val="12"/>
        </w:rPr>
        <w:t> </w:t>
      </w:r>
      <w:r>
        <w:t>310-2</w:t>
      </w:r>
      <w:r>
        <w:rPr>
          <w:rFonts w:ascii="Tms Rmn" w:hAnsi="Tms Rmn"/>
          <w:sz w:val="12"/>
        </w:rPr>
        <w:t> </w:t>
      </w:r>
      <w:r>
        <w:t>360 MHz band and have priority over other mobile services under RR No. 5.395;</w:t>
      </w:r>
    </w:p>
    <w:p w:rsidR="003D7E17" w:rsidRDefault="003D7E17">
      <w:r>
        <w:t>f)</w:t>
      </w:r>
      <w:r>
        <w:tab/>
        <w:t xml:space="preserve">that in Europe future airborne telemetry equipment should tune primarily to the frequency range </w:t>
      </w:r>
      <w:r>
        <w:rPr>
          <w:rFonts w:ascii="Tms Rmn" w:hAnsi="Tms Rmn"/>
        </w:rPr>
        <w:t>2</w:t>
      </w:r>
      <w:r>
        <w:rPr>
          <w:rFonts w:ascii="Tms Rmn" w:hAnsi="Tms Rmn"/>
          <w:sz w:val="12"/>
        </w:rPr>
        <w:t> </w:t>
      </w:r>
      <w:r>
        <w:rPr>
          <w:rFonts w:ascii="Tms Rmn" w:hAnsi="Tms Rmn"/>
        </w:rPr>
        <w:t>300</w:t>
      </w:r>
      <w:r>
        <w:rPr>
          <w:rFonts w:ascii="Tms Rmn" w:hAnsi="Tms Rmn"/>
        </w:rPr>
        <w:noBreakHyphen/>
      </w:r>
      <w:r>
        <w:t>2</w:t>
      </w:r>
      <w:r>
        <w:rPr>
          <w:rFonts w:ascii="Tms Rmn" w:hAnsi="Tms Rmn"/>
          <w:sz w:val="12"/>
        </w:rPr>
        <w:t> </w:t>
      </w:r>
      <w:r>
        <w:t>400 MHz;</w:t>
      </w:r>
    </w:p>
    <w:p w:rsidR="003D7E17" w:rsidRDefault="003D7E17" w:rsidP="00C02EC3">
      <w:r>
        <w:t>g)</w:t>
      </w:r>
      <w:r>
        <w:tab/>
        <w:t>that the band 1</w:t>
      </w:r>
      <w:r>
        <w:rPr>
          <w:rFonts w:ascii="Tms Rmn" w:hAnsi="Tms Rmn"/>
          <w:sz w:val="12"/>
        </w:rPr>
        <w:t> </w:t>
      </w:r>
      <w:r>
        <w:t>492-1</w:t>
      </w:r>
      <w:r>
        <w:rPr>
          <w:rFonts w:ascii="Tms Rmn" w:hAnsi="Tms Rmn"/>
          <w:sz w:val="12"/>
        </w:rPr>
        <w:t> </w:t>
      </w:r>
      <w:r>
        <w:t>525 MHz has been allocated to the MSS (space-to-Earth) in Region 2 taking account of the provisions of RR Nos. 5.348 and 5.348A;</w:t>
      </w:r>
    </w:p>
    <w:p w:rsidR="003D7E17" w:rsidRDefault="003D7E17" w:rsidP="00C02EC3">
      <w:r>
        <w:t>h)</w:t>
      </w:r>
      <w:r>
        <w:tab/>
        <w:t>that WARC-92 allocated the band 1</w:t>
      </w:r>
      <w:r>
        <w:rPr>
          <w:rFonts w:ascii="Tms Rmn" w:hAnsi="Tms Rmn"/>
          <w:sz w:val="12"/>
        </w:rPr>
        <w:t> </w:t>
      </w:r>
      <w:r>
        <w:t>452-1</w:t>
      </w:r>
      <w:r>
        <w:rPr>
          <w:rFonts w:ascii="Tms Rmn" w:hAnsi="Tms Rmn"/>
          <w:sz w:val="12"/>
        </w:rPr>
        <w:t> </w:t>
      </w:r>
      <w:r>
        <w:t>492 MHz on a primary basis to the BSS (digital sound broadcasting (DSB)) (see Note 1) and the broadcasting service (DSB) subject to the provisions of RR Nos. 5.345 and 5.347;</w:t>
      </w:r>
    </w:p>
    <w:p w:rsidR="003D7E17" w:rsidRDefault="003D7E17" w:rsidP="00C02EC3">
      <w:r>
        <w:t>j)</w:t>
      </w:r>
      <w:r>
        <w:tab/>
        <w:t>that at WARC-92, an additional allocation in the United States of America, India and Mexico of the 2</w:t>
      </w:r>
      <w:r>
        <w:rPr>
          <w:rFonts w:ascii="Tms Rmn" w:hAnsi="Tms Rmn"/>
          <w:sz w:val="12"/>
        </w:rPr>
        <w:t> </w:t>
      </w:r>
      <w:r>
        <w:t>310</w:t>
      </w:r>
      <w:r>
        <w:noBreakHyphen/>
        <w:t>2</w:t>
      </w:r>
      <w:r>
        <w:rPr>
          <w:rFonts w:ascii="Tms Rmn" w:hAnsi="Tms Rmn"/>
          <w:sz w:val="12"/>
        </w:rPr>
        <w:t> </w:t>
      </w:r>
      <w:r>
        <w:t>360 MHz band to BSS (DSB) and the broadcasting service (DSB) was made on a primary basis under RR No. 5.393;</w:t>
      </w:r>
    </w:p>
    <w:p w:rsidR="003D7E17" w:rsidRDefault="003D7E17" w:rsidP="00C02EC3">
      <w:r>
        <w:t>k)</w:t>
      </w:r>
      <w:r>
        <w:tab/>
        <w:t>that in the band 1</w:t>
      </w:r>
      <w:r>
        <w:rPr>
          <w:rFonts w:ascii="Tms Rmn" w:hAnsi="Tms Rmn"/>
          <w:sz w:val="12"/>
        </w:rPr>
        <w:t> </w:t>
      </w:r>
      <w:r>
        <w:t>452-1</w:t>
      </w:r>
      <w:r>
        <w:rPr>
          <w:rFonts w:ascii="Tms Rmn" w:hAnsi="Tms Rmn"/>
          <w:sz w:val="12"/>
        </w:rPr>
        <w:t> </w:t>
      </w:r>
      <w:r>
        <w:t>525 MHz, WARC-92 adopted an alternative allocation on a primary basis for the fixed and mobile services in the United States of America in accordance with RR No. 5.344;</w:t>
      </w:r>
    </w:p>
    <w:p w:rsidR="003D7E17" w:rsidRDefault="003D7E17" w:rsidP="00C02EC3">
      <w:r>
        <w:t>l)</w:t>
      </w:r>
      <w:r>
        <w:tab/>
        <w:t>that in Japan in the band 1</w:t>
      </w:r>
      <w:r>
        <w:rPr>
          <w:rFonts w:ascii="Tms Rmn" w:hAnsi="Tms Rmn"/>
          <w:sz w:val="12"/>
        </w:rPr>
        <w:t> </w:t>
      </w:r>
      <w:r>
        <w:t>492-1</w:t>
      </w:r>
      <w:r>
        <w:rPr>
          <w:rFonts w:ascii="Tms Rmn" w:hAnsi="Tms Rmn"/>
          <w:sz w:val="12"/>
        </w:rPr>
        <w:t> </w:t>
      </w:r>
      <w:r>
        <w:t>525 MHz, a coordination threshold of –150 dB(W/m</w:t>
      </w:r>
      <w:r>
        <w:rPr>
          <w:position w:val="6"/>
          <w:sz w:val="16"/>
        </w:rPr>
        <w:t>2</w:t>
      </w:r>
      <w:r>
        <w:t>) in any 4 kHz band for all angles of arrival was adopted at WRC-95 for the protection of specialized land mobile services in accordance with RR No. 5.348A;</w:t>
      </w:r>
    </w:p>
    <w:p w:rsidR="003D7E17" w:rsidRDefault="003D7E17">
      <w:r>
        <w:t>m)</w:t>
      </w:r>
      <w:r>
        <w:tab/>
        <w:t>that coordination is required under RR No. S9.11A and Resolution 528 (WARC-92);</w:t>
      </w:r>
    </w:p>
    <w:p w:rsidR="003D7E17" w:rsidRDefault="003D7E17">
      <w:r>
        <w:t>n)</w:t>
      </w:r>
      <w:r>
        <w:tab/>
        <w:t>that Resolutions 528 (WARC-92) and 213 (Rev.WRC</w:t>
      </w:r>
      <w:r>
        <w:noBreakHyphen/>
        <w:t>95) invited the ITU-R to conduct the necessary studies prior to the next competent WRC;</w:t>
      </w:r>
    </w:p>
    <w:p w:rsidR="003D7E17" w:rsidRDefault="003D7E17">
      <w:pPr>
        <w:rPr>
          <w:i/>
        </w:rPr>
      </w:pPr>
      <w:r>
        <w:lastRenderedPageBreak/>
        <w:t>o)</w:t>
      </w:r>
      <w:r>
        <w:tab/>
        <w:t>that additional studies have been introduced in the ITU-R for determining the probability of interference to telemetry stations in the aeronautical mobile service which could lead to less stringent protection values, and that these studies are expected to continue;</w:t>
      </w:r>
    </w:p>
    <w:p w:rsidR="003D7E17" w:rsidRDefault="003D7E17">
      <w:r>
        <w:t>p)</w:t>
      </w:r>
      <w:r>
        <w:tab/>
        <w:t xml:space="preserve">that telemetry stations in the aeronautical mobile service have a wide range of characteristics and some may have less stringent protection criteria values than those contained in the </w:t>
      </w:r>
      <w:r>
        <w:rPr>
          <w:i/>
        </w:rPr>
        <w:t>recommends</w:t>
      </w:r>
      <w:r>
        <w:t>,</w:t>
      </w:r>
    </w:p>
    <w:p w:rsidR="003D7E17" w:rsidRDefault="003D7E17">
      <w:pPr>
        <w:pStyle w:val="call"/>
      </w:pPr>
      <w:r>
        <w:t>recommends</w:t>
      </w:r>
    </w:p>
    <w:p w:rsidR="003D7E17" w:rsidRDefault="003D7E17">
      <w:r>
        <w:rPr>
          <w:b/>
          <w:bCs/>
        </w:rPr>
        <w:t>1</w:t>
      </w:r>
      <w:r>
        <w:tab/>
        <w:t>that the values needed for protection of the aeronautical mobile service for telemetry systems in the 1</w:t>
      </w:r>
      <w:r>
        <w:rPr>
          <w:rFonts w:ascii="Tms Rmn" w:hAnsi="Tms Rmn"/>
          <w:sz w:val="12"/>
        </w:rPr>
        <w:t> </w:t>
      </w:r>
      <w:r>
        <w:t>452</w:t>
      </w:r>
      <w:r>
        <w:noBreakHyphen/>
        <w:t>1</w:t>
      </w:r>
      <w:r>
        <w:rPr>
          <w:rFonts w:ascii="Tms Rmn" w:hAnsi="Tms Rmn"/>
          <w:sz w:val="12"/>
        </w:rPr>
        <w:t> </w:t>
      </w:r>
      <w:r>
        <w:t>525 MHz band shared with geostationary satellites in the BSS (DSB) or the MSS, should be determined by the following (see Note 4):</w:t>
      </w:r>
    </w:p>
    <w:p w:rsidR="003D7E17" w:rsidRDefault="003D7E17">
      <w:pPr>
        <w:pStyle w:val="enumlev1"/>
      </w:pPr>
      <w:r>
        <w:t>–</w:t>
      </w:r>
      <w:r>
        <w:tab/>
        <w:t>for geostationary satellites visible to any aeronautical telemetry receiving station, the protection value corresponds to a pfd at the telemetry receiving station in any 4 kHz band for all methods of modulation:</w:t>
      </w:r>
    </w:p>
    <w:p w:rsidR="003D7E17" w:rsidRDefault="003D7E17">
      <w:pPr>
        <w:pStyle w:val="enumlev2"/>
        <w:tabs>
          <w:tab w:val="left" w:pos="2552"/>
          <w:tab w:val="left" w:pos="4395"/>
          <w:tab w:val="right" w:pos="5245"/>
          <w:tab w:val="left" w:pos="5387"/>
          <w:tab w:val="left" w:pos="5670"/>
          <w:tab w:val="left" w:pos="5954"/>
          <w:tab w:val="right" w:pos="6521"/>
        </w:tabs>
      </w:pPr>
      <w:r>
        <w:t>–181.0</w:t>
      </w:r>
      <w:r>
        <w:tab/>
        <w:t>dB(W/m</w:t>
      </w:r>
      <w:r>
        <w:rPr>
          <w:position w:val="6"/>
          <w:sz w:val="16"/>
        </w:rPr>
        <w:t>2</w:t>
      </w:r>
      <w:r>
        <w:t>)</w:t>
      </w:r>
      <w:r>
        <w:tab/>
        <w:t>for</w:t>
      </w:r>
      <w:r>
        <w:tab/>
        <w:t>0</w:t>
      </w:r>
      <w:r>
        <w:rPr>
          <w:rFonts w:ascii="Symbol" w:hAnsi="Symbol"/>
          <w:lang w:val="fr-FR"/>
        </w:rPr>
        <w:t></w:t>
      </w:r>
      <w:r>
        <w:tab/>
      </w:r>
      <w:r>
        <w:rPr>
          <w:rFonts w:ascii="Symbol" w:hAnsi="Symbol"/>
          <w:lang w:val="fr-FR"/>
        </w:rPr>
        <w:sym w:font="Symbol" w:char="F0A3"/>
      </w:r>
      <w:r>
        <w:tab/>
      </w:r>
      <w:r>
        <w:rPr>
          <w:rFonts w:ascii="Symbol" w:hAnsi="Symbol"/>
          <w:iCs/>
          <w:lang w:val="fr-FR"/>
        </w:rPr>
        <w:sym w:font="Symbol" w:char="F061"/>
      </w:r>
      <w:r>
        <w:tab/>
      </w:r>
      <w:r>
        <w:rPr>
          <w:rFonts w:ascii="Symbol" w:hAnsi="Symbol"/>
          <w:lang w:val="fr-FR"/>
        </w:rPr>
        <w:sym w:font="Symbol" w:char="F0A3"/>
      </w:r>
      <w:r>
        <w:tab/>
        <w:t>4</w:t>
      </w:r>
      <w:r>
        <w:rPr>
          <w:rFonts w:ascii="Symbol" w:hAnsi="Symbol"/>
          <w:lang w:val="fr-FR"/>
        </w:rPr>
        <w:sym w:font="Symbol" w:char="F0B0"/>
      </w:r>
    </w:p>
    <w:p w:rsidR="003D7E17" w:rsidRDefault="003D7E17">
      <w:pPr>
        <w:pStyle w:val="enumlev2"/>
        <w:tabs>
          <w:tab w:val="left" w:pos="1871"/>
          <w:tab w:val="left" w:pos="2552"/>
          <w:tab w:val="left" w:pos="4395"/>
          <w:tab w:val="right" w:pos="5245"/>
          <w:tab w:val="left" w:pos="5387"/>
          <w:tab w:val="left" w:pos="5670"/>
          <w:tab w:val="left" w:pos="5954"/>
          <w:tab w:val="right" w:pos="6521"/>
        </w:tabs>
      </w:pPr>
      <w:r>
        <w:t xml:space="preserve">–193.0 </w:t>
      </w:r>
      <w:r>
        <w:rPr>
          <w:rFonts w:ascii="Symbol" w:hAnsi="Symbol"/>
          <w:lang w:val="fr-FR"/>
        </w:rPr>
        <w:t></w:t>
      </w:r>
      <w:r>
        <w:t xml:space="preserve"> 20 log </w:t>
      </w:r>
      <w:r>
        <w:rPr>
          <w:rFonts w:ascii="Symbol" w:hAnsi="Symbol"/>
          <w:iCs/>
          <w:lang w:val="fr-FR"/>
        </w:rPr>
        <w:sym w:font="Symbol" w:char="F061"/>
      </w:r>
      <w:r>
        <w:rPr>
          <w:rFonts w:ascii="Symbol" w:hAnsi="Symbol"/>
          <w:iCs/>
        </w:rPr>
        <w:tab/>
      </w:r>
      <w:r>
        <w:tab/>
        <w:t>dB(W/m</w:t>
      </w:r>
      <w:r>
        <w:rPr>
          <w:position w:val="6"/>
          <w:sz w:val="16"/>
        </w:rPr>
        <w:t>2</w:t>
      </w:r>
      <w:r>
        <w:t>)</w:t>
      </w:r>
      <w:r>
        <w:tab/>
        <w:t>for</w:t>
      </w:r>
      <w:r>
        <w:tab/>
        <w:t>4</w:t>
      </w:r>
      <w:r>
        <w:rPr>
          <w:rFonts w:ascii="Symbol" w:hAnsi="Symbol"/>
          <w:lang w:val="fr-FR"/>
        </w:rPr>
        <w:sym w:font="Symbol" w:char="F0B0"/>
      </w:r>
      <w:r>
        <w:tab/>
      </w:r>
      <w:r>
        <w:rPr>
          <w:rFonts w:ascii="Symbol" w:hAnsi="Symbol"/>
          <w:lang w:val="fr-FR"/>
        </w:rPr>
        <w:t></w:t>
      </w:r>
      <w:r>
        <w:tab/>
      </w:r>
      <w:r>
        <w:rPr>
          <w:rFonts w:ascii="Symbol" w:hAnsi="Symbol"/>
          <w:iCs/>
          <w:lang w:val="fr-FR"/>
        </w:rPr>
        <w:sym w:font="Symbol" w:char="F061"/>
      </w:r>
      <w:r>
        <w:tab/>
      </w:r>
      <w:r>
        <w:rPr>
          <w:rFonts w:ascii="Symbol" w:hAnsi="Symbol"/>
          <w:lang w:val="fr-FR"/>
        </w:rPr>
        <w:sym w:font="Symbol" w:char="F0A3"/>
      </w:r>
      <w:r>
        <w:tab/>
        <w:t>20</w:t>
      </w:r>
      <w:r>
        <w:rPr>
          <w:rFonts w:ascii="Symbol" w:hAnsi="Symbol"/>
          <w:lang w:val="fr-FR"/>
        </w:rPr>
        <w:sym w:font="Symbol" w:char="F0B0"/>
      </w:r>
    </w:p>
    <w:p w:rsidR="003D7E17" w:rsidRDefault="003D7E17">
      <w:pPr>
        <w:pStyle w:val="enumlev2"/>
        <w:tabs>
          <w:tab w:val="left" w:pos="1871"/>
          <w:tab w:val="left" w:pos="2552"/>
          <w:tab w:val="left" w:pos="4395"/>
          <w:tab w:val="right" w:pos="5245"/>
          <w:tab w:val="left" w:pos="5387"/>
          <w:tab w:val="left" w:pos="5670"/>
          <w:tab w:val="left" w:pos="5954"/>
          <w:tab w:val="right" w:pos="6521"/>
        </w:tabs>
      </w:pPr>
      <w:r>
        <w:t xml:space="preserve">–213.3 </w:t>
      </w:r>
      <w:r>
        <w:rPr>
          <w:rFonts w:ascii="Symbol" w:hAnsi="Symbol"/>
          <w:lang w:val="fr-FR"/>
        </w:rPr>
        <w:t></w:t>
      </w:r>
      <w:r>
        <w:t xml:space="preserve"> 35.6 log </w:t>
      </w:r>
      <w:r>
        <w:rPr>
          <w:rFonts w:ascii="Symbol" w:hAnsi="Symbol"/>
          <w:iCs/>
          <w:lang w:val="fr-FR"/>
        </w:rPr>
        <w:sym w:font="Symbol" w:char="F061"/>
      </w:r>
      <w:r>
        <w:tab/>
        <w:t>dB(W/m</w:t>
      </w:r>
      <w:r>
        <w:rPr>
          <w:position w:val="6"/>
          <w:sz w:val="16"/>
        </w:rPr>
        <w:t>2</w:t>
      </w:r>
      <w:r>
        <w:t>)</w:t>
      </w:r>
      <w:r>
        <w:tab/>
        <w:t>for</w:t>
      </w:r>
      <w:r>
        <w:tab/>
        <w:t>20</w:t>
      </w:r>
      <w:r>
        <w:rPr>
          <w:lang w:val="fr-FR"/>
        </w:rPr>
        <w:sym w:font="Symbol" w:char="F0B0"/>
      </w:r>
      <w:r>
        <w:tab/>
      </w:r>
      <w:r>
        <w:rPr>
          <w:rFonts w:ascii="Symbol" w:hAnsi="Symbol"/>
          <w:lang w:val="fr-FR"/>
        </w:rPr>
        <w:t></w:t>
      </w:r>
      <w:r>
        <w:tab/>
      </w:r>
      <w:r>
        <w:rPr>
          <w:rFonts w:ascii="Symbol" w:hAnsi="Symbol"/>
          <w:iCs/>
          <w:lang w:val="fr-FR"/>
        </w:rPr>
        <w:sym w:font="Symbol" w:char="F061"/>
      </w:r>
      <w:r>
        <w:tab/>
      </w:r>
      <w:r>
        <w:rPr>
          <w:rFonts w:ascii="Symbol" w:hAnsi="Symbol"/>
          <w:lang w:val="fr-FR"/>
        </w:rPr>
        <w:sym w:font="Symbol" w:char="F0A3"/>
      </w:r>
      <w:r>
        <w:tab/>
        <w:t>60</w:t>
      </w:r>
      <w:r>
        <w:rPr>
          <w:rFonts w:ascii="Symbol" w:hAnsi="Symbol"/>
          <w:lang w:val="fr-FR"/>
        </w:rPr>
        <w:sym w:font="Symbol" w:char="F0B0"/>
      </w:r>
    </w:p>
    <w:p w:rsidR="003D7E17" w:rsidRDefault="003D7E17">
      <w:pPr>
        <w:pStyle w:val="enumlev2"/>
        <w:tabs>
          <w:tab w:val="left" w:pos="2552"/>
          <w:tab w:val="left" w:pos="4395"/>
          <w:tab w:val="right" w:pos="5245"/>
          <w:tab w:val="left" w:pos="5387"/>
          <w:tab w:val="left" w:pos="5670"/>
          <w:tab w:val="left" w:pos="5954"/>
          <w:tab w:val="right" w:pos="6521"/>
        </w:tabs>
      </w:pPr>
      <w:r>
        <w:t>–150.0</w:t>
      </w:r>
      <w:r>
        <w:tab/>
        <w:t>dB(W/m</w:t>
      </w:r>
      <w:r>
        <w:rPr>
          <w:position w:val="6"/>
          <w:sz w:val="16"/>
        </w:rPr>
        <w:t>2</w:t>
      </w:r>
      <w:r>
        <w:t>)</w:t>
      </w:r>
      <w:r>
        <w:tab/>
        <w:t>for</w:t>
      </w:r>
      <w:r>
        <w:tab/>
        <w:t>60</w:t>
      </w:r>
      <w:r>
        <w:rPr>
          <w:lang w:val="fr-FR"/>
        </w:rPr>
        <w:sym w:font="Symbol" w:char="F0B0"/>
      </w:r>
      <w:r>
        <w:tab/>
      </w:r>
      <w:r>
        <w:rPr>
          <w:rFonts w:ascii="Symbol" w:hAnsi="Symbol"/>
          <w:lang w:val="fr-FR"/>
        </w:rPr>
        <w:t></w:t>
      </w:r>
      <w:r>
        <w:tab/>
      </w:r>
      <w:r>
        <w:rPr>
          <w:rFonts w:ascii="Symbol" w:hAnsi="Symbol"/>
          <w:iCs/>
          <w:lang w:val="fr-FR"/>
        </w:rPr>
        <w:sym w:font="Symbol" w:char="F061"/>
      </w:r>
      <w:r>
        <w:tab/>
      </w:r>
      <w:r>
        <w:rPr>
          <w:rFonts w:ascii="Symbol" w:hAnsi="Symbol"/>
          <w:lang w:val="fr-FR"/>
        </w:rPr>
        <w:sym w:font="Symbol" w:char="F0A3"/>
      </w:r>
      <w:r>
        <w:tab/>
        <w:t>90</w:t>
      </w:r>
      <w:r>
        <w:rPr>
          <w:lang w:val="fr-FR"/>
        </w:rPr>
        <w:sym w:font="Symbol" w:char="F0B0"/>
      </w:r>
    </w:p>
    <w:p w:rsidR="003D7E17" w:rsidRDefault="003D7E17">
      <w:r>
        <w:t xml:space="preserve">where </w:t>
      </w:r>
      <w:r>
        <w:rPr>
          <w:iCs/>
        </w:rPr>
        <w:sym w:font="Symbol" w:char="F061"/>
      </w:r>
      <w:r>
        <w:t xml:space="preserve"> is the angle of arrival (degrees above the horizontal plane);</w:t>
      </w:r>
    </w:p>
    <w:p w:rsidR="003D7E17" w:rsidRDefault="003D7E17">
      <w:r>
        <w:rPr>
          <w:b/>
          <w:bCs/>
        </w:rPr>
        <w:t>2</w:t>
      </w:r>
      <w:r>
        <w:tab/>
        <w:t>that the values needed for protection of the aeronautical mobile service for telemetry systems in the 2</w:t>
      </w:r>
      <w:r>
        <w:rPr>
          <w:rFonts w:ascii="Tms Rmn" w:hAnsi="Tms Rmn"/>
          <w:sz w:val="12"/>
        </w:rPr>
        <w:t> </w:t>
      </w:r>
      <w:r>
        <w:t>310</w:t>
      </w:r>
      <w:r>
        <w:noBreakHyphen/>
        <w:t>2</w:t>
      </w:r>
      <w:r>
        <w:rPr>
          <w:rFonts w:ascii="Tms Rmn" w:hAnsi="Tms Rmn"/>
          <w:sz w:val="12"/>
        </w:rPr>
        <w:t> </w:t>
      </w:r>
      <w:r>
        <w:t>360 MHz band shared with the BSS (DSB) should be determined by the following (see Note 4):</w:t>
      </w:r>
    </w:p>
    <w:p w:rsidR="003D7E17" w:rsidRDefault="003D7E17">
      <w:pPr>
        <w:pStyle w:val="enumlev1"/>
      </w:pPr>
      <w:r>
        <w:t>–</w:t>
      </w:r>
      <w:r>
        <w:tab/>
        <w:t>for geostationary satellites visible to any aeronautical telemetry receiving station, the protection value corresponds to a pfd at the telemetry receiving station in any 4 kHz band for all methods of modulation:</w:t>
      </w:r>
    </w:p>
    <w:p w:rsidR="003D7E17" w:rsidRDefault="003D7E17">
      <w:pPr>
        <w:pStyle w:val="enumlev2"/>
        <w:tabs>
          <w:tab w:val="left" w:pos="2552"/>
          <w:tab w:val="left" w:pos="4395"/>
          <w:tab w:val="decimal" w:pos="5103"/>
          <w:tab w:val="left" w:pos="5387"/>
          <w:tab w:val="left" w:pos="5670"/>
          <w:tab w:val="left" w:pos="5954"/>
          <w:tab w:val="decimal" w:pos="6379"/>
          <w:tab w:val="right" w:pos="6521"/>
        </w:tabs>
      </w:pPr>
      <w:r>
        <w:t>–180.0</w:t>
      </w:r>
      <w:r>
        <w:tab/>
        <w:t>dB(W/m</w:t>
      </w:r>
      <w:r>
        <w:rPr>
          <w:position w:val="6"/>
          <w:sz w:val="16"/>
        </w:rPr>
        <w:t>2</w:t>
      </w:r>
      <w:r>
        <w:t>)</w:t>
      </w:r>
      <w:r>
        <w:tab/>
        <w:t>for</w:t>
      </w:r>
      <w:r>
        <w:tab/>
        <w:t>0</w:t>
      </w:r>
      <w:r>
        <w:rPr>
          <w:rFonts w:ascii="Symbol" w:hAnsi="Symbol"/>
          <w:lang w:val="fr-FR"/>
        </w:rPr>
        <w:sym w:font="Symbol" w:char="F0B0"/>
      </w:r>
      <w:r>
        <w:tab/>
      </w:r>
      <w:r>
        <w:rPr>
          <w:rFonts w:ascii="Symbol" w:hAnsi="Symbol"/>
          <w:lang w:val="fr-FR"/>
        </w:rPr>
        <w:sym w:font="Symbol" w:char="F0A3"/>
      </w:r>
      <w:r>
        <w:tab/>
      </w:r>
      <w:r>
        <w:rPr>
          <w:rFonts w:ascii="Symbol" w:hAnsi="Symbol"/>
          <w:lang w:val="fr-FR"/>
        </w:rPr>
        <w:sym w:font="Symbol" w:char="F061"/>
      </w:r>
      <w:r>
        <w:tab/>
      </w:r>
      <w:r>
        <w:rPr>
          <w:rFonts w:ascii="Symbol" w:hAnsi="Symbol"/>
          <w:lang w:val="fr-FR"/>
        </w:rPr>
        <w:sym w:font="Symbol" w:char="F0A3"/>
      </w:r>
      <w:r>
        <w:tab/>
        <w:t>2</w:t>
      </w:r>
      <w:r>
        <w:rPr>
          <w:rFonts w:ascii="Symbol" w:hAnsi="Symbol"/>
          <w:lang w:val="fr-FR"/>
        </w:rPr>
        <w:sym w:font="Symbol" w:char="F0B0"/>
      </w:r>
    </w:p>
    <w:p w:rsidR="003D7E17" w:rsidRDefault="003D7E17">
      <w:pPr>
        <w:pStyle w:val="enumlev2"/>
        <w:tabs>
          <w:tab w:val="left" w:pos="2552"/>
          <w:tab w:val="left" w:pos="4395"/>
          <w:tab w:val="decimal" w:pos="5103"/>
          <w:tab w:val="left" w:pos="5387"/>
          <w:tab w:val="left" w:pos="5670"/>
          <w:tab w:val="left" w:pos="5954"/>
          <w:tab w:val="decimal" w:pos="6379"/>
          <w:tab w:val="right" w:pos="6521"/>
        </w:tabs>
        <w:ind w:left="0" w:firstLine="397"/>
      </w:pPr>
      <w:r>
        <w:t xml:space="preserve">–187.1 </w:t>
      </w:r>
      <w:r>
        <w:rPr>
          <w:rFonts w:ascii="Symbol" w:hAnsi="Symbol"/>
          <w:lang w:val="fr-FR"/>
        </w:rPr>
        <w:t></w:t>
      </w:r>
      <w:r>
        <w:t xml:space="preserve"> 23.66 log </w:t>
      </w:r>
      <w:r>
        <w:rPr>
          <w:rFonts w:ascii="Symbol" w:hAnsi="Symbol"/>
          <w:iCs/>
          <w:lang w:val="fr-FR"/>
        </w:rPr>
        <w:sym w:font="Symbol" w:char="F061"/>
      </w:r>
      <w:r>
        <w:tab/>
        <w:t>dB(W/m</w:t>
      </w:r>
      <w:r>
        <w:rPr>
          <w:position w:val="6"/>
          <w:sz w:val="16"/>
        </w:rPr>
        <w:t>2</w:t>
      </w:r>
      <w:r>
        <w:t>)</w:t>
      </w:r>
      <w:r>
        <w:tab/>
        <w:t>for</w:t>
      </w:r>
      <w:r>
        <w:tab/>
        <w:t>2</w:t>
      </w:r>
      <w:r>
        <w:rPr>
          <w:rFonts w:ascii="Symbol" w:hAnsi="Symbol"/>
          <w:lang w:val="fr-FR"/>
        </w:rPr>
        <w:sym w:font="Symbol" w:char="F0B0"/>
      </w:r>
      <w:r>
        <w:tab/>
      </w:r>
      <w:r>
        <w:rPr>
          <w:rFonts w:ascii="Symbol" w:hAnsi="Symbol"/>
        </w:rPr>
        <w:t></w:t>
      </w:r>
      <w:r>
        <w:tab/>
      </w:r>
      <w:r>
        <w:rPr>
          <w:rFonts w:ascii="Symbol" w:hAnsi="Symbol"/>
          <w:lang w:val="fr-FR"/>
        </w:rPr>
        <w:sym w:font="Symbol" w:char="F061"/>
      </w:r>
      <w:r>
        <w:tab/>
      </w:r>
      <w:r>
        <w:rPr>
          <w:rFonts w:ascii="Symbol" w:hAnsi="Symbol"/>
          <w:lang w:val="fr-FR"/>
        </w:rPr>
        <w:sym w:font="Symbol" w:char="F0A3"/>
      </w:r>
      <w:r>
        <w:tab/>
        <w:t>11,5</w:t>
      </w:r>
      <w:r>
        <w:rPr>
          <w:rFonts w:ascii="Symbol" w:hAnsi="Symbol"/>
          <w:lang w:val="fr-FR"/>
        </w:rPr>
        <w:sym w:font="Symbol" w:char="F0B0"/>
      </w:r>
    </w:p>
    <w:p w:rsidR="003D7E17" w:rsidRDefault="003D7E17">
      <w:pPr>
        <w:pStyle w:val="enumlev2"/>
        <w:tabs>
          <w:tab w:val="left" w:pos="2552"/>
          <w:tab w:val="left" w:pos="4395"/>
          <w:tab w:val="decimal" w:pos="5103"/>
          <w:tab w:val="left" w:pos="5387"/>
          <w:tab w:val="left" w:pos="5670"/>
          <w:tab w:val="left" w:pos="5954"/>
          <w:tab w:val="decimal" w:pos="6379"/>
          <w:tab w:val="right" w:pos="6521"/>
        </w:tabs>
      </w:pPr>
      <w:r>
        <w:t>–162</w:t>
      </w:r>
      <w:r>
        <w:tab/>
        <w:t>dB(W/m</w:t>
      </w:r>
      <w:r>
        <w:rPr>
          <w:position w:val="6"/>
          <w:sz w:val="16"/>
        </w:rPr>
        <w:t>2</w:t>
      </w:r>
      <w:r>
        <w:t>)</w:t>
      </w:r>
      <w:r>
        <w:tab/>
        <w:t>for</w:t>
      </w:r>
      <w:r>
        <w:tab/>
        <w:t>11.5</w:t>
      </w:r>
      <w:r>
        <w:rPr>
          <w:rFonts w:ascii="Symbol" w:hAnsi="Symbol"/>
          <w:lang w:val="fr-FR"/>
        </w:rPr>
        <w:sym w:font="Symbol" w:char="F0B0"/>
      </w:r>
      <w:r>
        <w:tab/>
      </w:r>
      <w:r>
        <w:rPr>
          <w:rFonts w:ascii="Symbol" w:hAnsi="Symbol"/>
        </w:rPr>
        <w:t></w:t>
      </w:r>
      <w:r>
        <w:tab/>
      </w:r>
      <w:r>
        <w:rPr>
          <w:rFonts w:ascii="Symbol" w:hAnsi="Symbol"/>
          <w:lang w:val="fr-FR"/>
        </w:rPr>
        <w:sym w:font="Symbol" w:char="F061"/>
      </w:r>
      <w:r>
        <w:tab/>
      </w:r>
      <w:r>
        <w:rPr>
          <w:rFonts w:ascii="Symbol" w:hAnsi="Symbol"/>
          <w:lang w:val="fr-FR"/>
        </w:rPr>
        <w:sym w:font="Symbol" w:char="F0A3"/>
      </w:r>
      <w:r>
        <w:tab/>
        <w:t>90</w:t>
      </w:r>
      <w:r>
        <w:rPr>
          <w:rFonts w:ascii="Symbol" w:hAnsi="Symbol"/>
          <w:lang w:val="fr-FR"/>
        </w:rPr>
        <w:sym w:font="Symbol" w:char="F0B0"/>
      </w:r>
    </w:p>
    <w:p w:rsidR="003D7E17" w:rsidRDefault="003D7E17">
      <w:r>
        <w:t xml:space="preserve">where </w:t>
      </w:r>
      <w:r>
        <w:rPr>
          <w:iCs/>
        </w:rPr>
        <w:sym w:font="Symbol" w:char="F061"/>
      </w:r>
      <w:r>
        <w:t xml:space="preserve"> is the angle of arrival (degrees above the horizontal plane);</w:t>
      </w:r>
    </w:p>
    <w:p w:rsidR="003D7E17" w:rsidRDefault="003D7E17">
      <w:r>
        <w:rPr>
          <w:b/>
          <w:bCs/>
        </w:rPr>
        <w:t>3</w:t>
      </w:r>
      <w:r>
        <w:tab/>
        <w:t>that the calculation methods and mitigation techniques given in Annexes 1 and 2 may be used, as applicable, for determining the probability of interference to telemetry systems in the aeronautical mobile service.</w:t>
      </w:r>
    </w:p>
    <w:p w:rsidR="003D7E17" w:rsidRDefault="003D7E17" w:rsidP="00C02EC3">
      <w:pPr>
        <w:pStyle w:val="Note"/>
      </w:pPr>
      <w:r>
        <w:t xml:space="preserve">NOTE 1 – DSB refers to digital audio broadcasting as per RR Nos. 5.345 and </w:t>
      </w:r>
      <w:bookmarkStart w:id="4" w:name="_GoBack"/>
      <w:bookmarkEnd w:id="4"/>
      <w:r>
        <w:t>5.393.</w:t>
      </w:r>
    </w:p>
    <w:p w:rsidR="003D7E17" w:rsidRDefault="003D7E17">
      <w:pPr>
        <w:pStyle w:val="Note"/>
      </w:pPr>
      <w:r>
        <w:t>NOTE 2 – The example calculation used to derive the protection values as set out in Annex 1 represent a worst-case scenario. Mitigation techniques given in Annex 2 may enhance sharing.</w:t>
      </w:r>
    </w:p>
    <w:p w:rsidR="003D7E17" w:rsidRDefault="003D7E17">
      <w:pPr>
        <w:pStyle w:val="Note"/>
      </w:pPr>
      <w:r>
        <w:t>NOTE 3 – As safety of life aspects are to be considered with mobile aeronautical telemetry systems and efficient use of the spectrum allocated by WARC-92 to the BSS (sound) appears not to be possible, attention is drawn to studies being conducted under Question ITU-R 204/10 (see Recommendation ITU-R BO.1383).</w:t>
      </w:r>
    </w:p>
    <w:p w:rsidR="003D7E17" w:rsidRDefault="003D7E17">
      <w:pPr>
        <w:pStyle w:val="Note"/>
        <w:rPr>
          <w:u w:val="single"/>
        </w:rPr>
      </w:pPr>
      <w:r>
        <w:t>NOTE 4 – Administrations are encouraged to submit information to ITU</w:t>
      </w:r>
      <w:r>
        <w:noBreakHyphen/>
        <w:t>R concerning performance and availability targets for the mobile aeronautical telemetry service with a view to developing an appropriate ITU</w:t>
      </w:r>
      <w:r>
        <w:noBreakHyphen/>
        <w:t>R Recommendation.</w:t>
      </w:r>
    </w:p>
    <w:p w:rsidR="003D7E17" w:rsidRDefault="003D7E17"/>
    <w:p w:rsidR="003D7E17" w:rsidRDefault="003D7E17"/>
    <w:p w:rsidR="003D7E17" w:rsidRDefault="003D7E17"/>
    <w:p w:rsidR="003D7E17" w:rsidRDefault="003D7E17">
      <w:pPr>
        <w:pStyle w:val="Annex"/>
      </w:pPr>
      <w:r>
        <w:t>ANNEX  1</w:t>
      </w:r>
    </w:p>
    <w:p w:rsidR="003D7E17" w:rsidRDefault="003D7E17">
      <w:pPr>
        <w:pStyle w:val="AnnexTitle"/>
      </w:pPr>
      <w:r>
        <w:t>Calculation of pfd interference levels to aeronautical mobile</w:t>
      </w:r>
      <w:r>
        <w:br/>
        <w:t>telemetry systems from geostationary satellite emissions</w:t>
      </w:r>
    </w:p>
    <w:p w:rsidR="003D7E17" w:rsidRDefault="003D7E17">
      <w:pPr>
        <w:pStyle w:val="Heading1"/>
      </w:pPr>
      <w:r>
        <w:t>1</w:t>
      </w:r>
      <w:r>
        <w:tab/>
        <w:t>Introduction</w:t>
      </w:r>
    </w:p>
    <w:p w:rsidR="003D7E17" w:rsidRDefault="003D7E17">
      <w:r>
        <w:t>The analyses and results given in the following sections of this Annex are for the purpose of calculating interference to aeronautical mobile telemetry systems.</w:t>
      </w:r>
    </w:p>
    <w:p w:rsidR="003D7E17" w:rsidRDefault="003D7E17">
      <w:pPr>
        <w:pStyle w:val="Heading1"/>
      </w:pPr>
      <w:r>
        <w:br w:type="page"/>
      </w:r>
      <w:r>
        <w:lastRenderedPageBreak/>
        <w:t>2</w:t>
      </w:r>
      <w:r>
        <w:tab/>
        <w:t>Development of values</w:t>
      </w:r>
    </w:p>
    <w:p w:rsidR="003D7E17" w:rsidRDefault="003D7E17">
      <w:r>
        <w:t>The following development can be used in general, but the numerical values are for the 1</w:t>
      </w:r>
      <w:r>
        <w:rPr>
          <w:rFonts w:ascii="Tms Rmn" w:hAnsi="Tms Rmn"/>
          <w:sz w:val="12"/>
        </w:rPr>
        <w:t> </w:t>
      </w:r>
      <w:r>
        <w:t>452-1</w:t>
      </w:r>
      <w:r>
        <w:rPr>
          <w:rFonts w:ascii="Tms Rmn" w:hAnsi="Tms Rmn"/>
          <w:sz w:val="12"/>
        </w:rPr>
        <w:t> </w:t>
      </w:r>
      <w:r>
        <w:t>525 MHz band.</w:t>
      </w:r>
    </w:p>
    <w:p w:rsidR="003D7E17" w:rsidRDefault="003D7E17">
      <w:pPr>
        <w:pStyle w:val="Heading2"/>
      </w:pPr>
      <w:r>
        <w:t>2.1</w:t>
      </w:r>
      <w:r>
        <w:tab/>
        <w:t>Telemetry system characteristics</w:t>
      </w:r>
    </w:p>
    <w:p w:rsidR="003D7E17" w:rsidRDefault="003D7E17">
      <w:r>
        <w:t>General system characteristics are given in the CPM Report to WARC-92 and are as follows. Aeronautical telemetry and telecommand operations are used for flight testing of manned and unmanned aerospace vehicles. Vehicles are tested to their design limits, thus making safety of flight dependent on the reliability of information received on a real-time basis. When being tested to design limits, signal strength loss can exceed 30 dB due to nulls in the aircraft antenna pattern caused by aircraft attitude changes.</w:t>
      </w:r>
    </w:p>
    <w:p w:rsidR="003D7E17" w:rsidRDefault="003D7E17">
      <w:pPr>
        <w:pStyle w:val="enumlev1"/>
        <w:tabs>
          <w:tab w:val="left" w:pos="3544"/>
        </w:tabs>
      </w:pPr>
      <w:r>
        <w:t xml:space="preserve">Required </w:t>
      </w:r>
      <w:r>
        <w:rPr>
          <w:i/>
          <w:iCs/>
        </w:rPr>
        <w:t>C</w:t>
      </w:r>
      <w:r>
        <w:t>/</w:t>
      </w:r>
      <w:r>
        <w:rPr>
          <w:i/>
          <w:iCs/>
        </w:rPr>
        <w:t>N</w:t>
      </w:r>
      <w:r>
        <w:t>:</w:t>
      </w:r>
      <w:r>
        <w:tab/>
        <w:t>9-15 dB</w:t>
      </w:r>
    </w:p>
    <w:p w:rsidR="003D7E17" w:rsidRDefault="003D7E17">
      <w:pPr>
        <w:pStyle w:val="enumlev1"/>
        <w:tabs>
          <w:tab w:val="left" w:pos="3544"/>
        </w:tabs>
      </w:pPr>
      <w:r>
        <w:t>Transmitter power:</w:t>
      </w:r>
      <w:r>
        <w:tab/>
        <w:t>2-25 W</w:t>
      </w:r>
    </w:p>
    <w:p w:rsidR="003D7E17" w:rsidRDefault="003D7E17">
      <w:pPr>
        <w:pStyle w:val="enumlev1"/>
        <w:tabs>
          <w:tab w:val="left" w:pos="3544"/>
        </w:tabs>
      </w:pPr>
      <w:r>
        <w:t>Modulation type:</w:t>
      </w:r>
      <w:r>
        <w:tab/>
        <w:t>PCM/FM</w:t>
      </w:r>
    </w:p>
    <w:p w:rsidR="003D7E17" w:rsidRDefault="003D7E17">
      <w:pPr>
        <w:pStyle w:val="enumlev1"/>
        <w:tabs>
          <w:tab w:val="left" w:pos="3544"/>
        </w:tabs>
      </w:pPr>
      <w:r>
        <w:t>Transmission path length:</w:t>
      </w:r>
      <w:r>
        <w:tab/>
        <w:t>up to 320 km</w:t>
      </w:r>
    </w:p>
    <w:p w:rsidR="003D7E17" w:rsidRDefault="003D7E17">
      <w:pPr>
        <w:pStyle w:val="enumlev1"/>
        <w:tabs>
          <w:tab w:val="left" w:pos="3544"/>
        </w:tabs>
      </w:pPr>
      <w:r>
        <w:t>Receiving system noise temperature:</w:t>
      </w:r>
      <w:r>
        <w:tab/>
        <w:t>200-500 K</w:t>
      </w:r>
    </w:p>
    <w:p w:rsidR="003D7E17" w:rsidRDefault="003D7E17">
      <w:pPr>
        <w:pStyle w:val="enumlev1"/>
        <w:tabs>
          <w:tab w:val="left" w:pos="3544"/>
        </w:tabs>
      </w:pPr>
      <w:r>
        <w:t>Receiving antenna gain:</w:t>
      </w:r>
      <w:r>
        <w:tab/>
        <w:t>20-41 dB</w:t>
      </w:r>
    </w:p>
    <w:p w:rsidR="003D7E17" w:rsidRDefault="003D7E17">
      <w:pPr>
        <w:tabs>
          <w:tab w:val="left" w:pos="3544"/>
        </w:tabs>
      </w:pPr>
      <w:r>
        <w:t>Receive antenna first side-lobe levels for two antennas:</w:t>
      </w:r>
    </w:p>
    <w:p w:rsidR="003D7E17" w:rsidRDefault="003D7E17">
      <w:pPr>
        <w:pStyle w:val="enumlev1"/>
        <w:tabs>
          <w:tab w:val="left" w:pos="1985"/>
        </w:tabs>
      </w:pPr>
      <w:r>
        <w:tab/>
        <w:t>10 m (diameter):</w:t>
      </w:r>
      <w:r>
        <w:tab/>
        <w:t>20 dBi (antenna gain)</w:t>
      </w:r>
    </w:p>
    <w:p w:rsidR="003D7E17" w:rsidRDefault="003D7E17">
      <w:pPr>
        <w:pStyle w:val="enumlev1"/>
        <w:tabs>
          <w:tab w:val="left" w:pos="1985"/>
        </w:tabs>
      </w:pPr>
      <w:r>
        <w:tab/>
      </w:r>
      <w:r>
        <w:tab/>
        <w:t>2.4° (from centre)</w:t>
      </w:r>
    </w:p>
    <w:p w:rsidR="003D7E17" w:rsidRDefault="003D7E17">
      <w:pPr>
        <w:pStyle w:val="enumlev1"/>
        <w:tabs>
          <w:tab w:val="left" w:pos="1985"/>
        </w:tabs>
      </w:pPr>
      <w:r>
        <w:tab/>
        <w:t>2.44 m (diameter):</w:t>
      </w:r>
      <w:r>
        <w:tab/>
        <w:t>7-14 dBi (antenna gain)</w:t>
      </w:r>
    </w:p>
    <w:p w:rsidR="003D7E17" w:rsidRDefault="003D7E17">
      <w:pPr>
        <w:pStyle w:val="enumlev1"/>
        <w:tabs>
          <w:tab w:val="left" w:pos="1985"/>
        </w:tabs>
      </w:pPr>
      <w:r>
        <w:tab/>
      </w:r>
      <w:r>
        <w:tab/>
        <w:t>10° (from centre)</w:t>
      </w:r>
    </w:p>
    <w:p w:rsidR="003D7E17" w:rsidRDefault="003D7E17">
      <w:r>
        <w:t>A number of antenna diameters are employed between the 20-41 dB limits. Left-hand and right</w:t>
      </w:r>
      <w:r>
        <w:noBreakHyphen/>
        <w:t>hand circular, as well as linear polarizations, are used.</w:t>
      </w:r>
    </w:p>
    <w:p w:rsidR="003D7E17" w:rsidRDefault="003D7E17">
      <w:r>
        <w:t>Channel assignments are made in 1 MHz increments. Typical emissions are 1, 3 and 5 MHz in bandwidth with wider assignments made for video and other complex measurements.</w:t>
      </w:r>
    </w:p>
    <w:p w:rsidR="003D7E17" w:rsidRDefault="003D7E17">
      <w:r>
        <w:t>The maximum air space for a telemetry receiving site is defined as a cylinder with a horizontal radius of 320 km around the site, with the lower bound determined by visibility and the upper bound determined by an altitude of 20 km. The minimum air space for a particular mission is defined as a vertical cylinder with a radius of 20 km within the maximum air space with the same lower and upper bounds as for the maximum air space.</w:t>
      </w:r>
    </w:p>
    <w:p w:rsidR="003D7E17" w:rsidRDefault="003D7E17">
      <w:r>
        <w:t>Continuous RF tracking is employed using both monopulse and conical scan techniques.</w:t>
      </w:r>
    </w:p>
    <w:p w:rsidR="003D7E17" w:rsidRDefault="003D7E17">
      <w:r>
        <w:t>Two antenna diameters are given a 2.44 m and a 10 m diameter. Figure 1 shows measured gain values for three 2.44 m antennas. Since these antennas track a moving vehicle so that the antenna gain toward a geostationary satellite is variable, there is a side lobe and backlobe gain which is exceeded or not exceeded 50</w:t>
      </w:r>
      <w:r>
        <w:rPr>
          <w:rFonts w:ascii="Symbol" w:hAnsi="Symbol"/>
        </w:rPr>
        <w:t></w:t>
      </w:r>
      <w:r>
        <w:t xml:space="preserve"> of the time. The following composite pattern is developed on this basis for antenna gains from 29 dB to 41.2 dB.</w:t>
      </w:r>
    </w:p>
    <w:p w:rsidR="003D7E17" w:rsidRDefault="003D7E17">
      <w:pPr>
        <w:pStyle w:val="Equation"/>
        <w:tabs>
          <w:tab w:val="clear" w:pos="4849"/>
          <w:tab w:val="left" w:pos="5954"/>
          <w:tab w:val="decimal" w:pos="6691"/>
          <w:tab w:val="left" w:pos="7144"/>
          <w:tab w:val="left" w:pos="7371"/>
          <w:tab w:val="left" w:pos="7598"/>
          <w:tab w:val="decimal" w:pos="8080"/>
          <w:tab w:val="decimal" w:pos="9696"/>
        </w:tabs>
        <w:rPr>
          <w:lang w:val="en-US"/>
        </w:rPr>
      </w:pPr>
      <w:r w:rsidRPr="00B86BCC">
        <w:rPr>
          <w:lang w:val="en-US"/>
        </w:rPr>
        <w:tab/>
      </w:r>
      <w:r>
        <w:rPr>
          <w:position w:val="-30"/>
        </w:rPr>
        <w:object w:dxaOrig="30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8pt;height:35.15pt" o:ole="">
            <v:imagedata r:id="rId14" o:title=""/>
          </v:shape>
          <o:OLEObject Type="Embed" ProgID="Equation.3" ShapeID="_x0000_i1025" DrawAspect="Content" ObjectID="_1361104437" r:id="rId15"/>
        </w:object>
      </w:r>
      <w:r>
        <w:t>                         dBi</w:t>
      </w:r>
      <w:r>
        <w:rPr>
          <w:lang w:val="en-US"/>
        </w:rPr>
        <w:tab/>
        <w:t>for</w:t>
      </w:r>
      <w:r>
        <w:rPr>
          <w:lang w:val="en-US"/>
        </w:rPr>
        <w:tab/>
        <w:t>0°</w:t>
      </w:r>
      <w:r>
        <w:rPr>
          <w:lang w:val="en-US"/>
        </w:rPr>
        <w:tab/>
      </w:r>
      <w:r>
        <w:rPr>
          <w:rFonts w:ascii="Symbol" w:hAnsi="Symbol"/>
        </w:rPr>
        <w:t></w:t>
      </w:r>
      <w:r>
        <w:rPr>
          <w:lang w:val="en-US"/>
        </w:rPr>
        <w:tab/>
      </w:r>
      <w:r>
        <w:rPr>
          <w:rFonts w:ascii="Symbol" w:hAnsi="Symbol"/>
        </w:rPr>
        <w:t></w:t>
      </w:r>
      <w:r>
        <w:rPr>
          <w:rFonts w:ascii="Symbol" w:hAnsi="Symbol"/>
          <w:lang w:val="en-US"/>
        </w:rPr>
        <w:tab/>
      </w:r>
      <w:r>
        <w:rPr>
          <w:rFonts w:ascii="Symbol" w:hAnsi="Symbol"/>
        </w:rPr>
        <w:t></w:t>
      </w:r>
      <w:r>
        <w:rPr>
          <w:lang w:val="en-US"/>
        </w:rPr>
        <w:tab/>
        <w:t>0.94°</w:t>
      </w:r>
      <w:r>
        <w:rPr>
          <w:lang w:val="en-US"/>
        </w:rPr>
        <w:tab/>
        <w:t>(1a)</w:t>
      </w:r>
    </w:p>
    <w:p w:rsidR="003D7E17" w:rsidRDefault="003D7E17">
      <w:pPr>
        <w:pStyle w:val="Equation"/>
        <w:tabs>
          <w:tab w:val="clear" w:pos="4849"/>
          <w:tab w:val="left" w:pos="5954"/>
          <w:tab w:val="decimal" w:pos="6691"/>
          <w:tab w:val="left" w:pos="7144"/>
          <w:tab w:val="left" w:pos="7371"/>
          <w:tab w:val="left" w:pos="7598"/>
          <w:tab w:val="decimal" w:pos="8080"/>
          <w:tab w:val="decimal" w:pos="9696"/>
        </w:tabs>
      </w:pPr>
      <w:r>
        <w:rPr>
          <w:lang w:val="en-US"/>
        </w:rPr>
        <w:tab/>
      </w:r>
      <w:r>
        <w:rPr>
          <w:position w:val="-10"/>
        </w:rPr>
        <w:object w:dxaOrig="2000" w:dyaOrig="300">
          <v:shape id="_x0000_i1026" type="#_x0000_t75" style="width:100.2pt;height:15pt" o:ole="">
            <v:imagedata r:id="rId16" o:title=""/>
          </v:shape>
          <o:OLEObject Type="Embed" ProgID="Equation.3" ShapeID="_x0000_i1026" DrawAspect="Content" ObjectID="_1361104438" r:id="rId17"/>
        </w:object>
      </w:r>
      <w:r>
        <w:t>                        dBi</w:t>
      </w:r>
      <w:r>
        <w:rPr>
          <w:lang w:val="en-US"/>
        </w:rPr>
        <w:tab/>
      </w:r>
      <w:r>
        <w:t>for</w:t>
      </w:r>
      <w:r>
        <w:tab/>
        <w:t>0.94°</w:t>
      </w:r>
      <w:r>
        <w:tab/>
        <w:t>&lt;</w:t>
      </w:r>
      <w:r>
        <w:tab/>
      </w:r>
      <w:r>
        <w:rPr>
          <w:rFonts w:ascii="Symbol" w:hAnsi="Symbol"/>
        </w:rPr>
        <w:t></w:t>
      </w:r>
      <w:r>
        <w:tab/>
      </w:r>
      <w:r>
        <w:rPr>
          <w:rFonts w:ascii="Symbol" w:hAnsi="Symbol"/>
        </w:rPr>
        <w:t></w:t>
      </w:r>
      <w:r>
        <w:tab/>
        <w:t>3.82</w:t>
      </w:r>
      <w:r>
        <w:rPr>
          <w:rFonts w:ascii="Symbol" w:hAnsi="Symbol"/>
        </w:rPr>
        <w:t></w:t>
      </w:r>
      <w:r>
        <w:tab/>
        <w:t>(1b)</w:t>
      </w:r>
    </w:p>
    <w:p w:rsidR="003D7E17" w:rsidRDefault="003D7E17">
      <w:pPr>
        <w:pStyle w:val="Equation"/>
        <w:tabs>
          <w:tab w:val="clear" w:pos="4849"/>
          <w:tab w:val="left" w:pos="5954"/>
          <w:tab w:val="decimal" w:pos="6691"/>
          <w:tab w:val="left" w:pos="7144"/>
          <w:tab w:val="left" w:pos="7371"/>
          <w:tab w:val="left" w:pos="7598"/>
          <w:tab w:val="decimal" w:pos="8080"/>
        </w:tabs>
      </w:pPr>
      <w:r>
        <w:tab/>
      </w:r>
      <w:r>
        <w:rPr>
          <w:position w:val="-30"/>
        </w:rPr>
        <w:object w:dxaOrig="2940" w:dyaOrig="700">
          <v:shape id="_x0000_i1027" type="#_x0000_t75" style="width:146.9pt;height:35.15pt" o:ole="">
            <v:imagedata r:id="rId18" o:title=""/>
          </v:shape>
          <o:OLEObject Type="Embed" ProgID="Equation.3" ShapeID="_x0000_i1027" DrawAspect="Content" ObjectID="_1361104439" r:id="rId19"/>
        </w:object>
      </w:r>
      <w:r>
        <w:t>                        dBi</w:t>
      </w:r>
      <w:r>
        <w:rPr>
          <w:lang w:val="en-US"/>
        </w:rPr>
        <w:tab/>
      </w:r>
      <w:r>
        <w:t>for</w:t>
      </w:r>
      <w:r>
        <w:tab/>
        <w:t>3.82</w:t>
      </w:r>
      <w:r>
        <w:rPr>
          <w:rFonts w:ascii="Symbol" w:hAnsi="Symbol"/>
        </w:rPr>
        <w:t></w:t>
      </w:r>
      <w:r>
        <w:tab/>
        <w:t>&lt;</w:t>
      </w:r>
      <w:r>
        <w:tab/>
      </w:r>
      <w:r>
        <w:rPr>
          <w:rFonts w:ascii="Symbol" w:hAnsi="Symbol"/>
        </w:rPr>
        <w:t></w:t>
      </w:r>
      <w:r>
        <w:tab/>
      </w:r>
      <w:r>
        <w:rPr>
          <w:rFonts w:ascii="Symbol" w:hAnsi="Symbol"/>
        </w:rPr>
        <w:t></w:t>
      </w:r>
      <w:r>
        <w:tab/>
        <w:t>5.61</w:t>
      </w:r>
      <w:r>
        <w:rPr>
          <w:rFonts w:ascii="Symbol" w:hAnsi="Symbol"/>
        </w:rPr>
        <w:t></w:t>
      </w:r>
      <w:r>
        <w:tab/>
        <w:t>(1c)</w:t>
      </w:r>
    </w:p>
    <w:p w:rsidR="003D7E17" w:rsidRDefault="003D7E17">
      <w:pPr>
        <w:pStyle w:val="Equation"/>
        <w:tabs>
          <w:tab w:val="clear" w:pos="4849"/>
          <w:tab w:val="left" w:pos="5954"/>
          <w:tab w:val="decimal" w:pos="6691"/>
          <w:tab w:val="left" w:pos="7144"/>
          <w:tab w:val="left" w:pos="7371"/>
          <w:tab w:val="left" w:pos="7598"/>
          <w:tab w:val="decimal" w:pos="8080"/>
        </w:tabs>
      </w:pPr>
      <w:r>
        <w:tab/>
      </w:r>
      <w:r>
        <w:rPr>
          <w:position w:val="-10"/>
        </w:rPr>
        <w:object w:dxaOrig="2380" w:dyaOrig="300">
          <v:shape id="_x0000_i1028" type="#_x0000_t75" style="width:119.25pt;height:15pt" o:ole="">
            <v:imagedata r:id="rId20" o:title=""/>
          </v:shape>
          <o:OLEObject Type="Embed" ProgID="Equation.3" ShapeID="_x0000_i1028" DrawAspect="Content" ObjectID="_1361104440" r:id="rId21"/>
        </w:object>
      </w:r>
      <w:r>
        <w:t>                        dBi</w:t>
      </w:r>
      <w:r>
        <w:rPr>
          <w:lang w:val="en-US"/>
        </w:rPr>
        <w:tab/>
      </w:r>
      <w:r>
        <w:t>for</w:t>
      </w:r>
      <w:r>
        <w:tab/>
        <w:t>5.61</w:t>
      </w:r>
      <w:r>
        <w:rPr>
          <w:rFonts w:ascii="Symbol" w:hAnsi="Symbol"/>
        </w:rPr>
        <w:t></w:t>
      </w:r>
      <w:r>
        <w:tab/>
        <w:t>&lt;</w:t>
      </w:r>
      <w:r>
        <w:tab/>
      </w:r>
      <w:r>
        <w:rPr>
          <w:rFonts w:ascii="Symbol" w:hAnsi="Symbol"/>
        </w:rPr>
        <w:t></w:t>
      </w:r>
      <w:r>
        <w:rPr>
          <w:rFonts w:ascii="Symbol" w:hAnsi="Symbol"/>
        </w:rPr>
        <w:tab/>
      </w:r>
      <w:r>
        <w:rPr>
          <w:rFonts w:ascii="Symbol" w:hAnsi="Symbol"/>
        </w:rPr>
        <w:t></w:t>
      </w:r>
      <w:r>
        <w:tab/>
        <w:t>12.16</w:t>
      </w:r>
      <w:r>
        <w:rPr>
          <w:rFonts w:ascii="Symbol" w:hAnsi="Symbol"/>
        </w:rPr>
        <w:t></w:t>
      </w:r>
      <w:r>
        <w:tab/>
        <w:t>(1d)</w:t>
      </w:r>
    </w:p>
    <w:p w:rsidR="003D7E17" w:rsidRDefault="003D7E17">
      <w:pPr>
        <w:pStyle w:val="Equation"/>
        <w:tabs>
          <w:tab w:val="clear" w:pos="4849"/>
          <w:tab w:val="left" w:pos="5954"/>
          <w:tab w:val="decimal" w:pos="6691"/>
          <w:tab w:val="left" w:pos="7144"/>
          <w:tab w:val="left" w:pos="7371"/>
          <w:tab w:val="left" w:pos="7598"/>
          <w:tab w:val="decimal" w:pos="8080"/>
        </w:tabs>
      </w:pPr>
      <w:r>
        <w:tab/>
      </w:r>
      <w:r>
        <w:rPr>
          <w:position w:val="-10"/>
        </w:rPr>
        <w:object w:dxaOrig="2120" w:dyaOrig="300">
          <v:shape id="_x0000_i1029" type="#_x0000_t75" style="width:106pt;height:15pt" o:ole="">
            <v:imagedata r:id="rId22" o:title=""/>
          </v:shape>
          <o:OLEObject Type="Embed" ProgID="Equation.3" ShapeID="_x0000_i1029" DrawAspect="Content" ObjectID="_1361104441" r:id="rId23"/>
        </w:object>
      </w:r>
      <w:r>
        <w:t>                       dBi</w:t>
      </w:r>
      <w:r>
        <w:rPr>
          <w:lang w:val="en-US"/>
        </w:rPr>
        <w:tab/>
      </w:r>
      <w:r>
        <w:t>for</w:t>
      </w:r>
      <w:r>
        <w:tab/>
        <w:t>12.16</w:t>
      </w:r>
      <w:r>
        <w:rPr>
          <w:rFonts w:ascii="Symbol" w:hAnsi="Symbol"/>
        </w:rPr>
        <w:t></w:t>
      </w:r>
      <w:r>
        <w:rPr>
          <w:rFonts w:ascii="Symbol" w:hAnsi="Symbol"/>
        </w:rPr>
        <w:tab/>
      </w:r>
      <w:r>
        <w:t>&lt;</w:t>
      </w:r>
      <w:r>
        <w:tab/>
      </w:r>
      <w:r>
        <w:rPr>
          <w:rFonts w:ascii="Symbol" w:hAnsi="Symbol"/>
        </w:rPr>
        <w:t></w:t>
      </w:r>
      <w:r>
        <w:tab/>
      </w:r>
      <w:r>
        <w:rPr>
          <w:rFonts w:ascii="Symbol" w:hAnsi="Symbol"/>
        </w:rPr>
        <w:t></w:t>
      </w:r>
      <w:r>
        <w:tab/>
        <w:t>48</w:t>
      </w:r>
      <w:r>
        <w:rPr>
          <w:rFonts w:ascii="Symbol" w:hAnsi="Symbol"/>
        </w:rPr>
        <w:t></w:t>
      </w:r>
      <w:r>
        <w:tab/>
        <w:t>(1e)</w:t>
      </w:r>
    </w:p>
    <w:p w:rsidR="003D7E17" w:rsidRDefault="003D7E17">
      <w:pPr>
        <w:pStyle w:val="Equation"/>
        <w:tabs>
          <w:tab w:val="clear" w:pos="4849"/>
          <w:tab w:val="left" w:pos="5954"/>
          <w:tab w:val="decimal" w:pos="6691"/>
          <w:tab w:val="left" w:pos="7144"/>
          <w:tab w:val="left" w:pos="7371"/>
          <w:tab w:val="left" w:pos="7598"/>
          <w:tab w:val="decimal" w:pos="8080"/>
        </w:tabs>
      </w:pPr>
      <w:r>
        <w:tab/>
      </w:r>
      <w:r>
        <w:rPr>
          <w:position w:val="-10"/>
        </w:rPr>
        <w:object w:dxaOrig="940" w:dyaOrig="300">
          <v:shape id="_x0000_i1030" type="#_x0000_t75" style="width:47.25pt;height:15pt" o:ole="">
            <v:imagedata r:id="rId24" o:title=""/>
          </v:shape>
          <o:OLEObject Type="Embed" ProgID="Equation.3" ShapeID="_x0000_i1030" DrawAspect="Content" ObjectID="_1361104442" r:id="rId25"/>
        </w:object>
      </w:r>
      <w:r>
        <w:t>                        dBi</w:t>
      </w:r>
      <w:r>
        <w:rPr>
          <w:lang w:val="en-US"/>
        </w:rPr>
        <w:tab/>
      </w:r>
      <w:r>
        <w:t>for</w:t>
      </w:r>
      <w:r>
        <w:tab/>
        <w:t>48</w:t>
      </w:r>
      <w:r>
        <w:rPr>
          <w:rFonts w:ascii="Symbol" w:hAnsi="Symbol"/>
          <w:lang w:val="fr-FR"/>
        </w:rPr>
        <w:t></w:t>
      </w:r>
      <w:r>
        <w:tab/>
        <w:t>&lt;</w:t>
      </w:r>
      <w:r>
        <w:tab/>
      </w:r>
      <w:r>
        <w:rPr>
          <w:rFonts w:ascii="Symbol" w:hAnsi="Symbol"/>
        </w:rPr>
        <w:t></w:t>
      </w:r>
      <w:r>
        <w:tab/>
      </w:r>
      <w:r>
        <w:rPr>
          <w:rFonts w:ascii="Symbol" w:hAnsi="Symbol"/>
        </w:rPr>
        <w:t></w:t>
      </w:r>
      <w:r>
        <w:tab/>
        <w:t>180</w:t>
      </w:r>
      <w:r>
        <w:rPr>
          <w:rFonts w:ascii="Symbol" w:hAnsi="Symbol"/>
          <w:lang w:val="fr-FR"/>
        </w:rPr>
        <w:t></w:t>
      </w:r>
      <w:r>
        <w:tab/>
        <w:t>(1f)</w:t>
      </w:r>
    </w:p>
    <w:p w:rsidR="003D7E17" w:rsidRDefault="003D7E17">
      <w:r>
        <w:br w:type="page"/>
      </w:r>
      <w:r>
        <w:lastRenderedPageBreak/>
        <w:t xml:space="preserve">The values of 1.952 and 0.479 associated with angle </w:t>
      </w:r>
      <w:r>
        <w:rPr>
          <w:rFonts w:ascii="Symbol" w:hAnsi="Symbol"/>
        </w:rPr>
        <w:t></w:t>
      </w:r>
      <w:r>
        <w:t xml:space="preserve"> are in radians.</w:t>
      </w:r>
    </w:p>
    <w:p w:rsidR="003D7E17" w:rsidRDefault="003D7E17">
      <w:r>
        <w:t xml:space="preserve">The telemetry transmitting antennas are mounted on airborne vehicles and, ideally, would be isotropic radiators to cover all possible radiation angles toward the telemetry receiving station. However, in practice, multiple reflections and blockage from the airborne vehicles cause large variations in the gain pattern. Multiple reflections generally result in a Raleigh fading distribution, and measured gain functions have shown that this is approximately the case as shown in Fig. 2. Using Fig. 2 for a near-worst case, including propagation effects, the probability (portion of time), </w:t>
      </w:r>
      <w:r>
        <w:rPr>
          <w:i/>
          <w:iCs/>
        </w:rPr>
        <w:t>P</w:t>
      </w:r>
      <w:r>
        <w:rPr>
          <w:position w:val="-4"/>
          <w:sz w:val="16"/>
        </w:rPr>
        <w:t>1</w:t>
      </w:r>
      <w:r>
        <w:t xml:space="preserve">, that a given gain, </w:t>
      </w:r>
      <w:r>
        <w:rPr>
          <w:i/>
          <w:iCs/>
        </w:rPr>
        <w:t>G</w:t>
      </w:r>
      <w:r>
        <w:rPr>
          <w:position w:val="-4"/>
          <w:sz w:val="16"/>
        </w:rPr>
        <w:t>1</w:t>
      </w:r>
      <w:r>
        <w:t>, is not exceeded can be expressed as:</w:t>
      </w:r>
    </w:p>
    <w:p w:rsidR="003D7E17" w:rsidRPr="00B86BCC" w:rsidRDefault="003D7E17">
      <w:pPr>
        <w:pStyle w:val="Equation"/>
        <w:rPr>
          <w:lang w:val="es-ES_tradnl"/>
        </w:rPr>
      </w:pPr>
      <w:r>
        <w:tab/>
      </w:r>
      <w:r>
        <w:tab/>
      </w:r>
      <w:r w:rsidRPr="00B86BCC">
        <w:rPr>
          <w:i/>
          <w:iCs/>
          <w:lang w:val="es-ES_tradnl"/>
        </w:rPr>
        <w:t>P</w:t>
      </w:r>
      <w:r w:rsidRPr="00B86BCC">
        <w:rPr>
          <w:position w:val="-4"/>
          <w:sz w:val="18"/>
          <w:lang w:val="es-ES_tradnl"/>
        </w:rPr>
        <w:t>1</w:t>
      </w:r>
      <w:r w:rsidRPr="00B86BCC">
        <w:rPr>
          <w:lang w:val="es-ES_tradnl"/>
        </w:rPr>
        <w:t xml:space="preserve"> (</w:t>
      </w:r>
      <w:r w:rsidRPr="00B86BCC">
        <w:rPr>
          <w:i/>
          <w:iCs/>
          <w:lang w:val="es-ES_tradnl"/>
        </w:rPr>
        <w:t>G</w:t>
      </w:r>
      <w:r w:rsidRPr="00B86BCC">
        <w:rPr>
          <w:lang w:val="es-ES_tradnl"/>
        </w:rPr>
        <w:t xml:space="preserve">  </w:t>
      </w:r>
      <w:r>
        <w:rPr>
          <w:rFonts w:ascii="Symbol" w:hAnsi="Symbol"/>
        </w:rPr>
        <w:t></w:t>
      </w:r>
      <w:r w:rsidRPr="00B86BCC">
        <w:rPr>
          <w:lang w:val="es-ES_tradnl"/>
        </w:rPr>
        <w:t xml:space="preserve">  </w:t>
      </w:r>
      <w:r w:rsidRPr="00B86BCC">
        <w:rPr>
          <w:i/>
          <w:iCs/>
          <w:lang w:val="es-ES_tradnl"/>
        </w:rPr>
        <w:t>G</w:t>
      </w:r>
      <w:r w:rsidRPr="00B86BCC">
        <w:rPr>
          <w:position w:val="-4"/>
          <w:sz w:val="18"/>
          <w:lang w:val="es-ES_tradnl"/>
        </w:rPr>
        <w:t>1</w:t>
      </w:r>
      <w:r w:rsidRPr="00B86BCC">
        <w:rPr>
          <w:lang w:val="es-ES_tradnl"/>
        </w:rPr>
        <w:t xml:space="preserve">)  </w:t>
      </w:r>
      <w:r>
        <w:rPr>
          <w:rFonts w:ascii="Symbol" w:hAnsi="Symbol"/>
        </w:rPr>
        <w:t></w:t>
      </w:r>
      <w:r w:rsidRPr="00B86BCC">
        <w:rPr>
          <w:lang w:val="es-ES_tradnl"/>
        </w:rPr>
        <w:t xml:space="preserve">  (1  –  e</w:t>
      </w:r>
      <w:r w:rsidRPr="00B86BCC">
        <w:rPr>
          <w:position w:val="6"/>
          <w:sz w:val="18"/>
          <w:lang w:val="es-ES_tradnl"/>
        </w:rPr>
        <w:t xml:space="preserve">–3.46 </w:t>
      </w:r>
      <w:r w:rsidRPr="00B86BCC">
        <w:rPr>
          <w:i/>
          <w:iCs/>
          <w:position w:val="6"/>
          <w:sz w:val="18"/>
          <w:lang w:val="es-ES_tradnl"/>
        </w:rPr>
        <w:t>G</w:t>
      </w:r>
      <w:r w:rsidRPr="00B86BCC">
        <w:rPr>
          <w:position w:val="3"/>
          <w:sz w:val="14"/>
          <w:lang w:val="es-ES_tradnl"/>
        </w:rPr>
        <w:t>1</w:t>
      </w:r>
      <w:r w:rsidRPr="00B86BCC">
        <w:rPr>
          <w:lang w:val="es-ES_tradnl"/>
        </w:rPr>
        <w:t>)</w:t>
      </w:r>
      <w:r w:rsidRPr="00B86BCC">
        <w:rPr>
          <w:position w:val="6"/>
          <w:sz w:val="18"/>
          <w:lang w:val="es-ES_tradnl"/>
        </w:rPr>
        <w:t>1.25</w:t>
      </w:r>
      <w:r w:rsidRPr="00B86BCC">
        <w:rPr>
          <w:lang w:val="es-ES_tradnl"/>
        </w:rPr>
        <w:t xml:space="preserve"> (numerical)</w:t>
      </w:r>
      <w:r w:rsidRPr="00B86BCC">
        <w:rPr>
          <w:lang w:val="es-ES_tradnl"/>
        </w:rPr>
        <w:tab/>
        <w:t>(2)</w:t>
      </w:r>
    </w:p>
    <w:p w:rsidR="003D7E17" w:rsidRDefault="003D7E17">
      <w:r>
        <w:t>Distributions corresponding to an exponent of (–5</w:t>
      </w:r>
      <w:r>
        <w:rPr>
          <w:i/>
          <w:iCs/>
        </w:rPr>
        <w:t>G</w:t>
      </w:r>
      <w:r>
        <w:rPr>
          <w:position w:val="-4"/>
          <w:sz w:val="16"/>
        </w:rPr>
        <w:t>1</w:t>
      </w:r>
      <w:r>
        <w:t>) are observed.</w:t>
      </w:r>
    </w:p>
    <w:p w:rsidR="003D7E17" w:rsidRDefault="003D7E17">
      <w:r>
        <w:t xml:space="preserve">The received </w:t>
      </w:r>
      <w:r>
        <w:rPr>
          <w:i/>
          <w:iCs/>
        </w:rPr>
        <w:t>C</w:t>
      </w:r>
      <w:r>
        <w:t>/</w:t>
      </w:r>
      <w:r>
        <w:rPr>
          <w:i/>
          <w:iCs/>
        </w:rPr>
        <w:t>N</w:t>
      </w:r>
      <w:r>
        <w:t xml:space="preserve"> and carrier power, </w:t>
      </w:r>
      <w:r>
        <w:rPr>
          <w:i/>
          <w:iCs/>
        </w:rPr>
        <w:t>C</w:t>
      </w:r>
      <w:r>
        <w:t>, at output of the telemetry receiving antenna are proportional to this function.</w:t>
      </w:r>
    </w:p>
    <w:p w:rsidR="003D7E17" w:rsidRDefault="003D7E17"/>
    <w:p w:rsidR="003D7E17" w:rsidRDefault="003D7E17"/>
    <w:p w:rsidR="003D7E17" w:rsidRDefault="003D7E17"/>
    <w:p w:rsidR="003D7E17" w:rsidRDefault="00976297">
      <w:pPr>
        <w:pStyle w:val="Fig"/>
      </w:pPr>
      <w:r>
        <w:rPr>
          <w:noProof/>
          <w:lang w:eastAsia="zh-CN"/>
        </w:rPr>
        <w:drawing>
          <wp:inline distT="0" distB="0" distL="0" distR="0">
            <wp:extent cx="5128260" cy="474726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260" cy="4747260"/>
                    </a:xfrm>
                    <a:prstGeom prst="rect">
                      <a:avLst/>
                    </a:prstGeom>
                    <a:noFill/>
                    <a:ln>
                      <a:noFill/>
                    </a:ln>
                  </pic:spPr>
                </pic:pic>
              </a:graphicData>
            </a:graphic>
          </wp:inline>
        </w:drawing>
      </w:r>
    </w:p>
    <w:p w:rsidR="003D7E17" w:rsidRDefault="003D7E17">
      <w:pPr>
        <w:pStyle w:val="Fig0"/>
        <w:rPr>
          <w:color w:val="FFFFFF"/>
        </w:rPr>
      </w:pPr>
      <w:r>
        <w:rPr>
          <w:color w:val="FFFFFF"/>
        </w:rPr>
        <w:t>FIGURE 1 – 1459-01</w:t>
      </w:r>
    </w:p>
    <w:p w:rsidR="003D7E17" w:rsidRDefault="003D7E17">
      <w:pPr>
        <w:rPr>
          <w:lang w:val="en-US"/>
        </w:rPr>
      </w:pPr>
    </w:p>
    <w:p w:rsidR="003D7E17" w:rsidRDefault="003D7E17">
      <w:pPr>
        <w:rPr>
          <w:lang w:val="en-US"/>
        </w:rPr>
      </w:pPr>
    </w:p>
    <w:p w:rsidR="003D7E17" w:rsidRDefault="003D7E17">
      <w:pPr>
        <w:rPr>
          <w:lang w:val="en-US"/>
        </w:rPr>
      </w:pPr>
    </w:p>
    <w:p w:rsidR="003D7E17" w:rsidRDefault="003D7E17">
      <w:pPr>
        <w:pStyle w:val="Fig"/>
      </w:pPr>
      <w:r>
        <w:rPr>
          <w:color w:val="FFFFFF"/>
        </w:rPr>
        <w:br w:type="page"/>
      </w:r>
      <w:r w:rsidR="00976297">
        <w:rPr>
          <w:noProof/>
          <w:lang w:eastAsia="zh-CN"/>
        </w:rPr>
        <w:lastRenderedPageBreak/>
        <w:drawing>
          <wp:inline distT="0" distB="0" distL="0" distR="0">
            <wp:extent cx="3862705" cy="735901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2705" cy="7359015"/>
                    </a:xfrm>
                    <a:prstGeom prst="rect">
                      <a:avLst/>
                    </a:prstGeom>
                    <a:noFill/>
                    <a:ln>
                      <a:noFill/>
                    </a:ln>
                  </pic:spPr>
                </pic:pic>
              </a:graphicData>
            </a:graphic>
          </wp:inline>
        </w:drawing>
      </w:r>
    </w:p>
    <w:p w:rsidR="003D7E17" w:rsidRDefault="003D7E17">
      <w:pPr>
        <w:pStyle w:val="Fig0"/>
        <w:rPr>
          <w:color w:val="FFFFFF"/>
        </w:rPr>
      </w:pPr>
      <w:r>
        <w:rPr>
          <w:color w:val="FFFFFF"/>
        </w:rPr>
        <w:t xml:space="preserve">FIGURE 2 - 1459-02 </w:t>
      </w:r>
    </w:p>
    <w:p w:rsidR="003D7E17" w:rsidRDefault="003D7E17">
      <w:pPr>
        <w:pStyle w:val="Heading2"/>
      </w:pPr>
      <w:r>
        <w:t>2.2</w:t>
      </w:r>
      <w:r>
        <w:tab/>
        <w:t>Interference from geostationary satellites</w:t>
      </w:r>
    </w:p>
    <w:p w:rsidR="003D7E17" w:rsidRDefault="003D7E17">
      <w:pPr>
        <w:pStyle w:val="Heading3"/>
      </w:pPr>
      <w:r>
        <w:t>2.2.1</w:t>
      </w:r>
      <w:r>
        <w:tab/>
        <w:t>Time-gain function of interference</w:t>
      </w:r>
    </w:p>
    <w:p w:rsidR="003D7E17" w:rsidRDefault="003D7E17">
      <w:r>
        <w:t xml:space="preserve">If it is assumed that the telemetry antenna may be pointed at any point on its hemisphere of visibility, the cumulative probability, </w:t>
      </w:r>
      <w:r>
        <w:rPr>
          <w:i/>
          <w:iCs/>
        </w:rPr>
        <w:t>P</w:t>
      </w:r>
      <w:r>
        <w:rPr>
          <w:position w:val="-4"/>
          <w:sz w:val="16"/>
        </w:rPr>
        <w:t>2</w:t>
      </w:r>
      <w:r>
        <w:t xml:space="preserve">, that a satellite at geostationary altitude is within a radius of </w:t>
      </w:r>
      <w:r>
        <w:rPr>
          <w:rFonts w:ascii="Symbol" w:hAnsi="Symbol"/>
        </w:rPr>
        <w:t></w:t>
      </w:r>
      <w:r>
        <w:t>, as viewed from the telemetry receiving station, is:</w:t>
      </w:r>
    </w:p>
    <w:p w:rsidR="003D7E17" w:rsidRDefault="003D7E17">
      <w:pPr>
        <w:pStyle w:val="Equation"/>
        <w:tabs>
          <w:tab w:val="left" w:pos="5954"/>
          <w:tab w:val="left" w:pos="6804"/>
        </w:tabs>
        <w:rPr>
          <w:lang w:val="en-US"/>
        </w:rPr>
      </w:pPr>
      <w:r>
        <w:rPr>
          <w:lang w:val="en-US"/>
        </w:rPr>
        <w:tab/>
      </w:r>
      <w:r>
        <w:rPr>
          <w:lang w:val="en-US"/>
        </w:rPr>
        <w:tab/>
      </w:r>
      <w:r>
        <w:rPr>
          <w:i/>
          <w:iCs/>
          <w:lang w:val="en-US"/>
        </w:rPr>
        <w:t>P</w:t>
      </w:r>
      <w:r>
        <w:rPr>
          <w:position w:val="-4"/>
          <w:sz w:val="18"/>
          <w:lang w:val="en-US"/>
        </w:rPr>
        <w:t>2</w:t>
      </w:r>
      <w:r>
        <w:rPr>
          <w:lang w:val="en-US"/>
        </w:rPr>
        <w:t xml:space="preserve">  </w:t>
      </w:r>
      <w:r>
        <w:rPr>
          <w:rFonts w:ascii="Symbol" w:hAnsi="Symbol"/>
          <w:lang w:val="fr-FR"/>
        </w:rPr>
        <w:t></w:t>
      </w:r>
      <w:r>
        <w:rPr>
          <w:lang w:val="en-US"/>
        </w:rPr>
        <w:t xml:space="preserve">  (1  –  cos </w:t>
      </w:r>
      <w:r>
        <w:rPr>
          <w:rFonts w:ascii="Symbol" w:hAnsi="Symbol"/>
        </w:rPr>
        <w:t></w:t>
      </w:r>
      <w:r>
        <w:rPr>
          <w:lang w:val="en-US"/>
        </w:rPr>
        <w:t>)                         for</w:t>
      </w:r>
      <w:r>
        <w:rPr>
          <w:lang w:val="en-US"/>
        </w:rPr>
        <w:tab/>
        <w:t xml:space="preserve">0  </w:t>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w:t>
      </w:r>
      <w:r>
        <w:rPr>
          <w:rFonts w:ascii="Symbol" w:hAnsi="Symbol"/>
          <w:lang w:val="fr-FR"/>
        </w:rPr>
        <w:t></w:t>
      </w:r>
      <w:r>
        <w:rPr>
          <w:lang w:val="en-US"/>
        </w:rPr>
        <w:t>/2</w:t>
      </w:r>
      <w:r>
        <w:rPr>
          <w:lang w:val="en-US"/>
        </w:rPr>
        <w:tab/>
        <w:t>(3)</w:t>
      </w:r>
    </w:p>
    <w:p w:rsidR="003D7E17" w:rsidRDefault="003D7E17">
      <w:r>
        <w:br w:type="page"/>
      </w:r>
      <w:r>
        <w:lastRenderedPageBreak/>
        <w:t xml:space="preserve">The </w:t>
      </w:r>
      <w:r>
        <w:rPr>
          <w:rFonts w:ascii="Symbol" w:hAnsi="Symbol"/>
        </w:rPr>
        <w:t></w:t>
      </w:r>
      <w:r>
        <w:t xml:space="preserve"> in equation (1) is the same as in equation (3). Thus, by combining equations (1) with (3), functions can be developed which relate the probability (portion of time) that the telemetry receiving antenna gain, </w:t>
      </w:r>
      <w:r>
        <w:rPr>
          <w:i/>
          <w:iCs/>
        </w:rPr>
        <w:t>G</w:t>
      </w:r>
      <w:r>
        <w:t xml:space="preserve">, toward the satellite is equal to or greater than a given value, </w:t>
      </w:r>
      <w:r>
        <w:rPr>
          <w:i/>
          <w:iCs/>
        </w:rPr>
        <w:t>G</w:t>
      </w:r>
      <w:r>
        <w:rPr>
          <w:position w:val="-4"/>
          <w:sz w:val="16"/>
        </w:rPr>
        <w:t>2</w:t>
      </w:r>
      <w:r>
        <w:t>, as shown in Fig. 3.</w:t>
      </w:r>
    </w:p>
    <w:p w:rsidR="003D7E17" w:rsidRDefault="003D7E17">
      <w:r>
        <w:t xml:space="preserve">The received </w:t>
      </w:r>
      <w:r>
        <w:rPr>
          <w:i/>
          <w:iCs/>
        </w:rPr>
        <w:t>I</w:t>
      </w:r>
      <w:r>
        <w:t>/</w:t>
      </w:r>
      <w:r>
        <w:rPr>
          <w:i/>
          <w:iCs/>
        </w:rPr>
        <w:t>N</w:t>
      </w:r>
      <w:r>
        <w:t xml:space="preserve"> and the interference power, </w:t>
      </w:r>
      <w:r>
        <w:rPr>
          <w:i/>
          <w:iCs/>
        </w:rPr>
        <w:t>I</w:t>
      </w:r>
      <w:r>
        <w:t>, are proportional to the functions shown in Fig. 3.</w:t>
      </w:r>
    </w:p>
    <w:p w:rsidR="003D7E17" w:rsidRDefault="003D7E17">
      <w:r>
        <w:t>In the case of geostationary satellite, the angle-of-arrival of interference at a telemetry receiving station is fixed. The only randomness involved is the telemetry receiving antenna pointing variations. Testing of airborne vehicles is often restricted to areas over water or uninhabited land in order to preclude danger to life or property in case of catastrophic failure of the vehicle being tested, thereby limiting the azimuth angles for these tests. There are also minimum limits on the azimuth and elevation pointing angle variations of the telemetry receiving antenna that are defined by the minimum air space in § 2.1.</w:t>
      </w:r>
    </w:p>
    <w:p w:rsidR="003D7E17" w:rsidRDefault="003D7E17">
      <w:pPr>
        <w:pStyle w:val="Fig0"/>
        <w:spacing w:before="0"/>
        <w:rPr>
          <w:color w:val="FFFFFF"/>
          <w:sz w:val="10"/>
        </w:rPr>
      </w:pPr>
      <w:r>
        <w:rPr>
          <w:color w:val="FFFFFF"/>
          <w:sz w:val="10"/>
        </w:rPr>
        <w:t>FIGURE 3 - 1459-03</w:t>
      </w:r>
    </w:p>
    <w:p w:rsidR="003D7E17" w:rsidRDefault="00976297">
      <w:pPr>
        <w:pStyle w:val="Figure"/>
      </w:pPr>
      <w:r>
        <w:rPr>
          <w:noProof/>
          <w:lang w:val="en-US" w:eastAsia="zh-CN"/>
        </w:rPr>
        <w:drawing>
          <wp:inline distT="0" distB="0" distL="0" distR="0">
            <wp:extent cx="5910580" cy="45281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0580" cy="4528185"/>
                    </a:xfrm>
                    <a:prstGeom prst="rect">
                      <a:avLst/>
                    </a:prstGeom>
                    <a:noFill/>
                    <a:ln>
                      <a:noFill/>
                    </a:ln>
                  </pic:spPr>
                </pic:pic>
              </a:graphicData>
            </a:graphic>
          </wp:inline>
        </w:drawing>
      </w:r>
    </w:p>
    <w:p w:rsidR="003D7E17" w:rsidRDefault="003D7E17">
      <w:pPr>
        <w:pStyle w:val="Heading3"/>
      </w:pPr>
      <w:r>
        <w:t>2.2.2</w:t>
      </w:r>
      <w:r>
        <w:tab/>
      </w:r>
      <w:r>
        <w:rPr>
          <w:i/>
          <w:iCs/>
        </w:rPr>
        <w:t>C</w:t>
      </w:r>
      <w:r>
        <w:t>/</w:t>
      </w:r>
      <w:r>
        <w:rPr>
          <w:i/>
          <w:iCs/>
        </w:rPr>
        <w:t>I</w:t>
      </w:r>
      <w:r>
        <w:t xml:space="preserve"> analysis</w:t>
      </w:r>
    </w:p>
    <w:p w:rsidR="003D7E17" w:rsidRDefault="003D7E17">
      <w:r>
        <w:t xml:space="preserve">Since equation (2) is proportional to </w:t>
      </w:r>
      <w:r>
        <w:rPr>
          <w:i/>
          <w:iCs/>
        </w:rPr>
        <w:t>C</w:t>
      </w:r>
      <w:r>
        <w:t xml:space="preserve"> and the functions in Fig. 3 are proportional to </w:t>
      </w:r>
      <w:r>
        <w:rPr>
          <w:i/>
          <w:iCs/>
        </w:rPr>
        <w:t>I</w:t>
      </w:r>
      <w:r>
        <w:t xml:space="preserve">, the probability of </w:t>
      </w:r>
      <w:r>
        <w:rPr>
          <w:i/>
          <w:iCs/>
        </w:rPr>
        <w:t>C</w:t>
      </w:r>
      <w:r>
        <w:t>/</w:t>
      </w:r>
      <w:r>
        <w:rPr>
          <w:i/>
          <w:iCs/>
        </w:rPr>
        <w:t>I</w:t>
      </w:r>
      <w:r>
        <w:t xml:space="preserve"> can be determined and is proportional to:</w:t>
      </w:r>
    </w:p>
    <w:p w:rsidR="003D7E17" w:rsidRDefault="003D7E17">
      <w:pPr>
        <w:pStyle w:val="Equation"/>
        <w:rPr>
          <w:lang w:val="en-US"/>
        </w:rPr>
      </w:pPr>
      <w:r w:rsidRPr="00B86BCC">
        <w:rPr>
          <w:lang w:val="en-US"/>
        </w:rPr>
        <w:tab/>
      </w:r>
      <w:r w:rsidRPr="00B86BCC">
        <w:rPr>
          <w:lang w:val="en-US"/>
        </w:rPr>
        <w:tab/>
      </w:r>
      <w:r>
        <w:rPr>
          <w:position w:val="-10"/>
        </w:rPr>
        <w:object w:dxaOrig="4800" w:dyaOrig="320">
          <v:shape id="_x0000_i1031" type="#_x0000_t75" style="width:240.2pt;height:16.15pt" o:ole="">
            <v:imagedata r:id="rId29" o:title=""/>
          </v:shape>
          <o:OLEObject Type="Embed" ProgID="Equation.3" ShapeID="_x0000_i1031" DrawAspect="Content" ObjectID="_1361104443" r:id="rId30"/>
        </w:object>
      </w:r>
      <w:r>
        <w:rPr>
          <w:lang w:val="en-US"/>
        </w:rPr>
        <w:tab/>
        <w:t>(4)</w:t>
      </w:r>
    </w:p>
    <w:p w:rsidR="003D7E17" w:rsidRDefault="003D7E17">
      <w:r>
        <w:t>where (</w:t>
      </w:r>
      <w:r>
        <w:rPr>
          <w:i/>
          <w:iCs/>
        </w:rPr>
        <w:t>C</w:t>
      </w:r>
      <w:r>
        <w:t>/</w:t>
      </w:r>
      <w:r>
        <w:rPr>
          <w:i/>
          <w:iCs/>
        </w:rPr>
        <w:t>I</w:t>
      </w:r>
      <w:r>
        <w:t>)</w:t>
      </w:r>
      <w:r>
        <w:rPr>
          <w:i/>
          <w:iCs/>
          <w:position w:val="-4"/>
          <w:sz w:val="16"/>
        </w:rPr>
        <w:t>c</w:t>
      </w:r>
      <w:r>
        <w:t xml:space="preserve"> is a chosen value.</w:t>
      </w:r>
    </w:p>
    <w:p w:rsidR="003D7E17" w:rsidRDefault="003D7E17">
      <w:r>
        <w:t xml:space="preserve">The square brackets indicate the joint, cumulative probability function. The </w:t>
      </w:r>
      <w:r>
        <w:rPr>
          <w:i/>
          <w:iCs/>
        </w:rPr>
        <w:t>C</w:t>
      </w:r>
      <w:r>
        <w:t xml:space="preserve"> and </w:t>
      </w:r>
      <w:r>
        <w:rPr>
          <w:i/>
          <w:iCs/>
        </w:rPr>
        <w:t>I</w:t>
      </w:r>
      <w:r>
        <w:t xml:space="preserve"> functions are independent since they result from independent sources. The indicated integrations were performed for various limited ranges of </w:t>
      </w:r>
      <w:r>
        <w:rPr>
          <w:i/>
          <w:iCs/>
        </w:rPr>
        <w:t>P</w:t>
      </w:r>
      <w:r>
        <w:rPr>
          <w:position w:val="-4"/>
          <w:sz w:val="16"/>
        </w:rPr>
        <w:t>2</w:t>
      </w:r>
      <w:r>
        <w:t xml:space="preserve"> which, in turn, corresponds to limited steradian areas, </w:t>
      </w:r>
      <w:r>
        <w:rPr>
          <w:i/>
          <w:iCs/>
        </w:rPr>
        <w:t>S</w:t>
      </w:r>
      <w:r>
        <w:t>, when the satellite is within the minimum airspace defined in § 2.1. These integrations may be expressed as:</w:t>
      </w:r>
    </w:p>
    <w:p w:rsidR="003D7E17" w:rsidRDefault="003D7E17">
      <w:pPr>
        <w:pStyle w:val="Equation"/>
        <w:spacing w:before="100"/>
        <w:rPr>
          <w:lang w:val="en-US"/>
        </w:rPr>
      </w:pPr>
      <w:r w:rsidRPr="00B86BCC">
        <w:rPr>
          <w:lang w:val="en-US"/>
        </w:rPr>
        <w:tab/>
      </w:r>
      <w:r w:rsidRPr="00B86BCC">
        <w:rPr>
          <w:lang w:val="en-US"/>
        </w:rPr>
        <w:tab/>
      </w:r>
      <w:r>
        <w:rPr>
          <w:position w:val="-10"/>
        </w:rPr>
        <w:object w:dxaOrig="4920" w:dyaOrig="320">
          <v:shape id="_x0000_i1032" type="#_x0000_t75" style="width:245.95pt;height:16.15pt" o:ole="">
            <v:imagedata r:id="rId31" o:title=""/>
          </v:shape>
          <o:OLEObject Type="Embed" ProgID="Equation.3" ShapeID="_x0000_i1032" DrawAspect="Content" ObjectID="_1361104444" r:id="rId32"/>
        </w:object>
      </w:r>
      <w:r>
        <w:rPr>
          <w:lang w:val="en-US"/>
        </w:rPr>
        <w:tab/>
        <w:t>(5)</w:t>
      </w:r>
    </w:p>
    <w:p w:rsidR="003D7E17" w:rsidRDefault="003D7E17">
      <w:r>
        <w:t>The (</w:t>
      </w:r>
      <w:r>
        <w:rPr>
          <w:i/>
          <w:iCs/>
        </w:rPr>
        <w:t>C</w:t>
      </w:r>
      <w:r>
        <w:t>/</w:t>
      </w:r>
      <w:r>
        <w:rPr>
          <w:i/>
          <w:iCs/>
        </w:rPr>
        <w:t>I</w:t>
      </w:r>
      <w:r>
        <w:t>) in equation (4) is normally expressed in relation to (</w:t>
      </w:r>
      <w:r>
        <w:rPr>
          <w:i/>
          <w:iCs/>
        </w:rPr>
        <w:t>C</w:t>
      </w:r>
      <w:r>
        <w:t>/</w:t>
      </w:r>
      <w:r>
        <w:rPr>
          <w:i/>
          <w:iCs/>
        </w:rPr>
        <w:t>N</w:t>
      </w:r>
      <w:r>
        <w:t>), and since loss of availability is the prime concern, it is expressed in relation to the threshold (</w:t>
      </w:r>
      <w:r>
        <w:rPr>
          <w:i/>
          <w:iCs/>
        </w:rPr>
        <w:t>C</w:t>
      </w:r>
      <w:r>
        <w:t>/</w:t>
      </w:r>
      <w:r>
        <w:rPr>
          <w:i/>
          <w:iCs/>
        </w:rPr>
        <w:t>N</w:t>
      </w:r>
      <w:r>
        <w:t>)</w:t>
      </w:r>
      <w:r>
        <w:rPr>
          <w:i/>
          <w:position w:val="-4"/>
          <w:sz w:val="16"/>
        </w:rPr>
        <w:t>T</w:t>
      </w:r>
      <w:r>
        <w:t xml:space="preserve"> as follows:</w:t>
      </w:r>
    </w:p>
    <w:p w:rsidR="003D7E17" w:rsidRDefault="003D7E17">
      <w:pPr>
        <w:pStyle w:val="Equation"/>
      </w:pPr>
      <w:r>
        <w:rPr>
          <w:lang w:val="en-US"/>
        </w:rPr>
        <w:tab/>
      </w:r>
      <w:r>
        <w:rPr>
          <w:lang w:val="en-US"/>
        </w:rPr>
        <w:tab/>
      </w:r>
      <w:r>
        <w:t>(</w:t>
      </w:r>
      <w:r>
        <w:rPr>
          <w:i/>
          <w:iCs/>
        </w:rPr>
        <w:t>C</w:t>
      </w:r>
      <w:r>
        <w:t>/</w:t>
      </w:r>
      <w:r>
        <w:rPr>
          <w:i/>
          <w:iCs/>
        </w:rPr>
        <w:t>I</w:t>
      </w:r>
      <w:r>
        <w:t xml:space="preserve">)  </w:t>
      </w:r>
      <w:r>
        <w:rPr>
          <w:rFonts w:ascii="Symbol" w:hAnsi="Symbol"/>
        </w:rPr>
        <w:t></w:t>
      </w:r>
      <w:r>
        <w:t xml:space="preserve">  (</w:t>
      </w:r>
      <w:r>
        <w:rPr>
          <w:i/>
          <w:iCs/>
        </w:rPr>
        <w:t>C</w:t>
      </w:r>
      <w:r>
        <w:t>/</w:t>
      </w:r>
      <w:r>
        <w:rPr>
          <w:i/>
          <w:iCs/>
        </w:rPr>
        <w:t>N</w:t>
      </w:r>
      <w:r>
        <w:t>)</w:t>
      </w:r>
      <w:r>
        <w:rPr>
          <w:i/>
          <w:iCs/>
          <w:position w:val="-4"/>
          <w:sz w:val="18"/>
        </w:rPr>
        <w:t>T</w:t>
      </w:r>
      <w:r>
        <w:t xml:space="preserve"> (</w:t>
      </w:r>
      <w:r>
        <w:rPr>
          <w:i/>
          <w:iCs/>
        </w:rPr>
        <w:t>P</w:t>
      </w:r>
      <w:r>
        <w:rPr>
          <w:position w:val="-4"/>
          <w:sz w:val="18"/>
        </w:rPr>
        <w:t>4</w:t>
      </w:r>
      <w:r>
        <w:rPr>
          <w:rFonts w:ascii="Tms Rmn" w:hAnsi="Tms Rmn"/>
          <w:sz w:val="8"/>
        </w:rPr>
        <w:t> </w:t>
      </w:r>
      <w:r>
        <w:t>/</w:t>
      </w:r>
      <w:r>
        <w:rPr>
          <w:i/>
          <w:iCs/>
        </w:rPr>
        <w:t>P</w:t>
      </w:r>
      <w:r>
        <w:rPr>
          <w:position w:val="-4"/>
          <w:sz w:val="18"/>
        </w:rPr>
        <w:t>3</w:t>
      </w:r>
      <w:r>
        <w:t>)</w:t>
      </w:r>
      <w:r>
        <w:tab/>
        <w:t>(6)</w:t>
      </w:r>
    </w:p>
    <w:p w:rsidR="003D7E17" w:rsidRDefault="003D7E17">
      <w:pPr>
        <w:pStyle w:val="Index1"/>
        <w:tabs>
          <w:tab w:val="clear" w:pos="1588"/>
          <w:tab w:val="left" w:pos="1843"/>
        </w:tabs>
      </w:pPr>
      <w:r>
        <w:br w:type="page"/>
      </w:r>
      <w:r>
        <w:lastRenderedPageBreak/>
        <w:t>where</w:t>
      </w:r>
    </w:p>
    <w:p w:rsidR="003D7E17" w:rsidRDefault="003D7E17">
      <w:pPr>
        <w:pStyle w:val="enumlev1"/>
        <w:tabs>
          <w:tab w:val="left" w:pos="851"/>
        </w:tabs>
      </w:pPr>
      <w:r>
        <w:rPr>
          <w:i/>
          <w:iCs/>
        </w:rPr>
        <w:tab/>
        <w:t>P</w:t>
      </w:r>
      <w:r>
        <w:rPr>
          <w:position w:val="-4"/>
          <w:sz w:val="16"/>
        </w:rPr>
        <w:t>4</w:t>
      </w:r>
      <w:r>
        <w:rPr>
          <w:rFonts w:ascii="Tms Rmn" w:hAnsi="Tms Rmn"/>
          <w:position w:val="-4"/>
          <w:sz w:val="12"/>
        </w:rPr>
        <w:t> </w:t>
      </w:r>
      <w:r>
        <w:t>:</w:t>
      </w:r>
      <w:r>
        <w:tab/>
        <w:t>probability associated with (</w:t>
      </w:r>
      <w:r>
        <w:rPr>
          <w:i/>
          <w:iCs/>
        </w:rPr>
        <w:t>C</w:t>
      </w:r>
      <w:r>
        <w:t>/</w:t>
      </w:r>
      <w:r>
        <w:rPr>
          <w:i/>
          <w:iCs/>
        </w:rPr>
        <w:t>N</w:t>
      </w:r>
      <w:r>
        <w:t>)</w:t>
      </w:r>
      <w:r>
        <w:rPr>
          <w:i/>
          <w:position w:val="-4"/>
          <w:sz w:val="16"/>
        </w:rPr>
        <w:t>T</w:t>
      </w:r>
      <w:r>
        <w:t xml:space="preserve"> and is set equal to </w:t>
      </w:r>
      <w:r>
        <w:rPr>
          <w:i/>
          <w:iCs/>
        </w:rPr>
        <w:t>P</w:t>
      </w:r>
      <w:r>
        <w:t>(</w:t>
      </w:r>
      <w:r>
        <w:rPr>
          <w:rFonts w:ascii="Symbol" w:hAnsi="Symbol"/>
        </w:rPr>
        <w:t></w:t>
      </w:r>
      <w:r>
        <w:rPr>
          <w:i/>
          <w:iCs/>
        </w:rPr>
        <w:t>G</w:t>
      </w:r>
      <w:r>
        <w:t>)</w:t>
      </w:r>
    </w:p>
    <w:p w:rsidR="003D7E17" w:rsidRDefault="003D7E17">
      <w:pPr>
        <w:pStyle w:val="enumlev1"/>
        <w:tabs>
          <w:tab w:val="left" w:pos="851"/>
        </w:tabs>
        <w:rPr>
          <w:i/>
          <w:iCs/>
        </w:rPr>
      </w:pPr>
      <w:r>
        <w:tab/>
      </w:r>
      <w:r>
        <w:rPr>
          <w:i/>
          <w:iCs/>
        </w:rPr>
        <w:t>P</w:t>
      </w:r>
      <w:r>
        <w:rPr>
          <w:position w:val="-4"/>
          <w:sz w:val="16"/>
        </w:rPr>
        <w:t>3</w:t>
      </w:r>
      <w:r>
        <w:rPr>
          <w:rFonts w:ascii="Tms Rmn" w:hAnsi="Tms Rmn"/>
          <w:position w:val="-4"/>
          <w:sz w:val="12"/>
        </w:rPr>
        <w:t> </w:t>
      </w:r>
      <w:r>
        <w:t>:</w:t>
      </w:r>
      <w:r>
        <w:tab/>
        <w:t>probability associated with (</w:t>
      </w:r>
      <w:r>
        <w:rPr>
          <w:i/>
          <w:iCs/>
        </w:rPr>
        <w:t>C</w:t>
      </w:r>
      <w:r>
        <w:t>/</w:t>
      </w:r>
      <w:r>
        <w:rPr>
          <w:i/>
          <w:iCs/>
        </w:rPr>
        <w:t>I</w:t>
      </w:r>
      <w:r>
        <w:t>).</w:t>
      </w:r>
    </w:p>
    <w:p w:rsidR="003D7E17" w:rsidRDefault="003D7E17">
      <w:r>
        <w:t>The ratio (</w:t>
      </w:r>
      <w:r>
        <w:rPr>
          <w:i/>
          <w:iCs/>
        </w:rPr>
        <w:t>P</w:t>
      </w:r>
      <w:r>
        <w:rPr>
          <w:position w:val="-4"/>
          <w:sz w:val="16"/>
        </w:rPr>
        <w:t>4</w:t>
      </w:r>
      <w:r>
        <w:t>/</w:t>
      </w:r>
      <w:r>
        <w:rPr>
          <w:i/>
          <w:iCs/>
        </w:rPr>
        <w:t>P</w:t>
      </w:r>
      <w:r>
        <w:rPr>
          <w:position w:val="-4"/>
          <w:sz w:val="16"/>
        </w:rPr>
        <w:t>3</w:t>
      </w:r>
      <w:r>
        <w:t>) is analogous and numerically equal to (</w:t>
      </w:r>
      <w:r>
        <w:rPr>
          <w:i/>
          <w:iCs/>
        </w:rPr>
        <w:t>I</w:t>
      </w:r>
      <w:r>
        <w:t>/</w:t>
      </w:r>
      <w:r>
        <w:rPr>
          <w:i/>
          <w:iCs/>
        </w:rPr>
        <w:t>N</w:t>
      </w:r>
      <w:r>
        <w:t xml:space="preserve">) criteria. The allowable non-availability, </w:t>
      </w:r>
      <w:r>
        <w:rPr>
          <w:i/>
          <w:iCs/>
        </w:rPr>
        <w:t>P</w:t>
      </w:r>
      <w:r>
        <w:t xml:space="preserve">, is based on </w:t>
      </w:r>
      <w:r>
        <w:rPr>
          <w:i/>
          <w:iCs/>
        </w:rPr>
        <w:t>C</w:t>
      </w:r>
      <w:r>
        <w:t>/(</w:t>
      </w:r>
      <w:r>
        <w:rPr>
          <w:i/>
          <w:iCs/>
        </w:rPr>
        <w:t>N </w:t>
      </w:r>
      <w:r>
        <w:t>+ </w:t>
      </w:r>
      <w:r>
        <w:rPr>
          <w:i/>
          <w:iCs/>
        </w:rPr>
        <w:t>I</w:t>
      </w:r>
      <w:r>
        <w:t xml:space="preserve">) so that </w:t>
      </w:r>
      <w:r>
        <w:rPr>
          <w:i/>
          <w:iCs/>
        </w:rPr>
        <w:t>P</w:t>
      </w:r>
      <w:r>
        <w:t>(</w:t>
      </w:r>
      <w:r>
        <w:rPr>
          <w:rFonts w:ascii="Symbol" w:hAnsi="Symbol"/>
        </w:rPr>
        <w:t></w:t>
      </w:r>
      <w:r>
        <w:rPr>
          <w:i/>
          <w:iCs/>
        </w:rPr>
        <w:t>G</w:t>
      </w:r>
      <w:r>
        <w:t xml:space="preserve">)  </w:t>
      </w:r>
      <w:r>
        <w:rPr>
          <w:rFonts w:ascii="Symbol" w:hAnsi="Symbol"/>
        </w:rPr>
        <w:t></w:t>
      </w:r>
      <w:r>
        <w:t xml:space="preserve">  </w:t>
      </w:r>
      <w:r>
        <w:rPr>
          <w:i/>
          <w:iCs/>
        </w:rPr>
        <w:t>P</w:t>
      </w:r>
      <w:r>
        <w:t xml:space="preserve"> – </w:t>
      </w:r>
      <w:r>
        <w:rPr>
          <w:i/>
          <w:iCs/>
        </w:rPr>
        <w:t>P</w:t>
      </w:r>
      <w:r>
        <w:rPr>
          <w:position w:val="-4"/>
          <w:sz w:val="16"/>
        </w:rPr>
        <w:t>3</w:t>
      </w:r>
      <w:r>
        <w:t xml:space="preserve"> which results in:</w:t>
      </w:r>
    </w:p>
    <w:p w:rsidR="003D7E17" w:rsidRDefault="003D7E17">
      <w:pPr>
        <w:pStyle w:val="Equation"/>
      </w:pPr>
      <w:r>
        <w:rPr>
          <w:lang w:val="en-US"/>
        </w:rPr>
        <w:tab/>
      </w:r>
      <w:r>
        <w:rPr>
          <w:lang w:val="en-US"/>
        </w:rPr>
        <w:tab/>
      </w:r>
      <w:r>
        <w:rPr>
          <w:i/>
          <w:iCs/>
        </w:rPr>
        <w:t>P</w:t>
      </w:r>
      <w:r>
        <w:t>(</w:t>
      </w:r>
      <w:r>
        <w:rPr>
          <w:rFonts w:ascii="Symbol" w:hAnsi="Symbol"/>
        </w:rPr>
        <w:t></w:t>
      </w:r>
      <w:r>
        <w:rPr>
          <w:i/>
          <w:iCs/>
        </w:rPr>
        <w:t>G</w:t>
      </w:r>
      <w:r>
        <w:t xml:space="preserve">)  </w:t>
      </w:r>
      <w:r>
        <w:rPr>
          <w:rFonts w:ascii="Symbol" w:hAnsi="Symbol"/>
          <w:lang w:val="fr-FR"/>
        </w:rPr>
        <w:t></w:t>
      </w:r>
      <w:r>
        <w:rPr>
          <w:lang w:val="en-US"/>
        </w:rPr>
        <w:t xml:space="preserve"> </w:t>
      </w:r>
      <w:r>
        <w:t xml:space="preserve"> </w:t>
      </w:r>
      <w:r>
        <w:rPr>
          <w:i/>
          <w:iCs/>
        </w:rPr>
        <w:t>P</w:t>
      </w:r>
      <w:r>
        <w:t>/(</w:t>
      </w:r>
      <w:r>
        <w:rPr>
          <w:i/>
          <w:iCs/>
        </w:rPr>
        <w:t>I</w:t>
      </w:r>
      <w:r>
        <w:t>/</w:t>
      </w:r>
      <w:r>
        <w:rPr>
          <w:i/>
          <w:iCs/>
        </w:rPr>
        <w:t>N</w:t>
      </w:r>
      <w:r>
        <w:t xml:space="preserve">  </w:t>
      </w:r>
      <w:r>
        <w:rPr>
          <w:rFonts w:ascii="Symbol" w:hAnsi="Symbol"/>
        </w:rPr>
        <w:t></w:t>
      </w:r>
      <w:r>
        <w:t xml:space="preserve">  1)</w:t>
      </w:r>
      <w:r>
        <w:tab/>
        <w:t>(7)</w:t>
      </w:r>
    </w:p>
    <w:p w:rsidR="003D7E17" w:rsidRDefault="003D7E17">
      <w:r>
        <w:t xml:space="preserve">It is now necessary to relate </w:t>
      </w:r>
      <w:r>
        <w:rPr>
          <w:rFonts w:ascii="Symbol" w:hAnsi="Symbol"/>
        </w:rPr>
        <w:t></w:t>
      </w:r>
      <w:r>
        <w:rPr>
          <w:i/>
          <w:iCs/>
        </w:rPr>
        <w:t>G</w:t>
      </w:r>
      <w:r>
        <w:t xml:space="preserve"> to pfd. First, a pfd is determined when the telemetry antenna is directed toward the satellite:</w:t>
      </w:r>
    </w:p>
    <w:p w:rsidR="003D7E17" w:rsidRDefault="003D7E17">
      <w:pPr>
        <w:pStyle w:val="Equation"/>
        <w:rPr>
          <w:lang w:val="en-US"/>
        </w:rPr>
      </w:pPr>
      <w:r w:rsidRPr="00B86BCC">
        <w:rPr>
          <w:lang w:val="en-US"/>
        </w:rPr>
        <w:tab/>
      </w:r>
      <w:r w:rsidRPr="00B86BCC">
        <w:rPr>
          <w:lang w:val="en-US"/>
        </w:rPr>
        <w:tab/>
      </w:r>
      <w:r>
        <w:rPr>
          <w:position w:val="-32"/>
        </w:rPr>
        <w:object w:dxaOrig="3280" w:dyaOrig="680">
          <v:shape id="_x0000_i1033" type="#_x0000_t75" style="width:164.15pt;height:34pt" o:ole="">
            <v:imagedata r:id="rId33" o:title=""/>
          </v:shape>
          <o:OLEObject Type="Embed" ProgID="Equation.3" ShapeID="_x0000_i1033" DrawAspect="Content" ObjectID="_1361104445" r:id="rId34"/>
        </w:object>
      </w:r>
      <w:r w:rsidRPr="00B86BCC">
        <w:rPr>
          <w:lang w:val="en-US"/>
        </w:rPr>
        <w:tab/>
      </w:r>
      <w:r>
        <w:rPr>
          <w:lang w:val="en-US"/>
        </w:rPr>
        <w:t>(8)</w:t>
      </w:r>
    </w:p>
    <w:p w:rsidR="003D7E17" w:rsidRDefault="003D7E17">
      <w:pPr>
        <w:tabs>
          <w:tab w:val="clear" w:pos="794"/>
          <w:tab w:val="left" w:pos="851"/>
        </w:tabs>
      </w:pPr>
      <w:r>
        <w:t>where:</w:t>
      </w:r>
    </w:p>
    <w:p w:rsidR="003D7E17" w:rsidRDefault="003D7E17">
      <w:pPr>
        <w:pStyle w:val="enumlev1"/>
        <w:tabs>
          <w:tab w:val="left" w:pos="851"/>
        </w:tabs>
      </w:pPr>
      <w:r>
        <w:tab/>
      </w:r>
      <w:r>
        <w:rPr>
          <w:i/>
          <w:iCs/>
        </w:rPr>
        <w:t>k</w:t>
      </w:r>
      <w:r>
        <w:rPr>
          <w:lang w:val="en-US"/>
        </w:rPr>
        <w:t>:</w:t>
      </w:r>
      <w:r>
        <w:rPr>
          <w:lang w:val="en-US"/>
        </w:rPr>
        <w:tab/>
      </w:r>
      <w:r>
        <w:t>Boltzmann's constant</w:t>
      </w:r>
    </w:p>
    <w:p w:rsidR="003D7E17" w:rsidRPr="00B86BCC" w:rsidRDefault="003D7E17">
      <w:pPr>
        <w:pStyle w:val="enumlev1"/>
        <w:tabs>
          <w:tab w:val="left" w:pos="851"/>
        </w:tabs>
        <w:rPr>
          <w:lang w:val="en-US"/>
        </w:rPr>
      </w:pPr>
      <w:r>
        <w:tab/>
      </w:r>
      <w:r w:rsidRPr="00B86BCC">
        <w:rPr>
          <w:i/>
          <w:iCs/>
          <w:lang w:val="en-US"/>
        </w:rPr>
        <w:t>T</w:t>
      </w:r>
      <w:r w:rsidRPr="00B86BCC">
        <w:rPr>
          <w:lang w:val="en-US"/>
        </w:rPr>
        <w:t>:</w:t>
      </w:r>
      <w:r w:rsidRPr="00B86BCC">
        <w:rPr>
          <w:lang w:val="en-US"/>
        </w:rPr>
        <w:tab/>
        <w:t>noise temperature (K)</w:t>
      </w:r>
    </w:p>
    <w:p w:rsidR="003D7E17" w:rsidRDefault="003D7E17">
      <w:pPr>
        <w:pStyle w:val="enumlev1"/>
        <w:tabs>
          <w:tab w:val="left" w:pos="851"/>
        </w:tabs>
      </w:pPr>
      <w:r w:rsidRPr="00B86BCC">
        <w:rPr>
          <w:lang w:val="en-US"/>
        </w:rPr>
        <w:tab/>
      </w:r>
      <w:r>
        <w:rPr>
          <w:i/>
          <w:iCs/>
        </w:rPr>
        <w:t>B</w:t>
      </w:r>
      <w:r>
        <w:rPr>
          <w:lang w:val="en-US"/>
        </w:rPr>
        <w:t>:</w:t>
      </w:r>
      <w:r>
        <w:rPr>
          <w:lang w:val="en-US"/>
        </w:rPr>
        <w:tab/>
      </w:r>
      <w:r>
        <w:t>bandwidth (Hz)</w:t>
      </w:r>
    </w:p>
    <w:p w:rsidR="003D7E17" w:rsidRDefault="003D7E17">
      <w:pPr>
        <w:pStyle w:val="enumlev1"/>
        <w:tabs>
          <w:tab w:val="left" w:pos="851"/>
        </w:tabs>
      </w:pPr>
      <w:r>
        <w:rPr>
          <w:lang w:val="en-US"/>
        </w:rPr>
        <w:tab/>
      </w:r>
      <w:r>
        <w:rPr>
          <w:i/>
          <w:iCs/>
        </w:rPr>
        <w:t>G</w:t>
      </w:r>
      <w:r>
        <w:rPr>
          <w:position w:val="-4"/>
          <w:sz w:val="16"/>
        </w:rPr>
        <w:t xml:space="preserve">0 </w:t>
      </w:r>
      <w:r>
        <w:rPr>
          <w:rFonts w:ascii="Symbol" w:hAnsi="Symbol"/>
        </w:rPr>
        <w:t></w:t>
      </w:r>
      <w:r>
        <w:rPr>
          <w:rFonts w:hint="eastAsia"/>
        </w:rPr>
        <w:t> </w:t>
      </w:r>
      <w:r>
        <w:t>13</w:t>
      </w:r>
      <w:r>
        <w:rPr>
          <w:rFonts w:ascii="Tms Rmn" w:hAnsi="Tms Rmn"/>
          <w:sz w:val="12"/>
        </w:rPr>
        <w:t> </w:t>
      </w:r>
      <w:r>
        <w:t>183 (41.2 dB).</w:t>
      </w:r>
    </w:p>
    <w:p w:rsidR="003D7E17" w:rsidRDefault="003D7E17">
      <w:r>
        <w:t>This pfd is associated with a (</w:t>
      </w:r>
      <w:r>
        <w:rPr>
          <w:rFonts w:ascii="Symbol" w:hAnsi="Symbol"/>
        </w:rPr>
        <w:t></w:t>
      </w:r>
      <w:r>
        <w:rPr>
          <w:i/>
          <w:iCs/>
        </w:rPr>
        <w:t>G</w:t>
      </w:r>
      <w:r>
        <w:t>)</w:t>
      </w:r>
      <w:r>
        <w:rPr>
          <w:i/>
          <w:position w:val="-4"/>
          <w:sz w:val="16"/>
        </w:rPr>
        <w:t>m</w:t>
      </w:r>
      <w:r>
        <w:t xml:space="preserve"> at a </w:t>
      </w:r>
      <w:r>
        <w:rPr>
          <w:i/>
          <w:iCs/>
        </w:rPr>
        <w:t>P</w:t>
      </w:r>
      <w:r>
        <w:t>(</w:t>
      </w:r>
      <w:r>
        <w:rPr>
          <w:rFonts w:ascii="Symbol" w:hAnsi="Symbol"/>
        </w:rPr>
        <w:t></w:t>
      </w:r>
      <w:r>
        <w:rPr>
          <w:i/>
          <w:iCs/>
        </w:rPr>
        <w:t>G</w:t>
      </w:r>
      <w:r>
        <w:t xml:space="preserve">). At </w:t>
      </w:r>
      <w:r>
        <w:rPr>
          <w:i/>
          <w:iCs/>
        </w:rPr>
        <w:t>G</w:t>
      </w:r>
      <w:r>
        <w:rPr>
          <w:position w:val="-4"/>
          <w:sz w:val="16"/>
        </w:rPr>
        <w:t>0</w:t>
      </w:r>
      <w:r>
        <w:t xml:space="preserve">, only </w:t>
      </w:r>
      <w:r>
        <w:rPr>
          <w:i/>
          <w:iCs/>
        </w:rPr>
        <w:t>C</w:t>
      </w:r>
      <w:r>
        <w:t xml:space="preserve"> is variable and thus, </w:t>
      </w:r>
      <w:r>
        <w:rPr>
          <w:i/>
          <w:iCs/>
        </w:rPr>
        <w:t>C</w:t>
      </w:r>
      <w:r>
        <w:t>/</w:t>
      </w:r>
      <w:r>
        <w:rPr>
          <w:i/>
          <w:iCs/>
        </w:rPr>
        <w:t>I</w:t>
      </w:r>
      <w:r>
        <w:t xml:space="preserve"> is given by equation (2). The (</w:t>
      </w:r>
      <w:r>
        <w:rPr>
          <w:rFonts w:ascii="Symbol" w:hAnsi="Symbol"/>
        </w:rPr>
        <w:t></w:t>
      </w:r>
      <w:r>
        <w:rPr>
          <w:i/>
          <w:iCs/>
        </w:rPr>
        <w:t>G</w:t>
      </w:r>
      <w:r>
        <w:t>)</w:t>
      </w:r>
      <w:r>
        <w:rPr>
          <w:i/>
          <w:position w:val="-4"/>
          <w:sz w:val="16"/>
        </w:rPr>
        <w:t>m</w:t>
      </w:r>
      <w:r>
        <w:t xml:space="preserve"> function is closely approximated by:</w:t>
      </w:r>
    </w:p>
    <w:p w:rsidR="003D7E17" w:rsidRDefault="003D7E17">
      <w:pPr>
        <w:pStyle w:val="Equation"/>
        <w:rPr>
          <w:lang w:val="en-US"/>
        </w:rPr>
      </w:pPr>
      <w:r>
        <w:rPr>
          <w:lang w:val="en-US"/>
        </w:rPr>
        <w:tab/>
      </w:r>
      <w:r>
        <w:rPr>
          <w:lang w:val="en-US"/>
        </w:rPr>
        <w:tab/>
        <w:t>(</w:t>
      </w:r>
      <w:r>
        <w:rPr>
          <w:rFonts w:ascii="Symbol" w:hAnsi="Symbol"/>
        </w:rPr>
        <w:t></w:t>
      </w:r>
      <w:r>
        <w:rPr>
          <w:i/>
          <w:iCs/>
          <w:lang w:val="en-US"/>
        </w:rPr>
        <w:t>G</w:t>
      </w:r>
      <w:r>
        <w:rPr>
          <w:lang w:val="en-US"/>
        </w:rPr>
        <w:t>)</w:t>
      </w:r>
      <w:r>
        <w:rPr>
          <w:i/>
          <w:iCs/>
          <w:position w:val="-4"/>
          <w:sz w:val="18"/>
          <w:lang w:val="en-US"/>
        </w:rPr>
        <w:t>m</w:t>
      </w:r>
      <w:r>
        <w:rPr>
          <w:lang w:val="en-US"/>
        </w:rPr>
        <w:t xml:space="preserve">  </w:t>
      </w:r>
      <w:r>
        <w:rPr>
          <w:rFonts w:ascii="Symbol" w:hAnsi="Symbol"/>
        </w:rPr>
        <w:t></w:t>
      </w:r>
      <w:r>
        <w:rPr>
          <w:lang w:val="en-US"/>
        </w:rPr>
        <w:t xml:space="preserve">  45</w:t>
      </w:r>
      <w:r>
        <w:rPr>
          <w:rFonts w:ascii="Tms Rmn" w:hAnsi="Tms Rmn"/>
          <w:sz w:val="12"/>
          <w:lang w:val="en-US"/>
        </w:rPr>
        <w:t> </w:t>
      </w:r>
      <w:r>
        <w:rPr>
          <w:lang w:val="en-US"/>
        </w:rPr>
        <w:t>000/</w:t>
      </w:r>
      <w:r>
        <w:rPr>
          <w:i/>
          <w:iCs/>
          <w:lang w:val="en-US"/>
        </w:rPr>
        <w:t>P</w:t>
      </w:r>
      <w:r>
        <w:rPr>
          <w:lang w:val="en-US"/>
        </w:rPr>
        <w:t>(</w:t>
      </w:r>
      <w:r>
        <w:rPr>
          <w:rFonts w:ascii="Symbol" w:hAnsi="Symbol"/>
        </w:rPr>
        <w:t></w:t>
      </w:r>
      <w:r>
        <w:rPr>
          <w:i/>
          <w:iCs/>
          <w:lang w:val="en-US"/>
        </w:rPr>
        <w:t>G</w:t>
      </w:r>
      <w:r>
        <w:rPr>
          <w:lang w:val="en-US"/>
        </w:rPr>
        <w:t>)</w:t>
      </w:r>
      <w:r>
        <w:rPr>
          <w:position w:val="6"/>
          <w:sz w:val="18"/>
          <w:lang w:val="en-US"/>
        </w:rPr>
        <w:t>1.25</w:t>
      </w:r>
      <w:r>
        <w:rPr>
          <w:lang w:val="en-US"/>
        </w:rPr>
        <w:tab/>
        <w:t>(9)</w:t>
      </w:r>
    </w:p>
    <w:p w:rsidR="003D7E17" w:rsidRDefault="003D7E17">
      <w:r>
        <w:t>The pfd from equation (8) can be increased by (</w:t>
      </w:r>
      <w:r>
        <w:rPr>
          <w:rFonts w:ascii="Symbol" w:hAnsi="Symbol"/>
        </w:rPr>
        <w:t></w:t>
      </w:r>
      <w:r>
        <w:rPr>
          <w:i/>
          <w:iCs/>
        </w:rPr>
        <w:t>G</w:t>
      </w:r>
      <w:r>
        <w:t>)</w:t>
      </w:r>
      <w:r>
        <w:rPr>
          <w:i/>
          <w:position w:val="-4"/>
          <w:sz w:val="16"/>
        </w:rPr>
        <w:t>m</w:t>
      </w:r>
      <w:r>
        <w:t>/(</w:t>
      </w:r>
      <w:r>
        <w:rPr>
          <w:rFonts w:ascii="Symbol" w:hAnsi="Symbol"/>
        </w:rPr>
        <w:t></w:t>
      </w:r>
      <w:r>
        <w:rPr>
          <w:i/>
          <w:iCs/>
        </w:rPr>
        <w:t>G</w:t>
      </w:r>
      <w:r>
        <w:t>). Thus:</w:t>
      </w:r>
    </w:p>
    <w:p w:rsidR="003D7E17" w:rsidRDefault="003D7E17">
      <w:pPr>
        <w:pStyle w:val="Equation"/>
        <w:rPr>
          <w:lang w:val="en-US"/>
        </w:rPr>
      </w:pPr>
      <w:r w:rsidRPr="00B86BCC">
        <w:rPr>
          <w:lang w:val="en-US"/>
        </w:rPr>
        <w:tab/>
      </w:r>
      <w:r w:rsidRPr="00B86BCC">
        <w:rPr>
          <w:lang w:val="en-US"/>
        </w:rPr>
        <w:tab/>
      </w:r>
      <w:r>
        <w:rPr>
          <w:position w:val="-32"/>
        </w:rPr>
        <w:object w:dxaOrig="6520" w:dyaOrig="680">
          <v:shape id="_x0000_i1034" type="#_x0000_t75" style="width:326pt;height:34pt" o:ole="">
            <v:imagedata r:id="rId35" o:title=""/>
          </v:shape>
          <o:OLEObject Type="Embed" ProgID="Equation.3" ShapeID="_x0000_i1034" DrawAspect="Content" ObjectID="_1361104446" r:id="rId36"/>
        </w:object>
      </w:r>
      <w:r>
        <w:rPr>
          <w:lang w:val="en-US"/>
        </w:rPr>
        <w:tab/>
        <w:t>(10)</w:t>
      </w:r>
    </w:p>
    <w:p w:rsidR="003D7E17" w:rsidRDefault="003D7E17">
      <w:pPr>
        <w:pStyle w:val="Heading3"/>
      </w:pPr>
      <w:r>
        <w:t>2.2.3</w:t>
      </w:r>
      <w:r>
        <w:tab/>
        <w:t>Impact on telemetry link design</w:t>
      </w:r>
    </w:p>
    <w:p w:rsidR="003D7E17" w:rsidRDefault="003D7E17">
      <w:r>
        <w:t xml:space="preserve">Analyses show that the value of </w:t>
      </w:r>
      <w:r>
        <w:rPr>
          <w:i/>
          <w:iCs/>
        </w:rPr>
        <w:t>P</w:t>
      </w:r>
      <w:r>
        <w:t>, the telemetry link non-availability, does not significantly affect the pfd values. The pfd values are primarily determined by the value of (</w:t>
      </w:r>
      <w:r>
        <w:rPr>
          <w:i/>
          <w:iCs/>
        </w:rPr>
        <w:t>I</w:t>
      </w:r>
      <w:r>
        <w:t>/</w:t>
      </w:r>
      <w:r>
        <w:rPr>
          <w:i/>
          <w:iCs/>
        </w:rPr>
        <w:t>N</w:t>
      </w:r>
      <w:r>
        <w:t xml:space="preserve">). The impact on the telemetry link measured in terms of the decrease in usable range, </w:t>
      </w:r>
      <w:r>
        <w:rPr>
          <w:i/>
          <w:iCs/>
        </w:rPr>
        <w:t>R</w:t>
      </w:r>
      <w:r>
        <w:t xml:space="preserve">, for a given </w:t>
      </w:r>
      <w:r>
        <w:rPr>
          <w:i/>
          <w:iCs/>
        </w:rPr>
        <w:t>P</w:t>
      </w:r>
      <w:r>
        <w:t>, as a function of (</w:t>
      </w:r>
      <w:r>
        <w:rPr>
          <w:i/>
          <w:iCs/>
        </w:rPr>
        <w:t>I</w:t>
      </w:r>
      <w:r>
        <w:t>/</w:t>
      </w:r>
      <w:r>
        <w:rPr>
          <w:i/>
          <w:iCs/>
        </w:rPr>
        <w:t>N</w:t>
      </w:r>
      <w:r>
        <w:t xml:space="preserve">) can be determined from equation (7), since </w:t>
      </w:r>
      <w:r>
        <w:rPr>
          <w:i/>
          <w:iCs/>
        </w:rPr>
        <w:t>R</w:t>
      </w:r>
      <w:r>
        <w:rPr>
          <w:position w:val="6"/>
          <w:sz w:val="16"/>
        </w:rPr>
        <w:t>2</w:t>
      </w:r>
      <w:r>
        <w:t> </w:t>
      </w:r>
      <w:r>
        <w:rPr>
          <w:rFonts w:ascii="Symbol" w:hAnsi="Symbol"/>
        </w:rPr>
        <w:t></w:t>
      </w:r>
      <w:r>
        <w:t> 1/(</w:t>
      </w:r>
      <w:r>
        <w:rPr>
          <w:i/>
          <w:iCs/>
        </w:rPr>
        <w:t>N</w:t>
      </w:r>
      <w:r>
        <w:t> + I) for a fixed transmitter power. The decreased usable range as a function of (</w:t>
      </w:r>
      <w:r>
        <w:rPr>
          <w:i/>
          <w:iCs/>
        </w:rPr>
        <w:t>I</w:t>
      </w:r>
      <w:r>
        <w:t>/</w:t>
      </w:r>
      <w:r>
        <w:rPr>
          <w:i/>
          <w:iCs/>
        </w:rPr>
        <w:t>N</w:t>
      </w:r>
      <w:r>
        <w:t>) is shown in Fig. 4. The impact on telemetry link design becomes severe for (</w:t>
      </w:r>
      <w:r>
        <w:rPr>
          <w:i/>
          <w:iCs/>
        </w:rPr>
        <w:t>I</w:t>
      </w:r>
      <w:r>
        <w:t>/</w:t>
      </w:r>
      <w:r>
        <w:rPr>
          <w:i/>
          <w:iCs/>
        </w:rPr>
        <w:t>N</w:t>
      </w:r>
      <w:r>
        <w:t xml:space="preserve">) values greater than one (0 dB) because the link must be designed to overcome interference rather than internal noise. The maximum practical value is considered to be approximately </w:t>
      </w:r>
      <w:r>
        <w:rPr>
          <w:lang w:val="en-US"/>
        </w:rPr>
        <w:t>0.5 (</w:t>
      </w:r>
      <w:r>
        <w:rPr>
          <w:rFonts w:ascii="Symbol" w:hAnsi="Symbol"/>
          <w:lang w:val="en-US"/>
        </w:rPr>
        <w:noBreakHyphen/>
      </w:r>
      <w:r>
        <w:rPr>
          <w:lang w:val="en-US"/>
        </w:rPr>
        <w:t xml:space="preserve">3 dB) </w:t>
      </w:r>
      <w:r>
        <w:t>with smaller values desired.</w:t>
      </w:r>
    </w:p>
    <w:p w:rsidR="003D7E17" w:rsidRDefault="003D7E17">
      <w:pPr>
        <w:pStyle w:val="Heading2"/>
      </w:pPr>
      <w:r>
        <w:t>2.2.4</w:t>
      </w:r>
      <w:r>
        <w:tab/>
        <w:t>Interference allowances</w:t>
      </w:r>
    </w:p>
    <w:p w:rsidR="003D7E17" w:rsidRDefault="003D7E17">
      <w:r>
        <w:t xml:space="preserve">Based on the factors given in § 2.2.3, the following aggregate allowances appear appropriate for this case. The total noise is the sum of internal noise, </w:t>
      </w:r>
      <w:r>
        <w:rPr>
          <w:i/>
          <w:iCs/>
        </w:rPr>
        <w:t>N</w:t>
      </w:r>
      <w:r>
        <w:rPr>
          <w:i/>
          <w:position w:val="-4"/>
          <w:sz w:val="16"/>
        </w:rPr>
        <w:t>I</w:t>
      </w:r>
      <w:r>
        <w:t xml:space="preserve">, plus interference from satellites, </w:t>
      </w:r>
      <w:r>
        <w:rPr>
          <w:i/>
          <w:iCs/>
        </w:rPr>
        <w:t>I</w:t>
      </w:r>
      <w:r>
        <w:rPr>
          <w:i/>
          <w:position w:val="-4"/>
          <w:sz w:val="16"/>
        </w:rPr>
        <w:t>S</w:t>
      </w:r>
      <w:r>
        <w:t xml:space="preserve">, plus interference from terrestrial sources, </w:t>
      </w:r>
      <w:r>
        <w:rPr>
          <w:i/>
          <w:iCs/>
        </w:rPr>
        <w:t>I</w:t>
      </w:r>
      <w:r>
        <w:rPr>
          <w:i/>
          <w:position w:val="-4"/>
          <w:sz w:val="16"/>
        </w:rPr>
        <w:t>T</w:t>
      </w:r>
      <w:r>
        <w:t>. The aggregate permissible interference from satellites and terrestrial sources are:</w:t>
      </w:r>
    </w:p>
    <w:p w:rsidR="003D7E17" w:rsidRDefault="003D7E17">
      <w:pPr>
        <w:pStyle w:val="Equation"/>
      </w:pPr>
      <w:r w:rsidRPr="00B86BCC">
        <w:rPr>
          <w:lang w:val="en-US"/>
        </w:rPr>
        <w:tab/>
      </w:r>
      <w:r w:rsidRPr="00B86BCC">
        <w:rPr>
          <w:lang w:val="en-US"/>
        </w:rPr>
        <w:tab/>
      </w:r>
      <w:r>
        <w:rPr>
          <w:i/>
          <w:iCs/>
        </w:rPr>
        <w:t>I</w:t>
      </w:r>
      <w:r>
        <w:rPr>
          <w:i/>
          <w:iCs/>
          <w:position w:val="-4"/>
          <w:sz w:val="18"/>
        </w:rPr>
        <w:t>S</w:t>
      </w:r>
      <w:r>
        <w:rPr>
          <w:i/>
          <w:iCs/>
        </w:rPr>
        <w:t xml:space="preserve"> </w:t>
      </w:r>
      <w:r>
        <w:t xml:space="preserve"> </w:t>
      </w:r>
      <w:r>
        <w:rPr>
          <w:rFonts w:ascii="Symbol" w:hAnsi="Symbol"/>
        </w:rPr>
        <w:t></w:t>
      </w:r>
      <w:r>
        <w:t xml:space="preserve">  0.25 (</w:t>
      </w:r>
      <w:r>
        <w:rPr>
          <w:i/>
          <w:iCs/>
        </w:rPr>
        <w:t>N</w:t>
      </w:r>
      <w:r>
        <w:rPr>
          <w:i/>
          <w:iCs/>
          <w:position w:val="-4"/>
          <w:sz w:val="18"/>
        </w:rPr>
        <w:t>I</w:t>
      </w:r>
      <w:r>
        <w:t xml:space="preserve">  </w:t>
      </w:r>
      <w:r>
        <w:rPr>
          <w:rFonts w:ascii="Symbol" w:hAnsi="Symbol"/>
        </w:rPr>
        <w:t></w:t>
      </w:r>
      <w:r>
        <w:t xml:space="preserve">  </w:t>
      </w:r>
      <w:r>
        <w:rPr>
          <w:i/>
          <w:iCs/>
        </w:rPr>
        <w:t>I</w:t>
      </w:r>
      <w:r>
        <w:rPr>
          <w:i/>
          <w:iCs/>
          <w:position w:val="-4"/>
          <w:sz w:val="18"/>
        </w:rPr>
        <w:t>S</w:t>
      </w:r>
      <w:r>
        <w:t xml:space="preserve">  </w:t>
      </w:r>
      <w:r>
        <w:rPr>
          <w:rFonts w:ascii="Symbol" w:hAnsi="Symbol"/>
        </w:rPr>
        <w:t></w:t>
      </w:r>
      <w:r>
        <w:t xml:space="preserve">  </w:t>
      </w:r>
      <w:r>
        <w:rPr>
          <w:i/>
          <w:iCs/>
        </w:rPr>
        <w:t>I</w:t>
      </w:r>
      <w:r>
        <w:rPr>
          <w:i/>
          <w:iCs/>
          <w:position w:val="-4"/>
          <w:sz w:val="18"/>
        </w:rPr>
        <w:t>T</w:t>
      </w:r>
      <w:r>
        <w:t>)</w:t>
      </w:r>
      <w:r>
        <w:tab/>
        <w:t>(11)</w:t>
      </w:r>
    </w:p>
    <w:p w:rsidR="003D7E17" w:rsidRDefault="003D7E17">
      <w:pPr>
        <w:pStyle w:val="Equation"/>
      </w:pPr>
      <w:r>
        <w:tab/>
      </w:r>
      <w:r>
        <w:tab/>
      </w:r>
      <w:r>
        <w:rPr>
          <w:i/>
          <w:iCs/>
        </w:rPr>
        <w:t>I</w:t>
      </w:r>
      <w:r>
        <w:rPr>
          <w:i/>
          <w:iCs/>
          <w:position w:val="-4"/>
          <w:sz w:val="18"/>
        </w:rPr>
        <w:t>T</w:t>
      </w:r>
      <w:r>
        <w:t xml:space="preserve">  </w:t>
      </w:r>
      <w:r>
        <w:rPr>
          <w:rFonts w:ascii="Symbol" w:hAnsi="Symbol"/>
        </w:rPr>
        <w:t></w:t>
      </w:r>
      <w:r>
        <w:t xml:space="preserve">  0.10 (</w:t>
      </w:r>
      <w:r>
        <w:rPr>
          <w:i/>
          <w:iCs/>
        </w:rPr>
        <w:t>N</w:t>
      </w:r>
      <w:r>
        <w:rPr>
          <w:i/>
          <w:iCs/>
          <w:position w:val="-4"/>
          <w:sz w:val="18"/>
        </w:rPr>
        <w:t>I</w:t>
      </w:r>
      <w:r>
        <w:t xml:space="preserve">  </w:t>
      </w:r>
      <w:r>
        <w:rPr>
          <w:rFonts w:ascii="Symbol" w:hAnsi="Symbol"/>
        </w:rPr>
        <w:t></w:t>
      </w:r>
      <w:r>
        <w:t xml:space="preserve">  </w:t>
      </w:r>
      <w:r>
        <w:rPr>
          <w:i/>
          <w:iCs/>
        </w:rPr>
        <w:t>I</w:t>
      </w:r>
      <w:r>
        <w:rPr>
          <w:i/>
          <w:iCs/>
          <w:position w:val="-4"/>
          <w:sz w:val="18"/>
        </w:rPr>
        <w:t>S</w:t>
      </w:r>
      <w:r>
        <w:t xml:space="preserve">  </w:t>
      </w:r>
      <w:r>
        <w:rPr>
          <w:rFonts w:ascii="Symbol" w:hAnsi="Symbol"/>
        </w:rPr>
        <w:t></w:t>
      </w:r>
      <w:r>
        <w:t xml:space="preserve">  </w:t>
      </w:r>
      <w:r>
        <w:rPr>
          <w:i/>
          <w:iCs/>
        </w:rPr>
        <w:t>I</w:t>
      </w:r>
      <w:r>
        <w:rPr>
          <w:i/>
          <w:iCs/>
          <w:position w:val="-4"/>
          <w:sz w:val="18"/>
        </w:rPr>
        <w:t>T</w:t>
      </w:r>
      <w:r>
        <w:t>)</w:t>
      </w:r>
      <w:r>
        <w:tab/>
        <w:t>(12)</w:t>
      </w:r>
    </w:p>
    <w:p w:rsidR="003D7E17" w:rsidRDefault="003D7E17">
      <w:r>
        <w:t xml:space="preserve">From this, the aggregate allowable </w:t>
      </w:r>
      <w:r>
        <w:rPr>
          <w:i/>
          <w:iCs/>
        </w:rPr>
        <w:t>I</w:t>
      </w:r>
      <w:r>
        <w:t>/</w:t>
      </w:r>
      <w:r>
        <w:rPr>
          <w:i/>
          <w:iCs/>
        </w:rPr>
        <w:t>N</w:t>
      </w:r>
      <w:r>
        <w:t xml:space="preserve"> from satellites is 0.3846 or –4.15 dB, and from terrestrial sources is 0.1538 or </w:t>
      </w:r>
      <w:r>
        <w:rPr>
          <w:rFonts w:ascii="Symbol" w:hAnsi="Symbol"/>
        </w:rPr>
        <w:noBreakHyphen/>
      </w:r>
      <w:r>
        <w:t xml:space="preserve">8.13 dB. Since pfd is not particularly sensitive to </w:t>
      </w:r>
      <w:r>
        <w:rPr>
          <w:i/>
          <w:iCs/>
        </w:rPr>
        <w:t>P</w:t>
      </w:r>
      <w:r>
        <w:t xml:space="preserve">, a mid-range value of </w:t>
      </w:r>
      <w:r>
        <w:rPr>
          <w:i/>
          <w:iCs/>
        </w:rPr>
        <w:t>P</w:t>
      </w:r>
      <w:r>
        <w:t xml:space="preserve"> of 0.005 is selected for numerical evaluation which results in a </w:t>
      </w:r>
      <w:r>
        <w:rPr>
          <w:i/>
          <w:iCs/>
        </w:rPr>
        <w:t>P</w:t>
      </w:r>
      <w:r>
        <w:t>(</w:t>
      </w:r>
      <w:r>
        <w:rPr>
          <w:rFonts w:ascii="Symbol" w:hAnsi="Symbol"/>
        </w:rPr>
        <w:t></w:t>
      </w:r>
      <w:r>
        <w:rPr>
          <w:i/>
          <w:iCs/>
        </w:rPr>
        <w:t>G</w:t>
      </w:r>
      <w:r>
        <w:t>) of 0.003611 from equation (7).</w:t>
      </w:r>
    </w:p>
    <w:p w:rsidR="003D7E17" w:rsidRDefault="003D7E17">
      <w:pPr>
        <w:pStyle w:val="Fig"/>
      </w:pPr>
      <w:r>
        <w:br w:type="page"/>
      </w:r>
      <w:r w:rsidR="00976297">
        <w:rPr>
          <w:noProof/>
          <w:lang w:eastAsia="zh-CN"/>
        </w:rPr>
        <w:lastRenderedPageBreak/>
        <w:drawing>
          <wp:inline distT="0" distB="0" distL="0" distR="0">
            <wp:extent cx="4784090" cy="41478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4090" cy="4147820"/>
                    </a:xfrm>
                    <a:prstGeom prst="rect">
                      <a:avLst/>
                    </a:prstGeom>
                    <a:noFill/>
                    <a:ln>
                      <a:noFill/>
                    </a:ln>
                  </pic:spPr>
                </pic:pic>
              </a:graphicData>
            </a:graphic>
          </wp:inline>
        </w:drawing>
      </w:r>
    </w:p>
    <w:p w:rsidR="003D7E17" w:rsidRDefault="003D7E17">
      <w:pPr>
        <w:pStyle w:val="Fig0"/>
        <w:rPr>
          <w:color w:val="FFFFFF"/>
        </w:rPr>
      </w:pPr>
      <w:r>
        <w:rPr>
          <w:color w:val="FFFFFF"/>
        </w:rPr>
        <w:t>FIGURE 4 - 1459-04</w:t>
      </w:r>
    </w:p>
    <w:p w:rsidR="003D7E17" w:rsidRDefault="003D7E17">
      <w:pPr>
        <w:pStyle w:val="Heading3"/>
      </w:pPr>
      <w:r>
        <w:t>2.2.5</w:t>
      </w:r>
      <w:r>
        <w:tab/>
        <w:t xml:space="preserve">Minimum </w:t>
      </w:r>
      <w:r>
        <w:rPr>
          <w:i/>
          <w:iCs/>
        </w:rPr>
        <w:t>S</w:t>
      </w:r>
      <w:r>
        <w:t xml:space="preserve"> versus angle of arrival, </w:t>
      </w:r>
      <w:r>
        <w:rPr>
          <w:rFonts w:ascii="Symbol" w:hAnsi="Symbol"/>
        </w:rPr>
        <w:t></w:t>
      </w:r>
    </w:p>
    <w:p w:rsidR="003D7E17" w:rsidRDefault="003D7E17">
      <w:r>
        <w:t xml:space="preserve">The minimum value of </w:t>
      </w:r>
      <w:r>
        <w:rPr>
          <w:i/>
        </w:rPr>
        <w:t>S</w:t>
      </w:r>
      <w:r>
        <w:t xml:space="preserve"> can be determined from the minimum radius of a circle in which aircraft testing is normally accomplished (see Fig. 5). </w:t>
      </w:r>
      <w:r>
        <w:rPr>
          <w:i/>
        </w:rPr>
        <w:t>S</w:t>
      </w:r>
      <w:r>
        <w:t xml:space="preserve"> as a function of </w:t>
      </w:r>
      <w:r>
        <w:rPr>
          <w:rFonts w:ascii="Symbol" w:hAnsi="Symbol"/>
        </w:rPr>
        <w:t></w:t>
      </w:r>
      <w:r>
        <w:t xml:space="preserve"> is determined as follows. The elevation angle of arrival is:</w:t>
      </w:r>
    </w:p>
    <w:p w:rsidR="003D7E17" w:rsidRDefault="003D7E17">
      <w:pPr>
        <w:pStyle w:val="Equation"/>
        <w:spacing w:before="0"/>
        <w:rPr>
          <w:lang w:val="en-US"/>
        </w:rPr>
      </w:pPr>
      <w:r w:rsidRPr="00B86BCC">
        <w:rPr>
          <w:lang w:val="en-US"/>
        </w:rPr>
        <w:tab/>
      </w:r>
      <w:r w:rsidRPr="00B86BCC">
        <w:rPr>
          <w:lang w:val="en-US"/>
        </w:rPr>
        <w:tab/>
      </w:r>
      <w:r>
        <w:rPr>
          <w:rFonts w:ascii="Symbol" w:hAnsi="Symbol"/>
        </w:rPr>
        <w:t></w:t>
      </w:r>
      <w:r>
        <w:rPr>
          <w:lang w:val="en-US"/>
        </w:rPr>
        <w:t xml:space="preserve">  </w:t>
      </w:r>
      <w:r>
        <w:rPr>
          <w:rFonts w:ascii="Symbol" w:hAnsi="Symbol"/>
          <w:lang w:val="fr-FR"/>
        </w:rPr>
        <w:t></w:t>
      </w:r>
      <w:r>
        <w:rPr>
          <w:lang w:val="en-US"/>
        </w:rPr>
        <w:t xml:space="preserve">  tan</w:t>
      </w:r>
      <w:r>
        <w:rPr>
          <w:position w:val="6"/>
          <w:sz w:val="18"/>
          <w:lang w:val="en-US"/>
        </w:rPr>
        <w:t>–1</w:t>
      </w:r>
      <w:r>
        <w:rPr>
          <w:position w:val="-26"/>
        </w:rPr>
        <w:object w:dxaOrig="1060" w:dyaOrig="639">
          <v:shape id="_x0000_i1035" type="#_x0000_t75" style="width:53pt;height:31.7pt" o:ole="">
            <v:imagedata r:id="rId38" o:title=""/>
          </v:shape>
          <o:OLEObject Type="Embed" ProgID="Equation.3" ShapeID="_x0000_i1035" DrawAspect="Content" ObjectID="_1361104447" r:id="rId39"/>
        </w:object>
      </w:r>
      <w:r>
        <w:rPr>
          <w:lang w:val="en-US"/>
        </w:rPr>
        <w:t>                        rad</w:t>
      </w:r>
      <w:r>
        <w:rPr>
          <w:lang w:val="en-US"/>
        </w:rPr>
        <w:tab/>
        <w:t>(13)</w:t>
      </w:r>
    </w:p>
    <w:p w:rsidR="003D7E17" w:rsidRDefault="003D7E17">
      <w:r>
        <w:t xml:space="preserve">The incremental angle of arrival, </w:t>
      </w:r>
      <w:r>
        <w:rPr>
          <w:rFonts w:ascii="Symbol" w:hAnsi="Symbol"/>
        </w:rPr>
        <w:t></w:t>
      </w:r>
      <w:r>
        <w:rPr>
          <w:rFonts w:ascii="Symbol" w:hAnsi="Symbol"/>
        </w:rPr>
        <w:t></w:t>
      </w:r>
      <w:r>
        <w:t>, along the telemetry antenna pointing azimuth is:</w:t>
      </w:r>
    </w:p>
    <w:p w:rsidR="003D7E17" w:rsidRPr="00B86BCC" w:rsidRDefault="003D7E17">
      <w:pPr>
        <w:pStyle w:val="Equation"/>
        <w:tabs>
          <w:tab w:val="left" w:pos="284"/>
          <w:tab w:val="left" w:pos="6096"/>
          <w:tab w:val="left" w:pos="6804"/>
        </w:tabs>
        <w:rPr>
          <w:lang w:val="en-US"/>
        </w:rPr>
      </w:pPr>
      <w:r>
        <w:rPr>
          <w:rFonts w:ascii="Symbol" w:hAnsi="Symbol"/>
        </w:rPr>
        <w:t></w:t>
      </w:r>
      <w:r>
        <w:rPr>
          <w:position w:val="-30"/>
          <w:sz w:val="20"/>
        </w:rPr>
        <w:object w:dxaOrig="7339" w:dyaOrig="700">
          <v:shape id="_x0000_i1036" type="#_x0000_t75" style="width:366.9pt;height:35.15pt" o:ole="">
            <v:imagedata r:id="rId40" o:title=""/>
          </v:shape>
          <o:OLEObject Type="Embed" ProgID="Equation.3" ShapeID="_x0000_i1036" DrawAspect="Content" ObjectID="_1361104448" r:id="rId41"/>
        </w:object>
      </w:r>
      <w:r>
        <w:t>         rad</w:t>
      </w:r>
      <w:r w:rsidRPr="00B86BCC">
        <w:rPr>
          <w:lang w:val="en-US"/>
        </w:rPr>
        <w:tab/>
        <w:t>(14a)</w:t>
      </w:r>
    </w:p>
    <w:p w:rsidR="003D7E17" w:rsidRPr="00B86BCC" w:rsidRDefault="003D7E17">
      <w:pPr>
        <w:pStyle w:val="Equation"/>
        <w:tabs>
          <w:tab w:val="left" w:pos="6096"/>
          <w:tab w:val="left" w:pos="6804"/>
          <w:tab w:val="left" w:pos="7513"/>
        </w:tabs>
        <w:spacing w:before="40"/>
        <w:rPr>
          <w:lang w:val="en-US"/>
        </w:rPr>
      </w:pPr>
      <w:r w:rsidRPr="00B86BCC">
        <w:rPr>
          <w:lang w:val="en-US"/>
        </w:rPr>
        <w:tab/>
      </w:r>
      <w:r w:rsidRPr="00B86BCC">
        <w:rPr>
          <w:lang w:val="en-US"/>
        </w:rPr>
        <w:tab/>
      </w:r>
      <w:r>
        <w:rPr>
          <w:position w:val="-28"/>
          <w:sz w:val="20"/>
        </w:rPr>
        <w:object w:dxaOrig="5319" w:dyaOrig="660">
          <v:shape id="_x0000_i1037" type="#_x0000_t75" style="width:266.1pt;height:32.85pt" o:ole="">
            <v:imagedata r:id="rId42" o:title=""/>
          </v:shape>
          <o:OLEObject Type="Embed" ProgID="Equation.3" ShapeID="_x0000_i1037" DrawAspect="Content" ObjectID="_1361104449" r:id="rId43"/>
        </w:object>
      </w:r>
      <w:r>
        <w:t>         rad</w:t>
      </w:r>
      <w:r w:rsidRPr="00B86BCC">
        <w:rPr>
          <w:lang w:val="en-US"/>
        </w:rPr>
        <w:tab/>
        <w:t>(14b)</w:t>
      </w:r>
    </w:p>
    <w:p w:rsidR="003D7E17" w:rsidRDefault="003D7E17">
      <w:r>
        <w:t xml:space="preserve">The angle tangent to the azimuth, </w:t>
      </w:r>
      <w:r>
        <w:rPr>
          <w:rFonts w:ascii="Symbol" w:hAnsi="Symbol"/>
        </w:rPr>
        <w:t></w:t>
      </w:r>
      <w:r>
        <w:t>, is:</w:t>
      </w:r>
    </w:p>
    <w:p w:rsidR="003D7E17" w:rsidRDefault="003D7E17">
      <w:pPr>
        <w:pStyle w:val="Equation"/>
        <w:spacing w:before="0"/>
        <w:rPr>
          <w:lang w:val="en-US"/>
        </w:rPr>
      </w:pPr>
      <w:r>
        <w:rPr>
          <w:lang w:val="en-US"/>
        </w:rPr>
        <w:tab/>
      </w:r>
      <w:r>
        <w:rPr>
          <w:lang w:val="en-US"/>
        </w:rPr>
        <w:tab/>
      </w:r>
      <w:r>
        <w:rPr>
          <w:position w:val="-28"/>
        </w:rPr>
        <w:object w:dxaOrig="2100" w:dyaOrig="660">
          <v:shape id="_x0000_i1038" type="#_x0000_t75" style="width:105.4pt;height:32.25pt" o:ole="">
            <v:imagedata r:id="rId44" o:title=""/>
          </v:shape>
          <o:OLEObject Type="Embed" ProgID="Equation.3" ShapeID="_x0000_i1038" DrawAspect="Content" ObjectID="_1361104450" r:id="rId45"/>
        </w:object>
      </w:r>
      <w:r>
        <w:t>                       rad</w:t>
      </w:r>
      <w:r w:rsidRPr="00B86BCC">
        <w:rPr>
          <w:lang w:val="en-US"/>
        </w:rPr>
        <w:tab/>
      </w:r>
      <w:r>
        <w:rPr>
          <w:lang w:val="en-US"/>
        </w:rPr>
        <w:t>(15)</w:t>
      </w:r>
    </w:p>
    <w:p w:rsidR="003D7E17" w:rsidRDefault="003D7E17">
      <w:r>
        <w:t xml:space="preserve">From which </w:t>
      </w:r>
      <w:r>
        <w:rPr>
          <w:i/>
        </w:rPr>
        <w:t>S</w:t>
      </w:r>
      <w:r>
        <w:t xml:space="preserve"> is:</w:t>
      </w:r>
    </w:p>
    <w:p w:rsidR="003D7E17" w:rsidRDefault="003D7E17">
      <w:pPr>
        <w:pStyle w:val="Equation"/>
        <w:spacing w:before="0"/>
        <w:rPr>
          <w:lang w:val="en-US"/>
        </w:rPr>
      </w:pPr>
      <w:r>
        <w:rPr>
          <w:lang w:val="en-US"/>
        </w:rPr>
        <w:tab/>
      </w:r>
      <w:r>
        <w:rPr>
          <w:lang w:val="en-US"/>
        </w:rPr>
        <w:tab/>
      </w:r>
      <w:r>
        <w:rPr>
          <w:i/>
          <w:iCs/>
          <w:lang w:val="en-US"/>
        </w:rPr>
        <w:t>S</w:t>
      </w:r>
      <w:r>
        <w:rPr>
          <w:lang w:val="en-US"/>
        </w:rPr>
        <w:t xml:space="preserve">  </w:t>
      </w:r>
      <w:r>
        <w:rPr>
          <w:rFonts w:ascii="Symbol" w:hAnsi="Symbol"/>
          <w:lang w:val="fr-FR"/>
        </w:rPr>
        <w:t></w:t>
      </w:r>
      <w:r>
        <w:rPr>
          <w:lang w:val="en-US"/>
        </w:rPr>
        <w:t xml:space="preserve">  </w:t>
      </w:r>
      <w:r>
        <w:rPr>
          <w:rFonts w:ascii="Symbol" w:hAnsi="Symbol"/>
        </w:rPr>
        <w:t></w:t>
      </w:r>
      <w:r>
        <w:rPr>
          <w:lang w:val="en-US"/>
        </w:rPr>
        <w:t>/4 (</w:t>
      </w:r>
      <w:r>
        <w:rPr>
          <w:rFonts w:ascii="Symbol" w:hAnsi="Symbol"/>
        </w:rPr>
        <w:t></w:t>
      </w:r>
      <w:r>
        <w:rPr>
          <w:lang w:val="en-US"/>
        </w:rPr>
        <w:t>) (</w:t>
      </w:r>
      <w:r>
        <w:rPr>
          <w:rFonts w:ascii="Symbol" w:hAnsi="Symbol"/>
        </w:rPr>
        <w:t></w:t>
      </w:r>
      <w:r>
        <w:rPr>
          <w:rFonts w:ascii="Symbol" w:hAnsi="Symbol"/>
        </w:rPr>
        <w:t></w:t>
      </w:r>
      <w:r>
        <w:rPr>
          <w:lang w:val="en-US"/>
        </w:rPr>
        <w:t>) </w:t>
      </w:r>
      <w:r>
        <w:t>                      steradians</w:t>
      </w:r>
      <w:r>
        <w:rPr>
          <w:lang w:val="en-US"/>
        </w:rPr>
        <w:tab/>
        <w:t>(16)</w:t>
      </w:r>
    </w:p>
    <w:p w:rsidR="003D7E17" w:rsidRDefault="003D7E17">
      <w:r>
        <w:t>where:</w:t>
      </w:r>
    </w:p>
    <w:p w:rsidR="003D7E17" w:rsidRDefault="003D7E17">
      <w:pPr>
        <w:pStyle w:val="enumlev1"/>
        <w:tabs>
          <w:tab w:val="left" w:pos="851"/>
        </w:tabs>
      </w:pPr>
      <w:r>
        <w:tab/>
      </w:r>
      <w:r>
        <w:rPr>
          <w:i/>
          <w:iCs/>
        </w:rPr>
        <w:t>h</w:t>
      </w:r>
      <w:r>
        <w:t>:</w:t>
      </w:r>
      <w:r>
        <w:tab/>
        <w:t xml:space="preserve">aircraft altitude </w:t>
      </w:r>
      <w:r>
        <w:rPr>
          <w:rFonts w:ascii="Symbol" w:hAnsi="Symbol"/>
        </w:rPr>
        <w:t></w:t>
      </w:r>
      <w:r>
        <w:t xml:space="preserve"> 20 km</w:t>
      </w:r>
    </w:p>
    <w:p w:rsidR="003D7E17" w:rsidRDefault="003D7E17">
      <w:pPr>
        <w:pStyle w:val="enumlev1"/>
        <w:tabs>
          <w:tab w:val="left" w:pos="851"/>
        </w:tabs>
      </w:pPr>
      <w:r>
        <w:tab/>
      </w:r>
      <w:r>
        <w:rPr>
          <w:i/>
          <w:iCs/>
        </w:rPr>
        <w:t>d</w:t>
      </w:r>
      <w:r>
        <w:t>:</w:t>
      </w:r>
      <w:r>
        <w:tab/>
        <w:t xml:space="preserve">surface distance to aircraft </w:t>
      </w:r>
      <w:r>
        <w:rPr>
          <w:rFonts w:ascii="Symbol" w:hAnsi="Symbol"/>
        </w:rPr>
        <w:t></w:t>
      </w:r>
      <w:r>
        <w:t xml:space="preserve"> 320 km (maximum)</w:t>
      </w:r>
    </w:p>
    <w:p w:rsidR="003D7E17" w:rsidRDefault="003D7E17">
      <w:pPr>
        <w:pStyle w:val="enumlev1"/>
        <w:tabs>
          <w:tab w:val="left" w:pos="851"/>
        </w:tabs>
      </w:pPr>
      <w:r>
        <w:tab/>
      </w:r>
      <w:r>
        <w:rPr>
          <w:i/>
          <w:iCs/>
        </w:rPr>
        <w:t>r</w:t>
      </w:r>
      <w:r>
        <w:t>:</w:t>
      </w:r>
      <w:r>
        <w:tab/>
        <w:t xml:space="preserve">radius of the Earth </w:t>
      </w:r>
      <w:r>
        <w:rPr>
          <w:rFonts w:ascii="Symbol" w:hAnsi="Symbol"/>
        </w:rPr>
        <w:t></w:t>
      </w:r>
      <w:r>
        <w:t xml:space="preserve"> 6</w:t>
      </w:r>
      <w:r>
        <w:rPr>
          <w:rFonts w:ascii="Tms Rmn" w:hAnsi="Tms Rmn"/>
          <w:sz w:val="12"/>
        </w:rPr>
        <w:t> </w:t>
      </w:r>
      <w:r>
        <w:t>378 km</w:t>
      </w:r>
    </w:p>
    <w:p w:rsidR="003D7E17" w:rsidRDefault="003D7E17">
      <w:pPr>
        <w:pStyle w:val="enumlev1"/>
        <w:tabs>
          <w:tab w:val="left" w:pos="851"/>
        </w:tabs>
      </w:pPr>
      <w:r>
        <w:tab/>
      </w:r>
      <w:r>
        <w:rPr>
          <w:i/>
          <w:iCs/>
        </w:rPr>
        <w:t>a</w:t>
      </w:r>
      <w:r>
        <w:t>:</w:t>
      </w:r>
      <w:r>
        <w:tab/>
        <w:t xml:space="preserve">minimum radius of flight patterns </w:t>
      </w:r>
      <w:r>
        <w:rPr>
          <w:rFonts w:ascii="Symbol" w:hAnsi="Symbol"/>
        </w:rPr>
        <w:t></w:t>
      </w:r>
      <w:r>
        <w:t xml:space="preserve"> 20 km.</w:t>
      </w:r>
    </w:p>
    <w:p w:rsidR="003D7E17" w:rsidRDefault="003D7E17">
      <w:r>
        <w:br w:type="page"/>
      </w:r>
    </w:p>
    <w:p w:rsidR="003D7E17" w:rsidRDefault="00976297">
      <w:pPr>
        <w:pStyle w:val="Fig"/>
      </w:pPr>
      <w:r>
        <w:rPr>
          <w:noProof/>
          <w:lang w:eastAsia="zh-CN"/>
        </w:rPr>
        <w:lastRenderedPageBreak/>
        <w:drawing>
          <wp:inline distT="0" distB="0" distL="0" distR="0">
            <wp:extent cx="4469765" cy="84201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9765" cy="8420100"/>
                    </a:xfrm>
                    <a:prstGeom prst="rect">
                      <a:avLst/>
                    </a:prstGeom>
                    <a:noFill/>
                    <a:ln>
                      <a:noFill/>
                    </a:ln>
                  </pic:spPr>
                </pic:pic>
              </a:graphicData>
            </a:graphic>
          </wp:inline>
        </w:drawing>
      </w:r>
    </w:p>
    <w:p w:rsidR="003D7E17" w:rsidRDefault="003D7E17">
      <w:pPr>
        <w:pStyle w:val="Fig0"/>
        <w:rPr>
          <w:color w:val="FFFFFF"/>
        </w:rPr>
      </w:pPr>
      <w:r>
        <w:rPr>
          <w:color w:val="FFFFFF"/>
        </w:rPr>
        <w:t>FIGURE 5 - 1459-05</w:t>
      </w:r>
    </w:p>
    <w:p w:rsidR="003D7E17" w:rsidRDefault="003D7E17">
      <w:pPr>
        <w:pStyle w:val="Heading3"/>
      </w:pPr>
      <w:r>
        <w:br w:type="page"/>
      </w:r>
      <w:r>
        <w:lastRenderedPageBreak/>
        <w:t>2.2.6</w:t>
      </w:r>
      <w:r>
        <w:tab/>
        <w:t>pfd versus angle of arrival</w:t>
      </w:r>
    </w:p>
    <w:p w:rsidR="003D7E17" w:rsidRDefault="003D7E17">
      <w:pPr>
        <w:pStyle w:val="enumlev1"/>
      </w:pPr>
      <w:r>
        <w:t>–</w:t>
      </w:r>
      <w:r>
        <w:tab/>
        <w:t xml:space="preserve">pfd escalation due to </w:t>
      </w:r>
      <w:r>
        <w:rPr>
          <w:i/>
        </w:rPr>
        <w:t>S</w:t>
      </w:r>
    </w:p>
    <w:p w:rsidR="003D7E17" w:rsidRDefault="003D7E17">
      <w:pPr>
        <w:pStyle w:val="enumlev1"/>
      </w:pPr>
      <w:r>
        <w:tab/>
        <w:t xml:space="preserve">The permissible pfd increases with </w:t>
      </w:r>
      <w:r>
        <w:rPr>
          <w:i/>
        </w:rPr>
        <w:t>S</w:t>
      </w:r>
      <w:r>
        <w:t xml:space="preserve"> which increases with angle of arrival, </w:t>
      </w:r>
      <w:r>
        <w:rPr>
          <w:rFonts w:ascii="Symbol" w:hAnsi="Symbol"/>
        </w:rPr>
        <w:t></w:t>
      </w:r>
      <w:r>
        <w:t xml:space="preserve">. The pfd as a function of </w:t>
      </w:r>
      <w:r>
        <w:rPr>
          <w:i/>
        </w:rPr>
        <w:t>S</w:t>
      </w:r>
      <w:r>
        <w:t xml:space="preserve"> can be calculated using equation (16), in conjunction with the </w:t>
      </w:r>
      <w:r>
        <w:rPr>
          <w:rFonts w:ascii="Symbol" w:hAnsi="Symbol"/>
        </w:rPr>
        <w:t></w:t>
      </w:r>
      <w:r>
        <w:rPr>
          <w:i/>
          <w:iCs/>
        </w:rPr>
        <w:t>G</w:t>
      </w:r>
      <w:r>
        <w:t xml:space="preserve"> versus </w:t>
      </w:r>
      <w:r>
        <w:rPr>
          <w:i/>
        </w:rPr>
        <w:t>S</w:t>
      </w:r>
      <w:r>
        <w:t xml:space="preserve"> functions developed in § 2.2.5, for a </w:t>
      </w:r>
      <w:r>
        <w:rPr>
          <w:i/>
          <w:iCs/>
        </w:rPr>
        <w:t>P</w:t>
      </w:r>
      <w:r>
        <w:t>(</w:t>
      </w:r>
      <w:r>
        <w:rPr>
          <w:rFonts w:ascii="Symbol" w:hAnsi="Symbol"/>
        </w:rPr>
        <w:t></w:t>
      </w:r>
      <w:r>
        <w:rPr>
          <w:i/>
          <w:iCs/>
        </w:rPr>
        <w:t>G</w:t>
      </w:r>
      <w:r>
        <w:t>) </w:t>
      </w:r>
      <w:r>
        <w:rPr>
          <w:rFonts w:ascii="Symbol" w:hAnsi="Symbol"/>
        </w:rPr>
        <w:t></w:t>
      </w:r>
      <w:r>
        <w:t xml:space="preserve"> 0.003611 which, in turn, is used in equation (10). The minimum </w:t>
      </w:r>
      <w:r>
        <w:rPr>
          <w:i/>
        </w:rPr>
        <w:t>S</w:t>
      </w:r>
      <w:r>
        <w:t xml:space="preserve"> is 0.001262 steradians.</w:t>
      </w:r>
    </w:p>
    <w:p w:rsidR="003D7E17" w:rsidRDefault="003D7E17">
      <w:pPr>
        <w:pStyle w:val="enumlev1"/>
      </w:pPr>
      <w:bookmarkStart w:id="5" w:name="dsgno"/>
      <w:bookmarkEnd w:id="5"/>
      <w:r>
        <w:t>–</w:t>
      </w:r>
      <w:r>
        <w:tab/>
        <w:t>pfd escalation due to excess margin</w:t>
      </w:r>
    </w:p>
    <w:p w:rsidR="003D7E17" w:rsidRDefault="003D7E17">
      <w:pPr>
        <w:pStyle w:val="enumlev1"/>
      </w:pPr>
      <w:r>
        <w:tab/>
        <w:t xml:space="preserve">There will be some distance, </w:t>
      </w:r>
      <w:r>
        <w:rPr>
          <w:i/>
          <w:iCs/>
        </w:rPr>
        <w:t>d</w:t>
      </w:r>
      <w:r>
        <w:rPr>
          <w:position w:val="-4"/>
          <w:sz w:val="16"/>
        </w:rPr>
        <w:t>0</w:t>
      </w:r>
      <w:r>
        <w:rPr>
          <w:sz w:val="24"/>
        </w:rPr>
        <w:t>,</w:t>
      </w:r>
      <w:r>
        <w:t xml:space="preserve"> between the telemetry receiving station and the airborne vehicle at which the desired availability is generally exceeded. Thus, excess margin is available which could be used to increase the allowable pfd. The value of </w:t>
      </w:r>
      <w:r>
        <w:rPr>
          <w:i/>
          <w:iCs/>
        </w:rPr>
        <w:t>d</w:t>
      </w:r>
      <w:r>
        <w:rPr>
          <w:position w:val="-4"/>
          <w:sz w:val="16"/>
        </w:rPr>
        <w:t>0</w:t>
      </w:r>
      <w:r>
        <w:t xml:space="preserve"> can be determined by:</w:t>
      </w:r>
    </w:p>
    <w:p w:rsidR="003D7E17" w:rsidRPr="00B86BCC" w:rsidRDefault="003D7E17">
      <w:pPr>
        <w:pStyle w:val="Blanc"/>
        <w:rPr>
          <w:lang w:val="en-US"/>
        </w:rPr>
      </w:pPr>
    </w:p>
    <w:p w:rsidR="003D7E17" w:rsidRDefault="003D7E17">
      <w:pPr>
        <w:pStyle w:val="Equation"/>
        <w:rPr>
          <w:lang w:val="en-US"/>
        </w:rPr>
      </w:pPr>
      <w:r w:rsidRPr="00B86BCC">
        <w:rPr>
          <w:lang w:val="en-US"/>
        </w:rPr>
        <w:tab/>
      </w:r>
      <w:r w:rsidRPr="00B86BCC">
        <w:rPr>
          <w:lang w:val="en-US"/>
        </w:rPr>
        <w:tab/>
      </w:r>
      <w:r>
        <w:rPr>
          <w:position w:val="-34"/>
        </w:rPr>
        <w:object w:dxaOrig="3420" w:dyaOrig="859">
          <v:shape id="_x0000_i1039" type="#_x0000_t75" style="width:171.05pt;height:43.2pt" o:ole="">
            <v:imagedata r:id="rId47" o:title=""/>
          </v:shape>
          <o:OLEObject Type="Embed" ProgID="Equation.3" ShapeID="_x0000_i1039" DrawAspect="Content" ObjectID="_1361104451" r:id="rId48"/>
        </w:object>
      </w:r>
      <w:r>
        <w:t>                        km</w:t>
      </w:r>
      <w:r>
        <w:rPr>
          <w:lang w:val="en-US"/>
        </w:rPr>
        <w:tab/>
        <w:t>(17)</w:t>
      </w:r>
    </w:p>
    <w:p w:rsidR="003D7E17" w:rsidRDefault="003D7E17">
      <w:pPr>
        <w:pStyle w:val="enumlev1"/>
      </w:pPr>
      <w:r>
        <w:tab/>
        <w:t>where:</w:t>
      </w:r>
    </w:p>
    <w:p w:rsidR="003D7E17" w:rsidRDefault="003D7E17">
      <w:pPr>
        <w:pStyle w:val="enumlev2"/>
        <w:tabs>
          <w:tab w:val="clear" w:pos="794"/>
          <w:tab w:val="left" w:pos="709"/>
          <w:tab w:val="left" w:pos="1418"/>
        </w:tabs>
        <w:ind w:left="1418" w:hanging="1021"/>
      </w:pPr>
      <w:r>
        <w:rPr>
          <w:i/>
          <w:iCs/>
        </w:rPr>
        <w:tab/>
        <w:t>P</w:t>
      </w:r>
      <w:r>
        <w:t>:</w:t>
      </w:r>
      <w:r>
        <w:tab/>
        <w:t xml:space="preserve">aircraft power (W) </w:t>
      </w:r>
      <w:r>
        <w:rPr>
          <w:rFonts w:ascii="Symbol" w:hAnsi="Symbol"/>
        </w:rPr>
        <w:t></w:t>
      </w:r>
      <w:r>
        <w:t xml:space="preserve"> 4</w:t>
      </w:r>
    </w:p>
    <w:p w:rsidR="003D7E17" w:rsidRDefault="003D7E17">
      <w:pPr>
        <w:pStyle w:val="enumlev2"/>
        <w:tabs>
          <w:tab w:val="clear" w:pos="794"/>
          <w:tab w:val="left" w:pos="709"/>
          <w:tab w:val="left" w:pos="1418"/>
        </w:tabs>
        <w:ind w:left="1418" w:hanging="1021"/>
      </w:pPr>
      <w:r>
        <w:rPr>
          <w:i/>
          <w:iCs/>
        </w:rPr>
        <w:tab/>
        <w:t>G</w:t>
      </w:r>
      <w:r>
        <w:rPr>
          <w:i/>
          <w:iCs/>
          <w:position w:val="-4"/>
          <w:sz w:val="16"/>
        </w:rPr>
        <w:t>a</w:t>
      </w:r>
      <w:r>
        <w:t>:</w:t>
      </w:r>
      <w:r>
        <w:tab/>
        <w:t xml:space="preserve">aircraft median antenna gain </w:t>
      </w:r>
      <w:r>
        <w:rPr>
          <w:rFonts w:ascii="Symbol" w:hAnsi="Symbol"/>
        </w:rPr>
        <w:t></w:t>
      </w:r>
      <w:r>
        <w:t xml:space="preserve"> 0.2</w:t>
      </w:r>
    </w:p>
    <w:p w:rsidR="003D7E17" w:rsidRDefault="003D7E17">
      <w:pPr>
        <w:pStyle w:val="enumlev2"/>
        <w:tabs>
          <w:tab w:val="clear" w:pos="794"/>
          <w:tab w:val="left" w:pos="709"/>
          <w:tab w:val="left" w:pos="1418"/>
        </w:tabs>
        <w:ind w:left="1418" w:hanging="1021"/>
      </w:pPr>
      <w:r>
        <w:rPr>
          <w:i/>
          <w:iCs/>
        </w:rPr>
        <w:tab/>
        <w:t>G</w:t>
      </w:r>
      <w:r>
        <w:rPr>
          <w:position w:val="-4"/>
          <w:sz w:val="16"/>
        </w:rPr>
        <w:t>0</w:t>
      </w:r>
      <w:r>
        <w:t>:</w:t>
      </w:r>
      <w:r>
        <w:tab/>
        <w:t xml:space="preserve">telemetry receiving antenna gain </w:t>
      </w:r>
      <w:r>
        <w:rPr>
          <w:rFonts w:ascii="Symbol" w:hAnsi="Symbol"/>
        </w:rPr>
        <w:t></w:t>
      </w:r>
      <w:r>
        <w:t xml:space="preserve"> 800</w:t>
      </w:r>
    </w:p>
    <w:p w:rsidR="003D7E17" w:rsidRDefault="003D7E17">
      <w:pPr>
        <w:pStyle w:val="enumlev2"/>
        <w:tabs>
          <w:tab w:val="clear" w:pos="794"/>
          <w:tab w:val="left" w:pos="709"/>
          <w:tab w:val="left" w:pos="1418"/>
        </w:tabs>
        <w:ind w:left="1418" w:hanging="1021"/>
      </w:pPr>
      <w:r>
        <w:rPr>
          <w:i/>
          <w:iCs/>
        </w:rPr>
        <w:tab/>
        <w:t>M</w:t>
      </w:r>
      <w:r>
        <w:t>:</w:t>
      </w:r>
      <w:r>
        <w:tab/>
        <w:t xml:space="preserve">availability margin required </w:t>
      </w:r>
      <w:r>
        <w:rPr>
          <w:rFonts w:ascii="Symbol" w:hAnsi="Symbol"/>
        </w:rPr>
        <w:t></w:t>
      </w:r>
      <w:r>
        <w:t xml:space="preserve"> 300</w:t>
      </w:r>
    </w:p>
    <w:p w:rsidR="003D7E17" w:rsidRDefault="003D7E17">
      <w:pPr>
        <w:pStyle w:val="enumlev2"/>
        <w:tabs>
          <w:tab w:val="clear" w:pos="794"/>
          <w:tab w:val="left" w:pos="709"/>
          <w:tab w:val="left" w:pos="1418"/>
        </w:tabs>
        <w:ind w:left="1418" w:hanging="1021"/>
      </w:pPr>
      <w:r>
        <w:rPr>
          <w:i/>
          <w:iCs/>
        </w:rPr>
        <w:tab/>
        <w:t>f</w:t>
      </w:r>
      <w:r>
        <w:t>:</w:t>
      </w:r>
      <w:r>
        <w:tab/>
        <w:t xml:space="preserve">frequency (MHz) </w:t>
      </w:r>
      <w:r>
        <w:rPr>
          <w:rFonts w:ascii="Symbol" w:hAnsi="Symbol"/>
        </w:rPr>
        <w:t></w:t>
      </w:r>
      <w:r>
        <w:t xml:space="preserve"> 1</w:t>
      </w:r>
      <w:r>
        <w:rPr>
          <w:rFonts w:ascii="Tms Rmn" w:hAnsi="Tms Rmn"/>
          <w:sz w:val="12"/>
        </w:rPr>
        <w:t> </w:t>
      </w:r>
      <w:r>
        <w:t>500</w:t>
      </w:r>
    </w:p>
    <w:p w:rsidR="003D7E17" w:rsidRDefault="003D7E17">
      <w:pPr>
        <w:pStyle w:val="enumlev2"/>
        <w:tabs>
          <w:tab w:val="clear" w:pos="794"/>
          <w:tab w:val="left" w:pos="709"/>
          <w:tab w:val="left" w:pos="1418"/>
        </w:tabs>
        <w:ind w:left="1418" w:hanging="1021"/>
        <w:rPr>
          <w:lang w:val="en-US"/>
        </w:rPr>
      </w:pPr>
      <w:r>
        <w:rPr>
          <w:i/>
          <w:iCs/>
          <w:lang w:val="en-US"/>
        </w:rPr>
        <w:tab/>
        <w:t>k</w:t>
      </w:r>
      <w:r>
        <w:rPr>
          <w:lang w:val="en-US"/>
        </w:rPr>
        <w:t>:</w:t>
      </w:r>
      <w:r>
        <w:rPr>
          <w:lang w:val="en-US"/>
        </w:rPr>
        <w:tab/>
        <w:t>Boltzmann's constant</w:t>
      </w:r>
    </w:p>
    <w:p w:rsidR="003D7E17" w:rsidRPr="00B86BCC" w:rsidRDefault="003D7E17">
      <w:pPr>
        <w:pStyle w:val="enumlev2"/>
        <w:tabs>
          <w:tab w:val="clear" w:pos="794"/>
          <w:tab w:val="left" w:pos="709"/>
          <w:tab w:val="left" w:pos="1418"/>
        </w:tabs>
        <w:ind w:left="1418" w:hanging="1021"/>
        <w:rPr>
          <w:lang w:val="en-US"/>
        </w:rPr>
      </w:pPr>
      <w:r>
        <w:rPr>
          <w:i/>
          <w:iCs/>
        </w:rPr>
        <w:tab/>
      </w:r>
      <w:r w:rsidRPr="00B86BCC">
        <w:rPr>
          <w:i/>
          <w:iCs/>
          <w:lang w:val="en-US"/>
        </w:rPr>
        <w:t>T</w:t>
      </w:r>
      <w:r w:rsidRPr="00B86BCC">
        <w:rPr>
          <w:lang w:val="en-US"/>
        </w:rPr>
        <w:t>:</w:t>
      </w:r>
      <w:r w:rsidRPr="00B86BCC">
        <w:rPr>
          <w:lang w:val="en-US"/>
        </w:rPr>
        <w:tab/>
        <w:t xml:space="preserve">noise temperature (K) </w:t>
      </w:r>
      <w:r>
        <w:rPr>
          <w:rFonts w:ascii="Symbol" w:hAnsi="Symbol"/>
          <w:lang w:val="fr-FR"/>
        </w:rPr>
        <w:t></w:t>
      </w:r>
      <w:r w:rsidRPr="00B86BCC">
        <w:rPr>
          <w:lang w:val="en-US"/>
        </w:rPr>
        <w:t xml:space="preserve"> 250</w:t>
      </w:r>
    </w:p>
    <w:p w:rsidR="003D7E17" w:rsidRDefault="003D7E17">
      <w:pPr>
        <w:pStyle w:val="enumlev2"/>
        <w:tabs>
          <w:tab w:val="clear" w:pos="794"/>
          <w:tab w:val="left" w:pos="709"/>
          <w:tab w:val="left" w:pos="1418"/>
        </w:tabs>
        <w:ind w:left="1418" w:hanging="1021"/>
      </w:pPr>
      <w:r>
        <w:rPr>
          <w:i/>
          <w:iCs/>
        </w:rPr>
        <w:tab/>
        <w:t>B</w:t>
      </w:r>
      <w:r>
        <w:t>:</w:t>
      </w:r>
      <w:r>
        <w:tab/>
        <w:t xml:space="preserve">bandwidth (Hz) </w:t>
      </w:r>
      <w:r>
        <w:rPr>
          <w:rFonts w:ascii="Symbol" w:hAnsi="Symbol"/>
        </w:rPr>
        <w:t></w:t>
      </w:r>
      <w:r>
        <w:t xml:space="preserve"> 3 </w:t>
      </w:r>
      <w:r>
        <w:rPr>
          <w:rFonts w:ascii="Symbol" w:hAnsi="Symbol"/>
          <w:lang w:val="fr-FR"/>
        </w:rPr>
        <w:t></w:t>
      </w:r>
      <w:r>
        <w:t xml:space="preserve"> 10</w:t>
      </w:r>
      <w:r>
        <w:rPr>
          <w:position w:val="6"/>
          <w:sz w:val="16"/>
        </w:rPr>
        <w:t>6</w:t>
      </w:r>
    </w:p>
    <w:p w:rsidR="003D7E17" w:rsidRDefault="003D7E17">
      <w:pPr>
        <w:pStyle w:val="enumlev2"/>
        <w:tabs>
          <w:tab w:val="clear" w:pos="794"/>
          <w:tab w:val="left" w:pos="709"/>
          <w:tab w:val="left" w:pos="1418"/>
        </w:tabs>
        <w:ind w:left="1418" w:hanging="1021"/>
      </w:pPr>
      <w:r>
        <w:tab/>
        <w:t>(</w:t>
      </w:r>
      <w:r>
        <w:rPr>
          <w:i/>
          <w:iCs/>
        </w:rPr>
        <w:t>C</w:t>
      </w:r>
      <w:r>
        <w:t>/</w:t>
      </w:r>
      <w:r>
        <w:rPr>
          <w:i/>
          <w:iCs/>
        </w:rPr>
        <w:t>N</w:t>
      </w:r>
      <w:r>
        <w:t>)</w:t>
      </w:r>
      <w:r>
        <w:rPr>
          <w:i/>
          <w:iCs/>
          <w:position w:val="-4"/>
          <w:sz w:val="16"/>
        </w:rPr>
        <w:t>T</w:t>
      </w:r>
      <w:r>
        <w:t>:</w:t>
      </w:r>
      <w:r>
        <w:tab/>
        <w:t xml:space="preserve">threshold value </w:t>
      </w:r>
      <w:r>
        <w:rPr>
          <w:rFonts w:ascii="Symbol" w:hAnsi="Symbol"/>
        </w:rPr>
        <w:t></w:t>
      </w:r>
      <w:r>
        <w:t xml:space="preserve"> 32.</w:t>
      </w:r>
    </w:p>
    <w:p w:rsidR="003D7E17" w:rsidRDefault="003D7E17">
      <w:r>
        <w:t xml:space="preserve">The nominal values for each parameter as listed above are considered to be the most appropriate for determining </w:t>
      </w:r>
      <w:r>
        <w:rPr>
          <w:i/>
          <w:iCs/>
        </w:rPr>
        <w:t>d</w:t>
      </w:r>
      <w:r>
        <w:rPr>
          <w:position w:val="-4"/>
          <w:sz w:val="16"/>
        </w:rPr>
        <w:t>0</w:t>
      </w:r>
      <w:r>
        <w:t xml:space="preserve">. The solution of equation (17) with these values result in a </w:t>
      </w:r>
      <w:r>
        <w:rPr>
          <w:i/>
          <w:iCs/>
        </w:rPr>
        <w:t>d</w:t>
      </w:r>
      <w:r>
        <w:rPr>
          <w:position w:val="-4"/>
          <w:sz w:val="16"/>
        </w:rPr>
        <w:t>0</w:t>
      </w:r>
      <w:r>
        <w:t xml:space="preserve"> of 40 km.</w:t>
      </w:r>
    </w:p>
    <w:p w:rsidR="003D7E17" w:rsidRDefault="003D7E17">
      <w:r>
        <w:t xml:space="preserve">The angle of arrival, </w:t>
      </w:r>
      <w:r>
        <w:rPr>
          <w:rFonts w:ascii="Symbol" w:hAnsi="Symbol"/>
        </w:rPr>
        <w:t></w:t>
      </w:r>
      <w:r>
        <w:t xml:space="preserve">, is determined by the distance, </w:t>
      </w:r>
      <w:r>
        <w:rPr>
          <w:i/>
          <w:iCs/>
        </w:rPr>
        <w:t>d</w:t>
      </w:r>
      <w:r>
        <w:t xml:space="preserve"> and the aircraft height, </w:t>
      </w:r>
      <w:r>
        <w:rPr>
          <w:i/>
          <w:iCs/>
        </w:rPr>
        <w:t>h</w:t>
      </w:r>
      <w:r>
        <w:t xml:space="preserve"> and is:</w:t>
      </w:r>
    </w:p>
    <w:p w:rsidR="003D7E17" w:rsidRDefault="003D7E17">
      <w:pPr>
        <w:pStyle w:val="Equation"/>
      </w:pPr>
      <w:r>
        <w:tab/>
      </w:r>
      <w:r>
        <w:tab/>
      </w:r>
      <w:r>
        <w:sym w:font="Symbol" w:char="F061"/>
      </w:r>
      <w:r>
        <w:t xml:space="preserve">  </w:t>
      </w:r>
      <w:r>
        <w:rPr>
          <w:rFonts w:ascii="Symbol" w:hAnsi="Symbol"/>
        </w:rPr>
        <w:t></w:t>
      </w:r>
      <w:r>
        <w:t xml:space="preserve">  arc sin (</w:t>
      </w:r>
      <w:r>
        <w:rPr>
          <w:i/>
          <w:iCs/>
        </w:rPr>
        <w:t>h</w:t>
      </w:r>
      <w:r>
        <w:t>/</w:t>
      </w:r>
      <w:r>
        <w:rPr>
          <w:i/>
          <w:iCs/>
        </w:rPr>
        <w:t>d</w:t>
      </w:r>
      <w:r>
        <w:t>)</w:t>
      </w:r>
      <w:r>
        <w:tab/>
        <w:t>(18)</w:t>
      </w:r>
    </w:p>
    <w:p w:rsidR="003D7E17" w:rsidRDefault="003D7E17">
      <w:r>
        <w:t xml:space="preserve">From equation (18), </w:t>
      </w:r>
      <w:r>
        <w:rPr>
          <w:rFonts w:ascii="Symbol" w:hAnsi="Symbol"/>
        </w:rPr>
        <w:t></w:t>
      </w:r>
      <w:r>
        <w:rPr>
          <w:rFonts w:ascii="Symbol" w:hAnsi="Symbol"/>
        </w:rPr>
        <w:t></w:t>
      </w:r>
      <w:r>
        <w:t xml:space="preserve">as a function of </w:t>
      </w:r>
      <w:r>
        <w:rPr>
          <w:i/>
        </w:rPr>
        <w:t>d</w:t>
      </w:r>
      <w:r>
        <w:rPr>
          <w:iCs/>
        </w:rPr>
        <w:t>,</w:t>
      </w:r>
      <w:r>
        <w:t xml:space="preserve"> for values of </w:t>
      </w:r>
      <w:r>
        <w:rPr>
          <w:i/>
        </w:rPr>
        <w:t>d</w:t>
      </w:r>
      <w:r>
        <w:t xml:space="preserve"> between </w:t>
      </w:r>
      <w:r>
        <w:rPr>
          <w:i/>
          <w:iCs/>
        </w:rPr>
        <w:t>d</w:t>
      </w:r>
      <w:r>
        <w:rPr>
          <w:position w:val="-4"/>
          <w:sz w:val="16"/>
        </w:rPr>
        <w:t>0</w:t>
      </w:r>
      <w:r>
        <w:t xml:space="preserve"> and </w:t>
      </w:r>
      <w:r>
        <w:rPr>
          <w:i/>
          <w:iCs/>
        </w:rPr>
        <w:t>h</w:t>
      </w:r>
      <w:r>
        <w:t xml:space="preserve"> can be determined. The excess margin, </w:t>
      </w:r>
      <w:r>
        <w:rPr>
          <w:i/>
          <w:iCs/>
        </w:rPr>
        <w:t>M</w:t>
      </w:r>
      <w:r>
        <w:rPr>
          <w:i/>
          <w:iCs/>
          <w:position w:val="-4"/>
          <w:sz w:val="16"/>
        </w:rPr>
        <w:t>e</w:t>
      </w:r>
      <w:r>
        <w:t>, which can be used to increase the pfd is:</w:t>
      </w:r>
    </w:p>
    <w:p w:rsidR="003D7E17" w:rsidRPr="00B86BCC" w:rsidRDefault="003D7E17">
      <w:pPr>
        <w:pStyle w:val="Equation"/>
        <w:rPr>
          <w:lang w:val="en-US"/>
        </w:rPr>
      </w:pPr>
      <w:r w:rsidRPr="00B86BCC">
        <w:rPr>
          <w:lang w:val="en-US"/>
        </w:rPr>
        <w:tab/>
      </w:r>
      <w:r w:rsidRPr="00B86BCC">
        <w:rPr>
          <w:lang w:val="en-US"/>
        </w:rPr>
        <w:tab/>
      </w:r>
      <w:r w:rsidRPr="00B86BCC">
        <w:rPr>
          <w:i/>
          <w:iCs/>
          <w:lang w:val="en-US"/>
        </w:rPr>
        <w:t>M</w:t>
      </w:r>
      <w:r w:rsidRPr="00B86BCC">
        <w:rPr>
          <w:i/>
          <w:iCs/>
          <w:position w:val="-4"/>
          <w:sz w:val="18"/>
          <w:lang w:val="en-US"/>
        </w:rPr>
        <w:t>e</w:t>
      </w:r>
      <w:r w:rsidRPr="00B86BCC">
        <w:rPr>
          <w:lang w:val="en-US"/>
        </w:rPr>
        <w:t xml:space="preserve">  </w:t>
      </w:r>
      <w:r>
        <w:rPr>
          <w:rFonts w:ascii="Symbol" w:hAnsi="Symbol"/>
        </w:rPr>
        <w:t></w:t>
      </w:r>
      <w:r w:rsidRPr="00B86BCC">
        <w:rPr>
          <w:lang w:val="en-US"/>
        </w:rPr>
        <w:t xml:space="preserve">  (</w:t>
      </w:r>
      <w:r w:rsidRPr="00B86BCC">
        <w:rPr>
          <w:i/>
          <w:iCs/>
          <w:lang w:val="en-US"/>
        </w:rPr>
        <w:t>d</w:t>
      </w:r>
      <w:r w:rsidRPr="00B86BCC">
        <w:rPr>
          <w:position w:val="-4"/>
          <w:sz w:val="18"/>
          <w:lang w:val="en-US"/>
        </w:rPr>
        <w:t>0</w:t>
      </w:r>
      <w:r w:rsidRPr="00B86BCC">
        <w:rPr>
          <w:rFonts w:ascii="Tms Rmn" w:hAnsi="Tms Rmn"/>
          <w:sz w:val="6"/>
          <w:lang w:val="en-US"/>
        </w:rPr>
        <w:t> </w:t>
      </w:r>
      <w:r w:rsidRPr="00B86BCC">
        <w:rPr>
          <w:lang w:val="en-US"/>
        </w:rPr>
        <w:t>/</w:t>
      </w:r>
      <w:r w:rsidRPr="00B86BCC">
        <w:rPr>
          <w:i/>
          <w:iCs/>
          <w:lang w:val="en-US"/>
        </w:rPr>
        <w:t>d</w:t>
      </w:r>
      <w:r w:rsidRPr="00B86BCC">
        <w:rPr>
          <w:lang w:val="en-US"/>
        </w:rPr>
        <w:t>)</w:t>
      </w:r>
      <w:r w:rsidRPr="00B86BCC">
        <w:rPr>
          <w:position w:val="6"/>
          <w:sz w:val="18"/>
          <w:lang w:val="en-US"/>
        </w:rPr>
        <w:t>2</w:t>
      </w:r>
      <w:r w:rsidRPr="00B86BCC">
        <w:rPr>
          <w:lang w:val="en-US"/>
        </w:rPr>
        <w:tab/>
        <w:t>(19)</w:t>
      </w:r>
    </w:p>
    <w:p w:rsidR="003D7E17" w:rsidRDefault="003D7E17">
      <w:r>
        <w:t>The maximum value of</w:t>
      </w:r>
      <w:r>
        <w:rPr>
          <w:i/>
          <w:iCs/>
        </w:rPr>
        <w:t xml:space="preserve"> h</w:t>
      </w:r>
      <w:r>
        <w:t xml:space="preserve"> is assumed to be 20 km. Using these values </w:t>
      </w:r>
      <w:r>
        <w:rPr>
          <w:i/>
          <w:iCs/>
        </w:rPr>
        <w:t>M</w:t>
      </w:r>
      <w:r>
        <w:rPr>
          <w:i/>
          <w:iCs/>
          <w:position w:val="-4"/>
          <w:sz w:val="16"/>
        </w:rPr>
        <w:t>e</w:t>
      </w:r>
      <w:r>
        <w:t xml:space="preserve"> as a function of </w:t>
      </w:r>
      <w:r>
        <w:rPr>
          <w:rFonts w:ascii="Symbol" w:hAnsi="Symbol"/>
        </w:rPr>
        <w:t></w:t>
      </w:r>
      <w:r>
        <w:rPr>
          <w:rFonts w:ascii="Symbol" w:hAnsi="Symbol"/>
        </w:rPr>
        <w:t></w:t>
      </w:r>
      <w:r>
        <w:t xml:space="preserve">is computed. A nearly exact formulation of this function can be expressed as a pfd escalation factor, </w:t>
      </w:r>
      <w:r>
        <w:rPr>
          <w:i/>
          <w:iCs/>
        </w:rPr>
        <w:t>pfd</w:t>
      </w:r>
      <w:r>
        <w:rPr>
          <w:i/>
          <w:iCs/>
          <w:position w:val="-4"/>
          <w:sz w:val="16"/>
        </w:rPr>
        <w:t>e</w:t>
      </w:r>
      <w:r>
        <w:t>, as follows:</w:t>
      </w:r>
    </w:p>
    <w:p w:rsidR="003D7E17" w:rsidRDefault="003D7E17">
      <w:pPr>
        <w:pStyle w:val="Equation"/>
        <w:tabs>
          <w:tab w:val="clear" w:pos="794"/>
          <w:tab w:val="clear" w:pos="4849"/>
          <w:tab w:val="left" w:pos="1418"/>
          <w:tab w:val="left" w:pos="5954"/>
          <w:tab w:val="decimal" w:pos="6691"/>
          <w:tab w:val="left" w:pos="7144"/>
          <w:tab w:val="left" w:pos="7371"/>
          <w:tab w:val="left" w:pos="7598"/>
          <w:tab w:val="decimal" w:pos="8080"/>
        </w:tabs>
      </w:pPr>
      <w:r>
        <w:tab/>
      </w:r>
      <w:r>
        <w:rPr>
          <w:i/>
          <w:iCs/>
        </w:rPr>
        <w:t>pfd</w:t>
      </w:r>
      <w:r>
        <w:rPr>
          <w:i/>
          <w:iCs/>
          <w:position w:val="-4"/>
          <w:sz w:val="18"/>
        </w:rPr>
        <w:t>e</w:t>
      </w:r>
      <w:r>
        <w:t xml:space="preserve">  </w:t>
      </w:r>
      <w:r>
        <w:rPr>
          <w:rFonts w:ascii="Symbol" w:hAnsi="Symbol"/>
        </w:rPr>
        <w:t></w:t>
      </w:r>
      <w:r>
        <w:t xml:space="preserve">  1</w:t>
      </w:r>
      <w:r>
        <w:tab/>
        <w:t>for</w:t>
      </w:r>
      <w:r>
        <w:tab/>
        <w:t>0</w:t>
      </w:r>
      <w:r>
        <w:rPr>
          <w:rFonts w:ascii="Symbol" w:hAnsi="Symbol"/>
        </w:rPr>
        <w:t></w:t>
      </w:r>
      <w:r>
        <w:tab/>
      </w:r>
      <w:r>
        <w:rPr>
          <w:rFonts w:ascii="Symbol" w:hAnsi="Symbol"/>
        </w:rPr>
        <w:t></w:t>
      </w:r>
      <w:r>
        <w:tab/>
      </w:r>
      <w:r>
        <w:rPr>
          <w:rFonts w:ascii="Symbol" w:hAnsi="Symbol"/>
        </w:rPr>
        <w:t></w:t>
      </w:r>
      <w:r>
        <w:rPr>
          <w:rFonts w:ascii="Symbol" w:hAnsi="Symbol"/>
        </w:rPr>
        <w:tab/>
      </w:r>
      <w:r>
        <w:rPr>
          <w:rFonts w:ascii="Symbol" w:hAnsi="Symbol"/>
        </w:rPr>
        <w:t></w:t>
      </w:r>
      <w:r>
        <w:tab/>
        <w:t>30</w:t>
      </w:r>
      <w:r>
        <w:rPr>
          <w:rFonts w:ascii="Symbol" w:hAnsi="Symbol"/>
        </w:rPr>
        <w:t></w:t>
      </w:r>
      <w:r>
        <w:rPr>
          <w:rFonts w:ascii="Symbol" w:hAnsi="Symbol"/>
        </w:rPr>
        <w:tab/>
      </w:r>
      <w:r>
        <w:t>(20a)</w:t>
      </w:r>
    </w:p>
    <w:p w:rsidR="003D7E17" w:rsidRDefault="003D7E17">
      <w:pPr>
        <w:pStyle w:val="Equation"/>
        <w:tabs>
          <w:tab w:val="clear" w:pos="794"/>
          <w:tab w:val="clear" w:pos="4849"/>
          <w:tab w:val="left" w:pos="1418"/>
          <w:tab w:val="left" w:pos="5954"/>
          <w:tab w:val="decimal" w:pos="6691"/>
          <w:tab w:val="left" w:pos="7144"/>
          <w:tab w:val="left" w:pos="7371"/>
          <w:tab w:val="left" w:pos="7598"/>
          <w:tab w:val="decimal" w:pos="8080"/>
        </w:tabs>
      </w:pPr>
      <w:r>
        <w:tab/>
      </w:r>
      <w:r>
        <w:rPr>
          <w:i/>
          <w:iCs/>
        </w:rPr>
        <w:t>pfd</w:t>
      </w:r>
      <w:r>
        <w:rPr>
          <w:i/>
          <w:iCs/>
          <w:position w:val="-4"/>
          <w:sz w:val="18"/>
        </w:rPr>
        <w:t>e</w:t>
      </w:r>
      <w:r>
        <w:t xml:space="preserve">  </w:t>
      </w:r>
      <w:r>
        <w:rPr>
          <w:rFonts w:ascii="Symbol" w:hAnsi="Symbol"/>
        </w:rPr>
        <w:t></w:t>
      </w:r>
      <w:r>
        <w:t xml:space="preserve">  1  </w:t>
      </w:r>
      <w:r>
        <w:rPr>
          <w:rFonts w:ascii="Symbol" w:hAnsi="Symbol"/>
        </w:rPr>
        <w:t></w:t>
      </w:r>
      <w:r>
        <w:t xml:space="preserve">  0.066 (</w:t>
      </w:r>
      <w:r>
        <w:rPr>
          <w:rFonts w:ascii="Symbol" w:hAnsi="Symbol"/>
        </w:rPr>
        <w:t></w:t>
      </w:r>
      <w:r>
        <w:t xml:space="preserve">  –  30)</w:t>
      </w:r>
      <w:r>
        <w:tab/>
        <w:t>for</w:t>
      </w:r>
      <w:r>
        <w:tab/>
        <w:t>30°</w:t>
      </w:r>
      <w:r>
        <w:rPr>
          <w:rFonts w:ascii="Symbol" w:hAnsi="Symbol"/>
        </w:rPr>
        <w:tab/>
      </w:r>
      <w:r>
        <w:rPr>
          <w:rFonts w:ascii="Symbol" w:hAnsi="Symbol"/>
        </w:rPr>
        <w:t></w:t>
      </w:r>
      <w:r>
        <w:tab/>
      </w:r>
      <w:r>
        <w:rPr>
          <w:rFonts w:ascii="Symbol" w:hAnsi="Symbol"/>
        </w:rPr>
        <w:t></w:t>
      </w:r>
      <w:r>
        <w:tab/>
      </w:r>
      <w:r>
        <w:rPr>
          <w:rFonts w:ascii="Symbol" w:hAnsi="Symbol"/>
        </w:rPr>
        <w:t></w:t>
      </w:r>
      <w:r>
        <w:tab/>
        <w:t>62.5</w:t>
      </w:r>
      <w:r>
        <w:rPr>
          <w:rFonts w:ascii="Symbol" w:hAnsi="Symbol"/>
        </w:rPr>
        <w:t></w:t>
      </w:r>
      <w:r>
        <w:tab/>
        <w:t>(20b)</w:t>
      </w:r>
    </w:p>
    <w:p w:rsidR="003D7E17" w:rsidRDefault="003D7E17">
      <w:pPr>
        <w:pStyle w:val="Equation"/>
        <w:tabs>
          <w:tab w:val="clear" w:pos="794"/>
          <w:tab w:val="clear" w:pos="4849"/>
          <w:tab w:val="left" w:pos="1418"/>
          <w:tab w:val="left" w:pos="5954"/>
          <w:tab w:val="decimal" w:pos="6691"/>
          <w:tab w:val="left" w:pos="7144"/>
          <w:tab w:val="left" w:pos="7371"/>
          <w:tab w:val="left" w:pos="7598"/>
          <w:tab w:val="decimal" w:pos="8080"/>
        </w:tabs>
      </w:pPr>
      <w:r>
        <w:tab/>
      </w:r>
      <w:r>
        <w:rPr>
          <w:i/>
          <w:iCs/>
        </w:rPr>
        <w:t>pfd</w:t>
      </w:r>
      <w:r>
        <w:rPr>
          <w:i/>
          <w:iCs/>
          <w:position w:val="-4"/>
          <w:sz w:val="18"/>
        </w:rPr>
        <w:t>e</w:t>
      </w:r>
      <w:r>
        <w:t xml:space="preserve">  </w:t>
      </w:r>
      <w:r>
        <w:rPr>
          <w:rFonts w:ascii="Symbol" w:hAnsi="Symbol"/>
        </w:rPr>
        <w:t></w:t>
      </w:r>
      <w:r>
        <w:t xml:space="preserve">  4 sin</w:t>
      </w:r>
      <w:r>
        <w:rPr>
          <w:position w:val="6"/>
          <w:sz w:val="18"/>
        </w:rPr>
        <w:t>2</w:t>
      </w:r>
      <w:r>
        <w:t xml:space="preserve"> </w:t>
      </w:r>
      <w:r>
        <w:rPr>
          <w:rFonts w:ascii="Symbol" w:hAnsi="Symbol"/>
          <w:lang w:val="fr-FR"/>
        </w:rPr>
        <w:t></w:t>
      </w:r>
      <w:r>
        <w:tab/>
        <w:t>for</w:t>
      </w:r>
      <w:r>
        <w:tab/>
        <w:t>62.5</w:t>
      </w:r>
      <w:r>
        <w:rPr>
          <w:rFonts w:ascii="Symbol" w:hAnsi="Symbol"/>
        </w:rPr>
        <w:t></w:t>
      </w:r>
      <w:r>
        <w:tab/>
        <w:t>&lt;</w:t>
      </w:r>
      <w:r>
        <w:tab/>
      </w:r>
      <w:r>
        <w:rPr>
          <w:rFonts w:ascii="Symbol" w:hAnsi="Symbol"/>
        </w:rPr>
        <w:t></w:t>
      </w:r>
      <w:r>
        <w:rPr>
          <w:rFonts w:ascii="Symbol" w:hAnsi="Symbol"/>
        </w:rPr>
        <w:tab/>
      </w:r>
      <w:r>
        <w:rPr>
          <w:rFonts w:ascii="Symbol" w:hAnsi="Symbol"/>
        </w:rPr>
        <w:t></w:t>
      </w:r>
      <w:r>
        <w:tab/>
        <w:t>90</w:t>
      </w:r>
      <w:r>
        <w:rPr>
          <w:rFonts w:ascii="Symbol" w:hAnsi="Symbol"/>
        </w:rPr>
        <w:t></w:t>
      </w:r>
      <w:r>
        <w:tab/>
        <w:t>(20c)</w:t>
      </w:r>
    </w:p>
    <w:p w:rsidR="003D7E17" w:rsidRDefault="003D7E17">
      <w:pPr>
        <w:pStyle w:val="Heading3"/>
      </w:pPr>
      <w:r>
        <w:t>2.2.7</w:t>
      </w:r>
      <w:r>
        <w:tab/>
        <w:t>Multiple entries</w:t>
      </w:r>
    </w:p>
    <w:p w:rsidR="003D7E17" w:rsidRDefault="003D7E17">
      <w:r>
        <w:t xml:space="preserve">When the value of </w:t>
      </w:r>
      <w:r>
        <w:rPr>
          <w:i/>
        </w:rPr>
        <w:t>S</w:t>
      </w:r>
      <w:r>
        <w:t xml:space="preserve"> is very small, sidelobe and back lobe interference levels from similar satellites in the GSO will be insignificant as compared to the main lobe level. As </w:t>
      </w:r>
      <w:r>
        <w:rPr>
          <w:i/>
        </w:rPr>
        <w:t>S</w:t>
      </w:r>
      <w:r>
        <w:t xml:space="preserve"> increases, the sidelobe and back lobe contributions become statistically significant and are accounted for on a per-satellite basis in § 2.2.1. Therefore, multiple entries are primarily related to the number of geostationary satellites within the limited steradian coverage of the telemetry antenna, </w:t>
      </w:r>
      <w:r>
        <w:rPr>
          <w:i/>
        </w:rPr>
        <w:t>S</w:t>
      </w:r>
      <w:r>
        <w:t>.</w:t>
      </w:r>
    </w:p>
    <w:p w:rsidR="003D7E17" w:rsidRDefault="003D7E17">
      <w:r>
        <w:br w:type="page"/>
      </w:r>
      <w:r>
        <w:lastRenderedPageBreak/>
        <w:t xml:space="preserve">First, it is assumed that an area, </w:t>
      </w:r>
      <w:r>
        <w:rPr>
          <w:i/>
          <w:iCs/>
        </w:rPr>
        <w:t>S</w:t>
      </w:r>
      <w:r>
        <w:rPr>
          <w:rFonts w:ascii="Symbol" w:hAnsi="Symbol"/>
        </w:rPr>
        <w:t></w:t>
      </w:r>
      <w:r>
        <w:rPr>
          <w:rFonts w:ascii="Symbol" w:hAnsi="Symbol"/>
        </w:rPr>
        <w:t></w:t>
      </w:r>
      <w:r>
        <w:t xml:space="preserve"> is circular and that its diameter, </w:t>
      </w:r>
      <w:r>
        <w:rPr>
          <w:rFonts w:ascii="Symbol" w:hAnsi="Symbol"/>
        </w:rPr>
        <w:t></w:t>
      </w:r>
      <w:r>
        <w:t xml:space="preserve">, is aligned with the GSO, and second, it is assumed that there are </w:t>
      </w:r>
      <w:r>
        <w:rPr>
          <w:i/>
          <w:iCs/>
        </w:rPr>
        <w:t>N</w:t>
      </w:r>
      <w:r>
        <w:t xml:space="preserve"> satellites equally spaced by an angle, </w:t>
      </w:r>
      <w:r>
        <w:rPr>
          <w:rFonts w:ascii="Symbol" w:hAnsi="Symbol"/>
        </w:rPr>
        <w:t></w:t>
      </w:r>
      <w:r>
        <w:t>, each producing equal pfds at the telemetry antenna.</w:t>
      </w:r>
    </w:p>
    <w:p w:rsidR="003D7E17" w:rsidRDefault="003D7E17">
      <w:r>
        <w:t xml:space="preserve">When </w:t>
      </w:r>
      <w:r>
        <w:rPr>
          <w:rFonts w:ascii="Symbol" w:hAnsi="Symbol"/>
        </w:rPr>
        <w:t></w:t>
      </w:r>
      <w:r>
        <w:t xml:space="preserve"> is equal to </w:t>
      </w:r>
      <w:r>
        <w:rPr>
          <w:rFonts w:ascii="Symbol" w:hAnsi="Symbol"/>
        </w:rPr>
        <w:t></w:t>
      </w:r>
      <w:r>
        <w:t xml:space="preserve">, two entries are possible but the probability is near 0. When </w:t>
      </w:r>
      <w:r>
        <w:rPr>
          <w:rFonts w:ascii="Symbol" w:hAnsi="Symbol"/>
        </w:rPr>
        <w:t></w:t>
      </w:r>
      <w:r>
        <w:t xml:space="preserve"> is equal to 2</w:t>
      </w:r>
      <w:r>
        <w:rPr>
          <w:rFonts w:ascii="Symbol" w:hAnsi="Symbol"/>
        </w:rPr>
        <w:t></w:t>
      </w:r>
      <w:r>
        <w:t>, the probability of two entries is near 1, while probability of three entries is near 0, and so forth. Thus, for a probability of about 0.5:</w:t>
      </w:r>
    </w:p>
    <w:p w:rsidR="003D7E17" w:rsidRDefault="003D7E17">
      <w:pPr>
        <w:pStyle w:val="Equation"/>
        <w:tabs>
          <w:tab w:val="clear" w:pos="4849"/>
          <w:tab w:val="center" w:pos="3828"/>
          <w:tab w:val="left" w:pos="5387"/>
          <w:tab w:val="left" w:pos="6096"/>
          <w:tab w:val="left" w:pos="6521"/>
        </w:tabs>
        <w:rPr>
          <w:lang w:val="en-US"/>
        </w:rPr>
      </w:pPr>
      <w:r w:rsidRPr="00B86BCC">
        <w:rPr>
          <w:lang w:val="en-US"/>
        </w:rPr>
        <w:tab/>
      </w:r>
      <w:r w:rsidRPr="00B86BCC">
        <w:rPr>
          <w:lang w:val="en-US"/>
        </w:rPr>
        <w:tab/>
      </w:r>
      <w:r>
        <w:rPr>
          <w:rFonts w:ascii="Symbol" w:hAnsi="Symbol"/>
        </w:rPr>
        <w:t></w:t>
      </w:r>
      <w:r>
        <w:rPr>
          <w:lang w:val="en-US"/>
        </w:rPr>
        <w:t xml:space="preserve">  </w:t>
      </w:r>
      <w:r>
        <w:rPr>
          <w:rFonts w:ascii="Symbol" w:hAnsi="Symbol"/>
        </w:rPr>
        <w:t></w:t>
      </w:r>
      <w:r>
        <w:rPr>
          <w:lang w:val="en-US"/>
        </w:rPr>
        <w:t xml:space="preserve">  (</w:t>
      </w:r>
      <w:r>
        <w:rPr>
          <w:i/>
          <w:iCs/>
          <w:lang w:val="en-US"/>
        </w:rPr>
        <w:t>N</w:t>
      </w:r>
      <w:r>
        <w:rPr>
          <w:lang w:val="en-US"/>
        </w:rPr>
        <w:t xml:space="preserve">  –  0.5)</w:t>
      </w:r>
      <w:r>
        <w:rPr>
          <w:rFonts w:ascii="Symbol" w:hAnsi="Symbol"/>
        </w:rPr>
        <w:t></w:t>
      </w:r>
      <w:r>
        <w:rPr>
          <w:rFonts w:ascii="Symbol" w:hAnsi="Symbol"/>
        </w:rPr>
        <w:t></w:t>
      </w:r>
      <w:r>
        <w:rPr>
          <w:lang w:val="en-US"/>
        </w:rPr>
        <w:tab/>
      </w:r>
      <w:r>
        <w:rPr>
          <w:rFonts w:ascii="Symbol" w:hAnsi="Symbol"/>
        </w:rPr>
        <w:t></w:t>
      </w:r>
      <w:r>
        <w:rPr>
          <w:rFonts w:ascii="Symbol" w:hAnsi="Symbol"/>
        </w:rPr>
        <w:t></w:t>
      </w:r>
      <w:r>
        <w:rPr>
          <w:lang w:val="en-US"/>
        </w:rPr>
        <w:t xml:space="preserve">and </w:t>
      </w:r>
      <w:r>
        <w:rPr>
          <w:rFonts w:ascii="Symbol" w:hAnsi="Symbol"/>
        </w:rPr>
        <w:t></w:t>
      </w:r>
      <w:r>
        <w:t>,</w:t>
      </w:r>
      <w:r>
        <w:rPr>
          <w:lang w:val="en-US"/>
        </w:rPr>
        <w:t xml:space="preserve"> </w:t>
      </w:r>
      <w:r>
        <w:t>degrees</w:t>
      </w:r>
      <w:r>
        <w:rPr>
          <w:lang w:val="en-US"/>
        </w:rPr>
        <w:tab/>
        <w:t>(21)</w:t>
      </w:r>
    </w:p>
    <w:p w:rsidR="003D7E17" w:rsidRDefault="003D7E17">
      <w:r>
        <w:t xml:space="preserve">The area </w:t>
      </w:r>
      <w:r>
        <w:rPr>
          <w:i/>
          <w:iCs/>
        </w:rPr>
        <w:t>S</w:t>
      </w:r>
      <w:r>
        <w:rPr>
          <w:rFonts w:ascii="Symbol" w:hAnsi="Symbol"/>
        </w:rPr>
        <w:t></w:t>
      </w:r>
      <w:r>
        <w:t xml:space="preserve"> is:</w:t>
      </w:r>
    </w:p>
    <w:p w:rsidR="003D7E17" w:rsidRDefault="003D7E17">
      <w:pPr>
        <w:pStyle w:val="Equation"/>
        <w:rPr>
          <w:lang w:val="en-US"/>
        </w:rPr>
      </w:pPr>
      <w:r>
        <w:rPr>
          <w:lang w:val="en-US"/>
        </w:rPr>
        <w:tab/>
      </w:r>
      <w:r>
        <w:rPr>
          <w:lang w:val="en-US"/>
        </w:rPr>
        <w:tab/>
      </w:r>
      <w:r>
        <w:rPr>
          <w:i/>
          <w:iCs/>
          <w:lang w:val="en-US"/>
        </w:rPr>
        <w:t>S'</w:t>
      </w:r>
      <w:r>
        <w:rPr>
          <w:lang w:val="en-US"/>
        </w:rPr>
        <w:t xml:space="preserve">  </w:t>
      </w:r>
      <w:r>
        <w:rPr>
          <w:rFonts w:ascii="Symbol" w:hAnsi="Symbol"/>
          <w:lang w:val="fr-FR"/>
        </w:rPr>
        <w:t></w:t>
      </w:r>
      <w:r>
        <w:rPr>
          <w:lang w:val="en-US"/>
        </w:rPr>
        <w:t xml:space="preserve">  (</w:t>
      </w:r>
      <w:r>
        <w:rPr>
          <w:rFonts w:ascii="Symbol" w:hAnsi="Symbol"/>
          <w:lang w:val="fr-FR"/>
        </w:rPr>
        <w:t></w:t>
      </w:r>
      <w:r>
        <w:rPr>
          <w:lang w:val="en-US"/>
        </w:rPr>
        <w:t xml:space="preserve">/4) </w:t>
      </w:r>
      <w:r>
        <w:rPr>
          <w:rFonts w:ascii="Symbol" w:hAnsi="Symbol"/>
          <w:lang w:val="fr-FR"/>
        </w:rPr>
        <w:t></w:t>
      </w:r>
      <w:r>
        <w:rPr>
          <w:position w:val="6"/>
          <w:sz w:val="18"/>
          <w:lang w:val="en-US"/>
        </w:rPr>
        <w:t>2</w:t>
      </w:r>
      <w:r>
        <w:rPr>
          <w:lang w:val="en-US"/>
        </w:rPr>
        <w:t>                  </w:t>
      </w:r>
      <w:r>
        <w:t>steradians</w:t>
      </w:r>
      <w:r>
        <w:rPr>
          <w:lang w:val="en-US"/>
        </w:rPr>
        <w:t>         </w:t>
      </w:r>
      <w:r>
        <w:rPr>
          <w:rFonts w:ascii="Symbol" w:hAnsi="Symbol"/>
          <w:lang w:val="fr-FR"/>
        </w:rPr>
        <w:t></w:t>
      </w:r>
      <w:r>
        <w:t>,</w:t>
      </w:r>
      <w:r>
        <w:rPr>
          <w:lang w:val="en-US"/>
        </w:rPr>
        <w:t xml:space="preserve"> rad</w:t>
      </w:r>
      <w:r>
        <w:rPr>
          <w:lang w:val="en-US"/>
        </w:rPr>
        <w:tab/>
        <w:t>(22)</w:t>
      </w:r>
    </w:p>
    <w:p w:rsidR="003D7E17" w:rsidRDefault="003D7E17">
      <w:r>
        <w:t xml:space="preserve">From this model, </w:t>
      </w:r>
      <w:r>
        <w:rPr>
          <w:i/>
        </w:rPr>
        <w:t>N</w:t>
      </w:r>
      <w:r>
        <w:t xml:space="preserve"> is closely approximated by:</w:t>
      </w:r>
    </w:p>
    <w:p w:rsidR="003D7E17" w:rsidRDefault="003D7E17">
      <w:pPr>
        <w:pStyle w:val="Equation"/>
        <w:tabs>
          <w:tab w:val="clear" w:pos="794"/>
          <w:tab w:val="clear" w:pos="4849"/>
          <w:tab w:val="left" w:pos="2835"/>
          <w:tab w:val="left" w:pos="5954"/>
          <w:tab w:val="decimal" w:pos="6691"/>
          <w:tab w:val="left" w:pos="7144"/>
          <w:tab w:val="left" w:pos="7371"/>
          <w:tab w:val="left" w:pos="7598"/>
          <w:tab w:val="decimal" w:pos="8080"/>
        </w:tabs>
        <w:rPr>
          <w:lang w:val="en-US"/>
        </w:rPr>
      </w:pPr>
      <w:r w:rsidRPr="00B86BCC">
        <w:rPr>
          <w:lang w:val="en-US"/>
        </w:rPr>
        <w:tab/>
      </w:r>
      <w:r>
        <w:rPr>
          <w:i/>
          <w:iCs/>
          <w:lang w:val="en-US"/>
        </w:rPr>
        <w:t>N</w:t>
      </w:r>
      <w:r>
        <w:rPr>
          <w:lang w:val="en-US"/>
        </w:rPr>
        <w:t xml:space="preserve">  </w:t>
      </w:r>
      <w:r>
        <w:rPr>
          <w:rFonts w:ascii="Symbol" w:hAnsi="Symbol"/>
        </w:rPr>
        <w:t></w:t>
      </w:r>
      <w:r>
        <w:rPr>
          <w:lang w:val="en-US"/>
        </w:rPr>
        <w:t xml:space="preserve">  70(</w:t>
      </w:r>
      <w:r>
        <w:rPr>
          <w:i/>
          <w:iCs/>
          <w:lang w:val="en-US"/>
        </w:rPr>
        <w:t>S'</w:t>
      </w:r>
      <w:r>
        <w:rPr>
          <w:lang w:val="en-US"/>
        </w:rPr>
        <w:t>)</w:t>
      </w:r>
      <w:r>
        <w:rPr>
          <w:position w:val="6"/>
          <w:sz w:val="18"/>
          <w:lang w:val="en-US"/>
        </w:rPr>
        <w:t>0.5</w:t>
      </w:r>
      <w:r>
        <w:rPr>
          <w:lang w:val="en-US"/>
        </w:rPr>
        <w:t>/</w:t>
      </w:r>
      <w:r>
        <w:rPr>
          <w:rFonts w:ascii="Symbol" w:hAnsi="Symbol"/>
        </w:rPr>
        <w:t></w:t>
      </w:r>
      <w:r>
        <w:rPr>
          <w:rFonts w:ascii="Symbol" w:hAnsi="Symbol"/>
          <w:lang w:val="en-US"/>
        </w:rPr>
        <w:tab/>
      </w:r>
      <w:r>
        <w:rPr>
          <w:lang w:val="en-US"/>
        </w:rPr>
        <w:t>for</w:t>
      </w:r>
      <w:r>
        <w:rPr>
          <w:lang w:val="en-US"/>
        </w:rPr>
        <w:tab/>
      </w:r>
      <w:r>
        <w:rPr>
          <w:rFonts w:ascii="Symbol" w:hAnsi="Symbol"/>
        </w:rPr>
        <w:t></w:t>
      </w:r>
      <w:r>
        <w:rPr>
          <w:position w:val="6"/>
          <w:sz w:val="18"/>
          <w:lang w:val="en-US"/>
        </w:rPr>
        <w:t>2</w:t>
      </w:r>
      <w:r>
        <w:rPr>
          <w:lang w:val="en-US"/>
        </w:rPr>
        <w:t>/4</w:t>
      </w:r>
      <w:r>
        <w:rPr>
          <w:rFonts w:ascii="Tms Rmn" w:hAnsi="Tms Rmn"/>
          <w:sz w:val="12"/>
          <w:lang w:val="en-US"/>
        </w:rPr>
        <w:t> </w:t>
      </w:r>
      <w:r>
        <w:rPr>
          <w:lang w:val="en-US"/>
        </w:rPr>
        <w:t>900</w:t>
      </w:r>
      <w:r>
        <w:rPr>
          <w:lang w:val="en-US"/>
        </w:rPr>
        <w:tab/>
      </w:r>
      <w:r>
        <w:rPr>
          <w:rFonts w:ascii="Symbol" w:hAnsi="Symbol"/>
        </w:rPr>
        <w:t></w:t>
      </w:r>
      <w:r>
        <w:rPr>
          <w:lang w:val="en-US"/>
        </w:rPr>
        <w:t xml:space="preserve">  </w:t>
      </w:r>
      <w:r>
        <w:rPr>
          <w:i/>
          <w:iCs/>
          <w:lang w:val="en-US"/>
        </w:rPr>
        <w:t>S'</w:t>
      </w:r>
      <w:r>
        <w:rPr>
          <w:lang w:val="en-US"/>
        </w:rPr>
        <w:t xml:space="preserve">  </w:t>
      </w:r>
      <w:r>
        <w:rPr>
          <w:rFonts w:ascii="Symbol" w:hAnsi="Symbol"/>
        </w:rPr>
        <w:t></w:t>
      </w:r>
      <w:r>
        <w:rPr>
          <w:lang w:val="en-US"/>
        </w:rPr>
        <w:t xml:space="preserve">  1.938</w:t>
      </w:r>
      <w:r>
        <w:rPr>
          <w:lang w:val="en-US"/>
        </w:rPr>
        <w:tab/>
        <w:t>(23)</w:t>
      </w:r>
    </w:p>
    <w:p w:rsidR="003D7E17" w:rsidRDefault="003D7E17">
      <w:r>
        <w:t xml:space="preserve">Since </w:t>
      </w:r>
      <w:r>
        <w:rPr>
          <w:i/>
          <w:iCs/>
        </w:rPr>
        <w:t>N</w:t>
      </w:r>
      <w:r>
        <w:t> </w:t>
      </w:r>
      <w:r>
        <w:rPr>
          <w:rFonts w:ascii="Symbol" w:hAnsi="Symbol"/>
          <w:lang w:val="fr-FR"/>
        </w:rPr>
        <w:t></w:t>
      </w:r>
      <w:r>
        <w:t xml:space="preserve"> 1, </w:t>
      </w:r>
      <w:r>
        <w:rPr>
          <w:i/>
          <w:iCs/>
        </w:rPr>
        <w:t>S'</w:t>
      </w:r>
      <w:r>
        <w:t> </w:t>
      </w:r>
      <w:r>
        <w:rPr>
          <w:rFonts w:ascii="Symbol" w:hAnsi="Symbol"/>
          <w:lang w:val="fr-FR"/>
        </w:rPr>
        <w:t></w:t>
      </w:r>
      <w:r>
        <w:t> </w:t>
      </w:r>
      <w:r>
        <w:rPr>
          <w:rFonts w:ascii="Symbol" w:hAnsi="Symbol"/>
        </w:rPr>
        <w:t></w:t>
      </w:r>
      <w:r>
        <w:rPr>
          <w:position w:val="6"/>
          <w:sz w:val="16"/>
        </w:rPr>
        <w:t>2</w:t>
      </w:r>
      <w:r>
        <w:t xml:space="preserve">/4 900, and since the "maximum" minimum value of </w:t>
      </w:r>
      <w:r>
        <w:rPr>
          <w:i/>
        </w:rPr>
        <w:t>S</w:t>
      </w:r>
      <w:r>
        <w:t xml:space="preserve"> from § 2.2.5 is 1.938, </w:t>
      </w:r>
      <w:r>
        <w:rPr>
          <w:i/>
        </w:rPr>
        <w:t>N</w:t>
      </w:r>
      <w:r>
        <w:t xml:space="preserve"> in equation (23) is limited to this range. Thus, </w:t>
      </w:r>
      <w:r>
        <w:rPr>
          <w:i/>
        </w:rPr>
        <w:t>N</w:t>
      </w:r>
      <w:r>
        <w:t xml:space="preserve"> is limited to the range; 1 </w:t>
      </w:r>
      <w:r>
        <w:rPr>
          <w:rFonts w:ascii="Symbol" w:hAnsi="Symbol"/>
          <w:lang w:val="fr-FR"/>
        </w:rPr>
        <w:t></w:t>
      </w:r>
      <w:r>
        <w:t> </w:t>
      </w:r>
      <w:r>
        <w:rPr>
          <w:i/>
          <w:iCs/>
        </w:rPr>
        <w:t>N</w:t>
      </w:r>
      <w:r>
        <w:t> </w:t>
      </w:r>
      <w:r>
        <w:rPr>
          <w:rFonts w:ascii="Symbol" w:hAnsi="Symbol"/>
          <w:lang w:val="fr-FR"/>
        </w:rPr>
        <w:t></w:t>
      </w:r>
      <w:r>
        <w:t> ((90/</w:t>
      </w:r>
      <w:r>
        <w:rPr>
          <w:rFonts w:ascii="Symbol" w:hAnsi="Symbol"/>
        </w:rPr>
        <w:t></w:t>
      </w:r>
      <w:r>
        <w:t>) </w:t>
      </w:r>
      <w:r>
        <w:rPr>
          <w:rFonts w:ascii="Symbol" w:hAnsi="Symbol"/>
          <w:lang w:val="fr-FR"/>
        </w:rPr>
        <w:t></w:t>
      </w:r>
      <w:r>
        <w:t> 0.5).</w:t>
      </w:r>
    </w:p>
    <w:p w:rsidR="003D7E17" w:rsidRDefault="003D7E17">
      <w:r>
        <w:t xml:space="preserve">The single entry escalation, </w:t>
      </w:r>
      <w:r>
        <w:rPr>
          <w:i/>
          <w:iCs/>
        </w:rPr>
        <w:t>pfd</w:t>
      </w:r>
      <w:r>
        <w:rPr>
          <w:i/>
          <w:iCs/>
          <w:position w:val="-4"/>
          <w:sz w:val="16"/>
        </w:rPr>
        <w:t>es</w:t>
      </w:r>
      <w:r>
        <w:rPr>
          <w:position w:val="-4"/>
        </w:rPr>
        <w:t>,</w:t>
      </w:r>
      <w:r>
        <w:t xml:space="preserve"> is related to the aggregate </w:t>
      </w:r>
      <w:r>
        <w:rPr>
          <w:i/>
          <w:iCs/>
        </w:rPr>
        <w:t>pfd</w:t>
      </w:r>
      <w:r>
        <w:rPr>
          <w:i/>
          <w:iCs/>
          <w:position w:val="-4"/>
          <w:sz w:val="16"/>
        </w:rPr>
        <w:t>ea</w:t>
      </w:r>
      <w:r>
        <w:t xml:space="preserve"> by:</w:t>
      </w:r>
    </w:p>
    <w:p w:rsidR="003D7E17" w:rsidRPr="00B86BCC" w:rsidRDefault="003D7E17">
      <w:pPr>
        <w:pStyle w:val="Equation"/>
        <w:rPr>
          <w:lang w:val="en-US"/>
        </w:rPr>
      </w:pPr>
      <w:r w:rsidRPr="00B86BCC">
        <w:rPr>
          <w:lang w:val="en-US"/>
        </w:rPr>
        <w:tab/>
      </w:r>
      <w:r w:rsidRPr="00B86BCC">
        <w:rPr>
          <w:lang w:val="en-US"/>
        </w:rPr>
        <w:tab/>
      </w:r>
      <w:r w:rsidRPr="00B86BCC">
        <w:rPr>
          <w:i/>
          <w:iCs/>
          <w:lang w:val="en-US"/>
        </w:rPr>
        <w:t>pfd</w:t>
      </w:r>
      <w:r w:rsidRPr="00B86BCC">
        <w:rPr>
          <w:i/>
          <w:iCs/>
          <w:position w:val="-4"/>
          <w:sz w:val="18"/>
          <w:lang w:val="en-US"/>
        </w:rPr>
        <w:t>es</w:t>
      </w:r>
      <w:r w:rsidRPr="00B86BCC">
        <w:rPr>
          <w:lang w:val="en-US"/>
        </w:rPr>
        <w:t xml:space="preserve">  </w:t>
      </w:r>
      <w:r>
        <w:rPr>
          <w:rFonts w:ascii="Symbol" w:hAnsi="Symbol"/>
          <w:lang w:val="fr-FR"/>
        </w:rPr>
        <w:t></w:t>
      </w:r>
      <w:r w:rsidRPr="00B86BCC">
        <w:rPr>
          <w:lang w:val="en-US"/>
        </w:rPr>
        <w:t xml:space="preserve">  </w:t>
      </w:r>
      <w:r w:rsidRPr="00B86BCC">
        <w:rPr>
          <w:i/>
          <w:iCs/>
          <w:lang w:val="en-US"/>
        </w:rPr>
        <w:t>pfd</w:t>
      </w:r>
      <w:r w:rsidRPr="00B86BCC">
        <w:rPr>
          <w:i/>
          <w:iCs/>
          <w:position w:val="-4"/>
          <w:sz w:val="18"/>
          <w:lang w:val="en-US"/>
        </w:rPr>
        <w:t>ea</w:t>
      </w:r>
      <w:r w:rsidRPr="00B86BCC">
        <w:rPr>
          <w:lang w:val="en-US"/>
        </w:rPr>
        <w:t>/</w:t>
      </w:r>
      <w:r w:rsidRPr="00B86BCC">
        <w:rPr>
          <w:i/>
          <w:iCs/>
          <w:lang w:val="en-US"/>
        </w:rPr>
        <w:t>N</w:t>
      </w:r>
      <w:r w:rsidRPr="00B86BCC">
        <w:rPr>
          <w:lang w:val="en-US"/>
        </w:rPr>
        <w:tab/>
        <w:t>(24)</w:t>
      </w:r>
    </w:p>
    <w:p w:rsidR="003D7E17" w:rsidRDefault="003D7E17">
      <w:pPr>
        <w:pStyle w:val="Heading2"/>
        <w:spacing w:before="240"/>
      </w:pPr>
      <w:r>
        <w:t>2.3</w:t>
      </w:r>
      <w:r>
        <w:tab/>
        <w:t>Single entry pfd values</w:t>
      </w:r>
    </w:p>
    <w:p w:rsidR="003D7E17" w:rsidRDefault="003D7E17">
      <w:r>
        <w:t>From the preceding analyses, values of single entry pfds may be developed. The pfd single entry values developed in the following sections are applicable for aeronautical mobile telemetry systems. Telemetry systems parameter values are as follows:</w:t>
      </w:r>
    </w:p>
    <w:p w:rsidR="003D7E17" w:rsidRDefault="003D7E17">
      <w:pPr>
        <w:pStyle w:val="enumlev1"/>
        <w:tabs>
          <w:tab w:val="left" w:pos="1276"/>
        </w:tabs>
      </w:pPr>
      <w:r>
        <w:tab/>
      </w:r>
      <w:r>
        <w:rPr>
          <w:i/>
          <w:iCs/>
        </w:rPr>
        <w:t>T</w:t>
      </w:r>
      <w:r>
        <w:rPr>
          <w:lang w:val="en-US"/>
        </w:rPr>
        <w:t>:</w:t>
      </w:r>
      <w:r>
        <w:rPr>
          <w:lang w:val="en-US"/>
        </w:rPr>
        <w:tab/>
      </w:r>
      <w:r>
        <w:t xml:space="preserve">receiving station noise temperature </w:t>
      </w:r>
      <w:r>
        <w:rPr>
          <w:rFonts w:ascii="Symbol" w:hAnsi="Symbol"/>
        </w:rPr>
        <w:t></w:t>
      </w:r>
      <w:r>
        <w:t xml:space="preserve"> 250</w:t>
      </w:r>
      <w:r>
        <w:rPr>
          <w:rFonts w:ascii="Symbol" w:hAnsi="Symbol"/>
        </w:rPr>
        <w:t></w:t>
      </w:r>
      <w:r>
        <w:t>K</w:t>
      </w:r>
    </w:p>
    <w:p w:rsidR="003D7E17" w:rsidRDefault="003D7E17">
      <w:pPr>
        <w:pStyle w:val="enumlev1"/>
        <w:tabs>
          <w:tab w:val="left" w:pos="1276"/>
        </w:tabs>
      </w:pPr>
      <w:r>
        <w:tab/>
      </w:r>
      <w:r>
        <w:rPr>
          <w:i/>
          <w:iCs/>
        </w:rPr>
        <w:t>B</w:t>
      </w:r>
      <w:r>
        <w:rPr>
          <w:rFonts w:ascii="Tms Rmn" w:hAnsi="Tms Rmn"/>
          <w:sz w:val="12"/>
          <w:lang w:val="en-US"/>
        </w:rPr>
        <w:t xml:space="preserve"> </w:t>
      </w:r>
      <w:r>
        <w:rPr>
          <w:lang w:val="en-US"/>
        </w:rPr>
        <w:t>:</w:t>
      </w:r>
      <w:r>
        <w:rPr>
          <w:lang w:val="en-US"/>
        </w:rPr>
        <w:tab/>
      </w:r>
      <w:r>
        <w:t xml:space="preserve">referenced bandwidth </w:t>
      </w:r>
      <w:r>
        <w:rPr>
          <w:rFonts w:ascii="Symbol" w:hAnsi="Symbol"/>
        </w:rPr>
        <w:t></w:t>
      </w:r>
      <w:r>
        <w:t xml:space="preserve"> 4 kHz</w:t>
      </w:r>
    </w:p>
    <w:p w:rsidR="003D7E17" w:rsidRDefault="003D7E17">
      <w:pPr>
        <w:pStyle w:val="enumlev1"/>
        <w:tabs>
          <w:tab w:val="left" w:pos="1276"/>
        </w:tabs>
      </w:pPr>
      <w:r>
        <w:rPr>
          <w:rFonts w:ascii="Symbol" w:hAnsi="Symbol"/>
        </w:rPr>
        <w:tab/>
      </w:r>
      <w:r>
        <w:rPr>
          <w:rFonts w:ascii="Symbol" w:hAnsi="Symbol"/>
        </w:rPr>
        <w:t></w:t>
      </w:r>
      <w:r>
        <w:rPr>
          <w:lang w:val="en-US"/>
        </w:rPr>
        <w:t>:</w:t>
      </w:r>
      <w:r>
        <w:rPr>
          <w:lang w:val="en-US"/>
        </w:rPr>
        <w:tab/>
      </w:r>
      <w:r>
        <w:t xml:space="preserve">wavelength </w:t>
      </w:r>
      <w:r>
        <w:rPr>
          <w:rFonts w:ascii="Symbol" w:hAnsi="Symbol"/>
        </w:rPr>
        <w:t></w:t>
      </w:r>
      <w:r>
        <w:t xml:space="preserve"> 0.2 m</w:t>
      </w:r>
    </w:p>
    <w:p w:rsidR="003D7E17" w:rsidRDefault="003D7E17">
      <w:pPr>
        <w:pStyle w:val="enumlev1"/>
        <w:tabs>
          <w:tab w:val="left" w:pos="1276"/>
        </w:tabs>
      </w:pPr>
      <w:r>
        <w:tab/>
      </w:r>
      <w:r>
        <w:rPr>
          <w:i/>
          <w:iCs/>
        </w:rPr>
        <w:t>I</w:t>
      </w:r>
      <w:r>
        <w:t>/</w:t>
      </w:r>
      <w:r>
        <w:rPr>
          <w:i/>
          <w:iCs/>
        </w:rPr>
        <w:t>N</w:t>
      </w:r>
      <w:r>
        <w:rPr>
          <w:lang w:val="en-US"/>
        </w:rPr>
        <w:t>:</w:t>
      </w:r>
      <w:r>
        <w:rPr>
          <w:lang w:val="en-US"/>
        </w:rPr>
        <w:tab/>
      </w:r>
      <w:r>
        <w:t xml:space="preserve">interference/noise </w:t>
      </w:r>
      <w:r>
        <w:rPr>
          <w:rFonts w:ascii="Symbol" w:hAnsi="Symbol"/>
        </w:rPr>
        <w:t></w:t>
      </w:r>
      <w:r>
        <w:t xml:space="preserve"> 0.3846</w:t>
      </w:r>
    </w:p>
    <w:p w:rsidR="003D7E17" w:rsidRDefault="003D7E17">
      <w:pPr>
        <w:pStyle w:val="enumlev1"/>
        <w:tabs>
          <w:tab w:val="left" w:pos="1276"/>
        </w:tabs>
      </w:pPr>
      <w:r>
        <w:tab/>
      </w:r>
      <w:r>
        <w:rPr>
          <w:i/>
          <w:iCs/>
        </w:rPr>
        <w:t>P</w:t>
      </w:r>
      <w:r>
        <w:t>(</w:t>
      </w:r>
      <w:r>
        <w:rPr>
          <w:rFonts w:ascii="Symbol" w:hAnsi="Symbol"/>
        </w:rPr>
        <w:t></w:t>
      </w:r>
      <w:r>
        <w:rPr>
          <w:i/>
          <w:iCs/>
        </w:rPr>
        <w:t>G</w:t>
      </w:r>
      <w:r>
        <w:t>)</w:t>
      </w:r>
      <w:r>
        <w:rPr>
          <w:lang w:val="en-US"/>
        </w:rPr>
        <w:t>:</w:t>
      </w:r>
      <w:r>
        <w:rPr>
          <w:lang w:val="en-US"/>
        </w:rPr>
        <w:tab/>
      </w:r>
      <w:r>
        <w:t xml:space="preserve">probability of differential gain </w:t>
      </w:r>
      <w:r>
        <w:rPr>
          <w:rFonts w:ascii="Symbol" w:hAnsi="Symbol"/>
        </w:rPr>
        <w:t></w:t>
      </w:r>
      <w:r>
        <w:t xml:space="preserve"> 0.003611.</w:t>
      </w:r>
    </w:p>
    <w:p w:rsidR="003D7E17" w:rsidRDefault="003D7E17">
      <w:r>
        <w:t xml:space="preserve">Using these values in conjunction with the </w:t>
      </w:r>
      <w:r>
        <w:rPr>
          <w:rFonts w:ascii="Symbol" w:hAnsi="Symbol"/>
        </w:rPr>
        <w:t></w:t>
      </w:r>
      <w:r>
        <w:rPr>
          <w:i/>
          <w:iCs/>
        </w:rPr>
        <w:t>G</w:t>
      </w:r>
      <w:r>
        <w:t xml:space="preserve"> versus </w:t>
      </w:r>
      <w:r>
        <w:rPr>
          <w:i/>
        </w:rPr>
        <w:t>S</w:t>
      </w:r>
      <w:r>
        <w:t xml:space="preserve"> function, the excess margin and multiple entry factor for a </w:t>
      </w:r>
      <w:r>
        <w:rPr>
          <w:rFonts w:ascii="Symbol" w:hAnsi="Symbol"/>
        </w:rPr>
        <w:t></w:t>
      </w:r>
      <w:r>
        <w:t xml:space="preserve"> of 45</w:t>
      </w:r>
      <w:r>
        <w:rPr>
          <w:rFonts w:ascii="Symbol" w:hAnsi="Symbol"/>
        </w:rPr>
        <w:fldChar w:fldCharType="begin"/>
      </w:r>
      <w:r>
        <w:rPr>
          <w:rFonts w:ascii="Symbol" w:hAnsi="Symbol"/>
        </w:rPr>
        <w:instrText>SYMBOL 176 \f "Symbol"</w:instrText>
      </w:r>
      <w:r>
        <w:rPr>
          <w:rFonts w:ascii="Symbol" w:hAnsi="Symbol"/>
        </w:rPr>
        <w:fldChar w:fldCharType="end"/>
      </w:r>
      <w:r>
        <w:t>, results in the function shown in Fig. 6. As also shown in Fig. 6, the pfd versus angle of arrival is closely approximated by:</w:t>
      </w:r>
    </w:p>
    <w:p w:rsidR="003D7E17" w:rsidRDefault="003D7E17">
      <w:pPr>
        <w:pStyle w:val="Equation"/>
        <w:tabs>
          <w:tab w:val="clear" w:pos="4849"/>
          <w:tab w:val="left" w:pos="3686"/>
          <w:tab w:val="left" w:pos="6521"/>
          <w:tab w:val="decimal" w:pos="7144"/>
          <w:tab w:val="left" w:pos="7371"/>
          <w:tab w:val="left" w:pos="7598"/>
          <w:tab w:val="left" w:pos="7797"/>
          <w:tab w:val="decimal" w:pos="8222"/>
        </w:tabs>
        <w:rPr>
          <w:lang w:val="en-US"/>
        </w:rPr>
      </w:pPr>
      <w:r w:rsidRPr="00B86BCC">
        <w:rPr>
          <w:lang w:val="en-US"/>
        </w:rPr>
        <w:tab/>
      </w:r>
      <w:r>
        <w:rPr>
          <w:i/>
          <w:iCs/>
          <w:lang w:val="en-US"/>
        </w:rPr>
        <w:t>pfd</w:t>
      </w:r>
      <w:r>
        <w:rPr>
          <w:lang w:val="en-US"/>
        </w:rPr>
        <w:t xml:space="preserve"> </w:t>
      </w:r>
      <w:r>
        <w:t xml:space="preserve"> </w:t>
      </w:r>
      <w:r>
        <w:rPr>
          <w:rFonts w:ascii="Symbol" w:hAnsi="Symbol"/>
          <w:lang w:val="fr-FR"/>
        </w:rPr>
        <w:t></w:t>
      </w:r>
      <w:r>
        <w:rPr>
          <w:lang w:val="en-US"/>
        </w:rPr>
        <w:t xml:space="preserve">  –181.0                        </w:t>
      </w:r>
      <w:r>
        <w:rPr>
          <w:position w:val="-10"/>
          <w:lang w:val="fr-FR"/>
        </w:rPr>
        <w:object w:dxaOrig="1880" w:dyaOrig="380">
          <v:shape id="_x0000_i1040" type="#_x0000_t75" style="width:93.9pt;height:19pt" o:ole="">
            <v:imagedata r:id="rId49" o:title=""/>
          </v:shape>
          <o:OLEObject Type="Embed" ProgID="Equation.3" ShapeID="_x0000_i1040" DrawAspect="Content" ObjectID="_1361104452" r:id="rId50"/>
        </w:object>
      </w:r>
      <w:r>
        <w:rPr>
          <w:lang w:val="en-US"/>
        </w:rPr>
        <w:tab/>
        <w:t>for</w:t>
      </w:r>
      <w:r>
        <w:rPr>
          <w:lang w:val="en-US"/>
        </w:rPr>
        <w:tab/>
        <w:t>0</w:t>
      </w:r>
      <w:r>
        <w:rPr>
          <w:rFonts w:ascii="Symbol" w:hAnsi="Symbol"/>
          <w:lang w:val="fr-FR"/>
        </w:rPr>
        <w:t></w:t>
      </w:r>
      <w:r>
        <w:rPr>
          <w:lang w:val="en-US"/>
        </w:rPr>
        <w:tab/>
      </w:r>
      <w:r>
        <w:rPr>
          <w:rFonts w:ascii="Symbol" w:hAnsi="Symbol"/>
          <w:lang w:val="fr-FR"/>
        </w:rPr>
        <w:t></w:t>
      </w:r>
      <w:r>
        <w:rPr>
          <w:lang w:val="en-US"/>
        </w:rPr>
        <w:tab/>
      </w:r>
      <w:r>
        <w:rPr>
          <w:rFonts w:ascii="Symbol" w:hAnsi="Symbol"/>
          <w:lang w:val="fr-FR"/>
        </w:rPr>
        <w:t></w:t>
      </w:r>
      <w:r>
        <w:rPr>
          <w:rFonts w:ascii="Symbol" w:hAnsi="Symbol"/>
          <w:lang w:val="en-US"/>
        </w:rPr>
        <w:tab/>
      </w:r>
      <w:r>
        <w:rPr>
          <w:rFonts w:ascii="Symbol" w:hAnsi="Symbol"/>
          <w:lang w:val="fr-FR"/>
        </w:rPr>
        <w:t></w:t>
      </w:r>
      <w:r>
        <w:rPr>
          <w:lang w:val="en-US"/>
        </w:rPr>
        <w:tab/>
        <w:t>4</w:t>
      </w:r>
      <w:r>
        <w:rPr>
          <w:rFonts w:ascii="Symbol" w:hAnsi="Symbol"/>
          <w:lang w:val="fr-FR"/>
        </w:rPr>
        <w:t></w:t>
      </w:r>
      <w:r>
        <w:rPr>
          <w:lang w:val="en-US"/>
        </w:rPr>
        <w:tab/>
        <w:t>(25a)</w:t>
      </w:r>
    </w:p>
    <w:p w:rsidR="003D7E17" w:rsidRDefault="003D7E17">
      <w:pPr>
        <w:pStyle w:val="Equation"/>
        <w:tabs>
          <w:tab w:val="clear" w:pos="4849"/>
          <w:tab w:val="left" w:pos="3686"/>
          <w:tab w:val="left" w:pos="6521"/>
          <w:tab w:val="decimal" w:pos="7144"/>
          <w:tab w:val="left" w:pos="7371"/>
          <w:tab w:val="left" w:pos="7598"/>
          <w:tab w:val="left" w:pos="7797"/>
          <w:tab w:val="decimal" w:pos="8222"/>
        </w:tabs>
        <w:rPr>
          <w:lang w:val="en-US"/>
        </w:rPr>
      </w:pPr>
      <w:r>
        <w:rPr>
          <w:lang w:val="en-US"/>
        </w:rPr>
        <w:tab/>
      </w:r>
      <w:r>
        <w:rPr>
          <w:i/>
          <w:iCs/>
          <w:lang w:val="en-US"/>
        </w:rPr>
        <w:t>pfd</w:t>
      </w:r>
      <w:r>
        <w:t xml:space="preserve"> </w:t>
      </w:r>
      <w:r>
        <w:rPr>
          <w:lang w:val="en-US"/>
        </w:rPr>
        <w:t xml:space="preserve"> </w:t>
      </w:r>
      <w:r>
        <w:rPr>
          <w:rFonts w:ascii="Symbol" w:hAnsi="Symbol"/>
          <w:lang w:val="fr-FR"/>
        </w:rPr>
        <w:t></w:t>
      </w:r>
      <w:r>
        <w:rPr>
          <w:rFonts w:ascii="Symbol" w:hAnsi="Symbol"/>
          <w:lang w:val="fr-FR"/>
        </w:rPr>
        <w:t></w:t>
      </w:r>
      <w:r>
        <w:rPr>
          <w:lang w:val="en-US"/>
        </w:rPr>
        <w:t xml:space="preserve"> –193.0 </w:t>
      </w:r>
      <w:r>
        <w:rPr>
          <w:rFonts w:ascii="Symbol" w:hAnsi="Symbol"/>
          <w:lang w:val="fr-FR"/>
        </w:rPr>
        <w:t></w:t>
      </w:r>
      <w:r>
        <w:rPr>
          <w:lang w:val="en-US"/>
        </w:rPr>
        <w:t xml:space="preserve"> 20 log </w:t>
      </w:r>
      <w:r>
        <w:rPr>
          <w:rFonts w:ascii="Symbol" w:hAnsi="Symbol"/>
          <w:lang w:val="fr-FR"/>
        </w:rPr>
        <w:t></w:t>
      </w:r>
      <w:r>
        <w:rPr>
          <w:lang w:val="en-US"/>
        </w:rPr>
        <w:t>                        </w:t>
      </w:r>
      <w:r>
        <w:rPr>
          <w:position w:val="-10"/>
          <w:lang w:val="fr-FR"/>
        </w:rPr>
        <w:object w:dxaOrig="1880" w:dyaOrig="380">
          <v:shape id="_x0000_i1041" type="#_x0000_t75" style="width:93.9pt;height:19pt" o:ole="">
            <v:imagedata r:id="rId51" o:title=""/>
          </v:shape>
          <o:OLEObject Type="Embed" ProgID="Equation.3" ShapeID="_x0000_i1041" DrawAspect="Content" ObjectID="_1361104453" r:id="rId52"/>
        </w:object>
      </w:r>
      <w:r>
        <w:rPr>
          <w:lang w:val="en-US"/>
        </w:rPr>
        <w:tab/>
        <w:t>for</w:t>
      </w:r>
      <w:r>
        <w:rPr>
          <w:lang w:val="en-US"/>
        </w:rPr>
        <w:tab/>
        <w:t>4</w:t>
      </w:r>
      <w:r>
        <w:rPr>
          <w:rFonts w:ascii="Symbol" w:hAnsi="Symbol"/>
          <w:lang w:val="fr-FR"/>
        </w:rPr>
        <w:t></w:t>
      </w:r>
      <w:r>
        <w:rPr>
          <w:rFonts w:ascii="Symbol" w:hAnsi="Symbol"/>
          <w:lang w:val="en-US"/>
        </w:rPr>
        <w:tab/>
      </w:r>
      <w:r>
        <w:rPr>
          <w:rFonts w:ascii="Symbol" w:hAnsi="Symbol"/>
          <w:lang w:val="fr-FR"/>
        </w:rPr>
        <w:t></w:t>
      </w:r>
      <w:r>
        <w:rPr>
          <w:lang w:val="en-US"/>
        </w:rPr>
        <w:tab/>
      </w:r>
      <w:r>
        <w:rPr>
          <w:rFonts w:ascii="Symbol" w:hAnsi="Symbol"/>
          <w:lang w:val="fr-FR"/>
        </w:rPr>
        <w:t></w:t>
      </w:r>
      <w:r>
        <w:rPr>
          <w:rFonts w:ascii="Symbol" w:hAnsi="Symbol"/>
          <w:lang w:val="en-US"/>
        </w:rPr>
        <w:tab/>
      </w:r>
      <w:r>
        <w:rPr>
          <w:rFonts w:ascii="Symbol" w:hAnsi="Symbol"/>
          <w:lang w:val="fr-FR"/>
        </w:rPr>
        <w:t></w:t>
      </w:r>
      <w:r>
        <w:rPr>
          <w:lang w:val="en-US"/>
        </w:rPr>
        <w:tab/>
        <w:t>20</w:t>
      </w:r>
      <w:r>
        <w:rPr>
          <w:rFonts w:ascii="Symbol" w:hAnsi="Symbol"/>
          <w:lang w:val="fr-FR"/>
        </w:rPr>
        <w:t></w:t>
      </w:r>
      <w:r>
        <w:rPr>
          <w:lang w:val="en-US"/>
        </w:rPr>
        <w:tab/>
        <w:t>(25b)</w:t>
      </w:r>
    </w:p>
    <w:p w:rsidR="003D7E17" w:rsidRDefault="003D7E17">
      <w:pPr>
        <w:pStyle w:val="Equation"/>
        <w:tabs>
          <w:tab w:val="clear" w:pos="4849"/>
          <w:tab w:val="left" w:pos="3686"/>
          <w:tab w:val="left" w:pos="6521"/>
          <w:tab w:val="decimal" w:pos="7144"/>
          <w:tab w:val="left" w:pos="7371"/>
          <w:tab w:val="left" w:pos="7598"/>
          <w:tab w:val="left" w:pos="7797"/>
          <w:tab w:val="decimal" w:pos="8222"/>
        </w:tabs>
        <w:rPr>
          <w:lang w:val="en-US"/>
        </w:rPr>
      </w:pPr>
      <w:r>
        <w:rPr>
          <w:lang w:val="en-US"/>
        </w:rPr>
        <w:tab/>
      </w:r>
      <w:r>
        <w:rPr>
          <w:i/>
          <w:iCs/>
          <w:lang w:val="en-US"/>
        </w:rPr>
        <w:t>pfd</w:t>
      </w:r>
      <w:r>
        <w:t xml:space="preserve"> </w:t>
      </w:r>
      <w:r>
        <w:rPr>
          <w:lang w:val="en-US"/>
        </w:rPr>
        <w:t xml:space="preserve"> </w:t>
      </w:r>
      <w:r>
        <w:rPr>
          <w:rFonts w:ascii="Symbol" w:hAnsi="Symbol"/>
          <w:lang w:val="fr-FR"/>
        </w:rPr>
        <w:t></w:t>
      </w:r>
      <w:r>
        <w:rPr>
          <w:lang w:val="en-US"/>
        </w:rPr>
        <w:t xml:space="preserve">  –213.3 </w:t>
      </w:r>
      <w:r>
        <w:rPr>
          <w:rFonts w:ascii="Symbol" w:hAnsi="Symbol"/>
          <w:lang w:val="fr-FR"/>
        </w:rPr>
        <w:t></w:t>
      </w:r>
      <w:r>
        <w:rPr>
          <w:lang w:val="en-US"/>
        </w:rPr>
        <w:t xml:space="preserve"> 35.6 log </w:t>
      </w:r>
      <w:r>
        <w:rPr>
          <w:rFonts w:ascii="Symbol" w:hAnsi="Symbol"/>
          <w:lang w:val="fr-FR"/>
        </w:rPr>
        <w:t></w:t>
      </w:r>
      <w:r>
        <w:rPr>
          <w:rFonts w:hint="eastAsia"/>
          <w:lang w:val="en-US"/>
        </w:rPr>
        <w:t>                        </w:t>
      </w:r>
      <w:r>
        <w:rPr>
          <w:position w:val="-10"/>
          <w:lang w:val="fr-FR"/>
        </w:rPr>
        <w:object w:dxaOrig="1880" w:dyaOrig="380">
          <v:shape id="_x0000_i1042" type="#_x0000_t75" style="width:93.9pt;height:19pt" o:ole="">
            <v:imagedata r:id="rId53" o:title=""/>
          </v:shape>
          <o:OLEObject Type="Embed" ProgID="Equation.3" ShapeID="_x0000_i1042" DrawAspect="Content" ObjectID="_1361104454" r:id="rId54"/>
        </w:object>
      </w:r>
      <w:r>
        <w:rPr>
          <w:lang w:val="en-US"/>
        </w:rPr>
        <w:tab/>
        <w:t>for</w:t>
      </w:r>
      <w:r>
        <w:rPr>
          <w:lang w:val="en-US"/>
        </w:rPr>
        <w:tab/>
        <w:t>20</w:t>
      </w:r>
      <w:r>
        <w:rPr>
          <w:rFonts w:ascii="Symbol" w:hAnsi="Symbol"/>
          <w:lang w:val="fr-FR"/>
        </w:rPr>
        <w:t></w:t>
      </w:r>
      <w:r>
        <w:rPr>
          <w:lang w:val="en-US"/>
        </w:rPr>
        <w:tab/>
      </w:r>
      <w:r>
        <w:rPr>
          <w:rFonts w:ascii="Symbol" w:hAnsi="Symbol"/>
          <w:lang w:val="fr-FR"/>
        </w:rPr>
        <w:t></w:t>
      </w:r>
      <w:r>
        <w:rPr>
          <w:lang w:val="en-US"/>
        </w:rPr>
        <w:tab/>
      </w:r>
      <w:r>
        <w:rPr>
          <w:rFonts w:ascii="Symbol" w:hAnsi="Symbol"/>
          <w:lang w:val="fr-FR"/>
        </w:rPr>
        <w:t></w:t>
      </w:r>
      <w:r>
        <w:rPr>
          <w:rFonts w:ascii="Symbol" w:hAnsi="Symbol"/>
          <w:lang w:val="en-US"/>
        </w:rPr>
        <w:tab/>
      </w:r>
      <w:r>
        <w:rPr>
          <w:rFonts w:ascii="Symbol" w:hAnsi="Symbol"/>
          <w:lang w:val="fr-FR"/>
        </w:rPr>
        <w:t></w:t>
      </w:r>
      <w:r>
        <w:rPr>
          <w:lang w:val="en-US"/>
        </w:rPr>
        <w:tab/>
        <w:t>60</w:t>
      </w:r>
      <w:r>
        <w:rPr>
          <w:rFonts w:ascii="Symbol" w:hAnsi="Symbol"/>
          <w:lang w:val="fr-FR"/>
        </w:rPr>
        <w:t></w:t>
      </w:r>
      <w:r>
        <w:rPr>
          <w:lang w:val="en-US"/>
        </w:rPr>
        <w:tab/>
        <w:t>(25c)</w:t>
      </w:r>
    </w:p>
    <w:p w:rsidR="003D7E17" w:rsidRDefault="003D7E17">
      <w:pPr>
        <w:pStyle w:val="Equation"/>
        <w:tabs>
          <w:tab w:val="clear" w:pos="4849"/>
          <w:tab w:val="left" w:pos="3686"/>
          <w:tab w:val="left" w:pos="6521"/>
          <w:tab w:val="decimal" w:pos="7144"/>
          <w:tab w:val="left" w:pos="7371"/>
          <w:tab w:val="left" w:pos="7598"/>
          <w:tab w:val="left" w:pos="7797"/>
          <w:tab w:val="decimal" w:pos="8222"/>
        </w:tabs>
      </w:pPr>
      <w:r>
        <w:tab/>
      </w:r>
      <w:r>
        <w:rPr>
          <w:i/>
          <w:iCs/>
        </w:rPr>
        <w:t>pfd</w:t>
      </w:r>
      <w:r>
        <w:t xml:space="preserve">  </w:t>
      </w:r>
      <w:r>
        <w:rPr>
          <w:rFonts w:ascii="Symbol" w:hAnsi="Symbol"/>
          <w:lang w:val="en-US"/>
        </w:rPr>
        <w:t></w:t>
      </w:r>
      <w:r>
        <w:t xml:space="preserve">  –150                        </w:t>
      </w:r>
      <w:r>
        <w:rPr>
          <w:position w:val="-10"/>
          <w:lang w:val="fr-FR"/>
        </w:rPr>
        <w:object w:dxaOrig="1880" w:dyaOrig="380">
          <v:shape id="_x0000_i1043" type="#_x0000_t75" style="width:93.9pt;height:19pt" o:ole="">
            <v:imagedata r:id="rId55" o:title=""/>
          </v:shape>
          <o:OLEObject Type="Embed" ProgID="Equation.3" ShapeID="_x0000_i1043" DrawAspect="Content" ObjectID="_1361104455" r:id="rId56"/>
        </w:object>
      </w:r>
      <w:r>
        <w:tab/>
        <w:t>for</w:t>
      </w:r>
      <w:r>
        <w:tab/>
        <w:t>60</w:t>
      </w:r>
      <w:r>
        <w:rPr>
          <w:rFonts w:ascii="Symbol" w:hAnsi="Symbol"/>
          <w:lang w:val="fr-FR"/>
        </w:rPr>
        <w:t></w:t>
      </w:r>
      <w:r>
        <w:rPr>
          <w:rFonts w:ascii="Symbol" w:hAnsi="Symbol"/>
        </w:rPr>
        <w:tab/>
      </w:r>
      <w:r>
        <w:rPr>
          <w:rFonts w:ascii="Symbol" w:hAnsi="Symbol"/>
          <w:lang w:val="fr-FR"/>
        </w:rPr>
        <w:t></w:t>
      </w:r>
      <w:r>
        <w:tab/>
      </w:r>
      <w:r>
        <w:rPr>
          <w:rFonts w:ascii="Symbol" w:hAnsi="Symbol"/>
          <w:lang w:val="fr-FR"/>
        </w:rPr>
        <w:t></w:t>
      </w:r>
      <w:r>
        <w:rPr>
          <w:rFonts w:ascii="Symbol" w:hAnsi="Symbol"/>
        </w:rPr>
        <w:tab/>
      </w:r>
      <w:r>
        <w:rPr>
          <w:rFonts w:ascii="Symbol" w:hAnsi="Symbol"/>
          <w:lang w:val="fr-FR"/>
        </w:rPr>
        <w:t></w:t>
      </w:r>
      <w:r>
        <w:tab/>
        <w:t>90</w:t>
      </w:r>
      <w:r>
        <w:rPr>
          <w:rFonts w:ascii="Symbol" w:hAnsi="Symbol"/>
          <w:lang w:val="fr-FR"/>
        </w:rPr>
        <w:t></w:t>
      </w:r>
      <w:r>
        <w:tab/>
        <w:t>(25d)</w:t>
      </w:r>
    </w:p>
    <w:p w:rsidR="003D7E17" w:rsidRDefault="003D7E17">
      <w:pPr>
        <w:pStyle w:val="Figure"/>
      </w:pPr>
      <w:r>
        <w:br w:type="page"/>
      </w:r>
      <w:r w:rsidR="00976297">
        <w:rPr>
          <w:noProof/>
          <w:lang w:val="en-US" w:eastAsia="zh-CN"/>
        </w:rPr>
        <w:lastRenderedPageBreak/>
        <w:drawing>
          <wp:inline distT="0" distB="0" distL="0" distR="0">
            <wp:extent cx="4191635" cy="53765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1635" cy="5376545"/>
                    </a:xfrm>
                    <a:prstGeom prst="rect">
                      <a:avLst/>
                    </a:prstGeom>
                    <a:noFill/>
                    <a:ln>
                      <a:noFill/>
                    </a:ln>
                  </pic:spPr>
                </pic:pic>
              </a:graphicData>
            </a:graphic>
          </wp:inline>
        </w:drawing>
      </w:r>
    </w:p>
    <w:p w:rsidR="003D7E17" w:rsidRDefault="003D7E17">
      <w:pPr>
        <w:pStyle w:val="Fig0"/>
        <w:rPr>
          <w:color w:val="FFFFFF"/>
        </w:rPr>
      </w:pPr>
      <w:r>
        <w:rPr>
          <w:color w:val="FFFFFF"/>
        </w:rPr>
        <w:t>FIGURE 6 - 1459-6</w:t>
      </w:r>
    </w:p>
    <w:p w:rsidR="003D7E17" w:rsidRDefault="003D7E17"/>
    <w:p w:rsidR="003D7E17" w:rsidRDefault="003D7E17"/>
    <w:p w:rsidR="003D7E17" w:rsidRPr="00B86BCC" w:rsidRDefault="003D7E17">
      <w:pPr>
        <w:pStyle w:val="Annex"/>
        <w:rPr>
          <w:lang w:val="en-US"/>
        </w:rPr>
      </w:pPr>
      <w:r w:rsidRPr="00B86BCC">
        <w:rPr>
          <w:lang w:val="en-US"/>
        </w:rPr>
        <w:t>ANNEX  2</w:t>
      </w:r>
    </w:p>
    <w:p w:rsidR="003D7E17" w:rsidRPr="00B86BCC" w:rsidRDefault="003D7E17">
      <w:pPr>
        <w:pStyle w:val="AnnexTitle"/>
        <w:rPr>
          <w:lang w:val="en-US"/>
        </w:rPr>
      </w:pPr>
      <w:r w:rsidRPr="00B86BCC">
        <w:rPr>
          <w:lang w:val="en-US"/>
        </w:rPr>
        <w:t>Mitigation techniques</w:t>
      </w:r>
    </w:p>
    <w:p w:rsidR="003D7E17" w:rsidRDefault="003D7E17">
      <w:pPr>
        <w:pStyle w:val="Heading1"/>
      </w:pPr>
      <w:r>
        <w:t>1</w:t>
      </w:r>
      <w:r>
        <w:tab/>
        <w:t>Mitigation techniques for telemetry systems in the aeronautical mobile service</w:t>
      </w:r>
    </w:p>
    <w:p w:rsidR="003D7E17" w:rsidRDefault="003D7E17">
      <w:r>
        <w:t>The following mitigation techniques should be reviewed and used to the extent practical towards achieving successful sharing with the BSS (sound).</w:t>
      </w:r>
    </w:p>
    <w:p w:rsidR="003D7E17" w:rsidRDefault="003D7E17">
      <w:pPr>
        <w:pStyle w:val="Heading2"/>
      </w:pPr>
      <w:r>
        <w:t>1.1</w:t>
      </w:r>
      <w:r>
        <w:tab/>
        <w:t>Frequency avoidance</w:t>
      </w:r>
    </w:p>
    <w:p w:rsidR="003D7E17" w:rsidRDefault="003D7E17">
      <w:r>
        <w:t>If possible avoid the use of those portions of the affected frequency bands. In the case of isolated telemetry sites (no overlapping air space with any other site) with a light testing schedule, it may be possible to avoid use of portions of the bands allocated to BSS (sound). In the case where many site coverage overlaps occur and simultaneous testing occurs, frequency avoidance may not be possible.</w:t>
      </w:r>
    </w:p>
    <w:p w:rsidR="003D7E17" w:rsidRDefault="003D7E17">
      <w:pPr>
        <w:pStyle w:val="Heading2"/>
      </w:pPr>
      <w:r>
        <w:br w:type="page"/>
      </w:r>
      <w:r>
        <w:lastRenderedPageBreak/>
        <w:t>1.2</w:t>
      </w:r>
      <w:r>
        <w:tab/>
        <w:t>Polarization discrimination</w:t>
      </w:r>
    </w:p>
    <w:p w:rsidR="003D7E17" w:rsidRDefault="003D7E17">
      <w:r>
        <w:t>In situations where it is possible for telemetry systems in the aeronautical mobile service to use opposite polarizations than those employed by BSS (sound) systems then some polarization discrimination may be achievable during the worst</w:t>
      </w:r>
      <w:r>
        <w:noBreakHyphen/>
        <w:t>case interference scenario when the BSS (sound) transmit and the telemetry receive antenna boresights are in near alignment.</w:t>
      </w:r>
    </w:p>
    <w:p w:rsidR="003D7E17" w:rsidRDefault="003D7E17">
      <w:pPr>
        <w:pStyle w:val="Heading2"/>
      </w:pPr>
      <w:r>
        <w:t>1.3</w:t>
      </w:r>
      <w:r>
        <w:tab/>
        <w:t>Modulation and bandwidth considerations</w:t>
      </w:r>
    </w:p>
    <w:p w:rsidR="003D7E17" w:rsidRDefault="003D7E17">
      <w:r>
        <w:t>There are several types of modulations and bandwidths used in telemetry systems in the aeronautical mobile service with a general trend towards becoming all digital. Use of digital modulation will facilitate the use of FEC coding techniques that would provide a higher degree of immunity or coding gain against BSS (sound) interference. Also from the standpoint of the interfering BSS (sound) signal being digital, will exhibit noise-like interference into the telemetry signal.</w:t>
      </w:r>
    </w:p>
    <w:p w:rsidR="003D7E17" w:rsidRDefault="003D7E17">
      <w:r>
        <w:t>pfds are currently specified in a 4 kHz bandwidth at these frequencies. When the interfered-with signal is analogue or digital, limiting the interference levels in such a narrow bandwidth may lead to overly protective criteria. The use of more appropriate averaging bandwidths for particular sharing situations can more accurately represent protection requirements. For this case a 400 kHz averaging bandwidth can be used.</w:t>
      </w:r>
    </w:p>
    <w:p w:rsidR="003D7E17" w:rsidRDefault="003D7E17">
      <w:pPr>
        <w:pStyle w:val="Heading2"/>
      </w:pPr>
      <w:r>
        <w:t>1.4</w:t>
      </w:r>
      <w:r>
        <w:tab/>
        <w:t>Telemetry airborne transmit antenna diversity</w:t>
      </w:r>
    </w:p>
    <w:p w:rsidR="003D7E17" w:rsidRDefault="003D7E17">
      <w:r>
        <w:t>An important parameter in telemetry systems in the aeronautical mobile service is the signal availability. Manoeuvres of the airborne test vehicle can result in severe fading of the telemetry receive signal which typically follows a Rayleigh distribution. In some cases it is feasible to employ multiple transmit antennas along the body of the test vehicle to provide transmitter antenna diversity which could result in significant reduction of signal fading.</w:t>
      </w:r>
    </w:p>
    <w:p w:rsidR="003D7E17" w:rsidRDefault="003D7E17">
      <w:pPr>
        <w:pStyle w:val="Heading2"/>
      </w:pPr>
      <w:r>
        <w:t>1.5</w:t>
      </w:r>
      <w:r>
        <w:tab/>
        <w:t>Telemetry site diversity</w:t>
      </w:r>
    </w:p>
    <w:p w:rsidR="003D7E17" w:rsidRDefault="003D7E17">
      <w:r>
        <w:t>Some telemetry test ranges in the aeronautical mobile service employ two or more receive antennas. If these antennas can be arranged to provide site/space diversity a significant reduction in Rayleigh signal fading would be achieved. Also properly spaced receive antennas may result in avoidance of boresight-to-boresight interference scenarios and boresight-to-sun scenarios further improving telemetry signal availability and improving sharing. Combining frequency and site diversity would further reduce the fading margins.</w:t>
      </w:r>
    </w:p>
    <w:p w:rsidR="003D7E17" w:rsidRDefault="003D7E17">
      <w:pPr>
        <w:pStyle w:val="Heading2"/>
      </w:pPr>
      <w:r>
        <w:t>1.6</w:t>
      </w:r>
      <w:r>
        <w:tab/>
        <w:t>Aeronautical telemetry test range geometry</w:t>
      </w:r>
    </w:p>
    <w:p w:rsidR="003D7E17" w:rsidRDefault="003D7E17">
      <w:r>
        <w:t>In most interfering situations boresight-to-boresight scenarios will result in worst-case interference. If the previously described countermeasures are not viable or sufficient, a flight path for the test vehicles may be selected so as to avoid the most critical azimuths corresponding to near boresight conjunction and the avoidance of lower elevation angles. The particular arrangement and degree of success achievable will depend on the mutual spatial position of the test range telemetry receive antenna and BSS (sound) interfering transmitter.</w:t>
      </w:r>
    </w:p>
    <w:p w:rsidR="003D7E17" w:rsidRDefault="003D7E17">
      <w:r>
        <w:t>Perhaps the single most effective mitigation technique from the aeronautical mobile telemetry standpoint would be to avoid telemetry antenna main lobe conjunctions with geostationary satellites. This case has been analysed for the 1 452</w:t>
      </w:r>
      <w:r>
        <w:noBreakHyphen/>
        <w:t>1 525 MHz band and it is estimated that about 20 dB of additional protection could be achieved at very low angles of arrival to about 5 dB at near zenith. The extent to which this technique can be employed depends on the geometry of the test ranges and the flight patterns which are not known at this time.</w:t>
      </w:r>
    </w:p>
    <w:p w:rsidR="003D7E17" w:rsidRDefault="003D7E17">
      <w:pPr>
        <w:pStyle w:val="Heading2"/>
      </w:pPr>
      <w:r>
        <w:t>1.7</w:t>
      </w:r>
      <w:r>
        <w:tab/>
        <w:t>Aeronautical telemetry receiver interference cancelling techniques</w:t>
      </w:r>
    </w:p>
    <w:p w:rsidR="003D7E17" w:rsidRDefault="003D7E17">
      <w:r>
        <w:t>Active suppression of interference is regularly used in dual polarization FSS and fixed service radio systems and on many occasions where specific difficult sharing scenarios occur. Significant interference suppression may be achieved depending on the fading dynamics. Such techniques could be a means of ameliorating particular interference situations that occur.</w:t>
      </w:r>
    </w:p>
    <w:p w:rsidR="003D7E17" w:rsidRDefault="003D7E17">
      <w:pPr>
        <w:pStyle w:val="Heading2"/>
      </w:pPr>
      <w:r>
        <w:br w:type="page"/>
      </w:r>
      <w:r>
        <w:lastRenderedPageBreak/>
        <w:t>1.8</w:t>
      </w:r>
      <w:r>
        <w:tab/>
        <w:t>General sharing assessment</w:t>
      </w:r>
    </w:p>
    <w:p w:rsidR="003D7E17" w:rsidRDefault="003D7E17">
      <w:pPr>
        <w:rPr>
          <w:lang w:val="en-US"/>
        </w:rPr>
      </w:pPr>
      <w:r>
        <w:t xml:space="preserve">Even under the most favourable geometric conditions with mitigation techniques, it is extremely unlikely that a successful sharing could be achieved under co-coverage, co-frequency conditions, considering that the required pfd for the BSS (sound) service is of up to </w:t>
      </w:r>
      <w:r>
        <w:rPr>
          <w:lang w:val="en-US"/>
        </w:rPr>
        <w:t>–122 dB(W/(m</w:t>
      </w:r>
      <w:r>
        <w:rPr>
          <w:position w:val="6"/>
          <w:sz w:val="16"/>
          <w:lang w:val="en-US"/>
        </w:rPr>
        <w:t>2</w:t>
      </w:r>
      <w:r>
        <w:rPr>
          <w:lang w:val="en-US"/>
        </w:rPr>
        <w:t> </w:t>
      </w:r>
      <w:r>
        <w:rPr>
          <w:rFonts w:ascii="Symbol" w:hAnsi="Symbol"/>
          <w:lang w:val="fr-FR"/>
        </w:rPr>
        <w:sym w:font="Symbol" w:char="F0D7"/>
      </w:r>
      <w:r>
        <w:rPr>
          <w:lang w:val="en-US"/>
        </w:rPr>
        <w:t> 4 kHz)).</w:t>
      </w:r>
    </w:p>
    <w:p w:rsidR="003D7E17" w:rsidRDefault="003D7E17">
      <w:r>
        <w:t xml:space="preserve">However, under favourable geometric conditions and where BSS (sound) satellite antenna discrimination to the telemetry receiving antennas in the order of 30 dB can be achieved, there is a reasonable expectation of successful sharing for low-power systems, i.e. in the order of </w:t>
      </w:r>
      <w:r>
        <w:rPr>
          <w:lang w:val="en-US"/>
        </w:rPr>
        <w:t>–138 dB(W/(m</w:t>
      </w:r>
      <w:r>
        <w:rPr>
          <w:position w:val="6"/>
          <w:sz w:val="16"/>
          <w:lang w:val="en-US"/>
        </w:rPr>
        <w:t>2</w:t>
      </w:r>
      <w:r>
        <w:rPr>
          <w:lang w:val="en-US"/>
        </w:rPr>
        <w:t> </w:t>
      </w:r>
      <w:r>
        <w:rPr>
          <w:rFonts w:ascii="Symbol" w:hAnsi="Symbol"/>
          <w:lang w:val="fr-FR"/>
        </w:rPr>
        <w:sym w:font="Symbol" w:char="F0D7"/>
      </w:r>
      <w:r>
        <w:rPr>
          <w:lang w:val="en-US"/>
        </w:rPr>
        <w:t> 4 kHz))</w:t>
      </w:r>
      <w:r>
        <w:t>. However, this value is not typical for BSS (sound) systems.</w:t>
      </w:r>
    </w:p>
    <w:p w:rsidR="003D7E17" w:rsidRDefault="003D7E17">
      <w:pPr>
        <w:pStyle w:val="Heading1"/>
      </w:pPr>
      <w:r>
        <w:t>2</w:t>
      </w:r>
      <w:r>
        <w:tab/>
        <w:t>Mitigation techniques to facilitate sharing with BSS (DSB) systems</w:t>
      </w:r>
    </w:p>
    <w:p w:rsidR="003D7E17" w:rsidRDefault="003D7E17">
      <w:pPr>
        <w:pStyle w:val="Heading2"/>
      </w:pPr>
      <w:r>
        <w:t>2.1</w:t>
      </w:r>
      <w:r>
        <w:tab/>
        <w:t>BSS (sound) systems</w:t>
      </w:r>
    </w:p>
    <w:p w:rsidR="003D7E17" w:rsidRDefault="003D7E17">
      <w:r>
        <w:t>It is normally presumed that new systems in the planning and early implementation stages have more flexibility in choosing operating parameters that will facilitate sharing with existing services. The following lists some possible mitigation techniques that could be considered applicable to the BSS (sound) service to alleviate sharing. Also the results of different ITU-R studies agree with the views stated below on the feasibility and applicability of these mitigation techniques.</w:t>
      </w:r>
    </w:p>
    <w:p w:rsidR="003D7E17" w:rsidRDefault="003D7E17">
      <w:pPr>
        <w:pStyle w:val="Heading2"/>
      </w:pPr>
      <w:r>
        <w:t>2.2</w:t>
      </w:r>
      <w:r>
        <w:tab/>
        <w:t>Orbit location</w:t>
      </w:r>
    </w:p>
    <w:p w:rsidR="003D7E17" w:rsidRDefault="003D7E17">
      <w:r>
        <w:t>The selection of orbital locations that minimizes exposure and spill-over into critical mobile aeronautical telemetry (MAT) sites is a possible mitigation technique. The ITU-R considers that it would be very difficult to select orbital locations to minimize exposure to the affected services. The BSS (sound) expects to offer a worldwide service, and the countries who use MAT systems are spaced around the world so that it is impossible not to illuminate one or more of them. Furthermore, in many instances there are constraints on the choice of orbital locations available to provide a viable BSS (sound) service. Therefore, the ITU-R does not believe that significant advantage can be gained from this technique.</w:t>
      </w:r>
    </w:p>
    <w:p w:rsidR="003D7E17" w:rsidRDefault="003D7E17">
      <w:pPr>
        <w:pStyle w:val="Heading2"/>
      </w:pPr>
      <w:r>
        <w:t>2.3</w:t>
      </w:r>
      <w:r>
        <w:tab/>
        <w:t>Modulation and implementation</w:t>
      </w:r>
    </w:p>
    <w:p w:rsidR="003D7E17" w:rsidRDefault="003D7E17">
      <w:r>
        <w:t>This involves the employment of efficient modulation and channel coding schemes, and utilization of path diversity techniques that minimize pfd requirements in achieving the desired level of system performance and availability.</w:t>
      </w:r>
    </w:p>
    <w:p w:rsidR="003D7E17" w:rsidRDefault="003D7E17">
      <w:r>
        <w:t>The comments of the ITU-R on this mitigation technique is that it has been diligent in its search for efficient modulation and channel coding schemes. Indeed, the work discussed in ITU-R in recent years has been innovative and significant in its ability to enable spectrum efficient systems to be considered. It is not likely that any further improvements will lead to major reductions in the necessary pfds, and hence improvements in the sharing scenario.</w:t>
      </w:r>
    </w:p>
    <w:p w:rsidR="003D7E17" w:rsidRDefault="003D7E17">
      <w:pPr>
        <w:pStyle w:val="Heading2"/>
      </w:pPr>
      <w:r>
        <w:t>2.4</w:t>
      </w:r>
      <w:r>
        <w:tab/>
        <w:t>Spectrum spreading</w:t>
      </w:r>
    </w:p>
    <w:p w:rsidR="003D7E17" w:rsidRDefault="003D7E17">
      <w:r>
        <w:t>Employing spread spectrum techniques reduces the pfd by the inverse of the spread ratio (spread bandwidth/unspread bandwidth) and increases the interference immunity by the spread ratio.</w:t>
      </w:r>
    </w:p>
    <w:p w:rsidR="003D7E17" w:rsidRDefault="003D7E17">
      <w:r>
        <w:t>The ITU-R considers that spectrum spreading as a method of ameliorating sharing implies that there is sufficient spectrum allocated to the service to be able to spread the energy of the interfering signal over a larger bandwidth to provide a corresponding reduction in the pfd per unit of bandwidth, in this case per 4 kHz. Furthermore, in order to maximize this advantage, each interfering BSS (sound) service would need to utilize exclusive spectrum (i.e. no overlapping of the spread spectrum channels). Considering the relatively narrow-band of spectrum allocated to BSS (sound) by WARC</w:t>
      </w:r>
      <w:r>
        <w:noBreakHyphen/>
        <w:t>92, and further considering that this spectrum is shared with the broadcasting service (sound), spectrum spreading would not be a feasible mitigation technique to achieve sharing. This is illustrated by way of the following example:</w:t>
      </w:r>
    </w:p>
    <w:p w:rsidR="003D7E17" w:rsidRDefault="003D7E17">
      <w:r>
        <w:t xml:space="preserve">The order of improvement in pfds to enable sharing appears to be greater than 30 dB. To achieve even 20 dB using spread spectrum techniques would, using normal pseudo-noise spreading systems, require a spreading gain of about 100, </w:t>
      </w:r>
      <w:r>
        <w:br w:type="page"/>
      </w:r>
      <w:r>
        <w:lastRenderedPageBreak/>
        <w:t>and hence use a spreading factor of 100. Given that the BSS band at 1.5 GHz is 40 MHz wide and we expect will, in time, be fully utilized, this would lead to a spectrum requirement for the BSS operation of 4 GHz if spread spectrum techniques were to be adopted.</w:t>
      </w:r>
    </w:p>
    <w:p w:rsidR="003D7E17" w:rsidRDefault="003D7E17">
      <w:pPr>
        <w:pStyle w:val="Heading2"/>
      </w:pPr>
      <w:r>
        <w:t>2.5</w:t>
      </w:r>
      <w:r>
        <w:tab/>
        <w:t>Receiver performance</w:t>
      </w:r>
    </w:p>
    <w:p w:rsidR="003D7E17" w:rsidRDefault="003D7E17">
      <w:r>
        <w:t xml:space="preserve">Maximization of the receiver figure of-merit, </w:t>
      </w:r>
      <w:r>
        <w:rPr>
          <w:i/>
          <w:iCs/>
        </w:rPr>
        <w:t>G</w:t>
      </w:r>
      <w:r>
        <w:t>/</w:t>
      </w:r>
      <w:r>
        <w:rPr>
          <w:i/>
          <w:iCs/>
        </w:rPr>
        <w:t>T</w:t>
      </w:r>
      <w:r>
        <w:t>, by employing low noise front ends and maximum gain antennas consistent with costs and the type of service being offered is a possible mitigation technique.</w:t>
      </w:r>
    </w:p>
    <w:p w:rsidR="003D7E17" w:rsidRDefault="003D7E17">
      <w:r>
        <w:t xml:space="preserve">The ITU-R considers that RF device technology has now improved to the point that the low noise front end is not the limiting factor in setting the receiver noise budget. Typical receiver noise figures being considered range from 1-3 dB. As other sources of noise at the receiver, such as radiation from the ground, sky and surrounding objects, input filter losses, etc., contribute a significant portion of the overall receiver noise budget, we would therefore be suffering diminishing returns in considering reduction in receiver noise figure as a significant mitigation technique. Improving the gain of the antenna is feasible, and has been adopted in our attempts to realize cost-effective solutions. However, there is a limit to the amount that we can go in this direction when we consider that we are attempting to provide a service to mobile and portable receivers, and to offer a system which can be implemented at a price which can be afforded by all. Therefore, it would be difficult to achieve significant improvements in sharing by any possible improvements in the receiver </w:t>
      </w:r>
      <w:r>
        <w:rPr>
          <w:i/>
          <w:iCs/>
        </w:rPr>
        <w:t>G</w:t>
      </w:r>
      <w:r>
        <w:t>/</w:t>
      </w:r>
      <w:r>
        <w:rPr>
          <w:i/>
          <w:iCs/>
        </w:rPr>
        <w:t>T</w:t>
      </w:r>
      <w:r>
        <w:t>.</w:t>
      </w:r>
    </w:p>
    <w:p w:rsidR="003D7E17" w:rsidRDefault="003D7E17">
      <w:pPr>
        <w:pStyle w:val="Heading2"/>
      </w:pPr>
      <w:r>
        <w:t>2.6</w:t>
      </w:r>
      <w:r>
        <w:tab/>
        <w:t>Satellite transmit antenna and coverage area</w:t>
      </w:r>
    </w:p>
    <w:p w:rsidR="003D7E17" w:rsidRDefault="003D7E17">
      <w:r>
        <w:t>This mitigation technique consists of minimizing the satellite beam spill-over to the extent practical by utilizing beam shaping to conform as closely as practical to the intended service area.</w:t>
      </w:r>
    </w:p>
    <w:p w:rsidR="003D7E17" w:rsidRDefault="003D7E17">
      <w:r>
        <w:t>The ITU-R considers that all proposals for BSS (sound) satellites pay careful attention to antenna engineering. The size of the antenna, and the need to minimize spill-over for efficient use of the BSS (sound) spectrum for our own purposes mean that beam shaping is already fully optimized. Also, while beam shaping will lead to more rapid roll-off of the close</w:t>
      </w:r>
      <w:r>
        <w:noBreakHyphen/>
        <w:t>in sidelobe levels (e.g. first sidelobe) thus facilitating sharing with services near the edge of the coverage area, such techniques do not improve the levels of the higher order sidelobes and hence will not improve sharing for systems located further from the edge of the coverage area which will tend to also correspond to lower elevation angles where the minimum pfd levels are required.</w:t>
      </w:r>
    </w:p>
    <w:p w:rsidR="003D7E17" w:rsidRDefault="003D7E17">
      <w:pPr>
        <w:pStyle w:val="Heading2"/>
      </w:pPr>
      <w:r>
        <w:t>2.7</w:t>
      </w:r>
      <w:r>
        <w:tab/>
        <w:t>Highly-inclined elliptical orbit (HEO) BSS (sound) systems</w:t>
      </w:r>
    </w:p>
    <w:p w:rsidR="003D7E17" w:rsidRDefault="003D7E17">
      <w:r>
        <w:t>For HEO systems, selection of orbital constellations that maximizes the elevation angles to affected MAT sites and making available Ephemeris (spatial and time information on the orbits) data to MAT operators are possible mitigation techniques.</w:t>
      </w:r>
    </w:p>
    <w:p w:rsidR="003D7E17" w:rsidRDefault="003D7E17">
      <w:r>
        <w:t>The ITU-R considers that, given the large number of countries using fixed systems and the incomplete information about the location of these systems, it is not likely that any major improvement can be gained for HEO systems, other than those already achieved for the benefit of the broadcast service.</w:t>
      </w:r>
    </w:p>
    <w:p w:rsidR="003D7E17" w:rsidRDefault="003D7E17">
      <w:pPr>
        <w:pStyle w:val="Heading2"/>
      </w:pPr>
      <w:r>
        <w:t>2.8</w:t>
      </w:r>
      <w:r>
        <w:tab/>
        <w:t>Frequency avoidance</w:t>
      </w:r>
    </w:p>
    <w:p w:rsidR="003D7E17" w:rsidRDefault="003D7E17">
      <w:r>
        <w:t>This consists of selecting that part of the spectrum allotted to BSS (sound) least utilized by MAT systems when possible.</w:t>
      </w:r>
    </w:p>
    <w:p w:rsidR="003D7E17" w:rsidRDefault="003D7E17">
      <w:r>
        <w:t>The ITU-R considers that this mitigation technique, while not representing in the true sense sharing, appears to be the only one which can be realistically exploited. The ITU-R realizes that, in the case of MATS, some of the band occupied by the MAT systems are safety of life systems. It would appear reasonable that, if at all possible, these elements of the MAT service occupy that part of the spectrum not occupied by BSS. It would make reasonable sense to require protection of this part of the service at the proposed levels.</w:t>
      </w:r>
    </w:p>
    <w:p w:rsidR="003D7E17" w:rsidRDefault="003D7E17">
      <w:r>
        <w:t>The overall conclusions of the ITU-R on the above mitigation techniques to be applied to the BSS (</w:t>
      </w:r>
      <w:r>
        <w:rPr>
          <w:iCs/>
        </w:rPr>
        <w:t>sound)</w:t>
      </w:r>
      <w:r>
        <w:t xml:space="preserve"> is that, except for the frequency avoidance technique, the sum of the improvements expected from the application of these mitigation techniques will not be nearly sufficient to ensure that successful sharing can be achieved. That being the case, the ITU-R considers that any improvements in sharing that may be achieved by the application of these and any other mitigation techniques would need to ensure that all administrations would have the capability of implementing the BSS (sound) service in the appropriate band allocated by WARC-92 and without the need for major constraints being placed on the level of service that can be provided.</w:t>
      </w:r>
    </w:p>
    <w:p w:rsidR="003D7E17" w:rsidRDefault="003D7E17">
      <w:pPr>
        <w:pStyle w:val="Heading1"/>
      </w:pPr>
      <w:r>
        <w:br w:type="page"/>
      </w:r>
      <w:r>
        <w:lastRenderedPageBreak/>
        <w:t>3</w:t>
      </w:r>
      <w:r>
        <w:tab/>
        <w:t>Practical measures to permit inter-service sharing</w:t>
      </w:r>
    </w:p>
    <w:p w:rsidR="003D7E17" w:rsidRDefault="003D7E17">
      <w:r>
        <w:t>When interference calculations are being made, worst-case scenarios are likely to be used, which could tend to lead to the conclusion that co-frequency or co-channel sharing by different services cannot occur. General technical parameters are used to establish appropriate sharing criteria. Those parameters may not reflect the actual proposed usage by administrations.</w:t>
      </w:r>
    </w:p>
    <w:p w:rsidR="003D7E17" w:rsidRDefault="003D7E17">
      <w:r>
        <w:t>Where an administration wishes to establish a new system and appropriate sharing criteria have not been finalized, the measures outlined below should be considered to ensure that harmful interference is not caused to the existing service or to the proposed new service.</w:t>
      </w:r>
    </w:p>
    <w:p w:rsidR="003D7E17" w:rsidRDefault="003D7E17">
      <w:r>
        <w:rPr>
          <w:b/>
          <w:bCs/>
        </w:rPr>
        <w:t>3.1</w:t>
      </w:r>
      <w:r>
        <w:tab/>
        <w:t>The affected administrations should identify specific areas, or installations, where such interference is likely to occur. It may then be possible to take specific action to adequately protect such areas or installations.</w:t>
      </w:r>
    </w:p>
    <w:p w:rsidR="003D7E17" w:rsidRDefault="003D7E17">
      <w:r>
        <w:rPr>
          <w:b/>
          <w:bCs/>
        </w:rPr>
        <w:t>3.2</w:t>
      </w:r>
      <w:r>
        <w:tab/>
        <w:t>Initially, geographical separation will be a consideration, but as adjacent border areas will be most affected, this option may be limited.</w:t>
      </w:r>
    </w:p>
    <w:p w:rsidR="003D7E17" w:rsidRDefault="003D7E17">
      <w:r>
        <w:rPr>
          <w:b/>
          <w:bCs/>
        </w:rPr>
        <w:t>3.3</w:t>
      </w:r>
      <w:r>
        <w:tab/>
        <w:t>When specific installations or sites have been identified as being affected, practical methods such as interference cancellers, special screening, and adaptive antenna systems may be implemented (see Recommendation ITU-R SM.856).</w:t>
      </w:r>
    </w:p>
    <w:p w:rsidR="003D7E17" w:rsidRDefault="003D7E17">
      <w:r>
        <w:rPr>
          <w:b/>
          <w:bCs/>
        </w:rPr>
        <w:t>3.4</w:t>
      </w:r>
      <w:r>
        <w:tab/>
        <w:t>Modifications to existing channelling arrangements for systems in the fixed service may also need to be considered, provided this approach is consistent with economic advantage.</w:t>
      </w:r>
    </w:p>
    <w:p w:rsidR="003D7E17" w:rsidRDefault="003D7E17">
      <w:r>
        <w:rPr>
          <w:b/>
          <w:bCs/>
        </w:rPr>
        <w:t>3.5</w:t>
      </w:r>
      <w:r>
        <w:tab/>
        <w:t>In the longer term, moves to the use of improved transmission techniques, such as spread spectrum (see Recommendation ITU-R SM.1055), coding techniques, automatic power control, and energy dispersal, may further facilitate inter-service sharing.</w:t>
      </w:r>
    </w:p>
    <w:p w:rsidR="003D7E17" w:rsidRPr="00B86BCC" w:rsidRDefault="003D7E17">
      <w:pPr>
        <w:rPr>
          <w:lang w:val="en-US"/>
        </w:rPr>
      </w:pPr>
    </w:p>
    <w:p w:rsidR="003D7E17" w:rsidRPr="00B86BCC" w:rsidRDefault="003D7E17">
      <w:pPr>
        <w:rPr>
          <w:lang w:val="en-US"/>
        </w:rPr>
      </w:pPr>
    </w:p>
    <w:p w:rsidR="003D7E17" w:rsidRPr="00B86BCC" w:rsidRDefault="003D7E17">
      <w:pPr>
        <w:pStyle w:val="Line"/>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Pr="00B86BCC" w:rsidRDefault="003D7E17">
      <w:pPr>
        <w:rPr>
          <w:lang w:val="en-US"/>
        </w:rPr>
      </w:pPr>
    </w:p>
    <w:p w:rsidR="003D7E17" w:rsidRDefault="003D7E17"/>
    <w:p w:rsidR="003D7E17" w:rsidRDefault="003D7E17"/>
    <w:p w:rsidR="003D7E17" w:rsidRDefault="003D7E17"/>
    <w:p w:rsidR="003D7E17" w:rsidRDefault="003D7E17"/>
    <w:p w:rsidR="003D7E17" w:rsidRDefault="003D7E17"/>
    <w:p w:rsidR="003D7E17" w:rsidRDefault="003D7E17"/>
    <w:p w:rsidR="003D7E17" w:rsidRDefault="003D7E17" w:rsidP="00B86BCC"/>
    <w:sectPr w:rsidR="003D7E17" w:rsidSect="00B86BCC">
      <w:headerReference w:type="even" r:id="rId58"/>
      <w:headerReference w:type="default" r:id="rId59"/>
      <w:pgSz w:w="11913" w:h="16834" w:code="9"/>
      <w:pgMar w:top="1089" w:right="1089" w:bottom="1089" w:left="1089" w:header="482"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2EC" w:rsidRDefault="00EC62EC">
      <w:pPr>
        <w:spacing w:before="0"/>
      </w:pPr>
      <w:r>
        <w:separator/>
      </w:r>
    </w:p>
  </w:endnote>
  <w:endnote w:type="continuationSeparator" w:id="0">
    <w:p w:rsidR="00EC62EC" w:rsidRDefault="00EC62E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2EC" w:rsidRDefault="00EC62EC">
      <w:r>
        <w:rPr>
          <w:b/>
        </w:rPr>
        <w:t>_______________</w:t>
      </w:r>
    </w:p>
  </w:footnote>
  <w:footnote w:type="continuationSeparator" w:id="0">
    <w:p w:rsidR="00EC62EC" w:rsidRDefault="00EC62EC">
      <w:pPr>
        <w:spacing w:before="0"/>
      </w:pPr>
      <w:r>
        <w:continuationSeparator/>
      </w:r>
    </w:p>
  </w:footnote>
  <w:footnote w:id="1">
    <w:p w:rsidR="003D7E17" w:rsidRDefault="003D7E17">
      <w:pPr>
        <w:pStyle w:val="FootnoteText"/>
      </w:pPr>
      <w:r>
        <w:rPr>
          <w:rStyle w:val="FootnoteReference"/>
        </w:rPr>
        <w:t>*</w:t>
      </w:r>
      <w:r>
        <w:tab/>
        <w:t>This Recommendation should be brought to the attention of Radiocommunication Study Group 6.</w:t>
      </w:r>
    </w:p>
    <w:p w:rsidR="00135944" w:rsidRDefault="00135944" w:rsidP="005C2332">
      <w:pPr>
        <w:pStyle w:val="FootnoteText"/>
      </w:pPr>
      <w:r>
        <w:t>**</w:t>
      </w:r>
      <w:r w:rsidR="00976297">
        <w:tab/>
      </w:r>
      <w:r>
        <w:t>Radiocommunication Study Group 5 made editorial amendments to this Recommendation in November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97" w:rsidRDefault="0097629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97" w:rsidRDefault="00976297" w:rsidP="00B033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Description: 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97" w:rsidRPr="00FC42AF" w:rsidRDefault="00976297" w:rsidP="00B86BCC">
    <w:pPr>
      <w:pStyle w:val="Header"/>
      <w:jc w:val="left"/>
    </w:pPr>
    <w:r>
      <w:rPr>
        <w:rStyle w:val="PageNumber"/>
        <w:b w:val="0"/>
        <w:bCs/>
      </w:rPr>
      <w:fldChar w:fldCharType="begin"/>
    </w:r>
    <w:r w:rsidRPr="00FC42AF">
      <w:rPr>
        <w:rStyle w:val="PageNumber"/>
        <w:bCs/>
      </w:rPr>
      <w:instrText xml:space="preserve"> PAGE </w:instrText>
    </w:r>
    <w:r>
      <w:rPr>
        <w:rStyle w:val="PageNumber"/>
        <w:b w:val="0"/>
        <w:bCs/>
      </w:rPr>
      <w:fldChar w:fldCharType="separate"/>
    </w:r>
    <w:r w:rsidR="00C02EC3">
      <w:rPr>
        <w:rStyle w:val="PageNumber"/>
        <w:bCs/>
        <w:noProof/>
      </w:rPr>
      <w:t>ii</w:t>
    </w:r>
    <w:r>
      <w:rPr>
        <w:rStyle w:val="PageNumber"/>
        <w:b w:val="0"/>
        <w:bCs/>
      </w:rPr>
      <w:fldChar w:fldCharType="end"/>
    </w:r>
    <w:r w:rsidRPr="00FC42AF">
      <w:tab/>
    </w:r>
    <w:r w:rsidR="00B86BCC">
      <w:t xml:space="preserve">Rec. </w:t>
    </w:r>
    <w:r>
      <w:rPr>
        <w:bCs/>
      </w:rPr>
      <w:t xml:space="preserve"> </w:t>
    </w:r>
    <w:r w:rsidRPr="00976297">
      <w:fldChar w:fldCharType="begin"/>
    </w:r>
    <w:r w:rsidRPr="00976297">
      <w:instrText>styleref href</w:instrText>
    </w:r>
    <w:r w:rsidRPr="00976297">
      <w:fldChar w:fldCharType="separate"/>
    </w:r>
    <w:r w:rsidR="00C02EC3">
      <w:rPr>
        <w:noProof/>
      </w:rPr>
      <w:t>ITU-R  M.1459</w:t>
    </w:r>
    <w:r w:rsidRPr="0097629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97" w:rsidRDefault="00976297">
    <w:pPr>
      <w:pStyle w:val="Header"/>
    </w:pPr>
    <w:r>
      <w:tab/>
    </w:r>
    <w:r>
      <w:fldChar w:fldCharType="begin"/>
    </w:r>
    <w:r>
      <w:instrText xml:space="preserve"> DOCPROPERTY "Header" \* MERGEFORMAT </w:instrText>
    </w:r>
    <w:r>
      <w:fldChar w:fldCharType="separate"/>
    </w:r>
    <w:r w:rsidR="00B86BCC">
      <w:rPr>
        <w:b w:val="0"/>
        <w:bCs/>
        <w:lang w:val="en-US"/>
      </w:rPr>
      <w:t>Error! Unknown document property name.</w:t>
    </w:r>
    <w:r>
      <w:rPr>
        <w:bCs/>
      </w:rPr>
      <w:fldChar w:fldCharType="end"/>
    </w:r>
    <w:r>
      <w:rPr>
        <w:bCs/>
      </w:rPr>
      <w:t xml:space="preserve"> </w:t>
    </w:r>
    <w:r>
      <w:rPr>
        <w:b w:val="0"/>
        <w:bCs/>
      </w:rPr>
      <w:fldChar w:fldCharType="begin"/>
    </w:r>
    <w:r>
      <w:rPr>
        <w:bCs/>
      </w:rPr>
      <w:instrText>styleref href</w:instrText>
    </w:r>
    <w:r>
      <w:rPr>
        <w:b w:val="0"/>
        <w:bCs/>
      </w:rPr>
      <w:fldChar w:fldCharType="separate"/>
    </w:r>
    <w:r w:rsidR="00B86BCC">
      <w:rPr>
        <w:b w:val="0"/>
        <w:bCs/>
        <w:noProof/>
      </w:rPr>
      <w:t>ITU-R  M.1459</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iii</w:t>
    </w:r>
    <w:r>
      <w:rPr>
        <w:rStyle w:val="PageNumber"/>
        <w:b w:val="0"/>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CC" w:rsidRPr="00FC42AF" w:rsidRDefault="00B86BCC" w:rsidP="00B86BCC">
    <w:pPr>
      <w:pStyle w:val="Header"/>
      <w:jc w:val="left"/>
    </w:pPr>
    <w:r>
      <w:rPr>
        <w:rStyle w:val="PageNumber"/>
        <w:b w:val="0"/>
        <w:bCs/>
      </w:rPr>
      <w:fldChar w:fldCharType="begin"/>
    </w:r>
    <w:r w:rsidRPr="00FC42AF">
      <w:rPr>
        <w:rStyle w:val="PageNumber"/>
        <w:bCs/>
      </w:rPr>
      <w:instrText xml:space="preserve"> PAGE </w:instrText>
    </w:r>
    <w:r>
      <w:rPr>
        <w:rStyle w:val="PageNumber"/>
        <w:b w:val="0"/>
        <w:bCs/>
      </w:rPr>
      <w:fldChar w:fldCharType="separate"/>
    </w:r>
    <w:r w:rsidR="00C02EC3">
      <w:rPr>
        <w:rStyle w:val="PageNumber"/>
        <w:bCs/>
        <w:noProof/>
      </w:rPr>
      <w:t>2</w:t>
    </w:r>
    <w:r>
      <w:rPr>
        <w:rStyle w:val="PageNumber"/>
        <w:b w:val="0"/>
        <w:bCs/>
      </w:rPr>
      <w:fldChar w:fldCharType="end"/>
    </w:r>
    <w:r w:rsidRPr="00FC42AF">
      <w:tab/>
    </w:r>
    <w:r>
      <w:t xml:space="preserve">Rec. </w:t>
    </w:r>
    <w:r>
      <w:rPr>
        <w:bCs/>
      </w:rPr>
      <w:t xml:space="preserve"> </w:t>
    </w:r>
    <w:r w:rsidRPr="00976297">
      <w:fldChar w:fldCharType="begin"/>
    </w:r>
    <w:r w:rsidRPr="00976297">
      <w:instrText>styleref href</w:instrText>
    </w:r>
    <w:r w:rsidRPr="00976297">
      <w:fldChar w:fldCharType="separate"/>
    </w:r>
    <w:r w:rsidR="00C02EC3">
      <w:rPr>
        <w:noProof/>
      </w:rPr>
      <w:t>ITU-R  M.1459</w:t>
    </w:r>
    <w:r w:rsidRPr="00976297">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17" w:rsidRDefault="003D7E17" w:rsidP="00B86BCC">
    <w:pPr>
      <w:pStyle w:val="Header"/>
    </w:pPr>
    <w:r>
      <w:tab/>
    </w:r>
    <w:r w:rsidR="00B86BCC">
      <w:t xml:space="preserve">Rec. </w:t>
    </w:r>
    <w:r w:rsidR="00976297">
      <w:rPr>
        <w:bCs/>
      </w:rPr>
      <w:t xml:space="preserve"> </w:t>
    </w:r>
    <w:r w:rsidR="00976297" w:rsidRPr="00976297">
      <w:fldChar w:fldCharType="begin"/>
    </w:r>
    <w:r w:rsidR="00976297" w:rsidRPr="00976297">
      <w:instrText>styleref href</w:instrText>
    </w:r>
    <w:r w:rsidR="00976297" w:rsidRPr="00976297">
      <w:fldChar w:fldCharType="separate"/>
    </w:r>
    <w:r w:rsidR="00C02EC3">
      <w:rPr>
        <w:noProof/>
      </w:rPr>
      <w:t>ITU-R  M.1459</w:t>
    </w:r>
    <w:r w:rsidR="00976297" w:rsidRPr="00976297">
      <w:fldChar w:fldCharType="end"/>
    </w:r>
    <w:r>
      <w:tab/>
    </w:r>
    <w:r>
      <w:fldChar w:fldCharType="begin"/>
    </w:r>
    <w:r>
      <w:instrText>PAGE</w:instrText>
    </w:r>
    <w:r>
      <w:fldChar w:fldCharType="separate"/>
    </w:r>
    <w:r w:rsidR="00C02EC3">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EB"/>
    <w:rsid w:val="00135944"/>
    <w:rsid w:val="003D7E17"/>
    <w:rsid w:val="004175E0"/>
    <w:rsid w:val="005650EB"/>
    <w:rsid w:val="005C2332"/>
    <w:rsid w:val="006C53AE"/>
    <w:rsid w:val="00976297"/>
    <w:rsid w:val="00B86BCC"/>
    <w:rsid w:val="00C02EC3"/>
    <w:rsid w:val="00EC62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character" w:styleId="EndnoteReference">
    <w:name w:val="endnote reference"/>
    <w:basedOn w:val="DefaultParagraphFont"/>
    <w:semiHidden/>
    <w:rPr>
      <w:vertAlign w:val="superscript"/>
    </w:rPr>
  </w:style>
  <w:style w:type="paragraph" w:customStyle="1" w:styleId="Tablelegend0">
    <w:name w:val="Table_legend"/>
    <w:basedOn w:val="Tabletext0"/>
    <w:next w:val="Normal"/>
    <w:pPr>
      <w:keepNext/>
      <w:tabs>
        <w:tab w:val="left" w:pos="284"/>
        <w:tab w:val="left" w:pos="851"/>
        <w:tab w:val="left" w:pos="1134"/>
      </w:tabs>
      <w:spacing w:before="120" w:after="0"/>
    </w:pPr>
  </w:style>
  <w:style w:type="paragraph" w:customStyle="1" w:styleId="Tabletext0">
    <w:name w:val="Table_text"/>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style>
  <w:style w:type="paragraph" w:customStyle="1" w:styleId="Tabletitle0">
    <w:name w:val="Table_title"/>
    <w:basedOn w:val="TableNo"/>
    <w:next w:val="Tabletext0"/>
    <w:pPr>
      <w:spacing w:before="0"/>
    </w:pPr>
    <w:rPr>
      <w:b/>
      <w:caps w:val="0"/>
    </w:rPr>
  </w:style>
  <w:style w:type="paragraph" w:customStyle="1" w:styleId="TableNo">
    <w:name w:val="Table_No"/>
    <w:basedOn w:val="Normal"/>
    <w:next w:val="Tabletitle0"/>
    <w:pPr>
      <w:keepNext/>
      <w:tabs>
        <w:tab w:val="clear" w:pos="794"/>
        <w:tab w:val="clear" w:pos="1191"/>
        <w:tab w:val="clear" w:pos="1588"/>
        <w:tab w:val="clear" w:pos="1985"/>
      </w:tabs>
      <w:spacing w:before="360" w:after="120"/>
      <w:jc w:val="center"/>
    </w:pPr>
    <w:rPr>
      <w:caps/>
    </w:rPr>
  </w:style>
  <w:style w:type="paragraph" w:customStyle="1" w:styleId="Figuretitle0">
    <w:name w:val="Figure_title"/>
    <w:basedOn w:val="Tabletitle0"/>
    <w:next w:val="Normalaftertitle"/>
    <w:pPr>
      <w:keepNext w:val="0"/>
      <w:spacing w:before="240" w:after="480"/>
    </w:pPr>
    <w:rPr>
      <w:caps/>
      <w:sz w:val="24"/>
    </w:rPr>
  </w:style>
  <w:style w:type="paragraph" w:customStyle="1" w:styleId="FigureNo">
    <w:name w:val="Figure_No"/>
    <w:basedOn w:val="TableNo"/>
    <w:next w:val="Figuretitle0"/>
    <w:rPr>
      <w:sz w:val="24"/>
    </w:rPr>
  </w:style>
  <w:style w:type="paragraph" w:customStyle="1" w:styleId="AnnexNo">
    <w:name w:val="Annex_No"/>
    <w:basedOn w:val="ArtNo"/>
    <w:next w:val="Annexref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rPr>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rPr>
  </w:style>
  <w:style w:type="paragraph" w:customStyle="1" w:styleId="Annextitle0">
    <w:name w:val="Annex_title"/>
    <w:basedOn w:val="Arttitle"/>
    <w:next w:val="Normal"/>
    <w:pPr>
      <w:spacing w:after="0"/>
    </w:pPr>
  </w:style>
  <w:style w:type="paragraph" w:customStyle="1" w:styleId="AppendixNo">
    <w:name w:val="Appendix_No"/>
    <w:basedOn w:val="ArtNo"/>
    <w:next w:val="Appendixtitle0"/>
  </w:style>
  <w:style w:type="paragraph" w:customStyle="1" w:styleId="Appendixtitle0">
    <w:name w:val="Appendix_title"/>
    <w:basedOn w:val="Arttitle"/>
    <w:next w:val="Normal"/>
  </w:style>
  <w:style w:type="paragraph" w:customStyle="1" w:styleId="Appendixref0">
    <w:name w:val="Appendix_ref"/>
    <w:basedOn w:val="Annexref0"/>
    <w:next w:val="Appendixtitle0"/>
  </w:style>
  <w:style w:type="paragraph" w:customStyle="1" w:styleId="Reftitle0">
    <w:name w:val="Ref_title"/>
    <w:basedOn w:val="Normal"/>
    <w:next w:val="Reftext0"/>
    <w:pPr>
      <w:tabs>
        <w:tab w:val="clear" w:pos="794"/>
        <w:tab w:val="clear" w:pos="1191"/>
        <w:tab w:val="clear" w:pos="1588"/>
        <w:tab w:val="clear" w:pos="1985"/>
        <w:tab w:val="left" w:pos="1134"/>
        <w:tab w:val="left" w:pos="1871"/>
        <w:tab w:val="left" w:pos="2268"/>
      </w:tabs>
      <w:spacing w:before="480"/>
      <w:jc w:val="left"/>
    </w:pPr>
    <w:rPr>
      <w:b/>
      <w:sz w:val="24"/>
    </w:rPr>
  </w:style>
  <w:style w:type="paragraph" w:customStyle="1" w:styleId="Reftext0">
    <w:name w:val="Ref_text"/>
    <w:basedOn w:val="Normal"/>
    <w:pPr>
      <w:tabs>
        <w:tab w:val="clear" w:pos="794"/>
        <w:tab w:val="clear" w:pos="1191"/>
        <w:tab w:val="clear" w:pos="1588"/>
        <w:tab w:val="clear" w:pos="1985"/>
        <w:tab w:val="left" w:pos="1134"/>
        <w:tab w:val="left" w:pos="1871"/>
        <w:tab w:val="left" w:pos="2268"/>
      </w:tabs>
      <w:spacing w:before="120"/>
      <w:jc w:val="left"/>
    </w:pPr>
    <w:rPr>
      <w:sz w:val="24"/>
    </w:rPr>
  </w:style>
  <w:style w:type="paragraph" w:customStyle="1" w:styleId="Tableref">
    <w:name w:val="Table_ref"/>
    <w:basedOn w:val="Normal"/>
    <w:next w:val="Tabletitle0"/>
    <w:pPr>
      <w:keepNext/>
      <w:tabs>
        <w:tab w:val="clear" w:pos="794"/>
        <w:tab w:val="clear" w:pos="1191"/>
        <w:tab w:val="clear" w:pos="1588"/>
        <w:tab w:val="clear" w:pos="1985"/>
        <w:tab w:val="left" w:pos="1134"/>
        <w:tab w:val="left" w:pos="1871"/>
        <w:tab w:val="left" w:pos="2268"/>
      </w:tabs>
      <w:spacing w:before="567"/>
      <w:jc w:val="center"/>
    </w:pPr>
    <w:rPr>
      <w:sz w:val="18"/>
    </w:rPr>
  </w:style>
  <w:style w:type="paragraph" w:customStyle="1" w:styleId="Signcountry">
    <w:name w:val="Sign_country"/>
    <w:basedOn w:val="Normal"/>
    <w:next w:val="Signpart"/>
    <w:pPr>
      <w:keepNext/>
      <w:keepLines/>
      <w:tabs>
        <w:tab w:val="clear" w:pos="794"/>
        <w:tab w:val="clear" w:pos="1191"/>
        <w:tab w:val="clear" w:pos="1588"/>
        <w:tab w:val="clear" w:pos="1985"/>
        <w:tab w:val="left" w:pos="1134"/>
        <w:tab w:val="left" w:pos="1871"/>
        <w:tab w:val="left" w:pos="2268"/>
      </w:tabs>
      <w:spacing w:before="120" w:after="57"/>
      <w:jc w:val="left"/>
    </w:pPr>
    <w:rPr>
      <w:b/>
      <w:sz w:val="24"/>
    </w:rPr>
  </w:style>
  <w:style w:type="paragraph" w:customStyle="1" w:styleId="Signpart">
    <w:name w:val="Sign_part"/>
    <w:basedOn w:val="Signcountry"/>
    <w:pPr>
      <w:keepNext w:val="0"/>
      <w:keepLines w:val="0"/>
      <w:spacing w:before="0"/>
      <w:ind w:left="284"/>
    </w:pPr>
    <w:rPr>
      <w:b w:val="0"/>
      <w:smallCaps/>
    </w:rPr>
  </w:style>
  <w:style w:type="paragraph" w:customStyle="1" w:styleId="ChapNo">
    <w:name w:val="Chap_No"/>
    <w:basedOn w:val="ArtNo"/>
    <w:next w:val="Chaptitle"/>
    <w:pPr>
      <w:spacing w:before="960"/>
    </w:pPr>
  </w:style>
  <w:style w:type="paragraph" w:customStyle="1" w:styleId="Chaptitle">
    <w:name w:val="Chap_title"/>
    <w:basedOn w:val="Arttitle"/>
    <w:next w:val="ArtNo"/>
  </w:style>
  <w:style w:type="paragraph" w:customStyle="1" w:styleId="Protfin">
    <w:name w:val="Prot_fin"/>
    <w:basedOn w:val="Normal"/>
    <w:next w:val="Normalaftertitle"/>
    <w:pPr>
      <w:pageBreakBefore/>
      <w:tabs>
        <w:tab w:val="clear" w:pos="794"/>
        <w:tab w:val="clear" w:pos="1191"/>
        <w:tab w:val="clear" w:pos="1588"/>
        <w:tab w:val="clear" w:pos="1985"/>
        <w:tab w:val="left" w:pos="1134"/>
        <w:tab w:val="left" w:pos="1871"/>
        <w:tab w:val="left" w:pos="2268"/>
      </w:tabs>
      <w:spacing w:before="720" w:after="240"/>
      <w:jc w:val="center"/>
    </w:pPr>
    <w:rPr>
      <w:b/>
      <w:sz w:val="24"/>
    </w:rPr>
  </w:style>
  <w:style w:type="paragraph" w:customStyle="1" w:styleId="ProtNo">
    <w:name w:val="Prot_No"/>
    <w:basedOn w:val="Normal"/>
    <w:next w:val="Protlang"/>
    <w:pPr>
      <w:keepNext/>
      <w:tabs>
        <w:tab w:val="clear" w:pos="794"/>
        <w:tab w:val="clear" w:pos="1191"/>
        <w:tab w:val="clear" w:pos="1588"/>
        <w:tab w:val="clear" w:pos="1985"/>
        <w:tab w:val="left" w:pos="1134"/>
        <w:tab w:val="left" w:pos="1871"/>
        <w:tab w:val="left" w:pos="2268"/>
      </w:tabs>
      <w:spacing w:before="120"/>
      <w:jc w:val="center"/>
    </w:pPr>
    <w:rPr>
      <w:sz w:val="24"/>
    </w:rPr>
  </w:style>
  <w:style w:type="paragraph" w:customStyle="1" w:styleId="Protlang">
    <w:name w:val="Prot_lang"/>
    <w:basedOn w:val="ProtNo"/>
    <w:next w:val="Protpays"/>
    <w:pPr>
      <w:keepLines/>
      <w:framePr w:hSpace="181" w:vSpace="181" w:wrap="auto" w:hAnchor="text" w:xAlign="right"/>
      <w:spacing w:before="0"/>
      <w:jc w:val="right"/>
    </w:pPr>
    <w:rPr>
      <w:i/>
      <w:sz w:val="18"/>
    </w:rPr>
  </w:style>
  <w:style w:type="paragraph" w:customStyle="1" w:styleId="Protpays">
    <w:name w:val="Prot_pays"/>
    <w:basedOn w:val="Protlang"/>
    <w:next w:val="headfoot"/>
    <w:pPr>
      <w:framePr w:wrap="auto"/>
      <w:spacing w:before="113" w:line="199" w:lineRule="exact"/>
      <w:jc w:val="left"/>
    </w:pPr>
  </w:style>
  <w:style w:type="paragraph" w:customStyle="1" w:styleId="Prottexte">
    <w:name w:val="Prot_texte"/>
    <w:basedOn w:val="Protlang"/>
    <w:pPr>
      <w:keepNext w:val="0"/>
      <w:keepLines w:val="0"/>
      <w:framePr w:wrap="auto"/>
      <w:spacing w:before="113" w:line="199" w:lineRule="exact"/>
      <w:jc w:val="both"/>
    </w:pPr>
    <w:rPr>
      <w:i w:val="0"/>
    </w:rPr>
  </w:style>
  <w:style w:type="paragraph" w:customStyle="1" w:styleId="Protcall">
    <w:name w:val="Prot_call"/>
    <w:basedOn w:val="Prottexte"/>
    <w:next w:val="Prottexte"/>
    <w:pPr>
      <w:keepNext/>
      <w:keepLines/>
      <w:framePr w:wrap="auto" w:xAlign="left"/>
      <w:spacing w:before="170"/>
      <w:ind w:left="794"/>
      <w:jc w:val="left"/>
    </w:pPr>
    <w:rPr>
      <w:i/>
    </w:rPr>
  </w:style>
  <w:style w:type="paragraph" w:customStyle="1" w:styleId="ResNo">
    <w:name w:val="Res_No"/>
    <w:basedOn w:val="ArtNo"/>
    <w:next w:val="Restitle0"/>
  </w:style>
  <w:style w:type="paragraph" w:customStyle="1" w:styleId="Restitle0">
    <w:name w:val="Res_title"/>
    <w:basedOn w:val="Arttitle"/>
    <w:next w:val="headfoot"/>
    <w:pPr>
      <w:spacing w:after="120"/>
    </w:pPr>
  </w:style>
  <w:style w:type="paragraph" w:customStyle="1" w:styleId="RecNo">
    <w:name w:val="Rec_No"/>
    <w:basedOn w:val="ResNo"/>
    <w:next w:val="Rectitle0"/>
  </w:style>
  <w:style w:type="paragraph" w:customStyle="1" w:styleId="Rectitle0">
    <w:name w:val="Rec_title"/>
    <w:basedOn w:val="Restitle0"/>
    <w:next w:val="headfoot"/>
  </w:style>
  <w:style w:type="paragraph" w:customStyle="1" w:styleId="Section1">
    <w:name w:val="Section_1"/>
    <w:basedOn w:val="Normal"/>
    <w:pPr>
      <w:tabs>
        <w:tab w:val="clear" w:pos="794"/>
        <w:tab w:val="clear" w:pos="1191"/>
        <w:tab w:val="clear" w:pos="1588"/>
        <w:tab w:val="clear" w:pos="1985"/>
        <w:tab w:val="center" w:pos="4820"/>
      </w:tabs>
      <w:spacing w:before="360"/>
      <w:jc w:val="center"/>
    </w:pPr>
    <w:rPr>
      <w:b/>
      <w:sz w:val="24"/>
    </w:rPr>
  </w:style>
  <w:style w:type="character" w:styleId="PageNumber">
    <w:name w:val="page number"/>
    <w:basedOn w:val="DefaultParagraphFont"/>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120"/>
      <w:jc w:val="left"/>
    </w:pPr>
    <w:rPr>
      <w:sz w:val="24"/>
    </w:rPr>
  </w:style>
  <w:style w:type="character" w:customStyle="1" w:styleId="Tablefreq">
    <w:name w:val="Table_freq"/>
    <w:basedOn w:val="DefaultParagraphFont"/>
    <w:rPr>
      <w:b/>
      <w:color w:val="FF0000"/>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style>
  <w:style w:type="character" w:customStyle="1" w:styleId="href">
    <w:name w:val="href"/>
    <w:basedOn w:val="DefaultParagraphFont"/>
  </w:style>
  <w:style w:type="paragraph" w:customStyle="1" w:styleId="Section2">
    <w:name w:val="Section_2"/>
    <w:basedOn w:val="Section1"/>
    <w:rPr>
      <w:b w:val="0"/>
      <w:i/>
    </w:rPr>
  </w:style>
  <w:style w:type="paragraph" w:customStyle="1" w:styleId="Section3">
    <w:name w:val="Section_3"/>
    <w:basedOn w:val="Section1"/>
    <w:rPr>
      <w:b w:val="0"/>
    </w:rPr>
  </w:style>
  <w:style w:type="character" w:customStyle="1" w:styleId="Artref">
    <w:name w:val="Art_ref"/>
    <w:basedOn w:val="DefaultParagraphFont"/>
  </w:style>
  <w:style w:type="character" w:customStyle="1" w:styleId="Artdef">
    <w:name w:val="Art_def"/>
    <w:basedOn w:val="DefaultParagraphFont"/>
    <w:rPr>
      <w:rFonts w:ascii="Times New Roman" w:hAnsi="Times New Roman"/>
      <w:b/>
    </w:rPr>
  </w:style>
  <w:style w:type="paragraph" w:customStyle="1" w:styleId="Equationlegend">
    <w:name w:val="Equation_legend"/>
    <w:basedOn w:val="NormalIndent"/>
    <w:pPr>
      <w:tabs>
        <w:tab w:val="clear" w:pos="794"/>
        <w:tab w:val="clear" w:pos="1191"/>
        <w:tab w:val="clear" w:pos="1588"/>
        <w:tab w:val="clear" w:pos="1985"/>
        <w:tab w:val="right" w:pos="1531"/>
      </w:tabs>
      <w:spacing w:before="120"/>
      <w:ind w:left="2835" w:hanging="1701"/>
      <w:jc w:val="left"/>
    </w:pPr>
    <w:rPr>
      <w:sz w:val="24"/>
    </w:rPr>
  </w:style>
  <w:style w:type="paragraph" w:customStyle="1" w:styleId="Call0">
    <w:name w:val="Call"/>
    <w:basedOn w:val="Normal"/>
    <w:next w:val="Normal"/>
    <w:pPr>
      <w:keepNext/>
      <w:keepLines/>
      <w:tabs>
        <w:tab w:val="clear" w:pos="794"/>
        <w:tab w:val="clear" w:pos="1191"/>
        <w:tab w:val="clear" w:pos="1588"/>
        <w:tab w:val="clear" w:pos="1985"/>
        <w:tab w:val="left" w:pos="1134"/>
      </w:tabs>
      <w:spacing w:before="160"/>
      <w:ind w:left="1134"/>
      <w:jc w:val="left"/>
    </w:pPr>
    <w:rPr>
      <w:i/>
      <w:sz w:val="24"/>
    </w:rPr>
  </w:style>
  <w:style w:type="paragraph" w:customStyle="1" w:styleId="Headingb">
    <w:name w:val="Heading_b"/>
    <w:basedOn w:val="Heading3"/>
    <w:next w:val="Normal"/>
    <w:pPr>
      <w:tabs>
        <w:tab w:val="clear" w:pos="794"/>
        <w:tab w:val="left" w:pos="1871"/>
      </w:tabs>
      <w:spacing w:before="160"/>
      <w:ind w:left="0" w:firstLine="0"/>
      <w:jc w:val="left"/>
      <w:outlineLvl w:val="9"/>
    </w:pPr>
    <w:rPr>
      <w:sz w:val="24"/>
    </w:rPr>
  </w:style>
  <w:style w:type="paragraph" w:customStyle="1" w:styleId="Tablehead">
    <w:name w:val="Table_head"/>
    <w:basedOn w:val="Tabletext0"/>
    <w:next w:val="Tabletext0"/>
    <w:pPr>
      <w:spacing w:before="80" w:after="80"/>
      <w:jc w:val="center"/>
    </w:pPr>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Recdef">
    <w:name w:val="Rec_def"/>
    <w:basedOn w:val="DefaultParagraphFont"/>
  </w:style>
  <w:style w:type="character" w:customStyle="1" w:styleId="Recref">
    <w:name w:val="Rec_ref"/>
    <w:basedOn w:val="DefaultParagraphFont"/>
  </w:style>
  <w:style w:type="character" w:customStyle="1" w:styleId="Resdef">
    <w:name w:val="Res_def"/>
    <w:basedOn w:val="DefaultParagraphFont"/>
    <w:rPr>
      <w:rFonts w:ascii="Times New Roman" w:hAnsi="Times New Roman"/>
      <w:b/>
    </w:rPr>
  </w:style>
  <w:style w:type="character" w:customStyle="1" w:styleId="Resref">
    <w:name w:val="Res_ref"/>
    <w:basedOn w:val="DefaultParagraphFont"/>
  </w:style>
  <w:style w:type="paragraph" w:customStyle="1" w:styleId="Headingi">
    <w:name w:val="Heading_i"/>
    <w:basedOn w:val="Headingb"/>
    <w:rPr>
      <w:b w:val="0"/>
      <w:i/>
    </w:rPr>
  </w:style>
  <w:style w:type="paragraph" w:customStyle="1" w:styleId="TableNote">
    <w:name w:val="TableNote"/>
    <w:basedOn w:val="Tabletext0"/>
  </w:style>
  <w:style w:type="paragraph" w:customStyle="1" w:styleId="enumlev2a">
    <w:name w:val="enumlev2a"/>
    <w:basedOn w:val="enumlev1"/>
    <w:pPr>
      <w:tabs>
        <w:tab w:val="clear" w:pos="397"/>
        <w:tab w:val="left" w:pos="1871"/>
        <w:tab w:val="left" w:pos="2608"/>
        <w:tab w:val="left" w:pos="3345"/>
      </w:tabs>
      <w:spacing w:before="80"/>
      <w:ind w:left="1871" w:hanging="1871"/>
      <w:jc w:val="left"/>
    </w:pPr>
    <w:rPr>
      <w:bCs/>
      <w:sz w:val="24"/>
    </w:rPr>
  </w:style>
  <w:style w:type="paragraph" w:customStyle="1" w:styleId="enumlev3a">
    <w:name w:val="enumlev3a"/>
    <w:basedOn w:val="enumlev2a"/>
    <w:pPr>
      <w:tabs>
        <w:tab w:val="clear" w:pos="1871"/>
      </w:tabs>
      <w:ind w:left="2608" w:hanging="2608"/>
    </w:pPr>
    <w:rPr>
      <w:bCs w:val="0"/>
    </w:rPr>
  </w:style>
  <w:style w:type="paragraph" w:customStyle="1" w:styleId="Reasons">
    <w:name w:val="Reasons"/>
    <w:basedOn w:val="Normal"/>
    <w:pPr>
      <w:tabs>
        <w:tab w:val="clear" w:pos="794"/>
        <w:tab w:val="clear" w:pos="1191"/>
        <w:tab w:val="left" w:pos="1134"/>
      </w:tabs>
      <w:overflowPunct/>
      <w:autoSpaceDE/>
      <w:autoSpaceDN/>
      <w:adjustRightInd/>
      <w:spacing w:before="120"/>
      <w:jc w:val="left"/>
      <w:textAlignment w:val="auto"/>
    </w:pPr>
    <w:rPr>
      <w:sz w:val="24"/>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rPr>
  </w:style>
  <w:style w:type="paragraph" w:customStyle="1" w:styleId="Title1">
    <w:name w:val="Title 1"/>
    <w:basedOn w:val="Source"/>
    <w:next w:val="Normal"/>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FirstFooter">
    <w:name w:val="FirstFooter"/>
    <w:basedOn w:val="Footer"/>
    <w:pPr>
      <w:tabs>
        <w:tab w:val="clear" w:pos="4849"/>
        <w:tab w:val="clear" w:pos="9696"/>
        <w:tab w:val="left" w:pos="567"/>
        <w:tab w:val="left" w:pos="1134"/>
        <w:tab w:val="left" w:pos="1701"/>
        <w:tab w:val="left" w:pos="2268"/>
        <w:tab w:val="left" w:pos="2835"/>
        <w:tab w:val="left" w:pos="5954"/>
        <w:tab w:val="right" w:pos="9639"/>
      </w:tabs>
      <w:spacing w:before="0"/>
    </w:pPr>
    <w:rPr>
      <w:b w:val="0"/>
      <w:sz w:val="18"/>
      <w:lang w:val="fr-FR"/>
    </w:rPr>
  </w:style>
  <w:style w:type="paragraph" w:customStyle="1" w:styleId="SpecialFooter">
    <w:name w:val="Special Footer"/>
    <w:basedOn w:val="Footer"/>
    <w:pPr>
      <w:tabs>
        <w:tab w:val="clear" w:pos="4849"/>
        <w:tab w:val="clear" w:pos="9696"/>
        <w:tab w:val="left" w:pos="567"/>
        <w:tab w:val="left" w:pos="1134"/>
        <w:tab w:val="left" w:pos="1701"/>
        <w:tab w:val="left" w:pos="2268"/>
        <w:tab w:val="left" w:pos="2835"/>
        <w:tab w:val="left" w:pos="5954"/>
        <w:tab w:val="right" w:pos="9639"/>
      </w:tabs>
      <w:spacing w:before="0"/>
      <w:jc w:val="both"/>
    </w:pPr>
    <w:rPr>
      <w:b w:val="0"/>
      <w:sz w:val="18"/>
    </w:rPr>
  </w:style>
  <w:style w:type="paragraph" w:customStyle="1" w:styleId="toc0">
    <w:name w:val="toc 0"/>
    <w:basedOn w:val="Normal"/>
    <w:next w:val="TOC1"/>
    <w:pPr>
      <w:tabs>
        <w:tab w:val="clear" w:pos="794"/>
        <w:tab w:val="clear" w:pos="1191"/>
        <w:tab w:val="clear" w:pos="1588"/>
        <w:tab w:val="clear" w:pos="1985"/>
        <w:tab w:val="center" w:pos="8789"/>
      </w:tabs>
      <w:jc w:val="left"/>
    </w:pPr>
    <w:rPr>
      <w:b/>
      <w:sz w:val="24"/>
    </w:rPr>
  </w:style>
  <w:style w:type="character" w:customStyle="1" w:styleId="MODRef">
    <w:name w:val="MODRef"/>
    <w:basedOn w:val="DefaultParagraphFont"/>
    <w:rPr>
      <w:b/>
      <w:sz w:val="24"/>
      <w:lang w:val="en-GB"/>
    </w:rPr>
  </w:style>
  <w:style w:type="paragraph" w:customStyle="1" w:styleId="headingb0">
    <w:name w:val="heading_b"/>
    <w:basedOn w:val="Heading3"/>
    <w:next w:val="Normal"/>
    <w:pPr>
      <w:tabs>
        <w:tab w:val="left" w:pos="2127"/>
        <w:tab w:val="left" w:pos="2410"/>
        <w:tab w:val="left" w:pos="2921"/>
        <w:tab w:val="left" w:pos="3261"/>
      </w:tabs>
      <w:spacing w:before="160"/>
      <w:ind w:left="0" w:firstLine="0"/>
      <w:jc w:val="left"/>
      <w:outlineLvl w:val="9"/>
    </w:pPr>
    <w:rPr>
      <w:sz w:val="24"/>
    </w:rPr>
  </w:style>
  <w:style w:type="paragraph" w:customStyle="1" w:styleId="EquationLegend0">
    <w:name w:val="Equation_Legend"/>
    <w:basedOn w:val="Normal"/>
    <w:pPr>
      <w:tabs>
        <w:tab w:val="clear" w:pos="794"/>
        <w:tab w:val="clear" w:pos="1191"/>
        <w:tab w:val="clear" w:pos="1588"/>
        <w:tab w:val="clear" w:pos="1985"/>
        <w:tab w:val="right" w:pos="1531"/>
        <w:tab w:val="left" w:pos="1701"/>
      </w:tabs>
      <w:spacing w:before="80"/>
      <w:ind w:left="1701" w:hanging="1701"/>
      <w:jc w:val="left"/>
    </w:pPr>
    <w:rPr>
      <w:sz w:val="24"/>
    </w:rPr>
  </w:style>
  <w:style w:type="paragraph" w:customStyle="1" w:styleId="foot">
    <w:name w:val="foot"/>
    <w:basedOn w:val="headfoot"/>
    <w:rPr>
      <w:lang w:val="fr-FR"/>
    </w:rPr>
  </w:style>
  <w:style w:type="paragraph" w:customStyle="1" w:styleId="e1">
    <w:name w:val="e1"/>
    <w:basedOn w:val="Normal"/>
  </w:style>
  <w:style w:type="character" w:styleId="Hyperlink">
    <w:name w:val="Hyperlink"/>
    <w:rsid w:val="0097629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character" w:styleId="EndnoteReference">
    <w:name w:val="endnote reference"/>
    <w:basedOn w:val="DefaultParagraphFont"/>
    <w:semiHidden/>
    <w:rPr>
      <w:vertAlign w:val="superscript"/>
    </w:rPr>
  </w:style>
  <w:style w:type="paragraph" w:customStyle="1" w:styleId="Tablelegend0">
    <w:name w:val="Table_legend"/>
    <w:basedOn w:val="Tabletext0"/>
    <w:next w:val="Normal"/>
    <w:pPr>
      <w:keepNext/>
      <w:tabs>
        <w:tab w:val="left" w:pos="284"/>
        <w:tab w:val="left" w:pos="851"/>
        <w:tab w:val="left" w:pos="1134"/>
      </w:tabs>
      <w:spacing w:before="120" w:after="0"/>
    </w:pPr>
  </w:style>
  <w:style w:type="paragraph" w:customStyle="1" w:styleId="Tabletext0">
    <w:name w:val="Table_text"/>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style>
  <w:style w:type="paragraph" w:customStyle="1" w:styleId="Tabletitle0">
    <w:name w:val="Table_title"/>
    <w:basedOn w:val="TableNo"/>
    <w:next w:val="Tabletext0"/>
    <w:pPr>
      <w:spacing w:before="0"/>
    </w:pPr>
    <w:rPr>
      <w:b/>
      <w:caps w:val="0"/>
    </w:rPr>
  </w:style>
  <w:style w:type="paragraph" w:customStyle="1" w:styleId="TableNo">
    <w:name w:val="Table_No"/>
    <w:basedOn w:val="Normal"/>
    <w:next w:val="Tabletitle0"/>
    <w:pPr>
      <w:keepNext/>
      <w:tabs>
        <w:tab w:val="clear" w:pos="794"/>
        <w:tab w:val="clear" w:pos="1191"/>
        <w:tab w:val="clear" w:pos="1588"/>
        <w:tab w:val="clear" w:pos="1985"/>
      </w:tabs>
      <w:spacing w:before="360" w:after="120"/>
      <w:jc w:val="center"/>
    </w:pPr>
    <w:rPr>
      <w:caps/>
    </w:rPr>
  </w:style>
  <w:style w:type="paragraph" w:customStyle="1" w:styleId="Figuretitle0">
    <w:name w:val="Figure_title"/>
    <w:basedOn w:val="Tabletitle0"/>
    <w:next w:val="Normalaftertitle"/>
    <w:pPr>
      <w:keepNext w:val="0"/>
      <w:spacing w:before="240" w:after="480"/>
    </w:pPr>
    <w:rPr>
      <w:caps/>
      <w:sz w:val="24"/>
    </w:rPr>
  </w:style>
  <w:style w:type="paragraph" w:customStyle="1" w:styleId="FigureNo">
    <w:name w:val="Figure_No"/>
    <w:basedOn w:val="TableNo"/>
    <w:next w:val="Figuretitle0"/>
    <w:rPr>
      <w:sz w:val="24"/>
    </w:rPr>
  </w:style>
  <w:style w:type="paragraph" w:customStyle="1" w:styleId="AnnexNo">
    <w:name w:val="Annex_No"/>
    <w:basedOn w:val="ArtNo"/>
    <w:next w:val="Annexref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rPr>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rPr>
  </w:style>
  <w:style w:type="paragraph" w:customStyle="1" w:styleId="Annextitle0">
    <w:name w:val="Annex_title"/>
    <w:basedOn w:val="Arttitle"/>
    <w:next w:val="Normal"/>
    <w:pPr>
      <w:spacing w:after="0"/>
    </w:pPr>
  </w:style>
  <w:style w:type="paragraph" w:customStyle="1" w:styleId="AppendixNo">
    <w:name w:val="Appendix_No"/>
    <w:basedOn w:val="ArtNo"/>
    <w:next w:val="Appendixtitle0"/>
  </w:style>
  <w:style w:type="paragraph" w:customStyle="1" w:styleId="Appendixtitle0">
    <w:name w:val="Appendix_title"/>
    <w:basedOn w:val="Arttitle"/>
    <w:next w:val="Normal"/>
  </w:style>
  <w:style w:type="paragraph" w:customStyle="1" w:styleId="Appendixref0">
    <w:name w:val="Appendix_ref"/>
    <w:basedOn w:val="Annexref0"/>
    <w:next w:val="Appendixtitle0"/>
  </w:style>
  <w:style w:type="paragraph" w:customStyle="1" w:styleId="Reftitle0">
    <w:name w:val="Ref_title"/>
    <w:basedOn w:val="Normal"/>
    <w:next w:val="Reftext0"/>
    <w:pPr>
      <w:tabs>
        <w:tab w:val="clear" w:pos="794"/>
        <w:tab w:val="clear" w:pos="1191"/>
        <w:tab w:val="clear" w:pos="1588"/>
        <w:tab w:val="clear" w:pos="1985"/>
        <w:tab w:val="left" w:pos="1134"/>
        <w:tab w:val="left" w:pos="1871"/>
        <w:tab w:val="left" w:pos="2268"/>
      </w:tabs>
      <w:spacing w:before="480"/>
      <w:jc w:val="left"/>
    </w:pPr>
    <w:rPr>
      <w:b/>
      <w:sz w:val="24"/>
    </w:rPr>
  </w:style>
  <w:style w:type="paragraph" w:customStyle="1" w:styleId="Reftext0">
    <w:name w:val="Ref_text"/>
    <w:basedOn w:val="Normal"/>
    <w:pPr>
      <w:tabs>
        <w:tab w:val="clear" w:pos="794"/>
        <w:tab w:val="clear" w:pos="1191"/>
        <w:tab w:val="clear" w:pos="1588"/>
        <w:tab w:val="clear" w:pos="1985"/>
        <w:tab w:val="left" w:pos="1134"/>
        <w:tab w:val="left" w:pos="1871"/>
        <w:tab w:val="left" w:pos="2268"/>
      </w:tabs>
      <w:spacing w:before="120"/>
      <w:jc w:val="left"/>
    </w:pPr>
    <w:rPr>
      <w:sz w:val="24"/>
    </w:rPr>
  </w:style>
  <w:style w:type="paragraph" w:customStyle="1" w:styleId="Tableref">
    <w:name w:val="Table_ref"/>
    <w:basedOn w:val="Normal"/>
    <w:next w:val="Tabletitle0"/>
    <w:pPr>
      <w:keepNext/>
      <w:tabs>
        <w:tab w:val="clear" w:pos="794"/>
        <w:tab w:val="clear" w:pos="1191"/>
        <w:tab w:val="clear" w:pos="1588"/>
        <w:tab w:val="clear" w:pos="1985"/>
        <w:tab w:val="left" w:pos="1134"/>
        <w:tab w:val="left" w:pos="1871"/>
        <w:tab w:val="left" w:pos="2268"/>
      </w:tabs>
      <w:spacing w:before="567"/>
      <w:jc w:val="center"/>
    </w:pPr>
    <w:rPr>
      <w:sz w:val="18"/>
    </w:rPr>
  </w:style>
  <w:style w:type="paragraph" w:customStyle="1" w:styleId="Signcountry">
    <w:name w:val="Sign_country"/>
    <w:basedOn w:val="Normal"/>
    <w:next w:val="Signpart"/>
    <w:pPr>
      <w:keepNext/>
      <w:keepLines/>
      <w:tabs>
        <w:tab w:val="clear" w:pos="794"/>
        <w:tab w:val="clear" w:pos="1191"/>
        <w:tab w:val="clear" w:pos="1588"/>
        <w:tab w:val="clear" w:pos="1985"/>
        <w:tab w:val="left" w:pos="1134"/>
        <w:tab w:val="left" w:pos="1871"/>
        <w:tab w:val="left" w:pos="2268"/>
      </w:tabs>
      <w:spacing w:before="120" w:after="57"/>
      <w:jc w:val="left"/>
    </w:pPr>
    <w:rPr>
      <w:b/>
      <w:sz w:val="24"/>
    </w:rPr>
  </w:style>
  <w:style w:type="paragraph" w:customStyle="1" w:styleId="Signpart">
    <w:name w:val="Sign_part"/>
    <w:basedOn w:val="Signcountry"/>
    <w:pPr>
      <w:keepNext w:val="0"/>
      <w:keepLines w:val="0"/>
      <w:spacing w:before="0"/>
      <w:ind w:left="284"/>
    </w:pPr>
    <w:rPr>
      <w:b w:val="0"/>
      <w:smallCaps/>
    </w:rPr>
  </w:style>
  <w:style w:type="paragraph" w:customStyle="1" w:styleId="ChapNo">
    <w:name w:val="Chap_No"/>
    <w:basedOn w:val="ArtNo"/>
    <w:next w:val="Chaptitle"/>
    <w:pPr>
      <w:spacing w:before="960"/>
    </w:pPr>
  </w:style>
  <w:style w:type="paragraph" w:customStyle="1" w:styleId="Chaptitle">
    <w:name w:val="Chap_title"/>
    <w:basedOn w:val="Arttitle"/>
    <w:next w:val="ArtNo"/>
  </w:style>
  <w:style w:type="paragraph" w:customStyle="1" w:styleId="Protfin">
    <w:name w:val="Prot_fin"/>
    <w:basedOn w:val="Normal"/>
    <w:next w:val="Normalaftertitle"/>
    <w:pPr>
      <w:pageBreakBefore/>
      <w:tabs>
        <w:tab w:val="clear" w:pos="794"/>
        <w:tab w:val="clear" w:pos="1191"/>
        <w:tab w:val="clear" w:pos="1588"/>
        <w:tab w:val="clear" w:pos="1985"/>
        <w:tab w:val="left" w:pos="1134"/>
        <w:tab w:val="left" w:pos="1871"/>
        <w:tab w:val="left" w:pos="2268"/>
      </w:tabs>
      <w:spacing w:before="720" w:after="240"/>
      <w:jc w:val="center"/>
    </w:pPr>
    <w:rPr>
      <w:b/>
      <w:sz w:val="24"/>
    </w:rPr>
  </w:style>
  <w:style w:type="paragraph" w:customStyle="1" w:styleId="ProtNo">
    <w:name w:val="Prot_No"/>
    <w:basedOn w:val="Normal"/>
    <w:next w:val="Protlang"/>
    <w:pPr>
      <w:keepNext/>
      <w:tabs>
        <w:tab w:val="clear" w:pos="794"/>
        <w:tab w:val="clear" w:pos="1191"/>
        <w:tab w:val="clear" w:pos="1588"/>
        <w:tab w:val="clear" w:pos="1985"/>
        <w:tab w:val="left" w:pos="1134"/>
        <w:tab w:val="left" w:pos="1871"/>
        <w:tab w:val="left" w:pos="2268"/>
      </w:tabs>
      <w:spacing w:before="120"/>
      <w:jc w:val="center"/>
    </w:pPr>
    <w:rPr>
      <w:sz w:val="24"/>
    </w:rPr>
  </w:style>
  <w:style w:type="paragraph" w:customStyle="1" w:styleId="Protlang">
    <w:name w:val="Prot_lang"/>
    <w:basedOn w:val="ProtNo"/>
    <w:next w:val="Protpays"/>
    <w:pPr>
      <w:keepLines/>
      <w:framePr w:hSpace="181" w:vSpace="181" w:wrap="auto" w:hAnchor="text" w:xAlign="right"/>
      <w:spacing w:before="0"/>
      <w:jc w:val="right"/>
    </w:pPr>
    <w:rPr>
      <w:i/>
      <w:sz w:val="18"/>
    </w:rPr>
  </w:style>
  <w:style w:type="paragraph" w:customStyle="1" w:styleId="Protpays">
    <w:name w:val="Prot_pays"/>
    <w:basedOn w:val="Protlang"/>
    <w:next w:val="headfoot"/>
    <w:pPr>
      <w:framePr w:wrap="auto"/>
      <w:spacing w:before="113" w:line="199" w:lineRule="exact"/>
      <w:jc w:val="left"/>
    </w:pPr>
  </w:style>
  <w:style w:type="paragraph" w:customStyle="1" w:styleId="Prottexte">
    <w:name w:val="Prot_texte"/>
    <w:basedOn w:val="Protlang"/>
    <w:pPr>
      <w:keepNext w:val="0"/>
      <w:keepLines w:val="0"/>
      <w:framePr w:wrap="auto"/>
      <w:spacing w:before="113" w:line="199" w:lineRule="exact"/>
      <w:jc w:val="both"/>
    </w:pPr>
    <w:rPr>
      <w:i w:val="0"/>
    </w:rPr>
  </w:style>
  <w:style w:type="paragraph" w:customStyle="1" w:styleId="Protcall">
    <w:name w:val="Prot_call"/>
    <w:basedOn w:val="Prottexte"/>
    <w:next w:val="Prottexte"/>
    <w:pPr>
      <w:keepNext/>
      <w:keepLines/>
      <w:framePr w:wrap="auto" w:xAlign="left"/>
      <w:spacing w:before="170"/>
      <w:ind w:left="794"/>
      <w:jc w:val="left"/>
    </w:pPr>
    <w:rPr>
      <w:i/>
    </w:rPr>
  </w:style>
  <w:style w:type="paragraph" w:customStyle="1" w:styleId="ResNo">
    <w:name w:val="Res_No"/>
    <w:basedOn w:val="ArtNo"/>
    <w:next w:val="Restitle0"/>
  </w:style>
  <w:style w:type="paragraph" w:customStyle="1" w:styleId="Restitle0">
    <w:name w:val="Res_title"/>
    <w:basedOn w:val="Arttitle"/>
    <w:next w:val="headfoot"/>
    <w:pPr>
      <w:spacing w:after="120"/>
    </w:pPr>
  </w:style>
  <w:style w:type="paragraph" w:customStyle="1" w:styleId="RecNo">
    <w:name w:val="Rec_No"/>
    <w:basedOn w:val="ResNo"/>
    <w:next w:val="Rectitle0"/>
  </w:style>
  <w:style w:type="paragraph" w:customStyle="1" w:styleId="Rectitle0">
    <w:name w:val="Rec_title"/>
    <w:basedOn w:val="Restitle0"/>
    <w:next w:val="headfoot"/>
  </w:style>
  <w:style w:type="paragraph" w:customStyle="1" w:styleId="Section1">
    <w:name w:val="Section_1"/>
    <w:basedOn w:val="Normal"/>
    <w:pPr>
      <w:tabs>
        <w:tab w:val="clear" w:pos="794"/>
        <w:tab w:val="clear" w:pos="1191"/>
        <w:tab w:val="clear" w:pos="1588"/>
        <w:tab w:val="clear" w:pos="1985"/>
        <w:tab w:val="center" w:pos="4820"/>
      </w:tabs>
      <w:spacing w:before="360"/>
      <w:jc w:val="center"/>
    </w:pPr>
    <w:rPr>
      <w:b/>
      <w:sz w:val="24"/>
    </w:rPr>
  </w:style>
  <w:style w:type="character" w:styleId="PageNumber">
    <w:name w:val="page number"/>
    <w:basedOn w:val="DefaultParagraphFont"/>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120"/>
      <w:jc w:val="left"/>
    </w:pPr>
    <w:rPr>
      <w:sz w:val="24"/>
    </w:rPr>
  </w:style>
  <w:style w:type="character" w:customStyle="1" w:styleId="Tablefreq">
    <w:name w:val="Table_freq"/>
    <w:basedOn w:val="DefaultParagraphFont"/>
    <w:rPr>
      <w:b/>
      <w:color w:val="FF0000"/>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style>
  <w:style w:type="character" w:customStyle="1" w:styleId="href">
    <w:name w:val="href"/>
    <w:basedOn w:val="DefaultParagraphFont"/>
  </w:style>
  <w:style w:type="paragraph" w:customStyle="1" w:styleId="Section2">
    <w:name w:val="Section_2"/>
    <w:basedOn w:val="Section1"/>
    <w:rPr>
      <w:b w:val="0"/>
      <w:i/>
    </w:rPr>
  </w:style>
  <w:style w:type="paragraph" w:customStyle="1" w:styleId="Section3">
    <w:name w:val="Section_3"/>
    <w:basedOn w:val="Section1"/>
    <w:rPr>
      <w:b w:val="0"/>
    </w:rPr>
  </w:style>
  <w:style w:type="character" w:customStyle="1" w:styleId="Artref">
    <w:name w:val="Art_ref"/>
    <w:basedOn w:val="DefaultParagraphFont"/>
  </w:style>
  <w:style w:type="character" w:customStyle="1" w:styleId="Artdef">
    <w:name w:val="Art_def"/>
    <w:basedOn w:val="DefaultParagraphFont"/>
    <w:rPr>
      <w:rFonts w:ascii="Times New Roman" w:hAnsi="Times New Roman"/>
      <w:b/>
    </w:rPr>
  </w:style>
  <w:style w:type="paragraph" w:customStyle="1" w:styleId="Equationlegend">
    <w:name w:val="Equation_legend"/>
    <w:basedOn w:val="NormalIndent"/>
    <w:pPr>
      <w:tabs>
        <w:tab w:val="clear" w:pos="794"/>
        <w:tab w:val="clear" w:pos="1191"/>
        <w:tab w:val="clear" w:pos="1588"/>
        <w:tab w:val="clear" w:pos="1985"/>
        <w:tab w:val="right" w:pos="1531"/>
      </w:tabs>
      <w:spacing w:before="120"/>
      <w:ind w:left="2835" w:hanging="1701"/>
      <w:jc w:val="left"/>
    </w:pPr>
    <w:rPr>
      <w:sz w:val="24"/>
    </w:rPr>
  </w:style>
  <w:style w:type="paragraph" w:customStyle="1" w:styleId="Call0">
    <w:name w:val="Call"/>
    <w:basedOn w:val="Normal"/>
    <w:next w:val="Normal"/>
    <w:pPr>
      <w:keepNext/>
      <w:keepLines/>
      <w:tabs>
        <w:tab w:val="clear" w:pos="794"/>
        <w:tab w:val="clear" w:pos="1191"/>
        <w:tab w:val="clear" w:pos="1588"/>
        <w:tab w:val="clear" w:pos="1985"/>
        <w:tab w:val="left" w:pos="1134"/>
      </w:tabs>
      <w:spacing w:before="160"/>
      <w:ind w:left="1134"/>
      <w:jc w:val="left"/>
    </w:pPr>
    <w:rPr>
      <w:i/>
      <w:sz w:val="24"/>
    </w:rPr>
  </w:style>
  <w:style w:type="paragraph" w:customStyle="1" w:styleId="Headingb">
    <w:name w:val="Heading_b"/>
    <w:basedOn w:val="Heading3"/>
    <w:next w:val="Normal"/>
    <w:pPr>
      <w:tabs>
        <w:tab w:val="clear" w:pos="794"/>
        <w:tab w:val="left" w:pos="1871"/>
      </w:tabs>
      <w:spacing w:before="160"/>
      <w:ind w:left="0" w:firstLine="0"/>
      <w:jc w:val="left"/>
      <w:outlineLvl w:val="9"/>
    </w:pPr>
    <w:rPr>
      <w:sz w:val="24"/>
    </w:rPr>
  </w:style>
  <w:style w:type="paragraph" w:customStyle="1" w:styleId="Tablehead">
    <w:name w:val="Table_head"/>
    <w:basedOn w:val="Tabletext0"/>
    <w:next w:val="Tabletext0"/>
    <w:pPr>
      <w:spacing w:before="80" w:after="80"/>
      <w:jc w:val="center"/>
    </w:pPr>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Recdef">
    <w:name w:val="Rec_def"/>
    <w:basedOn w:val="DefaultParagraphFont"/>
  </w:style>
  <w:style w:type="character" w:customStyle="1" w:styleId="Recref">
    <w:name w:val="Rec_ref"/>
    <w:basedOn w:val="DefaultParagraphFont"/>
  </w:style>
  <w:style w:type="character" w:customStyle="1" w:styleId="Resdef">
    <w:name w:val="Res_def"/>
    <w:basedOn w:val="DefaultParagraphFont"/>
    <w:rPr>
      <w:rFonts w:ascii="Times New Roman" w:hAnsi="Times New Roman"/>
      <w:b/>
    </w:rPr>
  </w:style>
  <w:style w:type="character" w:customStyle="1" w:styleId="Resref">
    <w:name w:val="Res_ref"/>
    <w:basedOn w:val="DefaultParagraphFont"/>
  </w:style>
  <w:style w:type="paragraph" w:customStyle="1" w:styleId="Headingi">
    <w:name w:val="Heading_i"/>
    <w:basedOn w:val="Headingb"/>
    <w:rPr>
      <w:b w:val="0"/>
      <w:i/>
    </w:rPr>
  </w:style>
  <w:style w:type="paragraph" w:customStyle="1" w:styleId="TableNote">
    <w:name w:val="TableNote"/>
    <w:basedOn w:val="Tabletext0"/>
  </w:style>
  <w:style w:type="paragraph" w:customStyle="1" w:styleId="enumlev2a">
    <w:name w:val="enumlev2a"/>
    <w:basedOn w:val="enumlev1"/>
    <w:pPr>
      <w:tabs>
        <w:tab w:val="clear" w:pos="397"/>
        <w:tab w:val="left" w:pos="1871"/>
        <w:tab w:val="left" w:pos="2608"/>
        <w:tab w:val="left" w:pos="3345"/>
      </w:tabs>
      <w:spacing w:before="80"/>
      <w:ind w:left="1871" w:hanging="1871"/>
      <w:jc w:val="left"/>
    </w:pPr>
    <w:rPr>
      <w:bCs/>
      <w:sz w:val="24"/>
    </w:rPr>
  </w:style>
  <w:style w:type="paragraph" w:customStyle="1" w:styleId="enumlev3a">
    <w:name w:val="enumlev3a"/>
    <w:basedOn w:val="enumlev2a"/>
    <w:pPr>
      <w:tabs>
        <w:tab w:val="clear" w:pos="1871"/>
      </w:tabs>
      <w:ind w:left="2608" w:hanging="2608"/>
    </w:pPr>
    <w:rPr>
      <w:bCs w:val="0"/>
    </w:rPr>
  </w:style>
  <w:style w:type="paragraph" w:customStyle="1" w:styleId="Reasons">
    <w:name w:val="Reasons"/>
    <w:basedOn w:val="Normal"/>
    <w:pPr>
      <w:tabs>
        <w:tab w:val="clear" w:pos="794"/>
        <w:tab w:val="clear" w:pos="1191"/>
        <w:tab w:val="left" w:pos="1134"/>
      </w:tabs>
      <w:overflowPunct/>
      <w:autoSpaceDE/>
      <w:autoSpaceDN/>
      <w:adjustRightInd/>
      <w:spacing w:before="120"/>
      <w:jc w:val="left"/>
      <w:textAlignment w:val="auto"/>
    </w:pPr>
    <w:rPr>
      <w:sz w:val="24"/>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rPr>
  </w:style>
  <w:style w:type="paragraph" w:customStyle="1" w:styleId="Title1">
    <w:name w:val="Title 1"/>
    <w:basedOn w:val="Source"/>
    <w:next w:val="Normal"/>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FirstFooter">
    <w:name w:val="FirstFooter"/>
    <w:basedOn w:val="Footer"/>
    <w:pPr>
      <w:tabs>
        <w:tab w:val="clear" w:pos="4849"/>
        <w:tab w:val="clear" w:pos="9696"/>
        <w:tab w:val="left" w:pos="567"/>
        <w:tab w:val="left" w:pos="1134"/>
        <w:tab w:val="left" w:pos="1701"/>
        <w:tab w:val="left" w:pos="2268"/>
        <w:tab w:val="left" w:pos="2835"/>
        <w:tab w:val="left" w:pos="5954"/>
        <w:tab w:val="right" w:pos="9639"/>
      </w:tabs>
      <w:spacing w:before="0"/>
    </w:pPr>
    <w:rPr>
      <w:b w:val="0"/>
      <w:sz w:val="18"/>
      <w:lang w:val="fr-FR"/>
    </w:rPr>
  </w:style>
  <w:style w:type="paragraph" w:customStyle="1" w:styleId="SpecialFooter">
    <w:name w:val="Special Footer"/>
    <w:basedOn w:val="Footer"/>
    <w:pPr>
      <w:tabs>
        <w:tab w:val="clear" w:pos="4849"/>
        <w:tab w:val="clear" w:pos="9696"/>
        <w:tab w:val="left" w:pos="567"/>
        <w:tab w:val="left" w:pos="1134"/>
        <w:tab w:val="left" w:pos="1701"/>
        <w:tab w:val="left" w:pos="2268"/>
        <w:tab w:val="left" w:pos="2835"/>
        <w:tab w:val="left" w:pos="5954"/>
        <w:tab w:val="right" w:pos="9639"/>
      </w:tabs>
      <w:spacing w:before="0"/>
      <w:jc w:val="both"/>
    </w:pPr>
    <w:rPr>
      <w:b w:val="0"/>
      <w:sz w:val="18"/>
    </w:rPr>
  </w:style>
  <w:style w:type="paragraph" w:customStyle="1" w:styleId="toc0">
    <w:name w:val="toc 0"/>
    <w:basedOn w:val="Normal"/>
    <w:next w:val="TOC1"/>
    <w:pPr>
      <w:tabs>
        <w:tab w:val="clear" w:pos="794"/>
        <w:tab w:val="clear" w:pos="1191"/>
        <w:tab w:val="clear" w:pos="1588"/>
        <w:tab w:val="clear" w:pos="1985"/>
        <w:tab w:val="center" w:pos="8789"/>
      </w:tabs>
      <w:jc w:val="left"/>
    </w:pPr>
    <w:rPr>
      <w:b/>
      <w:sz w:val="24"/>
    </w:rPr>
  </w:style>
  <w:style w:type="character" w:customStyle="1" w:styleId="MODRef">
    <w:name w:val="MODRef"/>
    <w:basedOn w:val="DefaultParagraphFont"/>
    <w:rPr>
      <w:b/>
      <w:sz w:val="24"/>
      <w:lang w:val="en-GB"/>
    </w:rPr>
  </w:style>
  <w:style w:type="paragraph" w:customStyle="1" w:styleId="headingb0">
    <w:name w:val="heading_b"/>
    <w:basedOn w:val="Heading3"/>
    <w:next w:val="Normal"/>
    <w:pPr>
      <w:tabs>
        <w:tab w:val="left" w:pos="2127"/>
        <w:tab w:val="left" w:pos="2410"/>
        <w:tab w:val="left" w:pos="2921"/>
        <w:tab w:val="left" w:pos="3261"/>
      </w:tabs>
      <w:spacing w:before="160"/>
      <w:ind w:left="0" w:firstLine="0"/>
      <w:jc w:val="left"/>
      <w:outlineLvl w:val="9"/>
    </w:pPr>
    <w:rPr>
      <w:sz w:val="24"/>
    </w:rPr>
  </w:style>
  <w:style w:type="paragraph" w:customStyle="1" w:styleId="EquationLegend0">
    <w:name w:val="Equation_Legend"/>
    <w:basedOn w:val="Normal"/>
    <w:pPr>
      <w:tabs>
        <w:tab w:val="clear" w:pos="794"/>
        <w:tab w:val="clear" w:pos="1191"/>
        <w:tab w:val="clear" w:pos="1588"/>
        <w:tab w:val="clear" w:pos="1985"/>
        <w:tab w:val="right" w:pos="1531"/>
        <w:tab w:val="left" w:pos="1701"/>
      </w:tabs>
      <w:spacing w:before="80"/>
      <w:ind w:left="1701" w:hanging="1701"/>
      <w:jc w:val="left"/>
    </w:pPr>
    <w:rPr>
      <w:sz w:val="24"/>
    </w:rPr>
  </w:style>
  <w:style w:type="paragraph" w:customStyle="1" w:styleId="foot">
    <w:name w:val="foot"/>
    <w:basedOn w:val="headfoot"/>
    <w:rPr>
      <w:lang w:val="fr-FR"/>
    </w:rPr>
  </w:style>
  <w:style w:type="paragraph" w:customStyle="1" w:styleId="e1">
    <w:name w:val="e1"/>
    <w:basedOn w:val="Normal"/>
  </w:style>
  <w:style w:type="character" w:styleId="Hyperlink">
    <w:name w:val="Hyperlink"/>
    <w:rsid w:val="009762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6.bin"/><Relationship Id="rId55" Type="http://schemas.openxmlformats.org/officeDocument/2006/relationships/image" Target="media/image25.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1.wmf"/><Relationship Id="rId41" Type="http://schemas.openxmlformats.org/officeDocument/2006/relationships/oleObject" Target="embeddings/oleObject12.bin"/><Relationship Id="rId54"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14.bin"/><Relationship Id="rId53" Type="http://schemas.openxmlformats.org/officeDocument/2006/relationships/image" Target="media/image24.wmf"/><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0.bin"/><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oleObject" Target="embeddings/oleObject17.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header" Target="header1.xml"/><Relationship Id="rId51" Type="http://schemas.openxmlformats.org/officeDocument/2006/relationships/image" Target="media/image23.w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8</TotalTime>
  <Pages>18</Pages>
  <Words>5847</Words>
  <Characters>31986</Characters>
  <Application>Microsoft Office Word</Application>
  <DocSecurity>0</DocSecurity>
  <Lines>1683</Lines>
  <Paragraphs>879</Paragraphs>
  <ScaleCrop>false</ScaleCrop>
  <HeadingPairs>
    <vt:vector size="2" baseType="variant">
      <vt:variant>
        <vt:lpstr>Title</vt:lpstr>
      </vt:variant>
      <vt:variant>
        <vt:i4>1</vt:i4>
      </vt:variant>
    </vt:vector>
  </HeadingPairs>
  <TitlesOfParts>
    <vt:vector size="1" baseType="lpstr">
      <vt:lpstr>M.1459 - Protection criteria for telemetry systems in the aeronautical mobile service and mitigation techniques to facilitate sharing with geostationary broadcasting-satellite and mobile-satellite services in the frequency bands 1 452-1 525 MHz  ...</vt:lpstr>
    </vt:vector>
  </TitlesOfParts>
  <Manager>CP..2424/MP</Manager>
  <Company>ITU</Company>
  <LinksUpToDate>false</LinksUpToDate>
  <CharactersWithSpaces>36954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M.1459 - Protection criteria for telemetry systems in the aeronautical mobile service and mitigation techniques to facilitate sharing with geostationary broadcasting-satellite and mobile-satellite services in the frequency bands 1 452-1 525 MHz  ...</dc:title>
  <dc:subject>M Series = Mobile, radiodetermination, amateur and related satellite services</dc:subject>
  <dc:creator>ITU Radiocommunication Bureau (BR)</dc:creator>
  <cp:keywords>M, 1459</cp:keywords>
  <dc:description>Saisie+Fig.+FO+MEP: 18.08.2000/MP (Dict. OK)_x000d_
Corr. BAT: 19.09.2000/MP_x000d_
Corr. originaux: 21.09.2000/MP_x000d_
Corr. ULT:   22+25.9. + 2.10.2000/DD</dc:description>
  <cp:lastModifiedBy>santosbo</cp:lastModifiedBy>
  <cp:revision>5</cp:revision>
  <cp:lastPrinted>2000-10-02T10:40:00Z</cp:lastPrinted>
  <dcterms:created xsi:type="dcterms:W3CDTF">2011-03-08T08:01:00Z</dcterms:created>
  <dcterms:modified xsi:type="dcterms:W3CDTF">2011-03-08T14:44:00Z</dcterms:modified>
  <cp:category>WW9 - Folios 1-16</cp:category>
</cp:coreProperties>
</file>