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A63" w:rsidRDefault="00737A63" w:rsidP="00737A63"/>
    <w:p w:rsidR="00737A63" w:rsidRDefault="00737A63" w:rsidP="00737A63"/>
    <w:p w:rsidR="00737A63" w:rsidRDefault="00737A63" w:rsidP="00737A63"/>
    <w:p w:rsidR="00737A63" w:rsidRDefault="00737A63" w:rsidP="00737A63"/>
    <w:p w:rsidR="00737A63" w:rsidRDefault="00737A63" w:rsidP="00737A63"/>
    <w:p w:rsidR="00737A63" w:rsidRDefault="00737A63" w:rsidP="00737A63"/>
    <w:p w:rsidR="00737A63" w:rsidRDefault="00737A63" w:rsidP="00737A63"/>
    <w:p w:rsidR="00737A63" w:rsidRDefault="00737A63" w:rsidP="00737A63"/>
    <w:p w:rsidR="00737A63" w:rsidRDefault="00737A63" w:rsidP="00737A63"/>
    <w:tbl>
      <w:tblPr>
        <w:tblW w:w="10089" w:type="dxa"/>
        <w:tblLook w:val="01E0" w:firstRow="1" w:lastRow="1" w:firstColumn="1" w:lastColumn="1" w:noHBand="0" w:noVBand="0"/>
      </w:tblPr>
      <w:tblGrid>
        <w:gridCol w:w="10089"/>
      </w:tblGrid>
      <w:tr w:rsidR="00737A63" w:rsidRPr="004F65E4" w:rsidTr="008B6E6C">
        <w:tc>
          <w:tcPr>
            <w:tcW w:w="10089" w:type="dxa"/>
          </w:tcPr>
          <w:p w:rsidR="00737A63" w:rsidRPr="001511A6" w:rsidRDefault="00737A63" w:rsidP="008B6E6C">
            <w:pPr>
              <w:spacing w:before="380" w:line="280" w:lineRule="exact"/>
              <w:jc w:val="right"/>
              <w:rPr>
                <w:rFonts w:ascii="Tahoma" w:hAnsi="Tahoma" w:cs="Tahoma"/>
                <w:b/>
                <w:bCs/>
                <w:iCs/>
                <w:color w:val="243285"/>
                <w:sz w:val="32"/>
                <w:szCs w:val="32"/>
                <w:lang w:val="en-US"/>
              </w:rPr>
            </w:pPr>
          </w:p>
          <w:p w:rsidR="00737A63" w:rsidRPr="004F65E4" w:rsidRDefault="00737A63" w:rsidP="008B6E6C">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1456</w:t>
            </w:r>
          </w:p>
          <w:p w:rsidR="00737A63" w:rsidRPr="004F65E4" w:rsidRDefault="00737A63" w:rsidP="008B6E6C">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05</w:t>
            </w:r>
            <w:r w:rsidRPr="004F65E4">
              <w:rPr>
                <w:rFonts w:ascii="Tahoma" w:hAnsi="Tahoma" w:cs="Tahoma"/>
                <w:b/>
                <w:bCs/>
                <w:iCs/>
                <w:color w:val="243285"/>
                <w:szCs w:val="24"/>
              </w:rPr>
              <w:t>/</w:t>
            </w:r>
            <w:r>
              <w:rPr>
                <w:rFonts w:ascii="Tahoma" w:hAnsi="Tahoma" w:cs="Tahoma"/>
                <w:b/>
                <w:bCs/>
                <w:iCs/>
                <w:color w:val="243285"/>
                <w:szCs w:val="24"/>
              </w:rPr>
              <w:t>2000</w:t>
            </w:r>
            <w:r w:rsidRPr="004F65E4">
              <w:rPr>
                <w:rFonts w:ascii="Tahoma" w:hAnsi="Tahoma" w:cs="Tahoma"/>
                <w:b/>
                <w:bCs/>
                <w:iCs/>
                <w:color w:val="243285"/>
                <w:szCs w:val="24"/>
              </w:rPr>
              <w:t>)</w:t>
            </w:r>
          </w:p>
        </w:tc>
      </w:tr>
      <w:tr w:rsidR="00737A63" w:rsidRPr="00AA34E7" w:rsidTr="008B6E6C">
        <w:tc>
          <w:tcPr>
            <w:tcW w:w="10089" w:type="dxa"/>
          </w:tcPr>
          <w:p w:rsidR="00737A63" w:rsidRPr="00AA34E7" w:rsidRDefault="00737A63" w:rsidP="008B6E6C">
            <w:pPr>
              <w:spacing w:before="80" w:line="500" w:lineRule="exact"/>
              <w:jc w:val="right"/>
              <w:rPr>
                <w:rFonts w:ascii="Tahoma" w:hAnsi="Tahoma" w:cs="Tahoma"/>
                <w:b/>
                <w:bCs/>
                <w:iCs/>
                <w:color w:val="243285"/>
                <w:sz w:val="44"/>
                <w:szCs w:val="44"/>
                <w:lang w:val="en-US"/>
              </w:rPr>
            </w:pPr>
          </w:p>
          <w:p w:rsidR="00737A63" w:rsidRPr="001511A6" w:rsidRDefault="00737A63" w:rsidP="008B6E6C">
            <w:pPr>
              <w:spacing w:before="80" w:line="500" w:lineRule="exact"/>
              <w:jc w:val="right"/>
              <w:rPr>
                <w:rFonts w:ascii="Tahoma" w:hAnsi="Tahoma" w:cs="Tahoma"/>
                <w:b/>
                <w:bCs/>
                <w:iCs/>
                <w:color w:val="243285"/>
                <w:sz w:val="44"/>
                <w:szCs w:val="44"/>
                <w:lang w:val="en-US"/>
              </w:rPr>
            </w:pPr>
            <w:r w:rsidRPr="00AA34E7">
              <w:rPr>
                <w:rFonts w:ascii="Tahoma" w:hAnsi="Tahoma" w:cs="Tahoma"/>
                <w:b/>
                <w:bCs/>
                <w:iCs/>
                <w:color w:val="243285"/>
                <w:sz w:val="44"/>
                <w:szCs w:val="44"/>
                <w:lang w:val="en-US"/>
              </w:rPr>
              <w:t>Minimum performance characteristics and operational conditions for high altitude platform stations providing IMT-2000</w:t>
            </w:r>
            <w:r>
              <w:rPr>
                <w:rFonts w:ascii="Tahoma" w:hAnsi="Tahoma" w:cs="Tahoma"/>
                <w:b/>
                <w:bCs/>
                <w:iCs/>
                <w:color w:val="243285"/>
                <w:sz w:val="44"/>
                <w:szCs w:val="44"/>
                <w:lang w:val="en-US"/>
              </w:rPr>
              <w:br/>
            </w:r>
            <w:r w:rsidRPr="00AA34E7">
              <w:rPr>
                <w:rFonts w:ascii="Tahoma" w:hAnsi="Tahoma" w:cs="Tahoma"/>
                <w:b/>
                <w:bCs/>
                <w:iCs/>
                <w:color w:val="243285"/>
                <w:sz w:val="44"/>
                <w:szCs w:val="44"/>
                <w:lang w:val="en-US"/>
              </w:rPr>
              <w:t>in the bands 1 885-1 980 MHz,</w:t>
            </w:r>
            <w:r>
              <w:rPr>
                <w:rFonts w:ascii="Tahoma" w:hAnsi="Tahoma" w:cs="Tahoma"/>
                <w:b/>
                <w:bCs/>
                <w:iCs/>
                <w:color w:val="243285"/>
                <w:sz w:val="44"/>
                <w:szCs w:val="44"/>
                <w:lang w:val="en-US"/>
              </w:rPr>
              <w:br/>
            </w:r>
            <w:r w:rsidRPr="00AA34E7">
              <w:rPr>
                <w:rFonts w:ascii="Tahoma" w:hAnsi="Tahoma" w:cs="Tahoma"/>
                <w:b/>
                <w:bCs/>
                <w:iCs/>
                <w:color w:val="243285"/>
                <w:sz w:val="44"/>
                <w:szCs w:val="44"/>
                <w:lang w:val="en-US"/>
              </w:rPr>
              <w:t>2 010-2 025 MHz and 2 110-2 170 MHz</w:t>
            </w:r>
            <w:r>
              <w:rPr>
                <w:rFonts w:ascii="Tahoma" w:hAnsi="Tahoma" w:cs="Tahoma"/>
                <w:b/>
                <w:bCs/>
                <w:iCs/>
                <w:color w:val="243285"/>
                <w:sz w:val="44"/>
                <w:szCs w:val="44"/>
                <w:lang w:val="en-US"/>
              </w:rPr>
              <w:br/>
            </w:r>
            <w:r w:rsidRPr="00AA34E7">
              <w:rPr>
                <w:rFonts w:ascii="Tahoma" w:hAnsi="Tahoma" w:cs="Tahoma"/>
                <w:b/>
                <w:bCs/>
                <w:iCs/>
                <w:color w:val="243285"/>
                <w:sz w:val="44"/>
                <w:szCs w:val="44"/>
                <w:lang w:val="en-US"/>
              </w:rPr>
              <w:t>in Regions 1 and 3 and 1 885- 1980 MHz and 2 110-2 160 MHz in Region 2</w:t>
            </w:r>
          </w:p>
          <w:p w:rsidR="00737A63" w:rsidRPr="001511A6" w:rsidRDefault="00737A63" w:rsidP="008B6E6C">
            <w:pPr>
              <w:spacing w:before="80" w:line="500" w:lineRule="exact"/>
              <w:jc w:val="right"/>
              <w:rPr>
                <w:rFonts w:ascii="Tahoma" w:hAnsi="Tahoma" w:cs="Tahoma"/>
                <w:b/>
                <w:bCs/>
                <w:iCs/>
                <w:color w:val="243285"/>
                <w:sz w:val="40"/>
                <w:szCs w:val="40"/>
                <w:lang w:val="en-US"/>
              </w:rPr>
            </w:pPr>
          </w:p>
        </w:tc>
      </w:tr>
      <w:tr w:rsidR="00737A63" w:rsidTr="008B6E6C">
        <w:tc>
          <w:tcPr>
            <w:tcW w:w="10089" w:type="dxa"/>
          </w:tcPr>
          <w:p w:rsidR="00737A63" w:rsidRPr="00AA34E7" w:rsidRDefault="00737A63" w:rsidP="008B6E6C">
            <w:pPr>
              <w:spacing w:before="80" w:line="280" w:lineRule="exact"/>
              <w:ind w:right="640"/>
              <w:rPr>
                <w:rFonts w:ascii="Tahoma" w:hAnsi="Tahoma" w:cs="Tahoma"/>
                <w:b/>
                <w:bCs/>
                <w:iCs/>
                <w:color w:val="243285"/>
                <w:sz w:val="32"/>
                <w:szCs w:val="32"/>
                <w:lang w:val="en-US"/>
              </w:rPr>
            </w:pPr>
          </w:p>
          <w:p w:rsidR="00737A63" w:rsidRPr="00AA34E7" w:rsidRDefault="00737A63" w:rsidP="008B6E6C">
            <w:pPr>
              <w:spacing w:before="80" w:after="180" w:line="360" w:lineRule="exact"/>
              <w:ind w:right="720"/>
              <w:rPr>
                <w:rFonts w:ascii="Tahoma" w:hAnsi="Tahoma" w:cs="Tahoma"/>
                <w:b/>
                <w:bCs/>
                <w:iCs/>
                <w:color w:val="243285"/>
                <w:sz w:val="36"/>
                <w:szCs w:val="36"/>
                <w:lang w:val="en-US"/>
              </w:rPr>
            </w:pPr>
          </w:p>
          <w:p w:rsidR="00737A63" w:rsidRPr="001511A6" w:rsidRDefault="00737A63" w:rsidP="008B6E6C">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737A63" w:rsidRDefault="00737A63" w:rsidP="008B6E6C">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737A63" w:rsidRPr="0041667C" w:rsidRDefault="00737A63" w:rsidP="008B6E6C">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737A63" w:rsidRDefault="00737A63" w:rsidP="00737A63">
      <w:pPr>
        <w:spacing w:before="80"/>
        <w:rPr>
          <w:i/>
          <w:sz w:val="22"/>
          <w:lang w:val="en-US"/>
        </w:rPr>
      </w:pPr>
    </w:p>
    <w:p w:rsidR="00737A63" w:rsidRDefault="00737A63" w:rsidP="00737A63">
      <w:pPr>
        <w:spacing w:before="80"/>
        <w:rPr>
          <w:i/>
          <w:sz w:val="22"/>
          <w:lang w:val="en-US"/>
        </w:rPr>
      </w:pPr>
    </w:p>
    <w:p w:rsidR="00737A63" w:rsidRDefault="00737A63" w:rsidP="00737A63">
      <w:pPr>
        <w:spacing w:before="80"/>
        <w:rPr>
          <w:i/>
          <w:sz w:val="22"/>
          <w:lang w:val="en-US"/>
        </w:rPr>
      </w:pPr>
    </w:p>
    <w:p w:rsidR="00737A63" w:rsidRDefault="00737A63" w:rsidP="00737A63">
      <w:pPr>
        <w:spacing w:before="80"/>
        <w:rPr>
          <w:i/>
          <w:sz w:val="22"/>
          <w:lang w:val="en-US"/>
        </w:rPr>
      </w:pPr>
    </w:p>
    <w:p w:rsidR="00737A63" w:rsidRDefault="00737A63" w:rsidP="00737A63">
      <w:pPr>
        <w:spacing w:before="80"/>
        <w:rPr>
          <w:i/>
          <w:sz w:val="22"/>
          <w:lang w:val="en-US"/>
        </w:rPr>
      </w:pPr>
    </w:p>
    <w:p w:rsidR="00737A63" w:rsidRDefault="00737A63" w:rsidP="00737A63">
      <w:pPr>
        <w:spacing w:before="80"/>
        <w:rPr>
          <w:i/>
          <w:sz w:val="22"/>
          <w:lang w:val="en-US"/>
        </w:rPr>
      </w:pPr>
    </w:p>
    <w:p w:rsidR="00737A63" w:rsidRDefault="00737A63" w:rsidP="00737A63">
      <w:pPr>
        <w:pStyle w:val="Equation"/>
        <w:tabs>
          <w:tab w:val="left" w:pos="1191"/>
          <w:tab w:val="left" w:pos="1588"/>
          <w:tab w:val="left" w:pos="1985"/>
        </w:tabs>
        <w:rPr>
          <w:rFonts w:ascii="Palatino Linotype" w:hAnsi="Palatino Linotype"/>
          <w:lang w:val="en-US"/>
        </w:rPr>
        <w:sectPr w:rsidR="00737A63">
          <w:headerReference w:type="even" r:id="rId9"/>
          <w:headerReference w:type="default" r:id="rId10"/>
          <w:pgSz w:w="11907" w:h="16840" w:code="9"/>
          <w:pgMar w:top="1089" w:right="1089" w:bottom="284" w:left="1089" w:header="567" w:footer="284" w:gutter="0"/>
          <w:pgNumType w:start="1"/>
          <w:cols w:space="720"/>
        </w:sectPr>
      </w:pPr>
    </w:p>
    <w:p w:rsidR="00737A63" w:rsidRPr="00586EF8" w:rsidRDefault="00737A63" w:rsidP="00737A63">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37A63" w:rsidRDefault="00737A63" w:rsidP="00737A63">
      <w:pPr>
        <w:spacing w:before="240"/>
        <w:rPr>
          <w:lang w:val="en-US"/>
        </w:rPr>
      </w:pPr>
      <w:r>
        <w:rPr>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37A63" w:rsidRDefault="00737A63" w:rsidP="00737A63">
      <w:pPr>
        <w:rPr>
          <w:lang w:val="en-US"/>
        </w:rPr>
      </w:pPr>
      <w:r>
        <w:rPr>
          <w:lang w:val="en-US"/>
        </w:rPr>
        <w:t>The regulatory and policy functions of the Radiocommunication Sector are performed by World and Regional Radiocommunication Conferences and Radiocommunication Assemblies supported by Study Groups.</w:t>
      </w:r>
    </w:p>
    <w:p w:rsidR="00737A63" w:rsidRPr="00B714F3" w:rsidRDefault="00737A63" w:rsidP="00737A63">
      <w:pPr>
        <w:pStyle w:val="Heading1"/>
        <w:spacing w:before="680"/>
        <w:jc w:val="center"/>
        <w:rPr>
          <w:szCs w:val="24"/>
          <w:lang w:val="en-US"/>
        </w:rPr>
      </w:pPr>
      <w:r w:rsidRPr="00B714F3">
        <w:rPr>
          <w:szCs w:val="24"/>
          <w:lang w:val="en-US"/>
        </w:rPr>
        <w:t>Policy on Intellectual Property Right (IPR)</w:t>
      </w:r>
    </w:p>
    <w:p w:rsidR="00737A63" w:rsidRPr="00B714F3" w:rsidRDefault="00737A63" w:rsidP="00737A63">
      <w:pPr>
        <w:tabs>
          <w:tab w:val="clear" w:pos="794"/>
          <w:tab w:val="clear" w:pos="1191"/>
          <w:tab w:val="clear" w:pos="1588"/>
          <w:tab w:val="clear" w:pos="1985"/>
        </w:tabs>
        <w:spacing w:before="240"/>
        <w:rPr>
          <w:lang w:val="en-US"/>
        </w:rPr>
      </w:pPr>
      <w:r w:rsidRPr="00B714F3">
        <w:rPr>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lang w:val="en-US"/>
          </w:rPr>
          <w:t>http://www.itu.int/ITU-R/go/patents/en</w:t>
        </w:r>
      </w:hyperlink>
      <w:r w:rsidRPr="00B714F3">
        <w:rPr>
          <w:lang w:val="en-US"/>
        </w:rPr>
        <w:t xml:space="preserve"> where the Guidelines for Implementation of the Common Patent Policy for ITU</w:t>
      </w:r>
      <w:r w:rsidRPr="00B714F3">
        <w:rPr>
          <w:lang w:val="en-US"/>
        </w:rPr>
        <w:noBreakHyphen/>
        <w:t>T/ITU</w:t>
      </w:r>
      <w:r w:rsidRPr="00B714F3">
        <w:rPr>
          <w:lang w:val="en-US"/>
        </w:rPr>
        <w:noBreakHyphen/>
        <w:t xml:space="preserve">R/ISO/IEC and the ITU-R patent information database can also be found. </w:t>
      </w:r>
    </w:p>
    <w:p w:rsidR="00737A63" w:rsidRDefault="00737A63" w:rsidP="00737A63">
      <w:pPr>
        <w:jc w:val="center"/>
        <w:rPr>
          <w:sz w:val="22"/>
          <w:lang w:val="en-US"/>
        </w:rPr>
      </w:pPr>
    </w:p>
    <w:p w:rsidR="00737A63" w:rsidRDefault="00737A63" w:rsidP="00737A63">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37A63" w:rsidRPr="00AA34E7" w:rsidTr="008B6E6C">
        <w:tc>
          <w:tcPr>
            <w:tcW w:w="9360" w:type="dxa"/>
            <w:gridSpan w:val="2"/>
          </w:tcPr>
          <w:p w:rsidR="00737A63" w:rsidRPr="00036EE3" w:rsidRDefault="00737A63" w:rsidP="008B6E6C">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37A63" w:rsidRPr="00036EE3" w:rsidRDefault="00737A63" w:rsidP="008B6E6C">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2" w:history="1">
              <w:r>
                <w:rPr>
                  <w:rStyle w:val="Hyperlink"/>
                  <w:b w:val="0"/>
                  <w:sz w:val="18"/>
                  <w:szCs w:val="18"/>
                  <w:lang w:val="en-US"/>
                </w:rPr>
                <w:t>http://www.itu.int/publ/R-REC/en</w:t>
              </w:r>
            </w:hyperlink>
            <w:r w:rsidRPr="00CE0A43">
              <w:rPr>
                <w:b w:val="0"/>
                <w:sz w:val="18"/>
                <w:szCs w:val="18"/>
                <w:lang w:val="en-US"/>
              </w:rPr>
              <w:t>)</w:t>
            </w:r>
          </w:p>
        </w:tc>
      </w:tr>
      <w:tr w:rsidR="00737A63" w:rsidRPr="00036EE3" w:rsidTr="008B6E6C">
        <w:tc>
          <w:tcPr>
            <w:tcW w:w="1140" w:type="dxa"/>
          </w:tcPr>
          <w:p w:rsidR="00737A63" w:rsidRPr="00036EE3" w:rsidRDefault="00737A63" w:rsidP="008B6E6C">
            <w:pPr>
              <w:spacing w:before="200" w:after="100"/>
              <w:ind w:left="57"/>
              <w:rPr>
                <w:b/>
                <w:bCs/>
                <w:lang w:val="en-US"/>
              </w:rPr>
            </w:pPr>
            <w:r w:rsidRPr="00036EE3">
              <w:rPr>
                <w:b/>
                <w:bCs/>
                <w:lang w:val="en-US"/>
              </w:rPr>
              <w:t>Series</w:t>
            </w:r>
          </w:p>
        </w:tc>
        <w:tc>
          <w:tcPr>
            <w:tcW w:w="8220" w:type="dxa"/>
          </w:tcPr>
          <w:p w:rsidR="00737A63" w:rsidRPr="00036EE3" w:rsidRDefault="00737A63" w:rsidP="008B6E6C">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37A63" w:rsidRPr="00036EE3" w:rsidTr="008B6E6C">
        <w:tc>
          <w:tcPr>
            <w:tcW w:w="1140" w:type="dxa"/>
          </w:tcPr>
          <w:p w:rsidR="00737A63" w:rsidRPr="00036EE3" w:rsidRDefault="00737A63" w:rsidP="008B6E6C">
            <w:pPr>
              <w:spacing w:before="30" w:after="30"/>
              <w:ind w:left="57"/>
              <w:jc w:val="left"/>
              <w:rPr>
                <w:b/>
                <w:bCs/>
                <w:lang w:val="en-US"/>
              </w:rPr>
            </w:pPr>
            <w:r w:rsidRPr="00036EE3">
              <w:rPr>
                <w:b/>
                <w:bCs/>
                <w:lang w:val="en-US"/>
              </w:rPr>
              <w:t>BO</w:t>
            </w:r>
          </w:p>
        </w:tc>
        <w:tc>
          <w:tcPr>
            <w:tcW w:w="8220" w:type="dxa"/>
          </w:tcPr>
          <w:p w:rsidR="00737A63" w:rsidRPr="00036EE3" w:rsidRDefault="00737A63" w:rsidP="008B6E6C">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37A63" w:rsidRPr="00AA34E7" w:rsidTr="008B6E6C">
        <w:tc>
          <w:tcPr>
            <w:tcW w:w="1140" w:type="dxa"/>
            <w:tcBorders>
              <w:bottom w:val="nil"/>
            </w:tcBorders>
          </w:tcPr>
          <w:p w:rsidR="00737A63" w:rsidRPr="00036EE3" w:rsidRDefault="00737A63" w:rsidP="008B6E6C">
            <w:pPr>
              <w:spacing w:before="30" w:after="30"/>
              <w:ind w:left="57"/>
              <w:jc w:val="left"/>
              <w:rPr>
                <w:b/>
                <w:bCs/>
                <w:lang w:val="en-US"/>
              </w:rPr>
            </w:pPr>
            <w:r w:rsidRPr="00036EE3">
              <w:rPr>
                <w:b/>
                <w:bCs/>
                <w:lang w:val="en-US"/>
              </w:rPr>
              <w:t>BR</w:t>
            </w:r>
          </w:p>
        </w:tc>
        <w:tc>
          <w:tcPr>
            <w:tcW w:w="8220" w:type="dxa"/>
            <w:tcBorders>
              <w:bottom w:val="nil"/>
            </w:tcBorders>
          </w:tcPr>
          <w:p w:rsidR="00737A63" w:rsidRPr="00036EE3" w:rsidRDefault="00737A63" w:rsidP="008B6E6C">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37A63" w:rsidRPr="00036EE3" w:rsidTr="008B6E6C">
        <w:tc>
          <w:tcPr>
            <w:tcW w:w="1140" w:type="dxa"/>
            <w:tcBorders>
              <w:top w:val="nil"/>
              <w:bottom w:val="nil"/>
            </w:tcBorders>
            <w:shd w:val="clear" w:color="auto" w:fill="auto"/>
          </w:tcPr>
          <w:p w:rsidR="00737A63" w:rsidRPr="007D224F" w:rsidRDefault="00737A63" w:rsidP="008B6E6C">
            <w:pPr>
              <w:spacing w:before="30" w:after="30"/>
              <w:ind w:left="57"/>
              <w:jc w:val="left"/>
              <w:rPr>
                <w:rFonts w:hAnsi="Times New Roman Bold"/>
                <w:b/>
                <w:bCs/>
                <w:lang w:val="en-US"/>
              </w:rPr>
            </w:pPr>
            <w:r w:rsidRPr="007D224F">
              <w:rPr>
                <w:rFonts w:hAnsi="Times New Roman Bold"/>
                <w:b/>
                <w:bCs/>
                <w:lang w:val="en-US"/>
              </w:rPr>
              <w:t>BS</w:t>
            </w:r>
          </w:p>
        </w:tc>
        <w:tc>
          <w:tcPr>
            <w:tcW w:w="8220" w:type="dxa"/>
            <w:tcBorders>
              <w:top w:val="nil"/>
              <w:bottom w:val="nil"/>
            </w:tcBorders>
            <w:shd w:val="clear" w:color="auto" w:fill="auto"/>
          </w:tcPr>
          <w:p w:rsidR="00737A63" w:rsidRPr="007D224F" w:rsidRDefault="00737A63" w:rsidP="008B6E6C">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737A63" w:rsidRPr="00ED2695" w:rsidTr="008B6E6C">
        <w:tc>
          <w:tcPr>
            <w:tcW w:w="1140" w:type="dxa"/>
            <w:tcBorders>
              <w:top w:val="nil"/>
              <w:bottom w:val="nil"/>
            </w:tcBorders>
            <w:shd w:val="clear" w:color="auto" w:fill="auto"/>
          </w:tcPr>
          <w:p w:rsidR="00737A63" w:rsidRPr="00ED2695" w:rsidRDefault="00737A63" w:rsidP="008B6E6C">
            <w:pPr>
              <w:spacing w:before="30" w:after="30"/>
              <w:ind w:left="57"/>
              <w:jc w:val="left"/>
              <w:rPr>
                <w:b/>
                <w:bCs/>
                <w:lang w:val="en-US"/>
              </w:rPr>
            </w:pPr>
            <w:r w:rsidRPr="00ED2695">
              <w:rPr>
                <w:b/>
                <w:bCs/>
                <w:lang w:val="en-US"/>
              </w:rPr>
              <w:t>BT</w:t>
            </w:r>
          </w:p>
        </w:tc>
        <w:tc>
          <w:tcPr>
            <w:tcW w:w="8220" w:type="dxa"/>
            <w:tcBorders>
              <w:top w:val="nil"/>
              <w:bottom w:val="nil"/>
            </w:tcBorders>
            <w:shd w:val="clear" w:color="auto" w:fill="auto"/>
          </w:tcPr>
          <w:p w:rsidR="00737A63" w:rsidRPr="00ED2695" w:rsidRDefault="00737A63" w:rsidP="008B6E6C">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737A63" w:rsidRPr="007D224F" w:rsidTr="008B6E6C">
        <w:tc>
          <w:tcPr>
            <w:tcW w:w="1140" w:type="dxa"/>
            <w:tcBorders>
              <w:top w:val="nil"/>
              <w:bottom w:val="nil"/>
            </w:tcBorders>
            <w:shd w:val="clear" w:color="auto" w:fill="auto"/>
          </w:tcPr>
          <w:p w:rsidR="00737A63" w:rsidRPr="0041667C" w:rsidRDefault="00737A63" w:rsidP="008B6E6C">
            <w:pPr>
              <w:spacing w:before="30" w:after="30"/>
              <w:ind w:left="57"/>
              <w:jc w:val="left"/>
              <w:rPr>
                <w:rFonts w:hAnsi="Times New Roman Bold"/>
                <w:b/>
                <w:bCs/>
                <w:lang w:val="fr-CH"/>
              </w:rPr>
            </w:pPr>
            <w:r w:rsidRPr="0041667C">
              <w:rPr>
                <w:rFonts w:hAnsi="Times New Roman Bold"/>
                <w:b/>
                <w:bCs/>
                <w:lang w:val="fr-CH"/>
              </w:rPr>
              <w:t>F</w:t>
            </w:r>
          </w:p>
        </w:tc>
        <w:tc>
          <w:tcPr>
            <w:tcW w:w="8220" w:type="dxa"/>
            <w:tcBorders>
              <w:top w:val="nil"/>
              <w:bottom w:val="nil"/>
            </w:tcBorders>
            <w:shd w:val="clear" w:color="auto" w:fill="auto"/>
          </w:tcPr>
          <w:p w:rsidR="00737A63" w:rsidRPr="0041667C" w:rsidRDefault="00737A63" w:rsidP="008B6E6C">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737A63" w:rsidRPr="0041667C" w:rsidTr="008B6E6C">
        <w:tc>
          <w:tcPr>
            <w:tcW w:w="1140" w:type="dxa"/>
            <w:tcBorders>
              <w:top w:val="nil"/>
              <w:bottom w:val="nil"/>
            </w:tcBorders>
            <w:shd w:val="clear" w:color="auto" w:fill="F3F3F3"/>
          </w:tcPr>
          <w:p w:rsidR="00737A63" w:rsidRPr="0041667C" w:rsidRDefault="00737A63" w:rsidP="008B6E6C">
            <w:pPr>
              <w:spacing w:before="30" w:after="30"/>
              <w:ind w:left="57"/>
              <w:jc w:val="left"/>
              <w:rPr>
                <w:rFonts w:ascii="Times New Roman Bold" w:hAnsi="Times New Roman Bold" w:cs="Times New Roman Bold"/>
                <w:bCs/>
                <w:color w:val="000080"/>
                <w:lang w:val="en-US"/>
              </w:rPr>
            </w:pPr>
            <w:r w:rsidRPr="0041667C">
              <w:rPr>
                <w:rFonts w:ascii="Times New Roman Bold" w:hAnsi="Times New Roman Bold" w:cs="Times New Roman Bold"/>
                <w:bCs/>
                <w:color w:val="000080"/>
                <w:lang w:val="en-US"/>
              </w:rPr>
              <w:t>M</w:t>
            </w:r>
          </w:p>
        </w:tc>
        <w:tc>
          <w:tcPr>
            <w:tcW w:w="8220" w:type="dxa"/>
            <w:tcBorders>
              <w:top w:val="nil"/>
              <w:bottom w:val="nil"/>
            </w:tcBorders>
            <w:shd w:val="clear" w:color="auto" w:fill="F3F3F3"/>
          </w:tcPr>
          <w:p w:rsidR="00737A63" w:rsidRPr="0041667C" w:rsidRDefault="00737A63" w:rsidP="008B6E6C">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737A63" w:rsidRPr="00036EE3" w:rsidTr="008B6E6C">
        <w:tc>
          <w:tcPr>
            <w:tcW w:w="1140" w:type="dxa"/>
            <w:tcBorders>
              <w:top w:val="nil"/>
            </w:tcBorders>
          </w:tcPr>
          <w:p w:rsidR="00737A63" w:rsidRPr="00036EE3" w:rsidRDefault="00737A63" w:rsidP="008B6E6C">
            <w:pPr>
              <w:spacing w:before="30" w:after="30"/>
              <w:ind w:left="57"/>
              <w:jc w:val="left"/>
              <w:rPr>
                <w:b/>
                <w:bCs/>
                <w:lang w:val="fr-CH"/>
              </w:rPr>
            </w:pPr>
            <w:r w:rsidRPr="00036EE3">
              <w:rPr>
                <w:b/>
                <w:bCs/>
                <w:lang w:val="fr-CH"/>
              </w:rPr>
              <w:t>P</w:t>
            </w:r>
          </w:p>
        </w:tc>
        <w:tc>
          <w:tcPr>
            <w:tcW w:w="8220" w:type="dxa"/>
            <w:tcBorders>
              <w:top w:val="nil"/>
            </w:tcBorders>
          </w:tcPr>
          <w:p w:rsidR="00737A63" w:rsidRPr="00036EE3" w:rsidRDefault="00737A63" w:rsidP="008B6E6C">
            <w:pPr>
              <w:spacing w:before="30" w:after="30"/>
              <w:jc w:val="left"/>
              <w:rPr>
                <w:lang w:val="fr-CH"/>
              </w:rPr>
            </w:pPr>
            <w:r w:rsidRPr="00036EE3">
              <w:rPr>
                <w:lang w:val="fr-CH"/>
              </w:rPr>
              <w:t>Radiowave propagation</w:t>
            </w:r>
          </w:p>
        </w:tc>
      </w:tr>
      <w:tr w:rsidR="00737A63" w:rsidRPr="00036EE3" w:rsidTr="008B6E6C">
        <w:tc>
          <w:tcPr>
            <w:tcW w:w="1140" w:type="dxa"/>
          </w:tcPr>
          <w:p w:rsidR="00737A63" w:rsidRPr="00036EE3" w:rsidRDefault="00737A63" w:rsidP="008B6E6C">
            <w:pPr>
              <w:spacing w:before="30" w:after="30"/>
              <w:ind w:left="57"/>
              <w:jc w:val="left"/>
              <w:rPr>
                <w:b/>
                <w:bCs/>
                <w:lang w:val="en-US"/>
              </w:rPr>
            </w:pPr>
            <w:r w:rsidRPr="00036EE3">
              <w:rPr>
                <w:b/>
                <w:bCs/>
                <w:lang w:val="en-US"/>
              </w:rPr>
              <w:t>RA</w:t>
            </w:r>
          </w:p>
        </w:tc>
        <w:tc>
          <w:tcPr>
            <w:tcW w:w="8220" w:type="dxa"/>
          </w:tcPr>
          <w:p w:rsidR="00737A63" w:rsidRPr="00036EE3" w:rsidRDefault="00737A63" w:rsidP="008B6E6C">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37A63" w:rsidRPr="00036EE3" w:rsidTr="008B6E6C">
        <w:tc>
          <w:tcPr>
            <w:tcW w:w="1140" w:type="dxa"/>
          </w:tcPr>
          <w:p w:rsidR="00737A63" w:rsidRPr="00036EE3" w:rsidRDefault="00737A63" w:rsidP="008B6E6C">
            <w:pPr>
              <w:spacing w:before="30" w:after="30"/>
              <w:ind w:left="57"/>
              <w:jc w:val="left"/>
              <w:rPr>
                <w:b/>
                <w:bCs/>
                <w:lang w:val="en-US"/>
              </w:rPr>
            </w:pPr>
            <w:r w:rsidRPr="00036EE3">
              <w:rPr>
                <w:b/>
                <w:bCs/>
                <w:lang w:val="en-US"/>
              </w:rPr>
              <w:t>RS</w:t>
            </w:r>
          </w:p>
        </w:tc>
        <w:tc>
          <w:tcPr>
            <w:tcW w:w="8220" w:type="dxa"/>
          </w:tcPr>
          <w:p w:rsidR="00737A63" w:rsidRPr="00036EE3" w:rsidRDefault="00737A63" w:rsidP="008B6E6C">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37A63" w:rsidRPr="00036EE3" w:rsidTr="008B6E6C">
        <w:tc>
          <w:tcPr>
            <w:tcW w:w="1140" w:type="dxa"/>
          </w:tcPr>
          <w:p w:rsidR="00737A63" w:rsidRPr="00036EE3" w:rsidRDefault="00737A63" w:rsidP="008B6E6C">
            <w:pPr>
              <w:spacing w:before="30" w:after="30"/>
              <w:ind w:left="57"/>
              <w:jc w:val="left"/>
              <w:rPr>
                <w:b/>
                <w:bCs/>
                <w:lang w:val="en-US"/>
              </w:rPr>
            </w:pPr>
            <w:r w:rsidRPr="00036EE3">
              <w:rPr>
                <w:b/>
                <w:bCs/>
                <w:lang w:val="en-US"/>
              </w:rPr>
              <w:t>S</w:t>
            </w:r>
          </w:p>
        </w:tc>
        <w:tc>
          <w:tcPr>
            <w:tcW w:w="8220" w:type="dxa"/>
          </w:tcPr>
          <w:p w:rsidR="00737A63" w:rsidRPr="00036EE3" w:rsidRDefault="00737A63" w:rsidP="008B6E6C">
            <w:pPr>
              <w:spacing w:before="30" w:after="30"/>
              <w:jc w:val="left"/>
              <w:rPr>
                <w:lang w:val="en-US"/>
              </w:rPr>
            </w:pPr>
            <w:r w:rsidRPr="00036EE3">
              <w:rPr>
                <w:lang w:val="en-US"/>
              </w:rPr>
              <w:t>Fixed-satellite service</w:t>
            </w:r>
          </w:p>
        </w:tc>
      </w:tr>
      <w:tr w:rsidR="00737A63" w:rsidRPr="00036EE3" w:rsidTr="008B6E6C">
        <w:tc>
          <w:tcPr>
            <w:tcW w:w="1140" w:type="dxa"/>
          </w:tcPr>
          <w:p w:rsidR="00737A63" w:rsidRPr="00036EE3" w:rsidRDefault="00737A63" w:rsidP="008B6E6C">
            <w:pPr>
              <w:spacing w:before="30" w:after="30"/>
              <w:ind w:left="57"/>
              <w:jc w:val="left"/>
              <w:rPr>
                <w:b/>
                <w:bCs/>
                <w:lang w:val="en-US"/>
              </w:rPr>
            </w:pPr>
            <w:r w:rsidRPr="00036EE3">
              <w:rPr>
                <w:b/>
                <w:bCs/>
                <w:lang w:val="en-US"/>
              </w:rPr>
              <w:t>SA</w:t>
            </w:r>
          </w:p>
        </w:tc>
        <w:tc>
          <w:tcPr>
            <w:tcW w:w="8220" w:type="dxa"/>
          </w:tcPr>
          <w:p w:rsidR="00737A63" w:rsidRPr="00036EE3" w:rsidRDefault="00737A63" w:rsidP="008B6E6C">
            <w:pPr>
              <w:spacing w:before="30" w:after="30"/>
              <w:jc w:val="left"/>
              <w:rPr>
                <w:lang w:val="en-US"/>
              </w:rPr>
            </w:pPr>
            <w:r w:rsidRPr="00036EE3">
              <w:rPr>
                <w:lang w:val="en-US"/>
              </w:rPr>
              <w:t>Space applications and meteorology</w:t>
            </w:r>
          </w:p>
        </w:tc>
      </w:tr>
      <w:tr w:rsidR="00737A63" w:rsidRPr="00AA34E7" w:rsidTr="008B6E6C">
        <w:tc>
          <w:tcPr>
            <w:tcW w:w="1140" w:type="dxa"/>
            <w:tcBorders>
              <w:bottom w:val="nil"/>
            </w:tcBorders>
          </w:tcPr>
          <w:p w:rsidR="00737A63" w:rsidRPr="00036EE3" w:rsidRDefault="00737A63" w:rsidP="008B6E6C">
            <w:pPr>
              <w:spacing w:before="30" w:after="30"/>
              <w:ind w:left="57"/>
              <w:jc w:val="left"/>
              <w:rPr>
                <w:b/>
                <w:bCs/>
                <w:lang w:val="en-US"/>
              </w:rPr>
            </w:pPr>
            <w:r w:rsidRPr="00036EE3">
              <w:rPr>
                <w:b/>
                <w:bCs/>
                <w:lang w:val="en-US"/>
              </w:rPr>
              <w:t>SF</w:t>
            </w:r>
          </w:p>
        </w:tc>
        <w:tc>
          <w:tcPr>
            <w:tcW w:w="8220" w:type="dxa"/>
            <w:tcBorders>
              <w:bottom w:val="nil"/>
            </w:tcBorders>
          </w:tcPr>
          <w:p w:rsidR="00737A63" w:rsidRPr="00036EE3" w:rsidRDefault="00737A63" w:rsidP="008B6E6C">
            <w:pPr>
              <w:spacing w:before="30" w:after="30"/>
              <w:jc w:val="left"/>
              <w:rPr>
                <w:lang w:val="en-US"/>
              </w:rPr>
            </w:pPr>
            <w:r w:rsidRPr="00036EE3">
              <w:rPr>
                <w:lang w:val="en-US"/>
              </w:rPr>
              <w:t>Frequency sharing and coordination between fixed-satellite and fixed service systems</w:t>
            </w:r>
          </w:p>
        </w:tc>
      </w:tr>
      <w:tr w:rsidR="00737A63" w:rsidRPr="00036EE3" w:rsidTr="008B6E6C">
        <w:tc>
          <w:tcPr>
            <w:tcW w:w="1140" w:type="dxa"/>
            <w:tcBorders>
              <w:top w:val="nil"/>
              <w:bottom w:val="nil"/>
            </w:tcBorders>
            <w:shd w:val="clear" w:color="auto" w:fill="auto"/>
          </w:tcPr>
          <w:p w:rsidR="00737A63" w:rsidRPr="000A4386" w:rsidRDefault="00737A63" w:rsidP="008B6E6C">
            <w:pPr>
              <w:spacing w:before="30" w:after="30"/>
              <w:ind w:left="57"/>
              <w:jc w:val="left"/>
              <w:rPr>
                <w:b/>
                <w:bCs/>
                <w:lang w:val="en-US"/>
              </w:rPr>
            </w:pPr>
            <w:r w:rsidRPr="000A4386">
              <w:rPr>
                <w:b/>
                <w:bCs/>
                <w:lang w:val="en-US"/>
              </w:rPr>
              <w:t>SM</w:t>
            </w:r>
          </w:p>
        </w:tc>
        <w:tc>
          <w:tcPr>
            <w:tcW w:w="8220" w:type="dxa"/>
            <w:tcBorders>
              <w:top w:val="nil"/>
              <w:bottom w:val="nil"/>
            </w:tcBorders>
            <w:shd w:val="clear" w:color="auto" w:fill="auto"/>
          </w:tcPr>
          <w:p w:rsidR="00737A63" w:rsidRPr="000A4386" w:rsidRDefault="00737A63" w:rsidP="008B6E6C">
            <w:pPr>
              <w:spacing w:before="30" w:after="30"/>
              <w:jc w:val="left"/>
              <w:rPr>
                <w:lang w:val="en-US"/>
              </w:rPr>
            </w:pPr>
            <w:r w:rsidRPr="000A4386">
              <w:rPr>
                <w:lang w:val="en-US"/>
              </w:rPr>
              <w:t>Spectrum management</w:t>
            </w:r>
          </w:p>
        </w:tc>
      </w:tr>
      <w:tr w:rsidR="00737A63" w:rsidRPr="00036EE3" w:rsidTr="008B6E6C">
        <w:tc>
          <w:tcPr>
            <w:tcW w:w="1140" w:type="dxa"/>
            <w:tcBorders>
              <w:top w:val="nil"/>
            </w:tcBorders>
          </w:tcPr>
          <w:p w:rsidR="00737A63" w:rsidRPr="00036EE3" w:rsidRDefault="00737A63" w:rsidP="008B6E6C">
            <w:pPr>
              <w:spacing w:before="30" w:after="30"/>
              <w:ind w:left="57"/>
              <w:jc w:val="left"/>
              <w:rPr>
                <w:b/>
                <w:bCs/>
                <w:lang w:val="en-US"/>
              </w:rPr>
            </w:pPr>
            <w:r w:rsidRPr="00036EE3">
              <w:rPr>
                <w:b/>
                <w:bCs/>
                <w:lang w:val="en-US"/>
              </w:rPr>
              <w:t>SNG</w:t>
            </w:r>
          </w:p>
        </w:tc>
        <w:tc>
          <w:tcPr>
            <w:tcW w:w="8220" w:type="dxa"/>
            <w:tcBorders>
              <w:top w:val="nil"/>
            </w:tcBorders>
          </w:tcPr>
          <w:p w:rsidR="00737A63" w:rsidRPr="00036EE3" w:rsidRDefault="00737A63" w:rsidP="008B6E6C">
            <w:pPr>
              <w:spacing w:before="30" w:after="30"/>
              <w:jc w:val="left"/>
              <w:rPr>
                <w:lang w:val="en-US"/>
              </w:rPr>
            </w:pPr>
            <w:r w:rsidRPr="00036EE3">
              <w:rPr>
                <w:lang w:val="en-US"/>
              </w:rPr>
              <w:t>Satellite news gathering</w:t>
            </w:r>
          </w:p>
        </w:tc>
      </w:tr>
      <w:tr w:rsidR="00737A63" w:rsidRPr="00AA34E7" w:rsidTr="008B6E6C">
        <w:tc>
          <w:tcPr>
            <w:tcW w:w="1140" w:type="dxa"/>
          </w:tcPr>
          <w:p w:rsidR="00737A63" w:rsidRPr="00036EE3" w:rsidRDefault="00737A63" w:rsidP="008B6E6C">
            <w:pPr>
              <w:spacing w:before="30" w:after="30"/>
              <w:ind w:left="57"/>
              <w:jc w:val="left"/>
              <w:rPr>
                <w:b/>
                <w:bCs/>
                <w:lang w:val="en-US"/>
              </w:rPr>
            </w:pPr>
            <w:r w:rsidRPr="00036EE3">
              <w:rPr>
                <w:b/>
                <w:bCs/>
                <w:lang w:val="en-US"/>
              </w:rPr>
              <w:t>TF</w:t>
            </w:r>
          </w:p>
        </w:tc>
        <w:tc>
          <w:tcPr>
            <w:tcW w:w="8220" w:type="dxa"/>
          </w:tcPr>
          <w:p w:rsidR="00737A63" w:rsidRPr="00036EE3" w:rsidRDefault="00737A63" w:rsidP="008B6E6C">
            <w:pPr>
              <w:spacing w:before="30" w:after="30"/>
              <w:jc w:val="left"/>
              <w:rPr>
                <w:lang w:val="en-US"/>
              </w:rPr>
            </w:pPr>
            <w:r w:rsidRPr="00036EE3">
              <w:rPr>
                <w:lang w:val="en-US"/>
              </w:rPr>
              <w:t>Time signals and frequency standards emissions</w:t>
            </w:r>
          </w:p>
        </w:tc>
      </w:tr>
      <w:tr w:rsidR="00737A63" w:rsidRPr="00036EE3" w:rsidTr="008B6E6C">
        <w:tc>
          <w:tcPr>
            <w:tcW w:w="1140" w:type="dxa"/>
          </w:tcPr>
          <w:p w:rsidR="00737A63" w:rsidRPr="00036EE3" w:rsidRDefault="00737A63" w:rsidP="008B6E6C">
            <w:pPr>
              <w:spacing w:before="30" w:after="30"/>
              <w:ind w:left="57"/>
              <w:jc w:val="left"/>
              <w:rPr>
                <w:b/>
                <w:bCs/>
                <w:lang w:val="en-US"/>
              </w:rPr>
            </w:pPr>
            <w:r w:rsidRPr="00036EE3">
              <w:rPr>
                <w:b/>
                <w:bCs/>
                <w:lang w:val="en-US"/>
              </w:rPr>
              <w:t>V</w:t>
            </w:r>
          </w:p>
        </w:tc>
        <w:tc>
          <w:tcPr>
            <w:tcW w:w="8220" w:type="dxa"/>
          </w:tcPr>
          <w:p w:rsidR="00737A63" w:rsidRPr="00036EE3" w:rsidRDefault="00737A63" w:rsidP="008B6E6C">
            <w:pPr>
              <w:spacing w:before="30" w:after="180"/>
              <w:jc w:val="left"/>
              <w:rPr>
                <w:lang w:val="en-US"/>
              </w:rPr>
            </w:pPr>
            <w:r w:rsidRPr="00036EE3">
              <w:rPr>
                <w:lang w:val="en-US"/>
              </w:rPr>
              <w:t>Vocabulary and related subjects</w:t>
            </w:r>
          </w:p>
        </w:tc>
      </w:tr>
    </w:tbl>
    <w:p w:rsidR="00737A63" w:rsidRPr="00036EE3" w:rsidRDefault="00737A63" w:rsidP="00737A63">
      <w:pPr>
        <w:spacing w:before="30" w:after="30"/>
        <w:jc w:val="center"/>
        <w:rPr>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37A63" w:rsidTr="008B6E6C">
        <w:tc>
          <w:tcPr>
            <w:tcW w:w="720" w:type="dxa"/>
          </w:tcPr>
          <w:p w:rsidR="00737A63" w:rsidRDefault="00737A63" w:rsidP="008B6E6C">
            <w:pPr>
              <w:jc w:val="center"/>
              <w:rPr>
                <w:sz w:val="22"/>
                <w:lang w:val="en-US"/>
              </w:rPr>
            </w:pPr>
          </w:p>
        </w:tc>
      </w:tr>
    </w:tbl>
    <w:p w:rsidR="00737A63" w:rsidRPr="00036EE3" w:rsidRDefault="00737A63" w:rsidP="00737A6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37A63" w:rsidRPr="00AA34E7" w:rsidTr="008B6E6C">
        <w:tc>
          <w:tcPr>
            <w:tcW w:w="9360" w:type="dxa"/>
          </w:tcPr>
          <w:p w:rsidR="00737A63" w:rsidRPr="002F5199" w:rsidRDefault="00737A63" w:rsidP="008B6E6C">
            <w:pPr>
              <w:spacing w:after="120"/>
              <w:jc w:val="center"/>
              <w:rPr>
                <w:lang w:val="en-US"/>
              </w:rPr>
            </w:pPr>
            <w:r w:rsidRPr="002F5199">
              <w:rPr>
                <w:b/>
                <w:bCs/>
                <w:i/>
                <w:iCs/>
                <w:lang w:val="en-US"/>
              </w:rPr>
              <w:t>Note</w:t>
            </w:r>
            <w:r w:rsidRPr="002F5199">
              <w:rPr>
                <w:lang w:val="en-US"/>
              </w:rPr>
              <w:t xml:space="preserve">: </w:t>
            </w:r>
            <w:r w:rsidRPr="002F5199">
              <w:rPr>
                <w:i/>
                <w:iCs/>
                <w:lang w:val="en-US"/>
              </w:rPr>
              <w:t>This ITU-R Recommendation was approved in English under the procedure detailed in Resolution ITU-R 1.</w:t>
            </w:r>
          </w:p>
        </w:tc>
      </w:tr>
    </w:tbl>
    <w:p w:rsidR="00737A63" w:rsidRDefault="00737A63" w:rsidP="00737A63">
      <w:pPr>
        <w:spacing w:before="0"/>
        <w:jc w:val="center"/>
        <w:rPr>
          <w:sz w:val="22"/>
          <w:lang w:val="en-US"/>
        </w:rPr>
      </w:pPr>
    </w:p>
    <w:p w:rsidR="00737A63" w:rsidRDefault="00737A63" w:rsidP="00737A63">
      <w:pPr>
        <w:spacing w:before="0"/>
        <w:jc w:val="center"/>
        <w:rPr>
          <w:sz w:val="22"/>
          <w:lang w:val="en-US"/>
        </w:rPr>
      </w:pPr>
    </w:p>
    <w:p w:rsidR="00737A63" w:rsidRPr="002F5199" w:rsidRDefault="00737A63" w:rsidP="00737A63">
      <w:pPr>
        <w:spacing w:before="0"/>
        <w:jc w:val="right"/>
        <w:rPr>
          <w:i/>
          <w:iCs/>
          <w:lang w:val="en-US"/>
        </w:rPr>
      </w:pPr>
      <w:r w:rsidRPr="002F5199">
        <w:rPr>
          <w:i/>
          <w:iCs/>
          <w:lang w:val="en-US"/>
        </w:rPr>
        <w:t>Electronic Publication</w:t>
      </w:r>
    </w:p>
    <w:p w:rsidR="00737A63" w:rsidRPr="002F5199" w:rsidRDefault="00737A63" w:rsidP="00737A63">
      <w:pPr>
        <w:spacing w:before="0"/>
        <w:jc w:val="right"/>
        <w:rPr>
          <w:lang w:val="en-US"/>
        </w:rPr>
      </w:pPr>
      <w:smartTag w:uri="urn:schemas-microsoft-com:office:smarttags" w:element="State">
        <w:smartTag w:uri="urn:schemas-microsoft-com:office:smarttags" w:element="place">
          <w:r w:rsidRPr="002F5199">
            <w:rPr>
              <w:lang w:val="en-US"/>
            </w:rPr>
            <w:t>Geneva</w:t>
          </w:r>
        </w:smartTag>
      </w:smartTag>
      <w:r w:rsidRPr="002F5199">
        <w:rPr>
          <w:lang w:val="en-US"/>
        </w:rPr>
        <w:t>, 20</w:t>
      </w:r>
      <w:r>
        <w:rPr>
          <w:lang w:val="en-US"/>
        </w:rPr>
        <w:t>11</w:t>
      </w:r>
    </w:p>
    <w:p w:rsidR="00737A63" w:rsidRPr="00470E28" w:rsidRDefault="00737A63" w:rsidP="00737A63">
      <w:pPr>
        <w:jc w:val="center"/>
        <w:rPr>
          <w:lang w:val="en-US"/>
        </w:rPr>
      </w:pPr>
      <w:r w:rsidRPr="00470E28">
        <w:rPr>
          <w:lang w:val="en-US"/>
        </w:rPr>
        <w:sym w:font="Symbol" w:char="F0E3"/>
      </w:r>
      <w:r w:rsidRPr="00470E28">
        <w:rPr>
          <w:lang w:val="en-US"/>
        </w:rPr>
        <w:t xml:space="preserve"> ITU </w:t>
      </w:r>
      <w:bookmarkStart w:id="1" w:name="iiannee"/>
      <w:bookmarkEnd w:id="1"/>
      <w:r w:rsidRPr="00470E28">
        <w:rPr>
          <w:lang w:val="en-US"/>
        </w:rPr>
        <w:t>20</w:t>
      </w:r>
      <w:r>
        <w:rPr>
          <w:lang w:val="en-US"/>
        </w:rPr>
        <w:t>11</w:t>
      </w:r>
    </w:p>
    <w:p w:rsidR="00737A63" w:rsidRPr="00470E28" w:rsidRDefault="00737A63" w:rsidP="00737A63">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37A63" w:rsidRDefault="00737A63" w:rsidP="00737A63">
      <w:pPr>
        <w:spacing w:before="160"/>
        <w:rPr>
          <w:i/>
          <w:lang w:val="en-US"/>
        </w:rPr>
        <w:sectPr w:rsidR="00737A63"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220BE7" w:rsidRPr="00737A63" w:rsidRDefault="00220BE7" w:rsidP="00737A63">
      <w:pPr>
        <w:pStyle w:val="Rec"/>
        <w:spacing w:before="0"/>
        <w:rPr>
          <w:lang w:val="en-US"/>
        </w:rPr>
      </w:pPr>
      <w:r w:rsidRPr="00737A63">
        <w:rPr>
          <w:lang w:val="en-US"/>
        </w:rPr>
        <w:lastRenderedPageBreak/>
        <w:t xml:space="preserve">RECOMMENDATION  </w:t>
      </w:r>
      <w:r w:rsidRPr="00737A63">
        <w:rPr>
          <w:rStyle w:val="href"/>
        </w:rPr>
        <w:t>ITU-R  M.1456</w:t>
      </w:r>
      <w:r w:rsidRPr="00737A63">
        <w:rPr>
          <w:rStyle w:val="FootnoteReference"/>
          <w:lang w:val="en-US"/>
        </w:rPr>
        <w:footnoteReference w:customMarkFollows="1" w:id="1"/>
        <w:t>*</w:t>
      </w:r>
      <w:r w:rsidR="00DE2073" w:rsidRPr="00737A63">
        <w:rPr>
          <w:position w:val="8"/>
          <w:sz w:val="16"/>
          <w:lang w:val="en-US"/>
        </w:rPr>
        <w:t>,</w:t>
      </w:r>
      <w:r w:rsidR="00737A63" w:rsidRPr="00737A63">
        <w:rPr>
          <w:position w:val="8"/>
          <w:sz w:val="16"/>
          <w:lang w:val="en-US"/>
        </w:rPr>
        <w:t xml:space="preserve"> </w:t>
      </w:r>
      <w:r w:rsidR="00737A63" w:rsidRPr="00737A63">
        <w:rPr>
          <w:rStyle w:val="FootnoteReference"/>
          <w:lang w:val="en-US"/>
        </w:rPr>
        <w:footnoteReference w:customMarkFollows="1" w:id="2"/>
        <w:t>**</w:t>
      </w:r>
    </w:p>
    <w:p w:rsidR="00220BE7" w:rsidRDefault="00220BE7" w:rsidP="00737A63">
      <w:pPr>
        <w:pStyle w:val="RecTitle"/>
        <w:rPr>
          <w:lang w:val="en-US"/>
        </w:rPr>
      </w:pPr>
      <w:bookmarkStart w:id="2" w:name="recibido"/>
      <w:bookmarkEnd w:id="2"/>
      <w:r>
        <w:t>MINIMUM  PERFORMANCE  CHARACTERISTICS  AND  OPERATIONAL  CONDITIONS</w:t>
      </w:r>
      <w:r>
        <w:br/>
        <w:t>FOR  HIGH  ALTITUDE  PLATFORM  STATIONS  PROVIDING  IMT-2000</w:t>
      </w:r>
      <w:r>
        <w:br/>
        <w:t xml:space="preserve">IN  THE  BANDS  1 885-1 980 </w:t>
      </w:r>
      <w:r>
        <w:rPr>
          <w:lang w:val="en-US"/>
        </w:rPr>
        <w:t>MHz</w:t>
      </w:r>
      <w:r>
        <w:t xml:space="preserve">,  2 010-2 025 </w:t>
      </w:r>
      <w:r>
        <w:rPr>
          <w:lang w:val="en-US"/>
        </w:rPr>
        <w:t>MHz</w:t>
      </w:r>
      <w:r>
        <w:t xml:space="preserve">  AND  2 110-2 170 </w:t>
      </w:r>
      <w:r>
        <w:rPr>
          <w:lang w:val="en-US"/>
        </w:rPr>
        <w:t>MHz</w:t>
      </w:r>
      <w:r>
        <w:rPr>
          <w:lang w:val="en-US"/>
        </w:rPr>
        <w:br/>
      </w:r>
      <w:r>
        <w:t xml:space="preserve">IN  REGIONS  1  AND  3  AND  1 885-1 980 </w:t>
      </w:r>
      <w:r>
        <w:rPr>
          <w:lang w:val="en-US"/>
        </w:rPr>
        <w:t>MHz</w:t>
      </w:r>
      <w:r>
        <w:rPr>
          <w:lang w:val="en-US"/>
        </w:rPr>
        <w:br/>
      </w:r>
      <w:r>
        <w:t xml:space="preserve">AND  2 110-2 160 </w:t>
      </w:r>
      <w:r>
        <w:rPr>
          <w:lang w:val="en-US"/>
        </w:rPr>
        <w:t>MHz</w:t>
      </w:r>
      <w:r>
        <w:t xml:space="preserve">  IN  REGION  2</w:t>
      </w:r>
      <w:r w:rsidR="00737A63">
        <w:rPr>
          <w:rStyle w:val="FootnoteReference"/>
        </w:rPr>
        <w:footnoteReference w:customMarkFollows="1" w:id="3"/>
        <w:t>***</w:t>
      </w:r>
    </w:p>
    <w:p w:rsidR="00220BE7" w:rsidRDefault="00220BE7">
      <w:pPr>
        <w:rPr>
          <w:lang w:val="en-US"/>
        </w:rPr>
      </w:pPr>
    </w:p>
    <w:p w:rsidR="00220BE7" w:rsidRDefault="00220BE7">
      <w:pPr>
        <w:pStyle w:val="RecTitleDate"/>
        <w:rPr>
          <w:lang w:val="fr-CH"/>
        </w:rPr>
      </w:pPr>
      <w:r>
        <w:rPr>
          <w:lang w:val="fr-CH"/>
        </w:rPr>
        <w:t>(2000)</w:t>
      </w:r>
    </w:p>
    <w:p w:rsidR="00DE2073" w:rsidRDefault="00DE2073" w:rsidP="00DE2073">
      <w:pPr>
        <w:pStyle w:val="headfoot"/>
        <w:rPr>
          <w:lang w:val="fr-CH"/>
        </w:rPr>
      </w:pPr>
    </w:p>
    <w:p w:rsidR="00DE2073" w:rsidRDefault="00DE2073" w:rsidP="00737A63">
      <w:pPr>
        <w:pStyle w:val="Tabletext0"/>
        <w:rPr>
          <w:lang w:val="en-US"/>
        </w:rPr>
      </w:pPr>
    </w:p>
    <w:p w:rsidR="00DE2073" w:rsidRPr="00737A63" w:rsidRDefault="00DE2073" w:rsidP="00737A63">
      <w:pPr>
        <w:pStyle w:val="Tabletext0"/>
        <w:rPr>
          <w:b/>
          <w:bCs/>
          <w:sz w:val="20"/>
          <w:lang w:val="en-US"/>
        </w:rPr>
      </w:pPr>
      <w:r w:rsidRPr="00737A63">
        <w:rPr>
          <w:b/>
          <w:bCs/>
          <w:sz w:val="20"/>
          <w:lang w:val="en-US"/>
        </w:rPr>
        <w:t>Scope</w:t>
      </w:r>
    </w:p>
    <w:p w:rsidR="00DE2073" w:rsidRPr="00737A63" w:rsidRDefault="00DE2073" w:rsidP="00737A63">
      <w:pPr>
        <w:pStyle w:val="Tabletext0"/>
        <w:rPr>
          <w:sz w:val="20"/>
          <w:lang w:val="en-US" w:eastAsia="ko-KR"/>
        </w:rPr>
      </w:pPr>
      <w:r w:rsidRPr="00737A63">
        <w:rPr>
          <w:sz w:val="20"/>
          <w:lang w:val="en-US"/>
        </w:rPr>
        <w:t xml:space="preserve">This Recommendation addresses minimum performance characteristics and operational conditions for </w:t>
      </w:r>
      <w:r w:rsidRPr="00737A63">
        <w:rPr>
          <w:sz w:val="20"/>
          <w:lang w:val="en-US" w:eastAsia="ko-KR"/>
        </w:rPr>
        <w:t xml:space="preserve">high-altitude platform stations (HAPS) operating as IMT-2000 base stations in frequency bands around 2 GHz identified </w:t>
      </w:r>
      <w:r w:rsidRPr="00737A63">
        <w:rPr>
          <w:sz w:val="20"/>
          <w:lang w:val="en-US"/>
        </w:rPr>
        <w:t>for use, on a worldwide basis, by administrations wishing to implement IMT-2000</w:t>
      </w:r>
      <w:r w:rsidRPr="00737A63">
        <w:rPr>
          <w:sz w:val="20"/>
          <w:lang w:val="en-US" w:eastAsia="ko-KR"/>
        </w:rPr>
        <w:t>.</w:t>
      </w:r>
    </w:p>
    <w:p w:rsidR="00DE2073" w:rsidRPr="00737A63" w:rsidRDefault="00DE2073" w:rsidP="00737A63">
      <w:pPr>
        <w:pStyle w:val="Tabletext0"/>
        <w:rPr>
          <w:sz w:val="20"/>
          <w:lang w:val="en-US" w:eastAsia="ko-KR"/>
        </w:rPr>
      </w:pPr>
      <w:r w:rsidRPr="00737A63">
        <w:rPr>
          <w:sz w:val="20"/>
          <w:lang w:val="en-US" w:eastAsia="ko-KR"/>
        </w:rPr>
        <w:t>A methodology to assess the level of co-channel interference from HAPS operating as IMT</w:t>
      </w:r>
      <w:r w:rsidRPr="00737A63">
        <w:rPr>
          <w:sz w:val="20"/>
          <w:lang w:val="en-US" w:eastAsia="ko-KR"/>
        </w:rPr>
        <w:noBreakHyphen/>
      </w:r>
      <w:r w:rsidR="00737A63">
        <w:rPr>
          <w:sz w:val="20"/>
          <w:lang w:val="en-US" w:eastAsia="ko-KR"/>
        </w:rPr>
        <w:t>2</w:t>
      </w:r>
      <w:r w:rsidRPr="00737A63">
        <w:rPr>
          <w:sz w:val="20"/>
          <w:lang w:val="en-US" w:eastAsia="ko-KR"/>
        </w:rPr>
        <w:t>000 base stations is described and performance criteria are recommended for HAPS antenna patterns to provide co</w:t>
      </w:r>
      <w:r w:rsidRPr="00737A63">
        <w:rPr>
          <w:sz w:val="20"/>
          <w:lang w:val="en-US" w:eastAsia="ko-KR"/>
        </w:rPr>
        <w:noBreakHyphen/>
        <w:t>channel protection to other stations.  The Recommendation contains pfd limits for HAPS base stations with reference to both co</w:t>
      </w:r>
      <w:r w:rsidRPr="00737A63">
        <w:rPr>
          <w:sz w:val="20"/>
          <w:lang w:val="en-US" w:eastAsia="ko-KR"/>
        </w:rPr>
        <w:noBreakHyphen/>
      </w:r>
      <w:r w:rsidR="00737A63">
        <w:rPr>
          <w:sz w:val="20"/>
          <w:lang w:val="en-US" w:eastAsia="ko-KR"/>
        </w:rPr>
        <w:t>c</w:t>
      </w:r>
      <w:r w:rsidRPr="00737A63">
        <w:rPr>
          <w:sz w:val="20"/>
          <w:lang w:val="en-US" w:eastAsia="ko-KR"/>
        </w:rPr>
        <w:t>hannel and out-of-band interference.</w:t>
      </w:r>
    </w:p>
    <w:p w:rsidR="00DE2073" w:rsidRPr="00DE2073" w:rsidRDefault="00DE2073" w:rsidP="00DE2073">
      <w:pPr>
        <w:pStyle w:val="headfoot"/>
        <w:rPr>
          <w:lang w:val="en-US"/>
        </w:rPr>
      </w:pPr>
    </w:p>
    <w:p w:rsidR="00220BE7" w:rsidRDefault="00220BE7">
      <w:pPr>
        <w:pStyle w:val="headfoot"/>
        <w:rPr>
          <w:lang w:val="fr-CH"/>
        </w:rPr>
      </w:pPr>
      <w:r>
        <w:rPr>
          <w:lang w:val="fr-CH"/>
        </w:rPr>
        <w:t>Rec. ITU-R M.1456</w:t>
      </w:r>
    </w:p>
    <w:p w:rsidR="00220BE7" w:rsidRDefault="00220BE7">
      <w:pPr>
        <w:pStyle w:val="Normalaftertitle"/>
        <w:rPr>
          <w:lang w:val="en-US"/>
        </w:rPr>
      </w:pPr>
      <w:r>
        <w:t>The ITU Radiocommunication Assembly,</w:t>
      </w:r>
    </w:p>
    <w:p w:rsidR="00220BE7" w:rsidRDefault="00220BE7">
      <w:pPr>
        <w:pStyle w:val="call"/>
        <w:rPr>
          <w:lang w:val="en-US"/>
        </w:rPr>
      </w:pPr>
      <w:r>
        <w:t>considering</w:t>
      </w:r>
    </w:p>
    <w:p w:rsidR="00220BE7" w:rsidRDefault="00220BE7" w:rsidP="009F7249">
      <w:r>
        <w:t>a)</w:t>
      </w:r>
      <w:r>
        <w:tab/>
        <w:t>that high altitude platform stations (HAPS)</w:t>
      </w:r>
      <w:r w:rsidR="009F7249">
        <w:rPr>
          <w:rStyle w:val="FootnoteReference"/>
        </w:rPr>
        <w:footnoteReference w:customMarkFollows="1" w:id="4"/>
        <w:t>(1)</w:t>
      </w:r>
      <w:r>
        <w:t xml:space="preserve"> have the possibility of delivering IMT-2000 mobile and fixed wireless access using the proposed IMT-2000 terrestrial component radio transmission technologies and protocols;</w:t>
      </w:r>
    </w:p>
    <w:p w:rsidR="00220BE7" w:rsidRDefault="00220BE7">
      <w:pPr>
        <w:tabs>
          <w:tab w:val="left" w:pos="0"/>
          <w:tab w:val="left" w:pos="851"/>
        </w:tabs>
      </w:pPr>
      <w:r>
        <w:t>b)</w:t>
      </w:r>
      <w:r>
        <w:tab/>
        <w:t>that each HAPS uses a phased array antenna to project hundreds of spot beams to provide telecommunication services to coverage areas that range in size from metropolitan to wider areas;</w:t>
      </w:r>
    </w:p>
    <w:p w:rsidR="00220BE7" w:rsidRDefault="00220BE7">
      <w:r>
        <w:t>c)</w:t>
      </w:r>
      <w:r>
        <w:tab/>
        <w:t>that for non-HAPS terrestrial systems, such as tower-based systems, the illumination of areas outside the intended operational area is dependent on the characteristics of the tower-mounted antenna and the propagation attenuation. For HAPS, the dependence is more on the characteristics of the HAPS mounted antenna especially the side-lobe performance and pointing accuracy. As the coverage area of a HAPS increases the antenna performance becomes more demanding;</w:t>
      </w:r>
    </w:p>
    <w:p w:rsidR="00220BE7" w:rsidRDefault="00220BE7">
      <w:pPr>
        <w:tabs>
          <w:tab w:val="left" w:pos="720"/>
        </w:tabs>
      </w:pPr>
      <w:r>
        <w:t>d)</w:t>
      </w:r>
      <w:r>
        <w:tab/>
        <w:t>that the characteristics of co-channel sharing and coordination between HAPS systems and other IMT-2000 systems are determined by the performance of the HAPS antennas, the IMT-2000 radio interface used by the HAPS and the HAPS coverage area;</w:t>
      </w:r>
    </w:p>
    <w:p w:rsidR="00220BE7" w:rsidRDefault="00220BE7">
      <w:r>
        <w:t>e)</w:t>
      </w:r>
      <w:r>
        <w:rPr>
          <w:b/>
        </w:rPr>
        <w:tab/>
      </w:r>
      <w:r>
        <w:t>that the levels of out-of-band interference from HAPS into receiving mobile earth stations, fixed stations, space science stations and mobile stations operating in adjacent channels can be reduced by the HAPS use of filters or guardbands to limit out-of-band (OoB) emission levels;</w:t>
      </w:r>
    </w:p>
    <w:p w:rsidR="00220BE7" w:rsidRDefault="00220BE7">
      <w:r>
        <w:lastRenderedPageBreak/>
        <w:t>f)</w:t>
      </w:r>
      <w:r>
        <w:tab/>
        <w:t>that the bands 1</w:t>
      </w:r>
      <w:r>
        <w:rPr>
          <w:rFonts w:ascii="Tms Rmn" w:hAnsi="Tms Rmn"/>
          <w:sz w:val="12"/>
        </w:rPr>
        <w:t> </w:t>
      </w:r>
      <w:r>
        <w:t>885-1</w:t>
      </w:r>
      <w:r>
        <w:rPr>
          <w:rFonts w:ascii="Tms Rmn" w:hAnsi="Tms Rmn"/>
          <w:sz w:val="12"/>
        </w:rPr>
        <w:t> </w:t>
      </w:r>
      <w:r>
        <w:t>980 MHz, 2</w:t>
      </w:r>
      <w:r>
        <w:rPr>
          <w:rFonts w:ascii="Tms Rmn" w:hAnsi="Tms Rmn"/>
          <w:sz w:val="12"/>
        </w:rPr>
        <w:t> </w:t>
      </w:r>
      <w:r>
        <w:t>010-2</w:t>
      </w:r>
      <w:r>
        <w:rPr>
          <w:rFonts w:ascii="Tms Rmn" w:hAnsi="Tms Rmn"/>
          <w:sz w:val="12"/>
        </w:rPr>
        <w:t> </w:t>
      </w:r>
      <w:r>
        <w:t>025 MHz and 2</w:t>
      </w:r>
      <w:r>
        <w:rPr>
          <w:rFonts w:ascii="Tms Rmn" w:hAnsi="Tms Rmn"/>
          <w:sz w:val="12"/>
        </w:rPr>
        <w:t> </w:t>
      </w:r>
      <w:r>
        <w:t>110-2</w:t>
      </w:r>
      <w:r>
        <w:rPr>
          <w:rFonts w:ascii="Tms Rmn" w:hAnsi="Tms Rmn"/>
          <w:sz w:val="12"/>
        </w:rPr>
        <w:t> </w:t>
      </w:r>
      <w:r>
        <w:t>170 MHz are allocated on a primary basis worldwide to the fixed service and the mobile service;</w:t>
      </w:r>
    </w:p>
    <w:p w:rsidR="00220BE7" w:rsidRDefault="00220BE7">
      <w:r>
        <w:t>g)</w:t>
      </w:r>
      <w:r>
        <w:tab/>
        <w:t>that the bands 1</w:t>
      </w:r>
      <w:r>
        <w:rPr>
          <w:rFonts w:ascii="Tms Rmn" w:hAnsi="Tms Rmn"/>
          <w:sz w:val="12"/>
        </w:rPr>
        <w:t> </w:t>
      </w:r>
      <w:r>
        <w:t>980-2</w:t>
      </w:r>
      <w:r>
        <w:rPr>
          <w:rFonts w:ascii="Tms Rmn" w:hAnsi="Tms Rmn"/>
          <w:sz w:val="12"/>
        </w:rPr>
        <w:t> </w:t>
      </w:r>
      <w:r>
        <w:t>010 MHz and 2</w:t>
      </w:r>
      <w:r>
        <w:rPr>
          <w:rFonts w:ascii="Tms Rmn" w:hAnsi="Tms Rmn"/>
          <w:sz w:val="12"/>
        </w:rPr>
        <w:t> </w:t>
      </w:r>
      <w:r>
        <w:t>170-2</w:t>
      </w:r>
      <w:r>
        <w:rPr>
          <w:rFonts w:ascii="Tms Rmn" w:hAnsi="Tms Rmn"/>
          <w:sz w:val="12"/>
        </w:rPr>
        <w:t> </w:t>
      </w:r>
      <w:r>
        <w:t>200 MHz are allocated on a primary basis worldwide to the MSS, that the band 2</w:t>
      </w:r>
      <w:r>
        <w:rPr>
          <w:rFonts w:ascii="Tms Rmn" w:hAnsi="Tms Rmn"/>
          <w:sz w:val="12"/>
        </w:rPr>
        <w:t> </w:t>
      </w:r>
      <w:r>
        <w:t>160-2</w:t>
      </w:r>
      <w:r>
        <w:rPr>
          <w:rFonts w:ascii="Tms Rmn" w:hAnsi="Tms Rmn"/>
          <w:sz w:val="12"/>
        </w:rPr>
        <w:t> </w:t>
      </w:r>
      <w:r>
        <w:t>170 MHz is allocated on a primary basis to the MSS in Region 2 and that the band 2</w:t>
      </w:r>
      <w:r>
        <w:rPr>
          <w:rFonts w:ascii="Tms Rmn" w:hAnsi="Tms Rmn"/>
          <w:sz w:val="12"/>
        </w:rPr>
        <w:t> </w:t>
      </w:r>
      <w:r>
        <w:t>010</w:t>
      </w:r>
      <w:r>
        <w:noBreakHyphen/>
        <w:t>2</w:t>
      </w:r>
      <w:r>
        <w:rPr>
          <w:rFonts w:ascii="Tms Rmn" w:hAnsi="Tms Rmn"/>
          <w:sz w:val="12"/>
        </w:rPr>
        <w:t> </w:t>
      </w:r>
      <w:r>
        <w:t>025 MHz is also allocated on a co-primary basis in Region 2 to the MSS (Earth-to-space);</w:t>
      </w:r>
    </w:p>
    <w:p w:rsidR="00220BE7" w:rsidRDefault="00220BE7">
      <w:r>
        <w:t>h)</w:t>
      </w:r>
      <w:r>
        <w:tab/>
        <w:t>that RR No. S5.388 states that “the bands 1</w:t>
      </w:r>
      <w:r>
        <w:rPr>
          <w:rFonts w:ascii="Tms Rmn" w:hAnsi="Tms Rmn"/>
          <w:sz w:val="12"/>
        </w:rPr>
        <w:t> </w:t>
      </w:r>
      <w:r>
        <w:t>885-2</w:t>
      </w:r>
      <w:r>
        <w:rPr>
          <w:rFonts w:ascii="Tms Rmn" w:hAnsi="Tms Rmn"/>
          <w:sz w:val="12"/>
        </w:rPr>
        <w:t> </w:t>
      </w:r>
      <w:r>
        <w:t>025 MHz and 2</w:t>
      </w:r>
      <w:r>
        <w:rPr>
          <w:rFonts w:ascii="Tms Rmn" w:hAnsi="Tms Rmn"/>
          <w:sz w:val="12"/>
        </w:rPr>
        <w:t> </w:t>
      </w:r>
      <w:r>
        <w:t>110-2</w:t>
      </w:r>
      <w:r>
        <w:rPr>
          <w:rFonts w:ascii="Tms Rmn" w:hAnsi="Tms Rmn"/>
          <w:sz w:val="12"/>
        </w:rPr>
        <w:t> </w:t>
      </w:r>
      <w:r>
        <w:t xml:space="preserve">200 MHz are intended for use, on a worldwide basis, by administrations wishing to implement </w:t>
      </w:r>
      <w:r>
        <w:rPr>
          <w:lang w:val="en-US"/>
        </w:rPr>
        <w:t>International Mobile Telecommunications-2000 (IMT-2000)</w:t>
      </w:r>
      <w:r>
        <w:t xml:space="preserve">. Such use does not preclude the use of these bands by other services to which they are allocated. The bands should be made available for IMT-2000 in accordance with Resolution </w:t>
      </w:r>
      <w:r>
        <w:rPr>
          <w:b/>
          <w:bCs/>
        </w:rPr>
        <w:t>212 (Rev.WRC-97)</w:t>
      </w:r>
      <w:r>
        <w:t>”;</w:t>
      </w:r>
    </w:p>
    <w:p w:rsidR="00220BE7" w:rsidRDefault="00220BE7">
      <w:r>
        <w:t>j)</w:t>
      </w:r>
      <w:r>
        <w:tab/>
        <w:t>that, however, administrations may use non-IMT-2000 systems in the mobile service in these bands,</w:t>
      </w:r>
    </w:p>
    <w:p w:rsidR="00220BE7" w:rsidRDefault="00220BE7"/>
    <w:p w:rsidR="00220BE7" w:rsidRDefault="00220BE7"/>
    <w:p w:rsidR="00220BE7" w:rsidRDefault="00220BE7">
      <w:pPr>
        <w:pStyle w:val="call"/>
        <w:spacing w:line="0" w:lineRule="atLeast"/>
        <w:rPr>
          <w:lang w:val="en-US"/>
        </w:rPr>
      </w:pPr>
      <w:r>
        <w:rPr>
          <w:lang w:val="en-US"/>
        </w:rPr>
        <w:t>recommends</w:t>
      </w:r>
    </w:p>
    <w:p w:rsidR="00220BE7" w:rsidRDefault="00220BE7">
      <w:r>
        <w:rPr>
          <w:b/>
          <w:bCs/>
        </w:rPr>
        <w:t>1</w:t>
      </w:r>
      <w:r>
        <w:tab/>
        <w:t xml:space="preserve">that radio interfaces of HAPS providing IMT-2000 in the bands </w:t>
      </w:r>
      <w:r>
        <w:rPr>
          <w:lang w:val="en-US"/>
        </w:rPr>
        <w:t>1</w:t>
      </w:r>
      <w:r>
        <w:rPr>
          <w:rFonts w:ascii="Tms Rmn" w:hAnsi="Tms Rmn"/>
          <w:sz w:val="12"/>
          <w:lang w:val="en-US"/>
        </w:rPr>
        <w:t> </w:t>
      </w:r>
      <w:r>
        <w:rPr>
          <w:lang w:val="en-US"/>
        </w:rPr>
        <w:t>885-1</w:t>
      </w:r>
      <w:r>
        <w:rPr>
          <w:rFonts w:ascii="Tms Rmn" w:hAnsi="Tms Rmn"/>
          <w:sz w:val="12"/>
          <w:lang w:val="en-US"/>
        </w:rPr>
        <w:t> </w:t>
      </w:r>
      <w:r>
        <w:rPr>
          <w:lang w:val="en-US"/>
        </w:rPr>
        <w:t>980</w:t>
      </w:r>
      <w:r>
        <w:t xml:space="preserve"> MHz, </w:t>
      </w:r>
      <w:r>
        <w:rPr>
          <w:lang w:val="en-US"/>
        </w:rPr>
        <w:t>2</w:t>
      </w:r>
      <w:r>
        <w:rPr>
          <w:rFonts w:ascii="Tms Rmn" w:hAnsi="Tms Rmn"/>
          <w:sz w:val="12"/>
          <w:lang w:val="en-US"/>
        </w:rPr>
        <w:t> </w:t>
      </w:r>
      <w:r>
        <w:rPr>
          <w:lang w:val="en-US"/>
        </w:rPr>
        <w:t>010-2</w:t>
      </w:r>
      <w:r>
        <w:rPr>
          <w:rFonts w:ascii="Tms Rmn" w:hAnsi="Tms Rmn"/>
          <w:sz w:val="12"/>
          <w:lang w:val="en-US"/>
        </w:rPr>
        <w:t> </w:t>
      </w:r>
      <w:r>
        <w:rPr>
          <w:lang w:val="en-US"/>
        </w:rPr>
        <w:t>025</w:t>
      </w:r>
      <w:r>
        <w:t xml:space="preserve"> MHz and </w:t>
      </w:r>
      <w:r>
        <w:rPr>
          <w:lang w:val="en-US"/>
        </w:rPr>
        <w:t>2</w:t>
      </w:r>
      <w:r>
        <w:rPr>
          <w:rFonts w:ascii="Tms Rmn" w:hAnsi="Tms Rmn"/>
          <w:sz w:val="12"/>
          <w:lang w:val="en-US"/>
        </w:rPr>
        <w:t> </w:t>
      </w:r>
      <w:r>
        <w:rPr>
          <w:lang w:val="en-US"/>
        </w:rPr>
        <w:t>110</w:t>
      </w:r>
      <w:r>
        <w:rPr>
          <w:lang w:val="en-US"/>
        </w:rPr>
        <w:noBreakHyphen/>
        <w:t>2</w:t>
      </w:r>
      <w:r>
        <w:rPr>
          <w:rFonts w:ascii="Tms Rmn" w:hAnsi="Tms Rmn"/>
          <w:sz w:val="12"/>
          <w:lang w:val="en-US"/>
        </w:rPr>
        <w:t> </w:t>
      </w:r>
      <w:r>
        <w:rPr>
          <w:lang w:val="en-US"/>
        </w:rPr>
        <w:t>170</w:t>
      </w:r>
      <w:r>
        <w:t xml:space="preserve"> MHz in Regions 1 and 3, and </w:t>
      </w:r>
      <w:r>
        <w:rPr>
          <w:lang w:val="en-US"/>
        </w:rPr>
        <w:t>1</w:t>
      </w:r>
      <w:r>
        <w:rPr>
          <w:rFonts w:ascii="Tms Rmn" w:hAnsi="Tms Rmn"/>
          <w:sz w:val="12"/>
          <w:lang w:val="en-US"/>
        </w:rPr>
        <w:t> </w:t>
      </w:r>
      <w:r>
        <w:rPr>
          <w:lang w:val="en-US"/>
        </w:rPr>
        <w:t>885-1</w:t>
      </w:r>
      <w:r>
        <w:rPr>
          <w:rFonts w:ascii="Tms Rmn" w:hAnsi="Tms Rmn"/>
          <w:sz w:val="12"/>
          <w:lang w:val="en-US"/>
        </w:rPr>
        <w:t> </w:t>
      </w:r>
      <w:r>
        <w:rPr>
          <w:lang w:val="en-US"/>
        </w:rPr>
        <w:t>980</w:t>
      </w:r>
      <w:r>
        <w:t xml:space="preserve"> MHz and </w:t>
      </w:r>
      <w:r>
        <w:rPr>
          <w:lang w:val="en-US"/>
        </w:rPr>
        <w:t>2</w:t>
      </w:r>
      <w:r>
        <w:rPr>
          <w:rFonts w:ascii="Tms Rmn" w:hAnsi="Tms Rmn"/>
          <w:sz w:val="12"/>
          <w:lang w:val="en-US"/>
        </w:rPr>
        <w:t> </w:t>
      </w:r>
      <w:r>
        <w:rPr>
          <w:lang w:val="en-US"/>
        </w:rPr>
        <w:t>110-2</w:t>
      </w:r>
      <w:r>
        <w:rPr>
          <w:rFonts w:ascii="Tms Rmn" w:hAnsi="Tms Rmn"/>
          <w:sz w:val="12"/>
          <w:lang w:val="en-US"/>
        </w:rPr>
        <w:t> </w:t>
      </w:r>
      <w:r>
        <w:rPr>
          <w:lang w:val="en-US"/>
        </w:rPr>
        <w:t xml:space="preserve">160 </w:t>
      </w:r>
      <w:r>
        <w:t>MHz in Region 2 should comply with Recommendation ITU-R M.</w:t>
      </w:r>
      <w:r>
        <w:rPr>
          <w:lang w:val="en-US"/>
        </w:rPr>
        <w:t>1457</w:t>
      </w:r>
      <w:r>
        <w:t>;</w:t>
      </w:r>
    </w:p>
    <w:p w:rsidR="00220BE7" w:rsidRDefault="00220BE7">
      <w:r>
        <w:rPr>
          <w:b/>
          <w:bCs/>
        </w:rPr>
        <w:t>2</w:t>
      </w:r>
      <w:r>
        <w:rPr>
          <w:b/>
          <w:bCs/>
        </w:rPr>
        <w:tab/>
      </w:r>
      <w:r>
        <w:t>that for the purpose of protecting stations operated by neighbouring administrations from co-channel interference, administrations using HAPS as base stations to provide IMT-2000 should use antennas that comply with the following antenna pattern:</w:t>
      </w:r>
    </w:p>
    <w:p w:rsidR="00220BE7" w:rsidRDefault="00220BE7">
      <w:pPr>
        <w:pStyle w:val="Equation"/>
        <w:tabs>
          <w:tab w:val="clear" w:pos="4849"/>
          <w:tab w:val="left" w:pos="1843"/>
          <w:tab w:val="center" w:pos="5387"/>
          <w:tab w:val="left" w:pos="6096"/>
          <w:tab w:val="right" w:pos="7088"/>
          <w:tab w:val="left" w:pos="7229"/>
        </w:tabs>
        <w:rPr>
          <w:sz w:val="20"/>
          <w:lang w:val="es-ES_tradnl"/>
        </w:rPr>
      </w:pPr>
      <w:r>
        <w:rPr>
          <w:lang w:val="es-ES_tradnl"/>
        </w:rPr>
        <w:tab/>
      </w:r>
      <w:r>
        <w:rPr>
          <w:lang w:val="es-ES_tradnl"/>
        </w:rPr>
        <w:tab/>
      </w:r>
      <w:r>
        <w:rPr>
          <w:i/>
          <w:lang w:val="es-ES_tradnl"/>
        </w:rPr>
        <w:t>G</w:t>
      </w:r>
      <w:r>
        <w:rPr>
          <w:lang w:val="es-ES_tradnl"/>
        </w:rPr>
        <w:t>(</w:t>
      </w:r>
      <w:r>
        <w:rPr>
          <w:rFonts w:ascii="Symbol" w:hAnsi="Symbol"/>
        </w:rPr>
        <w:t></w:t>
      </w:r>
      <w:r>
        <w:rPr>
          <w:lang w:val="es-ES_tradnl"/>
        </w:rPr>
        <w:t xml:space="preserve">)  </w:t>
      </w:r>
      <w:r>
        <w:rPr>
          <w:rFonts w:ascii="Symbol" w:hAnsi="Symbol"/>
          <w:lang w:val="es-ES_tradnl"/>
        </w:rPr>
        <w:t></w:t>
      </w:r>
      <w:r>
        <w:rPr>
          <w:lang w:val="es-ES_tradnl"/>
        </w:rPr>
        <w:t xml:space="preserve">  </w:t>
      </w:r>
      <w:r>
        <w:rPr>
          <w:i/>
          <w:lang w:val="es-ES_tradnl"/>
        </w:rPr>
        <w:t>G</w:t>
      </w:r>
      <w:r>
        <w:rPr>
          <w:i/>
          <w:position w:val="-4"/>
          <w:sz w:val="18"/>
          <w:lang w:val="es-ES_tradnl"/>
        </w:rPr>
        <w:t>m</w:t>
      </w:r>
      <w:r>
        <w:rPr>
          <w:lang w:val="es-ES_tradnl"/>
        </w:rPr>
        <w:t xml:space="preserve">  –  3 (</w:t>
      </w:r>
      <w:r>
        <w:rPr>
          <w:rFonts w:ascii="Symbol" w:hAnsi="Symbol"/>
        </w:rPr>
        <w:t></w:t>
      </w:r>
      <w:r>
        <w:rPr>
          <w:rFonts w:ascii="Symbol" w:hAnsi="Symbol"/>
        </w:rPr>
        <w:t></w:t>
      </w:r>
      <w:r>
        <w:rPr>
          <w:rFonts w:ascii="Symbol" w:hAnsi="Symbol"/>
        </w:rPr>
        <w:t></w:t>
      </w:r>
      <w:r>
        <w:rPr>
          <w:i/>
          <w:iCs/>
          <w:position w:val="-4"/>
          <w:sz w:val="18"/>
          <w:lang w:val="es-ES_tradnl"/>
        </w:rPr>
        <w:t>b</w:t>
      </w:r>
      <w:r>
        <w:rPr>
          <w:lang w:val="es-ES_tradnl"/>
        </w:rPr>
        <w:t>)</w:t>
      </w:r>
      <w:r>
        <w:rPr>
          <w:position w:val="6"/>
          <w:sz w:val="18"/>
          <w:lang w:val="es-ES_tradnl"/>
        </w:rPr>
        <w:t>2</w:t>
      </w:r>
      <w:r>
        <w:rPr>
          <w:color w:val="FFFFFF"/>
          <w:lang w:val="es-ES_tradnl"/>
        </w:rPr>
        <w:tab/>
      </w:r>
      <w:r>
        <w:rPr>
          <w:lang w:val="es-ES_tradnl"/>
        </w:rPr>
        <w:t>dBi</w:t>
      </w:r>
      <w:r>
        <w:rPr>
          <w:lang w:val="es-ES_tradnl"/>
        </w:rPr>
        <w:tab/>
      </w:r>
      <w:r>
        <w:rPr>
          <w:lang w:val="es-ES_tradnl"/>
        </w:rPr>
        <w:t> </w:t>
      </w:r>
      <w:r>
        <w:rPr>
          <w:lang w:val="es-ES_tradnl"/>
        </w:rPr>
        <w:t>for</w:t>
      </w:r>
      <w:r>
        <w:rPr>
          <w:lang w:val="es-ES_tradnl"/>
        </w:rPr>
        <w:tab/>
        <w:t>0°</w:t>
      </w:r>
      <w:r>
        <w:rPr>
          <w:lang w:val="es-ES_tradnl"/>
        </w:rPr>
        <w:tab/>
      </w:r>
      <w:r>
        <w:rPr>
          <w:rFonts w:ascii="Symbol" w:hAnsi="Symbol"/>
        </w:rPr>
        <w:t></w:t>
      </w:r>
      <w:r>
        <w:rPr>
          <w:lang w:val="es-ES_tradnl"/>
        </w:rPr>
        <w:t xml:space="preserve">  </w:t>
      </w:r>
      <w:r>
        <w:rPr>
          <w:rFonts w:ascii="Symbol" w:hAnsi="Symbol"/>
        </w:rPr>
        <w:t></w:t>
      </w:r>
      <w:r>
        <w:rPr>
          <w:lang w:val="es-ES_tradnl"/>
        </w:rPr>
        <w:t xml:space="preserve">  </w:t>
      </w:r>
      <w:r>
        <w:rPr>
          <w:rFonts w:ascii="Symbol" w:hAnsi="Symbol"/>
        </w:rPr>
        <w:t></w:t>
      </w:r>
      <w:r>
        <w:rPr>
          <w:lang w:val="es-ES_tradnl"/>
        </w:rPr>
        <w:t xml:space="preserve">  </w:t>
      </w:r>
      <w:r>
        <w:rPr>
          <w:rFonts w:ascii="Symbol" w:hAnsi="Symbol"/>
        </w:rPr>
        <w:t></w:t>
      </w:r>
      <w:r>
        <w:rPr>
          <w:iCs/>
          <w:position w:val="-4"/>
          <w:sz w:val="18"/>
          <w:lang w:val="es-ES_tradnl"/>
        </w:rPr>
        <w:t>1</w:t>
      </w:r>
      <w:r>
        <w:rPr>
          <w:i/>
          <w:position w:val="-4"/>
          <w:sz w:val="18"/>
          <w:lang w:val="es-ES_tradnl"/>
        </w:rPr>
        <w:tab/>
      </w:r>
      <w:r>
        <w:rPr>
          <w:lang w:val="es-ES_tradnl"/>
        </w:rPr>
        <w:t>(1)</w:t>
      </w:r>
    </w:p>
    <w:p w:rsidR="00220BE7" w:rsidRDefault="00220BE7">
      <w:pPr>
        <w:pStyle w:val="Equation"/>
        <w:tabs>
          <w:tab w:val="clear" w:pos="4849"/>
          <w:tab w:val="left" w:pos="1843"/>
          <w:tab w:val="center" w:pos="5387"/>
          <w:tab w:val="left" w:pos="6096"/>
          <w:tab w:val="right" w:pos="7088"/>
          <w:tab w:val="left" w:pos="7229"/>
        </w:tabs>
        <w:rPr>
          <w:sz w:val="20"/>
          <w:lang w:val="es-ES_tradnl"/>
        </w:rPr>
      </w:pPr>
      <w:r>
        <w:rPr>
          <w:lang w:val="es-ES_tradnl"/>
        </w:rPr>
        <w:tab/>
      </w:r>
      <w:r>
        <w:rPr>
          <w:lang w:val="es-ES_tradnl"/>
        </w:rPr>
        <w:tab/>
      </w:r>
      <w:r>
        <w:rPr>
          <w:i/>
          <w:lang w:val="es-ES_tradnl"/>
        </w:rPr>
        <w:t>G</w:t>
      </w:r>
      <w:r>
        <w:rPr>
          <w:lang w:val="es-ES_tradnl"/>
        </w:rPr>
        <w:t>(</w:t>
      </w:r>
      <w:r>
        <w:rPr>
          <w:rFonts w:ascii="Symbol" w:hAnsi="Symbol"/>
        </w:rPr>
        <w:t></w:t>
      </w:r>
      <w:r>
        <w:rPr>
          <w:lang w:val="es-ES_tradnl"/>
        </w:rPr>
        <w:t xml:space="preserve">)  </w:t>
      </w:r>
      <w:r>
        <w:rPr>
          <w:rFonts w:ascii="Symbol" w:hAnsi="Symbol"/>
          <w:lang w:val="es-ES_tradnl"/>
        </w:rPr>
        <w:t></w:t>
      </w:r>
      <w:r>
        <w:rPr>
          <w:lang w:val="es-ES_tradnl"/>
        </w:rPr>
        <w:t xml:space="preserve">  </w:t>
      </w:r>
      <w:r>
        <w:rPr>
          <w:i/>
          <w:lang w:val="es-ES_tradnl"/>
        </w:rPr>
        <w:t>G</w:t>
      </w:r>
      <w:r>
        <w:rPr>
          <w:i/>
          <w:position w:val="-4"/>
          <w:sz w:val="18"/>
          <w:lang w:val="es-ES_tradnl"/>
        </w:rPr>
        <w:t>m</w:t>
      </w:r>
      <w:r>
        <w:rPr>
          <w:lang w:val="es-ES_tradnl"/>
        </w:rPr>
        <w:t xml:space="preserve">  </w:t>
      </w:r>
      <w:r>
        <w:rPr>
          <w:rFonts w:ascii="Symbol" w:hAnsi="Symbol"/>
          <w:lang w:val="es-ES_tradnl"/>
        </w:rPr>
        <w:t></w:t>
      </w:r>
      <w:r>
        <w:rPr>
          <w:lang w:val="es-ES_tradnl"/>
        </w:rPr>
        <w:t xml:space="preserve">  </w:t>
      </w:r>
      <w:r>
        <w:rPr>
          <w:i/>
          <w:iCs/>
          <w:lang w:val="es-ES_tradnl"/>
        </w:rPr>
        <w:t>L</w:t>
      </w:r>
      <w:r>
        <w:rPr>
          <w:i/>
          <w:iCs/>
          <w:position w:val="-4"/>
          <w:sz w:val="18"/>
          <w:lang w:val="es-ES_tradnl"/>
        </w:rPr>
        <w:t>N</w:t>
      </w:r>
      <w:r>
        <w:rPr>
          <w:lang w:val="es-ES_tradnl"/>
        </w:rPr>
        <w:tab/>
        <w:t>dBi</w:t>
      </w:r>
      <w:r>
        <w:rPr>
          <w:lang w:val="es-ES_tradnl"/>
        </w:rPr>
        <w:tab/>
      </w:r>
      <w:r>
        <w:rPr>
          <w:lang w:val="es-ES_tradnl"/>
        </w:rPr>
        <w:t> </w:t>
      </w:r>
      <w:r>
        <w:rPr>
          <w:lang w:val="es-ES_tradnl"/>
        </w:rPr>
        <w:t>for</w:t>
      </w:r>
      <w:r>
        <w:rPr>
          <w:lang w:val="es-ES_tradnl"/>
        </w:rPr>
        <w:tab/>
      </w:r>
      <w:r>
        <w:rPr>
          <w:rFonts w:ascii="Symbol" w:hAnsi="Symbol"/>
        </w:rPr>
        <w:t></w:t>
      </w:r>
      <w:r>
        <w:rPr>
          <w:iCs/>
          <w:position w:val="-4"/>
          <w:sz w:val="18"/>
          <w:lang w:val="es-ES_tradnl"/>
        </w:rPr>
        <w:t>1</w:t>
      </w:r>
      <w:r>
        <w:rPr>
          <w:lang w:val="es-ES_tradnl"/>
        </w:rPr>
        <w:tab/>
      </w:r>
      <w:r>
        <w:rPr>
          <w:rFonts w:ascii="Symbol" w:hAnsi="Symbol"/>
        </w:rPr>
        <w:t></w:t>
      </w:r>
      <w:r>
        <w:rPr>
          <w:lang w:val="es-ES_tradnl"/>
        </w:rPr>
        <w:t xml:space="preserve">  </w:t>
      </w:r>
      <w:r>
        <w:rPr>
          <w:rFonts w:ascii="Symbol" w:hAnsi="Symbol"/>
        </w:rPr>
        <w:t></w:t>
      </w:r>
      <w:r>
        <w:rPr>
          <w:lang w:val="es-ES_tradnl"/>
        </w:rPr>
        <w:t xml:space="preserve">  </w:t>
      </w:r>
      <w:r>
        <w:rPr>
          <w:rFonts w:ascii="Symbol" w:hAnsi="Symbol"/>
        </w:rPr>
        <w:t></w:t>
      </w:r>
      <w:r>
        <w:rPr>
          <w:lang w:val="es-ES_tradnl"/>
        </w:rPr>
        <w:t xml:space="preserve">  </w:t>
      </w:r>
      <w:r>
        <w:rPr>
          <w:rFonts w:ascii="Symbol" w:hAnsi="Symbol"/>
        </w:rPr>
        <w:t></w:t>
      </w:r>
      <w:r>
        <w:rPr>
          <w:iCs/>
          <w:position w:val="-4"/>
          <w:sz w:val="18"/>
          <w:lang w:val="es-ES_tradnl"/>
        </w:rPr>
        <w:t>2</w:t>
      </w:r>
      <w:r>
        <w:rPr>
          <w:i/>
          <w:position w:val="-4"/>
          <w:sz w:val="18"/>
          <w:lang w:val="es-ES_tradnl"/>
        </w:rPr>
        <w:tab/>
      </w:r>
      <w:r>
        <w:rPr>
          <w:lang w:val="es-ES_tradnl"/>
        </w:rPr>
        <w:t>(2)</w:t>
      </w:r>
    </w:p>
    <w:p w:rsidR="00220BE7" w:rsidRDefault="00220BE7">
      <w:pPr>
        <w:pStyle w:val="Equation"/>
        <w:tabs>
          <w:tab w:val="clear" w:pos="4849"/>
          <w:tab w:val="left" w:pos="1843"/>
          <w:tab w:val="center" w:pos="5387"/>
          <w:tab w:val="left" w:pos="6096"/>
          <w:tab w:val="right" w:pos="7088"/>
          <w:tab w:val="left" w:pos="7229"/>
        </w:tabs>
        <w:rPr>
          <w:sz w:val="20"/>
          <w:lang w:val="es-ES_tradnl"/>
        </w:rPr>
      </w:pPr>
      <w:r>
        <w:rPr>
          <w:lang w:val="es-ES_tradnl"/>
        </w:rPr>
        <w:tab/>
      </w:r>
      <w:r>
        <w:rPr>
          <w:lang w:val="es-ES_tradnl"/>
        </w:rPr>
        <w:tab/>
      </w:r>
      <w:r>
        <w:rPr>
          <w:i/>
          <w:lang w:val="es-ES_tradnl"/>
        </w:rPr>
        <w:t>G</w:t>
      </w:r>
      <w:r>
        <w:rPr>
          <w:lang w:val="es-ES_tradnl"/>
        </w:rPr>
        <w:t>(</w:t>
      </w:r>
      <w:r>
        <w:rPr>
          <w:rFonts w:ascii="Symbol" w:hAnsi="Symbol"/>
        </w:rPr>
        <w:t></w:t>
      </w:r>
      <w:r>
        <w:rPr>
          <w:lang w:val="es-ES_tradnl"/>
        </w:rPr>
        <w:t xml:space="preserve">)  </w:t>
      </w:r>
      <w:r>
        <w:rPr>
          <w:rFonts w:ascii="Symbol" w:hAnsi="Symbol"/>
          <w:lang w:val="es-ES_tradnl"/>
        </w:rPr>
        <w:t></w:t>
      </w:r>
      <w:r>
        <w:rPr>
          <w:lang w:val="es-ES_tradnl"/>
        </w:rPr>
        <w:t xml:space="preserve">  </w:t>
      </w:r>
      <w:r>
        <w:rPr>
          <w:i/>
          <w:lang w:val="es-ES_tradnl"/>
        </w:rPr>
        <w:t>X</w:t>
      </w:r>
      <w:r>
        <w:rPr>
          <w:lang w:val="es-ES_tradnl"/>
        </w:rPr>
        <w:t xml:space="preserve">  –  60 log (</w:t>
      </w:r>
      <w:r>
        <w:rPr>
          <w:rFonts w:ascii="Symbol" w:hAnsi="Symbol"/>
        </w:rPr>
        <w:t></w:t>
      </w:r>
      <w:r>
        <w:rPr>
          <w:lang w:val="es-ES_tradnl"/>
        </w:rPr>
        <w:t>)</w:t>
      </w:r>
      <w:r>
        <w:rPr>
          <w:lang w:val="es-ES_tradnl"/>
        </w:rPr>
        <w:tab/>
        <w:t>dBi</w:t>
      </w:r>
      <w:r>
        <w:rPr>
          <w:lang w:val="es-ES_tradnl"/>
        </w:rPr>
        <w:tab/>
      </w:r>
      <w:r>
        <w:rPr>
          <w:lang w:val="es-ES_tradnl"/>
        </w:rPr>
        <w:t> </w:t>
      </w:r>
      <w:r>
        <w:rPr>
          <w:lang w:val="es-ES_tradnl"/>
        </w:rPr>
        <w:t>for</w:t>
      </w:r>
      <w:r>
        <w:rPr>
          <w:lang w:val="es-ES_tradnl"/>
        </w:rPr>
        <w:tab/>
      </w:r>
      <w:r>
        <w:rPr>
          <w:rFonts w:ascii="Symbol" w:hAnsi="Symbol"/>
        </w:rPr>
        <w:t></w:t>
      </w:r>
      <w:r>
        <w:rPr>
          <w:iCs/>
          <w:position w:val="-4"/>
          <w:sz w:val="18"/>
          <w:lang w:val="es-ES_tradnl"/>
        </w:rPr>
        <w:t>2</w:t>
      </w:r>
      <w:r>
        <w:rPr>
          <w:lang w:val="es-ES_tradnl"/>
        </w:rPr>
        <w:tab/>
      </w:r>
      <w:r>
        <w:rPr>
          <w:rFonts w:ascii="Symbol" w:hAnsi="Symbol"/>
        </w:rPr>
        <w:t></w:t>
      </w:r>
      <w:r>
        <w:rPr>
          <w:lang w:val="es-ES_tradnl"/>
        </w:rPr>
        <w:t xml:space="preserve">  </w:t>
      </w:r>
      <w:r>
        <w:rPr>
          <w:rFonts w:ascii="Symbol" w:hAnsi="Symbol"/>
        </w:rPr>
        <w:t></w:t>
      </w:r>
      <w:r>
        <w:rPr>
          <w:lang w:val="es-ES_tradnl"/>
        </w:rPr>
        <w:t xml:space="preserve">  </w:t>
      </w:r>
      <w:r>
        <w:rPr>
          <w:rFonts w:ascii="Symbol" w:hAnsi="Symbol"/>
        </w:rPr>
        <w:t></w:t>
      </w:r>
      <w:r>
        <w:rPr>
          <w:lang w:val="es-ES_tradnl"/>
        </w:rPr>
        <w:t xml:space="preserve">  </w:t>
      </w:r>
      <w:r>
        <w:rPr>
          <w:rFonts w:ascii="Symbol" w:hAnsi="Symbol"/>
        </w:rPr>
        <w:t></w:t>
      </w:r>
      <w:r>
        <w:rPr>
          <w:iCs/>
          <w:position w:val="-4"/>
          <w:sz w:val="18"/>
          <w:lang w:val="es-ES_tradnl"/>
        </w:rPr>
        <w:t>3</w:t>
      </w:r>
      <w:r>
        <w:rPr>
          <w:lang w:val="es-ES_tradnl"/>
        </w:rPr>
        <w:tab/>
        <w:t>(3)</w:t>
      </w:r>
    </w:p>
    <w:p w:rsidR="00220BE7" w:rsidRDefault="00220BE7">
      <w:pPr>
        <w:pStyle w:val="Equation"/>
        <w:tabs>
          <w:tab w:val="clear" w:pos="4849"/>
          <w:tab w:val="left" w:pos="1843"/>
          <w:tab w:val="center" w:pos="5387"/>
          <w:tab w:val="left" w:pos="6096"/>
          <w:tab w:val="right" w:pos="7088"/>
          <w:tab w:val="left" w:pos="7229"/>
        </w:tabs>
        <w:rPr>
          <w:sz w:val="20"/>
          <w:lang w:val="es-ES_tradnl"/>
        </w:rPr>
      </w:pPr>
      <w:r>
        <w:rPr>
          <w:lang w:val="es-ES_tradnl"/>
        </w:rPr>
        <w:tab/>
      </w:r>
      <w:r>
        <w:rPr>
          <w:lang w:val="es-ES_tradnl"/>
        </w:rPr>
        <w:tab/>
      </w:r>
      <w:r>
        <w:rPr>
          <w:i/>
          <w:lang w:val="es-ES_tradnl"/>
        </w:rPr>
        <w:t>G</w:t>
      </w:r>
      <w:r>
        <w:rPr>
          <w:lang w:val="es-ES_tradnl"/>
        </w:rPr>
        <w:t>(</w:t>
      </w:r>
      <w:r>
        <w:rPr>
          <w:rFonts w:ascii="Symbol" w:hAnsi="Symbol"/>
        </w:rPr>
        <w:t></w:t>
      </w:r>
      <w:r>
        <w:rPr>
          <w:lang w:val="es-ES_tradnl"/>
        </w:rPr>
        <w:t xml:space="preserve">)  </w:t>
      </w:r>
      <w:r>
        <w:rPr>
          <w:rFonts w:ascii="Symbol" w:hAnsi="Symbol"/>
          <w:lang w:val="es-ES_tradnl"/>
        </w:rPr>
        <w:t></w:t>
      </w:r>
      <w:r>
        <w:rPr>
          <w:lang w:val="es-ES_tradnl"/>
        </w:rPr>
        <w:t xml:space="preserve">  </w:t>
      </w:r>
      <w:r>
        <w:rPr>
          <w:i/>
          <w:iCs/>
          <w:lang w:val="es-ES_tradnl"/>
        </w:rPr>
        <w:t>L</w:t>
      </w:r>
      <w:r>
        <w:rPr>
          <w:i/>
          <w:iCs/>
          <w:position w:val="-4"/>
          <w:sz w:val="18"/>
          <w:lang w:val="es-ES_tradnl"/>
        </w:rPr>
        <w:t>F</w:t>
      </w:r>
      <w:r>
        <w:rPr>
          <w:lang w:val="es-ES_tradnl"/>
        </w:rPr>
        <w:tab/>
        <w:t>dBi</w:t>
      </w:r>
      <w:r>
        <w:rPr>
          <w:lang w:val="es-ES_tradnl"/>
        </w:rPr>
        <w:tab/>
      </w:r>
      <w:r>
        <w:rPr>
          <w:lang w:val="es-ES_tradnl"/>
        </w:rPr>
        <w:t> </w:t>
      </w:r>
      <w:r>
        <w:rPr>
          <w:lang w:val="es-ES_tradnl"/>
        </w:rPr>
        <w:t>for</w:t>
      </w:r>
      <w:r>
        <w:rPr>
          <w:lang w:val="es-ES_tradnl"/>
        </w:rPr>
        <w:tab/>
      </w:r>
      <w:r>
        <w:rPr>
          <w:rFonts w:ascii="Symbol" w:hAnsi="Symbol"/>
        </w:rPr>
        <w:t></w:t>
      </w:r>
      <w:r>
        <w:rPr>
          <w:iCs/>
          <w:position w:val="-4"/>
          <w:sz w:val="18"/>
          <w:lang w:val="es-ES_tradnl"/>
        </w:rPr>
        <w:t>3</w:t>
      </w:r>
      <w:r>
        <w:rPr>
          <w:lang w:val="es-ES_tradnl"/>
        </w:rPr>
        <w:tab/>
      </w:r>
      <w:r>
        <w:rPr>
          <w:rFonts w:ascii="Symbol" w:hAnsi="Symbol"/>
        </w:rPr>
        <w:t></w:t>
      </w:r>
      <w:r>
        <w:rPr>
          <w:lang w:val="es-ES_tradnl"/>
        </w:rPr>
        <w:t xml:space="preserve">  </w:t>
      </w:r>
      <w:r>
        <w:rPr>
          <w:rFonts w:ascii="Symbol" w:hAnsi="Symbol"/>
        </w:rPr>
        <w:t></w:t>
      </w:r>
      <w:r>
        <w:rPr>
          <w:lang w:val="es-ES_tradnl"/>
        </w:rPr>
        <w:t xml:space="preserve">  </w:t>
      </w:r>
      <w:r>
        <w:rPr>
          <w:rFonts w:ascii="Symbol" w:hAnsi="Symbol"/>
        </w:rPr>
        <w:t></w:t>
      </w:r>
      <w:r>
        <w:rPr>
          <w:lang w:val="es-ES_tradnl"/>
        </w:rPr>
        <w:t xml:space="preserve">  90°</w:t>
      </w:r>
      <w:r>
        <w:rPr>
          <w:lang w:val="es-ES_tradnl"/>
        </w:rPr>
        <w:tab/>
        <w:t>(4)</w:t>
      </w:r>
    </w:p>
    <w:p w:rsidR="00220BE7" w:rsidRDefault="00220BE7">
      <w:pPr>
        <w:rPr>
          <w:lang w:val="es-ES_tradnl"/>
        </w:rPr>
      </w:pPr>
      <w:r>
        <w:t>where:</w:t>
      </w:r>
    </w:p>
    <w:p w:rsidR="00220BE7" w:rsidRDefault="00220BE7">
      <w:pPr>
        <w:pStyle w:val="enumlev1"/>
        <w:tabs>
          <w:tab w:val="left" w:pos="1134"/>
        </w:tabs>
        <w:rPr>
          <w:lang w:val="en-US"/>
        </w:rPr>
      </w:pPr>
      <w:r>
        <w:rPr>
          <w:lang w:val="es-ES_tradnl"/>
        </w:rPr>
        <w:tab/>
      </w:r>
      <w:r>
        <w:rPr>
          <w:i/>
          <w:lang w:val="es-ES_tradnl"/>
        </w:rPr>
        <w:t>G</w:t>
      </w:r>
      <w:r>
        <w:rPr>
          <w:lang w:val="es-ES_tradnl"/>
        </w:rPr>
        <w:t>(</w:t>
      </w:r>
      <w:r>
        <w:rPr>
          <w:rFonts w:ascii="Symbol" w:hAnsi="Symbol"/>
        </w:rPr>
        <w:t></w:t>
      </w:r>
      <w:r>
        <w:rPr>
          <w:lang w:val="es-ES_tradnl"/>
        </w:rPr>
        <w:t>)</w:t>
      </w:r>
      <w:r>
        <w:rPr>
          <w:rFonts w:ascii="Tms Rmn" w:hAnsi="Tms Rmn"/>
          <w:sz w:val="12"/>
          <w:lang w:val="es-ES_tradnl"/>
        </w:rPr>
        <w:t> </w:t>
      </w:r>
      <w:r>
        <w:rPr>
          <w:lang w:val="es-ES_tradnl"/>
        </w:rPr>
        <w:t>:</w:t>
      </w:r>
      <w:r>
        <w:rPr>
          <w:lang w:val="es-ES_tradnl"/>
        </w:rPr>
        <w:tab/>
      </w:r>
      <w:r>
        <w:t xml:space="preserve">gain at the angle </w:t>
      </w:r>
      <w:r>
        <w:sym w:font="Symbol" w:char="F079"/>
      </w:r>
      <w:r>
        <w:t xml:space="preserve"> from the main beam direction (dBi)</w:t>
      </w:r>
    </w:p>
    <w:p w:rsidR="00220BE7" w:rsidRDefault="00220BE7">
      <w:pPr>
        <w:pStyle w:val="enumlev1"/>
        <w:tabs>
          <w:tab w:val="left" w:pos="1134"/>
        </w:tabs>
        <w:rPr>
          <w:lang w:val="en-US"/>
        </w:rPr>
      </w:pPr>
      <w:r>
        <w:rPr>
          <w:lang w:val="es-ES_tradnl"/>
        </w:rPr>
        <w:tab/>
      </w:r>
      <w:r>
        <w:rPr>
          <w:i/>
          <w:lang w:val="es-ES_tradnl"/>
        </w:rPr>
        <w:t>G</w:t>
      </w:r>
      <w:r>
        <w:rPr>
          <w:i/>
          <w:position w:val="-4"/>
          <w:sz w:val="16"/>
          <w:lang w:val="es-ES_tradnl"/>
        </w:rPr>
        <w:t>m</w:t>
      </w:r>
      <w:r>
        <w:rPr>
          <w:rFonts w:ascii="Tms Rmn" w:hAnsi="Tms Rmn"/>
          <w:sz w:val="12"/>
          <w:lang w:val="es-ES_tradnl"/>
        </w:rPr>
        <w:t> </w:t>
      </w:r>
      <w:r>
        <w:rPr>
          <w:lang w:val="es-ES_tradnl"/>
        </w:rPr>
        <w:t>:</w:t>
      </w:r>
      <w:r>
        <w:rPr>
          <w:lang w:val="es-ES_tradnl"/>
        </w:rPr>
        <w:tab/>
      </w:r>
      <w:r>
        <w:t>maximum gain in the main lobe (dBi)</w:t>
      </w:r>
    </w:p>
    <w:p w:rsidR="00220BE7" w:rsidRDefault="00220BE7">
      <w:pPr>
        <w:pStyle w:val="enumlev1"/>
        <w:tabs>
          <w:tab w:val="left" w:pos="1134"/>
        </w:tabs>
        <w:rPr>
          <w:lang w:val="es-ES_tradnl"/>
        </w:rPr>
      </w:pPr>
      <w:r>
        <w:rPr>
          <w:lang w:val="es-ES_tradnl"/>
        </w:rPr>
        <w:tab/>
      </w:r>
      <w:r>
        <w:rPr>
          <w:rFonts w:ascii="Symbol" w:hAnsi="Symbol"/>
        </w:rPr>
        <w:t></w:t>
      </w:r>
      <w:r>
        <w:rPr>
          <w:i/>
          <w:iCs/>
          <w:position w:val="-4"/>
          <w:sz w:val="16"/>
          <w:lang w:val="es-ES_tradnl"/>
        </w:rPr>
        <w:t>b</w:t>
      </w:r>
      <w:r>
        <w:rPr>
          <w:rFonts w:ascii="Tms Rmn" w:hAnsi="Tms Rmn"/>
          <w:sz w:val="12"/>
          <w:lang w:val="es-ES_tradnl"/>
        </w:rPr>
        <w:t> </w:t>
      </w:r>
      <w:r>
        <w:rPr>
          <w:lang w:val="es-ES_tradnl"/>
        </w:rPr>
        <w:t>:</w:t>
      </w:r>
      <w:r>
        <w:rPr>
          <w:lang w:val="es-ES_tradnl"/>
        </w:rPr>
        <w:tab/>
      </w:r>
      <w:r>
        <w:t>one-half the 3 dB beamwidth in the plane of interest (3 dB below</w:t>
      </w:r>
      <w:r>
        <w:rPr>
          <w:lang w:val="en-US"/>
        </w:rPr>
        <w:t xml:space="preserve"> </w:t>
      </w:r>
      <w:r>
        <w:rPr>
          <w:i/>
          <w:lang w:val="es-ES_tradnl"/>
        </w:rPr>
        <w:t>G</w:t>
      </w:r>
      <w:r>
        <w:rPr>
          <w:i/>
          <w:position w:val="-4"/>
          <w:sz w:val="16"/>
          <w:lang w:val="es-ES_tradnl"/>
        </w:rPr>
        <w:t>m</w:t>
      </w:r>
      <w:r>
        <w:rPr>
          <w:lang w:val="en-US"/>
        </w:rPr>
        <w:t>) (degrees)</w:t>
      </w:r>
    </w:p>
    <w:p w:rsidR="00220BE7" w:rsidRDefault="00220BE7">
      <w:pPr>
        <w:pStyle w:val="enumlev1"/>
        <w:tabs>
          <w:tab w:val="left" w:pos="1134"/>
        </w:tabs>
        <w:ind w:left="1134" w:hanging="1134"/>
        <w:rPr>
          <w:lang w:val="es-ES_tradnl"/>
        </w:rPr>
      </w:pPr>
      <w:r>
        <w:rPr>
          <w:lang w:val="en-US"/>
        </w:rPr>
        <w:tab/>
      </w:r>
      <w:r>
        <w:rPr>
          <w:i/>
          <w:iCs/>
          <w:lang w:val="es-ES_tradnl"/>
        </w:rPr>
        <w:t>L</w:t>
      </w:r>
      <w:r>
        <w:rPr>
          <w:i/>
          <w:iCs/>
          <w:position w:val="-4"/>
          <w:sz w:val="16"/>
          <w:lang w:val="es-ES_tradnl"/>
        </w:rPr>
        <w:t>N</w:t>
      </w:r>
      <w:r>
        <w:rPr>
          <w:rFonts w:ascii="Tms Rmn" w:hAnsi="Tms Rmn"/>
          <w:sz w:val="12"/>
          <w:lang w:val="es-ES_tradnl"/>
        </w:rPr>
        <w:t> </w:t>
      </w:r>
      <w:r>
        <w:rPr>
          <w:lang w:val="es-ES_tradnl"/>
        </w:rPr>
        <w:t>:</w:t>
      </w:r>
      <w:r>
        <w:rPr>
          <w:lang w:val="es-ES_tradnl"/>
        </w:rPr>
        <w:tab/>
      </w:r>
      <w:r>
        <w:t>near-in-side-lobe level (dB) relative to the peak gain required by the system design, and has a maximum value of</w:t>
      </w:r>
      <w:r>
        <w:rPr>
          <w:lang w:val="es-ES_tradnl"/>
        </w:rPr>
        <w:t xml:space="preserve"> –</w:t>
      </w:r>
      <w:r>
        <w:rPr>
          <w:sz w:val="4"/>
          <w:lang w:val="es-ES_tradnl"/>
        </w:rPr>
        <w:t> </w:t>
      </w:r>
      <w:r>
        <w:rPr>
          <w:lang w:val="es-ES_tradnl"/>
        </w:rPr>
        <w:t>25 dB</w:t>
      </w:r>
    </w:p>
    <w:p w:rsidR="00220BE7" w:rsidRDefault="00220BE7">
      <w:pPr>
        <w:pStyle w:val="enumlev1"/>
        <w:tabs>
          <w:tab w:val="left" w:pos="1134"/>
        </w:tabs>
        <w:ind w:left="1134" w:hanging="1134"/>
      </w:pPr>
      <w:r>
        <w:rPr>
          <w:lang w:val="en-US"/>
        </w:rPr>
        <w:tab/>
      </w:r>
      <w:r>
        <w:rPr>
          <w:i/>
          <w:iCs/>
          <w:lang w:val="es-ES_tradnl"/>
        </w:rPr>
        <w:t>L</w:t>
      </w:r>
      <w:r>
        <w:rPr>
          <w:i/>
          <w:iCs/>
          <w:position w:val="-4"/>
          <w:sz w:val="16"/>
          <w:lang w:val="es-ES_tradnl"/>
        </w:rPr>
        <w:t>F</w:t>
      </w:r>
      <w:r>
        <w:rPr>
          <w:lang w:val="es-ES_tradnl"/>
        </w:rPr>
        <w:t xml:space="preserve">   =  </w:t>
      </w:r>
      <w:r>
        <w:rPr>
          <w:lang w:val="es-ES_tradnl"/>
        </w:rPr>
        <w:tab/>
      </w:r>
      <w:r>
        <w:rPr>
          <w:i/>
          <w:lang w:val="es-ES_tradnl"/>
        </w:rPr>
        <w:t>G</w:t>
      </w:r>
      <w:r>
        <w:rPr>
          <w:i/>
          <w:position w:val="-4"/>
          <w:sz w:val="16"/>
          <w:lang w:val="es-ES_tradnl"/>
        </w:rPr>
        <w:t>m</w:t>
      </w:r>
      <w:r>
        <w:rPr>
          <w:lang w:val="en-US"/>
        </w:rPr>
        <w:t xml:space="preserve"> – 73 dBi, </w:t>
      </w:r>
      <w:r>
        <w:t>far side-lobe level (dBi)</w:t>
      </w:r>
    </w:p>
    <w:p w:rsidR="00220BE7" w:rsidRDefault="00220BE7">
      <w:pPr>
        <w:pStyle w:val="Equation"/>
        <w:tabs>
          <w:tab w:val="left" w:pos="7371"/>
        </w:tabs>
        <w:rPr>
          <w:lang w:val="en-US"/>
        </w:rPr>
      </w:pPr>
      <w:r>
        <w:tab/>
      </w:r>
      <w:r>
        <w:tab/>
      </w:r>
      <w:r>
        <w:rPr>
          <w:rFonts w:ascii="Symbol" w:hAnsi="Symbol"/>
        </w:rPr>
        <w:t></w:t>
      </w:r>
      <w:r>
        <w:rPr>
          <w:iCs/>
          <w:position w:val="-4"/>
          <w:sz w:val="18"/>
          <w:lang w:val="es-ES_tradnl"/>
        </w:rPr>
        <w:t>1</w:t>
      </w:r>
      <w:r>
        <w:rPr>
          <w:lang w:val="es-ES_tradnl"/>
        </w:rPr>
        <w:t xml:space="preserve">  </w:t>
      </w:r>
      <w:r>
        <w:rPr>
          <w:rFonts w:ascii="Symbol" w:hAnsi="Symbol"/>
          <w:lang w:val="es-ES_tradnl"/>
        </w:rPr>
        <w:t></w:t>
      </w:r>
      <w:r>
        <w:rPr>
          <w:lang w:val="es-ES_tradnl"/>
        </w:rPr>
        <w:t xml:space="preserve">  </w:t>
      </w:r>
      <w:r>
        <w:rPr>
          <w:rFonts w:ascii="Symbol" w:hAnsi="Symbol"/>
        </w:rPr>
        <w:t></w:t>
      </w:r>
      <w:r>
        <w:rPr>
          <w:i/>
          <w:iCs/>
          <w:position w:val="-4"/>
          <w:sz w:val="18"/>
          <w:lang w:val="en-US"/>
        </w:rPr>
        <w:t>b</w:t>
      </w:r>
      <w:r>
        <w:rPr>
          <w:lang w:val="es-ES_tradnl"/>
        </w:rPr>
        <w:t xml:space="preserve"> </w:t>
      </w:r>
      <w:r>
        <w:rPr>
          <w:position w:val="-12"/>
          <w:lang w:val="es-ES_tradnl"/>
        </w:rPr>
        <w:object w:dxaOrig="9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19.2pt" o:ole="">
            <v:imagedata r:id="rId15" o:title=""/>
          </v:shape>
          <o:OLEObject Type="Embed" ProgID="Equation.3" ShapeID="_x0000_i1025" DrawAspect="Content" ObjectID="_1361254763" r:id="rId16"/>
        </w:object>
      </w:r>
      <w:r>
        <w:rPr>
          <w:lang w:val="es-ES_tradnl"/>
        </w:rPr>
        <w:tab/>
        <w:t>degrees</w:t>
      </w:r>
      <w:r>
        <w:rPr>
          <w:lang w:val="es-ES_tradnl"/>
        </w:rPr>
        <w:tab/>
        <w:t>(5)</w:t>
      </w:r>
    </w:p>
    <w:p w:rsidR="00220BE7" w:rsidRDefault="00220BE7">
      <w:pPr>
        <w:pStyle w:val="Equation"/>
        <w:tabs>
          <w:tab w:val="left" w:pos="7371"/>
        </w:tabs>
        <w:rPr>
          <w:lang w:val="en-US"/>
        </w:rPr>
      </w:pPr>
      <w:r>
        <w:rPr>
          <w:lang w:val="en-US"/>
        </w:rPr>
        <w:tab/>
      </w:r>
      <w:r>
        <w:rPr>
          <w:lang w:val="en-US"/>
        </w:rPr>
        <w:tab/>
      </w:r>
      <w:r>
        <w:rPr>
          <w:rFonts w:ascii="Symbol" w:hAnsi="Symbol"/>
        </w:rPr>
        <w:t></w:t>
      </w:r>
      <w:r>
        <w:rPr>
          <w:iCs/>
          <w:position w:val="-4"/>
          <w:sz w:val="18"/>
          <w:lang w:val="es-ES_tradnl"/>
        </w:rPr>
        <w:t>2</w:t>
      </w:r>
      <w:r>
        <w:rPr>
          <w:lang w:val="es-ES_tradnl"/>
        </w:rPr>
        <w:t xml:space="preserve">  </w:t>
      </w:r>
      <w:r>
        <w:rPr>
          <w:rFonts w:ascii="Symbol" w:hAnsi="Symbol"/>
          <w:lang w:val="es-ES_tradnl"/>
        </w:rPr>
        <w:t></w:t>
      </w:r>
      <w:r>
        <w:rPr>
          <w:lang w:val="es-ES_tradnl"/>
        </w:rPr>
        <w:t xml:space="preserve">  3.745 </w:t>
      </w:r>
      <w:r>
        <w:rPr>
          <w:rFonts w:ascii="Symbol" w:hAnsi="Symbol"/>
        </w:rPr>
        <w:t></w:t>
      </w:r>
      <w:r>
        <w:rPr>
          <w:i/>
          <w:iCs/>
          <w:position w:val="-4"/>
          <w:sz w:val="18"/>
          <w:lang w:val="en-US"/>
        </w:rPr>
        <w:t>b</w:t>
      </w:r>
      <w:r>
        <w:rPr>
          <w:lang w:val="es-ES_tradnl"/>
        </w:rPr>
        <w:tab/>
        <w:t>degrees</w:t>
      </w:r>
      <w:r>
        <w:rPr>
          <w:lang w:val="es-ES_tradnl"/>
        </w:rPr>
        <w:tab/>
        <w:t>(6)</w:t>
      </w:r>
    </w:p>
    <w:p w:rsidR="00220BE7" w:rsidRDefault="00220BE7">
      <w:pPr>
        <w:pStyle w:val="Equation"/>
        <w:tabs>
          <w:tab w:val="left" w:pos="7371"/>
        </w:tabs>
        <w:rPr>
          <w:lang w:val="fr-FR"/>
        </w:rPr>
      </w:pPr>
      <w:r>
        <w:rPr>
          <w:lang w:val="en-US"/>
        </w:rPr>
        <w:tab/>
      </w:r>
      <w:r>
        <w:rPr>
          <w:lang w:val="en-US"/>
        </w:rPr>
        <w:tab/>
      </w:r>
      <w:r>
        <w:rPr>
          <w:i/>
          <w:iCs/>
          <w:lang w:val="fr-FR"/>
        </w:rPr>
        <w:t>X</w:t>
      </w:r>
      <w:r>
        <w:rPr>
          <w:lang w:val="es-ES_tradnl"/>
        </w:rPr>
        <w:t xml:space="preserve">  </w:t>
      </w:r>
      <w:r>
        <w:rPr>
          <w:rFonts w:ascii="Symbol" w:hAnsi="Symbol"/>
          <w:lang w:val="es-ES_tradnl"/>
        </w:rPr>
        <w:t></w:t>
      </w:r>
      <w:r>
        <w:rPr>
          <w:lang w:val="es-ES_tradnl"/>
        </w:rPr>
        <w:t xml:space="preserve">  </w:t>
      </w:r>
      <w:r>
        <w:rPr>
          <w:i/>
          <w:lang w:val="es-ES_tradnl"/>
        </w:rPr>
        <w:t>G</w:t>
      </w:r>
      <w:r>
        <w:rPr>
          <w:i/>
          <w:position w:val="-4"/>
          <w:sz w:val="18"/>
          <w:lang w:val="es-ES_tradnl"/>
        </w:rPr>
        <w:t>m</w:t>
      </w:r>
      <w:r>
        <w:rPr>
          <w:lang w:val="es-ES_tradnl"/>
        </w:rPr>
        <w:t xml:space="preserve">  </w:t>
      </w:r>
      <w:r>
        <w:rPr>
          <w:rFonts w:ascii="Symbol" w:hAnsi="Symbol"/>
          <w:lang w:val="es-ES_tradnl"/>
        </w:rPr>
        <w:t></w:t>
      </w:r>
      <w:r>
        <w:rPr>
          <w:lang w:val="es-ES_tradnl"/>
        </w:rPr>
        <w:t xml:space="preserve">  </w:t>
      </w:r>
      <w:r>
        <w:rPr>
          <w:i/>
          <w:iCs/>
          <w:lang w:val="es-ES_tradnl"/>
        </w:rPr>
        <w:t>L</w:t>
      </w:r>
      <w:r>
        <w:rPr>
          <w:i/>
          <w:iCs/>
          <w:position w:val="-4"/>
          <w:sz w:val="18"/>
          <w:lang w:val="es-ES_tradnl"/>
        </w:rPr>
        <w:t>N</w:t>
      </w:r>
      <w:r>
        <w:rPr>
          <w:lang w:val="es-ES_tradnl"/>
        </w:rPr>
        <w:t xml:space="preserve">  </w:t>
      </w:r>
      <w:r>
        <w:rPr>
          <w:rFonts w:ascii="Symbol" w:hAnsi="Symbol"/>
          <w:lang w:val="es-ES_tradnl"/>
        </w:rPr>
        <w:t></w:t>
      </w:r>
      <w:r>
        <w:rPr>
          <w:lang w:val="es-ES_tradnl"/>
        </w:rPr>
        <w:t xml:space="preserve">  60 log (</w:t>
      </w:r>
      <w:r>
        <w:rPr>
          <w:rFonts w:ascii="Symbol" w:hAnsi="Symbol"/>
        </w:rPr>
        <w:t></w:t>
      </w:r>
      <w:r>
        <w:rPr>
          <w:iCs/>
          <w:position w:val="-4"/>
          <w:sz w:val="18"/>
          <w:lang w:val="es-ES_tradnl"/>
        </w:rPr>
        <w:t>2</w:t>
      </w:r>
      <w:r>
        <w:rPr>
          <w:lang w:val="es-ES_tradnl"/>
        </w:rPr>
        <w:t>)</w:t>
      </w:r>
      <w:r>
        <w:rPr>
          <w:lang w:val="es-ES_tradnl"/>
        </w:rPr>
        <w:tab/>
        <w:t>dB</w:t>
      </w:r>
      <w:r>
        <w:rPr>
          <w:lang w:val="es-ES_tradnl"/>
        </w:rPr>
        <w:tab/>
        <w:t>(7)</w:t>
      </w:r>
    </w:p>
    <w:p w:rsidR="00220BE7" w:rsidRDefault="00220BE7">
      <w:pPr>
        <w:pStyle w:val="Equation"/>
        <w:tabs>
          <w:tab w:val="left" w:pos="7371"/>
        </w:tabs>
        <w:rPr>
          <w:lang w:val="en-US"/>
        </w:rPr>
      </w:pPr>
      <w:r>
        <w:rPr>
          <w:lang w:val="fr-FR"/>
        </w:rPr>
        <w:tab/>
      </w:r>
      <w:r>
        <w:rPr>
          <w:lang w:val="fr-FR"/>
        </w:rPr>
        <w:tab/>
      </w:r>
      <w:r>
        <w:rPr>
          <w:rFonts w:ascii="Symbol" w:hAnsi="Symbol"/>
        </w:rPr>
        <w:t></w:t>
      </w:r>
      <w:r>
        <w:rPr>
          <w:iCs/>
          <w:position w:val="-4"/>
          <w:sz w:val="18"/>
          <w:lang w:val="es-ES_tradnl"/>
        </w:rPr>
        <w:t>3</w:t>
      </w:r>
      <w:r>
        <w:rPr>
          <w:lang w:val="es-ES_tradnl"/>
        </w:rPr>
        <w:t xml:space="preserve">  </w:t>
      </w:r>
      <w:r>
        <w:rPr>
          <w:rFonts w:ascii="Symbol" w:hAnsi="Symbol"/>
          <w:lang w:val="es-ES_tradnl"/>
        </w:rPr>
        <w:t></w:t>
      </w:r>
      <w:r>
        <w:rPr>
          <w:lang w:val="es-ES_tradnl"/>
        </w:rPr>
        <w:t xml:space="preserve">  </w:t>
      </w:r>
      <w:r>
        <w:rPr>
          <w:position w:val="-6"/>
          <w:lang w:val="es-ES_tradnl"/>
        </w:rPr>
        <w:object w:dxaOrig="840" w:dyaOrig="460">
          <v:shape id="_x0000_i1026" type="#_x0000_t75" style="width:42pt;height:22.8pt" o:ole="">
            <v:imagedata r:id="rId17" o:title=""/>
          </v:shape>
          <o:OLEObject Type="Embed" ProgID="Equation.3" ShapeID="_x0000_i1026" DrawAspect="Content" ObjectID="_1361254764" r:id="rId18"/>
        </w:object>
      </w:r>
      <w:r>
        <w:rPr>
          <w:lang w:val="es-ES_tradnl"/>
        </w:rPr>
        <w:tab/>
        <w:t>degrees</w:t>
      </w:r>
      <w:r>
        <w:rPr>
          <w:lang w:val="es-ES_tradnl"/>
        </w:rPr>
        <w:tab/>
        <w:t>(8)</w:t>
      </w:r>
    </w:p>
    <w:p w:rsidR="00220BE7" w:rsidRDefault="00220BE7">
      <w:r>
        <w:t xml:space="preserve">The 3 dB beamwidth </w:t>
      </w:r>
      <w:r>
        <w:rPr>
          <w:lang w:val="en-US"/>
        </w:rPr>
        <w:t>(2</w:t>
      </w:r>
      <w:r>
        <w:rPr>
          <w:rFonts w:ascii="Symbol" w:hAnsi="Symbol"/>
        </w:rPr>
        <w:t></w:t>
      </w:r>
      <w:r>
        <w:rPr>
          <w:i/>
          <w:iCs/>
          <w:position w:val="-4"/>
          <w:sz w:val="16"/>
          <w:lang w:val="es-ES_tradnl"/>
        </w:rPr>
        <w:t>b</w:t>
      </w:r>
      <w:r>
        <w:rPr>
          <w:lang w:val="en-US"/>
        </w:rPr>
        <w:t>)</w:t>
      </w:r>
      <w:r>
        <w:t xml:space="preserve"> is again estimated by:</w:t>
      </w:r>
    </w:p>
    <w:p w:rsidR="00220BE7" w:rsidRDefault="00220BE7">
      <w:pPr>
        <w:pStyle w:val="Equation"/>
        <w:rPr>
          <w:lang w:val="en-US"/>
        </w:rPr>
      </w:pPr>
      <w:r>
        <w:rPr>
          <w:lang w:val="en-US"/>
        </w:rPr>
        <w:tab/>
      </w:r>
      <w:r>
        <w:rPr>
          <w:lang w:val="en-US"/>
        </w:rPr>
        <w:tab/>
      </w:r>
      <w:r>
        <w:rPr>
          <w:rFonts w:ascii="Symbol" w:hAnsi="Symbol"/>
        </w:rPr>
        <w:t></w:t>
      </w:r>
      <w:r>
        <w:rPr>
          <w:i/>
          <w:iCs/>
          <w:position w:val="-4"/>
          <w:sz w:val="18"/>
          <w:lang w:val="en-US"/>
        </w:rPr>
        <w:t>b</w:t>
      </w:r>
      <w:r>
        <w:rPr>
          <w:lang w:val="es-ES_tradnl"/>
        </w:rPr>
        <w:t xml:space="preserve">  </w:t>
      </w:r>
      <w:r>
        <w:rPr>
          <w:rFonts w:ascii="Symbol" w:hAnsi="Symbol"/>
          <w:lang w:val="es-ES_tradnl"/>
        </w:rPr>
        <w:t></w:t>
      </w:r>
      <w:r>
        <w:rPr>
          <w:lang w:val="es-ES_tradnl"/>
        </w:rPr>
        <w:t xml:space="preserve">  </w:t>
      </w:r>
      <w:r>
        <w:rPr>
          <w:position w:val="-28"/>
          <w:lang w:val="es-ES_tradnl"/>
        </w:rPr>
        <w:object w:dxaOrig="980" w:dyaOrig="680">
          <v:shape id="_x0000_i1027" type="#_x0000_t75" style="width:49.2pt;height:34.2pt" o:ole="">
            <v:imagedata r:id="rId19" o:title=""/>
          </v:shape>
          <o:OLEObject Type="Embed" ProgID="Equation.3" ShapeID="_x0000_i1027" DrawAspect="Content" ObjectID="_1361254765" r:id="rId20"/>
        </w:object>
      </w:r>
      <w:r>
        <w:rPr>
          <w:lang w:val="es-ES_tradnl"/>
        </w:rPr>
        <w:tab/>
        <w:t>(9)</w:t>
      </w:r>
    </w:p>
    <w:p w:rsidR="00220BE7" w:rsidRDefault="00220BE7">
      <w:r>
        <w:t xml:space="preserve">where </w:t>
      </w:r>
      <w:r>
        <w:rPr>
          <w:i/>
          <w:lang w:val="es-ES_tradnl"/>
        </w:rPr>
        <w:t>G</w:t>
      </w:r>
      <w:r>
        <w:rPr>
          <w:i/>
          <w:position w:val="-4"/>
          <w:sz w:val="16"/>
          <w:lang w:val="es-ES_tradnl"/>
        </w:rPr>
        <w:t>m</w:t>
      </w:r>
      <w:r>
        <w:t xml:space="preserve"> is</w:t>
      </w:r>
      <w:r>
        <w:rPr>
          <w:b/>
        </w:rPr>
        <w:t xml:space="preserve"> </w:t>
      </w:r>
      <w:r>
        <w:t>the peak aperture gain (dBi);</w:t>
      </w:r>
    </w:p>
    <w:p w:rsidR="00220BE7" w:rsidRDefault="00220BE7">
      <w:pPr>
        <w:rPr>
          <w:lang w:val="es-ES_tradnl"/>
        </w:rPr>
      </w:pPr>
      <w:r>
        <w:rPr>
          <w:b/>
        </w:rPr>
        <w:br w:type="page"/>
      </w:r>
      <w:r>
        <w:rPr>
          <w:b/>
        </w:rPr>
        <w:lastRenderedPageBreak/>
        <w:t>3</w:t>
      </w:r>
      <w:r>
        <w:tab/>
        <w:t xml:space="preserve">that a HAPS operating as a base station to provide IMT-2000 should not exceed a co-channel pfd level of </w:t>
      </w:r>
      <w:r>
        <w:rPr>
          <w:position w:val="7"/>
          <w:lang w:val="es-ES_tradnl"/>
        </w:rPr>
        <w:t>_</w:t>
      </w:r>
      <w:r>
        <w:rPr>
          <w:sz w:val="4"/>
          <w:lang w:val="es-ES_tradnl"/>
        </w:rPr>
        <w:t> </w:t>
      </w:r>
      <w:r>
        <w:rPr>
          <w:lang w:val="es-ES_tradnl"/>
        </w:rPr>
        <w:t>1</w:t>
      </w:r>
      <w:r>
        <w:rPr>
          <w:lang w:val="en-US"/>
        </w:rPr>
        <w:t>21.5</w:t>
      </w:r>
      <w:r>
        <w:rPr>
          <w:lang w:val="es-ES_tradnl"/>
        </w:rPr>
        <w:t xml:space="preserve"> dB(W/(m</w:t>
      </w:r>
      <w:r>
        <w:rPr>
          <w:position w:val="6"/>
          <w:sz w:val="16"/>
          <w:lang w:val="es-ES_tradnl"/>
        </w:rPr>
        <w:t>2</w:t>
      </w:r>
      <w:r>
        <w:rPr>
          <w:lang w:val="es-ES_tradnl"/>
        </w:rPr>
        <w:t xml:space="preserve"> </w:t>
      </w:r>
      <w:r>
        <w:rPr>
          <w:rFonts w:ascii="Symbol" w:hAnsi="Symbol"/>
        </w:rPr>
        <w:t></w:t>
      </w:r>
      <w:r>
        <w:rPr>
          <w:lang w:val="es-ES_tradnl"/>
        </w:rPr>
        <w:t xml:space="preserve"> 1 MHz))</w:t>
      </w:r>
      <w:r>
        <w:t xml:space="preserve"> on the Earth’s surface outside an administration’s boundaries unless agreed otherwise with the affected neighbouring administration</w:t>
      </w:r>
      <w:r>
        <w:rPr>
          <w:rStyle w:val="FootnoteReference"/>
        </w:rPr>
        <w:footnoteReference w:customMarkFollows="1" w:id="5"/>
        <w:t>*</w:t>
      </w:r>
      <w:r>
        <w:t>.</w:t>
      </w:r>
      <w:r>
        <w:rPr>
          <w:b/>
        </w:rPr>
        <w:t xml:space="preserve"> </w:t>
      </w:r>
      <w:r>
        <w:t>The methodology provided in Annex 1 can be used by potentially affected administrations to evaluate whether the use of a HAPS as a base station to provide IMT-2000 is acceptable for their use of the band;</w:t>
      </w:r>
    </w:p>
    <w:p w:rsidR="00220BE7" w:rsidRDefault="00220BE7">
      <w:pPr>
        <w:rPr>
          <w:lang w:val="es-ES_tradnl"/>
        </w:rPr>
      </w:pPr>
      <w:r>
        <w:rPr>
          <w:b/>
        </w:rPr>
        <w:t>4</w:t>
      </w:r>
      <w:r>
        <w:tab/>
        <w:t xml:space="preserve">that a HAPS operating as a base station to provide IMT-2000, in order to protect mobile earth stations (MES) from interference, should not exceed an OoB pfd level of </w:t>
      </w:r>
      <w:r>
        <w:rPr>
          <w:lang w:val="es-ES_tradnl"/>
        </w:rPr>
        <w:t>–</w:t>
      </w:r>
      <w:r>
        <w:rPr>
          <w:sz w:val="4"/>
          <w:lang w:val="es-ES_tradnl"/>
        </w:rPr>
        <w:t> </w:t>
      </w:r>
      <w:r>
        <w:rPr>
          <w:lang w:val="es-ES_tradnl"/>
        </w:rPr>
        <w:t>1</w:t>
      </w:r>
      <w:r>
        <w:rPr>
          <w:lang w:val="en-US"/>
        </w:rPr>
        <w:t>65</w:t>
      </w:r>
      <w:r>
        <w:rPr>
          <w:lang w:val="es-ES_tradnl"/>
        </w:rPr>
        <w:t xml:space="preserve"> dB(W/(m</w:t>
      </w:r>
      <w:r>
        <w:rPr>
          <w:position w:val="6"/>
          <w:sz w:val="16"/>
          <w:lang w:val="es-ES_tradnl"/>
        </w:rPr>
        <w:t>2</w:t>
      </w:r>
      <w:r>
        <w:rPr>
          <w:lang w:val="es-ES_tradnl"/>
        </w:rPr>
        <w:t xml:space="preserve"> </w:t>
      </w:r>
      <w:r>
        <w:rPr>
          <w:rFonts w:ascii="Symbol" w:hAnsi="Symbol"/>
        </w:rPr>
        <w:t></w:t>
      </w:r>
      <w:r>
        <w:rPr>
          <w:lang w:val="es-ES_tradnl"/>
        </w:rPr>
        <w:t xml:space="preserve"> 4 kHz))</w:t>
      </w:r>
      <w:r>
        <w:t xml:space="preserve"> on the Earth’s surface in the bands 2</w:t>
      </w:r>
      <w:r>
        <w:rPr>
          <w:rFonts w:ascii="Tms Rmn" w:hAnsi="Tms Rmn"/>
          <w:sz w:val="12"/>
        </w:rPr>
        <w:t> </w:t>
      </w:r>
      <w:r>
        <w:t>160-2</w:t>
      </w:r>
      <w:r>
        <w:rPr>
          <w:rFonts w:ascii="Tms Rmn" w:hAnsi="Tms Rmn"/>
          <w:sz w:val="12"/>
        </w:rPr>
        <w:t> </w:t>
      </w:r>
      <w:r>
        <w:t>200 MHz in Region 2 and 2</w:t>
      </w:r>
      <w:r>
        <w:rPr>
          <w:rFonts w:ascii="Tms Rmn" w:hAnsi="Tms Rmn"/>
          <w:sz w:val="12"/>
        </w:rPr>
        <w:t> </w:t>
      </w:r>
      <w:r>
        <w:t>170-2</w:t>
      </w:r>
      <w:r>
        <w:rPr>
          <w:rFonts w:ascii="Tms Rmn" w:hAnsi="Tms Rmn"/>
          <w:sz w:val="12"/>
        </w:rPr>
        <w:t> </w:t>
      </w:r>
      <w:r>
        <w:t>200 MHz in Regions 1 and 3. Annex 2 provides the basis for this pfd level;</w:t>
      </w:r>
    </w:p>
    <w:p w:rsidR="00220BE7" w:rsidRDefault="00220BE7">
      <w:pPr>
        <w:rPr>
          <w:lang w:val="es-ES_tradnl"/>
        </w:rPr>
      </w:pPr>
      <w:r>
        <w:rPr>
          <w:b/>
        </w:rPr>
        <w:t>5</w:t>
      </w:r>
      <w:r>
        <w:tab/>
        <w:t>that a HAPS operating as a base station to provide IMT-2000, in order to protect fixed stations from interference, should not exceed an OoB pfd level on the Earth’s surface in the band 2</w:t>
      </w:r>
      <w:r>
        <w:rPr>
          <w:rFonts w:ascii="Tms Rmn" w:hAnsi="Tms Rmn"/>
          <w:sz w:val="12"/>
        </w:rPr>
        <w:t> </w:t>
      </w:r>
      <w:r>
        <w:t>025-2</w:t>
      </w:r>
      <w:r>
        <w:rPr>
          <w:rFonts w:ascii="Tms Rmn" w:hAnsi="Tms Rmn"/>
          <w:sz w:val="12"/>
        </w:rPr>
        <w:t> </w:t>
      </w:r>
      <w:r>
        <w:t>110 MHz of:</w:t>
      </w:r>
    </w:p>
    <w:p w:rsidR="00220BE7" w:rsidRDefault="00220BE7">
      <w:r>
        <w:t>5.1</w:t>
      </w:r>
      <w:r>
        <w:tab/>
      </w:r>
      <w:r>
        <w:rPr>
          <w:lang w:val="es-ES_tradnl"/>
        </w:rPr>
        <w:t>–</w:t>
      </w:r>
      <w:r>
        <w:rPr>
          <w:sz w:val="4"/>
          <w:lang w:val="es-ES_tradnl"/>
        </w:rPr>
        <w:t> </w:t>
      </w:r>
      <w:r>
        <w:rPr>
          <w:lang w:val="es-ES_tradnl"/>
        </w:rPr>
        <w:t>1</w:t>
      </w:r>
      <w:r>
        <w:rPr>
          <w:lang w:val="en-US"/>
        </w:rPr>
        <w:t>65</w:t>
      </w:r>
      <w:r>
        <w:rPr>
          <w:lang w:val="es-ES_tradnl"/>
        </w:rPr>
        <w:t xml:space="preserve"> dB(W/(m</w:t>
      </w:r>
      <w:r>
        <w:rPr>
          <w:position w:val="6"/>
          <w:sz w:val="16"/>
          <w:lang w:val="es-ES_tradnl"/>
        </w:rPr>
        <w:t>2</w:t>
      </w:r>
      <w:r>
        <w:rPr>
          <w:lang w:val="es-ES_tradnl"/>
        </w:rPr>
        <w:t xml:space="preserve"> </w:t>
      </w:r>
      <w:r>
        <w:rPr>
          <w:rFonts w:ascii="Symbol" w:hAnsi="Symbol"/>
        </w:rPr>
        <w:t></w:t>
      </w:r>
      <w:r>
        <w:rPr>
          <w:lang w:val="es-ES_tradnl"/>
        </w:rPr>
        <w:t xml:space="preserve"> </w:t>
      </w:r>
      <w:r>
        <w:rPr>
          <w:lang w:val="en-US"/>
        </w:rPr>
        <w:t xml:space="preserve">1 MHz)) </w:t>
      </w:r>
      <w:r>
        <w:t xml:space="preserve">for angles of arrival, </w:t>
      </w:r>
      <w:r>
        <w:sym w:font="Symbol" w:char="F071"/>
      </w:r>
      <w:r>
        <w:t>, less than 5° above the horizontal plane;</w:t>
      </w:r>
    </w:p>
    <w:p w:rsidR="00220BE7" w:rsidRDefault="00220BE7">
      <w:pPr>
        <w:ind w:left="794" w:hanging="794"/>
      </w:pPr>
      <w:r>
        <w:t>5.2</w:t>
      </w:r>
      <w:r>
        <w:tab/>
      </w:r>
      <w:r>
        <w:rPr>
          <w:lang w:val="es-ES_tradnl"/>
        </w:rPr>
        <w:t>–</w:t>
      </w:r>
      <w:r>
        <w:rPr>
          <w:sz w:val="4"/>
          <w:lang w:val="es-ES_tradnl"/>
        </w:rPr>
        <w:t> </w:t>
      </w:r>
      <w:r>
        <w:rPr>
          <w:lang w:val="es-ES_tradnl"/>
        </w:rPr>
        <w:t>1</w:t>
      </w:r>
      <w:r>
        <w:rPr>
          <w:lang w:val="en-US"/>
        </w:rPr>
        <w:t xml:space="preserve">65 </w:t>
      </w:r>
      <w:r>
        <w:rPr>
          <w:rFonts w:ascii="Symbol" w:hAnsi="Symbol"/>
          <w:lang w:val="fr-FR"/>
        </w:rPr>
        <w:t></w:t>
      </w:r>
      <w:r>
        <w:rPr>
          <w:lang w:val="en-US"/>
        </w:rPr>
        <w:t xml:space="preserve"> </w:t>
      </w:r>
      <w:r>
        <w:t xml:space="preserve">1.75 </w:t>
      </w:r>
      <w:r>
        <w:rPr>
          <w:lang w:val="en-US"/>
        </w:rPr>
        <w:t>(</w:t>
      </w:r>
      <w:r>
        <w:rPr>
          <w:rFonts w:ascii="Symbol" w:hAnsi="Symbol"/>
        </w:rPr>
        <w:t></w:t>
      </w:r>
      <w:r>
        <w:rPr>
          <w:lang w:val="en-US"/>
        </w:rPr>
        <w:t xml:space="preserve"> – 5) </w:t>
      </w:r>
      <w:r>
        <w:rPr>
          <w:lang w:val="es-ES_tradnl"/>
        </w:rPr>
        <w:t>dB(W/(m</w:t>
      </w:r>
      <w:r>
        <w:rPr>
          <w:position w:val="6"/>
          <w:sz w:val="16"/>
          <w:lang w:val="es-ES_tradnl"/>
        </w:rPr>
        <w:t>2</w:t>
      </w:r>
      <w:r>
        <w:rPr>
          <w:lang w:val="es-ES_tradnl"/>
        </w:rPr>
        <w:t xml:space="preserve"> </w:t>
      </w:r>
      <w:r>
        <w:rPr>
          <w:rFonts w:ascii="Symbol" w:hAnsi="Symbol"/>
        </w:rPr>
        <w:t></w:t>
      </w:r>
      <w:r>
        <w:rPr>
          <w:lang w:val="es-ES_tradnl"/>
        </w:rPr>
        <w:t xml:space="preserve"> </w:t>
      </w:r>
      <w:r>
        <w:rPr>
          <w:lang w:val="en-US"/>
        </w:rPr>
        <w:t>1 MHz))</w:t>
      </w:r>
      <w:r>
        <w:t xml:space="preserve"> for angles of arrival between 5° and 25° above the horizontal plane; and </w:t>
      </w:r>
    </w:p>
    <w:p w:rsidR="00220BE7" w:rsidRDefault="00220BE7">
      <w:r>
        <w:t>5.3</w:t>
      </w:r>
      <w:r>
        <w:tab/>
      </w:r>
      <w:r>
        <w:rPr>
          <w:lang w:val="es-ES_tradnl"/>
        </w:rPr>
        <w:t>–</w:t>
      </w:r>
      <w:r>
        <w:rPr>
          <w:sz w:val="4"/>
          <w:lang w:val="es-ES_tradnl"/>
        </w:rPr>
        <w:t> </w:t>
      </w:r>
      <w:r>
        <w:rPr>
          <w:lang w:val="en-US"/>
        </w:rPr>
        <w:t>130 dB(W/</w:t>
      </w:r>
      <w:r>
        <w:rPr>
          <w:lang w:val="es-ES_tradnl"/>
        </w:rPr>
        <w:t>(m</w:t>
      </w:r>
      <w:r>
        <w:rPr>
          <w:position w:val="6"/>
          <w:sz w:val="16"/>
          <w:lang w:val="es-ES_tradnl"/>
        </w:rPr>
        <w:t>2</w:t>
      </w:r>
      <w:r>
        <w:rPr>
          <w:lang w:val="es-ES_tradnl"/>
        </w:rPr>
        <w:t xml:space="preserve"> </w:t>
      </w:r>
      <w:r>
        <w:rPr>
          <w:rFonts w:ascii="Symbol" w:hAnsi="Symbol"/>
        </w:rPr>
        <w:t></w:t>
      </w:r>
      <w:r>
        <w:rPr>
          <w:lang w:val="es-ES_tradnl"/>
        </w:rPr>
        <w:t xml:space="preserve"> </w:t>
      </w:r>
      <w:r>
        <w:rPr>
          <w:lang w:val="en-US"/>
        </w:rPr>
        <w:t>1 MHz))</w:t>
      </w:r>
      <w:r>
        <w:t xml:space="preserve"> for angles of arrival between 25° and 90° above the horizontal plane.</w:t>
      </w:r>
    </w:p>
    <w:p w:rsidR="00220BE7" w:rsidRDefault="00220BE7">
      <w:r>
        <w:t>Annex 2 provides the basis for this pfd level;</w:t>
      </w:r>
    </w:p>
    <w:p w:rsidR="00220BE7" w:rsidRDefault="00220BE7">
      <w:r>
        <w:rPr>
          <w:b/>
        </w:rPr>
        <w:t>6</w:t>
      </w:r>
      <w:r>
        <w:tab/>
        <w:t>that a HAPS operating as a base station to provide IMT-2000 in accordance with the performance characteristics provided in Annex 1 will not interfere with space stations in the space science service operating in the band 2</w:t>
      </w:r>
      <w:r>
        <w:rPr>
          <w:rFonts w:ascii="Tms Rmn" w:hAnsi="Tms Rmn"/>
          <w:sz w:val="12"/>
        </w:rPr>
        <w:t> </w:t>
      </w:r>
      <w:r>
        <w:t>025-2</w:t>
      </w:r>
      <w:r>
        <w:rPr>
          <w:rFonts w:ascii="Tms Rmn" w:hAnsi="Tms Rmn"/>
          <w:sz w:val="12"/>
        </w:rPr>
        <w:t> </w:t>
      </w:r>
      <w:r>
        <w:t>110 MHz (see Annex 3);</w:t>
      </w:r>
    </w:p>
    <w:p w:rsidR="00220BE7" w:rsidRDefault="00220BE7">
      <w:r>
        <w:rPr>
          <w:b/>
        </w:rPr>
        <w:t>7</w:t>
      </w:r>
      <w:r>
        <w:tab/>
        <w:t>that performance enhancement techniques, such as the use of high performance transmit filtering, and a reduction of the number of spot beams, the number of users, and the power of the HAPS should be used by HAPS where necessary to avoid interference into stations operating in the fixed service, including point-to-multipoint (P-MP) systems, the mobile service, and the MSS in frequency bands adjacent to those used by HAPS.</w:t>
      </w:r>
    </w:p>
    <w:p w:rsidR="00220BE7" w:rsidRDefault="00220BE7"/>
    <w:p w:rsidR="00220BE7" w:rsidRDefault="00220BE7"/>
    <w:p w:rsidR="00220BE7" w:rsidRDefault="00220BE7"/>
    <w:p w:rsidR="00220BE7" w:rsidRDefault="00220BE7">
      <w:pPr>
        <w:pStyle w:val="Annex"/>
        <w:rPr>
          <w:lang w:val="en-US"/>
        </w:rPr>
      </w:pPr>
      <w:r>
        <w:rPr>
          <w:lang w:val="en-US"/>
        </w:rPr>
        <w:t>ANNEX  1</w:t>
      </w:r>
    </w:p>
    <w:p w:rsidR="00220BE7" w:rsidRDefault="00220BE7">
      <w:pPr>
        <w:pStyle w:val="AnnexTitle"/>
        <w:rPr>
          <w:lang w:val="es-ES_tradnl"/>
        </w:rPr>
      </w:pPr>
      <w:r>
        <w:t xml:space="preserve">Co-channel interference from HAPS operating as </w:t>
      </w:r>
      <w:r>
        <w:br/>
        <w:t>an IMT-2000 base station</w:t>
      </w:r>
    </w:p>
    <w:p w:rsidR="00220BE7" w:rsidRDefault="00220BE7">
      <w:pPr>
        <w:pStyle w:val="Heading1"/>
      </w:pPr>
      <w:r>
        <w:t>1</w:t>
      </w:r>
      <w:r>
        <w:tab/>
        <w:t>Power received as a function of the distance from nadir</w:t>
      </w:r>
    </w:p>
    <w:p w:rsidR="00220BE7" w:rsidRDefault="00220BE7">
      <w:r>
        <w:t>For frequency division duplex (FDD) mode, only HAPS systems employing terrestrial IMT-2000 CDMA and TDMA radio interfaces will be considered. Among the IMT-2000 FDD radio interfaces, only two, namely IMT-2000 CDMA direct spread and multi-carrier will be considered since the remaining technologies are closely related to one or the other. For IMT-2000 TDMA formats, only IMT-2000 TDMA single-carrier will be considered. The time division duplex (TDD) will not be considered because the time delay between the HAPS and the surface of the Earth makes TDD unsuitable for use by HAPS.</w:t>
      </w:r>
    </w:p>
    <w:p w:rsidR="00220BE7" w:rsidRDefault="00220BE7"/>
    <w:p w:rsidR="00220BE7" w:rsidRDefault="00220BE7"/>
    <w:p w:rsidR="00220BE7" w:rsidRDefault="00220BE7">
      <w:r>
        <w:br w:type="page"/>
      </w:r>
      <w:r>
        <w:lastRenderedPageBreak/>
        <w:t xml:space="preserve">Since IMT-2000 CDMA direct spread and IMT-2000 CDMA multi-carrier may require different carrier spacing, it would be appropriate to use pfd to compare the transmission characteristics of HAPS-based IMT-2000 CDMA direct spread implementation and HAPS-based IMT-2000 CDMA multi-carrier implementation. The maximum pfd for a fully loaded IMT-2000 CDMA direct spread system is </w:t>
      </w:r>
      <w:r>
        <w:rPr>
          <w:lang w:val="es-ES_tradnl"/>
        </w:rPr>
        <w:t>–</w:t>
      </w:r>
      <w:r>
        <w:rPr>
          <w:sz w:val="4"/>
          <w:lang w:val="es-ES_tradnl"/>
        </w:rPr>
        <w:t> </w:t>
      </w:r>
      <w:r>
        <w:rPr>
          <w:lang w:val="en-US"/>
        </w:rPr>
        <w:t>98.2</w:t>
      </w:r>
      <w:r>
        <w:rPr>
          <w:lang w:val="es-ES_tradnl"/>
        </w:rPr>
        <w:t xml:space="preserve"> dB(W/(m</w:t>
      </w:r>
      <w:r>
        <w:rPr>
          <w:position w:val="6"/>
          <w:sz w:val="16"/>
          <w:lang w:val="es-ES_tradnl"/>
        </w:rPr>
        <w:t>2</w:t>
      </w:r>
      <w:r>
        <w:rPr>
          <w:lang w:val="es-ES_tradnl"/>
        </w:rPr>
        <w:t xml:space="preserve"> </w:t>
      </w:r>
      <w:r>
        <w:rPr>
          <w:rFonts w:ascii="Symbol" w:hAnsi="Symbol"/>
        </w:rPr>
        <w:t></w:t>
      </w:r>
      <w:r>
        <w:rPr>
          <w:lang w:val="es-ES_tradnl"/>
        </w:rPr>
        <w:t xml:space="preserve"> 4 kHz))</w:t>
      </w:r>
      <w:r>
        <w:t xml:space="preserve">, whereas a fully loaded HAPS IMT-2000 CDMA multi-carrier has a pfd of </w:t>
      </w:r>
      <w:r>
        <w:rPr>
          <w:lang w:val="es-ES_tradnl"/>
        </w:rPr>
        <w:t>–</w:t>
      </w:r>
      <w:r>
        <w:rPr>
          <w:sz w:val="4"/>
          <w:lang w:val="es-ES_tradnl"/>
        </w:rPr>
        <w:t> </w:t>
      </w:r>
      <w:r>
        <w:rPr>
          <w:lang w:val="es-ES_tradnl"/>
        </w:rPr>
        <w:t>1</w:t>
      </w:r>
      <w:r>
        <w:rPr>
          <w:lang w:val="en-US"/>
        </w:rPr>
        <w:t>01.1</w:t>
      </w:r>
      <w:r>
        <w:rPr>
          <w:lang w:val="es-ES_tradnl"/>
        </w:rPr>
        <w:t xml:space="preserve"> dB(W/(m</w:t>
      </w:r>
      <w:r>
        <w:rPr>
          <w:position w:val="6"/>
          <w:sz w:val="16"/>
          <w:lang w:val="es-ES_tradnl"/>
        </w:rPr>
        <w:t>2</w:t>
      </w:r>
      <w:r>
        <w:rPr>
          <w:lang w:val="es-ES_tradnl"/>
        </w:rPr>
        <w:t xml:space="preserve"> </w:t>
      </w:r>
      <w:r>
        <w:rPr>
          <w:rFonts w:ascii="Symbol" w:hAnsi="Symbol"/>
        </w:rPr>
        <w:t></w:t>
      </w:r>
      <w:r>
        <w:rPr>
          <w:lang w:val="es-ES_tradnl"/>
        </w:rPr>
        <w:t xml:space="preserve"> 4 kHz))</w:t>
      </w:r>
      <w:r>
        <w:t>.</w:t>
      </w:r>
    </w:p>
    <w:p w:rsidR="00220BE7" w:rsidRDefault="00220BE7">
      <w:r>
        <w:t xml:space="preserve">For HAPS using IMT-2000 TDMA single-carrier format, the maximum pfd for a fully loaded HAPS TDMA system is </w:t>
      </w:r>
      <w:r>
        <w:rPr>
          <w:position w:val="7"/>
          <w:lang w:val="es-ES_tradnl"/>
        </w:rPr>
        <w:t>_</w:t>
      </w:r>
      <w:r>
        <w:rPr>
          <w:sz w:val="4"/>
          <w:lang w:val="es-ES_tradnl"/>
        </w:rPr>
        <w:t> </w:t>
      </w:r>
      <w:r>
        <w:rPr>
          <w:lang w:val="en-US"/>
        </w:rPr>
        <w:t>96.8</w:t>
      </w:r>
      <w:r>
        <w:rPr>
          <w:lang w:val="es-ES_tradnl"/>
        </w:rPr>
        <w:t xml:space="preserve"> dB(W/(m</w:t>
      </w:r>
      <w:r>
        <w:rPr>
          <w:position w:val="6"/>
          <w:sz w:val="16"/>
          <w:lang w:val="es-ES_tradnl"/>
        </w:rPr>
        <w:t>2</w:t>
      </w:r>
      <w:r>
        <w:rPr>
          <w:lang w:val="es-ES_tradnl"/>
        </w:rPr>
        <w:t xml:space="preserve"> </w:t>
      </w:r>
      <w:r>
        <w:rPr>
          <w:rFonts w:ascii="Symbol" w:hAnsi="Symbol"/>
        </w:rPr>
        <w:t></w:t>
      </w:r>
      <w:r>
        <w:rPr>
          <w:lang w:val="es-ES_tradnl"/>
        </w:rPr>
        <w:t xml:space="preserve"> 4 kHz))</w:t>
      </w:r>
      <w:r>
        <w:t>. This is slightly higher (by 1.4 dB) than the corresponding figure for the IMT-2000 CDMA direct spread format.</w:t>
      </w:r>
    </w:p>
    <w:p w:rsidR="00220BE7" w:rsidRDefault="00220BE7">
      <w:r>
        <w:t>The maximum pfd is computed based on a fully loaded HAPS IMT-2000 system with 700 beams.</w:t>
      </w:r>
    </w:p>
    <w:p w:rsidR="00220BE7" w:rsidRDefault="00220BE7">
      <w:r>
        <w:t>The calculations are based on the assumption that the HAPS is deployed at an altitude of 22 km.</w:t>
      </w:r>
    </w:p>
    <w:p w:rsidR="00220BE7" w:rsidRDefault="00220BE7">
      <w:pPr>
        <w:pStyle w:val="Heading2"/>
        <w:tabs>
          <w:tab w:val="clear" w:pos="794"/>
          <w:tab w:val="left" w:pos="795"/>
        </w:tabs>
        <w:ind w:left="795" w:hanging="795"/>
      </w:pPr>
      <w:r>
        <w:t>1.1</w:t>
      </w:r>
      <w:r>
        <w:tab/>
        <w:t>HAPS using IMT-2000 TDMA</w:t>
      </w:r>
    </w:p>
    <w:p w:rsidR="00220BE7" w:rsidRDefault="00220BE7">
      <w:r>
        <w:t xml:space="preserve">The total received spectral power at nadir can be computed from the pfd of </w:t>
      </w:r>
      <w:r>
        <w:rPr>
          <w:lang w:val="es-ES_tradnl"/>
        </w:rPr>
        <w:t>–</w:t>
      </w:r>
      <w:r>
        <w:rPr>
          <w:sz w:val="4"/>
          <w:lang w:val="es-ES_tradnl"/>
        </w:rPr>
        <w:t> </w:t>
      </w:r>
      <w:r>
        <w:rPr>
          <w:lang w:val="en-US"/>
        </w:rPr>
        <w:t>96.8</w:t>
      </w:r>
      <w:r>
        <w:rPr>
          <w:lang w:val="es-ES_tradnl"/>
        </w:rPr>
        <w:t xml:space="preserve"> dB(W/(m</w:t>
      </w:r>
      <w:r>
        <w:rPr>
          <w:position w:val="6"/>
          <w:sz w:val="16"/>
          <w:lang w:val="es-ES_tradnl"/>
        </w:rPr>
        <w:t>2</w:t>
      </w:r>
      <w:r>
        <w:rPr>
          <w:lang w:val="es-ES_tradnl"/>
        </w:rPr>
        <w:t xml:space="preserve"> </w:t>
      </w:r>
      <w:r>
        <w:rPr>
          <w:rFonts w:ascii="Symbol" w:hAnsi="Symbol"/>
        </w:rPr>
        <w:t></w:t>
      </w:r>
      <w:r>
        <w:rPr>
          <w:lang w:val="es-ES_tradnl"/>
        </w:rPr>
        <w:t xml:space="preserve"> 4 kHz))</w:t>
      </w:r>
      <w:r>
        <w:t xml:space="preserve"> and the effective antenna aperture of </w:t>
      </w:r>
      <w:r>
        <w:rPr>
          <w:lang w:val="es-ES_tradnl"/>
        </w:rPr>
        <w:t>–</w:t>
      </w:r>
      <w:r>
        <w:rPr>
          <w:sz w:val="4"/>
          <w:lang w:val="es-ES_tradnl"/>
        </w:rPr>
        <w:t> </w:t>
      </w:r>
      <w:r>
        <w:rPr>
          <w:lang w:val="en-US"/>
        </w:rPr>
        <w:t>27.5 dB(</w:t>
      </w:r>
      <w:r>
        <w:rPr>
          <w:lang w:val="es-ES_tradnl"/>
        </w:rPr>
        <w:t>m</w:t>
      </w:r>
      <w:r>
        <w:rPr>
          <w:position w:val="6"/>
          <w:sz w:val="16"/>
          <w:lang w:val="es-ES_tradnl"/>
        </w:rPr>
        <w:t>2</w:t>
      </w:r>
      <w:r>
        <w:rPr>
          <w:lang w:val="en-US"/>
        </w:rPr>
        <w:t>)</w:t>
      </w:r>
      <w:r>
        <w:t xml:space="preserve"> for the 0 dBi handset antenna. This gives </w:t>
      </w:r>
      <w:r>
        <w:rPr>
          <w:lang w:val="es-ES_tradnl"/>
        </w:rPr>
        <w:t>–</w:t>
      </w:r>
      <w:r>
        <w:rPr>
          <w:sz w:val="4"/>
          <w:lang w:val="es-ES_tradnl"/>
        </w:rPr>
        <w:t> </w:t>
      </w:r>
      <w:r>
        <w:rPr>
          <w:lang w:val="en-US"/>
        </w:rPr>
        <w:t>124.3 dB(W/4 kHz)</w:t>
      </w:r>
      <w:r>
        <w:t xml:space="preserve"> for the received spectral power density, which is 38.7 dB above the thermal noise level: </w:t>
      </w:r>
      <w:r>
        <w:rPr>
          <w:lang w:val="es-ES_tradnl"/>
        </w:rPr>
        <w:t>–</w:t>
      </w:r>
      <w:r>
        <w:rPr>
          <w:sz w:val="4"/>
          <w:lang w:val="es-ES_tradnl"/>
        </w:rPr>
        <w:t> </w:t>
      </w:r>
      <w:r>
        <w:rPr>
          <w:lang w:val="en-US"/>
        </w:rPr>
        <w:t>135.5 </w:t>
      </w:r>
      <w:r>
        <w:rPr>
          <w:lang w:val="es-ES_tradnl"/>
        </w:rPr>
        <w:t>dB(W/(m</w:t>
      </w:r>
      <w:r>
        <w:rPr>
          <w:position w:val="6"/>
          <w:sz w:val="16"/>
          <w:lang w:val="es-ES_tradnl"/>
        </w:rPr>
        <w:t>2</w:t>
      </w:r>
      <w:r>
        <w:rPr>
          <w:lang w:val="es-ES_tradnl"/>
        </w:rPr>
        <w:t xml:space="preserve"> </w:t>
      </w:r>
      <w:r>
        <w:rPr>
          <w:rFonts w:ascii="Symbol" w:hAnsi="Symbol"/>
        </w:rPr>
        <w:t></w:t>
      </w:r>
      <w:r>
        <w:rPr>
          <w:lang w:val="es-ES_tradnl"/>
        </w:rPr>
        <w:t xml:space="preserve"> 4 kHz))</w:t>
      </w:r>
      <w:r>
        <w:t xml:space="preserve"> based on the thermal power in an isotropic receiving antenna, –</w:t>
      </w:r>
      <w:r>
        <w:rPr>
          <w:sz w:val="4"/>
          <w:lang w:val="es-ES_tradnl"/>
        </w:rPr>
        <w:t> </w:t>
      </w:r>
      <w:r>
        <w:rPr>
          <w:lang w:val="en-US"/>
        </w:rPr>
        <w:t>204 dB(W/Hz)</w:t>
      </w:r>
      <w:r>
        <w:t xml:space="preserve"> at 299 K, and a 5 dB noise factor, and an aperture of an isotropic antenna at 2 GHz of </w:t>
      </w:r>
      <w:r>
        <w:rPr>
          <w:lang w:val="es-ES_tradnl"/>
        </w:rPr>
        <w:t>–</w:t>
      </w:r>
      <w:r>
        <w:rPr>
          <w:sz w:val="4"/>
          <w:lang w:val="es-ES_tradnl"/>
        </w:rPr>
        <w:t> </w:t>
      </w:r>
      <w:r>
        <w:rPr>
          <w:lang w:val="en-US"/>
        </w:rPr>
        <w:t>27.5 dB(</w:t>
      </w:r>
      <w:r>
        <w:rPr>
          <w:lang w:val="es-ES_tradnl"/>
        </w:rPr>
        <w:t>m</w:t>
      </w:r>
      <w:r>
        <w:rPr>
          <w:position w:val="6"/>
          <w:sz w:val="16"/>
          <w:lang w:val="es-ES_tradnl"/>
        </w:rPr>
        <w:t>2</w:t>
      </w:r>
      <w:r>
        <w:rPr>
          <w:lang w:val="en-US"/>
        </w:rPr>
        <w:t>)</w:t>
      </w:r>
      <w:r>
        <w:t xml:space="preserve">. Since the permissible interference level, </w:t>
      </w:r>
      <w:r>
        <w:rPr>
          <w:i/>
          <w:iCs/>
        </w:rPr>
        <w:t>I</w:t>
      </w:r>
      <w:r>
        <w:t>, is 10 dB below thermal noise level, the received spectral power density is 48.7 dB above the permissible level. Compare this level with the level of the aggregated far side-lobe interference which is 43.1 dB below the received power and one sees that the far side-lobe contribution is still 5.6 dB above the permissible level. Hence the far side lobe should be significant in the determination of the coordination distance. In fact, the far side-lobe contribution strongly affects the size of the coordination distance since once the aggregated far side-lobe level is reached, the only way that it will decrease is through the increase in free space path loss. The slow decrease of the far side-lobe interference level as a function of the distance from nadir causes the coordination distance to become large.</w:t>
      </w:r>
    </w:p>
    <w:p w:rsidR="00220BE7" w:rsidRDefault="00220BE7">
      <w:r>
        <w:t>The isoflux coverage arrangement produces an essentially flat pfd up to the edge of the main coverage zone, and then the pfd falls rapidly owing to both the roll-off of the antenna radiation profile away from the main lobe and the increasing free space path loss. This can be seen in Fig. 1, where the pfd profiles as functions of the distance from nadir are plotted for coverage radius of 8, 19, 27, 43, 62, 78, 108, 131 and 158 km, respectively. The maximum pfd is essentially independent of the coverage radius. To provide a 700-beam coverage of a main radius of only 8 km, a 12.5 m phased array antenna is needed in order to achieve a maximum antenna gain of 45.7 dBi.</w:t>
      </w:r>
    </w:p>
    <w:p w:rsidR="00220BE7" w:rsidRDefault="00220BE7">
      <w:r>
        <w:t>A HAPS using IMT-2000 TDMA single-carrier can provide wide-area coverage from a single HAPS. However, the possibility of interference between such wide-area coverage and the co-channel operation of an existing or planned tower-based IMT-2000 TDMA system within the same geographical area should be considered.</w:t>
      </w:r>
    </w:p>
    <w:p w:rsidR="00220BE7" w:rsidRDefault="00220BE7">
      <w:r>
        <w:t>Figure 4 shows the distance between the coordination boundary and the nadir of HAPS as a function of HAPS coverage radius.</w:t>
      </w:r>
    </w:p>
    <w:p w:rsidR="00220BE7" w:rsidRDefault="00220BE7">
      <w:pPr>
        <w:pStyle w:val="Heading2"/>
      </w:pPr>
      <w:r>
        <w:t>1.2</w:t>
      </w:r>
      <w:r>
        <w:tab/>
        <w:t>HAPS using IMT-2000 CDMA</w:t>
      </w:r>
    </w:p>
    <w:p w:rsidR="00220BE7" w:rsidRDefault="00220BE7">
      <w:r>
        <w:t xml:space="preserve">The total received spectral power at nadir can be computed from the pfd of </w:t>
      </w:r>
      <w:r>
        <w:rPr>
          <w:lang w:val="es-ES_tradnl"/>
        </w:rPr>
        <w:t>–</w:t>
      </w:r>
      <w:r>
        <w:rPr>
          <w:sz w:val="4"/>
          <w:lang w:val="es-ES_tradnl"/>
        </w:rPr>
        <w:t> </w:t>
      </w:r>
      <w:r>
        <w:rPr>
          <w:lang w:val="en-US"/>
        </w:rPr>
        <w:t>98.2</w:t>
      </w:r>
      <w:r>
        <w:rPr>
          <w:lang w:val="es-ES_tradnl"/>
        </w:rPr>
        <w:t xml:space="preserve"> dB(W/(m</w:t>
      </w:r>
      <w:r>
        <w:rPr>
          <w:position w:val="6"/>
          <w:sz w:val="16"/>
          <w:lang w:val="es-ES_tradnl"/>
        </w:rPr>
        <w:t>2</w:t>
      </w:r>
      <w:r>
        <w:rPr>
          <w:lang w:val="es-ES_tradnl"/>
        </w:rPr>
        <w:t xml:space="preserve"> </w:t>
      </w:r>
      <w:r>
        <w:rPr>
          <w:rFonts w:ascii="Symbol" w:hAnsi="Symbol"/>
        </w:rPr>
        <w:t></w:t>
      </w:r>
      <w:r>
        <w:rPr>
          <w:lang w:val="es-ES_tradnl"/>
        </w:rPr>
        <w:t xml:space="preserve"> 4 kHz))</w:t>
      </w:r>
      <w:r>
        <w:t xml:space="preserve"> and the effective antenna aperture of </w:t>
      </w:r>
      <w:r>
        <w:rPr>
          <w:lang w:val="es-ES_tradnl"/>
        </w:rPr>
        <w:t>–</w:t>
      </w:r>
      <w:r>
        <w:rPr>
          <w:sz w:val="4"/>
          <w:lang w:val="es-ES_tradnl"/>
        </w:rPr>
        <w:t> </w:t>
      </w:r>
      <w:r>
        <w:rPr>
          <w:lang w:val="en-US"/>
        </w:rPr>
        <w:t>27.5 dB(</w:t>
      </w:r>
      <w:r>
        <w:rPr>
          <w:lang w:val="es-ES_tradnl"/>
        </w:rPr>
        <w:t>m</w:t>
      </w:r>
      <w:r>
        <w:rPr>
          <w:position w:val="6"/>
          <w:sz w:val="16"/>
          <w:lang w:val="es-ES_tradnl"/>
        </w:rPr>
        <w:t>2</w:t>
      </w:r>
      <w:r>
        <w:rPr>
          <w:lang w:val="en-US"/>
        </w:rPr>
        <w:t>)</w:t>
      </w:r>
      <w:r>
        <w:t xml:space="preserve"> for the 0 dBi handset antenna. This gives –</w:t>
      </w:r>
      <w:r>
        <w:rPr>
          <w:sz w:val="4"/>
          <w:lang w:val="es-ES_tradnl"/>
        </w:rPr>
        <w:t> </w:t>
      </w:r>
      <w:r>
        <w:rPr>
          <w:lang w:val="en-US"/>
        </w:rPr>
        <w:t>125.7 dB(W/4 kHz)</w:t>
      </w:r>
      <w:r>
        <w:t xml:space="preserve"> for the received spectral power density, which is 37.3 dB above the thermal noise level. If the permissible interference level, </w:t>
      </w:r>
      <w:r>
        <w:rPr>
          <w:i/>
          <w:iCs/>
        </w:rPr>
        <w:t>I</w:t>
      </w:r>
      <w:r>
        <w:t>, is 10 dB below thermal noise level, then the received spectral power density is 47.3 dB above the permissible level. Compare this level with the level of the aggregated far side-lobe interference which is 44.5 dB below the received power, one sees that the far side-lobe contribution is still 2.8 dB above the permissible level. Hence the far side lobe should be significant in the determination of the coordination distance. In fact, the far side-lobe contribution strongly affects the size of the coordination distance since once the aggregated far side-lobe level is reached, the only way that it will decrease is through the increase in free space path loss.</w:t>
      </w:r>
    </w:p>
    <w:p w:rsidR="00220BE7" w:rsidRDefault="00220BE7">
      <w:pPr>
        <w:pStyle w:val="Fig"/>
      </w:pPr>
      <w:r>
        <w:br w:type="page"/>
      </w:r>
      <w:r w:rsidR="00737A63">
        <w:rPr>
          <w:noProof/>
          <w:lang w:eastAsia="zh-CN"/>
        </w:rPr>
        <w:lastRenderedPageBreak/>
        <w:drawing>
          <wp:inline distT="0" distB="0" distL="0" distR="0">
            <wp:extent cx="5981700" cy="5981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1700" cy="5981700"/>
                    </a:xfrm>
                    <a:prstGeom prst="rect">
                      <a:avLst/>
                    </a:prstGeom>
                    <a:noFill/>
                    <a:ln>
                      <a:noFill/>
                    </a:ln>
                  </pic:spPr>
                </pic:pic>
              </a:graphicData>
            </a:graphic>
          </wp:inline>
        </w:drawing>
      </w:r>
    </w:p>
    <w:p w:rsidR="00220BE7" w:rsidRDefault="00220BE7"/>
    <w:p w:rsidR="00220BE7" w:rsidRDefault="00220BE7"/>
    <w:p w:rsidR="00220BE7" w:rsidRDefault="00220BE7"/>
    <w:p w:rsidR="00220BE7" w:rsidRDefault="00220BE7">
      <w:r>
        <w:rPr>
          <w:spacing w:val="-2"/>
        </w:rPr>
        <w:t xml:space="preserve">The isoflux coverage arrangement produces an essentially flat pfd up to the edge of the main coverage zone, and then the pfd falls rapidly owing to both the roll-off of the antenna radiation profile away from the main lobe and the increasing free space path loss. This can be seen in </w:t>
      </w:r>
      <w:r>
        <w:rPr>
          <w:lang w:val="en-US"/>
        </w:rPr>
        <w:t>Fig. </w:t>
      </w:r>
      <w:r>
        <w:rPr>
          <w:spacing w:val="-2"/>
        </w:rPr>
        <w:t>2, where the pfd profiles as functions of the distance from nadir are plotted for coverage radius of 8, 19, 27, 43, 62, 78, 108, 131 and 158 km, respectively. The maximum pfd is essentially independent of the coverage radius. To provide a 700-beam coverage of a main radius of only 8 km, a 12.5 m phased array</w:t>
      </w:r>
      <w:r>
        <w:rPr>
          <w:rFonts w:ascii="Arial" w:hAnsi="Arial"/>
          <w:spacing w:val="-2"/>
        </w:rPr>
        <w:t xml:space="preserve"> </w:t>
      </w:r>
      <w:r>
        <w:rPr>
          <w:spacing w:val="-2"/>
        </w:rPr>
        <w:t>antenna is needed in order to achieve a maximum antenna gain of</w:t>
      </w:r>
      <w:r>
        <w:rPr>
          <w:rFonts w:ascii="Arial" w:hAnsi="Arial"/>
          <w:spacing w:val="-2"/>
        </w:rPr>
        <w:t xml:space="preserve"> </w:t>
      </w:r>
      <w:r>
        <w:rPr>
          <w:spacing w:val="-2"/>
        </w:rPr>
        <w:t>45.7 dBi</w:t>
      </w:r>
      <w:r>
        <w:rPr>
          <w:rFonts w:ascii="Arial" w:hAnsi="Arial"/>
          <w:spacing w:val="-2"/>
        </w:rPr>
        <w:t>.</w:t>
      </w:r>
      <w:r>
        <w:rPr>
          <w:rFonts w:ascii="Arial" w:hAnsi="Arial"/>
        </w:rPr>
        <w:t xml:space="preserve"> </w:t>
      </w:r>
      <w:r>
        <w:t xml:space="preserve">Figure 3 shows the relationship between the coordination distance and the HAPS coverage radius and </w:t>
      </w:r>
      <w:r>
        <w:rPr>
          <w:lang w:val="en-US"/>
        </w:rPr>
        <w:t>Fig. </w:t>
      </w:r>
      <w:r>
        <w:t>5 shows the distance between the coordination boundary and the nadir of HAPS as a function of HAPS coverage radius.</w:t>
      </w:r>
    </w:p>
    <w:p w:rsidR="00220BE7" w:rsidRDefault="00220BE7">
      <w:pPr>
        <w:pStyle w:val="Heading1"/>
      </w:pPr>
      <w:r>
        <w:t>2</w:t>
      </w:r>
      <w:r>
        <w:tab/>
        <w:t>Interference criteria</w:t>
      </w:r>
    </w:p>
    <w:p w:rsidR="00220BE7" w:rsidRDefault="00220BE7">
      <w:r>
        <w:t>Co-channel interference between a HAPS-based terrestrial IMT-2000 system and a tower-based terrestrial IMT-2000 system or that of a fixed service system operating in the same band is most likely to occur at the boundary between the two coverage areas.</w:t>
      </w:r>
    </w:p>
    <w:p w:rsidR="00220BE7" w:rsidRDefault="00220BE7">
      <w:pPr>
        <w:pStyle w:val="Fig"/>
      </w:pPr>
      <w:r>
        <w:br w:type="page"/>
      </w:r>
      <w:r w:rsidR="00737A63">
        <w:rPr>
          <w:noProof/>
          <w:lang w:eastAsia="zh-CN"/>
        </w:rPr>
        <w:lastRenderedPageBreak/>
        <w:drawing>
          <wp:inline distT="0" distB="0" distL="0" distR="0">
            <wp:extent cx="5981700" cy="5958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1700" cy="5958840"/>
                    </a:xfrm>
                    <a:prstGeom prst="rect">
                      <a:avLst/>
                    </a:prstGeom>
                    <a:noFill/>
                    <a:ln>
                      <a:noFill/>
                    </a:ln>
                  </pic:spPr>
                </pic:pic>
              </a:graphicData>
            </a:graphic>
          </wp:inline>
        </w:drawing>
      </w:r>
    </w:p>
    <w:p w:rsidR="00220BE7" w:rsidRDefault="00220BE7"/>
    <w:p w:rsidR="00220BE7" w:rsidRDefault="00220BE7">
      <w:r>
        <w:t xml:space="preserve">The permissible interference criterion of </w:t>
      </w:r>
      <w:r>
        <w:rPr>
          <w:i/>
          <w:iCs/>
        </w:rPr>
        <w:t>I</w:t>
      </w:r>
      <w:r>
        <w:t>/</w:t>
      </w:r>
      <w:r>
        <w:rPr>
          <w:i/>
          <w:iCs/>
        </w:rPr>
        <w:t>N</w:t>
      </w:r>
      <w:r>
        <w:rPr>
          <w:i/>
          <w:iCs/>
          <w:position w:val="-4"/>
          <w:sz w:val="16"/>
        </w:rPr>
        <w:t>thermal</w:t>
      </w:r>
      <w:r>
        <w:t xml:space="preserve"> </w:t>
      </w:r>
      <w:r>
        <w:rPr>
          <w:rFonts w:ascii="Symbol" w:hAnsi="Symbol"/>
        </w:rPr>
        <w:t></w:t>
      </w:r>
      <w:r>
        <w:t xml:space="preserve"> </w:t>
      </w:r>
      <w:r>
        <w:rPr>
          <w:lang w:val="es-ES_tradnl"/>
        </w:rPr>
        <w:t>–</w:t>
      </w:r>
      <w:r>
        <w:rPr>
          <w:sz w:val="4"/>
          <w:lang w:val="es-ES_tradnl"/>
        </w:rPr>
        <w:t> </w:t>
      </w:r>
      <w:r>
        <w:t xml:space="preserve">10 dB will be used for victim handsets irrespective of the access format of the victim radio interface. The same permissible interference criterion will also be applied to victim base stations. It should be noted that if the victim handset uses a CDMA access format, it is less susceptible to co-channel interference since in a CDMA system, self interference is usually far greater than thermal noise level. However, </w:t>
      </w:r>
      <w:r>
        <w:br/>
        <w:t>at the fringe of the victim CDMA coverage, where self interference falls far below noise level, the presence of interference from HAPS can still reduce the range of the victim CDMA coverage. Hence in this Recommendation, the </w:t>
      </w:r>
      <w:r>
        <w:rPr>
          <w:i/>
          <w:iCs/>
        </w:rPr>
        <w:t>I</w:t>
      </w:r>
      <w:r>
        <w:t>/</w:t>
      </w:r>
      <w:r>
        <w:rPr>
          <w:i/>
          <w:iCs/>
        </w:rPr>
        <w:t>N</w:t>
      </w:r>
      <w:r>
        <w:rPr>
          <w:i/>
          <w:iCs/>
          <w:position w:val="-4"/>
          <w:sz w:val="16"/>
        </w:rPr>
        <w:t>thermal</w:t>
      </w:r>
      <w:r>
        <w:t xml:space="preserve"> </w:t>
      </w:r>
      <w:r>
        <w:rPr>
          <w:rFonts w:ascii="Symbol" w:hAnsi="Symbol"/>
        </w:rPr>
        <w:t></w:t>
      </w:r>
      <w:r>
        <w:t xml:space="preserve"> –</w:t>
      </w:r>
      <w:r>
        <w:rPr>
          <w:sz w:val="4"/>
          <w:lang w:val="es-ES_tradnl"/>
        </w:rPr>
        <w:t> </w:t>
      </w:r>
      <w:r>
        <w:t>10 dB permissible interference criterion is uniformly applied irrespective of the victim access format.</w:t>
      </w:r>
    </w:p>
    <w:p w:rsidR="00220BE7" w:rsidRDefault="00220BE7">
      <w:r>
        <w:t xml:space="preserve">Note that the criterion </w:t>
      </w:r>
      <w:r>
        <w:rPr>
          <w:i/>
          <w:iCs/>
        </w:rPr>
        <w:t>I</w:t>
      </w:r>
      <w:r>
        <w:t>/</w:t>
      </w:r>
      <w:r>
        <w:rPr>
          <w:i/>
          <w:iCs/>
        </w:rPr>
        <w:t>N</w:t>
      </w:r>
      <w:r>
        <w:rPr>
          <w:i/>
          <w:iCs/>
          <w:position w:val="-4"/>
          <w:sz w:val="16"/>
        </w:rPr>
        <w:t>thermal</w:t>
      </w:r>
      <w:r>
        <w:t xml:space="preserve"> </w:t>
      </w:r>
      <w:r>
        <w:rPr>
          <w:rFonts w:ascii="Symbol" w:hAnsi="Symbol"/>
        </w:rPr>
        <w:t></w:t>
      </w:r>
      <w:r>
        <w:t xml:space="preserve"> </w:t>
      </w:r>
      <w:r>
        <w:rPr>
          <w:lang w:val="es-ES_tradnl"/>
        </w:rPr>
        <w:t>–</w:t>
      </w:r>
      <w:r>
        <w:rPr>
          <w:sz w:val="4"/>
          <w:lang w:val="es-ES_tradnl"/>
        </w:rPr>
        <w:t> </w:t>
      </w:r>
      <w:r>
        <w:t>10 dB allows the aggregate interference to the receiving system of a single beam to degrade the performance by no more than 0.4 dB.</w:t>
      </w:r>
    </w:p>
    <w:p w:rsidR="00220BE7" w:rsidRDefault="00220BE7">
      <w:r>
        <w:t>An approximate formula for the computation of the required coordination distance between HAPS-based base station and victim mobile stations is given below.</w:t>
      </w:r>
    </w:p>
    <w:p w:rsidR="00220BE7" w:rsidRDefault="00220BE7">
      <w:r>
        <w:t>Owing to high antenna gains, it is possible to approximate the coordination distance calculation with the following formulae. The formulae are valid for main coverage radius (for HAPS) of less than 132 km. Two cases will be considered. They are distinguished by whether the far side-lobe aggregation is the dominant contribution or not. A unified formula is given that bridges the gap.</w:t>
      </w:r>
    </w:p>
    <w:p w:rsidR="00220BE7" w:rsidRDefault="00220BE7">
      <w:r>
        <w:br w:type="page"/>
      </w:r>
      <w:r>
        <w:lastRenderedPageBreak/>
        <w:t>In the case where the victim handset is predominantly interfered by the aggregated far side-lobe, emission is considered first.</w:t>
      </w:r>
    </w:p>
    <w:p w:rsidR="00220BE7" w:rsidRDefault="00220BE7">
      <w:r>
        <w:t>The interference power received by the victim handset in this case is given by:</w:t>
      </w:r>
    </w:p>
    <w:p w:rsidR="00220BE7" w:rsidRDefault="00220BE7">
      <w:pPr>
        <w:pStyle w:val="Equation"/>
        <w:tabs>
          <w:tab w:val="left" w:pos="567"/>
        </w:tabs>
      </w:pPr>
      <w:r>
        <w:rPr>
          <w:i/>
          <w:iCs/>
        </w:rPr>
        <w:tab/>
        <w:t>I</w:t>
      </w:r>
      <w:r>
        <w:t xml:space="preserve">  </w:t>
      </w:r>
      <w:r>
        <w:rPr>
          <w:rFonts w:ascii="Symbol" w:hAnsi="Symbol"/>
        </w:rPr>
        <w:t></w:t>
      </w:r>
      <w:r>
        <w:t xml:space="preserve">  </w:t>
      </w:r>
      <w:r>
        <w:rPr>
          <w:position w:val="-10"/>
          <w:lang w:val="es-ES_tradnl"/>
        </w:rPr>
        <w:object w:dxaOrig="620" w:dyaOrig="320">
          <v:shape id="_x0000_i1028" type="#_x0000_t75" style="width:31.2pt;height:16.2pt" o:ole="">
            <v:imagedata r:id="rId23" o:title=""/>
          </v:shape>
          <o:OLEObject Type="Embed" ProgID="Equation.3" ShapeID="_x0000_i1028" DrawAspect="Content" ObjectID="_1361254766" r:id="rId24"/>
        </w:object>
      </w:r>
      <w:r>
        <w:t xml:space="preserve"> </w:t>
      </w:r>
      <w:r>
        <w:rPr>
          <w:rFonts w:ascii="Symbol" w:hAnsi="Symbol"/>
        </w:rPr>
        <w:t></w:t>
      </w:r>
      <w:r>
        <w:t xml:space="preserve">  </w:t>
      </w:r>
      <w:r>
        <w:rPr>
          <w:position w:val="-10"/>
          <w:lang w:val="es-ES_tradnl"/>
        </w:rPr>
        <w:object w:dxaOrig="620" w:dyaOrig="320">
          <v:shape id="_x0000_i1029" type="#_x0000_t75" style="width:31.2pt;height:16.2pt" o:ole="">
            <v:imagedata r:id="rId25" o:title=""/>
          </v:shape>
          <o:OLEObject Type="Embed" ProgID="Equation.3" ShapeID="_x0000_i1029" DrawAspect="Content" ObjectID="_1361254767" r:id="rId26"/>
        </w:object>
      </w:r>
      <w:r>
        <w:t xml:space="preserve"> –  10 log</w:t>
      </w:r>
      <w:r>
        <w:rPr>
          <w:position w:val="-18"/>
        </w:rPr>
        <w:object w:dxaOrig="900" w:dyaOrig="460">
          <v:shape id="_x0000_i1030" type="#_x0000_t75" style="width:45pt;height:22.8pt" o:ole="">
            <v:imagedata r:id="rId27" o:title=""/>
          </v:shape>
          <o:OLEObject Type="Embed" ProgID="Equation.3" ShapeID="_x0000_i1030" DrawAspect="Content" ObjectID="_1361254768" r:id="rId28"/>
        </w:object>
      </w:r>
      <w:r>
        <w:t xml:space="preserve">  </w:t>
      </w:r>
      <w:r>
        <w:rPr>
          <w:rFonts w:ascii="Symbol" w:hAnsi="Symbol"/>
        </w:rPr>
        <w:t></w:t>
      </w:r>
      <w:r>
        <w:t xml:space="preserve">  10 log</w:t>
      </w:r>
      <w:r>
        <w:rPr>
          <w:position w:val="-10"/>
        </w:rPr>
        <w:object w:dxaOrig="1219" w:dyaOrig="380">
          <v:shape id="_x0000_i1031" type="#_x0000_t75" style="width:61.2pt;height:19.2pt" o:ole="">
            <v:imagedata r:id="rId29" o:title=""/>
          </v:shape>
          <o:OLEObject Type="Embed" ProgID="Equation.3" ShapeID="_x0000_i1031" DrawAspect="Content" ObjectID="_1361254769" r:id="rId30"/>
        </w:object>
      </w:r>
      <w:r>
        <w:t xml:space="preserve">  </w:t>
      </w:r>
      <w:r>
        <w:rPr>
          <w:rFonts w:ascii="Symbol" w:hAnsi="Symbol"/>
        </w:rPr>
        <w:t></w:t>
      </w:r>
      <w:r>
        <w:t xml:space="preserve">  10 log(</w:t>
      </w:r>
      <w:r>
        <w:rPr>
          <w:i/>
          <w:iCs/>
        </w:rPr>
        <w:t>Num</w:t>
      </w:r>
      <w:r>
        <w:t xml:space="preserve">)  –  </w:t>
      </w:r>
      <w:r>
        <w:rPr>
          <w:i/>
          <w:iCs/>
        </w:rPr>
        <w:t>F</w:t>
      </w:r>
      <w:r>
        <w:t>      dB</w:t>
      </w:r>
      <w:r>
        <w:tab/>
        <w:t>(10)</w:t>
      </w:r>
    </w:p>
    <w:p w:rsidR="00220BE7" w:rsidRDefault="00220BE7">
      <w:pPr>
        <w:rPr>
          <w:lang w:val="es-ES_tradnl"/>
        </w:rPr>
      </w:pPr>
      <w:r>
        <w:t>where</w:t>
      </w:r>
      <w:r>
        <w:rPr>
          <w:lang w:val="en-US"/>
        </w:rPr>
        <w:t>:</w:t>
      </w:r>
    </w:p>
    <w:p w:rsidR="00220BE7" w:rsidRDefault="00220BE7">
      <w:pPr>
        <w:pStyle w:val="enumlev1"/>
        <w:tabs>
          <w:tab w:val="left" w:pos="1899"/>
        </w:tabs>
        <w:spacing w:line="240" w:lineRule="exact"/>
        <w:ind w:left="1956" w:hanging="1956"/>
        <w:rPr>
          <w:lang w:val="es-ES_tradnl"/>
        </w:rPr>
      </w:pPr>
      <w:r>
        <w:rPr>
          <w:lang w:val="es-ES_tradnl"/>
        </w:rPr>
        <w:tab/>
      </w:r>
      <w:r>
        <w:rPr>
          <w:i/>
          <w:lang w:val="es-ES_tradnl"/>
        </w:rPr>
        <w:t>h</w:t>
      </w:r>
      <w:r>
        <w:rPr>
          <w:rFonts w:ascii="Tms Rmn" w:hAnsi="Tms Rmn"/>
          <w:sz w:val="12"/>
          <w:lang w:val="es-ES_tradnl"/>
        </w:rPr>
        <w:t> </w:t>
      </w:r>
      <w:r>
        <w:rPr>
          <w:lang w:val="es-ES_tradnl"/>
        </w:rPr>
        <w:t>:</w:t>
      </w:r>
      <w:r>
        <w:rPr>
          <w:lang w:val="es-ES_tradnl"/>
        </w:rPr>
        <w:tab/>
      </w:r>
      <w:r>
        <w:t>altitude of HAPS</w:t>
      </w:r>
    </w:p>
    <w:p w:rsidR="00220BE7" w:rsidRDefault="00220BE7">
      <w:pPr>
        <w:pStyle w:val="enumlev1"/>
        <w:tabs>
          <w:tab w:val="left" w:pos="1899"/>
        </w:tabs>
        <w:spacing w:line="240" w:lineRule="exact"/>
        <w:ind w:left="1956" w:hanging="1956"/>
        <w:rPr>
          <w:lang w:val="es-ES_tradnl"/>
        </w:rPr>
      </w:pPr>
      <w:r>
        <w:rPr>
          <w:lang w:val="es-ES_tradnl"/>
        </w:rPr>
        <w:tab/>
      </w:r>
      <w:r>
        <w:rPr>
          <w:i/>
          <w:lang w:val="es-ES_tradnl"/>
        </w:rPr>
        <w:t>r</w:t>
      </w:r>
      <w:r>
        <w:rPr>
          <w:rFonts w:ascii="Tms Rmn" w:hAnsi="Tms Rmn"/>
          <w:sz w:val="12"/>
          <w:lang w:val="es-ES_tradnl"/>
        </w:rPr>
        <w:t> </w:t>
      </w:r>
      <w:r>
        <w:rPr>
          <w:lang w:val="es-ES_tradnl"/>
        </w:rPr>
        <w:t>:</w:t>
      </w:r>
      <w:r>
        <w:rPr>
          <w:lang w:val="es-ES_tradnl"/>
        </w:rPr>
        <w:tab/>
      </w:r>
      <w:r>
        <w:t>distance of the victim handset from nadir</w:t>
      </w:r>
    </w:p>
    <w:p w:rsidR="00220BE7" w:rsidRDefault="00220BE7">
      <w:pPr>
        <w:pStyle w:val="enumlev1"/>
        <w:tabs>
          <w:tab w:val="clear" w:pos="397"/>
          <w:tab w:val="left" w:pos="340"/>
          <w:tab w:val="left" w:pos="1899"/>
        </w:tabs>
        <w:spacing w:line="240" w:lineRule="exact"/>
        <w:ind w:left="1899" w:hanging="1899"/>
        <w:rPr>
          <w:lang w:val="es-ES_tradnl"/>
        </w:rPr>
      </w:pPr>
      <w:r>
        <w:rPr>
          <w:lang w:val="es-ES_tradnl"/>
        </w:rPr>
        <w:tab/>
      </w:r>
      <w:r>
        <w:rPr>
          <w:position w:val="-10"/>
          <w:lang w:val="es-ES_tradnl"/>
        </w:rPr>
        <w:object w:dxaOrig="560" w:dyaOrig="320">
          <v:shape id="_x0000_i1032" type="#_x0000_t75" style="width:28.2pt;height:16.2pt" o:ole="">
            <v:imagedata r:id="rId31" o:title=""/>
          </v:shape>
          <o:OLEObject Type="Embed" ProgID="Equation.3" ShapeID="_x0000_i1032" DrawAspect="Content" ObjectID="_1361254770" r:id="rId32"/>
        </w:object>
      </w:r>
      <w:r>
        <w:rPr>
          <w:lang w:val="es-ES_tradnl"/>
        </w:rPr>
        <w:t xml:space="preserve"> </w:t>
      </w:r>
      <w:r>
        <w:rPr>
          <w:lang w:val="en-US"/>
        </w:rPr>
        <w:t xml:space="preserve">– </w:t>
      </w:r>
      <w:r>
        <w:rPr>
          <w:position w:val="-10"/>
          <w:lang w:val="es-ES_tradnl"/>
        </w:rPr>
        <w:object w:dxaOrig="560" w:dyaOrig="320">
          <v:shape id="_x0000_i1033" type="#_x0000_t75" style="width:28.2pt;height:16.2pt" o:ole="">
            <v:imagedata r:id="rId33" o:title=""/>
          </v:shape>
          <o:OLEObject Type="Embed" ProgID="Equation.3" ShapeID="_x0000_i1033" DrawAspect="Content" ObjectID="_1361254771" r:id="rId34"/>
        </w:object>
      </w:r>
      <w:r>
        <w:rPr>
          <w:lang w:val="es-ES_tradnl"/>
        </w:rPr>
        <w:t>:</w:t>
      </w:r>
      <w:r>
        <w:rPr>
          <w:lang w:val="es-ES_tradnl"/>
        </w:rPr>
        <w:tab/>
      </w:r>
      <w:r>
        <w:t>level of received interference power below the main lobe power at the boresight of the nearest HAPS beam</w:t>
      </w:r>
    </w:p>
    <w:p w:rsidR="00220BE7" w:rsidRDefault="00220BE7">
      <w:pPr>
        <w:pStyle w:val="enumlev1"/>
        <w:tabs>
          <w:tab w:val="clear" w:pos="397"/>
          <w:tab w:val="left" w:pos="340"/>
          <w:tab w:val="left" w:pos="1899"/>
        </w:tabs>
        <w:spacing w:line="240" w:lineRule="exact"/>
        <w:ind w:left="1899" w:hanging="1899"/>
        <w:rPr>
          <w:lang w:val="es-ES_tradnl"/>
        </w:rPr>
      </w:pPr>
      <w:r>
        <w:rPr>
          <w:lang w:val="es-ES_tradnl"/>
        </w:rPr>
        <w:tab/>
      </w:r>
      <w:r>
        <w:rPr>
          <w:position w:val="-10"/>
          <w:lang w:val="es-ES_tradnl"/>
        </w:rPr>
        <w:object w:dxaOrig="540" w:dyaOrig="320">
          <v:shape id="_x0000_i1034" type="#_x0000_t75" style="width:27pt;height:16.2pt" o:ole="">
            <v:imagedata r:id="rId35" o:title=""/>
          </v:shape>
          <o:OLEObject Type="Embed" ProgID="Equation.3" ShapeID="_x0000_i1034" DrawAspect="Content" ObjectID="_1361254772" r:id="rId36"/>
        </w:object>
      </w:r>
      <w:r>
        <w:rPr>
          <w:lang w:val="es-ES_tradnl"/>
        </w:rPr>
        <w:t>:</w:t>
      </w:r>
      <w:r>
        <w:rPr>
          <w:lang w:val="es-ES_tradnl"/>
        </w:rPr>
        <w:tab/>
      </w:r>
      <w:r>
        <w:t>distance of the beam centre relative to nadir</w:t>
      </w:r>
    </w:p>
    <w:p w:rsidR="00220BE7" w:rsidRDefault="00220BE7">
      <w:pPr>
        <w:pStyle w:val="enumlev1"/>
        <w:tabs>
          <w:tab w:val="left" w:pos="1899"/>
        </w:tabs>
        <w:spacing w:line="240" w:lineRule="exact"/>
        <w:ind w:left="1956" w:hanging="1956"/>
        <w:rPr>
          <w:lang w:val="es-ES_tradnl"/>
        </w:rPr>
      </w:pPr>
      <w:r>
        <w:rPr>
          <w:lang w:val="es-ES_tradnl"/>
        </w:rPr>
        <w:tab/>
      </w:r>
      <w:r>
        <w:rPr>
          <w:i/>
          <w:iCs/>
          <w:lang w:val="en-US"/>
        </w:rPr>
        <w:t>Num</w:t>
      </w:r>
      <w:r>
        <w:rPr>
          <w:rFonts w:ascii="Tms Rmn" w:hAnsi="Tms Rmn"/>
          <w:sz w:val="12"/>
          <w:lang w:val="es-ES_tradnl"/>
        </w:rPr>
        <w:t> </w:t>
      </w:r>
      <w:r>
        <w:rPr>
          <w:lang w:val="es-ES_tradnl"/>
        </w:rPr>
        <w:t>:</w:t>
      </w:r>
      <w:r>
        <w:rPr>
          <w:lang w:val="es-ES_tradnl"/>
        </w:rPr>
        <w:tab/>
      </w:r>
      <w:r>
        <w:rPr>
          <w:lang w:val="en-US"/>
        </w:rPr>
        <w:t>total number of beams</w:t>
      </w:r>
    </w:p>
    <w:p w:rsidR="00220BE7" w:rsidRDefault="00220BE7">
      <w:pPr>
        <w:pStyle w:val="enumlev1"/>
        <w:tabs>
          <w:tab w:val="left" w:pos="1899"/>
        </w:tabs>
        <w:spacing w:line="240" w:lineRule="exact"/>
        <w:ind w:left="1956" w:hanging="1956"/>
        <w:rPr>
          <w:lang w:val="es-ES_tradnl"/>
        </w:rPr>
      </w:pPr>
      <w:r>
        <w:rPr>
          <w:lang w:val="es-ES_tradnl"/>
        </w:rPr>
        <w:tab/>
      </w:r>
      <w:r>
        <w:rPr>
          <w:i/>
          <w:iCs/>
          <w:lang w:val="en-US"/>
        </w:rPr>
        <w:t>F</w:t>
      </w:r>
      <w:r>
        <w:rPr>
          <w:lang w:val="en-US"/>
        </w:rPr>
        <w:t xml:space="preserve"> </w:t>
      </w:r>
      <w:r>
        <w:rPr>
          <w:rFonts w:ascii="Symbol" w:hAnsi="Symbol"/>
          <w:lang w:val="fr-FR"/>
        </w:rPr>
        <w:t></w:t>
      </w:r>
      <w:r>
        <w:rPr>
          <w:lang w:val="en-US"/>
        </w:rPr>
        <w:t xml:space="preserve"> 73 dB</w:t>
      </w:r>
      <w:r>
        <w:rPr>
          <w:rFonts w:ascii="Tms Rmn" w:hAnsi="Tms Rmn"/>
          <w:sz w:val="12"/>
          <w:lang w:val="es-ES_tradnl"/>
        </w:rPr>
        <w:t> </w:t>
      </w:r>
      <w:r>
        <w:rPr>
          <w:lang w:val="es-ES_tradnl"/>
        </w:rPr>
        <w:t>:</w:t>
      </w:r>
      <w:r>
        <w:rPr>
          <w:lang w:val="es-ES_tradnl"/>
        </w:rPr>
        <w:tab/>
      </w:r>
      <w:r>
        <w:t>far side lobe relative to peak gain.</w:t>
      </w:r>
    </w:p>
    <w:p w:rsidR="00220BE7" w:rsidRDefault="00220BE7">
      <w:pPr>
        <w:rPr>
          <w:lang w:val="es-ES_tradnl"/>
        </w:rPr>
      </w:pPr>
      <w:r>
        <w:t>From this the coordination distance can be determined as follows:</w:t>
      </w:r>
    </w:p>
    <w:p w:rsidR="00220BE7" w:rsidRDefault="00220BE7">
      <w:pPr>
        <w:pStyle w:val="Equation"/>
      </w:pPr>
      <w:r>
        <w:tab/>
      </w:r>
      <w:r>
        <w:tab/>
      </w:r>
      <w:r>
        <w:rPr>
          <w:position w:val="-10"/>
          <w:lang w:val="es-ES_tradnl"/>
        </w:rPr>
        <w:object w:dxaOrig="1140" w:dyaOrig="320">
          <v:shape id="_x0000_i1035" type="#_x0000_t75" style="width:57pt;height:16.2pt" o:ole="">
            <v:imagedata r:id="rId37" o:title=""/>
          </v:shape>
          <o:OLEObject Type="Embed" ProgID="Equation.3" ShapeID="_x0000_i1035" DrawAspect="Content" ObjectID="_1361254773" r:id="rId38"/>
        </w:object>
      </w:r>
      <w:r>
        <w:t xml:space="preserve"> </w:t>
      </w:r>
      <w:r>
        <w:rPr>
          <w:rFonts w:ascii="Symbol" w:hAnsi="Symbol"/>
        </w:rPr>
        <w:t></w:t>
      </w:r>
      <w:r>
        <w:t xml:space="preserve">  </w:t>
      </w:r>
      <w:r>
        <w:rPr>
          <w:i/>
          <w:iCs/>
        </w:rPr>
        <w:t>r</w:t>
      </w:r>
      <w:r>
        <w:t xml:space="preserve">  </w:t>
      </w:r>
      <w:r>
        <w:rPr>
          <w:rFonts w:ascii="Symbol" w:hAnsi="Symbol"/>
        </w:rPr>
        <w:t></w:t>
      </w:r>
      <w:r>
        <w:t xml:space="preserve">  </w:t>
      </w:r>
      <w:r>
        <w:rPr>
          <w:position w:val="-10"/>
        </w:rPr>
        <w:object w:dxaOrig="3739" w:dyaOrig="460">
          <v:shape id="_x0000_i1036" type="#_x0000_t75" style="width:187.2pt;height:22.8pt" o:ole="">
            <v:imagedata r:id="rId39" o:title=""/>
          </v:shape>
          <o:OLEObject Type="Embed" ProgID="Equation.3" ShapeID="_x0000_i1036" DrawAspect="Content" ObjectID="_1361254774" r:id="rId40"/>
        </w:object>
      </w:r>
      <w:r>
        <w:t>                km</w:t>
      </w:r>
      <w:r>
        <w:tab/>
        <w:t>(11)</w:t>
      </w:r>
    </w:p>
    <w:p w:rsidR="00220BE7" w:rsidRDefault="00220BE7">
      <w:pPr>
        <w:rPr>
          <w:lang w:val="es-ES_tradnl"/>
        </w:rPr>
      </w:pPr>
      <w:r>
        <w:t>where</w:t>
      </w:r>
      <w:r>
        <w:rPr>
          <w:lang w:val="en-US"/>
        </w:rPr>
        <w:t>:</w:t>
      </w:r>
    </w:p>
    <w:p w:rsidR="00220BE7" w:rsidRDefault="00220BE7">
      <w:pPr>
        <w:pStyle w:val="enumlev1"/>
        <w:tabs>
          <w:tab w:val="left" w:pos="2070"/>
        </w:tabs>
        <w:spacing w:line="240" w:lineRule="exact"/>
        <w:ind w:left="2070" w:hanging="2070"/>
        <w:rPr>
          <w:lang w:val="es-ES_tradnl"/>
        </w:rPr>
      </w:pPr>
      <w:r>
        <w:rPr>
          <w:lang w:val="es-ES_tradnl"/>
        </w:rPr>
        <w:tab/>
      </w:r>
      <w:r>
        <w:rPr>
          <w:i/>
          <w:iCs/>
          <w:lang w:val="en-US"/>
        </w:rPr>
        <w:t>B</w:t>
      </w:r>
      <w:r>
        <w:rPr>
          <w:lang w:val="en-US"/>
        </w:rPr>
        <w:t xml:space="preserve">  </w:t>
      </w:r>
      <w:r>
        <w:rPr>
          <w:rFonts w:ascii="Symbol" w:hAnsi="Symbol"/>
          <w:lang w:val="fr-FR"/>
        </w:rPr>
        <w:t></w:t>
      </w:r>
      <w:r>
        <w:rPr>
          <w:lang w:val="es-ES_tradnl"/>
        </w:rPr>
        <w:t xml:space="preserve">  </w:t>
      </w:r>
      <w:r>
        <w:rPr>
          <w:lang w:val="en-US"/>
        </w:rPr>
        <w:t xml:space="preserve">0.1 </w:t>
      </w:r>
      <w:r>
        <w:rPr>
          <w:position w:val="-14"/>
          <w:lang w:val="es-ES_tradnl"/>
        </w:rPr>
        <w:object w:dxaOrig="999" w:dyaOrig="360">
          <v:shape id="_x0000_i1037" type="#_x0000_t75" style="width:49.8pt;height:18pt" o:ole="">
            <v:imagedata r:id="rId41" o:title=""/>
          </v:shape>
          <o:OLEObject Type="Embed" ProgID="Equation.3" ShapeID="_x0000_i1037" DrawAspect="Content" ObjectID="_1361254775" r:id="rId42"/>
        </w:object>
      </w:r>
      <w:r>
        <w:rPr>
          <w:lang w:val="es-ES_tradnl"/>
        </w:rPr>
        <w:t xml:space="preserve">  +  1.</w:t>
      </w:r>
    </w:p>
    <w:p w:rsidR="00220BE7" w:rsidRDefault="00220BE7">
      <w:pPr>
        <w:rPr>
          <w:lang w:val="es-ES_tradnl"/>
        </w:rPr>
      </w:pPr>
      <w:r>
        <w:t xml:space="preserve">Equation (11) is only valid for </w:t>
      </w:r>
      <w:r>
        <w:rPr>
          <w:i/>
          <w:iCs/>
          <w:lang w:val="en-US"/>
        </w:rPr>
        <w:t>B</w:t>
      </w:r>
      <w:r>
        <w:rPr>
          <w:lang w:val="en-US"/>
        </w:rPr>
        <w:t xml:space="preserve"> </w:t>
      </w:r>
      <w:r>
        <w:rPr>
          <w:rFonts w:ascii="Symbol" w:hAnsi="Symbol"/>
          <w:lang w:val="fr-FR"/>
        </w:rPr>
        <w:t></w:t>
      </w:r>
      <w:r>
        <w:rPr>
          <w:lang w:val="en-US"/>
        </w:rPr>
        <w:t xml:space="preserve"> log(</w:t>
      </w:r>
      <w:r>
        <w:rPr>
          <w:i/>
          <w:iCs/>
          <w:lang w:val="en-US"/>
        </w:rPr>
        <w:t>Num</w:t>
      </w:r>
      <w:r>
        <w:rPr>
          <w:lang w:val="en-US"/>
        </w:rPr>
        <w:t xml:space="preserve">) </w:t>
      </w:r>
      <w:r>
        <w:rPr>
          <w:rFonts w:ascii="Symbol" w:hAnsi="Symbol"/>
          <w:lang w:val="fr-FR"/>
        </w:rPr>
        <w:t></w:t>
      </w:r>
      <w:r>
        <w:rPr>
          <w:lang w:val="en-US"/>
        </w:rPr>
        <w:t xml:space="preserve"> 7.3 </w:t>
      </w:r>
      <w:r>
        <w:rPr>
          <w:rFonts w:ascii="Symbol" w:hAnsi="Symbol"/>
          <w:lang w:val="fr-FR"/>
        </w:rPr>
        <w:t></w:t>
      </w:r>
      <w:r>
        <w:rPr>
          <w:lang w:val="en-US"/>
        </w:rPr>
        <w:t xml:space="preserve"> 0.1 </w:t>
      </w:r>
      <w:r>
        <w:rPr>
          <w:i/>
          <w:iCs/>
          <w:lang w:val="en-US"/>
        </w:rPr>
        <w:t>F</w:t>
      </w:r>
      <w:r>
        <w:t>, the condition for the dominance of the aggregated far side-lobe level in the determination of the coordination distance. Equation (11) is only valid for very narrow HAPS coverage. In the opposite limit where because of the rapid side-lobe attenuation, the interference is dominated by a single beam, the interference power to thermal noise ratio of the victim handset receiver is approximately:</w:t>
      </w:r>
    </w:p>
    <w:p w:rsidR="00220BE7" w:rsidRDefault="00220BE7">
      <w:pPr>
        <w:pStyle w:val="Equation"/>
      </w:pPr>
      <w:r>
        <w:tab/>
      </w:r>
      <w:r>
        <w:tab/>
        <w:t>(</w:t>
      </w:r>
      <w:r>
        <w:rPr>
          <w:i/>
          <w:iCs/>
        </w:rPr>
        <w:t>I</w:t>
      </w:r>
      <w:r>
        <w:rPr>
          <w:i/>
          <w:iCs/>
          <w:position w:val="-4"/>
          <w:sz w:val="18"/>
        </w:rPr>
        <w:t>received</w:t>
      </w:r>
      <w:r>
        <w:t>/</w:t>
      </w:r>
      <w:r>
        <w:rPr>
          <w:i/>
          <w:iCs/>
        </w:rPr>
        <w:t>N</w:t>
      </w:r>
      <w:r>
        <w:t xml:space="preserve">)  </w:t>
      </w:r>
      <w:r>
        <w:rPr>
          <w:rFonts w:ascii="Symbol" w:hAnsi="Symbol"/>
        </w:rPr>
        <w:t></w:t>
      </w:r>
      <w:r>
        <w:t xml:space="preserve">  (</w:t>
      </w:r>
      <w:r>
        <w:rPr>
          <w:i/>
          <w:iCs/>
        </w:rPr>
        <w:t>I</w:t>
      </w:r>
      <w:r>
        <w:rPr>
          <w:i/>
          <w:iCs/>
          <w:position w:val="-4"/>
          <w:sz w:val="18"/>
        </w:rPr>
        <w:t>received</w:t>
      </w:r>
      <w:r>
        <w:t>/</w:t>
      </w:r>
      <w:r>
        <w:rPr>
          <w:i/>
          <w:iCs/>
        </w:rPr>
        <w:t>N</w:t>
      </w:r>
      <w:r>
        <w:t>)</w:t>
      </w:r>
      <w:r>
        <w:rPr>
          <w:i/>
          <w:iCs/>
          <w:position w:val="-4"/>
          <w:sz w:val="18"/>
        </w:rPr>
        <w:t>centre</w:t>
      </w:r>
      <w:r>
        <w:t xml:space="preserve">  </w:t>
      </w:r>
      <w:r>
        <w:rPr>
          <w:rFonts w:ascii="Symbol" w:hAnsi="Symbol"/>
        </w:rPr>
        <w:t></w:t>
      </w:r>
      <w:r>
        <w:t xml:space="preserve">  </w:t>
      </w:r>
      <w:r>
        <w:rPr>
          <w:rFonts w:ascii="Symbol" w:hAnsi="Symbol"/>
        </w:rPr>
        <w:t></w:t>
      </w:r>
      <w:r>
        <w:rPr>
          <w:rFonts w:ascii="Symbol" w:hAnsi="Symbol"/>
        </w:rPr>
        <w:t></w:t>
      </w:r>
      <w:r>
        <w:rPr>
          <w:i/>
          <w:iCs/>
        </w:rPr>
        <w:t>G</w:t>
      </w:r>
      <w:r>
        <w:t>(</w:t>
      </w:r>
      <w:r>
        <w:rPr>
          <w:rFonts w:ascii="Symbol" w:hAnsi="Symbol"/>
        </w:rPr>
        <w:t></w:t>
      </w:r>
      <w:r>
        <w:t xml:space="preserve">  –  </w:t>
      </w:r>
      <w:r>
        <w:rPr>
          <w:rFonts w:ascii="Symbol" w:hAnsi="Symbol"/>
        </w:rPr>
        <w:t></w:t>
      </w:r>
      <w:r>
        <w:rPr>
          <w:position w:val="-4"/>
          <w:sz w:val="18"/>
        </w:rPr>
        <w:t>0</w:t>
      </w:r>
      <w:r>
        <w:t xml:space="preserve">)  –  </w:t>
      </w:r>
      <w:r>
        <w:rPr>
          <w:rFonts w:ascii="Symbol" w:hAnsi="Symbol"/>
        </w:rPr>
        <w:t></w:t>
      </w:r>
      <w:r>
        <w:rPr>
          <w:rFonts w:ascii="Symbol" w:hAnsi="Symbol"/>
        </w:rPr>
        <w:t></w:t>
      </w:r>
      <w:r>
        <w:rPr>
          <w:i/>
          <w:iCs/>
        </w:rPr>
        <w:t>FSL</w:t>
      </w:r>
      <w:r>
        <w:t>(</w:t>
      </w:r>
      <w:r>
        <w:rPr>
          <w:rFonts w:ascii="Symbol" w:hAnsi="Symbol"/>
        </w:rPr>
        <w:t></w:t>
      </w:r>
      <w:r>
        <w:t>)</w:t>
      </w:r>
      <w:r>
        <w:tab/>
        <w:t>(12)</w:t>
      </w:r>
    </w:p>
    <w:p w:rsidR="00220BE7" w:rsidRDefault="00220BE7">
      <w:pPr>
        <w:rPr>
          <w:lang w:val="es-ES_tradnl"/>
        </w:rPr>
      </w:pPr>
      <w:r>
        <w:t>where</w:t>
      </w:r>
      <w:r>
        <w:rPr>
          <w:lang w:val="en-US"/>
        </w:rPr>
        <w:t>:</w:t>
      </w:r>
    </w:p>
    <w:p w:rsidR="00220BE7" w:rsidRDefault="00220BE7">
      <w:pPr>
        <w:pStyle w:val="enumlev1"/>
        <w:tabs>
          <w:tab w:val="left" w:pos="1956"/>
          <w:tab w:val="left" w:pos="2070"/>
        </w:tabs>
        <w:spacing w:line="240" w:lineRule="exact"/>
        <w:ind w:left="1956" w:hanging="1956"/>
        <w:rPr>
          <w:lang w:val="es-ES_tradnl"/>
        </w:rPr>
      </w:pPr>
      <w:r>
        <w:tab/>
        <w:t>(</w:t>
      </w:r>
      <w:r>
        <w:rPr>
          <w:i/>
          <w:iCs/>
          <w:lang w:val="en-US"/>
        </w:rPr>
        <w:t>I</w:t>
      </w:r>
      <w:r>
        <w:rPr>
          <w:i/>
          <w:iCs/>
          <w:position w:val="-4"/>
          <w:sz w:val="16"/>
          <w:lang w:val="en-US"/>
        </w:rPr>
        <w:t>received</w:t>
      </w:r>
      <w:r>
        <w:rPr>
          <w:lang w:val="en-US"/>
        </w:rPr>
        <w:t>/</w:t>
      </w:r>
      <w:r>
        <w:rPr>
          <w:i/>
          <w:iCs/>
          <w:lang w:val="en-US"/>
        </w:rPr>
        <w:t>N</w:t>
      </w:r>
      <w:r>
        <w:rPr>
          <w:lang w:val="en-US"/>
        </w:rPr>
        <w:t>)</w:t>
      </w:r>
      <w:r>
        <w:rPr>
          <w:i/>
          <w:iCs/>
          <w:position w:val="-4"/>
          <w:sz w:val="16"/>
          <w:lang w:val="en-US"/>
        </w:rPr>
        <w:t>centre</w:t>
      </w:r>
      <w:r>
        <w:rPr>
          <w:rFonts w:ascii="Tms Rmn" w:hAnsi="Tms Rmn"/>
          <w:sz w:val="12"/>
          <w:lang w:val="es-ES_tradnl"/>
        </w:rPr>
        <w:t> </w:t>
      </w:r>
      <w:r>
        <w:rPr>
          <w:lang w:val="es-ES_tradnl"/>
        </w:rPr>
        <w:t>:</w:t>
      </w:r>
      <w:r>
        <w:rPr>
          <w:lang w:val="es-ES_tradnl"/>
        </w:rPr>
        <w:tab/>
      </w:r>
      <w:r>
        <w:t>received aggregate interference power-to-noise ratio measured at the boresight of the outermost HAPS beam</w:t>
      </w:r>
    </w:p>
    <w:p w:rsidR="00220BE7" w:rsidRDefault="00220BE7">
      <w:pPr>
        <w:pStyle w:val="enumlev1"/>
        <w:tabs>
          <w:tab w:val="left" w:pos="1956"/>
          <w:tab w:val="left" w:pos="2070"/>
        </w:tabs>
        <w:spacing w:line="240" w:lineRule="exact"/>
        <w:ind w:left="1956" w:hanging="1956"/>
        <w:rPr>
          <w:lang w:val="es-ES_tradnl"/>
        </w:rPr>
      </w:pPr>
      <w:r>
        <w:rPr>
          <w:lang w:val="es-ES_tradnl"/>
        </w:rPr>
        <w:tab/>
      </w:r>
      <w:r>
        <w:rPr>
          <w:rFonts w:ascii="Symbol" w:hAnsi="Symbol"/>
        </w:rPr>
        <w:t></w:t>
      </w:r>
      <w:r>
        <w:rPr>
          <w:position w:val="-4"/>
          <w:sz w:val="16"/>
          <w:lang w:val="en-US"/>
        </w:rPr>
        <w:t>0</w:t>
      </w:r>
      <w:r>
        <w:rPr>
          <w:rFonts w:ascii="Tms Rmn" w:hAnsi="Tms Rmn"/>
          <w:sz w:val="12"/>
          <w:lang w:val="es-ES_tradnl"/>
        </w:rPr>
        <w:t> </w:t>
      </w:r>
      <w:r>
        <w:rPr>
          <w:lang w:val="es-ES_tradnl"/>
        </w:rPr>
        <w:t>:</w:t>
      </w:r>
      <w:r>
        <w:rPr>
          <w:lang w:val="es-ES_tradnl"/>
        </w:rPr>
        <w:tab/>
      </w:r>
      <w:r>
        <w:t>tilt angle of the last HAPS beam</w:t>
      </w:r>
    </w:p>
    <w:p w:rsidR="00220BE7" w:rsidRDefault="00220BE7">
      <w:pPr>
        <w:pStyle w:val="enumlev1"/>
        <w:tabs>
          <w:tab w:val="left" w:pos="1956"/>
          <w:tab w:val="left" w:pos="2070"/>
        </w:tabs>
        <w:spacing w:line="240" w:lineRule="exact"/>
        <w:ind w:left="1956" w:hanging="1956"/>
        <w:rPr>
          <w:lang w:val="es-ES_tradnl"/>
        </w:rPr>
      </w:pPr>
      <w:r>
        <w:rPr>
          <w:lang w:val="es-ES_tradnl"/>
        </w:rPr>
        <w:tab/>
      </w:r>
      <w:r>
        <w:rPr>
          <w:rFonts w:ascii="Symbol" w:hAnsi="Symbol"/>
        </w:rPr>
        <w:t></w:t>
      </w:r>
      <w:r>
        <w:rPr>
          <w:rFonts w:ascii="Tms Rmn" w:hAnsi="Tms Rmn"/>
          <w:sz w:val="12"/>
          <w:lang w:val="es-ES_tradnl"/>
        </w:rPr>
        <w:t> </w:t>
      </w:r>
      <w:r>
        <w:rPr>
          <w:lang w:val="es-ES_tradnl"/>
        </w:rPr>
        <w:t>:</w:t>
      </w:r>
      <w:r>
        <w:rPr>
          <w:lang w:val="es-ES_tradnl"/>
        </w:rPr>
        <w:tab/>
      </w:r>
      <w:r>
        <w:t>tilt angle of the victim handset relative to HAPS</w:t>
      </w:r>
    </w:p>
    <w:p w:rsidR="00220BE7" w:rsidRDefault="00220BE7">
      <w:pPr>
        <w:pStyle w:val="enumlev1"/>
        <w:tabs>
          <w:tab w:val="left" w:pos="1956"/>
          <w:tab w:val="left" w:pos="2070"/>
        </w:tabs>
        <w:spacing w:line="240" w:lineRule="exact"/>
        <w:ind w:left="1956" w:hanging="1956"/>
        <w:rPr>
          <w:lang w:val="es-ES_tradnl"/>
        </w:rPr>
      </w:pPr>
      <w:r>
        <w:rPr>
          <w:lang w:val="es-ES_tradnl"/>
        </w:rPr>
        <w:tab/>
      </w:r>
      <w:r>
        <w:rPr>
          <w:rFonts w:ascii="Symbol" w:hAnsi="Symbol"/>
        </w:rPr>
        <w:t></w:t>
      </w:r>
      <w:r>
        <w:rPr>
          <w:lang w:val="en-US"/>
        </w:rPr>
        <w:t xml:space="preserve"> </w:t>
      </w:r>
      <w:r>
        <w:rPr>
          <w:i/>
          <w:iCs/>
          <w:lang w:val="es-ES_tradnl"/>
        </w:rPr>
        <w:t>G</w:t>
      </w:r>
      <w:r>
        <w:rPr>
          <w:lang w:val="es-ES_tradnl"/>
        </w:rPr>
        <w:t>(</w:t>
      </w:r>
      <w:r>
        <w:rPr>
          <w:rFonts w:ascii="Symbol" w:hAnsi="Symbol"/>
        </w:rPr>
        <w:t></w:t>
      </w:r>
      <w:r>
        <w:rPr>
          <w:lang w:val="es-ES_tradnl"/>
        </w:rPr>
        <w:t xml:space="preserve"> – </w:t>
      </w:r>
      <w:r>
        <w:rPr>
          <w:rFonts w:ascii="Symbol" w:hAnsi="Symbol"/>
        </w:rPr>
        <w:t></w:t>
      </w:r>
      <w:r>
        <w:rPr>
          <w:position w:val="-4"/>
          <w:sz w:val="16"/>
          <w:lang w:val="es-ES_tradnl"/>
        </w:rPr>
        <w:t>0</w:t>
      </w:r>
      <w:r>
        <w:rPr>
          <w:lang w:val="es-ES_tradnl"/>
        </w:rPr>
        <w:t xml:space="preserve">) </w:t>
      </w:r>
      <w:r>
        <w:rPr>
          <w:rFonts w:ascii="Symbol" w:hAnsi="Symbol"/>
        </w:rPr>
        <w:t></w:t>
      </w:r>
      <w:r>
        <w:rPr>
          <w:lang w:val="es-ES_tradnl"/>
        </w:rPr>
        <w:t xml:space="preserve"> </w:t>
      </w:r>
      <w:r>
        <w:rPr>
          <w:i/>
          <w:iCs/>
          <w:lang w:val="es-ES_tradnl"/>
        </w:rPr>
        <w:t>G</w:t>
      </w:r>
      <w:r>
        <w:rPr>
          <w:lang w:val="es-ES_tradnl"/>
        </w:rPr>
        <w:t>(</w:t>
      </w:r>
      <w:r>
        <w:rPr>
          <w:rFonts w:ascii="Symbol" w:hAnsi="Symbol"/>
        </w:rPr>
        <w:t></w:t>
      </w:r>
      <w:r>
        <w:rPr>
          <w:lang w:val="es-ES_tradnl"/>
        </w:rPr>
        <w:t xml:space="preserve"> – </w:t>
      </w:r>
      <w:r>
        <w:rPr>
          <w:rFonts w:ascii="Symbol" w:hAnsi="Symbol"/>
        </w:rPr>
        <w:t></w:t>
      </w:r>
      <w:r>
        <w:rPr>
          <w:position w:val="-4"/>
          <w:sz w:val="16"/>
          <w:lang w:val="es-ES_tradnl"/>
        </w:rPr>
        <w:t>0</w:t>
      </w:r>
      <w:r>
        <w:rPr>
          <w:lang w:val="es-ES_tradnl"/>
        </w:rPr>
        <w:t xml:space="preserve">) – </w:t>
      </w:r>
      <w:r>
        <w:rPr>
          <w:i/>
          <w:lang w:val="es-ES_tradnl"/>
        </w:rPr>
        <w:t>G</w:t>
      </w:r>
      <w:r>
        <w:rPr>
          <w:i/>
          <w:position w:val="-4"/>
          <w:sz w:val="16"/>
          <w:lang w:val="es-ES_tradnl"/>
        </w:rPr>
        <w:t>m</w:t>
      </w:r>
      <w:r>
        <w:rPr>
          <w:rFonts w:ascii="Tms Rmn" w:hAnsi="Tms Rmn"/>
          <w:sz w:val="12"/>
          <w:lang w:val="es-ES_tradnl"/>
        </w:rPr>
        <w:t> </w:t>
      </w:r>
      <w:r>
        <w:rPr>
          <w:lang w:val="es-ES_tradnl"/>
        </w:rPr>
        <w:t>:  </w:t>
      </w:r>
      <w:r>
        <w:t>differential antenna gain</w:t>
      </w:r>
    </w:p>
    <w:p w:rsidR="00220BE7" w:rsidRDefault="00220BE7">
      <w:pPr>
        <w:pStyle w:val="enumlev1"/>
        <w:tabs>
          <w:tab w:val="left" w:pos="1956"/>
        </w:tabs>
        <w:spacing w:line="240" w:lineRule="exact"/>
        <w:ind w:left="1956" w:hanging="1956"/>
        <w:rPr>
          <w:lang w:val="es-ES_tradnl"/>
        </w:rPr>
      </w:pPr>
      <w:r>
        <w:rPr>
          <w:lang w:val="es-ES_tradnl"/>
        </w:rPr>
        <w:tab/>
      </w:r>
      <w:r>
        <w:rPr>
          <w:rFonts w:ascii="Symbol" w:hAnsi="Symbol"/>
        </w:rPr>
        <w:t></w:t>
      </w:r>
      <w:r>
        <w:rPr>
          <w:lang w:val="en-US"/>
        </w:rPr>
        <w:t xml:space="preserve"> </w:t>
      </w:r>
      <w:r>
        <w:rPr>
          <w:i/>
          <w:iCs/>
          <w:lang w:val="es-ES_tradnl"/>
        </w:rPr>
        <w:t>FSL</w:t>
      </w:r>
      <w:r>
        <w:rPr>
          <w:lang w:val="es-ES_tradnl"/>
        </w:rPr>
        <w:t>(</w:t>
      </w:r>
      <w:r>
        <w:rPr>
          <w:rFonts w:ascii="Symbol" w:hAnsi="Symbol"/>
        </w:rPr>
        <w:t></w:t>
      </w:r>
      <w:r>
        <w:rPr>
          <w:lang w:val="es-ES_tradnl"/>
        </w:rPr>
        <w:t xml:space="preserve">) </w:t>
      </w:r>
      <w:r>
        <w:rPr>
          <w:rFonts w:ascii="Symbol" w:hAnsi="Symbol"/>
        </w:rPr>
        <w:t></w:t>
      </w:r>
      <w:r>
        <w:rPr>
          <w:lang w:val="es-ES_tradnl"/>
        </w:rPr>
        <w:t xml:space="preserve"> 20 log(cos(</w:t>
      </w:r>
      <w:r>
        <w:rPr>
          <w:rFonts w:ascii="Symbol" w:hAnsi="Symbol"/>
        </w:rPr>
        <w:t></w:t>
      </w:r>
      <w:r>
        <w:rPr>
          <w:position w:val="-4"/>
          <w:sz w:val="16"/>
          <w:lang w:val="es-ES_tradnl"/>
        </w:rPr>
        <w:t>0</w:t>
      </w:r>
      <w:r>
        <w:rPr>
          <w:lang w:val="es-ES_tradnl"/>
        </w:rPr>
        <w:t>)) – 20 log(cos(</w:t>
      </w:r>
      <w:r>
        <w:rPr>
          <w:rFonts w:ascii="Symbol" w:hAnsi="Symbol"/>
        </w:rPr>
        <w:t></w:t>
      </w:r>
      <w:r>
        <w:rPr>
          <w:lang w:val="es-ES_tradnl"/>
        </w:rPr>
        <w:t>))</w:t>
      </w:r>
      <w:r>
        <w:rPr>
          <w:rFonts w:ascii="Tms Rmn" w:hAnsi="Tms Rmn"/>
          <w:sz w:val="12"/>
          <w:lang w:val="es-ES_tradnl"/>
        </w:rPr>
        <w:t> </w:t>
      </w:r>
      <w:r>
        <w:rPr>
          <w:lang w:val="es-ES_tradnl"/>
        </w:rPr>
        <w:t>:  </w:t>
      </w:r>
      <w:r>
        <w:t>differential free space path loss (FSL) between the HAPS transmitters and the victim handset relative to the free space path loss at the boresight of the last beam.</w:t>
      </w:r>
    </w:p>
    <w:p w:rsidR="00220BE7" w:rsidRDefault="00220BE7">
      <w:pPr>
        <w:rPr>
          <w:lang w:val="es-ES_tradnl"/>
        </w:rPr>
      </w:pPr>
      <w:r>
        <w:t>Since the interference power received by the victim handset inside the main lobe of the HAPS emission is typically too large to be permissible, only the inverse sixth power law regime of the antenna radiation pattern will be of relevance for this discussion.</w:t>
      </w:r>
    </w:p>
    <w:p w:rsidR="00220BE7" w:rsidRDefault="00220BE7">
      <w:r>
        <w:t xml:space="preserve">In the inverse sixth power law regime, </w:t>
      </w:r>
      <w:r>
        <w:rPr>
          <w:rFonts w:ascii="Symbol" w:hAnsi="Symbol"/>
        </w:rPr>
        <w:t></w:t>
      </w:r>
      <w:r>
        <w:rPr>
          <w:lang w:val="en-US"/>
        </w:rPr>
        <w:t xml:space="preserve"> </w:t>
      </w:r>
      <w:r>
        <w:rPr>
          <w:i/>
          <w:iCs/>
          <w:lang w:val="es-ES_tradnl"/>
        </w:rPr>
        <w:t>G</w:t>
      </w:r>
      <w:r>
        <w:rPr>
          <w:lang w:val="es-ES_tradnl"/>
        </w:rPr>
        <w:t>(</w:t>
      </w:r>
      <w:r>
        <w:rPr>
          <w:rFonts w:ascii="Symbol" w:hAnsi="Symbol"/>
        </w:rPr>
        <w:t></w:t>
      </w:r>
      <w:r>
        <w:rPr>
          <w:lang w:val="es-ES_tradnl"/>
        </w:rPr>
        <w:t xml:space="preserve"> – </w:t>
      </w:r>
      <w:r>
        <w:rPr>
          <w:rFonts w:ascii="Symbol" w:hAnsi="Symbol"/>
        </w:rPr>
        <w:t></w:t>
      </w:r>
      <w:r>
        <w:rPr>
          <w:position w:val="-4"/>
          <w:sz w:val="16"/>
          <w:lang w:val="es-ES_tradnl"/>
        </w:rPr>
        <w:t>0</w:t>
      </w:r>
      <w:r>
        <w:rPr>
          <w:lang w:val="es-ES_tradnl"/>
        </w:rPr>
        <w:t>)</w:t>
      </w:r>
      <w:r>
        <w:rPr>
          <w:lang w:val="en-US"/>
        </w:rPr>
        <w:t xml:space="preserve"> </w:t>
      </w:r>
      <w:r>
        <w:t xml:space="preserve">can be expressed, by setting </w:t>
      </w:r>
      <w:r>
        <w:rPr>
          <w:rFonts w:ascii="Symbol" w:hAnsi="Symbol"/>
        </w:rPr>
        <w:t></w:t>
      </w:r>
      <w:r>
        <w:rPr>
          <w:lang w:val="es-ES_tradnl"/>
        </w:rPr>
        <w:t xml:space="preserve"> – </w:t>
      </w:r>
      <w:r>
        <w:rPr>
          <w:rFonts w:ascii="Symbol" w:hAnsi="Symbol"/>
        </w:rPr>
        <w:t></w:t>
      </w:r>
      <w:r>
        <w:rPr>
          <w:position w:val="-4"/>
          <w:sz w:val="16"/>
          <w:lang w:val="es-ES_tradnl"/>
        </w:rPr>
        <w:t>0</w:t>
      </w:r>
      <w:r>
        <w:rPr>
          <w:lang w:val="es-ES_tradnl"/>
        </w:rPr>
        <w:t xml:space="preserve"> </w:t>
      </w:r>
      <w:r>
        <w:rPr>
          <w:rFonts w:ascii="Symbol" w:hAnsi="Symbol"/>
        </w:rPr>
        <w:t></w:t>
      </w:r>
      <w:r>
        <w:rPr>
          <w:lang w:val="en-US"/>
        </w:rPr>
        <w:t xml:space="preserve"> </w:t>
      </w:r>
      <w:r>
        <w:rPr>
          <w:rFonts w:ascii="Symbol" w:hAnsi="Symbol"/>
        </w:rPr>
        <w:t></w:t>
      </w:r>
      <w:r>
        <w:rPr>
          <w:position w:val="-4"/>
          <w:sz w:val="16"/>
          <w:lang w:val="en-US"/>
        </w:rPr>
        <w:t>2</w:t>
      </w:r>
      <w:r>
        <w:rPr>
          <w:rFonts w:ascii="Symbol" w:hAnsi="Symbol"/>
        </w:rPr>
        <w:t></w:t>
      </w:r>
      <w:r>
        <w:rPr>
          <w:lang w:val="es-ES_tradnl"/>
        </w:rPr>
        <w:t xml:space="preserve"> </w:t>
      </w:r>
      <w:r>
        <w:rPr>
          <w:rFonts w:ascii="Symbol" w:hAnsi="Symbol"/>
          <w:lang w:val="es-ES_tradnl"/>
        </w:rPr>
        <w:t></w:t>
      </w:r>
      <w:r>
        <w:rPr>
          <w:lang w:val="es-ES_tradnl"/>
        </w:rPr>
        <w:t xml:space="preserve"> </w:t>
      </w:r>
      <w:r>
        <w:rPr>
          <w:rFonts w:ascii="Symbol" w:hAnsi="Symbol"/>
        </w:rPr>
        <w:t></w:t>
      </w:r>
      <w:r>
        <w:rPr>
          <w:position w:val="-4"/>
          <w:sz w:val="16"/>
          <w:lang w:val="en-US"/>
        </w:rPr>
        <w:t>2</w:t>
      </w:r>
      <w:r>
        <w:rPr>
          <w:lang w:val="es-ES_tradnl"/>
        </w:rPr>
        <w:t>,</w:t>
      </w:r>
      <w:r>
        <w:t xml:space="preserve"> as</w:t>
      </w:r>
    </w:p>
    <w:p w:rsidR="00220BE7" w:rsidRDefault="00220BE7">
      <w:pPr>
        <w:pStyle w:val="Equation"/>
        <w:rPr>
          <w:lang w:val="fr-FR"/>
        </w:rPr>
      </w:pPr>
      <w:r>
        <w:rPr>
          <w:lang w:val="fr-FR"/>
        </w:rPr>
        <w:tab/>
      </w:r>
      <w:r>
        <w:rPr>
          <w:lang w:val="fr-FR"/>
        </w:rPr>
        <w:tab/>
      </w:r>
      <w:r>
        <w:rPr>
          <w:rFonts w:ascii="Symbol" w:hAnsi="Symbol"/>
        </w:rPr>
        <w:t></w:t>
      </w:r>
      <w:r>
        <w:rPr>
          <w:lang w:val="fr-FR"/>
        </w:rPr>
        <w:t xml:space="preserve"> </w:t>
      </w:r>
      <w:r>
        <w:rPr>
          <w:i/>
          <w:iCs/>
          <w:lang w:val="es-ES_tradnl"/>
        </w:rPr>
        <w:t>G</w:t>
      </w:r>
      <w:r>
        <w:rPr>
          <w:lang w:val="es-ES_tradnl"/>
        </w:rPr>
        <w:t>(</w:t>
      </w:r>
      <w:r>
        <w:rPr>
          <w:rFonts w:ascii="Symbol" w:hAnsi="Symbol"/>
        </w:rPr>
        <w:t></w:t>
      </w:r>
      <w:r>
        <w:rPr>
          <w:lang w:val="es-ES_tradnl"/>
        </w:rPr>
        <w:t xml:space="preserve">  –  </w:t>
      </w:r>
      <w:r>
        <w:rPr>
          <w:rFonts w:ascii="Symbol" w:hAnsi="Symbol"/>
        </w:rPr>
        <w:t></w:t>
      </w:r>
      <w:r>
        <w:rPr>
          <w:position w:val="-4"/>
          <w:sz w:val="18"/>
          <w:lang w:val="es-ES_tradnl"/>
        </w:rPr>
        <w:t>0</w:t>
      </w:r>
      <w:r>
        <w:rPr>
          <w:lang w:val="es-ES_tradnl"/>
        </w:rPr>
        <w:t>)</w:t>
      </w:r>
      <w:r>
        <w:rPr>
          <w:lang w:val="fr-FR"/>
        </w:rPr>
        <w:t xml:space="preserve">  </w:t>
      </w:r>
      <w:r>
        <w:rPr>
          <w:rFonts w:ascii="Symbol" w:hAnsi="Symbol"/>
        </w:rPr>
        <w:t></w:t>
      </w:r>
      <w:r>
        <w:rPr>
          <w:lang w:val="fr-FR"/>
        </w:rPr>
        <w:t xml:space="preserve">  –</w:t>
      </w:r>
      <w:r>
        <w:rPr>
          <w:i/>
          <w:iCs/>
          <w:lang w:val="fr-FR"/>
        </w:rPr>
        <w:t>L</w:t>
      </w:r>
      <w:r>
        <w:rPr>
          <w:i/>
          <w:iCs/>
          <w:position w:val="-4"/>
          <w:sz w:val="18"/>
          <w:lang w:val="fr-FR"/>
        </w:rPr>
        <w:t>N</w:t>
      </w:r>
      <w:r>
        <w:rPr>
          <w:lang w:val="fr-FR"/>
        </w:rPr>
        <w:t xml:space="preserve">  –  60 log(1  </w:t>
      </w:r>
      <w:r>
        <w:rPr>
          <w:rFonts w:ascii="Symbol" w:hAnsi="Symbol"/>
          <w:lang w:val="fr-FR"/>
        </w:rPr>
        <w:t></w:t>
      </w:r>
      <w:r>
        <w:rPr>
          <w:lang w:val="fr-FR"/>
        </w:rPr>
        <w:t xml:space="preserve">  </w:t>
      </w:r>
      <w:r>
        <w:rPr>
          <w:rFonts w:ascii="Symbol" w:hAnsi="Symbol"/>
        </w:rPr>
        <w:t></w:t>
      </w:r>
      <w:r>
        <w:rPr>
          <w:lang w:val="fr-FR"/>
        </w:rPr>
        <w:t xml:space="preserve">)  </w:t>
      </w:r>
      <w:r>
        <w:rPr>
          <w:rFonts w:ascii="Symbol" w:hAnsi="Symbol"/>
        </w:rPr>
        <w:t></w:t>
      </w:r>
      <w:r>
        <w:rPr>
          <w:lang w:val="fr-FR"/>
        </w:rPr>
        <w:t xml:space="preserve">  –</w:t>
      </w:r>
      <w:r>
        <w:rPr>
          <w:i/>
          <w:iCs/>
          <w:lang w:val="fr-FR"/>
        </w:rPr>
        <w:t>L</w:t>
      </w:r>
      <w:r>
        <w:rPr>
          <w:i/>
          <w:iCs/>
          <w:position w:val="-4"/>
          <w:sz w:val="18"/>
          <w:lang w:val="fr-FR"/>
        </w:rPr>
        <w:t>N</w:t>
      </w:r>
      <w:r>
        <w:rPr>
          <w:lang w:val="fr-FR"/>
        </w:rPr>
        <w:t xml:space="preserve">  –  60 </w:t>
      </w:r>
      <w:r>
        <w:rPr>
          <w:i/>
          <w:iCs/>
          <w:lang w:val="fr-FR"/>
        </w:rPr>
        <w:t>y</w:t>
      </w:r>
      <w:r>
        <w:rPr>
          <w:lang w:val="fr-FR"/>
        </w:rPr>
        <w:t>               dB</w:t>
      </w:r>
      <w:r>
        <w:rPr>
          <w:lang w:val="fr-FR"/>
        </w:rPr>
        <w:tab/>
        <w:t>(13)</w:t>
      </w:r>
    </w:p>
    <w:p w:rsidR="00220BE7" w:rsidRDefault="00220BE7">
      <w:pPr>
        <w:rPr>
          <w:lang w:val="es-ES_tradnl"/>
        </w:rPr>
      </w:pPr>
      <w:r>
        <w:t>where</w:t>
      </w:r>
      <w:r>
        <w:rPr>
          <w:lang w:val="en-US"/>
        </w:rPr>
        <w:t>:</w:t>
      </w:r>
    </w:p>
    <w:p w:rsidR="00220BE7" w:rsidRDefault="00220BE7">
      <w:pPr>
        <w:pStyle w:val="enumlev1"/>
        <w:tabs>
          <w:tab w:val="left" w:pos="879"/>
          <w:tab w:val="left" w:pos="2070"/>
        </w:tabs>
        <w:spacing w:line="240" w:lineRule="exact"/>
        <w:ind w:left="879" w:hanging="879"/>
        <w:rPr>
          <w:lang w:val="es-ES_tradnl"/>
        </w:rPr>
      </w:pPr>
      <w:r>
        <w:rPr>
          <w:lang w:val="es-ES_tradnl"/>
        </w:rPr>
        <w:tab/>
      </w:r>
      <w:r>
        <w:rPr>
          <w:i/>
          <w:iCs/>
          <w:lang w:val="en-US"/>
        </w:rPr>
        <w:t>y</w:t>
      </w:r>
      <w:r>
        <w:rPr>
          <w:rFonts w:ascii="Tms Rmn" w:hAnsi="Tms Rmn"/>
          <w:sz w:val="12"/>
          <w:lang w:val="es-ES_tradnl"/>
        </w:rPr>
        <w:t> </w:t>
      </w:r>
      <w:r>
        <w:rPr>
          <w:lang w:val="en-US"/>
        </w:rPr>
        <w:t xml:space="preserve">  </w:t>
      </w:r>
      <w:r>
        <w:rPr>
          <w:rFonts w:ascii="Symbol" w:hAnsi="Symbol"/>
        </w:rPr>
        <w:t></w:t>
      </w:r>
      <w:r>
        <w:rPr>
          <w:lang w:val="en-US"/>
        </w:rPr>
        <w:tab/>
        <w:t xml:space="preserve">log(1 </w:t>
      </w:r>
      <w:r>
        <w:rPr>
          <w:rFonts w:ascii="Symbol" w:hAnsi="Symbol"/>
          <w:lang w:val="fr-FR"/>
        </w:rPr>
        <w:t></w:t>
      </w:r>
      <w:r>
        <w:rPr>
          <w:lang w:val="en-US"/>
        </w:rPr>
        <w:t xml:space="preserve"> </w:t>
      </w:r>
      <w:r>
        <w:rPr>
          <w:rFonts w:ascii="Symbol" w:hAnsi="Symbol"/>
        </w:rPr>
        <w:t></w:t>
      </w:r>
      <w:r>
        <w:rPr>
          <w:lang w:val="en-US"/>
        </w:rPr>
        <w:t>)</w:t>
      </w:r>
    </w:p>
    <w:p w:rsidR="00220BE7" w:rsidRDefault="00220BE7">
      <w:pPr>
        <w:pStyle w:val="enumlev1"/>
        <w:tabs>
          <w:tab w:val="left" w:pos="879"/>
          <w:tab w:val="left" w:pos="2070"/>
        </w:tabs>
        <w:spacing w:line="240" w:lineRule="exact"/>
        <w:ind w:left="879" w:hanging="879"/>
        <w:rPr>
          <w:lang w:val="es-ES_tradnl"/>
        </w:rPr>
      </w:pPr>
      <w:r>
        <w:rPr>
          <w:lang w:val="es-ES_tradnl"/>
        </w:rPr>
        <w:tab/>
      </w:r>
      <w:r>
        <w:rPr>
          <w:i/>
          <w:iCs/>
          <w:lang w:val="en-US"/>
        </w:rPr>
        <w:t>L</w:t>
      </w:r>
      <w:r>
        <w:rPr>
          <w:i/>
          <w:iCs/>
          <w:position w:val="-4"/>
          <w:sz w:val="16"/>
          <w:lang w:val="en-US"/>
        </w:rPr>
        <w:t>N</w:t>
      </w:r>
      <w:r>
        <w:rPr>
          <w:rFonts w:ascii="Tms Rmn" w:hAnsi="Tms Rmn"/>
          <w:sz w:val="12"/>
          <w:lang w:val="es-ES_tradnl"/>
        </w:rPr>
        <w:t> </w:t>
      </w:r>
      <w:r>
        <w:rPr>
          <w:lang w:val="es-ES_tradnl"/>
        </w:rPr>
        <w:t>:</w:t>
      </w:r>
      <w:r>
        <w:rPr>
          <w:lang w:val="es-ES_tradnl"/>
        </w:rPr>
        <w:tab/>
      </w:r>
      <w:r>
        <w:t>near side-lobe level relative to the peak gain (dB) as required by the system design.</w:t>
      </w:r>
    </w:p>
    <w:p w:rsidR="00220BE7" w:rsidRDefault="00220BE7">
      <w:pPr>
        <w:rPr>
          <w:lang w:val="es-ES_tradnl"/>
        </w:rPr>
      </w:pPr>
      <w:r>
        <w:t xml:space="preserve">For this study </w:t>
      </w:r>
      <w:r>
        <w:rPr>
          <w:i/>
          <w:iCs/>
          <w:lang w:val="en-US"/>
        </w:rPr>
        <w:t>L</w:t>
      </w:r>
      <w:r>
        <w:rPr>
          <w:i/>
          <w:iCs/>
          <w:position w:val="-4"/>
          <w:sz w:val="16"/>
          <w:lang w:val="en-US"/>
        </w:rPr>
        <w:t>N</w:t>
      </w:r>
      <w:r>
        <w:t xml:space="preserve"> is taken to be 32 dB. For main coverage radius less than 132 km, the free space path loss is a much slower function of the tilt angle </w:t>
      </w:r>
      <w:r>
        <w:rPr>
          <w:rFonts w:ascii="Symbol" w:hAnsi="Symbol"/>
        </w:rPr>
        <w:t></w:t>
      </w:r>
      <w:r>
        <w:t xml:space="preserve"> than the antenna gain variation. Hence it is a good approximation to replace the differential free space loss term with just the first two terms of its Taylor series expansion, using </w:t>
      </w:r>
      <w:r>
        <w:br/>
      </w:r>
      <w:r>
        <w:rPr>
          <w:rFonts w:ascii="Symbol" w:hAnsi="Symbol"/>
        </w:rPr>
        <w:t></w:t>
      </w:r>
      <w:r>
        <w:rPr>
          <w:rFonts w:hint="eastAsia"/>
          <w:lang w:val="en-US"/>
        </w:rPr>
        <w:t> </w:t>
      </w:r>
      <w:r>
        <w:rPr>
          <w:lang w:val="en-US"/>
        </w:rPr>
        <w:t>= </w:t>
      </w:r>
      <w:r>
        <w:rPr>
          <w:rFonts w:ascii="Symbol" w:hAnsi="Symbol"/>
        </w:rPr>
        <w:t></w:t>
      </w:r>
      <w:r>
        <w:rPr>
          <w:position w:val="-4"/>
          <w:sz w:val="16"/>
          <w:lang w:val="es-ES_tradnl"/>
        </w:rPr>
        <w:t>0</w:t>
      </w:r>
      <w:r>
        <w:rPr>
          <w:lang w:val="es-ES_tradnl"/>
        </w:rPr>
        <w:t xml:space="preserve"> </w:t>
      </w:r>
      <w:r>
        <w:rPr>
          <w:rFonts w:ascii="Symbol" w:hAnsi="Symbol"/>
          <w:lang w:val="es-ES_tradnl"/>
        </w:rPr>
        <w:t></w:t>
      </w:r>
      <w:r>
        <w:rPr>
          <w:lang w:val="es-ES_tradnl"/>
        </w:rPr>
        <w:t xml:space="preserve"> (1 </w:t>
      </w:r>
      <w:r>
        <w:rPr>
          <w:rFonts w:ascii="Symbol" w:hAnsi="Symbol"/>
          <w:lang w:val="fr-FR"/>
        </w:rPr>
        <w:t></w:t>
      </w:r>
      <w:r>
        <w:rPr>
          <w:lang w:val="es-ES_tradnl"/>
        </w:rPr>
        <w:t xml:space="preserve"> </w:t>
      </w:r>
      <w:r>
        <w:rPr>
          <w:rFonts w:ascii="Symbol" w:hAnsi="Symbol"/>
        </w:rPr>
        <w:t></w:t>
      </w:r>
      <w:r>
        <w:rPr>
          <w:lang w:val="es-ES_tradnl"/>
        </w:rPr>
        <w:t>)</w:t>
      </w:r>
      <w:r>
        <w:rPr>
          <w:rFonts w:ascii="Symbol" w:hAnsi="Symbol"/>
        </w:rPr>
        <w:t></w:t>
      </w:r>
      <w:r>
        <w:rPr>
          <w:position w:val="-4"/>
          <w:sz w:val="16"/>
          <w:lang w:val="es-ES_tradnl"/>
        </w:rPr>
        <w:t>2</w:t>
      </w:r>
      <w:r>
        <w:rPr>
          <w:lang w:val="es-ES_tradnl"/>
        </w:rPr>
        <w:t xml:space="preserve"> </w:t>
      </w:r>
      <w:r>
        <w:rPr>
          <w:rFonts w:ascii="Symbol" w:hAnsi="Symbol"/>
        </w:rPr>
        <w:t></w:t>
      </w:r>
      <w:r>
        <w:rPr>
          <w:lang w:val="es-ES_tradnl"/>
        </w:rPr>
        <w:t xml:space="preserve"> </w:t>
      </w:r>
      <w:r>
        <w:rPr>
          <w:rFonts w:ascii="Symbol" w:hAnsi="Symbol"/>
        </w:rPr>
        <w:t></w:t>
      </w:r>
      <w:r>
        <w:rPr>
          <w:position w:val="-4"/>
          <w:sz w:val="16"/>
          <w:lang w:val="es-ES_tradnl"/>
        </w:rPr>
        <w:t>0</w:t>
      </w:r>
      <w:r>
        <w:rPr>
          <w:lang w:val="es-ES_tradnl"/>
        </w:rPr>
        <w:t xml:space="preserve"> </w:t>
      </w:r>
      <w:r>
        <w:rPr>
          <w:rFonts w:ascii="Symbol" w:hAnsi="Symbol"/>
          <w:lang w:val="es-ES_tradnl"/>
        </w:rPr>
        <w:t></w:t>
      </w:r>
      <w:r>
        <w:rPr>
          <w:rFonts w:ascii="Symbol" w:hAnsi="Symbol"/>
          <w:lang w:val="es-ES_tradnl"/>
        </w:rPr>
        <w:t></w:t>
      </w:r>
      <w:r>
        <w:rPr>
          <w:rFonts w:ascii="Symbol" w:hAnsi="Symbol"/>
          <w:lang w:val="es-ES_tradnl"/>
        </w:rPr>
        <w:t></w:t>
      </w:r>
      <w:r>
        <w:rPr>
          <w:rFonts w:ascii="Symbol" w:hAnsi="Symbol"/>
          <w:lang w:val="es-ES_tradnl"/>
        </w:rPr>
        <w:t></w:t>
      </w:r>
      <w:r>
        <w:rPr>
          <w:rFonts w:ascii="Tms Rmn" w:hAnsi="Tms Rmn" w:hint="eastAsia"/>
          <w:sz w:val="12"/>
          <w:lang w:val="en-US"/>
        </w:rPr>
        <w:t> </w:t>
      </w:r>
      <w:r>
        <w:rPr>
          <w:i/>
          <w:iCs/>
          <w:position w:val="10"/>
          <w:sz w:val="16"/>
          <w:lang w:val="es-ES_tradnl"/>
        </w:rPr>
        <w:t>y</w:t>
      </w:r>
      <w:r>
        <w:rPr>
          <w:lang w:val="en-US"/>
        </w:rPr>
        <w:t xml:space="preserve"> </w:t>
      </w:r>
      <w:r>
        <w:rPr>
          <w:rFonts w:ascii="Symbol" w:hAnsi="Symbol"/>
        </w:rPr>
        <w:t></w:t>
      </w:r>
      <w:r>
        <w:rPr>
          <w:position w:val="-4"/>
          <w:sz w:val="16"/>
          <w:lang w:val="es-ES_tradnl"/>
        </w:rPr>
        <w:t>2</w:t>
      </w:r>
      <w:r>
        <w:t>.</w:t>
      </w:r>
    </w:p>
    <w:p w:rsidR="00220BE7" w:rsidRDefault="00220BE7">
      <w:pPr>
        <w:pStyle w:val="Equation"/>
        <w:tabs>
          <w:tab w:val="clear" w:pos="794"/>
          <w:tab w:val="left" w:pos="1389"/>
          <w:tab w:val="left" w:pos="2268"/>
        </w:tabs>
        <w:rPr>
          <w:lang w:val="es-ES_tradnl"/>
        </w:rPr>
      </w:pPr>
      <w:r>
        <w:rPr>
          <w:lang w:val="es-ES_tradnl"/>
        </w:rPr>
        <w:br w:type="page"/>
      </w:r>
      <w:r>
        <w:rPr>
          <w:rFonts w:ascii="Symbol" w:hAnsi="Symbol"/>
          <w:lang w:val="es-ES_tradnl"/>
        </w:rPr>
        <w:lastRenderedPageBreak/>
        <w:tab/>
      </w:r>
      <w:r>
        <w:rPr>
          <w:rFonts w:ascii="Symbol" w:hAnsi="Symbol"/>
        </w:rPr>
        <w:t></w:t>
      </w:r>
      <w:r>
        <w:rPr>
          <w:lang w:val="es-ES_tradnl"/>
        </w:rPr>
        <w:t xml:space="preserve"> </w:t>
      </w:r>
      <w:r>
        <w:rPr>
          <w:i/>
          <w:iCs/>
          <w:lang w:val="es-ES_tradnl"/>
        </w:rPr>
        <w:t>FSL</w:t>
      </w:r>
      <w:r>
        <w:rPr>
          <w:lang w:val="es-ES_tradnl"/>
        </w:rPr>
        <w:t>(</w:t>
      </w:r>
      <w:r>
        <w:rPr>
          <w:rFonts w:ascii="Symbol" w:hAnsi="Symbol"/>
        </w:rPr>
        <w:t></w:t>
      </w:r>
      <w:r>
        <w:rPr>
          <w:lang w:val="es-ES_tradnl"/>
        </w:rPr>
        <w:t>)</w:t>
      </w:r>
      <w:r>
        <w:rPr>
          <w:lang w:val="es-ES_tradnl"/>
        </w:rPr>
        <w:tab/>
      </w:r>
      <w:r>
        <w:rPr>
          <w:rFonts w:ascii="Symbol" w:hAnsi="Symbol"/>
        </w:rPr>
        <w:t></w:t>
      </w:r>
      <w:r>
        <w:rPr>
          <w:lang w:val="es-ES_tradnl"/>
        </w:rPr>
        <w:t xml:space="preserve">  20 log(cos(</w:t>
      </w:r>
      <w:r>
        <w:rPr>
          <w:rFonts w:ascii="Symbol" w:hAnsi="Symbol"/>
        </w:rPr>
        <w:t></w:t>
      </w:r>
      <w:r>
        <w:rPr>
          <w:position w:val="-4"/>
          <w:sz w:val="18"/>
          <w:lang w:val="es-ES_tradnl"/>
        </w:rPr>
        <w:t>0</w:t>
      </w:r>
      <w:r>
        <w:rPr>
          <w:lang w:val="es-ES_tradnl"/>
        </w:rPr>
        <w:t>))  –  20 log(cos(</w:t>
      </w:r>
      <w:r>
        <w:rPr>
          <w:rFonts w:ascii="Symbol" w:hAnsi="Symbol"/>
        </w:rPr>
        <w:t></w:t>
      </w:r>
      <w:r>
        <w:rPr>
          <w:position w:val="-4"/>
          <w:sz w:val="18"/>
          <w:lang w:val="es-ES_tradnl"/>
        </w:rPr>
        <w:t>0</w:t>
      </w:r>
      <w:r>
        <w:rPr>
          <w:lang w:val="es-ES_tradnl"/>
        </w:rPr>
        <w:t xml:space="preserve">  +  10</w:t>
      </w:r>
      <w:r>
        <w:rPr>
          <w:rFonts w:ascii="Tms Rmn" w:hAnsi="Tms Rmn"/>
          <w:sz w:val="12"/>
          <w:lang w:val="es-ES_tradnl"/>
        </w:rPr>
        <w:t> </w:t>
      </w:r>
      <w:r>
        <w:rPr>
          <w:i/>
          <w:iCs/>
          <w:position w:val="10"/>
          <w:sz w:val="18"/>
          <w:lang w:val="es-ES_tradnl"/>
        </w:rPr>
        <w:t>y</w:t>
      </w:r>
      <w:r>
        <w:rPr>
          <w:lang w:val="es-ES_tradnl"/>
        </w:rPr>
        <w:t xml:space="preserve"> </w:t>
      </w:r>
      <w:r>
        <w:rPr>
          <w:rFonts w:ascii="Symbol" w:hAnsi="Symbol"/>
        </w:rPr>
        <w:t></w:t>
      </w:r>
      <w:r>
        <w:rPr>
          <w:position w:val="-4"/>
          <w:sz w:val="16"/>
          <w:lang w:val="es-ES_tradnl"/>
        </w:rPr>
        <w:t>2</w:t>
      </w:r>
      <w:r>
        <w:rPr>
          <w:lang w:val="es-ES_tradnl"/>
        </w:rPr>
        <w:t>))</w:t>
      </w:r>
    </w:p>
    <w:p w:rsidR="00220BE7" w:rsidRDefault="00220BE7">
      <w:pPr>
        <w:pStyle w:val="Equation"/>
        <w:tabs>
          <w:tab w:val="clear" w:pos="794"/>
          <w:tab w:val="left" w:pos="1418"/>
          <w:tab w:val="left" w:pos="2268"/>
        </w:tabs>
        <w:rPr>
          <w:lang w:val="es-ES_tradnl"/>
        </w:rPr>
      </w:pPr>
      <w:r>
        <w:rPr>
          <w:rFonts w:ascii="Symbol" w:hAnsi="Symbol"/>
          <w:lang w:val="es-ES_tradnl"/>
        </w:rPr>
        <w:tab/>
      </w:r>
      <w:r>
        <w:rPr>
          <w:rFonts w:ascii="Symbol" w:hAnsi="Symbol"/>
          <w:lang w:val="es-ES_tradnl"/>
        </w:rPr>
        <w:tab/>
      </w:r>
      <w:r>
        <w:fldChar w:fldCharType="begin"/>
      </w:r>
      <w:r>
        <w:rPr>
          <w:lang w:val="es-ES_tradnl"/>
        </w:rPr>
        <w:instrText>symbol 64 \f "Symbol" \s 12</w:instrText>
      </w:r>
      <w:r>
        <w:fldChar w:fldCharType="separate"/>
      </w:r>
      <w:r>
        <w:rPr>
          <w:rFonts w:ascii="Symbol" w:hAnsi="Symbol"/>
          <w:lang w:val="es-ES_tradnl"/>
        </w:rPr>
        <w:t>@</w:t>
      </w:r>
      <w:r>
        <w:fldChar w:fldCharType="end"/>
      </w:r>
      <w:r>
        <w:rPr>
          <w:lang w:val="es-ES_tradnl"/>
        </w:rPr>
        <w:t xml:space="preserve"> 20 log(cos(</w:t>
      </w:r>
      <w:r>
        <w:rPr>
          <w:rFonts w:ascii="Symbol" w:hAnsi="Symbol"/>
        </w:rPr>
        <w:t></w:t>
      </w:r>
      <w:r>
        <w:rPr>
          <w:position w:val="-4"/>
          <w:sz w:val="18"/>
          <w:lang w:val="es-ES_tradnl"/>
        </w:rPr>
        <w:t>0</w:t>
      </w:r>
      <w:r>
        <w:rPr>
          <w:lang w:val="es-ES_tradnl"/>
        </w:rPr>
        <w:t>))  –  20 log(cos(</w:t>
      </w:r>
      <w:r>
        <w:rPr>
          <w:rFonts w:ascii="Symbol" w:hAnsi="Symbol"/>
        </w:rPr>
        <w:t></w:t>
      </w:r>
      <w:r>
        <w:rPr>
          <w:position w:val="-4"/>
          <w:sz w:val="18"/>
          <w:lang w:val="es-ES_tradnl"/>
        </w:rPr>
        <w:t>0</w:t>
      </w:r>
      <w:r>
        <w:rPr>
          <w:lang w:val="es-ES_tradnl"/>
        </w:rPr>
        <w:t xml:space="preserve">  +  </w:t>
      </w:r>
      <w:r>
        <w:rPr>
          <w:rFonts w:ascii="Symbol" w:hAnsi="Symbol"/>
        </w:rPr>
        <w:t></w:t>
      </w:r>
      <w:r>
        <w:rPr>
          <w:position w:val="-4"/>
          <w:sz w:val="16"/>
          <w:lang w:val="es-ES_tradnl"/>
        </w:rPr>
        <w:t>2</w:t>
      </w:r>
      <w:r>
        <w:rPr>
          <w:lang w:val="es-ES_tradnl"/>
        </w:rPr>
        <w:t>))  +  20 </w:t>
      </w:r>
      <w:r>
        <w:rPr>
          <w:rFonts w:ascii="Symbol" w:hAnsi="Symbol"/>
        </w:rPr>
        <w:t></w:t>
      </w:r>
      <w:r>
        <w:rPr>
          <w:position w:val="-4"/>
          <w:sz w:val="16"/>
          <w:lang w:val="es-ES_tradnl"/>
        </w:rPr>
        <w:t>2</w:t>
      </w:r>
      <w:r>
        <w:rPr>
          <w:lang w:val="es-ES_tradnl"/>
        </w:rPr>
        <w:t xml:space="preserve"> tan(</w:t>
      </w:r>
      <w:r>
        <w:rPr>
          <w:rFonts w:ascii="Symbol" w:hAnsi="Symbol"/>
        </w:rPr>
        <w:t></w:t>
      </w:r>
      <w:r>
        <w:rPr>
          <w:position w:val="-4"/>
          <w:sz w:val="18"/>
          <w:lang w:val="es-ES_tradnl"/>
        </w:rPr>
        <w:t>0</w:t>
      </w:r>
      <w:r>
        <w:rPr>
          <w:lang w:val="es-ES_tradnl"/>
        </w:rPr>
        <w:t xml:space="preserve">  +  </w:t>
      </w:r>
      <w:r>
        <w:rPr>
          <w:rFonts w:ascii="Symbol" w:hAnsi="Symbol"/>
        </w:rPr>
        <w:t></w:t>
      </w:r>
      <w:r>
        <w:rPr>
          <w:position w:val="-4"/>
          <w:sz w:val="16"/>
          <w:lang w:val="es-ES_tradnl"/>
        </w:rPr>
        <w:t>2</w:t>
      </w:r>
      <w:r>
        <w:rPr>
          <w:lang w:val="es-ES_tradnl"/>
        </w:rPr>
        <w:t xml:space="preserve">) </w:t>
      </w:r>
      <w:r>
        <w:rPr>
          <w:i/>
          <w:iCs/>
          <w:lang w:val="es-ES_tradnl"/>
        </w:rPr>
        <w:t>y</w:t>
      </w:r>
      <w:r>
        <w:rPr>
          <w:lang w:val="es-ES_tradnl"/>
        </w:rPr>
        <w:tab/>
        <w:t>(14)</w:t>
      </w:r>
    </w:p>
    <w:p w:rsidR="00220BE7" w:rsidRDefault="00220BE7">
      <w:pPr>
        <w:pStyle w:val="Equation"/>
        <w:tabs>
          <w:tab w:val="clear" w:pos="794"/>
          <w:tab w:val="left" w:pos="1418"/>
          <w:tab w:val="left" w:pos="2268"/>
        </w:tabs>
        <w:rPr>
          <w:lang w:val="es-ES_tradnl"/>
        </w:rPr>
      </w:pPr>
      <w:r>
        <w:rPr>
          <w:rFonts w:ascii="Symbol" w:hAnsi="Symbol"/>
          <w:lang w:val="es-ES_tradnl"/>
        </w:rPr>
        <w:tab/>
      </w:r>
      <w:r>
        <w:rPr>
          <w:rFonts w:ascii="Symbol" w:hAnsi="Symbol"/>
          <w:lang w:val="es-ES_tradnl"/>
        </w:rPr>
        <w:tab/>
      </w:r>
      <w:r>
        <w:rPr>
          <w:rFonts w:ascii="Symbol" w:hAnsi="Symbol"/>
        </w:rPr>
        <w:t></w:t>
      </w:r>
      <w:r>
        <w:rPr>
          <w:lang w:val="es-ES_tradnl"/>
        </w:rPr>
        <w:t xml:space="preserve">  20 log(cos(</w:t>
      </w:r>
      <w:r>
        <w:rPr>
          <w:rFonts w:ascii="Symbol" w:hAnsi="Symbol"/>
        </w:rPr>
        <w:t></w:t>
      </w:r>
      <w:r>
        <w:rPr>
          <w:position w:val="-4"/>
          <w:sz w:val="18"/>
          <w:lang w:val="es-ES_tradnl"/>
        </w:rPr>
        <w:t>0</w:t>
      </w:r>
      <w:r>
        <w:rPr>
          <w:lang w:val="es-ES_tradnl"/>
        </w:rPr>
        <w:t>))  –  20 log(cos(</w:t>
      </w:r>
      <w:r>
        <w:rPr>
          <w:rFonts w:ascii="Symbol" w:hAnsi="Symbol"/>
        </w:rPr>
        <w:t></w:t>
      </w:r>
      <w:r>
        <w:rPr>
          <w:position w:val="-4"/>
          <w:sz w:val="18"/>
          <w:lang w:val="es-ES_tradnl"/>
        </w:rPr>
        <w:t>0</w:t>
      </w:r>
      <w:r>
        <w:rPr>
          <w:lang w:val="es-ES_tradnl"/>
        </w:rPr>
        <w:t xml:space="preserve">  +  </w:t>
      </w:r>
      <w:r>
        <w:rPr>
          <w:rFonts w:ascii="Symbol" w:hAnsi="Symbol"/>
        </w:rPr>
        <w:t></w:t>
      </w:r>
      <w:r>
        <w:rPr>
          <w:position w:val="-4"/>
          <w:sz w:val="16"/>
          <w:lang w:val="es-ES_tradnl"/>
        </w:rPr>
        <w:t>2</w:t>
      </w:r>
      <w:r>
        <w:rPr>
          <w:lang w:val="es-ES_tradnl"/>
        </w:rPr>
        <w:t>))  +  20 </w:t>
      </w:r>
      <w:r>
        <w:rPr>
          <w:rFonts w:ascii="Symbol" w:hAnsi="Symbol"/>
        </w:rPr>
        <w:t></w:t>
      </w:r>
      <w:r>
        <w:rPr>
          <w:position w:val="-4"/>
          <w:sz w:val="16"/>
          <w:lang w:val="es-ES_tradnl"/>
        </w:rPr>
        <w:t>2</w:t>
      </w:r>
      <w:r>
        <w:rPr>
          <w:lang w:val="es-ES_tradnl"/>
        </w:rPr>
        <w:t xml:space="preserve"> tan(</w:t>
      </w:r>
      <w:r>
        <w:rPr>
          <w:rFonts w:ascii="Symbol" w:hAnsi="Symbol"/>
        </w:rPr>
        <w:t></w:t>
      </w:r>
      <w:r>
        <w:rPr>
          <w:position w:val="-4"/>
          <w:sz w:val="18"/>
          <w:lang w:val="es-ES_tradnl"/>
        </w:rPr>
        <w:t>0</w:t>
      </w:r>
      <w:r>
        <w:rPr>
          <w:lang w:val="es-ES_tradnl"/>
        </w:rPr>
        <w:t xml:space="preserve">  +  </w:t>
      </w:r>
      <w:r>
        <w:rPr>
          <w:rFonts w:ascii="Symbol" w:hAnsi="Symbol"/>
        </w:rPr>
        <w:t></w:t>
      </w:r>
      <w:r>
        <w:rPr>
          <w:position w:val="-4"/>
          <w:sz w:val="16"/>
          <w:lang w:val="es-ES_tradnl"/>
        </w:rPr>
        <w:t>2</w:t>
      </w:r>
      <w:r>
        <w:rPr>
          <w:lang w:val="es-ES_tradnl"/>
        </w:rPr>
        <w:t xml:space="preserve">) </w:t>
      </w:r>
      <w:r>
        <w:rPr>
          <w:i/>
          <w:iCs/>
          <w:lang w:val="es-ES_tradnl"/>
        </w:rPr>
        <w:t>y</w:t>
      </w:r>
    </w:p>
    <w:p w:rsidR="00220BE7" w:rsidRDefault="00220BE7">
      <w:pPr>
        <w:rPr>
          <w:lang w:val="es-ES_tradnl"/>
        </w:rPr>
      </w:pPr>
      <w:r>
        <w:t xml:space="preserve">Let </w:t>
      </w:r>
      <w:r>
        <w:rPr>
          <w:i/>
          <w:iCs/>
        </w:rPr>
        <w:t>D</w:t>
      </w:r>
      <w:r>
        <w:t xml:space="preserve"> = (</w:t>
      </w:r>
      <w:r>
        <w:rPr>
          <w:i/>
          <w:iCs/>
          <w:lang w:val="en-US"/>
        </w:rPr>
        <w:t>I</w:t>
      </w:r>
      <w:r>
        <w:rPr>
          <w:i/>
          <w:iCs/>
          <w:position w:val="-4"/>
          <w:sz w:val="16"/>
          <w:lang w:val="en-US"/>
        </w:rPr>
        <w:t>received</w:t>
      </w:r>
      <w:r>
        <w:rPr>
          <w:lang w:val="en-US"/>
        </w:rPr>
        <w:t>/</w:t>
      </w:r>
      <w:r>
        <w:rPr>
          <w:i/>
          <w:iCs/>
          <w:lang w:val="en-US"/>
        </w:rPr>
        <w:t>N</w:t>
      </w:r>
      <w:r>
        <w:rPr>
          <w:lang w:val="en-US"/>
        </w:rPr>
        <w:t>)</w:t>
      </w:r>
      <w:r>
        <w:rPr>
          <w:i/>
          <w:iCs/>
          <w:position w:val="-4"/>
          <w:sz w:val="16"/>
          <w:lang w:val="en-US"/>
        </w:rPr>
        <w:t>centre</w:t>
      </w:r>
      <w:r>
        <w:t xml:space="preserve"> – </w:t>
      </w:r>
      <w:r>
        <w:rPr>
          <w:i/>
          <w:iCs/>
        </w:rPr>
        <w:t>Threshold</w:t>
      </w:r>
      <w:r>
        <w:t xml:space="preserve"> – </w:t>
      </w:r>
      <w:r>
        <w:rPr>
          <w:i/>
          <w:iCs/>
          <w:lang w:val="en-US"/>
        </w:rPr>
        <w:t>L</w:t>
      </w:r>
      <w:r>
        <w:rPr>
          <w:i/>
          <w:iCs/>
          <w:position w:val="-4"/>
          <w:sz w:val="16"/>
          <w:lang w:val="en-US"/>
        </w:rPr>
        <w:t>N</w:t>
      </w:r>
      <w:r>
        <w:t xml:space="preserve">, the coordination distance can be obtained from the solution for </w:t>
      </w:r>
      <w:r>
        <w:rPr>
          <w:i/>
          <w:iCs/>
        </w:rPr>
        <w:t>y</w:t>
      </w:r>
      <w:r>
        <w:t xml:space="preserve">, where </w:t>
      </w:r>
      <w:r>
        <w:rPr>
          <w:i/>
          <w:iCs/>
        </w:rPr>
        <w:t>Threshold</w:t>
      </w:r>
      <w:r>
        <w:t xml:space="preserve"> </w:t>
      </w:r>
      <w:r>
        <w:rPr>
          <w:rFonts w:ascii="Symbol" w:hAnsi="Symbol"/>
        </w:rPr>
        <w:t></w:t>
      </w:r>
      <w:r>
        <w:t xml:space="preserve"> </w:t>
      </w:r>
      <w:r>
        <w:rPr>
          <w:lang w:val="es-ES_tradnl"/>
        </w:rPr>
        <w:t>–</w:t>
      </w:r>
      <w:r>
        <w:rPr>
          <w:sz w:val="4"/>
          <w:lang w:val="es-ES_tradnl"/>
        </w:rPr>
        <w:t> </w:t>
      </w:r>
      <w:r>
        <w:t xml:space="preserve">10 dB is the permissible </w:t>
      </w:r>
      <w:r>
        <w:rPr>
          <w:i/>
          <w:iCs/>
        </w:rPr>
        <w:t>I</w:t>
      </w:r>
      <w:r>
        <w:t>/</w:t>
      </w:r>
      <w:r>
        <w:rPr>
          <w:i/>
          <w:iCs/>
        </w:rPr>
        <w:t>N</w:t>
      </w:r>
      <w:r>
        <w:t xml:space="preserve"> threshold for HAPS interfering into victim mobile stations.</w:t>
      </w:r>
    </w:p>
    <w:p w:rsidR="00220BE7" w:rsidRDefault="00220BE7">
      <w:pPr>
        <w:pStyle w:val="Equation"/>
        <w:rPr>
          <w:lang w:val="fr-FR"/>
        </w:rPr>
      </w:pPr>
      <w:r>
        <w:rPr>
          <w:lang w:val="en-US"/>
        </w:rPr>
        <w:tab/>
      </w:r>
      <w:r>
        <w:rPr>
          <w:lang w:val="en-US"/>
        </w:rPr>
        <w:tab/>
      </w:r>
      <w:r>
        <w:rPr>
          <w:i/>
          <w:iCs/>
          <w:lang w:val="fr-FR"/>
        </w:rPr>
        <w:t>y</w:t>
      </w:r>
      <w:r>
        <w:rPr>
          <w:lang w:val="fr-FR"/>
        </w:rPr>
        <w:t xml:space="preserve">  </w:t>
      </w:r>
      <w:r>
        <w:rPr>
          <w:rFonts w:ascii="Symbol" w:hAnsi="Symbol"/>
        </w:rPr>
        <w:t></w:t>
      </w:r>
      <w:r>
        <w:rPr>
          <w:lang w:val="fr-FR"/>
        </w:rPr>
        <w:t xml:space="preserve">  [</w:t>
      </w:r>
      <w:r>
        <w:rPr>
          <w:i/>
          <w:iCs/>
          <w:lang w:val="fr-FR"/>
        </w:rPr>
        <w:t>D</w:t>
      </w:r>
      <w:r>
        <w:rPr>
          <w:lang w:val="fr-FR"/>
        </w:rPr>
        <w:t xml:space="preserve">  –  20 log(cos(</w:t>
      </w:r>
      <w:r>
        <w:rPr>
          <w:rFonts w:ascii="Symbol" w:hAnsi="Symbol"/>
        </w:rPr>
        <w:t></w:t>
      </w:r>
      <w:r>
        <w:rPr>
          <w:position w:val="-4"/>
          <w:sz w:val="18"/>
          <w:lang w:val="es-ES_tradnl"/>
        </w:rPr>
        <w:t>0</w:t>
      </w:r>
      <w:r>
        <w:rPr>
          <w:lang w:val="fr-FR"/>
        </w:rPr>
        <w:t xml:space="preserve">))  </w:t>
      </w:r>
      <w:r>
        <w:rPr>
          <w:rFonts w:ascii="Symbol" w:hAnsi="Symbol"/>
          <w:lang w:val="fr-FR"/>
        </w:rPr>
        <w:t></w:t>
      </w:r>
      <w:r>
        <w:rPr>
          <w:lang w:val="fr-FR"/>
        </w:rPr>
        <w:t xml:space="preserve">  20 log(cos(</w:t>
      </w:r>
      <w:r>
        <w:rPr>
          <w:rFonts w:ascii="Symbol" w:hAnsi="Symbol"/>
        </w:rPr>
        <w:t></w:t>
      </w:r>
      <w:r>
        <w:rPr>
          <w:position w:val="-4"/>
          <w:sz w:val="18"/>
          <w:lang w:val="es-ES_tradnl"/>
        </w:rPr>
        <w:t>0</w:t>
      </w:r>
      <w:r>
        <w:rPr>
          <w:lang w:val="fr-FR"/>
        </w:rPr>
        <w:t xml:space="preserve">  </w:t>
      </w:r>
      <w:r>
        <w:rPr>
          <w:rFonts w:ascii="Symbol" w:hAnsi="Symbol"/>
          <w:lang w:val="fr-FR"/>
        </w:rPr>
        <w:t></w:t>
      </w:r>
      <w:r>
        <w:rPr>
          <w:lang w:val="fr-FR"/>
        </w:rPr>
        <w:t xml:space="preserve">  </w:t>
      </w:r>
      <w:r>
        <w:rPr>
          <w:rFonts w:ascii="Symbol" w:hAnsi="Symbol"/>
        </w:rPr>
        <w:t></w:t>
      </w:r>
      <w:r>
        <w:rPr>
          <w:position w:val="-4"/>
          <w:sz w:val="18"/>
          <w:lang w:val="es-ES_tradnl"/>
        </w:rPr>
        <w:t>2</w:t>
      </w:r>
      <w:r>
        <w:rPr>
          <w:lang w:val="fr-FR"/>
        </w:rPr>
        <w:t xml:space="preserve">))]/[60  </w:t>
      </w:r>
      <w:r>
        <w:rPr>
          <w:rFonts w:ascii="Symbol" w:hAnsi="Symbol"/>
          <w:lang w:val="fr-FR"/>
        </w:rPr>
        <w:t></w:t>
      </w:r>
      <w:r>
        <w:rPr>
          <w:lang w:val="fr-FR"/>
        </w:rPr>
        <w:t xml:space="preserve">  20 </w:t>
      </w:r>
      <w:r>
        <w:rPr>
          <w:rFonts w:ascii="Symbol" w:hAnsi="Symbol"/>
        </w:rPr>
        <w:t></w:t>
      </w:r>
      <w:r>
        <w:rPr>
          <w:position w:val="-4"/>
          <w:sz w:val="18"/>
          <w:lang w:val="es-ES_tradnl"/>
        </w:rPr>
        <w:t>2</w:t>
      </w:r>
      <w:r>
        <w:rPr>
          <w:lang w:val="fr-FR"/>
        </w:rPr>
        <w:t xml:space="preserve"> tan(</w:t>
      </w:r>
      <w:r>
        <w:rPr>
          <w:rFonts w:ascii="Symbol" w:hAnsi="Symbol"/>
        </w:rPr>
        <w:t></w:t>
      </w:r>
      <w:r>
        <w:rPr>
          <w:position w:val="-4"/>
          <w:sz w:val="18"/>
          <w:lang w:val="es-ES_tradnl"/>
        </w:rPr>
        <w:t>0</w:t>
      </w:r>
      <w:r>
        <w:rPr>
          <w:lang w:val="fr-FR"/>
        </w:rPr>
        <w:t xml:space="preserve">  </w:t>
      </w:r>
      <w:r>
        <w:rPr>
          <w:rFonts w:ascii="Symbol" w:hAnsi="Symbol"/>
          <w:lang w:val="fr-FR"/>
        </w:rPr>
        <w:t></w:t>
      </w:r>
      <w:r>
        <w:rPr>
          <w:lang w:val="fr-FR"/>
        </w:rPr>
        <w:t xml:space="preserve">  </w:t>
      </w:r>
      <w:r>
        <w:rPr>
          <w:rFonts w:ascii="Symbol" w:hAnsi="Symbol"/>
        </w:rPr>
        <w:t></w:t>
      </w:r>
      <w:r>
        <w:rPr>
          <w:position w:val="-4"/>
          <w:sz w:val="18"/>
          <w:lang w:val="es-ES_tradnl"/>
        </w:rPr>
        <w:t>2</w:t>
      </w:r>
      <w:r>
        <w:rPr>
          <w:lang w:val="fr-FR"/>
        </w:rPr>
        <w:t>)]</w:t>
      </w:r>
      <w:r>
        <w:rPr>
          <w:lang w:val="fr-FR"/>
        </w:rPr>
        <w:tab/>
        <w:t>(15)</w:t>
      </w:r>
    </w:p>
    <w:p w:rsidR="00220BE7" w:rsidRDefault="00220BE7">
      <w:pPr>
        <w:rPr>
          <w:lang w:val="en-US"/>
        </w:rPr>
      </w:pPr>
      <w:r>
        <w:t>The required coordination distance (relative to nadir of HAPS) follows by using the relationship:</w:t>
      </w:r>
    </w:p>
    <w:p w:rsidR="00220BE7" w:rsidRDefault="00220BE7">
      <w:pPr>
        <w:pStyle w:val="Equation"/>
        <w:rPr>
          <w:lang w:val="es-ES"/>
        </w:rPr>
      </w:pPr>
      <w:r>
        <w:tab/>
      </w:r>
      <w:r>
        <w:tab/>
      </w:r>
      <w:r>
        <w:rPr>
          <w:position w:val="-10"/>
          <w:lang w:val="es-ES_tradnl"/>
        </w:rPr>
        <w:object w:dxaOrig="1140" w:dyaOrig="320">
          <v:shape id="_x0000_i1038" type="#_x0000_t75" style="width:57pt;height:16.2pt" o:ole="">
            <v:imagedata r:id="rId37" o:title=""/>
          </v:shape>
          <o:OLEObject Type="Embed" ProgID="Equation.3" ShapeID="_x0000_i1038" DrawAspect="Content" ObjectID="_1361254776" r:id="rId43"/>
        </w:object>
      </w:r>
      <w:r>
        <w:t xml:space="preserve"> </w:t>
      </w:r>
      <w:r>
        <w:rPr>
          <w:rFonts w:ascii="Symbol" w:hAnsi="Symbol"/>
        </w:rPr>
        <w:t></w:t>
      </w:r>
      <w:r>
        <w:t xml:space="preserve">  tan(</w:t>
      </w:r>
      <w:r>
        <w:rPr>
          <w:rFonts w:ascii="Symbol" w:hAnsi="Symbol"/>
        </w:rPr>
        <w:t></w:t>
      </w:r>
      <w:r>
        <w:rPr>
          <w:position w:val="-4"/>
          <w:sz w:val="16"/>
          <w:lang w:val="en-US"/>
        </w:rPr>
        <w:t>0</w:t>
      </w:r>
      <w:r>
        <w:t xml:space="preserve">  </w:t>
      </w:r>
      <w:r>
        <w:rPr>
          <w:rFonts w:ascii="Symbol" w:hAnsi="Symbol"/>
          <w:lang w:val="fr-FR"/>
        </w:rPr>
        <w:t></w:t>
      </w:r>
      <w:r>
        <w:t xml:space="preserve">  </w:t>
      </w:r>
      <w:r>
        <w:rPr>
          <w:lang w:val="es-ES_tradnl"/>
        </w:rPr>
        <w:t>10</w:t>
      </w:r>
      <w:r>
        <w:rPr>
          <w:rFonts w:ascii="Tms Rmn" w:hAnsi="Tms Rmn"/>
          <w:sz w:val="12"/>
          <w:lang w:val="es-ES_tradnl"/>
        </w:rPr>
        <w:t> </w:t>
      </w:r>
      <w:r>
        <w:rPr>
          <w:i/>
          <w:iCs/>
          <w:position w:val="10"/>
          <w:sz w:val="18"/>
          <w:lang w:val="es-ES_tradnl"/>
        </w:rPr>
        <w:t>y</w:t>
      </w:r>
      <w:r>
        <w:t xml:space="preserve"> </w:t>
      </w:r>
      <w:r>
        <w:rPr>
          <w:rFonts w:ascii="Symbol" w:hAnsi="Symbol"/>
        </w:rPr>
        <w:t></w:t>
      </w:r>
      <w:r>
        <w:rPr>
          <w:position w:val="-4"/>
          <w:sz w:val="18"/>
          <w:lang w:val="es-ES_tradnl"/>
        </w:rPr>
        <w:t>2</w:t>
      </w:r>
      <w:r>
        <w:t>)</w:t>
      </w:r>
      <w:r>
        <w:rPr>
          <w:i/>
          <w:iCs/>
        </w:rPr>
        <w:t>h</w:t>
      </w:r>
      <w:r>
        <w:t>               </w:t>
      </w:r>
      <w:r>
        <w:rPr>
          <w:lang w:val="es-ES"/>
        </w:rPr>
        <w:t>km</w:t>
      </w:r>
      <w:r>
        <w:rPr>
          <w:lang w:val="es-ES"/>
        </w:rPr>
        <w:tab/>
        <w:t>(16)</w:t>
      </w:r>
    </w:p>
    <w:p w:rsidR="00220BE7" w:rsidRDefault="00220BE7">
      <w:pPr>
        <w:rPr>
          <w:lang w:val="es-ES"/>
        </w:rPr>
      </w:pPr>
      <w:r>
        <w:t>An empirical formula derived from equation (16) that takes into account the aggregated interference level in equation (11) is given below:</w:t>
      </w:r>
    </w:p>
    <w:p w:rsidR="00220BE7" w:rsidRPr="00737A63" w:rsidRDefault="00220BE7">
      <w:pPr>
        <w:pStyle w:val="Equation"/>
        <w:tabs>
          <w:tab w:val="left" w:pos="567"/>
        </w:tabs>
        <w:rPr>
          <w:lang w:val="fr-CH"/>
        </w:rPr>
      </w:pPr>
      <w:r>
        <w:rPr>
          <w:lang w:val="fr-CH"/>
        </w:rPr>
        <w:tab/>
      </w:r>
      <w:r>
        <w:rPr>
          <w:position w:val="-10"/>
          <w:lang w:val="es-ES_tradnl"/>
        </w:rPr>
        <w:object w:dxaOrig="1140" w:dyaOrig="320">
          <v:shape id="_x0000_i1039" type="#_x0000_t75" style="width:57pt;height:16.2pt" o:ole="">
            <v:imagedata r:id="rId37" o:title=""/>
          </v:shape>
          <o:OLEObject Type="Embed" ProgID="Equation.3" ShapeID="_x0000_i1039" DrawAspect="Content" ObjectID="_1361254777" r:id="rId44"/>
        </w:object>
      </w:r>
      <w:r>
        <w:rPr>
          <w:lang w:val="fr-CH"/>
        </w:rPr>
        <w:t xml:space="preserve"> </w:t>
      </w:r>
      <w:r>
        <w:rPr>
          <w:rFonts w:ascii="Symbol" w:hAnsi="Symbol"/>
        </w:rPr>
        <w:t></w:t>
      </w:r>
      <w:r>
        <w:rPr>
          <w:lang w:val="fr-CH"/>
        </w:rPr>
        <w:t xml:space="preserve">  tan(</w:t>
      </w:r>
      <w:r>
        <w:rPr>
          <w:rFonts w:ascii="Symbol" w:hAnsi="Symbol"/>
        </w:rPr>
        <w:t></w:t>
      </w:r>
      <w:r>
        <w:rPr>
          <w:position w:val="-4"/>
          <w:sz w:val="16"/>
          <w:lang w:val="fr-CH"/>
        </w:rPr>
        <w:t>0</w:t>
      </w:r>
      <w:r>
        <w:rPr>
          <w:lang w:val="fr-CH"/>
        </w:rPr>
        <w:t xml:space="preserve">  </w:t>
      </w:r>
      <w:r>
        <w:rPr>
          <w:rFonts w:ascii="Symbol" w:hAnsi="Symbol"/>
          <w:lang w:val="fr-FR"/>
        </w:rPr>
        <w:t></w:t>
      </w:r>
      <w:r>
        <w:rPr>
          <w:lang w:val="fr-CH"/>
        </w:rPr>
        <w:t xml:space="preserve">  </w:t>
      </w:r>
      <w:r w:rsidRPr="00737A63">
        <w:rPr>
          <w:lang w:val="fr-CH"/>
        </w:rPr>
        <w:t>10</w:t>
      </w:r>
      <w:r w:rsidRPr="00737A63">
        <w:rPr>
          <w:rFonts w:ascii="Tms Rmn" w:hAnsi="Tms Rmn"/>
          <w:sz w:val="12"/>
          <w:lang w:val="fr-CH"/>
        </w:rPr>
        <w:t> </w:t>
      </w:r>
      <w:r w:rsidRPr="00737A63">
        <w:rPr>
          <w:i/>
          <w:iCs/>
          <w:position w:val="10"/>
          <w:sz w:val="18"/>
          <w:lang w:val="fr-CH"/>
        </w:rPr>
        <w:t>y</w:t>
      </w:r>
      <w:r>
        <w:rPr>
          <w:lang w:val="fr-CH"/>
        </w:rPr>
        <w:t xml:space="preserve"> </w:t>
      </w:r>
      <w:r>
        <w:rPr>
          <w:rFonts w:ascii="Symbol" w:hAnsi="Symbol"/>
        </w:rPr>
        <w:t></w:t>
      </w:r>
      <w:r w:rsidRPr="00737A63">
        <w:rPr>
          <w:position w:val="-4"/>
          <w:sz w:val="18"/>
          <w:lang w:val="fr-CH"/>
        </w:rPr>
        <w:t>2</w:t>
      </w:r>
      <w:r>
        <w:rPr>
          <w:lang w:val="fr-CH"/>
        </w:rPr>
        <w:t>)</w:t>
      </w:r>
      <w:r>
        <w:rPr>
          <w:i/>
          <w:iCs/>
          <w:lang w:val="fr-CH"/>
        </w:rPr>
        <w:t>h</w:t>
      </w:r>
      <w:r>
        <w:rPr>
          <w:lang w:val="fr-CH"/>
        </w:rPr>
        <w:t xml:space="preserve">  </w:t>
      </w:r>
      <w:r>
        <w:rPr>
          <w:rFonts w:ascii="Symbol" w:hAnsi="Symbol"/>
          <w:lang w:val="fr-FR"/>
        </w:rPr>
        <w:t></w:t>
      </w:r>
      <w:r>
        <w:rPr>
          <w:lang w:val="fr-CH"/>
        </w:rPr>
        <w:t xml:space="preserve">  (1  –  </w:t>
      </w:r>
      <w:r>
        <w:rPr>
          <w:i/>
          <w:iCs/>
          <w:lang w:val="fr-CH"/>
        </w:rPr>
        <w:t>h</w:t>
      </w:r>
      <w:r>
        <w:rPr>
          <w:lang w:val="fr-CH"/>
        </w:rPr>
        <w:t>/(158 cos</w:t>
      </w:r>
      <w:r w:rsidRPr="00737A63">
        <w:rPr>
          <w:lang w:val="fr-CH"/>
        </w:rPr>
        <w:t>(</w:t>
      </w:r>
      <w:r>
        <w:rPr>
          <w:rFonts w:ascii="Symbol" w:hAnsi="Symbol"/>
        </w:rPr>
        <w:t></w:t>
      </w:r>
      <w:r w:rsidRPr="00737A63">
        <w:rPr>
          <w:position w:val="-4"/>
          <w:sz w:val="16"/>
          <w:lang w:val="fr-CH"/>
        </w:rPr>
        <w:t>0</w:t>
      </w:r>
      <w:r w:rsidRPr="00737A63">
        <w:rPr>
          <w:lang w:val="fr-CH"/>
        </w:rPr>
        <w:t>)</w:t>
      </w:r>
      <w:r>
        <w:rPr>
          <w:lang w:val="fr-CH"/>
        </w:rPr>
        <w:t>)(</w:t>
      </w:r>
      <w:r>
        <w:rPr>
          <w:i/>
          <w:iCs/>
          <w:lang w:val="fr-CH"/>
        </w:rPr>
        <w:t>Num</w:t>
      </w:r>
      <w:r>
        <w:rPr>
          <w:lang w:val="fr-CH"/>
        </w:rPr>
        <w:t xml:space="preserve">  </w:t>
      </w:r>
      <w:r>
        <w:rPr>
          <w:rFonts w:ascii="Symbol" w:hAnsi="Symbol"/>
        </w:rPr>
        <w:t></w:t>
      </w:r>
      <w:r>
        <w:rPr>
          <w:lang w:val="fr-CH"/>
        </w:rPr>
        <w:t xml:space="preserve">  10</w:t>
      </w:r>
      <w:r>
        <w:rPr>
          <w:position w:val="6"/>
          <w:sz w:val="18"/>
          <w:lang w:val="fr-CH"/>
        </w:rPr>
        <w:t>–7.3+</w:t>
      </w:r>
      <w:r>
        <w:rPr>
          <w:i/>
          <w:iCs/>
          <w:position w:val="6"/>
          <w:sz w:val="18"/>
          <w:lang w:val="fr-CH"/>
        </w:rPr>
        <w:t>B</w:t>
      </w:r>
      <w:r>
        <w:rPr>
          <w:lang w:val="fr-CH"/>
        </w:rPr>
        <w:t xml:space="preserve">  –  1)</w:t>
      </w:r>
      <w:r>
        <w:rPr>
          <w:position w:val="6"/>
          <w:sz w:val="18"/>
          <w:lang w:val="fr-CH"/>
        </w:rPr>
        <w:t>1/2</w:t>
      </w:r>
      <w:r>
        <w:rPr>
          <w:lang w:val="fr-CH"/>
        </w:rPr>
        <w:t xml:space="preserve"> </w:t>
      </w:r>
      <w:r>
        <w:rPr>
          <w:i/>
          <w:iCs/>
          <w:lang w:val="fr-CH"/>
        </w:rPr>
        <w:t>h</w:t>
      </w:r>
      <w:r>
        <w:rPr>
          <w:lang w:val="fr-CH"/>
        </w:rPr>
        <w:t>          </w:t>
      </w:r>
      <w:r w:rsidRPr="00737A63">
        <w:rPr>
          <w:lang w:val="fr-CH"/>
        </w:rPr>
        <w:t>km</w:t>
      </w:r>
      <w:r w:rsidRPr="00737A63">
        <w:rPr>
          <w:lang w:val="fr-CH"/>
        </w:rPr>
        <w:tab/>
        <w:t>(17)</w:t>
      </w:r>
    </w:p>
    <w:p w:rsidR="00220BE7" w:rsidRDefault="00220BE7">
      <w:pPr>
        <w:rPr>
          <w:lang w:val="es-ES"/>
        </w:rPr>
      </w:pPr>
      <w:r>
        <w:t xml:space="preserve">The approximation method yields fairly accurate results when compared to actual multibeam computation. This is shown in </w:t>
      </w:r>
      <w:r>
        <w:rPr>
          <w:lang w:val="en-US"/>
        </w:rPr>
        <w:t>Fig. 3:</w:t>
      </w:r>
    </w:p>
    <w:p w:rsidR="00220BE7" w:rsidRDefault="00220BE7">
      <w:pPr>
        <w:rPr>
          <w:lang w:val="es-ES_tradnl"/>
        </w:rPr>
      </w:pPr>
    </w:p>
    <w:p w:rsidR="00220BE7" w:rsidRDefault="00737A63">
      <w:pPr>
        <w:pStyle w:val="Fig"/>
      </w:pPr>
      <w:r>
        <w:rPr>
          <w:noProof/>
          <w:lang w:eastAsia="zh-CN"/>
        </w:rPr>
        <w:drawing>
          <wp:inline distT="0" distB="0" distL="0" distR="0">
            <wp:extent cx="5966460" cy="54025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66460" cy="5402580"/>
                    </a:xfrm>
                    <a:prstGeom prst="rect">
                      <a:avLst/>
                    </a:prstGeom>
                    <a:noFill/>
                    <a:ln>
                      <a:noFill/>
                    </a:ln>
                  </pic:spPr>
                </pic:pic>
              </a:graphicData>
            </a:graphic>
          </wp:inline>
        </w:drawing>
      </w:r>
    </w:p>
    <w:p w:rsidR="00220BE7" w:rsidRDefault="00220BE7">
      <w:pPr>
        <w:rPr>
          <w:lang w:val="en-US"/>
        </w:rPr>
      </w:pPr>
      <w:r>
        <w:rPr>
          <w:lang w:val="en-US"/>
        </w:rPr>
        <w:br w:type="page"/>
      </w:r>
      <w:r>
        <w:lastRenderedPageBreak/>
        <w:t xml:space="preserve">As can be seen from </w:t>
      </w:r>
      <w:r>
        <w:rPr>
          <w:lang w:val="en-US"/>
        </w:rPr>
        <w:t>Fig. </w:t>
      </w:r>
      <w:r>
        <w:t>3, the approximate formula yields results that are within 1% of those obtained from the explicit multibeam calculation for coverage radius up to 132 km. Note that if a mobile station is beyond the horizon, it should not receive interference from HAPS because of the visibility constraint. If the HAPS is deployed at 22 km altitude, its horizon is approximately 600 km measured from nadir. Because of heavy clutter attenuation, the visible horizon and the radio horizon should be roughly the same.</w:t>
      </w:r>
    </w:p>
    <w:p w:rsidR="00220BE7" w:rsidRDefault="00220BE7">
      <w:pPr>
        <w:pStyle w:val="Heading2"/>
      </w:pPr>
      <w:r>
        <w:t>2.1</w:t>
      </w:r>
      <w:r>
        <w:tab/>
        <w:t>HAPS into the fixed service</w:t>
      </w:r>
    </w:p>
    <w:p w:rsidR="00220BE7" w:rsidRDefault="00220BE7">
      <w:pPr>
        <w:rPr>
          <w:lang w:val="es-ES_tradnl"/>
        </w:rPr>
      </w:pPr>
      <w:r>
        <w:t>The interference to a point-to-point (P-P) fixed service from HAPS operating in the same bands as the fixed service will require a coordination distance between the nadir of HAPS and the fixed service antenna that is a function of fixed service antenna gain, its boresight angle relative to HAPS, and HAPS coverage radius. Such P-P service typically uses antennas with sufficient directivity to optimize long-range communications. Assuming that the fixed service antenna points approximately in the horizontal direction, the interference power received by the fixed service antenna from HAPS can be written as follows:</w:t>
      </w:r>
    </w:p>
    <w:p w:rsidR="00220BE7" w:rsidRDefault="00220BE7">
      <w:pPr>
        <w:pStyle w:val="Equation"/>
      </w:pPr>
      <w:r>
        <w:tab/>
      </w:r>
      <w:r>
        <w:tab/>
        <w:t>(</w:t>
      </w:r>
      <w:r>
        <w:rPr>
          <w:i/>
          <w:iCs/>
        </w:rPr>
        <w:t>I</w:t>
      </w:r>
      <w:r>
        <w:rPr>
          <w:i/>
          <w:iCs/>
          <w:position w:val="-4"/>
          <w:sz w:val="18"/>
        </w:rPr>
        <w:t>received</w:t>
      </w:r>
      <w:r>
        <w:t>/</w:t>
      </w:r>
      <w:r>
        <w:rPr>
          <w:i/>
          <w:iCs/>
        </w:rPr>
        <w:t>N</w:t>
      </w:r>
      <w:r>
        <w:t xml:space="preserve">)  </w:t>
      </w:r>
      <w:r>
        <w:rPr>
          <w:rFonts w:ascii="Symbol" w:hAnsi="Symbol"/>
        </w:rPr>
        <w:t></w:t>
      </w:r>
      <w:r>
        <w:t xml:space="preserve">  </w:t>
      </w:r>
      <w:r>
        <w:rPr>
          <w:position w:val="-10"/>
          <w:lang w:val="es-ES_tradnl"/>
        </w:rPr>
        <w:object w:dxaOrig="1520" w:dyaOrig="320">
          <v:shape id="_x0000_i1040" type="#_x0000_t75" style="width:76.2pt;height:16.2pt" o:ole="">
            <v:imagedata r:id="rId46" o:title=""/>
          </v:shape>
          <o:OLEObject Type="Embed" ProgID="Equation.3" ShapeID="_x0000_i1040" DrawAspect="Content" ObjectID="_1361254778" r:id="rId47"/>
        </w:object>
      </w:r>
      <w:r>
        <w:t xml:space="preserve">  </w:t>
      </w:r>
      <w:r>
        <w:rPr>
          <w:rFonts w:ascii="Symbol" w:hAnsi="Symbol"/>
        </w:rPr>
        <w:t></w:t>
      </w:r>
      <w:r>
        <w:t xml:space="preserve">  </w:t>
      </w:r>
      <w:r>
        <w:rPr>
          <w:i/>
          <w:iCs/>
        </w:rPr>
        <w:t>G</w:t>
      </w:r>
      <w:r>
        <w:rPr>
          <w:i/>
          <w:iCs/>
          <w:position w:val="-4"/>
          <w:sz w:val="18"/>
        </w:rPr>
        <w:t>victim</w:t>
      </w:r>
      <w:r>
        <w:t>(</w:t>
      </w:r>
      <w:r>
        <w:rPr>
          <w:rFonts w:ascii="Symbol" w:hAnsi="Symbol"/>
        </w:rPr>
        <w:t></w:t>
      </w:r>
      <w:r>
        <w:t xml:space="preserve">, </w:t>
      </w:r>
      <w:r>
        <w:rPr>
          <w:i/>
          <w:iCs/>
        </w:rPr>
        <w:t>r</w:t>
      </w:r>
      <w:r>
        <w:t>)</w:t>
      </w:r>
      <w:r>
        <w:tab/>
        <w:t>(18)</w:t>
      </w:r>
    </w:p>
    <w:p w:rsidR="00220BE7" w:rsidRDefault="00220BE7">
      <w:pPr>
        <w:rPr>
          <w:lang w:val="es-ES_tradnl"/>
        </w:rPr>
      </w:pPr>
      <w:r>
        <w:rPr>
          <w:lang w:val="en-US"/>
        </w:rPr>
        <w:t>where:</w:t>
      </w:r>
    </w:p>
    <w:p w:rsidR="00220BE7" w:rsidRPr="00737A63" w:rsidRDefault="00220BE7">
      <w:pPr>
        <w:pStyle w:val="enumlev1"/>
        <w:tabs>
          <w:tab w:val="clear" w:pos="397"/>
          <w:tab w:val="left" w:pos="369"/>
          <w:tab w:val="left" w:pos="879"/>
          <w:tab w:val="left" w:pos="1701"/>
        </w:tabs>
        <w:spacing w:line="240" w:lineRule="exact"/>
        <w:ind w:left="1701" w:hanging="1701"/>
        <w:rPr>
          <w:lang w:val="en-US"/>
        </w:rPr>
      </w:pPr>
      <w:r>
        <w:rPr>
          <w:lang w:val="en-US"/>
        </w:rPr>
        <w:tab/>
      </w:r>
      <w:r>
        <w:rPr>
          <w:position w:val="-10"/>
          <w:lang w:val="es-ES_tradnl"/>
        </w:rPr>
        <w:object w:dxaOrig="980" w:dyaOrig="320">
          <v:shape id="_x0000_i1041" type="#_x0000_t75" style="width:49.2pt;height:16.2pt" o:ole="">
            <v:imagedata r:id="rId48" o:title=""/>
          </v:shape>
          <o:OLEObject Type="Embed" ProgID="Equation.3" ShapeID="_x0000_i1041" DrawAspect="Content" ObjectID="_1361254779" r:id="rId49"/>
        </w:object>
      </w:r>
      <w:r w:rsidRPr="00737A63">
        <w:rPr>
          <w:lang w:val="en-US"/>
        </w:rPr>
        <w:t>:</w:t>
      </w:r>
      <w:r w:rsidRPr="00737A63">
        <w:rPr>
          <w:lang w:val="en-US"/>
        </w:rPr>
        <w:tab/>
      </w:r>
      <w:r>
        <w:t>power received on the ground as a function of the tilt angle</w:t>
      </w:r>
      <w:r>
        <w:rPr>
          <w:lang w:val="en-US"/>
        </w:rPr>
        <w:t xml:space="preserve"> </w:t>
      </w:r>
      <w:r>
        <w:rPr>
          <w:rFonts w:ascii="Symbol" w:hAnsi="Symbol"/>
        </w:rPr>
        <w:t></w:t>
      </w:r>
    </w:p>
    <w:p w:rsidR="00220BE7" w:rsidRDefault="00220BE7">
      <w:pPr>
        <w:pStyle w:val="enumlev1"/>
        <w:tabs>
          <w:tab w:val="left" w:pos="879"/>
          <w:tab w:val="left" w:pos="1701"/>
        </w:tabs>
        <w:spacing w:line="240" w:lineRule="exact"/>
        <w:ind w:left="1701" w:hanging="1701"/>
        <w:rPr>
          <w:lang w:val="es-ES_tradnl"/>
        </w:rPr>
      </w:pPr>
      <w:r>
        <w:rPr>
          <w:lang w:val="en-US"/>
        </w:rPr>
        <w:tab/>
      </w:r>
      <w:r>
        <w:rPr>
          <w:i/>
          <w:iCs/>
          <w:lang w:val="en-US"/>
        </w:rPr>
        <w:t>r</w:t>
      </w:r>
      <w:r>
        <w:rPr>
          <w:rFonts w:ascii="Tms Rmn" w:hAnsi="Tms Rmn"/>
          <w:sz w:val="12"/>
          <w:lang w:val="es-ES_tradnl"/>
        </w:rPr>
        <w:t> </w:t>
      </w:r>
      <w:r>
        <w:rPr>
          <w:lang w:val="es-ES_tradnl"/>
        </w:rPr>
        <w:t>:</w:t>
      </w:r>
      <w:r>
        <w:rPr>
          <w:lang w:val="es-ES_tradnl"/>
        </w:rPr>
        <w:tab/>
      </w:r>
      <w:r>
        <w:rPr>
          <w:lang w:val="es-ES_tradnl"/>
        </w:rPr>
        <w:tab/>
      </w:r>
      <w:r>
        <w:t>distance from nadir of the nearest HAPS beam</w:t>
      </w:r>
    </w:p>
    <w:p w:rsidR="00220BE7" w:rsidRDefault="00220BE7">
      <w:pPr>
        <w:pStyle w:val="enumlev1"/>
        <w:tabs>
          <w:tab w:val="left" w:pos="879"/>
          <w:tab w:val="left" w:pos="1701"/>
        </w:tabs>
        <w:spacing w:line="240" w:lineRule="exact"/>
        <w:ind w:left="1701" w:hanging="1701"/>
        <w:rPr>
          <w:lang w:val="es-ES_tradnl"/>
        </w:rPr>
      </w:pPr>
      <w:r>
        <w:rPr>
          <w:lang w:val="en-US"/>
        </w:rPr>
        <w:tab/>
      </w:r>
      <w:r>
        <w:rPr>
          <w:i/>
          <w:iCs/>
          <w:lang w:val="en-US"/>
        </w:rPr>
        <w:t>G</w:t>
      </w:r>
      <w:r>
        <w:rPr>
          <w:i/>
          <w:iCs/>
          <w:position w:val="-4"/>
          <w:sz w:val="16"/>
          <w:lang w:val="en-US"/>
        </w:rPr>
        <w:t>victim</w:t>
      </w:r>
      <w:r>
        <w:rPr>
          <w:lang w:val="en-US"/>
        </w:rPr>
        <w:t>(</w:t>
      </w:r>
      <w:r>
        <w:rPr>
          <w:rFonts w:ascii="Symbol" w:hAnsi="Symbol"/>
        </w:rPr>
        <w:t></w:t>
      </w:r>
      <w:r>
        <w:rPr>
          <w:lang w:val="en-US"/>
        </w:rPr>
        <w:t xml:space="preserve">, </w:t>
      </w:r>
      <w:r>
        <w:rPr>
          <w:i/>
          <w:iCs/>
          <w:lang w:val="en-US"/>
        </w:rPr>
        <w:t>r</w:t>
      </w:r>
      <w:r>
        <w:rPr>
          <w:lang w:val="en-US"/>
        </w:rPr>
        <w:t>)</w:t>
      </w:r>
      <w:r>
        <w:rPr>
          <w:rFonts w:ascii="Tms Rmn" w:hAnsi="Tms Rmn"/>
          <w:sz w:val="12"/>
          <w:lang w:val="es-ES_tradnl"/>
        </w:rPr>
        <w:t> </w:t>
      </w:r>
      <w:r>
        <w:rPr>
          <w:lang w:val="es-ES_tradnl"/>
        </w:rPr>
        <w:t>:</w:t>
      </w:r>
      <w:r>
        <w:rPr>
          <w:lang w:val="es-ES_tradnl"/>
        </w:rPr>
        <w:tab/>
      </w:r>
      <w:r>
        <w:t>antenna gain of the fixed service antenna as a function of both the off-boresight angle relative to HAPS nadir and the distance of the fixed service from nadir.</w:t>
      </w:r>
    </w:p>
    <w:p w:rsidR="00220BE7" w:rsidRDefault="00220BE7">
      <w:r>
        <w:t xml:space="preserve">The latter can be expressed as a function of the off-boresight angle </w:t>
      </w:r>
      <w:r>
        <w:rPr>
          <w:rFonts w:ascii="Symbol" w:hAnsi="Symbol"/>
        </w:rPr>
        <w:t></w:t>
      </w:r>
      <w:r>
        <w:t xml:space="preserve"> defined by:</w:t>
      </w:r>
    </w:p>
    <w:p w:rsidR="00220BE7" w:rsidRDefault="00220BE7">
      <w:pPr>
        <w:pStyle w:val="Equation"/>
        <w:rPr>
          <w:lang w:val="es-ES"/>
        </w:rPr>
      </w:pPr>
      <w:r>
        <w:tab/>
      </w:r>
      <w:r>
        <w:tab/>
      </w:r>
      <w:r>
        <w:rPr>
          <w:rFonts w:ascii="Symbol" w:hAnsi="Symbol"/>
        </w:rPr>
        <w:t></w:t>
      </w:r>
      <w:r>
        <w:t xml:space="preserve">  </w:t>
      </w:r>
      <w:r>
        <w:rPr>
          <w:rFonts w:ascii="Symbol" w:hAnsi="Symbol"/>
        </w:rPr>
        <w:t></w:t>
      </w:r>
      <w:r>
        <w:t xml:space="preserve">  </w:t>
      </w:r>
      <w:r>
        <w:rPr>
          <w:lang w:val="es-ES"/>
        </w:rPr>
        <w:t>cos</w:t>
      </w:r>
      <w:r>
        <w:rPr>
          <w:position w:val="6"/>
          <w:sz w:val="18"/>
        </w:rPr>
        <w:t>–1</w:t>
      </w:r>
      <w:r>
        <w:rPr>
          <w:position w:val="-10"/>
          <w:sz w:val="18"/>
        </w:rPr>
        <w:object w:dxaOrig="2160" w:dyaOrig="580">
          <v:shape id="_x0000_i1042" type="#_x0000_t75" style="width:108pt;height:28.8pt" o:ole="">
            <v:imagedata r:id="rId50" o:title=""/>
          </v:shape>
          <o:OLEObject Type="Embed" ProgID="Equation.3" ShapeID="_x0000_i1042" DrawAspect="Content" ObjectID="_1361254780" r:id="rId51"/>
        </w:object>
      </w:r>
      <w:r>
        <w:rPr>
          <w:lang w:val="es-ES"/>
        </w:rPr>
        <w:tab/>
        <w:t>(19)</w:t>
      </w:r>
    </w:p>
    <w:p w:rsidR="00220BE7" w:rsidRDefault="00220BE7">
      <w:r>
        <w:t xml:space="preserve">Owing to the high pfd values of fully loaded HAPS systems within HAPS primary coverage areas, co-channel sharing within HAPS coverage area is clearly not possible, and this is borne out by explicit multibeam computation of the aforementioned scenario. Outside HAPS main coverage area, </w:t>
      </w:r>
      <w:r>
        <w:rPr>
          <w:lang w:val="en-US"/>
        </w:rPr>
        <w:t>equation (20)</w:t>
      </w:r>
      <w:r>
        <w:t xml:space="preserve"> is valid:</w:t>
      </w:r>
    </w:p>
    <w:p w:rsidR="00220BE7" w:rsidRDefault="00220BE7">
      <w:pPr>
        <w:pStyle w:val="Equation"/>
      </w:pPr>
      <w:r>
        <w:tab/>
      </w:r>
      <w:r>
        <w:tab/>
        <w:t>(</w:t>
      </w:r>
      <w:r>
        <w:rPr>
          <w:i/>
          <w:iCs/>
        </w:rPr>
        <w:t>I</w:t>
      </w:r>
      <w:r>
        <w:rPr>
          <w:i/>
          <w:iCs/>
          <w:position w:val="-4"/>
          <w:sz w:val="18"/>
        </w:rPr>
        <w:t>received</w:t>
      </w:r>
      <w:r>
        <w:t>/</w:t>
      </w:r>
      <w:r>
        <w:rPr>
          <w:i/>
          <w:iCs/>
        </w:rPr>
        <w:t>N</w:t>
      </w:r>
      <w:r>
        <w:t xml:space="preserve">)  </w:t>
      </w:r>
      <w:r>
        <w:rPr>
          <w:rFonts w:ascii="Symbol" w:hAnsi="Symbol"/>
        </w:rPr>
        <w:t></w:t>
      </w:r>
      <w:r>
        <w:t xml:space="preserve">  (</w:t>
      </w:r>
      <w:r>
        <w:rPr>
          <w:i/>
          <w:iCs/>
        </w:rPr>
        <w:t>I</w:t>
      </w:r>
      <w:r>
        <w:rPr>
          <w:i/>
          <w:iCs/>
          <w:position w:val="-4"/>
          <w:sz w:val="18"/>
        </w:rPr>
        <w:t>received</w:t>
      </w:r>
      <w:r>
        <w:t>/</w:t>
      </w:r>
      <w:r>
        <w:rPr>
          <w:i/>
          <w:iCs/>
        </w:rPr>
        <w:t>N</w:t>
      </w:r>
      <w:r>
        <w:t>)</w:t>
      </w:r>
      <w:r>
        <w:rPr>
          <w:i/>
          <w:iCs/>
          <w:position w:val="-4"/>
          <w:sz w:val="18"/>
        </w:rPr>
        <w:t>centre</w:t>
      </w:r>
      <w:r>
        <w:t xml:space="preserve">  </w:t>
      </w:r>
      <w:r>
        <w:rPr>
          <w:rFonts w:ascii="Symbol" w:hAnsi="Symbol"/>
        </w:rPr>
        <w:t></w:t>
      </w:r>
      <w:r>
        <w:t xml:space="preserve">  </w:t>
      </w:r>
      <w:r>
        <w:rPr>
          <w:rFonts w:ascii="Symbol" w:hAnsi="Symbol"/>
        </w:rPr>
        <w:t></w:t>
      </w:r>
      <w:r>
        <w:rPr>
          <w:lang w:val="es-ES_tradnl"/>
        </w:rPr>
        <w:t xml:space="preserve"> </w:t>
      </w:r>
      <w:r>
        <w:rPr>
          <w:i/>
          <w:iCs/>
          <w:lang w:val="es-ES_tradnl"/>
        </w:rPr>
        <w:t>G</w:t>
      </w:r>
      <w:r>
        <w:rPr>
          <w:lang w:val="es-ES_tradnl"/>
        </w:rPr>
        <w:t>(</w:t>
      </w:r>
      <w:r>
        <w:rPr>
          <w:rFonts w:ascii="Symbol" w:hAnsi="Symbol"/>
        </w:rPr>
        <w:t></w:t>
      </w:r>
      <w:r>
        <w:rPr>
          <w:lang w:val="es-ES_tradnl"/>
        </w:rPr>
        <w:t xml:space="preserve">  –  </w:t>
      </w:r>
      <w:r>
        <w:rPr>
          <w:rFonts w:ascii="Symbol" w:hAnsi="Symbol"/>
        </w:rPr>
        <w:t></w:t>
      </w:r>
      <w:r>
        <w:rPr>
          <w:position w:val="-4"/>
          <w:sz w:val="18"/>
        </w:rPr>
        <w:t>0</w:t>
      </w:r>
      <w:r>
        <w:rPr>
          <w:lang w:val="es-ES_tradnl"/>
        </w:rPr>
        <w:t xml:space="preserve">)  –  </w:t>
      </w:r>
      <w:r>
        <w:rPr>
          <w:rFonts w:ascii="Symbol" w:hAnsi="Symbol"/>
        </w:rPr>
        <w:t></w:t>
      </w:r>
      <w:r>
        <w:t xml:space="preserve"> </w:t>
      </w:r>
      <w:r>
        <w:rPr>
          <w:i/>
          <w:iCs/>
          <w:lang w:val="es-ES_tradnl"/>
        </w:rPr>
        <w:t>FSL</w:t>
      </w:r>
      <w:r>
        <w:rPr>
          <w:lang w:val="es-ES_tradnl"/>
        </w:rPr>
        <w:t>(</w:t>
      </w:r>
      <w:r>
        <w:rPr>
          <w:rFonts w:ascii="Symbol" w:hAnsi="Symbol"/>
        </w:rPr>
        <w:t></w:t>
      </w:r>
      <w:r>
        <w:rPr>
          <w:lang w:val="es-ES_tradnl"/>
        </w:rPr>
        <w:t>)</w:t>
      </w:r>
      <w:r>
        <w:t xml:space="preserve">  </w:t>
      </w:r>
      <w:r>
        <w:rPr>
          <w:rFonts w:ascii="Symbol" w:hAnsi="Symbol"/>
        </w:rPr>
        <w:t></w:t>
      </w:r>
      <w:r>
        <w:t xml:space="preserve">  </w:t>
      </w:r>
      <w:r>
        <w:rPr>
          <w:i/>
          <w:iCs/>
        </w:rPr>
        <w:t>G</w:t>
      </w:r>
      <w:r>
        <w:rPr>
          <w:i/>
          <w:iCs/>
          <w:position w:val="-4"/>
          <w:sz w:val="18"/>
        </w:rPr>
        <w:t>FS</w:t>
      </w:r>
      <w:r>
        <w:t>(</w:t>
      </w:r>
      <w:r>
        <w:rPr>
          <w:rFonts w:ascii="Symbol" w:hAnsi="Symbol"/>
        </w:rPr>
        <w:t></w:t>
      </w:r>
      <w:r>
        <w:t>(</w:t>
      </w:r>
      <w:r>
        <w:rPr>
          <w:rFonts w:ascii="Symbol" w:hAnsi="Symbol"/>
        </w:rPr>
        <w:t></w:t>
      </w:r>
      <w:r>
        <w:t xml:space="preserve">, </w:t>
      </w:r>
      <w:r>
        <w:rPr>
          <w:i/>
          <w:iCs/>
        </w:rPr>
        <w:t>r</w:t>
      </w:r>
      <w:r>
        <w:t>))</w:t>
      </w:r>
      <w:r>
        <w:rPr>
          <w:lang w:val="es-ES_tradnl"/>
        </w:rPr>
        <w:tab/>
        <w:t>(20)</w:t>
      </w:r>
    </w:p>
    <w:p w:rsidR="00220BE7" w:rsidRDefault="00220BE7">
      <w:r>
        <w:t xml:space="preserve">where </w:t>
      </w:r>
      <w:r>
        <w:rPr>
          <w:rFonts w:ascii="Symbol" w:hAnsi="Symbol"/>
        </w:rPr>
        <w:t></w:t>
      </w:r>
      <w:r>
        <w:rPr>
          <w:lang w:val="es-ES_tradnl"/>
        </w:rPr>
        <w:t xml:space="preserve"> </w:t>
      </w:r>
      <w:r>
        <w:rPr>
          <w:i/>
          <w:iCs/>
          <w:lang w:val="es-ES_tradnl"/>
        </w:rPr>
        <w:t>G</w:t>
      </w:r>
      <w:r>
        <w:rPr>
          <w:lang w:val="es-ES_tradnl"/>
        </w:rPr>
        <w:t>(</w:t>
      </w:r>
      <w:r>
        <w:rPr>
          <w:rFonts w:ascii="Symbol" w:hAnsi="Symbol"/>
        </w:rPr>
        <w:t></w:t>
      </w:r>
      <w:r>
        <w:rPr>
          <w:lang w:val="es-ES_tradnl"/>
        </w:rPr>
        <w:t xml:space="preserve"> – </w:t>
      </w:r>
      <w:r>
        <w:rPr>
          <w:rFonts w:ascii="Symbol" w:hAnsi="Symbol"/>
        </w:rPr>
        <w:t></w:t>
      </w:r>
      <w:r>
        <w:rPr>
          <w:position w:val="-4"/>
          <w:sz w:val="16"/>
          <w:lang w:val="en-US"/>
        </w:rPr>
        <w:t>0</w:t>
      </w:r>
      <w:r>
        <w:rPr>
          <w:lang w:val="es-ES_tradnl"/>
        </w:rPr>
        <w:t>)</w:t>
      </w:r>
      <w:r>
        <w:t xml:space="preserve"> and </w:t>
      </w:r>
      <w:r>
        <w:rPr>
          <w:rFonts w:ascii="Symbol" w:hAnsi="Symbol"/>
        </w:rPr>
        <w:t></w:t>
      </w:r>
      <w:r>
        <w:rPr>
          <w:lang w:val="en-US"/>
        </w:rPr>
        <w:t xml:space="preserve"> </w:t>
      </w:r>
      <w:r>
        <w:rPr>
          <w:i/>
          <w:iCs/>
          <w:lang w:val="es-ES_tradnl"/>
        </w:rPr>
        <w:t>FSL</w:t>
      </w:r>
      <w:r>
        <w:rPr>
          <w:lang w:val="es-ES_tradnl"/>
        </w:rPr>
        <w:t>(</w:t>
      </w:r>
      <w:r>
        <w:rPr>
          <w:rFonts w:ascii="Symbol" w:hAnsi="Symbol"/>
        </w:rPr>
        <w:t></w:t>
      </w:r>
      <w:r>
        <w:rPr>
          <w:lang w:val="es-ES_tradnl"/>
        </w:rPr>
        <w:t xml:space="preserve">) </w:t>
      </w:r>
      <w:r>
        <w:t xml:space="preserve">have already been defined, and </w:t>
      </w:r>
      <w:r>
        <w:rPr>
          <w:i/>
          <w:iCs/>
          <w:lang w:val="en-US"/>
        </w:rPr>
        <w:t>G</w:t>
      </w:r>
      <w:r>
        <w:rPr>
          <w:i/>
          <w:iCs/>
          <w:position w:val="-4"/>
          <w:sz w:val="16"/>
          <w:lang w:val="en-US"/>
        </w:rPr>
        <w:t>FS</w:t>
      </w:r>
      <w:r>
        <w:rPr>
          <w:lang w:val="en-US"/>
        </w:rPr>
        <w:t>(</w:t>
      </w:r>
      <w:r>
        <w:rPr>
          <w:rFonts w:ascii="Symbol" w:hAnsi="Symbol"/>
        </w:rPr>
        <w:t></w:t>
      </w:r>
      <w:r>
        <w:rPr>
          <w:lang w:val="en-US"/>
        </w:rPr>
        <w:t>(</w:t>
      </w:r>
      <w:r>
        <w:rPr>
          <w:rFonts w:ascii="Symbol" w:hAnsi="Symbol"/>
        </w:rPr>
        <w:t></w:t>
      </w:r>
      <w:r>
        <w:rPr>
          <w:lang w:val="en-US"/>
        </w:rPr>
        <w:t xml:space="preserve">, </w:t>
      </w:r>
      <w:r>
        <w:rPr>
          <w:i/>
          <w:iCs/>
          <w:lang w:val="en-US"/>
        </w:rPr>
        <w:t>r</w:t>
      </w:r>
      <w:r>
        <w:rPr>
          <w:lang w:val="en-US"/>
        </w:rPr>
        <w:t xml:space="preserve">)) </w:t>
      </w:r>
      <w:r>
        <w:rPr>
          <w:rFonts w:ascii="Symbol" w:hAnsi="Symbol"/>
          <w:lang w:val="fr-FR"/>
        </w:rPr>
        <w:t></w:t>
      </w:r>
      <w:r>
        <w:rPr>
          <w:lang w:val="en-US"/>
        </w:rPr>
        <w:t xml:space="preserve"> </w:t>
      </w:r>
      <w:r>
        <w:rPr>
          <w:i/>
          <w:lang w:val="es-ES_tradnl"/>
        </w:rPr>
        <w:t>G</w:t>
      </w:r>
      <w:r>
        <w:rPr>
          <w:i/>
          <w:position w:val="-4"/>
          <w:sz w:val="16"/>
          <w:lang w:val="es-ES_tradnl"/>
        </w:rPr>
        <w:t>victim</w:t>
      </w:r>
      <w:r>
        <w:rPr>
          <w:lang w:val="en-US"/>
        </w:rPr>
        <w:t>(</w:t>
      </w:r>
      <w:r>
        <w:rPr>
          <w:rFonts w:ascii="Symbol" w:hAnsi="Symbol"/>
        </w:rPr>
        <w:t></w:t>
      </w:r>
      <w:r>
        <w:rPr>
          <w:lang w:val="en-US"/>
        </w:rPr>
        <w:t xml:space="preserve">, </w:t>
      </w:r>
      <w:r>
        <w:rPr>
          <w:i/>
          <w:iCs/>
          <w:lang w:val="en-US"/>
        </w:rPr>
        <w:t>r</w:t>
      </w:r>
      <w:r>
        <w:rPr>
          <w:lang w:val="en-US"/>
        </w:rPr>
        <w:t>)</w:t>
      </w:r>
      <w:r>
        <w:t xml:space="preserve">. This leads to </w:t>
      </w:r>
      <w:r>
        <w:rPr>
          <w:lang w:val="en-US"/>
        </w:rPr>
        <w:t>equations (21) and (22)</w:t>
      </w:r>
      <w:r>
        <w:t>:</w:t>
      </w:r>
    </w:p>
    <w:p w:rsidR="00220BE7" w:rsidRDefault="00220BE7">
      <w:pPr>
        <w:pStyle w:val="Equation"/>
        <w:rPr>
          <w:lang w:val="es-ES_tradnl"/>
        </w:rPr>
      </w:pPr>
      <w:r>
        <w:rPr>
          <w:lang w:val="es-ES_tradnl"/>
        </w:rPr>
        <w:tab/>
      </w:r>
      <w:r>
        <w:rPr>
          <w:i/>
          <w:iCs/>
          <w:lang w:val="es-ES_tradnl"/>
        </w:rPr>
        <w:t>y</w:t>
      </w:r>
      <w:r>
        <w:rPr>
          <w:lang w:val="es-ES_tradnl"/>
        </w:rPr>
        <w:t xml:space="preserve">  </w:t>
      </w:r>
      <w:r>
        <w:rPr>
          <w:rFonts w:ascii="Symbol" w:hAnsi="Symbol"/>
        </w:rPr>
        <w:t></w:t>
      </w:r>
      <w:r>
        <w:rPr>
          <w:lang w:val="es-ES_tradnl"/>
        </w:rPr>
        <w:t xml:space="preserve">  [</w:t>
      </w:r>
      <w:r>
        <w:rPr>
          <w:i/>
          <w:iCs/>
          <w:lang w:val="es-ES_tradnl"/>
        </w:rPr>
        <w:t>D</w:t>
      </w:r>
      <w:r>
        <w:rPr>
          <w:lang w:val="es-ES_tradnl"/>
        </w:rPr>
        <w:t>(</w:t>
      </w:r>
      <w:r>
        <w:rPr>
          <w:rFonts w:ascii="Symbol" w:hAnsi="Symbol"/>
        </w:rPr>
        <w:t></w:t>
      </w:r>
      <w:r>
        <w:rPr>
          <w:position w:val="-4"/>
          <w:sz w:val="18"/>
          <w:lang w:val="es-ES_tradnl"/>
        </w:rPr>
        <w:t>0</w:t>
      </w:r>
      <w:r>
        <w:rPr>
          <w:lang w:val="es-ES_tradnl"/>
        </w:rPr>
        <w:t xml:space="preserve">, </w:t>
      </w:r>
      <w:r>
        <w:rPr>
          <w:rFonts w:ascii="Symbol" w:hAnsi="Symbol"/>
        </w:rPr>
        <w:t></w:t>
      </w:r>
      <w:r>
        <w:rPr>
          <w:lang w:val="es-ES_tradnl"/>
        </w:rPr>
        <w:t>)  –  20 log (cos(</w:t>
      </w:r>
      <w:r>
        <w:rPr>
          <w:rFonts w:ascii="Symbol" w:hAnsi="Symbol"/>
        </w:rPr>
        <w:t></w:t>
      </w:r>
      <w:r>
        <w:rPr>
          <w:position w:val="-4"/>
          <w:sz w:val="18"/>
          <w:lang w:val="es-ES_tradnl"/>
        </w:rPr>
        <w:t>0</w:t>
      </w:r>
      <w:r>
        <w:rPr>
          <w:lang w:val="es-ES"/>
        </w:rPr>
        <w:t>))</w:t>
      </w:r>
      <w:r>
        <w:rPr>
          <w:lang w:val="es-ES_tradnl"/>
        </w:rPr>
        <w:t xml:space="preserve">  +  20 log (cos(</w:t>
      </w:r>
      <w:r>
        <w:rPr>
          <w:rFonts w:ascii="Symbol" w:hAnsi="Symbol"/>
        </w:rPr>
        <w:t></w:t>
      </w:r>
      <w:r>
        <w:rPr>
          <w:position w:val="-4"/>
          <w:sz w:val="18"/>
          <w:lang w:val="es-ES_tradnl"/>
        </w:rPr>
        <w:t>0</w:t>
      </w:r>
      <w:r>
        <w:rPr>
          <w:lang w:val="es-ES_tradnl"/>
        </w:rPr>
        <w:t xml:space="preserve">  +  </w:t>
      </w:r>
      <w:r>
        <w:rPr>
          <w:rFonts w:ascii="Symbol" w:hAnsi="Symbol"/>
        </w:rPr>
        <w:t></w:t>
      </w:r>
      <w:r>
        <w:rPr>
          <w:position w:val="-4"/>
          <w:sz w:val="16"/>
          <w:lang w:val="es-ES_tradnl"/>
        </w:rPr>
        <w:t>2</w:t>
      </w:r>
      <w:r>
        <w:rPr>
          <w:lang w:val="es-ES_tradnl"/>
        </w:rPr>
        <w:t xml:space="preserve">))]/[60  +  20 </w:t>
      </w:r>
      <w:r>
        <w:rPr>
          <w:rFonts w:ascii="Symbol" w:hAnsi="Symbol"/>
        </w:rPr>
        <w:t></w:t>
      </w:r>
      <w:r>
        <w:rPr>
          <w:position w:val="-4"/>
          <w:sz w:val="16"/>
          <w:lang w:val="es-ES_tradnl"/>
        </w:rPr>
        <w:t>2</w:t>
      </w:r>
      <w:r>
        <w:rPr>
          <w:lang w:val="es-ES_tradnl"/>
        </w:rPr>
        <w:t xml:space="preserve"> tan(</w:t>
      </w:r>
      <w:r>
        <w:rPr>
          <w:rFonts w:ascii="Symbol" w:hAnsi="Symbol"/>
        </w:rPr>
        <w:t></w:t>
      </w:r>
      <w:r>
        <w:rPr>
          <w:position w:val="-4"/>
          <w:sz w:val="18"/>
          <w:lang w:val="es-ES_tradnl"/>
        </w:rPr>
        <w:t>0</w:t>
      </w:r>
      <w:r>
        <w:rPr>
          <w:lang w:val="es-ES_tradnl"/>
        </w:rPr>
        <w:t xml:space="preserve">  +  </w:t>
      </w:r>
      <w:r>
        <w:rPr>
          <w:rFonts w:ascii="Symbol" w:hAnsi="Symbol"/>
        </w:rPr>
        <w:t></w:t>
      </w:r>
      <w:r>
        <w:rPr>
          <w:position w:val="-4"/>
          <w:sz w:val="16"/>
          <w:lang w:val="es-ES_tradnl"/>
        </w:rPr>
        <w:t>2</w:t>
      </w:r>
      <w:r>
        <w:rPr>
          <w:lang w:val="es-ES_tradnl"/>
        </w:rPr>
        <w:t>)]</w:t>
      </w:r>
      <w:r>
        <w:rPr>
          <w:lang w:val="es-ES"/>
        </w:rPr>
        <w:tab/>
        <w:t>(21)</w:t>
      </w:r>
    </w:p>
    <w:p w:rsidR="00220BE7" w:rsidRDefault="00220BE7">
      <w:pPr>
        <w:pStyle w:val="Equation"/>
        <w:tabs>
          <w:tab w:val="left" w:pos="227"/>
          <w:tab w:val="left" w:pos="1701"/>
          <w:tab w:val="left" w:pos="2268"/>
        </w:tabs>
        <w:ind w:left="1701" w:hanging="1701"/>
        <w:rPr>
          <w:lang w:val="es-ES_tradnl"/>
        </w:rPr>
      </w:pPr>
      <w:r>
        <w:rPr>
          <w:lang w:val="es-ES_tradnl"/>
        </w:rPr>
        <w:tab/>
      </w:r>
      <w:r>
        <w:rPr>
          <w:position w:val="-10"/>
          <w:lang w:val="es-ES_tradnl"/>
        </w:rPr>
        <w:object w:dxaOrig="1140" w:dyaOrig="320">
          <v:shape id="_x0000_i1043" type="#_x0000_t75" style="width:57pt;height:16.2pt" o:ole="">
            <v:imagedata r:id="rId37" o:title=""/>
          </v:shape>
          <o:OLEObject Type="Embed" ProgID="Equation.3" ShapeID="_x0000_i1043" DrawAspect="Content" ObjectID="_1361254781" r:id="rId52"/>
        </w:object>
      </w:r>
      <w:r>
        <w:rPr>
          <w:lang w:val="es-ES_tradnl"/>
        </w:rPr>
        <w:t xml:space="preserve"> </w:t>
      </w:r>
      <w:r>
        <w:rPr>
          <w:rFonts w:ascii="Symbol" w:hAnsi="Symbol"/>
        </w:rPr>
        <w:t></w:t>
      </w:r>
      <w:r>
        <w:rPr>
          <w:lang w:val="es-ES_tradnl"/>
        </w:rPr>
        <w:t xml:space="preserve">  tan(</w:t>
      </w:r>
      <w:r>
        <w:rPr>
          <w:rFonts w:ascii="Symbol" w:hAnsi="Symbol"/>
        </w:rPr>
        <w:t></w:t>
      </w:r>
      <w:r>
        <w:rPr>
          <w:position w:val="-4"/>
          <w:sz w:val="18"/>
          <w:lang w:val="es-ES_tradnl"/>
        </w:rPr>
        <w:t>0</w:t>
      </w:r>
      <w:r>
        <w:rPr>
          <w:lang w:val="es-ES_tradnl"/>
        </w:rPr>
        <w:t xml:space="preserve"> + 10</w:t>
      </w:r>
      <w:r>
        <w:rPr>
          <w:rFonts w:ascii="Tms Rmn" w:hAnsi="Tms Rmn"/>
          <w:sz w:val="12"/>
          <w:lang w:val="es-ES_tradnl"/>
        </w:rPr>
        <w:t> </w:t>
      </w:r>
      <w:r>
        <w:rPr>
          <w:i/>
          <w:iCs/>
          <w:position w:val="10"/>
          <w:sz w:val="18"/>
          <w:lang w:val="es-ES_tradnl"/>
        </w:rPr>
        <w:t>y</w:t>
      </w:r>
      <w:r>
        <w:rPr>
          <w:lang w:val="es-ES_tradnl"/>
        </w:rPr>
        <w:t xml:space="preserve"> </w:t>
      </w:r>
      <w:r>
        <w:rPr>
          <w:rFonts w:ascii="Symbol" w:hAnsi="Symbol"/>
        </w:rPr>
        <w:t></w:t>
      </w:r>
      <w:r>
        <w:rPr>
          <w:position w:val="-4"/>
          <w:sz w:val="16"/>
          <w:lang w:val="es-ES_tradnl"/>
        </w:rPr>
        <w:t>2</w:t>
      </w:r>
      <w:r>
        <w:rPr>
          <w:lang w:val="es-ES_tradnl"/>
        </w:rPr>
        <w:t>)</w:t>
      </w:r>
      <w:r>
        <w:rPr>
          <w:i/>
          <w:iCs/>
          <w:lang w:val="es-ES_tradnl"/>
        </w:rPr>
        <w:t>h</w:t>
      </w:r>
      <w:r>
        <w:rPr>
          <w:lang w:val="es-ES_tradnl"/>
        </w:rPr>
        <w:t xml:space="preserve"> + (1 – </w:t>
      </w:r>
      <w:r>
        <w:rPr>
          <w:i/>
          <w:iCs/>
          <w:lang w:val="es-ES_tradnl"/>
        </w:rPr>
        <w:t>h</w:t>
      </w:r>
      <w:r>
        <w:rPr>
          <w:lang w:val="es-ES_tradnl"/>
        </w:rPr>
        <w:t>/(158 cos(</w:t>
      </w:r>
      <w:r>
        <w:rPr>
          <w:rFonts w:ascii="Symbol" w:hAnsi="Symbol"/>
        </w:rPr>
        <w:t></w:t>
      </w:r>
      <w:r>
        <w:rPr>
          <w:position w:val="-4"/>
          <w:sz w:val="18"/>
          <w:lang w:val="es-ES_tradnl"/>
        </w:rPr>
        <w:t>0</w:t>
      </w:r>
      <w:r>
        <w:rPr>
          <w:lang w:val="es-ES_tradnl"/>
        </w:rPr>
        <w:t xml:space="preserve">) </w:t>
      </w:r>
      <w:r>
        <w:rPr>
          <w:lang w:val="es-ES"/>
        </w:rPr>
        <w:t>(</w:t>
      </w:r>
      <w:r>
        <w:rPr>
          <w:i/>
          <w:iCs/>
          <w:lang w:val="es-ES_tradnl"/>
        </w:rPr>
        <w:t>Num</w:t>
      </w:r>
      <w:r>
        <w:rPr>
          <w:lang w:val="es-ES_tradnl"/>
        </w:rPr>
        <w:t xml:space="preserve"> </w:t>
      </w:r>
      <w:r>
        <w:rPr>
          <w:rFonts w:ascii="Symbol" w:hAnsi="Symbol"/>
        </w:rPr>
        <w:t></w:t>
      </w:r>
      <w:r>
        <w:rPr>
          <w:lang w:val="es-ES"/>
        </w:rPr>
        <w:t xml:space="preserve"> </w:t>
      </w:r>
      <w:r>
        <w:rPr>
          <w:position w:val="-6"/>
          <w:sz w:val="14"/>
        </w:rPr>
        <w:object w:dxaOrig="1380" w:dyaOrig="360">
          <v:shape id="_x0000_i1044" type="#_x0000_t75" style="width:69pt;height:18pt" o:ole="">
            <v:imagedata r:id="rId53" o:title=""/>
          </v:shape>
          <o:OLEObject Type="Embed" ProgID="Equation.3" ShapeID="_x0000_i1044" DrawAspect="Content" ObjectID="_1361254782" r:id="rId54"/>
        </w:object>
      </w:r>
      <w:r>
        <w:rPr>
          <w:lang w:val="es-ES"/>
        </w:rPr>
        <w:t>– 1)</w:t>
      </w:r>
      <w:r>
        <w:rPr>
          <w:position w:val="6"/>
          <w:sz w:val="18"/>
          <w:lang w:val="es-ES_tradnl"/>
        </w:rPr>
        <w:t>1/2</w:t>
      </w:r>
      <w:r>
        <w:rPr>
          <w:lang w:val="es-ES_tradnl"/>
        </w:rPr>
        <w:t> </w:t>
      </w:r>
      <w:r>
        <w:rPr>
          <w:i/>
          <w:iCs/>
          <w:lang w:val="es-ES_tradnl"/>
        </w:rPr>
        <w:t xml:space="preserve">h </w:t>
      </w:r>
      <w:r>
        <w:rPr>
          <w:lang w:val="es-ES_tradnl"/>
        </w:rPr>
        <w:t>               km</w:t>
      </w:r>
      <w:r>
        <w:rPr>
          <w:lang w:val="es-ES_tradnl"/>
        </w:rPr>
        <w:tab/>
        <w:t>(</w:t>
      </w:r>
      <w:r>
        <w:rPr>
          <w:lang w:val="es-ES"/>
        </w:rPr>
        <w:t>22</w:t>
      </w:r>
      <w:r>
        <w:rPr>
          <w:lang w:val="es-ES_tradnl"/>
        </w:rPr>
        <w:t>)</w:t>
      </w:r>
    </w:p>
    <w:p w:rsidR="00220BE7" w:rsidRDefault="00220BE7">
      <w:pPr>
        <w:rPr>
          <w:lang w:val="es-ES_tradnl"/>
        </w:rPr>
      </w:pPr>
      <w:r>
        <w:rPr>
          <w:lang w:val="en-US"/>
        </w:rPr>
        <w:t>where:</w:t>
      </w:r>
    </w:p>
    <w:p w:rsidR="00220BE7" w:rsidRDefault="00220BE7">
      <w:pPr>
        <w:pStyle w:val="enumlev1"/>
        <w:tabs>
          <w:tab w:val="left" w:pos="1560"/>
        </w:tabs>
        <w:spacing w:line="240" w:lineRule="exact"/>
        <w:ind w:left="879" w:hanging="879"/>
        <w:rPr>
          <w:lang w:val="es-ES_tradnl"/>
        </w:rPr>
      </w:pPr>
      <w:r>
        <w:rPr>
          <w:lang w:val="fr-FR"/>
        </w:rPr>
        <w:tab/>
      </w:r>
      <w:r>
        <w:rPr>
          <w:i/>
          <w:iCs/>
          <w:lang w:val="es-ES_tradnl"/>
        </w:rPr>
        <w:t>D</w:t>
      </w:r>
      <w:r>
        <w:rPr>
          <w:lang w:val="es-ES_tradnl"/>
        </w:rPr>
        <w:t>(</w:t>
      </w:r>
      <w:r>
        <w:rPr>
          <w:rFonts w:ascii="Symbol" w:hAnsi="Symbol"/>
        </w:rPr>
        <w:t></w:t>
      </w:r>
      <w:r>
        <w:rPr>
          <w:position w:val="-4"/>
          <w:sz w:val="16"/>
          <w:lang w:val="en-US"/>
        </w:rPr>
        <w:t>0</w:t>
      </w:r>
      <w:r>
        <w:rPr>
          <w:lang w:val="es-ES_tradnl"/>
        </w:rPr>
        <w:t>,</w:t>
      </w:r>
      <w:r>
        <w:t xml:space="preserve"> </w:t>
      </w:r>
      <w:r>
        <w:rPr>
          <w:rFonts w:ascii="Symbol" w:hAnsi="Symbol"/>
        </w:rPr>
        <w:t></w:t>
      </w:r>
      <w:r>
        <w:rPr>
          <w:lang w:val="es-ES_tradnl"/>
        </w:rPr>
        <w:t xml:space="preserve">)  </w:t>
      </w:r>
      <w:r>
        <w:rPr>
          <w:rFonts w:ascii="Symbol" w:hAnsi="Symbol"/>
        </w:rPr>
        <w:t></w:t>
      </w:r>
      <w:r>
        <w:rPr>
          <w:lang w:val="es-ES_tradnl"/>
        </w:rPr>
        <w:t xml:space="preserve">  </w:t>
      </w:r>
      <w:r>
        <w:t>(</w:t>
      </w:r>
      <w:r>
        <w:rPr>
          <w:i/>
          <w:iCs/>
        </w:rPr>
        <w:t>I</w:t>
      </w:r>
      <w:r>
        <w:rPr>
          <w:i/>
          <w:iCs/>
          <w:position w:val="-4"/>
          <w:sz w:val="16"/>
        </w:rPr>
        <w:t>received</w:t>
      </w:r>
      <w:r>
        <w:t>/</w:t>
      </w:r>
      <w:r>
        <w:rPr>
          <w:i/>
          <w:iCs/>
        </w:rPr>
        <w:t>N</w:t>
      </w:r>
      <w:r>
        <w:t>)</w:t>
      </w:r>
      <w:r>
        <w:rPr>
          <w:i/>
          <w:iCs/>
          <w:position w:val="-4"/>
          <w:sz w:val="16"/>
        </w:rPr>
        <w:t>centre</w:t>
      </w:r>
      <w:r>
        <w:rPr>
          <w:lang w:val="es-ES_tradnl"/>
        </w:rPr>
        <w:t xml:space="preserve"> + </w:t>
      </w:r>
      <w:r>
        <w:rPr>
          <w:i/>
          <w:lang w:val="es-ES_tradnl"/>
        </w:rPr>
        <w:t>G</w:t>
      </w:r>
      <w:r>
        <w:rPr>
          <w:i/>
          <w:position w:val="-4"/>
          <w:sz w:val="16"/>
          <w:lang w:val="es-ES_tradnl"/>
        </w:rPr>
        <w:t>victim</w:t>
      </w:r>
      <w:r>
        <w:rPr>
          <w:lang w:val="en-US"/>
        </w:rPr>
        <w:t>(</w:t>
      </w:r>
      <w:r>
        <w:rPr>
          <w:rFonts w:ascii="Symbol" w:hAnsi="Symbol"/>
        </w:rPr>
        <w:t></w:t>
      </w:r>
      <w:r>
        <w:rPr>
          <w:lang w:val="en-US"/>
        </w:rPr>
        <w:t xml:space="preserve">/2 – </w:t>
      </w:r>
      <w:r>
        <w:rPr>
          <w:rFonts w:ascii="Symbol" w:hAnsi="Symbol"/>
        </w:rPr>
        <w:t></w:t>
      </w:r>
      <w:r>
        <w:rPr>
          <w:position w:val="-4"/>
          <w:sz w:val="16"/>
          <w:lang w:val="en-US"/>
        </w:rPr>
        <w:t>0</w:t>
      </w:r>
      <w:r>
        <w:t xml:space="preserve">, </w:t>
      </w:r>
      <w:r>
        <w:rPr>
          <w:rFonts w:ascii="Symbol" w:hAnsi="Symbol"/>
        </w:rPr>
        <w:t></w:t>
      </w:r>
      <w:r>
        <w:rPr>
          <w:lang w:val="en-US"/>
        </w:rPr>
        <w:t xml:space="preserve">) – </w:t>
      </w:r>
      <w:r>
        <w:rPr>
          <w:i/>
          <w:iCs/>
        </w:rPr>
        <w:t>Threshold</w:t>
      </w:r>
      <w:r>
        <w:t xml:space="preserve"> – </w:t>
      </w:r>
      <w:r>
        <w:rPr>
          <w:i/>
          <w:iCs/>
        </w:rPr>
        <w:t>L</w:t>
      </w:r>
      <w:r>
        <w:rPr>
          <w:i/>
          <w:iCs/>
          <w:position w:val="-4"/>
          <w:sz w:val="16"/>
        </w:rPr>
        <w:t>N</w:t>
      </w:r>
    </w:p>
    <w:p w:rsidR="00220BE7" w:rsidRDefault="00220BE7">
      <w:pPr>
        <w:pStyle w:val="enumlev1"/>
        <w:tabs>
          <w:tab w:val="left" w:pos="1560"/>
        </w:tabs>
        <w:spacing w:line="240" w:lineRule="exact"/>
        <w:ind w:left="879" w:hanging="879"/>
        <w:rPr>
          <w:lang w:val="es-ES_tradnl"/>
        </w:rPr>
      </w:pPr>
      <w:r>
        <w:rPr>
          <w:lang w:val="en-US"/>
        </w:rPr>
        <w:tab/>
      </w:r>
      <w:r>
        <w:rPr>
          <w:i/>
          <w:iCs/>
          <w:lang w:val="es-ES_tradnl"/>
        </w:rPr>
        <w:t>B</w:t>
      </w:r>
      <w:r>
        <w:rPr>
          <w:lang w:val="es-ES_tradnl"/>
        </w:rPr>
        <w:t>(</w:t>
      </w:r>
      <w:r>
        <w:rPr>
          <w:rFonts w:ascii="Symbol" w:hAnsi="Symbol"/>
        </w:rPr>
        <w:t></w:t>
      </w:r>
      <w:r>
        <w:rPr>
          <w:position w:val="-4"/>
          <w:sz w:val="16"/>
          <w:lang w:val="en-US"/>
        </w:rPr>
        <w:t>0</w:t>
      </w:r>
      <w:r>
        <w:rPr>
          <w:lang w:val="es-ES_tradnl"/>
        </w:rPr>
        <w:t xml:space="preserve">, </w:t>
      </w:r>
      <w:r>
        <w:rPr>
          <w:rFonts w:ascii="Symbol" w:hAnsi="Symbol"/>
        </w:rPr>
        <w:t></w:t>
      </w:r>
      <w:r>
        <w:rPr>
          <w:lang w:val="es-ES_tradnl"/>
        </w:rPr>
        <w:t xml:space="preserve">)  </w:t>
      </w:r>
      <w:r>
        <w:rPr>
          <w:rFonts w:ascii="Symbol" w:hAnsi="Symbol"/>
        </w:rPr>
        <w:t></w:t>
      </w:r>
      <w:r>
        <w:t xml:space="preserve">  0.1</w:t>
      </w:r>
      <w:r>
        <w:rPr>
          <w:sz w:val="24"/>
        </w:rPr>
        <w:t>[</w:t>
      </w:r>
      <w:r>
        <w:t>(</w:t>
      </w:r>
      <w:r>
        <w:rPr>
          <w:i/>
          <w:iCs/>
        </w:rPr>
        <w:t>I</w:t>
      </w:r>
      <w:r>
        <w:rPr>
          <w:i/>
          <w:iCs/>
          <w:position w:val="-4"/>
          <w:sz w:val="16"/>
        </w:rPr>
        <w:t>received</w:t>
      </w:r>
      <w:r>
        <w:t>/</w:t>
      </w:r>
      <w:r>
        <w:rPr>
          <w:i/>
          <w:iCs/>
        </w:rPr>
        <w:t>N</w:t>
      </w:r>
      <w:r>
        <w:t>)</w:t>
      </w:r>
      <w:r>
        <w:rPr>
          <w:i/>
          <w:iCs/>
          <w:position w:val="-4"/>
          <w:sz w:val="16"/>
        </w:rPr>
        <w:t>centre</w:t>
      </w:r>
      <w:r>
        <w:rPr>
          <w:lang w:val="es-ES_tradnl"/>
        </w:rPr>
        <w:t xml:space="preserve"> + </w:t>
      </w:r>
      <w:r>
        <w:rPr>
          <w:i/>
          <w:lang w:val="es-ES_tradnl"/>
        </w:rPr>
        <w:t>G</w:t>
      </w:r>
      <w:r>
        <w:rPr>
          <w:i/>
          <w:position w:val="-4"/>
          <w:sz w:val="16"/>
          <w:lang w:val="es-ES_tradnl"/>
        </w:rPr>
        <w:t>victim</w:t>
      </w:r>
      <w:r>
        <w:rPr>
          <w:lang w:val="en-US"/>
        </w:rPr>
        <w:t>(</w:t>
      </w:r>
      <w:r>
        <w:rPr>
          <w:rFonts w:ascii="Symbol" w:hAnsi="Symbol"/>
        </w:rPr>
        <w:t></w:t>
      </w:r>
      <w:r>
        <w:rPr>
          <w:lang w:val="en-US"/>
        </w:rPr>
        <w:t xml:space="preserve">/2 – </w:t>
      </w:r>
      <w:r>
        <w:rPr>
          <w:rFonts w:ascii="Symbol" w:hAnsi="Symbol"/>
        </w:rPr>
        <w:t></w:t>
      </w:r>
      <w:r>
        <w:rPr>
          <w:position w:val="-4"/>
          <w:sz w:val="16"/>
          <w:lang w:val="en-US"/>
        </w:rPr>
        <w:t>0</w:t>
      </w:r>
      <w:r>
        <w:t xml:space="preserve">, </w:t>
      </w:r>
      <w:r>
        <w:rPr>
          <w:rFonts w:ascii="Symbol" w:hAnsi="Symbol"/>
        </w:rPr>
        <w:t></w:t>
      </w:r>
      <w:r>
        <w:rPr>
          <w:lang w:val="en-US"/>
        </w:rPr>
        <w:t xml:space="preserve">) – </w:t>
      </w:r>
      <w:r>
        <w:rPr>
          <w:i/>
          <w:iCs/>
        </w:rPr>
        <w:t>Threshold</w:t>
      </w:r>
      <w:r>
        <w:rPr>
          <w:sz w:val="24"/>
        </w:rPr>
        <w:t>]</w:t>
      </w:r>
      <w:r>
        <w:t>.</w:t>
      </w:r>
    </w:p>
    <w:p w:rsidR="00220BE7" w:rsidRDefault="00220BE7">
      <w:pPr>
        <w:rPr>
          <w:lang w:val="es-ES_tradnl"/>
        </w:rPr>
      </w:pPr>
      <w:r>
        <w:t>Figure 4 gives the required coordination distances as a function of the cosine angle of boresight of the fixed service antenna relative to nadir HAPS for 8, 37, 87, 110 and 158 km HAPS coverage, respectively. The fixed service antenna is assumed to have a 31 dBi gain, and a directivity pattern in accordance with Recommendation ITU-R F.699. The reference antenna radiation patterns for antennas on HAPS platforms are given in Appendix 1 to Annex 1.</w:t>
      </w:r>
    </w:p>
    <w:p w:rsidR="00220BE7" w:rsidRDefault="00220BE7">
      <w:pPr>
        <w:rPr>
          <w:lang w:val="es-ES_tradnl"/>
        </w:rPr>
      </w:pPr>
      <w:r>
        <w:t>The approximation method yields accurate results only when the coverage radius is small (</w:t>
      </w:r>
      <w:r>
        <w:rPr>
          <w:rFonts w:ascii="Symbol" w:hAnsi="Symbol"/>
        </w:rPr>
        <w:sym w:font="Symbol" w:char="F0A3"/>
      </w:r>
      <w:r>
        <w:rPr>
          <w:lang w:val="en-US"/>
        </w:rPr>
        <w:t xml:space="preserve"> 60 km</w:t>
      </w:r>
      <w:r>
        <w:t>). This is shown in </w:t>
      </w:r>
      <w:r>
        <w:rPr>
          <w:lang w:val="en-US"/>
        </w:rPr>
        <w:t>Fig. </w:t>
      </w:r>
      <w:r>
        <w:t>5.</w:t>
      </w:r>
    </w:p>
    <w:p w:rsidR="00220BE7" w:rsidRDefault="00220BE7">
      <w:pPr>
        <w:pStyle w:val="Fig"/>
      </w:pPr>
      <w:r>
        <w:rPr>
          <w:lang w:val="es-ES_tradnl"/>
        </w:rPr>
        <w:br w:type="page"/>
      </w:r>
      <w:r w:rsidR="00737A63">
        <w:rPr>
          <w:noProof/>
          <w:lang w:eastAsia="zh-CN"/>
        </w:rPr>
        <w:lastRenderedPageBreak/>
        <w:drawing>
          <wp:inline distT="0" distB="0" distL="0" distR="0">
            <wp:extent cx="4671060" cy="6781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71060" cy="6781800"/>
                    </a:xfrm>
                    <a:prstGeom prst="rect">
                      <a:avLst/>
                    </a:prstGeom>
                    <a:noFill/>
                    <a:ln>
                      <a:noFill/>
                    </a:ln>
                  </pic:spPr>
                </pic:pic>
              </a:graphicData>
            </a:graphic>
          </wp:inline>
        </w:drawing>
      </w:r>
    </w:p>
    <w:p w:rsidR="00220BE7" w:rsidRDefault="00220BE7">
      <w:pPr>
        <w:rPr>
          <w:lang w:val="es-ES_tradnl"/>
        </w:rPr>
      </w:pPr>
    </w:p>
    <w:p w:rsidR="00220BE7" w:rsidRDefault="00220BE7">
      <w:pPr>
        <w:rPr>
          <w:lang w:val="es-ES_tradnl"/>
        </w:rPr>
      </w:pPr>
    </w:p>
    <w:p w:rsidR="00220BE7" w:rsidRDefault="00220BE7">
      <w:pPr>
        <w:rPr>
          <w:lang w:val="es-ES_tradnl"/>
        </w:rPr>
      </w:pPr>
    </w:p>
    <w:p w:rsidR="00220BE7" w:rsidRDefault="00220BE7">
      <w:pPr>
        <w:rPr>
          <w:lang w:val="es-ES_tradnl"/>
        </w:rPr>
      </w:pPr>
    </w:p>
    <w:p w:rsidR="00220BE7" w:rsidRDefault="00220BE7">
      <w:pPr>
        <w:rPr>
          <w:lang w:val="es-ES_tradnl"/>
        </w:rPr>
      </w:pPr>
    </w:p>
    <w:p w:rsidR="00220BE7" w:rsidRDefault="00220BE7">
      <w:pPr>
        <w:rPr>
          <w:lang w:val="es-ES_tradnl"/>
        </w:rPr>
      </w:pPr>
    </w:p>
    <w:p w:rsidR="00220BE7" w:rsidRDefault="00220BE7">
      <w:pPr>
        <w:rPr>
          <w:lang w:val="es-ES_tradnl"/>
        </w:rPr>
      </w:pPr>
    </w:p>
    <w:p w:rsidR="00220BE7" w:rsidRDefault="00220BE7">
      <w:pPr>
        <w:rPr>
          <w:lang w:val="es-ES_tradnl"/>
        </w:rPr>
      </w:pPr>
    </w:p>
    <w:p w:rsidR="00220BE7" w:rsidRDefault="00220BE7">
      <w:pPr>
        <w:rPr>
          <w:lang w:val="es-ES_tradnl"/>
        </w:rPr>
      </w:pPr>
    </w:p>
    <w:p w:rsidR="00220BE7" w:rsidRDefault="00220BE7">
      <w:pPr>
        <w:pStyle w:val="Fig"/>
      </w:pPr>
      <w:r>
        <w:br w:type="page"/>
      </w:r>
      <w:r w:rsidR="00737A63">
        <w:rPr>
          <w:noProof/>
          <w:lang w:eastAsia="zh-CN"/>
        </w:rPr>
        <w:lastRenderedPageBreak/>
        <w:drawing>
          <wp:inline distT="0" distB="0" distL="0" distR="0">
            <wp:extent cx="4671060" cy="69037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71060" cy="6903720"/>
                    </a:xfrm>
                    <a:prstGeom prst="rect">
                      <a:avLst/>
                    </a:prstGeom>
                    <a:noFill/>
                    <a:ln>
                      <a:noFill/>
                    </a:ln>
                  </pic:spPr>
                </pic:pic>
              </a:graphicData>
            </a:graphic>
          </wp:inline>
        </w:drawing>
      </w:r>
    </w:p>
    <w:p w:rsidR="00220BE7" w:rsidRDefault="00220BE7">
      <w:pPr>
        <w:rPr>
          <w:lang w:val="es-ES_tradnl"/>
        </w:rPr>
      </w:pPr>
    </w:p>
    <w:p w:rsidR="00220BE7" w:rsidRDefault="00220BE7">
      <w:pPr>
        <w:rPr>
          <w:lang w:val="es-ES_tradnl"/>
        </w:rPr>
      </w:pPr>
    </w:p>
    <w:p w:rsidR="00220BE7" w:rsidRDefault="00220BE7">
      <w:pPr>
        <w:rPr>
          <w:lang w:val="es-ES_tradnl"/>
        </w:rPr>
      </w:pPr>
    </w:p>
    <w:p w:rsidR="00220BE7" w:rsidRDefault="00220BE7">
      <w:pPr>
        <w:rPr>
          <w:lang w:val="es-ES_tradnl"/>
        </w:rPr>
      </w:pPr>
    </w:p>
    <w:p w:rsidR="00220BE7" w:rsidRDefault="00220BE7">
      <w:pPr>
        <w:rPr>
          <w:lang w:val="es-ES_tradnl"/>
        </w:rPr>
      </w:pPr>
    </w:p>
    <w:p w:rsidR="00220BE7" w:rsidRDefault="00220BE7">
      <w:pPr>
        <w:rPr>
          <w:lang w:val="es-ES_tradnl"/>
        </w:rPr>
      </w:pPr>
    </w:p>
    <w:p w:rsidR="00220BE7" w:rsidRDefault="00220BE7">
      <w:pPr>
        <w:rPr>
          <w:lang w:val="es-ES_tradnl"/>
        </w:rPr>
      </w:pPr>
    </w:p>
    <w:p w:rsidR="00220BE7" w:rsidRDefault="00220BE7">
      <w:pPr>
        <w:rPr>
          <w:lang w:val="es-ES_tradnl"/>
        </w:rPr>
      </w:pPr>
    </w:p>
    <w:p w:rsidR="00220BE7" w:rsidRDefault="00220BE7">
      <w:pPr>
        <w:rPr>
          <w:lang w:val="es-ES_tradnl"/>
        </w:rPr>
      </w:pPr>
    </w:p>
    <w:p w:rsidR="00220BE7" w:rsidRDefault="00220BE7">
      <w:pPr>
        <w:pStyle w:val="Heading2"/>
      </w:pPr>
      <w:r>
        <w:rPr>
          <w:lang w:val="es-ES_tradnl"/>
        </w:rPr>
        <w:br w:type="page"/>
      </w:r>
      <w:r>
        <w:lastRenderedPageBreak/>
        <w:t>2.2</w:t>
      </w:r>
      <w:r>
        <w:tab/>
        <w:t>Interference from HAPS using IMT-2000 CDMA format into IMT-2000 mobile stations</w:t>
      </w:r>
    </w:p>
    <w:p w:rsidR="00220BE7" w:rsidRDefault="00220BE7">
      <w:r>
        <w:t xml:space="preserve">The interference criterion of </w:t>
      </w:r>
      <w:r>
        <w:rPr>
          <w:i/>
          <w:iCs/>
        </w:rPr>
        <w:t>I</w:t>
      </w:r>
      <w:r>
        <w:t>/</w:t>
      </w:r>
      <w:r>
        <w:rPr>
          <w:i/>
          <w:iCs/>
        </w:rPr>
        <w:t>N</w:t>
      </w:r>
      <w:r>
        <w:t xml:space="preserve"> </w:t>
      </w:r>
      <w:r>
        <w:rPr>
          <w:rFonts w:ascii="Symbol" w:hAnsi="Symbol"/>
        </w:rPr>
        <w:t></w:t>
      </w:r>
      <w:r>
        <w:t xml:space="preserve"> </w:t>
      </w:r>
      <w:r>
        <w:rPr>
          <w:lang w:val="en-US"/>
        </w:rPr>
        <w:t>–</w:t>
      </w:r>
      <w:r>
        <w:rPr>
          <w:sz w:val="4"/>
          <w:lang w:val="es-ES_tradnl"/>
        </w:rPr>
        <w:t> </w:t>
      </w:r>
      <w:r>
        <w:t>10 dB will be used. It makes no difference whether the interfered mobile station uses an IMT-2000 CDMA or TDMA format or not, only the level of interference from HAPS matters.</w:t>
      </w:r>
    </w:p>
    <w:p w:rsidR="00220BE7" w:rsidRDefault="00220BE7">
      <w:pPr>
        <w:rPr>
          <w:lang w:val="es-ES_tradnl"/>
        </w:rPr>
      </w:pPr>
      <w:r>
        <w:t xml:space="preserve">It is clear from </w:t>
      </w:r>
      <w:r>
        <w:rPr>
          <w:lang w:val="en-US"/>
        </w:rPr>
        <w:t>Fig. </w:t>
      </w:r>
      <w:r>
        <w:t xml:space="preserve">1 that such sharing is entirely feasible for smaller radius HAPS coverage. Even for a main coverage radius of 62 km, a victim tower-based system can provide the IMT-2000 service in the same frequency band assuming that its coverage area is at least 33 km from the nearest HAPS main beam. Figure 6 shows the relationship between the coordination distance and the HAPS coverage, and </w:t>
      </w:r>
      <w:r>
        <w:rPr>
          <w:lang w:val="en-US"/>
        </w:rPr>
        <w:t>Fig. </w:t>
      </w:r>
      <w:r>
        <w:t xml:space="preserve">7 shows the distance between the coordination boundary and the nadir of HAPS as a function of HAPS coverage radius. The results in </w:t>
      </w:r>
      <w:r>
        <w:rPr>
          <w:lang w:val="en-US"/>
        </w:rPr>
        <w:t>Fig. </w:t>
      </w:r>
      <w:r>
        <w:t>7 are summarized in Table 1.</w:t>
      </w:r>
    </w:p>
    <w:p w:rsidR="00220BE7" w:rsidRDefault="00220BE7">
      <w:pPr>
        <w:rPr>
          <w:lang w:val="es-ES_tradnl"/>
        </w:rPr>
      </w:pPr>
    </w:p>
    <w:p w:rsidR="00220BE7" w:rsidRDefault="00220BE7">
      <w:pPr>
        <w:rPr>
          <w:lang w:val="es-ES_tradnl"/>
        </w:rPr>
      </w:pPr>
    </w:p>
    <w:p w:rsidR="00220BE7" w:rsidRDefault="00220BE7">
      <w:pPr>
        <w:rPr>
          <w:lang w:val="es-ES_tradnl"/>
        </w:rPr>
      </w:pPr>
    </w:p>
    <w:p w:rsidR="00220BE7" w:rsidRDefault="00220BE7">
      <w:pPr>
        <w:rPr>
          <w:lang w:val="es-ES_tradnl"/>
        </w:rPr>
      </w:pPr>
    </w:p>
    <w:p w:rsidR="00220BE7" w:rsidRDefault="00737A63">
      <w:pPr>
        <w:pStyle w:val="Fig"/>
      </w:pPr>
      <w:r>
        <w:rPr>
          <w:noProof/>
          <w:lang w:eastAsia="zh-CN"/>
        </w:rPr>
        <w:drawing>
          <wp:inline distT="0" distB="0" distL="0" distR="0">
            <wp:extent cx="5966460" cy="5067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66460" cy="5067300"/>
                    </a:xfrm>
                    <a:prstGeom prst="rect">
                      <a:avLst/>
                    </a:prstGeom>
                    <a:noFill/>
                    <a:ln>
                      <a:noFill/>
                    </a:ln>
                  </pic:spPr>
                </pic:pic>
              </a:graphicData>
            </a:graphic>
          </wp:inline>
        </w:drawing>
      </w:r>
    </w:p>
    <w:p w:rsidR="00220BE7" w:rsidRDefault="00220BE7">
      <w:pPr>
        <w:rPr>
          <w:lang w:val="es-ES_tradnl"/>
        </w:rPr>
      </w:pPr>
    </w:p>
    <w:p w:rsidR="00220BE7" w:rsidRDefault="00220BE7">
      <w:pPr>
        <w:rPr>
          <w:lang w:val="es-ES_tradnl"/>
        </w:rPr>
      </w:pPr>
    </w:p>
    <w:p w:rsidR="00220BE7" w:rsidRDefault="00220BE7">
      <w:pPr>
        <w:rPr>
          <w:lang w:val="es-ES_tradnl"/>
        </w:rPr>
      </w:pPr>
    </w:p>
    <w:p w:rsidR="00220BE7" w:rsidRDefault="00220BE7">
      <w:pPr>
        <w:rPr>
          <w:lang w:val="es-ES_tradnl"/>
        </w:rPr>
      </w:pPr>
    </w:p>
    <w:p w:rsidR="00220BE7" w:rsidRDefault="00220BE7">
      <w:pPr>
        <w:rPr>
          <w:lang w:val="es-ES_tradnl"/>
        </w:rPr>
      </w:pPr>
    </w:p>
    <w:p w:rsidR="00220BE7" w:rsidRDefault="00220BE7">
      <w:pPr>
        <w:rPr>
          <w:lang w:val="es-ES_tradnl"/>
        </w:rPr>
      </w:pPr>
    </w:p>
    <w:p w:rsidR="00220BE7" w:rsidRDefault="00220BE7">
      <w:pPr>
        <w:pStyle w:val="Fig"/>
      </w:pPr>
      <w:r>
        <w:br w:type="page"/>
      </w:r>
      <w:r w:rsidR="00737A63">
        <w:rPr>
          <w:noProof/>
          <w:lang w:eastAsia="zh-CN"/>
        </w:rPr>
        <w:lastRenderedPageBreak/>
        <w:drawing>
          <wp:inline distT="0" distB="0" distL="0" distR="0">
            <wp:extent cx="5966460" cy="5067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66460" cy="5067300"/>
                    </a:xfrm>
                    <a:prstGeom prst="rect">
                      <a:avLst/>
                    </a:prstGeom>
                    <a:noFill/>
                    <a:ln>
                      <a:noFill/>
                    </a:ln>
                  </pic:spPr>
                </pic:pic>
              </a:graphicData>
            </a:graphic>
          </wp:inline>
        </w:drawing>
      </w:r>
    </w:p>
    <w:p w:rsidR="00220BE7" w:rsidRDefault="00220BE7">
      <w:pPr>
        <w:rPr>
          <w:lang w:val="es-ES_tradnl"/>
        </w:rPr>
      </w:pPr>
    </w:p>
    <w:p w:rsidR="00220BE7" w:rsidRDefault="00220BE7">
      <w:pPr>
        <w:rPr>
          <w:lang w:val="es-ES_tradnl"/>
        </w:rPr>
      </w:pPr>
    </w:p>
    <w:p w:rsidR="00220BE7" w:rsidRDefault="00220BE7">
      <w:pPr>
        <w:rPr>
          <w:lang w:val="es-ES_tradnl"/>
        </w:rPr>
      </w:pPr>
    </w:p>
    <w:p w:rsidR="00220BE7" w:rsidRDefault="00220BE7">
      <w:pPr>
        <w:pStyle w:val="Table"/>
        <w:spacing w:before="600"/>
      </w:pPr>
      <w:r>
        <w:t>TABLE  1</w:t>
      </w:r>
    </w:p>
    <w:p w:rsidR="00220BE7" w:rsidRDefault="00220BE7">
      <w:pPr>
        <w:pStyle w:val="TableTitle"/>
      </w:pPr>
      <w:r>
        <w:t xml:space="preserve">Coordination distances (km) for different radius of coverage (km) </w:t>
      </w:r>
      <w:r>
        <w:br/>
        <w:t>using e</w:t>
      </w:r>
      <w:r>
        <w:rPr>
          <w:lang w:val="en-US"/>
        </w:rPr>
        <w:t>quation (22)</w:t>
      </w:r>
      <w:r>
        <w:t xml:space="preserve"> (HAPS using CDMA format)</w:t>
      </w:r>
    </w:p>
    <w:p w:rsidR="00220BE7" w:rsidRDefault="00220BE7">
      <w:pPr>
        <w:pStyle w:val="Blanc"/>
      </w:pPr>
    </w:p>
    <w:tbl>
      <w:tblPr>
        <w:tblW w:w="96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80"/>
        <w:gridCol w:w="428"/>
        <w:gridCol w:w="428"/>
        <w:gridCol w:w="428"/>
        <w:gridCol w:w="428"/>
        <w:gridCol w:w="428"/>
        <w:gridCol w:w="428"/>
        <w:gridCol w:w="429"/>
        <w:gridCol w:w="429"/>
        <w:gridCol w:w="429"/>
        <w:gridCol w:w="429"/>
        <w:gridCol w:w="429"/>
        <w:gridCol w:w="529"/>
        <w:gridCol w:w="529"/>
        <w:gridCol w:w="529"/>
        <w:gridCol w:w="529"/>
        <w:gridCol w:w="529"/>
        <w:gridCol w:w="529"/>
        <w:gridCol w:w="529"/>
      </w:tblGrid>
      <w:tr w:rsidR="00220BE7">
        <w:trPr>
          <w:cantSplit/>
          <w:jc w:val="center"/>
        </w:trPr>
        <w:tc>
          <w:tcPr>
            <w:tcW w:w="1418" w:type="dxa"/>
          </w:tcPr>
          <w:p w:rsidR="00220BE7" w:rsidRDefault="00220BE7">
            <w:pPr>
              <w:pStyle w:val="TableText"/>
              <w:framePr w:hSpace="181" w:wrap="notBeside" w:vAnchor="text" w:hAnchor="text" w:xAlign="center" w:y="1"/>
              <w:jc w:val="left"/>
            </w:pPr>
            <w:r>
              <w:t>Radius</w:t>
            </w:r>
            <w:r>
              <w:br/>
              <w:t>of coverage</w:t>
            </w:r>
          </w:p>
        </w:tc>
        <w:tc>
          <w:tcPr>
            <w:tcW w:w="454" w:type="dxa"/>
          </w:tcPr>
          <w:p w:rsidR="00220BE7" w:rsidRDefault="00220BE7">
            <w:pPr>
              <w:pStyle w:val="TableText"/>
              <w:framePr w:hSpace="181" w:wrap="notBeside" w:vAnchor="text" w:hAnchor="text" w:xAlign="center" w:y="1"/>
            </w:pPr>
            <w:r>
              <w:t> </w:t>
            </w:r>
            <w:r>
              <w:t>8</w:t>
            </w:r>
          </w:p>
        </w:tc>
        <w:tc>
          <w:tcPr>
            <w:tcW w:w="454" w:type="dxa"/>
          </w:tcPr>
          <w:p w:rsidR="00220BE7" w:rsidRDefault="00220BE7">
            <w:pPr>
              <w:pStyle w:val="TableText"/>
              <w:framePr w:hSpace="181" w:wrap="notBeside" w:vAnchor="text" w:hAnchor="text" w:xAlign="center" w:y="1"/>
            </w:pPr>
            <w:r>
              <w:t>11</w:t>
            </w:r>
          </w:p>
        </w:tc>
        <w:tc>
          <w:tcPr>
            <w:tcW w:w="454" w:type="dxa"/>
          </w:tcPr>
          <w:p w:rsidR="00220BE7" w:rsidRDefault="00220BE7">
            <w:pPr>
              <w:pStyle w:val="TableText"/>
              <w:framePr w:hSpace="181" w:wrap="notBeside" w:vAnchor="text" w:hAnchor="text" w:xAlign="center" w:y="1"/>
            </w:pPr>
            <w:r>
              <w:t>15</w:t>
            </w:r>
          </w:p>
        </w:tc>
        <w:tc>
          <w:tcPr>
            <w:tcW w:w="454" w:type="dxa"/>
          </w:tcPr>
          <w:p w:rsidR="00220BE7" w:rsidRDefault="00220BE7">
            <w:pPr>
              <w:pStyle w:val="TableText"/>
              <w:framePr w:hSpace="181" w:wrap="notBeside" w:vAnchor="text" w:hAnchor="text" w:xAlign="center" w:y="1"/>
            </w:pPr>
            <w:r>
              <w:t>19</w:t>
            </w:r>
          </w:p>
        </w:tc>
        <w:tc>
          <w:tcPr>
            <w:tcW w:w="454" w:type="dxa"/>
          </w:tcPr>
          <w:p w:rsidR="00220BE7" w:rsidRDefault="00220BE7">
            <w:pPr>
              <w:pStyle w:val="TableText"/>
              <w:framePr w:hSpace="181" w:wrap="notBeside" w:vAnchor="text" w:hAnchor="text" w:xAlign="center" w:y="1"/>
            </w:pPr>
            <w:r>
              <w:t>23</w:t>
            </w:r>
          </w:p>
        </w:tc>
        <w:tc>
          <w:tcPr>
            <w:tcW w:w="454" w:type="dxa"/>
          </w:tcPr>
          <w:p w:rsidR="00220BE7" w:rsidRDefault="00220BE7">
            <w:pPr>
              <w:pStyle w:val="TableText"/>
              <w:framePr w:hSpace="181" w:wrap="notBeside" w:vAnchor="text" w:hAnchor="text" w:xAlign="center" w:y="1"/>
            </w:pPr>
            <w:r>
              <w:t>27</w:t>
            </w:r>
          </w:p>
        </w:tc>
        <w:tc>
          <w:tcPr>
            <w:tcW w:w="454" w:type="dxa"/>
          </w:tcPr>
          <w:p w:rsidR="00220BE7" w:rsidRDefault="00220BE7">
            <w:pPr>
              <w:pStyle w:val="TableText"/>
              <w:framePr w:hSpace="181" w:wrap="notBeside" w:vAnchor="text" w:hAnchor="text" w:xAlign="center" w:y="1"/>
            </w:pPr>
            <w:r>
              <w:t>32</w:t>
            </w:r>
          </w:p>
        </w:tc>
        <w:tc>
          <w:tcPr>
            <w:tcW w:w="454" w:type="dxa"/>
          </w:tcPr>
          <w:p w:rsidR="00220BE7" w:rsidRDefault="00220BE7">
            <w:pPr>
              <w:pStyle w:val="TableText"/>
              <w:framePr w:hSpace="181" w:wrap="notBeside" w:vAnchor="text" w:hAnchor="text" w:xAlign="center" w:y="1"/>
            </w:pPr>
            <w:r>
              <w:t>37</w:t>
            </w:r>
          </w:p>
        </w:tc>
        <w:tc>
          <w:tcPr>
            <w:tcW w:w="454" w:type="dxa"/>
          </w:tcPr>
          <w:p w:rsidR="00220BE7" w:rsidRDefault="00220BE7">
            <w:pPr>
              <w:pStyle w:val="TableText"/>
              <w:framePr w:hSpace="181" w:wrap="notBeside" w:vAnchor="text" w:hAnchor="text" w:xAlign="center" w:y="1"/>
            </w:pPr>
            <w:r>
              <w:t>43</w:t>
            </w:r>
          </w:p>
        </w:tc>
        <w:tc>
          <w:tcPr>
            <w:tcW w:w="454" w:type="dxa"/>
          </w:tcPr>
          <w:p w:rsidR="00220BE7" w:rsidRDefault="00220BE7">
            <w:pPr>
              <w:pStyle w:val="TableText"/>
              <w:framePr w:hSpace="181" w:wrap="notBeside" w:vAnchor="text" w:hAnchor="text" w:xAlign="center" w:y="1"/>
            </w:pPr>
            <w:r>
              <w:t>49</w:t>
            </w:r>
          </w:p>
        </w:tc>
        <w:tc>
          <w:tcPr>
            <w:tcW w:w="454" w:type="dxa"/>
          </w:tcPr>
          <w:p w:rsidR="00220BE7" w:rsidRDefault="00220BE7">
            <w:pPr>
              <w:pStyle w:val="TableText"/>
              <w:framePr w:hSpace="181" w:wrap="notBeside" w:vAnchor="text" w:hAnchor="text" w:xAlign="center" w:y="1"/>
            </w:pPr>
            <w:r>
              <w:t>55</w:t>
            </w:r>
          </w:p>
        </w:tc>
        <w:tc>
          <w:tcPr>
            <w:tcW w:w="567" w:type="dxa"/>
          </w:tcPr>
          <w:p w:rsidR="00220BE7" w:rsidRDefault="00220BE7">
            <w:pPr>
              <w:pStyle w:val="TableText"/>
              <w:framePr w:hSpace="181" w:wrap="notBeside" w:vAnchor="text" w:hAnchor="text" w:xAlign="center" w:y="1"/>
            </w:pPr>
            <w:r>
              <w:t> </w:t>
            </w:r>
            <w:r>
              <w:t>62</w:t>
            </w:r>
          </w:p>
        </w:tc>
        <w:tc>
          <w:tcPr>
            <w:tcW w:w="567" w:type="dxa"/>
          </w:tcPr>
          <w:p w:rsidR="00220BE7" w:rsidRDefault="00220BE7">
            <w:pPr>
              <w:pStyle w:val="TableText"/>
              <w:framePr w:hSpace="181" w:wrap="notBeside" w:vAnchor="text" w:hAnchor="text" w:xAlign="center" w:y="1"/>
            </w:pPr>
            <w:r>
              <w:t> </w:t>
            </w:r>
            <w:r>
              <w:t>70</w:t>
            </w:r>
          </w:p>
        </w:tc>
        <w:tc>
          <w:tcPr>
            <w:tcW w:w="567" w:type="dxa"/>
          </w:tcPr>
          <w:p w:rsidR="00220BE7" w:rsidRDefault="00220BE7">
            <w:pPr>
              <w:pStyle w:val="TableText"/>
              <w:framePr w:hSpace="181" w:wrap="notBeside" w:vAnchor="text" w:hAnchor="text" w:xAlign="center" w:y="1"/>
            </w:pPr>
            <w:r>
              <w:t> </w:t>
            </w:r>
            <w:r>
              <w:t>78</w:t>
            </w:r>
          </w:p>
        </w:tc>
        <w:tc>
          <w:tcPr>
            <w:tcW w:w="567" w:type="dxa"/>
          </w:tcPr>
          <w:p w:rsidR="00220BE7" w:rsidRDefault="00220BE7">
            <w:pPr>
              <w:pStyle w:val="TableText"/>
              <w:framePr w:hSpace="181" w:wrap="notBeside" w:vAnchor="text" w:hAnchor="text" w:xAlign="center" w:y="1"/>
            </w:pPr>
            <w:r>
              <w:t> </w:t>
            </w:r>
            <w:r>
              <w:t>87</w:t>
            </w:r>
          </w:p>
        </w:tc>
        <w:tc>
          <w:tcPr>
            <w:tcW w:w="567" w:type="dxa"/>
          </w:tcPr>
          <w:p w:rsidR="00220BE7" w:rsidRDefault="00220BE7">
            <w:pPr>
              <w:pStyle w:val="TableText"/>
              <w:framePr w:hSpace="181" w:wrap="notBeside" w:vAnchor="text" w:hAnchor="text" w:xAlign="center" w:y="1"/>
            </w:pPr>
            <w:r>
              <w:t> </w:t>
            </w:r>
            <w:r>
              <w:t>97</w:t>
            </w:r>
          </w:p>
        </w:tc>
        <w:tc>
          <w:tcPr>
            <w:tcW w:w="567" w:type="dxa"/>
          </w:tcPr>
          <w:p w:rsidR="00220BE7" w:rsidRDefault="00220BE7">
            <w:pPr>
              <w:pStyle w:val="TableText"/>
              <w:framePr w:hSpace="181" w:wrap="notBeside" w:vAnchor="text" w:hAnchor="text" w:xAlign="center" w:y="1"/>
            </w:pPr>
            <w:r>
              <w:t>107</w:t>
            </w:r>
          </w:p>
        </w:tc>
        <w:tc>
          <w:tcPr>
            <w:tcW w:w="567" w:type="dxa"/>
          </w:tcPr>
          <w:p w:rsidR="00220BE7" w:rsidRDefault="00220BE7">
            <w:pPr>
              <w:pStyle w:val="TableText"/>
              <w:framePr w:hSpace="181" w:wrap="notBeside" w:vAnchor="text" w:hAnchor="text" w:xAlign="center" w:y="1"/>
            </w:pPr>
            <w:r>
              <w:t>119</w:t>
            </w:r>
          </w:p>
        </w:tc>
      </w:tr>
      <w:tr w:rsidR="00220BE7">
        <w:trPr>
          <w:cantSplit/>
          <w:trHeight w:val="970"/>
          <w:jc w:val="center"/>
        </w:trPr>
        <w:tc>
          <w:tcPr>
            <w:tcW w:w="1418" w:type="dxa"/>
          </w:tcPr>
          <w:p w:rsidR="00220BE7" w:rsidRDefault="00220BE7">
            <w:pPr>
              <w:pStyle w:val="TableText"/>
              <w:framePr w:hSpace="181" w:wrap="notBeside" w:vAnchor="text" w:hAnchor="text" w:xAlign="center" w:y="1"/>
              <w:jc w:val="left"/>
            </w:pPr>
            <w:r>
              <w:t>Coordination</w:t>
            </w:r>
            <w:r>
              <w:br/>
              <w:t>distance (measured from nadir)</w:t>
            </w:r>
          </w:p>
        </w:tc>
        <w:tc>
          <w:tcPr>
            <w:tcW w:w="454" w:type="dxa"/>
          </w:tcPr>
          <w:p w:rsidR="00220BE7" w:rsidRDefault="00220BE7">
            <w:pPr>
              <w:pStyle w:val="TableText"/>
              <w:framePr w:hSpace="181" w:wrap="notBeside" w:vAnchor="text" w:hAnchor="text" w:xAlign="center" w:y="1"/>
            </w:pPr>
            <w:r>
              <w:t>27</w:t>
            </w:r>
          </w:p>
        </w:tc>
        <w:tc>
          <w:tcPr>
            <w:tcW w:w="454" w:type="dxa"/>
          </w:tcPr>
          <w:p w:rsidR="00220BE7" w:rsidRDefault="00220BE7">
            <w:pPr>
              <w:pStyle w:val="TableText"/>
              <w:framePr w:hSpace="181" w:wrap="notBeside" w:vAnchor="text" w:hAnchor="text" w:xAlign="center" w:y="1"/>
            </w:pPr>
            <w:r>
              <w:t>30</w:t>
            </w:r>
          </w:p>
        </w:tc>
        <w:tc>
          <w:tcPr>
            <w:tcW w:w="454" w:type="dxa"/>
          </w:tcPr>
          <w:p w:rsidR="00220BE7" w:rsidRDefault="00220BE7">
            <w:pPr>
              <w:pStyle w:val="TableText"/>
              <w:framePr w:hSpace="181" w:wrap="notBeside" w:vAnchor="text" w:hAnchor="text" w:xAlign="center" w:y="1"/>
            </w:pPr>
            <w:r>
              <w:t>34</w:t>
            </w:r>
          </w:p>
        </w:tc>
        <w:tc>
          <w:tcPr>
            <w:tcW w:w="454" w:type="dxa"/>
          </w:tcPr>
          <w:p w:rsidR="00220BE7" w:rsidRDefault="00220BE7">
            <w:pPr>
              <w:pStyle w:val="TableText"/>
              <w:framePr w:hSpace="181" w:wrap="notBeside" w:vAnchor="text" w:hAnchor="text" w:xAlign="center" w:y="1"/>
            </w:pPr>
            <w:r>
              <w:t>38</w:t>
            </w:r>
          </w:p>
        </w:tc>
        <w:tc>
          <w:tcPr>
            <w:tcW w:w="454" w:type="dxa"/>
          </w:tcPr>
          <w:p w:rsidR="00220BE7" w:rsidRDefault="00220BE7">
            <w:pPr>
              <w:pStyle w:val="TableText"/>
              <w:framePr w:hSpace="181" w:wrap="notBeside" w:vAnchor="text" w:hAnchor="text" w:xAlign="center" w:y="1"/>
            </w:pPr>
            <w:r>
              <w:t>43</w:t>
            </w:r>
          </w:p>
        </w:tc>
        <w:tc>
          <w:tcPr>
            <w:tcW w:w="454" w:type="dxa"/>
          </w:tcPr>
          <w:p w:rsidR="00220BE7" w:rsidRDefault="00220BE7">
            <w:pPr>
              <w:pStyle w:val="TableText"/>
              <w:framePr w:hSpace="181" w:wrap="notBeside" w:vAnchor="text" w:hAnchor="text" w:xAlign="center" w:y="1"/>
            </w:pPr>
            <w:r>
              <w:t>48</w:t>
            </w:r>
          </w:p>
        </w:tc>
        <w:tc>
          <w:tcPr>
            <w:tcW w:w="454" w:type="dxa"/>
          </w:tcPr>
          <w:p w:rsidR="00220BE7" w:rsidRDefault="00220BE7">
            <w:pPr>
              <w:pStyle w:val="TableText"/>
              <w:framePr w:hSpace="181" w:wrap="notBeside" w:vAnchor="text" w:hAnchor="text" w:xAlign="center" w:y="1"/>
            </w:pPr>
            <w:r>
              <w:t>54</w:t>
            </w:r>
          </w:p>
        </w:tc>
        <w:tc>
          <w:tcPr>
            <w:tcW w:w="454" w:type="dxa"/>
          </w:tcPr>
          <w:p w:rsidR="00220BE7" w:rsidRDefault="00220BE7">
            <w:pPr>
              <w:pStyle w:val="TableText"/>
              <w:framePr w:hSpace="181" w:wrap="notBeside" w:vAnchor="text" w:hAnchor="text" w:xAlign="center" w:y="1"/>
            </w:pPr>
            <w:r>
              <w:t>61</w:t>
            </w:r>
          </w:p>
        </w:tc>
        <w:tc>
          <w:tcPr>
            <w:tcW w:w="454" w:type="dxa"/>
          </w:tcPr>
          <w:p w:rsidR="00220BE7" w:rsidRDefault="00220BE7">
            <w:pPr>
              <w:pStyle w:val="TableText"/>
              <w:framePr w:hSpace="181" w:wrap="notBeside" w:vAnchor="text" w:hAnchor="text" w:xAlign="center" w:y="1"/>
            </w:pPr>
            <w:r>
              <w:t>69</w:t>
            </w:r>
          </w:p>
        </w:tc>
        <w:tc>
          <w:tcPr>
            <w:tcW w:w="454" w:type="dxa"/>
          </w:tcPr>
          <w:p w:rsidR="00220BE7" w:rsidRDefault="00220BE7">
            <w:pPr>
              <w:pStyle w:val="TableText"/>
              <w:framePr w:hSpace="181" w:wrap="notBeside" w:vAnchor="text" w:hAnchor="text" w:xAlign="center" w:y="1"/>
            </w:pPr>
            <w:r>
              <w:t>79</w:t>
            </w:r>
          </w:p>
        </w:tc>
        <w:tc>
          <w:tcPr>
            <w:tcW w:w="454" w:type="dxa"/>
          </w:tcPr>
          <w:p w:rsidR="00220BE7" w:rsidRDefault="00220BE7">
            <w:pPr>
              <w:pStyle w:val="TableText"/>
              <w:framePr w:hSpace="181" w:wrap="notBeside" w:vAnchor="text" w:hAnchor="text" w:xAlign="center" w:y="1"/>
            </w:pPr>
            <w:r>
              <w:t>91</w:t>
            </w:r>
          </w:p>
        </w:tc>
        <w:tc>
          <w:tcPr>
            <w:tcW w:w="567" w:type="dxa"/>
          </w:tcPr>
          <w:p w:rsidR="00220BE7" w:rsidRDefault="00220BE7">
            <w:pPr>
              <w:pStyle w:val="TableText"/>
              <w:framePr w:hSpace="181" w:wrap="notBeside" w:vAnchor="text" w:hAnchor="text" w:xAlign="center" w:y="1"/>
            </w:pPr>
            <w:r>
              <w:t>106</w:t>
            </w:r>
          </w:p>
        </w:tc>
        <w:tc>
          <w:tcPr>
            <w:tcW w:w="567" w:type="dxa"/>
          </w:tcPr>
          <w:p w:rsidR="00220BE7" w:rsidRDefault="00220BE7">
            <w:pPr>
              <w:pStyle w:val="TableText"/>
              <w:framePr w:hSpace="181" w:wrap="notBeside" w:vAnchor="text" w:hAnchor="text" w:xAlign="center" w:y="1"/>
            </w:pPr>
            <w:r>
              <w:t>126</w:t>
            </w:r>
          </w:p>
        </w:tc>
        <w:tc>
          <w:tcPr>
            <w:tcW w:w="567" w:type="dxa"/>
          </w:tcPr>
          <w:p w:rsidR="00220BE7" w:rsidRDefault="00220BE7">
            <w:pPr>
              <w:pStyle w:val="TableText"/>
              <w:framePr w:hSpace="181" w:wrap="notBeside" w:vAnchor="text" w:hAnchor="text" w:xAlign="center" w:y="1"/>
            </w:pPr>
            <w:r>
              <w:t>153</w:t>
            </w:r>
          </w:p>
        </w:tc>
        <w:tc>
          <w:tcPr>
            <w:tcW w:w="567" w:type="dxa"/>
          </w:tcPr>
          <w:p w:rsidR="00220BE7" w:rsidRDefault="00220BE7">
            <w:pPr>
              <w:pStyle w:val="TableText"/>
              <w:framePr w:hSpace="181" w:wrap="notBeside" w:vAnchor="text" w:hAnchor="text" w:xAlign="center" w:y="1"/>
            </w:pPr>
            <w:r>
              <w:t>190</w:t>
            </w:r>
          </w:p>
        </w:tc>
        <w:tc>
          <w:tcPr>
            <w:tcW w:w="567" w:type="dxa"/>
          </w:tcPr>
          <w:p w:rsidR="00220BE7" w:rsidRDefault="00220BE7">
            <w:pPr>
              <w:pStyle w:val="TableText"/>
              <w:framePr w:hSpace="181" w:wrap="notBeside" w:vAnchor="text" w:hAnchor="text" w:xAlign="center" w:y="1"/>
            </w:pPr>
            <w:r>
              <w:t>242</w:t>
            </w:r>
          </w:p>
        </w:tc>
        <w:tc>
          <w:tcPr>
            <w:tcW w:w="567" w:type="dxa"/>
          </w:tcPr>
          <w:p w:rsidR="00220BE7" w:rsidRDefault="00220BE7">
            <w:pPr>
              <w:pStyle w:val="TableText"/>
              <w:framePr w:hSpace="181" w:wrap="notBeside" w:vAnchor="text" w:hAnchor="text" w:xAlign="center" w:y="1"/>
            </w:pPr>
            <w:r>
              <w:t>319</w:t>
            </w:r>
          </w:p>
        </w:tc>
        <w:tc>
          <w:tcPr>
            <w:tcW w:w="567" w:type="dxa"/>
          </w:tcPr>
          <w:p w:rsidR="00220BE7" w:rsidRDefault="00220BE7">
            <w:pPr>
              <w:pStyle w:val="TableText"/>
              <w:framePr w:hSpace="181" w:wrap="notBeside" w:vAnchor="text" w:hAnchor="text" w:xAlign="center" w:y="1"/>
            </w:pPr>
            <w:r>
              <w:t>433</w:t>
            </w:r>
          </w:p>
        </w:tc>
      </w:tr>
      <w:tr w:rsidR="00220BE7">
        <w:trPr>
          <w:cantSplit/>
          <w:trHeight w:val="970"/>
          <w:jc w:val="center"/>
        </w:trPr>
        <w:tc>
          <w:tcPr>
            <w:tcW w:w="1418" w:type="dxa"/>
          </w:tcPr>
          <w:p w:rsidR="00220BE7" w:rsidRDefault="00220BE7">
            <w:pPr>
              <w:pStyle w:val="TableText"/>
              <w:framePr w:hSpace="181" w:wrap="notBeside" w:vAnchor="text" w:hAnchor="text" w:xAlign="center" w:y="1"/>
              <w:jc w:val="left"/>
            </w:pPr>
            <w:r>
              <w:t>Coordination</w:t>
            </w:r>
            <w:r>
              <w:br/>
              <w:t>distance (measured from the nearest beam centre)</w:t>
            </w:r>
          </w:p>
        </w:tc>
        <w:tc>
          <w:tcPr>
            <w:tcW w:w="454" w:type="dxa"/>
          </w:tcPr>
          <w:p w:rsidR="00220BE7" w:rsidRDefault="00220BE7">
            <w:pPr>
              <w:pStyle w:val="TableText"/>
              <w:framePr w:hSpace="181" w:wrap="notBeside" w:vAnchor="text" w:hAnchor="text" w:xAlign="center" w:y="1"/>
            </w:pPr>
            <w:r>
              <w:t>19</w:t>
            </w:r>
          </w:p>
        </w:tc>
        <w:tc>
          <w:tcPr>
            <w:tcW w:w="454" w:type="dxa"/>
          </w:tcPr>
          <w:p w:rsidR="00220BE7" w:rsidRDefault="00220BE7">
            <w:pPr>
              <w:pStyle w:val="TableText"/>
              <w:framePr w:hSpace="181" w:wrap="notBeside" w:vAnchor="text" w:hAnchor="text" w:xAlign="center" w:y="1"/>
            </w:pPr>
            <w:r>
              <w:t>19</w:t>
            </w:r>
          </w:p>
        </w:tc>
        <w:tc>
          <w:tcPr>
            <w:tcW w:w="454" w:type="dxa"/>
          </w:tcPr>
          <w:p w:rsidR="00220BE7" w:rsidRDefault="00220BE7">
            <w:pPr>
              <w:pStyle w:val="TableText"/>
              <w:framePr w:hSpace="181" w:wrap="notBeside" w:vAnchor="text" w:hAnchor="text" w:xAlign="center" w:y="1"/>
            </w:pPr>
            <w:r>
              <w:t>19</w:t>
            </w:r>
          </w:p>
        </w:tc>
        <w:tc>
          <w:tcPr>
            <w:tcW w:w="454" w:type="dxa"/>
          </w:tcPr>
          <w:p w:rsidR="00220BE7" w:rsidRDefault="00220BE7">
            <w:pPr>
              <w:pStyle w:val="TableText"/>
              <w:framePr w:hSpace="181" w:wrap="notBeside" w:vAnchor="text" w:hAnchor="text" w:xAlign="center" w:y="1"/>
            </w:pPr>
            <w:r>
              <w:t>19</w:t>
            </w:r>
          </w:p>
        </w:tc>
        <w:tc>
          <w:tcPr>
            <w:tcW w:w="454" w:type="dxa"/>
          </w:tcPr>
          <w:p w:rsidR="00220BE7" w:rsidRDefault="00220BE7">
            <w:pPr>
              <w:pStyle w:val="TableText"/>
              <w:framePr w:hSpace="181" w:wrap="notBeside" w:vAnchor="text" w:hAnchor="text" w:xAlign="center" w:y="1"/>
            </w:pPr>
            <w:r>
              <w:t>20</w:t>
            </w:r>
          </w:p>
        </w:tc>
        <w:tc>
          <w:tcPr>
            <w:tcW w:w="454" w:type="dxa"/>
          </w:tcPr>
          <w:p w:rsidR="00220BE7" w:rsidRDefault="00220BE7">
            <w:pPr>
              <w:pStyle w:val="TableText"/>
              <w:framePr w:hSpace="181" w:wrap="notBeside" w:vAnchor="text" w:hAnchor="text" w:xAlign="center" w:y="1"/>
            </w:pPr>
            <w:r>
              <w:t>21</w:t>
            </w:r>
          </w:p>
        </w:tc>
        <w:tc>
          <w:tcPr>
            <w:tcW w:w="454" w:type="dxa"/>
          </w:tcPr>
          <w:p w:rsidR="00220BE7" w:rsidRDefault="00220BE7">
            <w:pPr>
              <w:pStyle w:val="TableText"/>
              <w:framePr w:hSpace="181" w:wrap="notBeside" w:vAnchor="text" w:hAnchor="text" w:xAlign="center" w:y="1"/>
            </w:pPr>
            <w:r>
              <w:t>22</w:t>
            </w:r>
          </w:p>
        </w:tc>
        <w:tc>
          <w:tcPr>
            <w:tcW w:w="454" w:type="dxa"/>
          </w:tcPr>
          <w:p w:rsidR="00220BE7" w:rsidRDefault="00220BE7">
            <w:pPr>
              <w:pStyle w:val="TableText"/>
              <w:framePr w:hSpace="181" w:wrap="notBeside" w:vAnchor="text" w:hAnchor="text" w:xAlign="center" w:y="1"/>
            </w:pPr>
            <w:r>
              <w:t>26</w:t>
            </w:r>
          </w:p>
        </w:tc>
        <w:tc>
          <w:tcPr>
            <w:tcW w:w="454" w:type="dxa"/>
          </w:tcPr>
          <w:p w:rsidR="00220BE7" w:rsidRDefault="00220BE7">
            <w:pPr>
              <w:pStyle w:val="TableText"/>
              <w:framePr w:hSpace="181" w:wrap="notBeside" w:vAnchor="text" w:hAnchor="text" w:xAlign="center" w:y="1"/>
            </w:pPr>
            <w:r>
              <w:t>26</w:t>
            </w:r>
          </w:p>
        </w:tc>
        <w:tc>
          <w:tcPr>
            <w:tcW w:w="454" w:type="dxa"/>
          </w:tcPr>
          <w:p w:rsidR="00220BE7" w:rsidRDefault="00220BE7">
            <w:pPr>
              <w:pStyle w:val="TableText"/>
              <w:framePr w:hSpace="181" w:wrap="notBeside" w:vAnchor="text" w:hAnchor="text" w:xAlign="center" w:y="1"/>
            </w:pPr>
            <w:r>
              <w:t>30</w:t>
            </w:r>
          </w:p>
        </w:tc>
        <w:tc>
          <w:tcPr>
            <w:tcW w:w="454" w:type="dxa"/>
          </w:tcPr>
          <w:p w:rsidR="00220BE7" w:rsidRDefault="00220BE7">
            <w:pPr>
              <w:pStyle w:val="TableText"/>
              <w:framePr w:hSpace="181" w:wrap="notBeside" w:vAnchor="text" w:hAnchor="text" w:xAlign="center" w:y="1"/>
            </w:pPr>
            <w:r>
              <w:t>36</w:t>
            </w:r>
          </w:p>
        </w:tc>
        <w:tc>
          <w:tcPr>
            <w:tcW w:w="567" w:type="dxa"/>
          </w:tcPr>
          <w:p w:rsidR="00220BE7" w:rsidRDefault="00220BE7">
            <w:pPr>
              <w:pStyle w:val="TableText"/>
              <w:framePr w:hSpace="181" w:wrap="notBeside" w:vAnchor="text" w:hAnchor="text" w:xAlign="center" w:y="1"/>
            </w:pPr>
            <w:r>
              <w:t> </w:t>
            </w:r>
            <w:r>
              <w:t>44</w:t>
            </w:r>
          </w:p>
        </w:tc>
        <w:tc>
          <w:tcPr>
            <w:tcW w:w="567" w:type="dxa"/>
          </w:tcPr>
          <w:p w:rsidR="00220BE7" w:rsidRDefault="00220BE7">
            <w:pPr>
              <w:pStyle w:val="TableText"/>
              <w:framePr w:hSpace="181" w:wrap="notBeside" w:vAnchor="text" w:hAnchor="text" w:xAlign="center" w:y="1"/>
            </w:pPr>
            <w:r>
              <w:t> </w:t>
            </w:r>
            <w:r>
              <w:t>56</w:t>
            </w:r>
          </w:p>
        </w:tc>
        <w:tc>
          <w:tcPr>
            <w:tcW w:w="567" w:type="dxa"/>
          </w:tcPr>
          <w:p w:rsidR="00220BE7" w:rsidRDefault="00220BE7">
            <w:pPr>
              <w:pStyle w:val="TableText"/>
              <w:framePr w:hSpace="181" w:wrap="notBeside" w:vAnchor="text" w:hAnchor="text" w:xAlign="center" w:y="1"/>
            </w:pPr>
            <w:r>
              <w:t> </w:t>
            </w:r>
            <w:r>
              <w:t>75</w:t>
            </w:r>
          </w:p>
        </w:tc>
        <w:tc>
          <w:tcPr>
            <w:tcW w:w="567" w:type="dxa"/>
          </w:tcPr>
          <w:p w:rsidR="00220BE7" w:rsidRDefault="00220BE7">
            <w:pPr>
              <w:pStyle w:val="TableText"/>
              <w:framePr w:hSpace="181" w:wrap="notBeside" w:vAnchor="text" w:hAnchor="text" w:xAlign="center" w:y="1"/>
            </w:pPr>
            <w:r>
              <w:t>103</w:t>
            </w:r>
          </w:p>
        </w:tc>
        <w:tc>
          <w:tcPr>
            <w:tcW w:w="567" w:type="dxa"/>
          </w:tcPr>
          <w:p w:rsidR="00220BE7" w:rsidRDefault="00220BE7">
            <w:pPr>
              <w:pStyle w:val="TableText"/>
              <w:framePr w:hSpace="181" w:wrap="notBeside" w:vAnchor="text" w:hAnchor="text" w:xAlign="center" w:y="1"/>
            </w:pPr>
            <w:r>
              <w:t>145</w:t>
            </w:r>
          </w:p>
        </w:tc>
        <w:tc>
          <w:tcPr>
            <w:tcW w:w="567" w:type="dxa"/>
          </w:tcPr>
          <w:p w:rsidR="00220BE7" w:rsidRDefault="00220BE7">
            <w:pPr>
              <w:pStyle w:val="TableText"/>
              <w:framePr w:hSpace="181" w:wrap="notBeside" w:vAnchor="text" w:hAnchor="text" w:xAlign="center" w:y="1"/>
            </w:pPr>
            <w:r>
              <w:t>212</w:t>
            </w:r>
          </w:p>
        </w:tc>
        <w:tc>
          <w:tcPr>
            <w:tcW w:w="567" w:type="dxa"/>
          </w:tcPr>
          <w:p w:rsidR="00220BE7" w:rsidRDefault="00220BE7">
            <w:pPr>
              <w:pStyle w:val="TableText"/>
              <w:framePr w:hSpace="181" w:wrap="notBeside" w:vAnchor="text" w:hAnchor="text" w:xAlign="center" w:y="1"/>
            </w:pPr>
            <w:r>
              <w:t>314</w:t>
            </w:r>
          </w:p>
        </w:tc>
      </w:tr>
    </w:tbl>
    <w:p w:rsidR="00220BE7" w:rsidRDefault="00220BE7">
      <w:pPr>
        <w:pStyle w:val="Tablefin"/>
      </w:pPr>
    </w:p>
    <w:p w:rsidR="00220BE7" w:rsidRDefault="00220BE7">
      <w:pPr>
        <w:rPr>
          <w:lang w:val="es-ES_tradnl"/>
        </w:rPr>
      </w:pPr>
      <w:r>
        <w:rPr>
          <w:lang w:val="es-ES_tradnl"/>
        </w:rPr>
        <w:br w:type="page"/>
      </w:r>
      <w:r>
        <w:lastRenderedPageBreak/>
        <w:t xml:space="preserve">If the number of beams of the interfering HAPS system is different from 700, or if the permissible interference criterion is different from the </w:t>
      </w:r>
      <w:r>
        <w:rPr>
          <w:i/>
          <w:iCs/>
        </w:rPr>
        <w:t>I</w:t>
      </w:r>
      <w:r>
        <w:t>/</w:t>
      </w:r>
      <w:r>
        <w:rPr>
          <w:i/>
          <w:iCs/>
        </w:rPr>
        <w:t>N</w:t>
      </w:r>
      <w:r>
        <w:t xml:space="preserve"> </w:t>
      </w:r>
      <w:r>
        <w:rPr>
          <w:rFonts w:ascii="Symbol" w:hAnsi="Symbol"/>
        </w:rPr>
        <w:t></w:t>
      </w:r>
      <w:r>
        <w:t xml:space="preserve"> –</w:t>
      </w:r>
      <w:r>
        <w:rPr>
          <w:sz w:val="4"/>
          <w:lang w:val="es-ES_tradnl"/>
        </w:rPr>
        <w:t> </w:t>
      </w:r>
      <w:r>
        <w:t>10 dB used above, then equation (22) should be used for the determination of the minimum coordination distance.</w:t>
      </w:r>
    </w:p>
    <w:p w:rsidR="00220BE7" w:rsidRDefault="00220BE7">
      <w:pPr>
        <w:pStyle w:val="Heading2"/>
      </w:pPr>
      <w:r>
        <w:t>2.3</w:t>
      </w:r>
      <w:r>
        <w:tab/>
        <w:t>Interference from HAPS using IMT-2000 TDMA format into IMT-2000 mobile stations</w:t>
      </w:r>
    </w:p>
    <w:p w:rsidR="00220BE7" w:rsidRDefault="00220BE7">
      <w:pPr>
        <w:rPr>
          <w:lang w:val="es-ES_tradnl"/>
        </w:rPr>
      </w:pPr>
      <w:r>
        <w:t>It is clear from Fig. 2 that such sharing is entirely feasible for smaller radius HAPS coverage. Even for a main coverage radius of 62 km, a victim tower-based system can provide the IMT-2000 service in the same frequency band provided that its coverage area is at least 50 km from the nearest HAPS main beam. Fig. 8 shows the relationship between the coordination distance and the HAPS coverage radius, and Fig. 9 shows the distance between the coordination boundary and the nadir of HAPS as a function of HAPS coverage radius. The results in Fig. 9 are summarized in Table 2.</w:t>
      </w:r>
    </w:p>
    <w:p w:rsidR="00220BE7" w:rsidRDefault="00220BE7">
      <w:pPr>
        <w:rPr>
          <w:lang w:val="es-ES_tradnl"/>
        </w:rPr>
      </w:pPr>
    </w:p>
    <w:p w:rsidR="00220BE7" w:rsidRDefault="00220BE7">
      <w:pPr>
        <w:rPr>
          <w:lang w:val="es-ES_tradnl"/>
        </w:rPr>
      </w:pPr>
    </w:p>
    <w:p w:rsidR="00220BE7" w:rsidRDefault="00737A63">
      <w:pPr>
        <w:pStyle w:val="Fig"/>
        <w:rPr>
          <w:lang w:val="fr-FR"/>
        </w:rPr>
      </w:pPr>
      <w:r>
        <w:rPr>
          <w:noProof/>
          <w:lang w:eastAsia="zh-CN"/>
        </w:rPr>
        <w:drawing>
          <wp:inline distT="0" distB="0" distL="0" distR="0">
            <wp:extent cx="5928360" cy="5067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28360" cy="5067300"/>
                    </a:xfrm>
                    <a:prstGeom prst="rect">
                      <a:avLst/>
                    </a:prstGeom>
                    <a:noFill/>
                    <a:ln>
                      <a:noFill/>
                    </a:ln>
                  </pic:spPr>
                </pic:pic>
              </a:graphicData>
            </a:graphic>
          </wp:inline>
        </w:drawing>
      </w:r>
    </w:p>
    <w:p w:rsidR="00220BE7" w:rsidRDefault="00220BE7">
      <w:pPr>
        <w:rPr>
          <w:lang w:val="es-ES_tradnl"/>
        </w:rPr>
      </w:pPr>
    </w:p>
    <w:p w:rsidR="00220BE7" w:rsidRDefault="00220BE7">
      <w:pPr>
        <w:pStyle w:val="Fig"/>
        <w:rPr>
          <w:lang w:val="fr-FR"/>
        </w:rPr>
      </w:pPr>
      <w:r>
        <w:rPr>
          <w:lang w:val="fr-FR"/>
        </w:rPr>
        <w:br w:type="page"/>
      </w:r>
      <w:r w:rsidR="00737A63">
        <w:rPr>
          <w:noProof/>
          <w:lang w:eastAsia="zh-CN"/>
        </w:rPr>
        <w:lastRenderedPageBreak/>
        <w:drawing>
          <wp:inline distT="0" distB="0" distL="0" distR="0">
            <wp:extent cx="5989320" cy="49301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89320" cy="4930140"/>
                    </a:xfrm>
                    <a:prstGeom prst="rect">
                      <a:avLst/>
                    </a:prstGeom>
                    <a:noFill/>
                    <a:ln>
                      <a:noFill/>
                    </a:ln>
                  </pic:spPr>
                </pic:pic>
              </a:graphicData>
            </a:graphic>
          </wp:inline>
        </w:drawing>
      </w:r>
    </w:p>
    <w:p w:rsidR="00220BE7" w:rsidRDefault="00220BE7">
      <w:pPr>
        <w:rPr>
          <w:lang w:val="es-ES_tradnl"/>
        </w:rPr>
      </w:pPr>
    </w:p>
    <w:p w:rsidR="00220BE7" w:rsidRDefault="00220BE7">
      <w:pPr>
        <w:rPr>
          <w:lang w:val="es-ES_tradnl"/>
        </w:rPr>
      </w:pPr>
    </w:p>
    <w:p w:rsidR="00220BE7" w:rsidRDefault="00220BE7">
      <w:pPr>
        <w:rPr>
          <w:lang w:val="es-ES_tradnl"/>
        </w:rPr>
      </w:pPr>
    </w:p>
    <w:p w:rsidR="00220BE7" w:rsidRDefault="00220BE7">
      <w:pPr>
        <w:pStyle w:val="Table"/>
      </w:pPr>
      <w:r>
        <w:t>TABLE  2</w:t>
      </w:r>
    </w:p>
    <w:p w:rsidR="00220BE7" w:rsidRDefault="00220BE7">
      <w:pPr>
        <w:pStyle w:val="TableTitle"/>
      </w:pPr>
      <w:r>
        <w:t xml:space="preserve">Coordination distances (km) for different radius of coverage (km) </w:t>
      </w:r>
      <w:r>
        <w:br/>
        <w:t>using e</w:t>
      </w:r>
      <w:r>
        <w:rPr>
          <w:lang w:val="en-US"/>
        </w:rPr>
        <w:t>quation (22)</w:t>
      </w:r>
      <w:r>
        <w:t xml:space="preserve"> (HAPS using TDMA format)</w:t>
      </w:r>
    </w:p>
    <w:p w:rsidR="00220BE7" w:rsidRDefault="00220BE7">
      <w:pPr>
        <w:pStyle w:val="Blanc"/>
      </w:pPr>
    </w:p>
    <w:tbl>
      <w:tblPr>
        <w:tblW w:w="96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80"/>
        <w:gridCol w:w="428"/>
        <w:gridCol w:w="428"/>
        <w:gridCol w:w="428"/>
        <w:gridCol w:w="428"/>
        <w:gridCol w:w="428"/>
        <w:gridCol w:w="428"/>
        <w:gridCol w:w="429"/>
        <w:gridCol w:w="429"/>
        <w:gridCol w:w="429"/>
        <w:gridCol w:w="429"/>
        <w:gridCol w:w="429"/>
        <w:gridCol w:w="529"/>
        <w:gridCol w:w="529"/>
        <w:gridCol w:w="529"/>
        <w:gridCol w:w="529"/>
        <w:gridCol w:w="529"/>
        <w:gridCol w:w="529"/>
        <w:gridCol w:w="529"/>
      </w:tblGrid>
      <w:tr w:rsidR="00220BE7">
        <w:trPr>
          <w:cantSplit/>
          <w:jc w:val="center"/>
        </w:trPr>
        <w:tc>
          <w:tcPr>
            <w:tcW w:w="1418" w:type="dxa"/>
          </w:tcPr>
          <w:p w:rsidR="00220BE7" w:rsidRDefault="00220BE7">
            <w:pPr>
              <w:pStyle w:val="TableText"/>
              <w:framePr w:hSpace="181" w:wrap="notBeside" w:vAnchor="text" w:hAnchor="text" w:xAlign="center" w:y="1"/>
              <w:jc w:val="left"/>
            </w:pPr>
            <w:r>
              <w:t>Radius</w:t>
            </w:r>
            <w:r>
              <w:br/>
              <w:t>of coverage</w:t>
            </w:r>
          </w:p>
        </w:tc>
        <w:tc>
          <w:tcPr>
            <w:tcW w:w="454" w:type="dxa"/>
          </w:tcPr>
          <w:p w:rsidR="00220BE7" w:rsidRDefault="00220BE7">
            <w:pPr>
              <w:pStyle w:val="TableText"/>
              <w:framePr w:hSpace="181" w:wrap="notBeside" w:vAnchor="text" w:hAnchor="text" w:xAlign="center" w:y="1"/>
            </w:pPr>
            <w:r>
              <w:t> </w:t>
            </w:r>
            <w:r>
              <w:t>8</w:t>
            </w:r>
          </w:p>
        </w:tc>
        <w:tc>
          <w:tcPr>
            <w:tcW w:w="454" w:type="dxa"/>
          </w:tcPr>
          <w:p w:rsidR="00220BE7" w:rsidRDefault="00220BE7">
            <w:pPr>
              <w:pStyle w:val="TableText"/>
              <w:framePr w:hSpace="181" w:wrap="notBeside" w:vAnchor="text" w:hAnchor="text" w:xAlign="center" w:y="1"/>
            </w:pPr>
            <w:r>
              <w:t>11</w:t>
            </w:r>
          </w:p>
        </w:tc>
        <w:tc>
          <w:tcPr>
            <w:tcW w:w="454" w:type="dxa"/>
          </w:tcPr>
          <w:p w:rsidR="00220BE7" w:rsidRDefault="00220BE7">
            <w:pPr>
              <w:pStyle w:val="TableText"/>
              <w:framePr w:hSpace="181" w:wrap="notBeside" w:vAnchor="text" w:hAnchor="text" w:xAlign="center" w:y="1"/>
            </w:pPr>
            <w:r>
              <w:t>15</w:t>
            </w:r>
          </w:p>
        </w:tc>
        <w:tc>
          <w:tcPr>
            <w:tcW w:w="454" w:type="dxa"/>
          </w:tcPr>
          <w:p w:rsidR="00220BE7" w:rsidRDefault="00220BE7">
            <w:pPr>
              <w:pStyle w:val="TableText"/>
              <w:framePr w:hSpace="181" w:wrap="notBeside" w:vAnchor="text" w:hAnchor="text" w:xAlign="center" w:y="1"/>
            </w:pPr>
            <w:r>
              <w:t>19</w:t>
            </w:r>
          </w:p>
        </w:tc>
        <w:tc>
          <w:tcPr>
            <w:tcW w:w="454" w:type="dxa"/>
          </w:tcPr>
          <w:p w:rsidR="00220BE7" w:rsidRDefault="00220BE7">
            <w:pPr>
              <w:pStyle w:val="TableText"/>
              <w:framePr w:hSpace="181" w:wrap="notBeside" w:vAnchor="text" w:hAnchor="text" w:xAlign="center" w:y="1"/>
            </w:pPr>
            <w:r>
              <w:t>23</w:t>
            </w:r>
          </w:p>
        </w:tc>
        <w:tc>
          <w:tcPr>
            <w:tcW w:w="454" w:type="dxa"/>
          </w:tcPr>
          <w:p w:rsidR="00220BE7" w:rsidRDefault="00220BE7">
            <w:pPr>
              <w:pStyle w:val="TableText"/>
              <w:framePr w:hSpace="181" w:wrap="notBeside" w:vAnchor="text" w:hAnchor="text" w:xAlign="center" w:y="1"/>
            </w:pPr>
            <w:r>
              <w:t>27</w:t>
            </w:r>
          </w:p>
        </w:tc>
        <w:tc>
          <w:tcPr>
            <w:tcW w:w="454" w:type="dxa"/>
          </w:tcPr>
          <w:p w:rsidR="00220BE7" w:rsidRDefault="00220BE7">
            <w:pPr>
              <w:pStyle w:val="TableText"/>
              <w:framePr w:hSpace="181" w:wrap="notBeside" w:vAnchor="text" w:hAnchor="text" w:xAlign="center" w:y="1"/>
            </w:pPr>
            <w:r>
              <w:t>32</w:t>
            </w:r>
          </w:p>
        </w:tc>
        <w:tc>
          <w:tcPr>
            <w:tcW w:w="454" w:type="dxa"/>
          </w:tcPr>
          <w:p w:rsidR="00220BE7" w:rsidRDefault="00220BE7">
            <w:pPr>
              <w:pStyle w:val="TableText"/>
              <w:framePr w:hSpace="181" w:wrap="notBeside" w:vAnchor="text" w:hAnchor="text" w:xAlign="center" w:y="1"/>
            </w:pPr>
            <w:r>
              <w:t>37</w:t>
            </w:r>
          </w:p>
        </w:tc>
        <w:tc>
          <w:tcPr>
            <w:tcW w:w="454" w:type="dxa"/>
          </w:tcPr>
          <w:p w:rsidR="00220BE7" w:rsidRDefault="00220BE7">
            <w:pPr>
              <w:pStyle w:val="TableText"/>
              <w:framePr w:hSpace="181" w:wrap="notBeside" w:vAnchor="text" w:hAnchor="text" w:xAlign="center" w:y="1"/>
            </w:pPr>
            <w:r>
              <w:t>43</w:t>
            </w:r>
          </w:p>
        </w:tc>
        <w:tc>
          <w:tcPr>
            <w:tcW w:w="454" w:type="dxa"/>
          </w:tcPr>
          <w:p w:rsidR="00220BE7" w:rsidRDefault="00220BE7">
            <w:pPr>
              <w:pStyle w:val="TableText"/>
              <w:framePr w:hSpace="181" w:wrap="notBeside" w:vAnchor="text" w:hAnchor="text" w:xAlign="center" w:y="1"/>
            </w:pPr>
            <w:r>
              <w:t>49</w:t>
            </w:r>
          </w:p>
        </w:tc>
        <w:tc>
          <w:tcPr>
            <w:tcW w:w="454" w:type="dxa"/>
          </w:tcPr>
          <w:p w:rsidR="00220BE7" w:rsidRDefault="00220BE7">
            <w:pPr>
              <w:pStyle w:val="TableText"/>
              <w:framePr w:hSpace="181" w:wrap="notBeside" w:vAnchor="text" w:hAnchor="text" w:xAlign="center" w:y="1"/>
            </w:pPr>
            <w:r>
              <w:t>55</w:t>
            </w:r>
          </w:p>
        </w:tc>
        <w:tc>
          <w:tcPr>
            <w:tcW w:w="567" w:type="dxa"/>
          </w:tcPr>
          <w:p w:rsidR="00220BE7" w:rsidRDefault="00220BE7">
            <w:pPr>
              <w:pStyle w:val="TableText"/>
              <w:framePr w:hSpace="181" w:wrap="notBeside" w:vAnchor="text" w:hAnchor="text" w:xAlign="center" w:y="1"/>
            </w:pPr>
            <w:r>
              <w:t> </w:t>
            </w:r>
            <w:r>
              <w:t>62</w:t>
            </w:r>
          </w:p>
        </w:tc>
        <w:tc>
          <w:tcPr>
            <w:tcW w:w="567" w:type="dxa"/>
          </w:tcPr>
          <w:p w:rsidR="00220BE7" w:rsidRDefault="00220BE7">
            <w:pPr>
              <w:pStyle w:val="TableText"/>
              <w:framePr w:hSpace="181" w:wrap="notBeside" w:vAnchor="text" w:hAnchor="text" w:xAlign="center" w:y="1"/>
            </w:pPr>
            <w:r>
              <w:t> </w:t>
            </w:r>
            <w:r>
              <w:t>70</w:t>
            </w:r>
          </w:p>
        </w:tc>
        <w:tc>
          <w:tcPr>
            <w:tcW w:w="567" w:type="dxa"/>
          </w:tcPr>
          <w:p w:rsidR="00220BE7" w:rsidRDefault="00220BE7">
            <w:pPr>
              <w:pStyle w:val="TableText"/>
              <w:framePr w:hSpace="181" w:wrap="notBeside" w:vAnchor="text" w:hAnchor="text" w:xAlign="center" w:y="1"/>
            </w:pPr>
            <w:r>
              <w:t> </w:t>
            </w:r>
            <w:r>
              <w:t>78</w:t>
            </w:r>
          </w:p>
        </w:tc>
        <w:tc>
          <w:tcPr>
            <w:tcW w:w="567" w:type="dxa"/>
          </w:tcPr>
          <w:p w:rsidR="00220BE7" w:rsidRDefault="00220BE7">
            <w:pPr>
              <w:pStyle w:val="TableText"/>
              <w:framePr w:hSpace="181" w:wrap="notBeside" w:vAnchor="text" w:hAnchor="text" w:xAlign="center" w:y="1"/>
            </w:pPr>
            <w:r>
              <w:t> </w:t>
            </w:r>
            <w:r>
              <w:t>87</w:t>
            </w:r>
          </w:p>
        </w:tc>
        <w:tc>
          <w:tcPr>
            <w:tcW w:w="567" w:type="dxa"/>
          </w:tcPr>
          <w:p w:rsidR="00220BE7" w:rsidRDefault="00220BE7">
            <w:pPr>
              <w:pStyle w:val="TableText"/>
              <w:framePr w:hSpace="181" w:wrap="notBeside" w:vAnchor="text" w:hAnchor="text" w:xAlign="center" w:y="1"/>
            </w:pPr>
            <w:r>
              <w:t> </w:t>
            </w:r>
            <w:r>
              <w:t>97</w:t>
            </w:r>
          </w:p>
        </w:tc>
        <w:tc>
          <w:tcPr>
            <w:tcW w:w="567" w:type="dxa"/>
          </w:tcPr>
          <w:p w:rsidR="00220BE7" w:rsidRDefault="00220BE7">
            <w:pPr>
              <w:pStyle w:val="TableText"/>
              <w:framePr w:hSpace="181" w:wrap="notBeside" w:vAnchor="text" w:hAnchor="text" w:xAlign="center" w:y="1"/>
            </w:pPr>
            <w:r>
              <w:t>107</w:t>
            </w:r>
          </w:p>
        </w:tc>
        <w:tc>
          <w:tcPr>
            <w:tcW w:w="567" w:type="dxa"/>
          </w:tcPr>
          <w:p w:rsidR="00220BE7" w:rsidRDefault="00220BE7">
            <w:pPr>
              <w:pStyle w:val="TableText"/>
              <w:framePr w:hSpace="181" w:wrap="notBeside" w:vAnchor="text" w:hAnchor="text" w:xAlign="center" w:y="1"/>
            </w:pPr>
            <w:r>
              <w:t>119</w:t>
            </w:r>
          </w:p>
        </w:tc>
      </w:tr>
      <w:tr w:rsidR="00220BE7">
        <w:trPr>
          <w:cantSplit/>
          <w:trHeight w:val="970"/>
          <w:jc w:val="center"/>
        </w:trPr>
        <w:tc>
          <w:tcPr>
            <w:tcW w:w="1418" w:type="dxa"/>
          </w:tcPr>
          <w:p w:rsidR="00220BE7" w:rsidRDefault="00220BE7">
            <w:pPr>
              <w:pStyle w:val="TableText"/>
              <w:framePr w:hSpace="181" w:wrap="notBeside" w:vAnchor="text" w:hAnchor="text" w:xAlign="center" w:y="1"/>
              <w:jc w:val="left"/>
            </w:pPr>
            <w:r>
              <w:t>Coordination</w:t>
            </w:r>
            <w:r>
              <w:br/>
              <w:t>distance (measured from nadir)</w:t>
            </w:r>
          </w:p>
        </w:tc>
        <w:tc>
          <w:tcPr>
            <w:tcW w:w="454" w:type="dxa"/>
          </w:tcPr>
          <w:p w:rsidR="00220BE7" w:rsidRDefault="00220BE7">
            <w:pPr>
              <w:pStyle w:val="TableText"/>
              <w:framePr w:hSpace="181" w:wrap="notBeside" w:vAnchor="text" w:hAnchor="text" w:xAlign="center" w:y="1"/>
            </w:pPr>
            <w:r>
              <w:t>34</w:t>
            </w:r>
          </w:p>
        </w:tc>
        <w:tc>
          <w:tcPr>
            <w:tcW w:w="454" w:type="dxa"/>
          </w:tcPr>
          <w:p w:rsidR="00220BE7" w:rsidRDefault="00220BE7">
            <w:pPr>
              <w:pStyle w:val="TableText"/>
              <w:framePr w:hSpace="181" w:wrap="notBeside" w:vAnchor="text" w:hAnchor="text" w:xAlign="center" w:y="1"/>
            </w:pPr>
            <w:r>
              <w:t>38</w:t>
            </w:r>
          </w:p>
        </w:tc>
        <w:tc>
          <w:tcPr>
            <w:tcW w:w="454" w:type="dxa"/>
          </w:tcPr>
          <w:p w:rsidR="00220BE7" w:rsidRDefault="00220BE7">
            <w:pPr>
              <w:pStyle w:val="TableText"/>
              <w:framePr w:hSpace="181" w:wrap="notBeside" w:vAnchor="text" w:hAnchor="text" w:xAlign="center" w:y="1"/>
            </w:pPr>
            <w:r>
              <w:t>41</w:t>
            </w:r>
          </w:p>
        </w:tc>
        <w:tc>
          <w:tcPr>
            <w:tcW w:w="454" w:type="dxa"/>
          </w:tcPr>
          <w:p w:rsidR="00220BE7" w:rsidRDefault="00220BE7">
            <w:pPr>
              <w:pStyle w:val="TableText"/>
              <w:framePr w:hSpace="181" w:wrap="notBeside" w:vAnchor="text" w:hAnchor="text" w:xAlign="center" w:y="1"/>
            </w:pPr>
            <w:r>
              <w:t>45</w:t>
            </w:r>
          </w:p>
        </w:tc>
        <w:tc>
          <w:tcPr>
            <w:tcW w:w="454" w:type="dxa"/>
          </w:tcPr>
          <w:p w:rsidR="00220BE7" w:rsidRDefault="00220BE7">
            <w:pPr>
              <w:pStyle w:val="TableText"/>
              <w:framePr w:hSpace="181" w:wrap="notBeside" w:vAnchor="text" w:hAnchor="text" w:xAlign="center" w:y="1"/>
            </w:pPr>
            <w:r>
              <w:t>50</w:t>
            </w:r>
          </w:p>
        </w:tc>
        <w:tc>
          <w:tcPr>
            <w:tcW w:w="454" w:type="dxa"/>
          </w:tcPr>
          <w:p w:rsidR="00220BE7" w:rsidRDefault="00220BE7">
            <w:pPr>
              <w:pStyle w:val="TableText"/>
              <w:framePr w:hSpace="181" w:wrap="notBeside" w:vAnchor="text" w:hAnchor="text" w:xAlign="center" w:y="1"/>
            </w:pPr>
            <w:r>
              <w:t>55</w:t>
            </w:r>
          </w:p>
        </w:tc>
        <w:tc>
          <w:tcPr>
            <w:tcW w:w="454" w:type="dxa"/>
          </w:tcPr>
          <w:p w:rsidR="00220BE7" w:rsidRDefault="00220BE7">
            <w:pPr>
              <w:pStyle w:val="TableText"/>
              <w:framePr w:hSpace="181" w:wrap="notBeside" w:vAnchor="text" w:hAnchor="text" w:xAlign="center" w:y="1"/>
            </w:pPr>
            <w:r>
              <w:t>61</w:t>
            </w:r>
          </w:p>
        </w:tc>
        <w:tc>
          <w:tcPr>
            <w:tcW w:w="454" w:type="dxa"/>
          </w:tcPr>
          <w:p w:rsidR="00220BE7" w:rsidRDefault="00220BE7">
            <w:pPr>
              <w:pStyle w:val="TableText"/>
              <w:framePr w:hSpace="181" w:wrap="notBeside" w:vAnchor="text" w:hAnchor="text" w:xAlign="center" w:y="1"/>
            </w:pPr>
            <w:r>
              <w:t>68</w:t>
            </w:r>
          </w:p>
        </w:tc>
        <w:tc>
          <w:tcPr>
            <w:tcW w:w="454" w:type="dxa"/>
          </w:tcPr>
          <w:p w:rsidR="00220BE7" w:rsidRDefault="00220BE7">
            <w:pPr>
              <w:pStyle w:val="TableText"/>
              <w:framePr w:hSpace="181" w:wrap="notBeside" w:vAnchor="text" w:hAnchor="text" w:xAlign="center" w:y="1"/>
            </w:pPr>
            <w:r>
              <w:t>76</w:t>
            </w:r>
          </w:p>
        </w:tc>
        <w:tc>
          <w:tcPr>
            <w:tcW w:w="454" w:type="dxa"/>
          </w:tcPr>
          <w:p w:rsidR="00220BE7" w:rsidRDefault="00220BE7">
            <w:pPr>
              <w:pStyle w:val="TableText"/>
              <w:framePr w:hSpace="181" w:wrap="notBeside" w:vAnchor="text" w:hAnchor="text" w:xAlign="center" w:y="1"/>
            </w:pPr>
            <w:r>
              <w:t>86</w:t>
            </w:r>
          </w:p>
        </w:tc>
        <w:tc>
          <w:tcPr>
            <w:tcW w:w="454" w:type="dxa"/>
          </w:tcPr>
          <w:p w:rsidR="00220BE7" w:rsidRDefault="00220BE7">
            <w:pPr>
              <w:pStyle w:val="TableText"/>
              <w:framePr w:hSpace="181" w:wrap="notBeside" w:vAnchor="text" w:hAnchor="text" w:xAlign="center" w:y="1"/>
            </w:pPr>
            <w:r>
              <w:t>98</w:t>
            </w:r>
          </w:p>
        </w:tc>
        <w:tc>
          <w:tcPr>
            <w:tcW w:w="567" w:type="dxa"/>
          </w:tcPr>
          <w:p w:rsidR="00220BE7" w:rsidRDefault="00220BE7">
            <w:pPr>
              <w:pStyle w:val="TableText"/>
              <w:framePr w:hSpace="181" w:wrap="notBeside" w:vAnchor="text" w:hAnchor="text" w:xAlign="center" w:y="1"/>
            </w:pPr>
            <w:r>
              <w:t>114</w:t>
            </w:r>
          </w:p>
        </w:tc>
        <w:tc>
          <w:tcPr>
            <w:tcW w:w="567" w:type="dxa"/>
          </w:tcPr>
          <w:p w:rsidR="00220BE7" w:rsidRDefault="00220BE7">
            <w:pPr>
              <w:pStyle w:val="TableText"/>
              <w:framePr w:hSpace="181" w:wrap="notBeside" w:vAnchor="text" w:hAnchor="text" w:xAlign="center" w:y="1"/>
            </w:pPr>
            <w:r>
              <w:t>136</w:t>
            </w:r>
          </w:p>
        </w:tc>
        <w:tc>
          <w:tcPr>
            <w:tcW w:w="567" w:type="dxa"/>
          </w:tcPr>
          <w:p w:rsidR="00220BE7" w:rsidRDefault="00220BE7">
            <w:pPr>
              <w:pStyle w:val="TableText"/>
              <w:framePr w:hSpace="181" w:wrap="notBeside" w:vAnchor="text" w:hAnchor="text" w:xAlign="center" w:y="1"/>
            </w:pPr>
            <w:r>
              <w:t>164</w:t>
            </w:r>
          </w:p>
        </w:tc>
        <w:tc>
          <w:tcPr>
            <w:tcW w:w="567" w:type="dxa"/>
          </w:tcPr>
          <w:p w:rsidR="00220BE7" w:rsidRDefault="00220BE7">
            <w:pPr>
              <w:pStyle w:val="TableText"/>
              <w:framePr w:hSpace="181" w:wrap="notBeside" w:vAnchor="text" w:hAnchor="text" w:xAlign="center" w:y="1"/>
            </w:pPr>
            <w:r>
              <w:t>205</w:t>
            </w:r>
          </w:p>
        </w:tc>
        <w:tc>
          <w:tcPr>
            <w:tcW w:w="567" w:type="dxa"/>
          </w:tcPr>
          <w:p w:rsidR="00220BE7" w:rsidRDefault="00220BE7">
            <w:pPr>
              <w:pStyle w:val="TableText"/>
              <w:framePr w:hSpace="181" w:wrap="notBeside" w:vAnchor="text" w:hAnchor="text" w:xAlign="center" w:y="1"/>
            </w:pPr>
            <w:r>
              <w:t>264</w:t>
            </w:r>
          </w:p>
        </w:tc>
        <w:tc>
          <w:tcPr>
            <w:tcW w:w="567" w:type="dxa"/>
          </w:tcPr>
          <w:p w:rsidR="00220BE7" w:rsidRDefault="00220BE7">
            <w:pPr>
              <w:pStyle w:val="TableText"/>
              <w:framePr w:hSpace="181" w:wrap="notBeside" w:vAnchor="text" w:hAnchor="text" w:xAlign="center" w:y="1"/>
            </w:pPr>
            <w:r>
              <w:t>353</w:t>
            </w:r>
          </w:p>
        </w:tc>
        <w:tc>
          <w:tcPr>
            <w:tcW w:w="567" w:type="dxa"/>
          </w:tcPr>
          <w:p w:rsidR="00220BE7" w:rsidRDefault="00220BE7">
            <w:pPr>
              <w:pStyle w:val="TableText"/>
              <w:framePr w:hSpace="181" w:wrap="notBeside" w:vAnchor="text" w:hAnchor="text" w:xAlign="center" w:y="1"/>
            </w:pPr>
            <w:r>
              <w:t>490</w:t>
            </w:r>
          </w:p>
        </w:tc>
      </w:tr>
      <w:tr w:rsidR="00220BE7">
        <w:trPr>
          <w:cantSplit/>
          <w:trHeight w:val="970"/>
          <w:jc w:val="center"/>
        </w:trPr>
        <w:tc>
          <w:tcPr>
            <w:tcW w:w="1418" w:type="dxa"/>
          </w:tcPr>
          <w:p w:rsidR="00220BE7" w:rsidRDefault="00220BE7">
            <w:pPr>
              <w:pStyle w:val="TableText"/>
              <w:framePr w:hSpace="181" w:wrap="notBeside" w:vAnchor="text" w:hAnchor="text" w:xAlign="center" w:y="1"/>
              <w:jc w:val="left"/>
            </w:pPr>
            <w:r>
              <w:t>Coordination</w:t>
            </w:r>
            <w:r>
              <w:br/>
              <w:t>distance (measured from the nearest beam centre)</w:t>
            </w:r>
          </w:p>
        </w:tc>
        <w:tc>
          <w:tcPr>
            <w:tcW w:w="454" w:type="dxa"/>
          </w:tcPr>
          <w:p w:rsidR="00220BE7" w:rsidRDefault="00220BE7">
            <w:pPr>
              <w:pStyle w:val="TableText"/>
              <w:framePr w:hSpace="181" w:wrap="notBeside" w:vAnchor="text" w:hAnchor="text" w:xAlign="center" w:y="1"/>
            </w:pPr>
            <w:r>
              <w:t>26</w:t>
            </w:r>
          </w:p>
        </w:tc>
        <w:tc>
          <w:tcPr>
            <w:tcW w:w="454" w:type="dxa"/>
          </w:tcPr>
          <w:p w:rsidR="00220BE7" w:rsidRDefault="00220BE7">
            <w:pPr>
              <w:pStyle w:val="TableText"/>
              <w:framePr w:hSpace="181" w:wrap="notBeside" w:vAnchor="text" w:hAnchor="text" w:xAlign="center" w:y="1"/>
            </w:pPr>
            <w:r>
              <w:t>26</w:t>
            </w:r>
          </w:p>
        </w:tc>
        <w:tc>
          <w:tcPr>
            <w:tcW w:w="454" w:type="dxa"/>
          </w:tcPr>
          <w:p w:rsidR="00220BE7" w:rsidRDefault="00220BE7">
            <w:pPr>
              <w:pStyle w:val="TableText"/>
              <w:framePr w:hSpace="181" w:wrap="notBeside" w:vAnchor="text" w:hAnchor="text" w:xAlign="center" w:y="1"/>
            </w:pPr>
            <w:r>
              <w:t>26</w:t>
            </w:r>
          </w:p>
        </w:tc>
        <w:tc>
          <w:tcPr>
            <w:tcW w:w="454" w:type="dxa"/>
          </w:tcPr>
          <w:p w:rsidR="00220BE7" w:rsidRDefault="00220BE7">
            <w:pPr>
              <w:pStyle w:val="TableText"/>
              <w:framePr w:hSpace="181" w:wrap="notBeside" w:vAnchor="text" w:hAnchor="text" w:xAlign="center" w:y="1"/>
            </w:pPr>
            <w:r>
              <w:t>27</w:t>
            </w:r>
          </w:p>
        </w:tc>
        <w:tc>
          <w:tcPr>
            <w:tcW w:w="454" w:type="dxa"/>
          </w:tcPr>
          <w:p w:rsidR="00220BE7" w:rsidRDefault="00220BE7">
            <w:pPr>
              <w:pStyle w:val="TableText"/>
              <w:framePr w:hSpace="181" w:wrap="notBeside" w:vAnchor="text" w:hAnchor="text" w:xAlign="center" w:y="1"/>
            </w:pPr>
            <w:r>
              <w:t>27</w:t>
            </w:r>
          </w:p>
        </w:tc>
        <w:tc>
          <w:tcPr>
            <w:tcW w:w="454" w:type="dxa"/>
          </w:tcPr>
          <w:p w:rsidR="00220BE7" w:rsidRDefault="00220BE7">
            <w:pPr>
              <w:pStyle w:val="TableText"/>
              <w:framePr w:hSpace="181" w:wrap="notBeside" w:vAnchor="text" w:hAnchor="text" w:xAlign="center" w:y="1"/>
            </w:pPr>
            <w:r>
              <w:t>28</w:t>
            </w:r>
          </w:p>
        </w:tc>
        <w:tc>
          <w:tcPr>
            <w:tcW w:w="454" w:type="dxa"/>
          </w:tcPr>
          <w:p w:rsidR="00220BE7" w:rsidRDefault="00220BE7">
            <w:pPr>
              <w:pStyle w:val="TableText"/>
              <w:framePr w:hSpace="181" w:wrap="notBeside" w:vAnchor="text" w:hAnchor="text" w:xAlign="center" w:y="1"/>
            </w:pPr>
            <w:r>
              <w:t>29</w:t>
            </w:r>
          </w:p>
        </w:tc>
        <w:tc>
          <w:tcPr>
            <w:tcW w:w="454" w:type="dxa"/>
          </w:tcPr>
          <w:p w:rsidR="00220BE7" w:rsidRDefault="00220BE7">
            <w:pPr>
              <w:pStyle w:val="TableText"/>
              <w:framePr w:hSpace="181" w:wrap="notBeside" w:vAnchor="text" w:hAnchor="text" w:xAlign="center" w:y="1"/>
            </w:pPr>
            <w:r>
              <w:t>30</w:t>
            </w:r>
          </w:p>
        </w:tc>
        <w:tc>
          <w:tcPr>
            <w:tcW w:w="454" w:type="dxa"/>
          </w:tcPr>
          <w:p w:rsidR="00220BE7" w:rsidRDefault="00220BE7">
            <w:pPr>
              <w:pStyle w:val="TableText"/>
              <w:framePr w:hSpace="181" w:wrap="notBeside" w:vAnchor="text" w:hAnchor="text" w:xAlign="center" w:y="1"/>
            </w:pPr>
            <w:r>
              <w:t>33</w:t>
            </w:r>
          </w:p>
        </w:tc>
        <w:tc>
          <w:tcPr>
            <w:tcW w:w="454" w:type="dxa"/>
          </w:tcPr>
          <w:p w:rsidR="00220BE7" w:rsidRDefault="00220BE7">
            <w:pPr>
              <w:pStyle w:val="TableText"/>
              <w:framePr w:hSpace="181" w:wrap="notBeside" w:vAnchor="text" w:hAnchor="text" w:xAlign="center" w:y="1"/>
            </w:pPr>
            <w:r>
              <w:t>37</w:t>
            </w:r>
          </w:p>
        </w:tc>
        <w:tc>
          <w:tcPr>
            <w:tcW w:w="454" w:type="dxa"/>
          </w:tcPr>
          <w:p w:rsidR="00220BE7" w:rsidRDefault="00220BE7">
            <w:pPr>
              <w:pStyle w:val="TableText"/>
              <w:framePr w:hSpace="181" w:wrap="notBeside" w:vAnchor="text" w:hAnchor="text" w:xAlign="center" w:y="1"/>
            </w:pPr>
            <w:r>
              <w:t>43</w:t>
            </w:r>
          </w:p>
        </w:tc>
        <w:tc>
          <w:tcPr>
            <w:tcW w:w="567" w:type="dxa"/>
          </w:tcPr>
          <w:p w:rsidR="00220BE7" w:rsidRDefault="00220BE7">
            <w:pPr>
              <w:pStyle w:val="TableText"/>
              <w:framePr w:hSpace="181" w:wrap="notBeside" w:vAnchor="text" w:hAnchor="text" w:xAlign="center" w:y="1"/>
            </w:pPr>
            <w:r>
              <w:t> </w:t>
            </w:r>
            <w:r>
              <w:t>52</w:t>
            </w:r>
          </w:p>
        </w:tc>
        <w:tc>
          <w:tcPr>
            <w:tcW w:w="567" w:type="dxa"/>
          </w:tcPr>
          <w:p w:rsidR="00220BE7" w:rsidRDefault="00220BE7">
            <w:pPr>
              <w:pStyle w:val="TableText"/>
              <w:framePr w:hSpace="181" w:wrap="notBeside" w:vAnchor="text" w:hAnchor="text" w:xAlign="center" w:y="1"/>
            </w:pPr>
            <w:r>
              <w:t> </w:t>
            </w:r>
            <w:r>
              <w:t>65</w:t>
            </w:r>
          </w:p>
        </w:tc>
        <w:tc>
          <w:tcPr>
            <w:tcW w:w="567" w:type="dxa"/>
          </w:tcPr>
          <w:p w:rsidR="00220BE7" w:rsidRDefault="00220BE7">
            <w:pPr>
              <w:pStyle w:val="TableText"/>
              <w:framePr w:hSpace="181" w:wrap="notBeside" w:vAnchor="text" w:hAnchor="text" w:xAlign="center" w:y="1"/>
            </w:pPr>
            <w:r>
              <w:t> </w:t>
            </w:r>
            <w:r>
              <w:t>86</w:t>
            </w:r>
          </w:p>
        </w:tc>
        <w:tc>
          <w:tcPr>
            <w:tcW w:w="567" w:type="dxa"/>
          </w:tcPr>
          <w:p w:rsidR="00220BE7" w:rsidRDefault="00220BE7">
            <w:pPr>
              <w:pStyle w:val="TableText"/>
              <w:framePr w:hSpace="181" w:wrap="notBeside" w:vAnchor="text" w:hAnchor="text" w:xAlign="center" w:y="1"/>
            </w:pPr>
            <w:r>
              <w:t>118</w:t>
            </w:r>
          </w:p>
        </w:tc>
        <w:tc>
          <w:tcPr>
            <w:tcW w:w="567" w:type="dxa"/>
          </w:tcPr>
          <w:p w:rsidR="00220BE7" w:rsidRDefault="00220BE7">
            <w:pPr>
              <w:pStyle w:val="TableText"/>
              <w:framePr w:hSpace="181" w:wrap="notBeside" w:vAnchor="text" w:hAnchor="text" w:xAlign="center" w:y="1"/>
            </w:pPr>
            <w:r>
              <w:t>167</w:t>
            </w:r>
          </w:p>
        </w:tc>
        <w:tc>
          <w:tcPr>
            <w:tcW w:w="567" w:type="dxa"/>
          </w:tcPr>
          <w:p w:rsidR="00220BE7" w:rsidRDefault="00220BE7">
            <w:pPr>
              <w:pStyle w:val="TableText"/>
              <w:framePr w:hSpace="181" w:wrap="notBeside" w:vAnchor="text" w:hAnchor="text" w:xAlign="center" w:y="1"/>
            </w:pPr>
            <w:r>
              <w:t>246</w:t>
            </w:r>
          </w:p>
        </w:tc>
        <w:tc>
          <w:tcPr>
            <w:tcW w:w="567" w:type="dxa"/>
          </w:tcPr>
          <w:p w:rsidR="00220BE7" w:rsidRDefault="00220BE7">
            <w:pPr>
              <w:pStyle w:val="TableText"/>
              <w:framePr w:hSpace="181" w:wrap="notBeside" w:vAnchor="text" w:hAnchor="text" w:xAlign="center" w:y="1"/>
            </w:pPr>
            <w:r>
              <w:t>371</w:t>
            </w:r>
          </w:p>
        </w:tc>
      </w:tr>
    </w:tbl>
    <w:p w:rsidR="00220BE7" w:rsidRDefault="00220BE7">
      <w:pPr>
        <w:pStyle w:val="Tablefin"/>
      </w:pPr>
    </w:p>
    <w:p w:rsidR="00220BE7" w:rsidRDefault="00220BE7">
      <w:pPr>
        <w:rPr>
          <w:lang w:val="es-ES_tradnl"/>
        </w:rPr>
      </w:pPr>
      <w:r>
        <w:rPr>
          <w:lang w:val="es-ES_tradnl"/>
        </w:rPr>
        <w:br w:type="page"/>
      </w:r>
      <w:r>
        <w:lastRenderedPageBreak/>
        <w:t xml:space="preserve">If the number of beams of the interfering HAPS system is different from 700, or if the permissible interference criterion is different from the </w:t>
      </w:r>
      <w:r>
        <w:rPr>
          <w:i/>
          <w:iCs/>
        </w:rPr>
        <w:t>I</w:t>
      </w:r>
      <w:r>
        <w:t>/</w:t>
      </w:r>
      <w:r>
        <w:rPr>
          <w:i/>
          <w:iCs/>
        </w:rPr>
        <w:t>N</w:t>
      </w:r>
      <w:r>
        <w:t xml:space="preserve"> </w:t>
      </w:r>
      <w:r>
        <w:rPr>
          <w:rFonts w:ascii="Symbol" w:hAnsi="Symbol"/>
        </w:rPr>
        <w:t></w:t>
      </w:r>
      <w:r>
        <w:t xml:space="preserve"> –</w:t>
      </w:r>
      <w:r>
        <w:rPr>
          <w:sz w:val="4"/>
          <w:lang w:val="es-ES_tradnl"/>
        </w:rPr>
        <w:t> </w:t>
      </w:r>
      <w:r>
        <w:t>10 dB used above, then equation (22) should be used for the determination of the minimum coordination distance.</w:t>
      </w:r>
    </w:p>
    <w:p w:rsidR="00220BE7" w:rsidRDefault="00220BE7">
      <w:pPr>
        <w:pStyle w:val="Heading2"/>
      </w:pPr>
      <w:r>
        <w:t>2.4</w:t>
      </w:r>
      <w:r>
        <w:tab/>
        <w:t>HAPS into IMT-2000 CDMA TDD base stations</w:t>
      </w:r>
    </w:p>
    <w:p w:rsidR="00220BE7" w:rsidRDefault="00220BE7">
      <w:pPr>
        <w:rPr>
          <w:lang w:val="es-ES_tradnl"/>
        </w:rPr>
      </w:pPr>
      <w:r>
        <w:t>There are two kinds of base station antennas, omnidirectional and sectoral. Typical omnidirectional base station antennas have a peak horizontal gain of about 15 dBi, and a 3 dB vertical beamwidth of ~5.1°. For sectoral antennas, a typical example is a 90° sector antenna with a 3 dB beamwidth of 90° in the horizontal (azimuthal) plane and a 2.5° beamwidth in the elevation plane for a peak gain of 21.5 dBi. Because of the very small beamwidth of the sectoral antennas, even if the victim base station is at an elevation angle of 5° relative to HAPS with its sector antenna pointing in the direction of HAPS, the peak effective antenna gain for the sector antenna is still negative. At larger elevation angles, the effective antenna gain becomes strongly negative. Hence one can expect a much smaller coordination distance in general between HAPS and base stations with sectoral antennas. For that reason only omnidirectional antennas will be considered for the remainder of this Recommendation.</w:t>
      </w:r>
    </w:p>
    <w:p w:rsidR="00220BE7" w:rsidRDefault="00220BE7">
      <w:pPr>
        <w:tabs>
          <w:tab w:val="left" w:pos="360"/>
        </w:tabs>
      </w:pPr>
      <w:r>
        <w:t>The antenna radiation patterns used for this study follow the reference radiation patterns of omnidirectional and sectoral antennas in P-MP systems for use in sharing studies in the 1-50 GHz range (see Recommendation ITU-R F.1336).</w:t>
      </w:r>
    </w:p>
    <w:p w:rsidR="00220BE7" w:rsidRDefault="00220BE7">
      <w:r>
        <w:t>In the FDD mode, a HAPS-based IMT-2000 base station does not cause any co-channel interference to a tower-based base station operated within the terrestrial IMT-2000 bands. By the same token, a HAPS-based mobile station operating in the terrestrial IMT-2000 bands cannot cause co-channel interference with a tower-based mobile station operating in the same spectrum. The interference power received by a victim base station antenna from HAPS can be written as follows:</w:t>
      </w:r>
    </w:p>
    <w:p w:rsidR="00220BE7" w:rsidRDefault="00220BE7">
      <w:pPr>
        <w:pStyle w:val="Equation"/>
      </w:pPr>
      <w:r>
        <w:tab/>
      </w:r>
      <w:r>
        <w:tab/>
      </w:r>
      <w:r>
        <w:rPr>
          <w:i/>
          <w:lang w:val="es-ES_tradnl"/>
        </w:rPr>
        <w:t>I</w:t>
      </w:r>
      <w:r>
        <w:rPr>
          <w:i/>
          <w:position w:val="-4"/>
          <w:sz w:val="18"/>
          <w:lang w:val="es-ES_tradnl"/>
        </w:rPr>
        <w:t>victim</w:t>
      </w:r>
      <w:r>
        <w:rPr>
          <w:lang w:val="es-ES_tradnl"/>
        </w:rPr>
        <w:t xml:space="preserve">  </w:t>
      </w:r>
      <w:r>
        <w:rPr>
          <w:rFonts w:ascii="Symbol" w:hAnsi="Symbol"/>
        </w:rPr>
        <w:t></w:t>
      </w:r>
      <w:r>
        <w:rPr>
          <w:lang w:val="es-ES_tradnl"/>
        </w:rPr>
        <w:t xml:space="preserve">  </w:t>
      </w:r>
      <w:r>
        <w:rPr>
          <w:i/>
          <w:iCs/>
        </w:rPr>
        <w:t>pfd</w:t>
      </w:r>
      <w:r>
        <w:rPr>
          <w:i/>
          <w:iCs/>
          <w:position w:val="-8"/>
          <w:sz w:val="18"/>
        </w:rPr>
        <w:t>HAPS</w:t>
      </w:r>
      <w:r>
        <w:rPr>
          <w:lang w:val="es-ES_tradnl"/>
        </w:rPr>
        <w:t>(</w:t>
      </w:r>
      <w:r>
        <w:rPr>
          <w:rFonts w:ascii="Symbol" w:hAnsi="Symbol"/>
        </w:rPr>
        <w:t></w:t>
      </w:r>
      <w:r>
        <w:rPr>
          <w:lang w:val="es-ES"/>
        </w:rPr>
        <w:t>)</w:t>
      </w:r>
      <w:r>
        <w:rPr>
          <w:lang w:val="es-ES_tradnl"/>
        </w:rPr>
        <w:t xml:space="preserve">  +  </w:t>
      </w:r>
      <w:r>
        <w:rPr>
          <w:i/>
          <w:lang w:val="es-ES_tradnl"/>
        </w:rPr>
        <w:t>G</w:t>
      </w:r>
      <w:r>
        <w:rPr>
          <w:i/>
          <w:position w:val="-4"/>
          <w:sz w:val="18"/>
          <w:lang w:val="es-ES_tradnl"/>
        </w:rPr>
        <w:t>victim</w:t>
      </w:r>
      <w:r>
        <w:rPr>
          <w:lang w:val="es-ES_tradnl"/>
        </w:rPr>
        <w:t>(</w:t>
      </w:r>
      <w:r>
        <w:rPr>
          <w:rFonts w:ascii="Symbol" w:hAnsi="Symbol"/>
        </w:rPr>
        <w:t></w:t>
      </w:r>
      <w:r>
        <w:rPr>
          <w:lang w:val="es-ES"/>
        </w:rPr>
        <w:t>)</w:t>
      </w:r>
      <w:r>
        <w:rPr>
          <w:lang w:val="es-ES_tradnl"/>
        </w:rPr>
        <w:t xml:space="preserve">  +  </w:t>
      </w:r>
      <w:r>
        <w:rPr>
          <w:i/>
          <w:iCs/>
        </w:rPr>
        <w:t>Area</w:t>
      </w:r>
      <w:r>
        <w:rPr>
          <w:position w:val="-4"/>
          <w:sz w:val="18"/>
        </w:rPr>
        <w:t>0</w:t>
      </w:r>
      <w:r>
        <w:rPr>
          <w:lang w:val="es-ES_tradnl"/>
        </w:rPr>
        <w:t xml:space="preserve">  </w:t>
      </w:r>
      <w:r>
        <w:rPr>
          <w:lang w:val="es-ES"/>
        </w:rPr>
        <w:t xml:space="preserve">–  </w:t>
      </w:r>
      <w:r>
        <w:rPr>
          <w:rFonts w:ascii="Symbol" w:hAnsi="Symbol"/>
        </w:rPr>
        <w:t></w:t>
      </w:r>
      <w:r>
        <w:t xml:space="preserve"> </w:t>
      </w:r>
      <w:r>
        <w:rPr>
          <w:i/>
          <w:iCs/>
          <w:lang w:val="es-ES_tradnl"/>
        </w:rPr>
        <w:t>FSL</w:t>
      </w:r>
      <w:r>
        <w:rPr>
          <w:lang w:val="es-ES_tradnl"/>
        </w:rPr>
        <w:t>(</w:t>
      </w:r>
      <w:r>
        <w:rPr>
          <w:rFonts w:ascii="Symbol" w:hAnsi="Symbol"/>
        </w:rPr>
        <w:t></w:t>
      </w:r>
      <w:r>
        <w:rPr>
          <w:position w:val="-4"/>
          <w:sz w:val="18"/>
          <w:lang w:val="es-ES_tradnl"/>
        </w:rPr>
        <w:t>0</w:t>
      </w:r>
      <w:r>
        <w:rPr>
          <w:lang w:val="es-ES_tradnl"/>
        </w:rPr>
        <w:t xml:space="preserve">, </w:t>
      </w:r>
      <w:r>
        <w:rPr>
          <w:rFonts w:ascii="Symbol" w:hAnsi="Symbol"/>
        </w:rPr>
        <w:t></w:t>
      </w:r>
      <w:r>
        <w:rPr>
          <w:lang w:val="es-ES_tradnl"/>
        </w:rPr>
        <w:t>)</w:t>
      </w:r>
      <w:r>
        <w:tab/>
        <w:t>(23)</w:t>
      </w:r>
    </w:p>
    <w:p w:rsidR="00220BE7" w:rsidRDefault="00220BE7">
      <w:r>
        <w:t xml:space="preserve">where </w:t>
      </w:r>
      <w:r>
        <w:rPr>
          <w:i/>
          <w:iCs/>
          <w:lang w:val="en-US"/>
        </w:rPr>
        <w:t>Area</w:t>
      </w:r>
      <w:r>
        <w:rPr>
          <w:position w:val="-4"/>
          <w:sz w:val="16"/>
          <w:lang w:val="en-US"/>
        </w:rPr>
        <w:t>0</w:t>
      </w:r>
      <w:r>
        <w:rPr>
          <w:lang w:val="en-US"/>
        </w:rPr>
        <w:t xml:space="preserve"> </w:t>
      </w:r>
      <w:r>
        <w:t xml:space="preserve">is the effective antenna aperture of </w:t>
      </w:r>
      <w:r>
        <w:rPr>
          <w:lang w:val="es-ES_tradnl"/>
        </w:rPr>
        <w:t>–</w:t>
      </w:r>
      <w:r>
        <w:rPr>
          <w:sz w:val="4"/>
          <w:lang w:val="es-ES_tradnl"/>
        </w:rPr>
        <w:t> </w:t>
      </w:r>
      <w:r>
        <w:t xml:space="preserve">27.5 </w:t>
      </w:r>
      <w:r>
        <w:rPr>
          <w:lang w:val="en-US"/>
        </w:rPr>
        <w:t>dB(m</w:t>
      </w:r>
      <w:r>
        <w:rPr>
          <w:position w:val="6"/>
          <w:sz w:val="16"/>
          <w:lang w:val="en-US"/>
        </w:rPr>
        <w:t>2</w:t>
      </w:r>
      <w:r>
        <w:rPr>
          <w:lang w:val="en-US"/>
        </w:rPr>
        <w:t xml:space="preserve">) </w:t>
      </w:r>
      <w:r>
        <w:t>for the 0 dBi handset antenna.</w:t>
      </w:r>
    </w:p>
    <w:p w:rsidR="00220BE7" w:rsidRDefault="00220BE7">
      <w:r>
        <w:t>This gives</w:t>
      </w:r>
    </w:p>
    <w:p w:rsidR="00220BE7" w:rsidRDefault="00220BE7">
      <w:pPr>
        <w:pStyle w:val="Equation"/>
      </w:pPr>
      <w:r>
        <w:tab/>
      </w:r>
      <w:r>
        <w:tab/>
        <w:t>(</w:t>
      </w:r>
      <w:r>
        <w:rPr>
          <w:i/>
          <w:iCs/>
        </w:rPr>
        <w:t>I</w:t>
      </w:r>
      <w:r>
        <w:rPr>
          <w:i/>
          <w:iCs/>
          <w:position w:val="-4"/>
          <w:sz w:val="18"/>
        </w:rPr>
        <w:t>received</w:t>
      </w:r>
      <w:r>
        <w:t>/</w:t>
      </w:r>
      <w:r>
        <w:rPr>
          <w:i/>
          <w:iCs/>
        </w:rPr>
        <w:t>N</w:t>
      </w:r>
      <w:r>
        <w:t xml:space="preserve">)  </w:t>
      </w:r>
      <w:r>
        <w:rPr>
          <w:rFonts w:ascii="Symbol" w:hAnsi="Symbol"/>
        </w:rPr>
        <w:t></w:t>
      </w:r>
      <w:r>
        <w:t xml:space="preserve">  (</w:t>
      </w:r>
      <w:r>
        <w:rPr>
          <w:i/>
          <w:iCs/>
        </w:rPr>
        <w:t>I</w:t>
      </w:r>
      <w:r>
        <w:rPr>
          <w:i/>
          <w:iCs/>
          <w:position w:val="-4"/>
          <w:sz w:val="18"/>
        </w:rPr>
        <w:t>received</w:t>
      </w:r>
      <w:r>
        <w:t>/</w:t>
      </w:r>
      <w:r>
        <w:rPr>
          <w:i/>
          <w:iCs/>
        </w:rPr>
        <w:t>N</w:t>
      </w:r>
      <w:r>
        <w:t>)</w:t>
      </w:r>
      <w:r>
        <w:rPr>
          <w:i/>
          <w:iCs/>
          <w:position w:val="-4"/>
          <w:sz w:val="18"/>
        </w:rPr>
        <w:t>centre</w:t>
      </w:r>
      <w:r>
        <w:t xml:space="preserve">  </w:t>
      </w:r>
      <w:r>
        <w:rPr>
          <w:rFonts w:ascii="Symbol" w:hAnsi="Symbol"/>
        </w:rPr>
        <w:t></w:t>
      </w:r>
      <w:r>
        <w:t xml:space="preserve">  </w:t>
      </w:r>
      <w:r>
        <w:rPr>
          <w:rFonts w:ascii="Symbol" w:hAnsi="Symbol"/>
        </w:rPr>
        <w:t></w:t>
      </w:r>
      <w:r>
        <w:rPr>
          <w:lang w:val="es-ES_tradnl"/>
        </w:rPr>
        <w:t xml:space="preserve"> </w:t>
      </w:r>
      <w:r>
        <w:rPr>
          <w:i/>
          <w:iCs/>
          <w:lang w:val="es-ES_tradnl"/>
        </w:rPr>
        <w:t>G</w:t>
      </w:r>
      <w:r>
        <w:rPr>
          <w:lang w:val="es-ES_tradnl"/>
        </w:rPr>
        <w:t>(</w:t>
      </w:r>
      <w:r>
        <w:rPr>
          <w:rFonts w:ascii="Symbol" w:hAnsi="Symbol"/>
        </w:rPr>
        <w:t></w:t>
      </w:r>
      <w:r>
        <w:rPr>
          <w:lang w:val="es-ES_tradnl"/>
        </w:rPr>
        <w:t xml:space="preserve">  –  </w:t>
      </w:r>
      <w:r>
        <w:rPr>
          <w:rFonts w:ascii="Symbol" w:hAnsi="Symbol"/>
        </w:rPr>
        <w:t></w:t>
      </w:r>
      <w:r>
        <w:rPr>
          <w:position w:val="-4"/>
          <w:sz w:val="18"/>
        </w:rPr>
        <w:t>0</w:t>
      </w:r>
      <w:r>
        <w:rPr>
          <w:lang w:val="es-ES_tradnl"/>
        </w:rPr>
        <w:t xml:space="preserve">)  –  </w:t>
      </w:r>
      <w:r>
        <w:rPr>
          <w:rFonts w:ascii="Symbol" w:hAnsi="Symbol"/>
        </w:rPr>
        <w:t></w:t>
      </w:r>
      <w:r>
        <w:t xml:space="preserve"> </w:t>
      </w:r>
      <w:r>
        <w:rPr>
          <w:i/>
          <w:iCs/>
          <w:lang w:val="es-ES_tradnl"/>
        </w:rPr>
        <w:t>FSL</w:t>
      </w:r>
      <w:r>
        <w:rPr>
          <w:lang w:val="es-ES_tradnl"/>
        </w:rPr>
        <w:t>(</w:t>
      </w:r>
      <w:r>
        <w:rPr>
          <w:rFonts w:ascii="Symbol" w:hAnsi="Symbol"/>
        </w:rPr>
        <w:t></w:t>
      </w:r>
      <w:r>
        <w:rPr>
          <w:lang w:val="es-ES_tradnl"/>
        </w:rPr>
        <w:t>)</w:t>
      </w:r>
      <w:r>
        <w:t xml:space="preserve">  </w:t>
      </w:r>
      <w:r>
        <w:rPr>
          <w:rFonts w:ascii="Symbol" w:hAnsi="Symbol"/>
        </w:rPr>
        <w:t></w:t>
      </w:r>
      <w:r>
        <w:t xml:space="preserve">  </w:t>
      </w:r>
      <w:r>
        <w:rPr>
          <w:i/>
          <w:iCs/>
        </w:rPr>
        <w:t>G</w:t>
      </w:r>
      <w:r>
        <w:rPr>
          <w:i/>
          <w:iCs/>
          <w:position w:val="-4"/>
          <w:sz w:val="18"/>
        </w:rPr>
        <w:t>victim</w:t>
      </w:r>
      <w:r>
        <w:t>(</w:t>
      </w:r>
      <w:r>
        <w:rPr>
          <w:rFonts w:ascii="Symbol" w:hAnsi="Symbol"/>
        </w:rPr>
        <w:t></w:t>
      </w:r>
      <w:r>
        <w:t>)</w:t>
      </w:r>
      <w:r>
        <w:rPr>
          <w:lang w:val="es-ES_tradnl"/>
        </w:rPr>
        <w:tab/>
        <w:t>(24)</w:t>
      </w:r>
    </w:p>
    <w:p w:rsidR="00220BE7" w:rsidRDefault="00220BE7">
      <w:r>
        <w:t xml:space="preserve">where </w:t>
      </w:r>
      <w:r>
        <w:rPr>
          <w:rFonts w:ascii="Symbol" w:hAnsi="Symbol"/>
        </w:rPr>
        <w:t></w:t>
      </w:r>
      <w:r>
        <w:t xml:space="preserve"> is the elevation angle of the base station antenna with respect to HAPS. For base station antenna with a finite down tilt, the elevation plane of the antenna is no longer the horizontal plane. For sectoral base station antennas, the antenna is assumed to point in the direction of the nadir of HAPS. Since down tilt reduces the potential for receiving interference from HAPS, no down tilt is assumed here. This leads to </w:t>
      </w:r>
      <w:r>
        <w:rPr>
          <w:rFonts w:ascii="Symbol" w:hAnsi="Symbol"/>
        </w:rPr>
        <w:t></w:t>
      </w:r>
      <w:r>
        <w:t xml:space="preserve"> </w:t>
      </w:r>
      <w:r>
        <w:rPr>
          <w:rFonts w:ascii="Symbol" w:hAnsi="Symbol"/>
        </w:rPr>
        <w:t></w:t>
      </w:r>
      <w:r>
        <w:t xml:space="preserve"> </w:t>
      </w:r>
      <w:r>
        <w:rPr>
          <w:rFonts w:ascii="Symbol" w:hAnsi="Symbol"/>
        </w:rPr>
        <w:t></w:t>
      </w:r>
      <w:r>
        <w:t xml:space="preserve">/2 – </w:t>
      </w:r>
      <w:r>
        <w:rPr>
          <w:rFonts w:ascii="Symbol" w:hAnsi="Symbol"/>
        </w:rPr>
        <w:t></w:t>
      </w:r>
      <w:r>
        <w:t>.</w:t>
      </w:r>
    </w:p>
    <w:p w:rsidR="00220BE7" w:rsidRDefault="00220BE7">
      <w:pPr>
        <w:rPr>
          <w:lang w:val="es-ES_tradnl"/>
        </w:rPr>
      </w:pPr>
      <w:r>
        <w:t>Since typical base station antennas have relatively low directivity in comparison with the directivity of HAPS antennas, it is possible to arrive at the following formula:</w:t>
      </w:r>
    </w:p>
    <w:p w:rsidR="00220BE7" w:rsidRDefault="00220BE7">
      <w:pPr>
        <w:pStyle w:val="Equation"/>
        <w:rPr>
          <w:lang w:val="fr-FR"/>
        </w:rPr>
      </w:pPr>
      <w:r>
        <w:rPr>
          <w:lang w:val="fr-FR"/>
        </w:rPr>
        <w:tab/>
      </w:r>
      <w:r>
        <w:rPr>
          <w:lang w:val="fr-FR"/>
        </w:rPr>
        <w:tab/>
      </w:r>
      <w:r>
        <w:rPr>
          <w:i/>
          <w:iCs/>
          <w:lang w:val="fr-FR"/>
        </w:rPr>
        <w:t>y</w:t>
      </w:r>
      <w:r>
        <w:rPr>
          <w:lang w:val="fr-FR"/>
        </w:rPr>
        <w:t xml:space="preserve">  </w:t>
      </w:r>
      <w:r>
        <w:rPr>
          <w:rFonts w:ascii="Symbol" w:hAnsi="Symbol"/>
        </w:rPr>
        <w:t></w:t>
      </w:r>
      <w:r>
        <w:rPr>
          <w:lang w:val="fr-FR"/>
        </w:rPr>
        <w:t xml:space="preserve">  </w:t>
      </w:r>
      <w:r>
        <w:rPr>
          <w:sz w:val="28"/>
          <w:lang w:val="es-ES_tradnl"/>
        </w:rPr>
        <w:t>[</w:t>
      </w:r>
      <w:r>
        <w:rPr>
          <w:i/>
          <w:iCs/>
          <w:lang w:val="fr-FR"/>
        </w:rPr>
        <w:t>D</w:t>
      </w:r>
      <w:r>
        <w:rPr>
          <w:lang w:val="es-ES_tradnl"/>
        </w:rPr>
        <w:t>(</w:t>
      </w:r>
      <w:r>
        <w:rPr>
          <w:rFonts w:ascii="Symbol" w:hAnsi="Symbol"/>
        </w:rPr>
        <w:t></w:t>
      </w:r>
      <w:r>
        <w:rPr>
          <w:position w:val="-4"/>
          <w:sz w:val="18"/>
          <w:lang w:val="es-ES_tradnl"/>
        </w:rPr>
        <w:t>0</w:t>
      </w:r>
      <w:r>
        <w:rPr>
          <w:lang w:val="es-ES"/>
        </w:rPr>
        <w:t>)</w:t>
      </w:r>
      <w:r>
        <w:rPr>
          <w:lang w:val="fr-FR"/>
        </w:rPr>
        <w:t xml:space="preserve">  –  20 log(cos(</w:t>
      </w:r>
      <w:r>
        <w:rPr>
          <w:rFonts w:ascii="Symbol" w:hAnsi="Symbol"/>
        </w:rPr>
        <w:t></w:t>
      </w:r>
      <w:r>
        <w:rPr>
          <w:position w:val="-4"/>
          <w:sz w:val="18"/>
          <w:lang w:val="es-ES_tradnl"/>
        </w:rPr>
        <w:t>0</w:t>
      </w:r>
      <w:r>
        <w:rPr>
          <w:lang w:val="fr-FR"/>
        </w:rPr>
        <w:t xml:space="preserve">))  </w:t>
      </w:r>
      <w:r>
        <w:rPr>
          <w:rFonts w:ascii="Symbol" w:hAnsi="Symbol"/>
          <w:lang w:val="fr-FR"/>
        </w:rPr>
        <w:t></w:t>
      </w:r>
      <w:r>
        <w:rPr>
          <w:lang w:val="fr-FR"/>
        </w:rPr>
        <w:t xml:space="preserve">  20 log(cos(</w:t>
      </w:r>
      <w:r>
        <w:rPr>
          <w:rFonts w:ascii="Symbol" w:hAnsi="Symbol"/>
        </w:rPr>
        <w:t></w:t>
      </w:r>
      <w:r>
        <w:rPr>
          <w:position w:val="-4"/>
          <w:sz w:val="18"/>
          <w:lang w:val="es-ES_tradnl"/>
        </w:rPr>
        <w:t>0</w:t>
      </w:r>
      <w:r>
        <w:rPr>
          <w:lang w:val="fr-FR"/>
        </w:rPr>
        <w:t xml:space="preserve">  </w:t>
      </w:r>
      <w:r>
        <w:rPr>
          <w:rFonts w:ascii="Symbol" w:hAnsi="Symbol"/>
          <w:lang w:val="fr-FR"/>
        </w:rPr>
        <w:t></w:t>
      </w:r>
      <w:r>
        <w:rPr>
          <w:lang w:val="fr-FR"/>
        </w:rPr>
        <w:t xml:space="preserve">  </w:t>
      </w:r>
      <w:r>
        <w:rPr>
          <w:rFonts w:ascii="Symbol" w:hAnsi="Symbol"/>
        </w:rPr>
        <w:t></w:t>
      </w:r>
      <w:r>
        <w:rPr>
          <w:position w:val="-4"/>
          <w:sz w:val="18"/>
          <w:lang w:val="es-ES_tradnl"/>
        </w:rPr>
        <w:t>2</w:t>
      </w:r>
      <w:r>
        <w:rPr>
          <w:lang w:val="fr-FR"/>
        </w:rPr>
        <w:t>))</w:t>
      </w:r>
      <w:r>
        <w:rPr>
          <w:sz w:val="28"/>
          <w:lang w:val="fr-FR"/>
        </w:rPr>
        <w:t>]</w:t>
      </w:r>
      <w:r>
        <w:rPr>
          <w:lang w:val="fr-FR"/>
        </w:rPr>
        <w:t>/</w:t>
      </w:r>
      <w:r>
        <w:rPr>
          <w:sz w:val="28"/>
          <w:lang w:val="es-ES_tradnl"/>
        </w:rPr>
        <w:t>[</w:t>
      </w:r>
      <w:r>
        <w:rPr>
          <w:lang w:val="fr-FR"/>
        </w:rPr>
        <w:t xml:space="preserve">60  </w:t>
      </w:r>
      <w:r>
        <w:rPr>
          <w:rFonts w:ascii="Symbol" w:hAnsi="Symbol"/>
          <w:lang w:val="fr-FR"/>
        </w:rPr>
        <w:t></w:t>
      </w:r>
      <w:r>
        <w:rPr>
          <w:lang w:val="fr-FR"/>
        </w:rPr>
        <w:t xml:space="preserve">  20 </w:t>
      </w:r>
      <w:r>
        <w:rPr>
          <w:rFonts w:ascii="Symbol" w:hAnsi="Symbol"/>
        </w:rPr>
        <w:t></w:t>
      </w:r>
      <w:r>
        <w:rPr>
          <w:position w:val="-4"/>
          <w:sz w:val="18"/>
          <w:lang w:val="es-ES_tradnl"/>
        </w:rPr>
        <w:t>2</w:t>
      </w:r>
      <w:r>
        <w:rPr>
          <w:lang w:val="fr-FR"/>
        </w:rPr>
        <w:t xml:space="preserve"> tan(</w:t>
      </w:r>
      <w:r>
        <w:rPr>
          <w:rFonts w:ascii="Symbol" w:hAnsi="Symbol"/>
        </w:rPr>
        <w:t></w:t>
      </w:r>
      <w:r>
        <w:rPr>
          <w:position w:val="-4"/>
          <w:sz w:val="18"/>
          <w:lang w:val="es-ES_tradnl"/>
        </w:rPr>
        <w:t>0</w:t>
      </w:r>
      <w:r>
        <w:rPr>
          <w:lang w:val="fr-FR"/>
        </w:rPr>
        <w:t xml:space="preserve">  </w:t>
      </w:r>
      <w:r>
        <w:rPr>
          <w:rFonts w:ascii="Symbol" w:hAnsi="Symbol"/>
          <w:lang w:val="fr-FR"/>
        </w:rPr>
        <w:t></w:t>
      </w:r>
      <w:r>
        <w:rPr>
          <w:lang w:val="fr-FR"/>
        </w:rPr>
        <w:t xml:space="preserve">  </w:t>
      </w:r>
      <w:r>
        <w:rPr>
          <w:rFonts w:ascii="Symbol" w:hAnsi="Symbol"/>
        </w:rPr>
        <w:t></w:t>
      </w:r>
      <w:r>
        <w:rPr>
          <w:position w:val="-4"/>
          <w:sz w:val="18"/>
          <w:lang w:val="es-ES_tradnl"/>
        </w:rPr>
        <w:t>2</w:t>
      </w:r>
      <w:r>
        <w:rPr>
          <w:lang w:val="fr-FR"/>
        </w:rPr>
        <w:t>)</w:t>
      </w:r>
      <w:r>
        <w:rPr>
          <w:sz w:val="28"/>
          <w:lang w:val="fr-FR"/>
        </w:rPr>
        <w:t>]</w:t>
      </w:r>
      <w:r>
        <w:rPr>
          <w:lang w:val="fr-FR"/>
        </w:rPr>
        <w:tab/>
        <w:t>(25)</w:t>
      </w:r>
    </w:p>
    <w:p w:rsidR="00220BE7" w:rsidRDefault="00220BE7">
      <w:pPr>
        <w:pStyle w:val="Equation"/>
        <w:tabs>
          <w:tab w:val="left" w:pos="227"/>
          <w:tab w:val="left" w:pos="1701"/>
          <w:tab w:val="left" w:pos="2268"/>
        </w:tabs>
        <w:ind w:left="1701" w:hanging="1701"/>
        <w:rPr>
          <w:lang w:val="es-ES_tradnl"/>
        </w:rPr>
      </w:pPr>
      <w:r>
        <w:rPr>
          <w:lang w:val="es-ES_tradnl"/>
        </w:rPr>
        <w:tab/>
      </w:r>
      <w:r>
        <w:rPr>
          <w:position w:val="-10"/>
          <w:lang w:val="es-ES_tradnl"/>
        </w:rPr>
        <w:object w:dxaOrig="1140" w:dyaOrig="320">
          <v:shape id="_x0000_i1045" type="#_x0000_t75" style="width:57pt;height:16.2pt" o:ole="">
            <v:imagedata r:id="rId37" o:title=""/>
          </v:shape>
          <o:OLEObject Type="Embed" ProgID="Equation.3" ShapeID="_x0000_i1045" DrawAspect="Content" ObjectID="_1361254783" r:id="rId61"/>
        </w:object>
      </w:r>
      <w:r>
        <w:rPr>
          <w:lang w:val="es-ES_tradnl"/>
        </w:rPr>
        <w:t xml:space="preserve"> </w:t>
      </w:r>
      <w:r>
        <w:rPr>
          <w:rFonts w:ascii="Symbol" w:hAnsi="Symbol"/>
        </w:rPr>
        <w:t></w:t>
      </w:r>
      <w:r>
        <w:rPr>
          <w:lang w:val="es-ES_tradnl"/>
        </w:rPr>
        <w:t xml:space="preserve">  tan(</w:t>
      </w:r>
      <w:r>
        <w:rPr>
          <w:rFonts w:ascii="Symbol" w:hAnsi="Symbol"/>
        </w:rPr>
        <w:t></w:t>
      </w:r>
      <w:r>
        <w:rPr>
          <w:position w:val="-4"/>
          <w:sz w:val="18"/>
          <w:lang w:val="es-ES_tradnl"/>
        </w:rPr>
        <w:t>0</w:t>
      </w:r>
      <w:r>
        <w:rPr>
          <w:lang w:val="es-ES_tradnl"/>
        </w:rPr>
        <w:t xml:space="preserve"> + 10</w:t>
      </w:r>
      <w:r>
        <w:rPr>
          <w:rFonts w:ascii="Tms Rmn" w:hAnsi="Tms Rmn"/>
          <w:sz w:val="12"/>
          <w:lang w:val="es-ES_tradnl"/>
        </w:rPr>
        <w:t> </w:t>
      </w:r>
      <w:r>
        <w:rPr>
          <w:i/>
          <w:iCs/>
          <w:position w:val="10"/>
          <w:sz w:val="18"/>
          <w:lang w:val="es-ES_tradnl"/>
        </w:rPr>
        <w:t>y</w:t>
      </w:r>
      <w:r>
        <w:rPr>
          <w:lang w:val="es-ES_tradnl"/>
        </w:rPr>
        <w:t xml:space="preserve"> </w:t>
      </w:r>
      <w:r>
        <w:rPr>
          <w:rFonts w:ascii="Symbol" w:hAnsi="Symbol"/>
        </w:rPr>
        <w:t></w:t>
      </w:r>
      <w:r>
        <w:rPr>
          <w:position w:val="-4"/>
          <w:sz w:val="16"/>
          <w:lang w:val="es-ES_tradnl"/>
        </w:rPr>
        <w:t>2</w:t>
      </w:r>
      <w:r>
        <w:rPr>
          <w:lang w:val="es-ES_tradnl"/>
        </w:rPr>
        <w:t>)</w:t>
      </w:r>
      <w:r>
        <w:rPr>
          <w:i/>
          <w:iCs/>
          <w:lang w:val="es-ES_tradnl"/>
        </w:rPr>
        <w:t>h</w:t>
      </w:r>
      <w:r>
        <w:rPr>
          <w:lang w:val="es-ES_tradnl"/>
        </w:rPr>
        <w:t xml:space="preserve"> + (1 – </w:t>
      </w:r>
      <w:r>
        <w:rPr>
          <w:i/>
          <w:iCs/>
          <w:lang w:val="es-ES_tradnl"/>
        </w:rPr>
        <w:t>h</w:t>
      </w:r>
      <w:r>
        <w:rPr>
          <w:lang w:val="es-ES_tradnl"/>
        </w:rPr>
        <w:t>/(158 cos(</w:t>
      </w:r>
      <w:r>
        <w:rPr>
          <w:rFonts w:ascii="Symbol" w:hAnsi="Symbol"/>
        </w:rPr>
        <w:t></w:t>
      </w:r>
      <w:r>
        <w:rPr>
          <w:position w:val="-4"/>
          <w:sz w:val="18"/>
          <w:lang w:val="es-ES_tradnl"/>
        </w:rPr>
        <w:t>0</w:t>
      </w:r>
      <w:r>
        <w:rPr>
          <w:lang w:val="es-ES_tradnl"/>
        </w:rPr>
        <w:t xml:space="preserve">) </w:t>
      </w:r>
      <w:r>
        <w:rPr>
          <w:lang w:val="es-ES"/>
        </w:rPr>
        <w:t>(</w:t>
      </w:r>
      <w:r>
        <w:rPr>
          <w:i/>
          <w:iCs/>
          <w:lang w:val="es-ES_tradnl"/>
        </w:rPr>
        <w:t>Num</w:t>
      </w:r>
      <w:r>
        <w:rPr>
          <w:lang w:val="es-ES_tradnl"/>
        </w:rPr>
        <w:t xml:space="preserve"> </w:t>
      </w:r>
      <w:r>
        <w:rPr>
          <w:rFonts w:ascii="Symbol" w:hAnsi="Symbol"/>
        </w:rPr>
        <w:t></w:t>
      </w:r>
      <w:r>
        <w:rPr>
          <w:lang w:val="es-ES"/>
        </w:rPr>
        <w:t xml:space="preserve"> 10</w:t>
      </w:r>
      <w:r>
        <w:rPr>
          <w:position w:val="6"/>
          <w:sz w:val="18"/>
          <w:lang w:val="es-ES"/>
        </w:rPr>
        <w:t xml:space="preserve">–7.3 </w:t>
      </w:r>
      <w:r>
        <w:rPr>
          <w:rFonts w:ascii="Symbol" w:hAnsi="Symbol"/>
          <w:position w:val="6"/>
          <w:sz w:val="18"/>
          <w:lang w:val="es-ES"/>
        </w:rPr>
        <w:t></w:t>
      </w:r>
      <w:r>
        <w:rPr>
          <w:position w:val="6"/>
          <w:sz w:val="18"/>
          <w:lang w:val="es-ES"/>
        </w:rPr>
        <w:t xml:space="preserve"> </w:t>
      </w:r>
      <w:r>
        <w:rPr>
          <w:i/>
          <w:iCs/>
          <w:position w:val="6"/>
          <w:sz w:val="18"/>
          <w:lang w:val="es-ES"/>
        </w:rPr>
        <w:t>B</w:t>
      </w:r>
      <w:r>
        <w:rPr>
          <w:position w:val="6"/>
          <w:sz w:val="18"/>
          <w:lang w:val="es-ES"/>
        </w:rPr>
        <w:t>(</w:t>
      </w:r>
      <w:r>
        <w:rPr>
          <w:rFonts w:ascii="Symbol" w:hAnsi="Symbol"/>
          <w:position w:val="6"/>
          <w:sz w:val="18"/>
        </w:rPr>
        <w:t></w:t>
      </w:r>
      <w:r>
        <w:rPr>
          <w:position w:val="2"/>
          <w:sz w:val="14"/>
          <w:lang w:val="es-ES_tradnl"/>
        </w:rPr>
        <w:t>0</w:t>
      </w:r>
      <w:r>
        <w:rPr>
          <w:position w:val="6"/>
          <w:sz w:val="18"/>
          <w:lang w:val="es-ES_tradnl"/>
        </w:rPr>
        <w:t>)</w:t>
      </w:r>
      <w:r>
        <w:rPr>
          <w:lang w:val="es-ES_tradnl"/>
        </w:rPr>
        <w:t xml:space="preserve"> </w:t>
      </w:r>
      <w:r>
        <w:rPr>
          <w:lang w:val="es-ES"/>
        </w:rPr>
        <w:t>– 1)</w:t>
      </w:r>
      <w:r>
        <w:rPr>
          <w:position w:val="6"/>
          <w:sz w:val="18"/>
          <w:lang w:val="es-ES_tradnl"/>
        </w:rPr>
        <w:t>1/2</w:t>
      </w:r>
      <w:r>
        <w:rPr>
          <w:lang w:val="es-ES_tradnl"/>
        </w:rPr>
        <w:t> </w:t>
      </w:r>
      <w:r>
        <w:rPr>
          <w:i/>
          <w:iCs/>
          <w:lang w:val="es-ES_tradnl"/>
        </w:rPr>
        <w:t xml:space="preserve">h </w:t>
      </w:r>
      <w:r>
        <w:rPr>
          <w:lang w:val="es-ES_tradnl"/>
        </w:rPr>
        <w:t>               km</w:t>
      </w:r>
      <w:r>
        <w:rPr>
          <w:lang w:val="es-ES_tradnl"/>
        </w:rPr>
        <w:tab/>
        <w:t>(</w:t>
      </w:r>
      <w:r>
        <w:rPr>
          <w:lang w:val="es-ES"/>
        </w:rPr>
        <w:t>26</w:t>
      </w:r>
      <w:r>
        <w:rPr>
          <w:lang w:val="es-ES_tradnl"/>
        </w:rPr>
        <w:t>)</w:t>
      </w:r>
    </w:p>
    <w:p w:rsidR="00220BE7" w:rsidRDefault="00220BE7">
      <w:pPr>
        <w:rPr>
          <w:lang w:val="es-ES_tradnl"/>
        </w:rPr>
      </w:pPr>
      <w:r>
        <w:rPr>
          <w:lang w:val="en-US"/>
        </w:rPr>
        <w:t>where:</w:t>
      </w:r>
    </w:p>
    <w:p w:rsidR="00220BE7" w:rsidRDefault="00220BE7">
      <w:pPr>
        <w:pStyle w:val="enumlev1"/>
        <w:tabs>
          <w:tab w:val="left" w:pos="1560"/>
        </w:tabs>
        <w:spacing w:line="240" w:lineRule="exact"/>
        <w:ind w:left="879" w:hanging="879"/>
        <w:rPr>
          <w:lang w:val="es-ES_tradnl"/>
        </w:rPr>
      </w:pPr>
      <w:r>
        <w:rPr>
          <w:lang w:val="en-US"/>
        </w:rPr>
        <w:tab/>
      </w:r>
      <w:r>
        <w:rPr>
          <w:i/>
          <w:iCs/>
          <w:lang w:val="es-ES_tradnl"/>
        </w:rPr>
        <w:t>D</w:t>
      </w:r>
      <w:r>
        <w:rPr>
          <w:lang w:val="es-ES_tradnl"/>
        </w:rPr>
        <w:t>(</w:t>
      </w:r>
      <w:r>
        <w:rPr>
          <w:rFonts w:ascii="Symbol" w:hAnsi="Symbol"/>
        </w:rPr>
        <w:t></w:t>
      </w:r>
      <w:r>
        <w:rPr>
          <w:position w:val="-4"/>
          <w:sz w:val="16"/>
          <w:lang w:val="en-US"/>
        </w:rPr>
        <w:t>0</w:t>
      </w:r>
      <w:r>
        <w:rPr>
          <w:lang w:val="es-ES_tradnl"/>
        </w:rPr>
        <w:t xml:space="preserve">)  </w:t>
      </w:r>
      <w:r>
        <w:rPr>
          <w:rFonts w:ascii="Symbol" w:hAnsi="Symbol"/>
        </w:rPr>
        <w:t></w:t>
      </w:r>
      <w:r>
        <w:rPr>
          <w:lang w:val="es-ES_tradnl"/>
        </w:rPr>
        <w:t xml:space="preserve">  </w:t>
      </w:r>
      <w:r>
        <w:t>(</w:t>
      </w:r>
      <w:r>
        <w:rPr>
          <w:i/>
          <w:iCs/>
        </w:rPr>
        <w:t>I</w:t>
      </w:r>
      <w:r>
        <w:rPr>
          <w:i/>
          <w:iCs/>
          <w:position w:val="-4"/>
          <w:sz w:val="16"/>
        </w:rPr>
        <w:t>received</w:t>
      </w:r>
      <w:r>
        <w:t>/</w:t>
      </w:r>
      <w:r>
        <w:rPr>
          <w:i/>
          <w:iCs/>
        </w:rPr>
        <w:t>N</w:t>
      </w:r>
      <w:r>
        <w:t>)</w:t>
      </w:r>
      <w:r>
        <w:rPr>
          <w:i/>
          <w:iCs/>
          <w:position w:val="-4"/>
          <w:sz w:val="16"/>
        </w:rPr>
        <w:t>centre</w:t>
      </w:r>
      <w:r>
        <w:rPr>
          <w:lang w:val="es-ES_tradnl"/>
        </w:rPr>
        <w:t xml:space="preserve"> + </w:t>
      </w:r>
      <w:r>
        <w:rPr>
          <w:i/>
          <w:lang w:val="es-ES_tradnl"/>
        </w:rPr>
        <w:t>G</w:t>
      </w:r>
      <w:r>
        <w:rPr>
          <w:i/>
          <w:position w:val="-4"/>
          <w:sz w:val="16"/>
          <w:lang w:val="es-ES_tradnl"/>
        </w:rPr>
        <w:t>victim</w:t>
      </w:r>
      <w:r>
        <w:rPr>
          <w:lang w:val="en-US"/>
        </w:rPr>
        <w:t>(</w:t>
      </w:r>
      <w:r>
        <w:rPr>
          <w:rFonts w:ascii="Symbol" w:hAnsi="Symbol"/>
        </w:rPr>
        <w:t></w:t>
      </w:r>
      <w:r>
        <w:rPr>
          <w:lang w:val="en-US"/>
        </w:rPr>
        <w:t xml:space="preserve">/2 – </w:t>
      </w:r>
      <w:r>
        <w:rPr>
          <w:rFonts w:ascii="Symbol" w:hAnsi="Symbol"/>
        </w:rPr>
        <w:t></w:t>
      </w:r>
      <w:r>
        <w:rPr>
          <w:position w:val="-4"/>
          <w:sz w:val="16"/>
          <w:lang w:val="en-US"/>
        </w:rPr>
        <w:t>0</w:t>
      </w:r>
      <w:r>
        <w:rPr>
          <w:lang w:val="en-US"/>
        </w:rPr>
        <w:t xml:space="preserve">) – </w:t>
      </w:r>
      <w:r>
        <w:rPr>
          <w:i/>
          <w:iCs/>
        </w:rPr>
        <w:t>Threshold</w:t>
      </w:r>
      <w:r>
        <w:t xml:space="preserve"> – </w:t>
      </w:r>
      <w:r>
        <w:rPr>
          <w:i/>
          <w:iCs/>
        </w:rPr>
        <w:t>L</w:t>
      </w:r>
      <w:r>
        <w:rPr>
          <w:i/>
          <w:iCs/>
          <w:position w:val="-4"/>
          <w:sz w:val="16"/>
        </w:rPr>
        <w:t>N</w:t>
      </w:r>
    </w:p>
    <w:p w:rsidR="00220BE7" w:rsidRDefault="00220BE7">
      <w:pPr>
        <w:pStyle w:val="enumlev1"/>
        <w:tabs>
          <w:tab w:val="left" w:pos="1560"/>
        </w:tabs>
        <w:spacing w:line="240" w:lineRule="exact"/>
        <w:ind w:left="879" w:hanging="879"/>
        <w:rPr>
          <w:lang w:val="es-ES_tradnl"/>
        </w:rPr>
      </w:pPr>
      <w:r>
        <w:rPr>
          <w:lang w:val="en-US"/>
        </w:rPr>
        <w:tab/>
      </w:r>
      <w:r>
        <w:rPr>
          <w:i/>
          <w:iCs/>
          <w:lang w:val="es-ES_tradnl"/>
        </w:rPr>
        <w:t>B</w:t>
      </w:r>
      <w:r>
        <w:rPr>
          <w:lang w:val="es-ES_tradnl"/>
        </w:rPr>
        <w:t>(</w:t>
      </w:r>
      <w:r>
        <w:rPr>
          <w:rFonts w:ascii="Symbol" w:hAnsi="Symbol"/>
        </w:rPr>
        <w:t></w:t>
      </w:r>
      <w:r>
        <w:rPr>
          <w:position w:val="-4"/>
          <w:sz w:val="16"/>
          <w:lang w:val="en-US"/>
        </w:rPr>
        <w:t>0</w:t>
      </w:r>
      <w:r>
        <w:rPr>
          <w:lang w:val="es-ES_tradnl"/>
        </w:rPr>
        <w:t xml:space="preserve">)  </w:t>
      </w:r>
      <w:r>
        <w:rPr>
          <w:rFonts w:ascii="Symbol" w:hAnsi="Symbol"/>
        </w:rPr>
        <w:t></w:t>
      </w:r>
      <w:r>
        <w:rPr>
          <w:lang w:val="es-ES_tradnl"/>
        </w:rPr>
        <w:t xml:space="preserve">  </w:t>
      </w:r>
      <w:r>
        <w:t>0.1</w:t>
      </w:r>
      <w:r>
        <w:rPr>
          <w:sz w:val="24"/>
        </w:rPr>
        <w:t>[</w:t>
      </w:r>
      <w:r>
        <w:t>(</w:t>
      </w:r>
      <w:r>
        <w:rPr>
          <w:i/>
          <w:iCs/>
        </w:rPr>
        <w:t>I</w:t>
      </w:r>
      <w:r>
        <w:rPr>
          <w:i/>
          <w:iCs/>
          <w:position w:val="-4"/>
          <w:sz w:val="16"/>
        </w:rPr>
        <w:t>received</w:t>
      </w:r>
      <w:r>
        <w:t>/</w:t>
      </w:r>
      <w:r>
        <w:rPr>
          <w:i/>
          <w:iCs/>
        </w:rPr>
        <w:t>N</w:t>
      </w:r>
      <w:r>
        <w:t>)</w:t>
      </w:r>
      <w:r>
        <w:rPr>
          <w:i/>
          <w:iCs/>
          <w:position w:val="-4"/>
          <w:sz w:val="16"/>
        </w:rPr>
        <w:t>centre</w:t>
      </w:r>
      <w:r>
        <w:rPr>
          <w:lang w:val="es-ES_tradnl"/>
        </w:rPr>
        <w:t xml:space="preserve"> + </w:t>
      </w:r>
      <w:r>
        <w:rPr>
          <w:i/>
          <w:lang w:val="es-ES_tradnl"/>
        </w:rPr>
        <w:t>G</w:t>
      </w:r>
      <w:r>
        <w:rPr>
          <w:i/>
          <w:position w:val="-4"/>
          <w:sz w:val="16"/>
          <w:lang w:val="es-ES_tradnl"/>
        </w:rPr>
        <w:t>victim</w:t>
      </w:r>
      <w:r>
        <w:rPr>
          <w:lang w:val="en-US"/>
        </w:rPr>
        <w:t>(</w:t>
      </w:r>
      <w:r>
        <w:rPr>
          <w:rFonts w:ascii="Symbol" w:hAnsi="Symbol"/>
        </w:rPr>
        <w:t></w:t>
      </w:r>
      <w:r>
        <w:rPr>
          <w:lang w:val="en-US"/>
        </w:rPr>
        <w:t xml:space="preserve">/2 – </w:t>
      </w:r>
      <w:r>
        <w:rPr>
          <w:rFonts w:ascii="Symbol" w:hAnsi="Symbol"/>
        </w:rPr>
        <w:t></w:t>
      </w:r>
      <w:r>
        <w:rPr>
          <w:position w:val="-4"/>
          <w:sz w:val="16"/>
          <w:lang w:val="en-US"/>
        </w:rPr>
        <w:t>0</w:t>
      </w:r>
      <w:r>
        <w:rPr>
          <w:lang w:val="en-US"/>
        </w:rPr>
        <w:t xml:space="preserve">) – </w:t>
      </w:r>
      <w:r>
        <w:rPr>
          <w:i/>
          <w:iCs/>
        </w:rPr>
        <w:t>Threshold</w:t>
      </w:r>
      <w:r>
        <w:rPr>
          <w:sz w:val="24"/>
        </w:rPr>
        <w:t>]</w:t>
      </w:r>
      <w:r>
        <w:t>.</w:t>
      </w:r>
    </w:p>
    <w:p w:rsidR="00220BE7" w:rsidRDefault="00220BE7">
      <w:r>
        <w:t xml:space="preserve">Since even at the largest coverage radius of 158 km considered here, the elevation angle, and hence </w:t>
      </w:r>
      <w:r>
        <w:rPr>
          <w:rFonts w:ascii="Symbol" w:hAnsi="Symbol"/>
        </w:rPr>
        <w:t></w:t>
      </w:r>
      <w:r>
        <w:t xml:space="preserve"> if the base station is assumed to be right next to the HAPS coverage boundary, is around 8</w:t>
      </w:r>
      <w:r>
        <w:rPr>
          <w:vertAlign w:val="superscript"/>
        </w:rPr>
        <w:t>o</w:t>
      </w:r>
      <w:r>
        <w:t>, which is already well outside the main lobe of the base station’s elevation plane. It follows that for smaller HAPS coverage radius (</w:t>
      </w:r>
      <w:r>
        <w:rPr>
          <w:rFonts w:ascii="Symbol" w:hAnsi="Symbol"/>
        </w:rPr>
        <w:t></w:t>
      </w:r>
      <w:r>
        <w:t xml:space="preserve"> 100 km), the base station antenna gain is essentially 0 dBi. For HAPS having a coverage radius between 100 km and 160 km, the effective base station antenna gain can range from 3 dBi to 4 dBi. This will drastically increase the coordination radius.</w:t>
      </w:r>
    </w:p>
    <w:p w:rsidR="00220BE7" w:rsidRDefault="00220BE7">
      <w:r>
        <w:br w:type="page"/>
      </w:r>
      <w:r>
        <w:lastRenderedPageBreak/>
        <w:t>Figure 10 gives the required coordination distance between the tower-based base station and the interfering HAPS for the case of 13 dBi base station antenna. Also plotted is the required coordination distance between HAPS and a tower-based mobile station. The HAPS parameters are assumed to be the same. HAPS is assumed to use IMT-2000 CDMA direct Spread access format. It is seen that owing to the higher directivity of the base station antenna, the required coordination distance is actually less than the corresponding one for the mobile station.</w:t>
      </w:r>
    </w:p>
    <w:p w:rsidR="00220BE7" w:rsidRDefault="00220BE7"/>
    <w:p w:rsidR="00220BE7" w:rsidRDefault="00220BE7"/>
    <w:p w:rsidR="00220BE7" w:rsidRDefault="00737A63">
      <w:pPr>
        <w:pStyle w:val="Fig"/>
      </w:pPr>
      <w:r>
        <w:rPr>
          <w:noProof/>
          <w:lang w:eastAsia="zh-CN"/>
        </w:rPr>
        <w:drawing>
          <wp:inline distT="0" distB="0" distL="0" distR="0">
            <wp:extent cx="5928360" cy="38785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28360" cy="3878580"/>
                    </a:xfrm>
                    <a:prstGeom prst="rect">
                      <a:avLst/>
                    </a:prstGeom>
                    <a:noFill/>
                    <a:ln>
                      <a:noFill/>
                    </a:ln>
                  </pic:spPr>
                </pic:pic>
              </a:graphicData>
            </a:graphic>
          </wp:inline>
        </w:drawing>
      </w:r>
    </w:p>
    <w:p w:rsidR="00220BE7" w:rsidRDefault="00220BE7">
      <w:pPr>
        <w:rPr>
          <w:lang w:val="en-US"/>
        </w:rPr>
      </w:pPr>
    </w:p>
    <w:p w:rsidR="00220BE7" w:rsidRDefault="00220BE7">
      <w:pPr>
        <w:rPr>
          <w:lang w:val="es-ES_tradnl"/>
        </w:rPr>
      </w:pPr>
    </w:p>
    <w:p w:rsidR="00220BE7" w:rsidRDefault="00220BE7">
      <w:pPr>
        <w:rPr>
          <w:lang w:val="es-ES_tradnl"/>
        </w:rPr>
      </w:pPr>
    </w:p>
    <w:p w:rsidR="00220BE7" w:rsidRDefault="00220BE7">
      <w:pPr>
        <w:rPr>
          <w:lang w:val="es-ES_tradnl"/>
        </w:rPr>
      </w:pPr>
    </w:p>
    <w:p w:rsidR="00220BE7" w:rsidRDefault="00220BE7">
      <w:pPr>
        <w:pStyle w:val="Appendix"/>
        <w:spacing w:line="360" w:lineRule="auto"/>
        <w:rPr>
          <w:lang w:val="es-ES_tradnl"/>
        </w:rPr>
      </w:pPr>
      <w:r>
        <w:rPr>
          <w:lang w:val="en-US"/>
        </w:rPr>
        <w:t>APPENDIX</w:t>
      </w:r>
      <w:r>
        <w:rPr>
          <w:lang w:val="es-ES_tradnl"/>
        </w:rPr>
        <w:t xml:space="preserve">  1</w:t>
      </w:r>
      <w:r>
        <w:rPr>
          <w:lang w:val="es-ES_tradnl"/>
        </w:rPr>
        <w:br/>
      </w:r>
      <w:r>
        <w:t>TO</w:t>
      </w:r>
      <w:r>
        <w:rPr>
          <w:lang w:val="en-US"/>
        </w:rPr>
        <w:t xml:space="preserve"> ANNEX</w:t>
      </w:r>
      <w:r>
        <w:rPr>
          <w:lang w:val="es-ES_tradnl"/>
        </w:rPr>
        <w:t xml:space="preserve">  1</w:t>
      </w:r>
    </w:p>
    <w:p w:rsidR="00220BE7" w:rsidRDefault="00220BE7">
      <w:pPr>
        <w:pStyle w:val="AppendixTitle"/>
        <w:rPr>
          <w:lang w:val="es-ES_tradnl"/>
        </w:rPr>
      </w:pPr>
      <w:r>
        <w:t>Reference antenna radiation patterns for HAPS</w:t>
      </w:r>
    </w:p>
    <w:p w:rsidR="00220BE7" w:rsidRDefault="00220BE7">
      <w:pPr>
        <w:pStyle w:val="Heading1"/>
      </w:pPr>
      <w:r>
        <w:t>1</w:t>
      </w:r>
      <w:r>
        <w:tab/>
        <w:t>Reference antenna radiation patterns for HAPS CDMA and TDMA systems</w:t>
      </w:r>
    </w:p>
    <w:p w:rsidR="00220BE7" w:rsidRDefault="00220BE7">
      <w:r>
        <w:t xml:space="preserve">The antenna radiation pattern for platform antennas is based on a high-performance, multi-beam phased array using digital beam-forming technology and a cosine square illumination profile. The roll-off assumed is 60 dB/decade, which is much better than the 25 dB/decade performance of a parabolic antenna. The improved roll-off enables a significant capacity improvement for interference-limited CDMA and TDMA systems. Thus, the reference radiation pattern is given in </w:t>
      </w:r>
      <w:r>
        <w:rPr>
          <w:i/>
          <w:iCs/>
        </w:rPr>
        <w:t xml:space="preserve">recommends </w:t>
      </w:r>
      <w:r>
        <w:t>2.</w:t>
      </w:r>
    </w:p>
    <w:p w:rsidR="00220BE7" w:rsidRDefault="00220BE7">
      <w:r>
        <w:t xml:space="preserve">The far side-lobe level of </w:t>
      </w:r>
      <w:r>
        <w:rPr>
          <w:i/>
          <w:lang w:val="es-ES_tradnl"/>
        </w:rPr>
        <w:t>G</w:t>
      </w:r>
      <w:r>
        <w:rPr>
          <w:i/>
          <w:position w:val="-4"/>
          <w:sz w:val="16"/>
          <w:lang w:val="es-ES_tradnl"/>
        </w:rPr>
        <w:t>m</w:t>
      </w:r>
      <w:r>
        <w:t xml:space="preserve"> – 73 dBi is consistent with a manufacturing tolerance of 0.002 in. If the manufacturing tolerance is better than 0.002 in., the effect of phase error is insignificant.</w:t>
      </w:r>
    </w:p>
    <w:p w:rsidR="00220BE7" w:rsidRDefault="00220BE7">
      <w:r>
        <w:br w:type="page"/>
      </w:r>
      <w:r>
        <w:lastRenderedPageBreak/>
        <w:t xml:space="preserve">Figure 11 shows the radiation pattern of a phased array antenna with </w:t>
      </w:r>
      <w:r>
        <w:rPr>
          <w:lang w:val="en-US"/>
        </w:rPr>
        <w:t>10 </w:t>
      </w:r>
      <w:r>
        <w:rPr>
          <w:rFonts w:ascii="Symbol" w:hAnsi="Symbol"/>
          <w:lang w:val="fr-FR"/>
        </w:rPr>
        <w:t></w:t>
      </w:r>
      <w:r>
        <w:rPr>
          <w:lang w:val="en-US"/>
        </w:rPr>
        <w:t> 10 m</w:t>
      </w:r>
      <w:r>
        <w:t xml:space="preserve"> sub-aperture illumination and the mask as defined in equations (1) to (9).</w:t>
      </w:r>
    </w:p>
    <w:p w:rsidR="00220BE7" w:rsidRDefault="00220BE7">
      <w:pPr>
        <w:rPr>
          <w:lang w:val="es-ES_tradnl"/>
        </w:rPr>
      </w:pPr>
    </w:p>
    <w:p w:rsidR="00220BE7" w:rsidRDefault="00737A63">
      <w:pPr>
        <w:pStyle w:val="Fig"/>
        <w:rPr>
          <w:lang w:val="fr-FR"/>
        </w:rPr>
      </w:pPr>
      <w:r>
        <w:rPr>
          <w:noProof/>
          <w:lang w:eastAsia="zh-CN"/>
        </w:rPr>
        <w:drawing>
          <wp:inline distT="0" distB="0" distL="0" distR="0">
            <wp:extent cx="4861560" cy="43586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61560" cy="4358640"/>
                    </a:xfrm>
                    <a:prstGeom prst="rect">
                      <a:avLst/>
                    </a:prstGeom>
                    <a:noFill/>
                    <a:ln>
                      <a:noFill/>
                    </a:ln>
                  </pic:spPr>
                </pic:pic>
              </a:graphicData>
            </a:graphic>
          </wp:inline>
        </w:drawing>
      </w:r>
    </w:p>
    <w:p w:rsidR="00220BE7" w:rsidRDefault="00220BE7"/>
    <w:p w:rsidR="00220BE7" w:rsidRDefault="00220BE7">
      <w:pPr>
        <w:rPr>
          <w:lang w:val="es-ES_tradnl"/>
        </w:rPr>
      </w:pPr>
    </w:p>
    <w:p w:rsidR="00220BE7" w:rsidRDefault="00220BE7">
      <w:pPr>
        <w:rPr>
          <w:lang w:val="es-ES_tradnl"/>
        </w:rPr>
      </w:pPr>
    </w:p>
    <w:p w:rsidR="00220BE7" w:rsidRDefault="00220BE7">
      <w:pPr>
        <w:rPr>
          <w:lang w:val="es-ES_tradnl"/>
        </w:rPr>
      </w:pPr>
    </w:p>
    <w:p w:rsidR="00220BE7" w:rsidRDefault="00220BE7">
      <w:pPr>
        <w:rPr>
          <w:lang w:val="es-ES_tradnl"/>
        </w:rPr>
      </w:pPr>
    </w:p>
    <w:p w:rsidR="00220BE7" w:rsidRDefault="00220BE7">
      <w:pPr>
        <w:pStyle w:val="Annex"/>
        <w:rPr>
          <w:lang w:val="en-US"/>
        </w:rPr>
      </w:pPr>
      <w:r>
        <w:t>ANNEX</w:t>
      </w:r>
      <w:r>
        <w:rPr>
          <w:lang w:val="en-US"/>
        </w:rPr>
        <w:t xml:space="preserve">  2</w:t>
      </w:r>
    </w:p>
    <w:p w:rsidR="00220BE7" w:rsidRDefault="00220BE7">
      <w:pPr>
        <w:pStyle w:val="AnnexTitle"/>
      </w:pPr>
      <w:r>
        <w:t xml:space="preserve">Basis for the pfd levels in </w:t>
      </w:r>
      <w:r>
        <w:rPr>
          <w:i/>
          <w:iCs/>
        </w:rPr>
        <w:t xml:space="preserve">recommends </w:t>
      </w:r>
      <w:r>
        <w:t>4 and 5</w:t>
      </w:r>
    </w:p>
    <w:p w:rsidR="00220BE7" w:rsidRDefault="00220BE7">
      <w:pPr>
        <w:pStyle w:val="Heading1"/>
      </w:pPr>
      <w:r>
        <w:t>1</w:t>
      </w:r>
      <w:r>
        <w:tab/>
        <w:t>OoB pfd levels established for HAPS in the bands 2 160-2 200 MHz in Region 2 and 2 170-2 200 MHz in Regions 1 and 3</w:t>
      </w:r>
    </w:p>
    <w:p w:rsidR="00220BE7" w:rsidRDefault="00220BE7">
      <w:r>
        <w:t xml:space="preserve">The pfd level of </w:t>
      </w:r>
      <w:r>
        <w:rPr>
          <w:lang w:val="es-ES_tradnl"/>
        </w:rPr>
        <w:t>–</w:t>
      </w:r>
      <w:r>
        <w:rPr>
          <w:sz w:val="4"/>
          <w:lang w:val="es-ES_tradnl"/>
        </w:rPr>
        <w:t> </w:t>
      </w:r>
      <w:r>
        <w:rPr>
          <w:lang w:val="en-US"/>
        </w:rPr>
        <w:t>165 </w:t>
      </w:r>
      <w:r>
        <w:rPr>
          <w:lang w:val="es-ES_tradnl"/>
        </w:rPr>
        <w:t>dB(W/(m</w:t>
      </w:r>
      <w:r>
        <w:rPr>
          <w:position w:val="6"/>
          <w:sz w:val="16"/>
          <w:lang w:val="es-ES_tradnl"/>
        </w:rPr>
        <w:t>2</w:t>
      </w:r>
      <w:r>
        <w:rPr>
          <w:lang w:val="es-ES_tradnl"/>
        </w:rPr>
        <w:t xml:space="preserve"> </w:t>
      </w:r>
      <w:r>
        <w:rPr>
          <w:rFonts w:ascii="Symbol" w:hAnsi="Symbol"/>
        </w:rPr>
        <w:t></w:t>
      </w:r>
      <w:r>
        <w:rPr>
          <w:lang w:val="es-ES_tradnl"/>
        </w:rPr>
        <w:t xml:space="preserve"> 4 kHz))</w:t>
      </w:r>
      <w:r>
        <w:t xml:space="preserve"> provided in </w:t>
      </w:r>
      <w:r>
        <w:rPr>
          <w:i/>
          <w:iCs/>
        </w:rPr>
        <w:t>recommends</w:t>
      </w:r>
      <w:r>
        <w:t xml:space="preserve"> 4 is based on the following.</w:t>
      </w:r>
    </w:p>
    <w:p w:rsidR="00220BE7" w:rsidRDefault="00220BE7">
      <w:r>
        <w:t xml:space="preserve">The permissible OoB emission interference level is determined from the requirement that the interference from HAPS into a MES with a 15 dBi antenna gain should be no greater than 10 dB below the thermal noise level of </w:t>
      </w:r>
      <w:r>
        <w:rPr>
          <w:position w:val="7"/>
          <w:lang w:val="es-ES_tradnl"/>
        </w:rPr>
        <w:t>_</w:t>
      </w:r>
      <w:r>
        <w:rPr>
          <w:sz w:val="4"/>
          <w:lang w:val="es-ES_tradnl"/>
        </w:rPr>
        <w:t> </w:t>
      </w:r>
      <w:r>
        <w:rPr>
          <w:lang w:val="en-US"/>
        </w:rPr>
        <w:t>167.8 dB(W/4 kHz)</w:t>
      </w:r>
      <w:r>
        <w:t xml:space="preserve">. Since this corresponds to a pfd of </w:t>
      </w:r>
      <w:r>
        <w:rPr>
          <w:lang w:val="es-ES_tradnl"/>
        </w:rPr>
        <w:t>–</w:t>
      </w:r>
      <w:r>
        <w:rPr>
          <w:sz w:val="4"/>
          <w:lang w:val="es-ES_tradnl"/>
        </w:rPr>
        <w:t> </w:t>
      </w:r>
      <w:r>
        <w:rPr>
          <w:lang w:val="en-US"/>
        </w:rPr>
        <w:t>155 </w:t>
      </w:r>
      <w:r>
        <w:rPr>
          <w:lang w:val="es-ES_tradnl"/>
        </w:rPr>
        <w:t>dB(W/(m</w:t>
      </w:r>
      <w:r>
        <w:rPr>
          <w:position w:val="6"/>
          <w:sz w:val="16"/>
          <w:lang w:val="es-ES_tradnl"/>
        </w:rPr>
        <w:t>2</w:t>
      </w:r>
      <w:r>
        <w:rPr>
          <w:lang w:val="es-ES_tradnl"/>
        </w:rPr>
        <w:t xml:space="preserve"> </w:t>
      </w:r>
      <w:r>
        <w:rPr>
          <w:rFonts w:ascii="Symbol" w:hAnsi="Symbol"/>
        </w:rPr>
        <w:t></w:t>
      </w:r>
      <w:r>
        <w:rPr>
          <w:lang w:val="es-ES_tradnl"/>
        </w:rPr>
        <w:t xml:space="preserve"> 4 kHz))</w:t>
      </w:r>
      <w:r>
        <w:t xml:space="preserve">, assuming a feeder loss of 0.5 dB, this gives the permissible interference level of </w:t>
      </w:r>
      <w:r>
        <w:rPr>
          <w:lang w:val="es-ES_tradnl"/>
        </w:rPr>
        <w:t>–</w:t>
      </w:r>
      <w:r>
        <w:rPr>
          <w:sz w:val="4"/>
          <w:lang w:val="es-ES_tradnl"/>
        </w:rPr>
        <w:t> </w:t>
      </w:r>
      <w:r>
        <w:rPr>
          <w:lang w:val="en-US"/>
        </w:rPr>
        <w:t>165 </w:t>
      </w:r>
      <w:r>
        <w:rPr>
          <w:lang w:val="es-ES_tradnl"/>
        </w:rPr>
        <w:t>dB(W/(m</w:t>
      </w:r>
      <w:r>
        <w:rPr>
          <w:position w:val="6"/>
          <w:sz w:val="16"/>
          <w:lang w:val="es-ES_tradnl"/>
        </w:rPr>
        <w:t>2</w:t>
      </w:r>
      <w:r>
        <w:rPr>
          <w:lang w:val="es-ES_tradnl"/>
        </w:rPr>
        <w:t xml:space="preserve"> </w:t>
      </w:r>
      <w:r>
        <w:rPr>
          <w:rFonts w:ascii="Symbol" w:hAnsi="Symbol"/>
        </w:rPr>
        <w:t></w:t>
      </w:r>
      <w:r>
        <w:rPr>
          <w:lang w:val="es-ES_tradnl"/>
        </w:rPr>
        <w:t xml:space="preserve"> 4 kHz))</w:t>
      </w:r>
      <w:r>
        <w:t>. Note that this gives a permissible interference level that is as much as 24.5 dB below the thermal noise level for omnidirectional MES antennas, and 4.5 dB below the thermal noise level for a MES antenna with 20 dBi antenna gain.</w:t>
      </w:r>
    </w:p>
    <w:p w:rsidR="00220BE7" w:rsidRDefault="00220BE7">
      <w:r>
        <w:br w:type="page"/>
      </w:r>
      <w:r>
        <w:lastRenderedPageBreak/>
        <w:t xml:space="preserve">The justification for allowing a higher interference level for MES antennas with higher antenna gain is that, because of the higher directivity, only those MES that point close to HAPS receive these higher interference levels. Those higher gain MES that point in other directions will receive lower interference power. </w:t>
      </w:r>
    </w:p>
    <w:p w:rsidR="00220BE7" w:rsidRDefault="00220BE7">
      <w:r>
        <w:t>For HAPS operating IMT-2000 CDMA</w:t>
      </w:r>
      <w:r>
        <w:rPr>
          <w:lang w:val="en-US"/>
        </w:rPr>
        <w:t>-DS</w:t>
      </w:r>
      <w:r>
        <w:t>, the minimum OoB attenuation needed in order to satisfy the interference criterion is determined by the following inequality:</w:t>
      </w:r>
    </w:p>
    <w:p w:rsidR="00220BE7" w:rsidRDefault="00220BE7">
      <w:pPr>
        <w:pStyle w:val="Equation"/>
        <w:rPr>
          <w:lang w:val="en-US"/>
        </w:rPr>
      </w:pPr>
      <w:r>
        <w:rPr>
          <w:lang w:val="en-US"/>
        </w:rPr>
        <w:tab/>
      </w:r>
      <w:r>
        <w:rPr>
          <w:lang w:val="en-US"/>
        </w:rPr>
        <w:tab/>
        <w:t>–</w:t>
      </w:r>
      <w:r>
        <w:rPr>
          <w:sz w:val="4"/>
          <w:lang w:val="es-ES_tradnl"/>
        </w:rPr>
        <w:t> </w:t>
      </w:r>
      <w:r>
        <w:rPr>
          <w:lang w:val="en-US"/>
        </w:rPr>
        <w:t>98, </w:t>
      </w:r>
      <w:r>
        <w:rPr>
          <w:lang w:val="es-ES_tradnl"/>
        </w:rPr>
        <w:t>dB(W/(m</w:t>
      </w:r>
      <w:r>
        <w:rPr>
          <w:position w:val="6"/>
          <w:sz w:val="18"/>
        </w:rPr>
        <w:t>2</w:t>
      </w:r>
      <w:r>
        <w:rPr>
          <w:lang w:val="es-ES_tradnl"/>
        </w:rPr>
        <w:t xml:space="preserve"> </w:t>
      </w:r>
      <w:r>
        <w:rPr>
          <w:rFonts w:ascii="Symbol" w:hAnsi="Symbol"/>
        </w:rPr>
        <w:t></w:t>
      </w:r>
      <w:r>
        <w:rPr>
          <w:lang w:val="es-ES_tradnl"/>
        </w:rPr>
        <w:t xml:space="preserve"> 4 kHz))</w:t>
      </w:r>
      <w:r>
        <w:rPr>
          <w:lang w:val="en-US"/>
        </w:rPr>
        <w:t xml:space="preserve">  –  </w:t>
      </w:r>
      <w:r>
        <w:rPr>
          <w:i/>
          <w:iCs/>
          <w:lang w:val="en-US"/>
        </w:rPr>
        <w:t>ATTENUATION</w:t>
      </w:r>
      <w:r>
        <w:rPr>
          <w:i/>
          <w:iCs/>
          <w:position w:val="-4"/>
          <w:sz w:val="18"/>
          <w:lang w:val="en-US"/>
        </w:rPr>
        <w:t>OoB</w:t>
      </w:r>
      <w:r>
        <w:rPr>
          <w:lang w:val="en-US"/>
        </w:rPr>
        <w:t xml:space="preserve">  </w:t>
      </w:r>
      <w:r>
        <w:rPr>
          <w:rFonts w:ascii="Symbol" w:hAnsi="Symbol"/>
        </w:rPr>
        <w:sym w:font="Symbol" w:char="F0A3"/>
      </w:r>
      <w:r>
        <w:rPr>
          <w:lang w:val="en-US"/>
        </w:rPr>
        <w:t xml:space="preserve">  </w:t>
      </w:r>
      <w:r>
        <w:rPr>
          <w:lang w:val="es-ES_tradnl"/>
        </w:rPr>
        <w:t>–</w:t>
      </w:r>
      <w:r>
        <w:rPr>
          <w:sz w:val="4"/>
          <w:lang w:val="es-ES_tradnl"/>
        </w:rPr>
        <w:t> </w:t>
      </w:r>
      <w:r>
        <w:rPr>
          <w:lang w:val="en-US"/>
        </w:rPr>
        <w:t>165 </w:t>
      </w:r>
      <w:r>
        <w:rPr>
          <w:lang w:val="es-ES_tradnl"/>
        </w:rPr>
        <w:t>dB(W/(m</w:t>
      </w:r>
      <w:r>
        <w:rPr>
          <w:position w:val="6"/>
          <w:sz w:val="18"/>
        </w:rPr>
        <w:t>2</w:t>
      </w:r>
      <w:r>
        <w:rPr>
          <w:lang w:val="es-ES_tradnl"/>
        </w:rPr>
        <w:t xml:space="preserve"> </w:t>
      </w:r>
      <w:r>
        <w:rPr>
          <w:rFonts w:ascii="Symbol" w:hAnsi="Symbol"/>
        </w:rPr>
        <w:t></w:t>
      </w:r>
      <w:r>
        <w:rPr>
          <w:lang w:val="es-ES_tradnl"/>
        </w:rPr>
        <w:t xml:space="preserve"> 4 kHz))</w:t>
      </w:r>
      <w:r>
        <w:rPr>
          <w:lang w:val="en-US"/>
        </w:rPr>
        <w:tab/>
        <w:t>(27)</w:t>
      </w:r>
    </w:p>
    <w:p w:rsidR="00220BE7" w:rsidRDefault="00220BE7">
      <w:pPr>
        <w:rPr>
          <w:lang w:val="en-US"/>
        </w:rPr>
      </w:pPr>
      <w:r>
        <w:t xml:space="preserve">or </w:t>
      </w:r>
      <w:r>
        <w:rPr>
          <w:i/>
          <w:iCs/>
          <w:lang w:val="en-US"/>
        </w:rPr>
        <w:t>ATTENUATION</w:t>
      </w:r>
      <w:r>
        <w:rPr>
          <w:i/>
          <w:iCs/>
          <w:position w:val="-4"/>
          <w:sz w:val="16"/>
          <w:lang w:val="en-US"/>
        </w:rPr>
        <w:t>OoB</w:t>
      </w:r>
      <w:r>
        <w:t xml:space="preserve"> </w:t>
      </w:r>
      <w:r>
        <w:rPr>
          <w:rFonts w:ascii="Symbol" w:hAnsi="Symbol"/>
        </w:rPr>
        <w:t></w:t>
      </w:r>
      <w:r>
        <w:t xml:space="preserve"> 66.8 dB. Likewise, for HAPS TDMA systems, the OoB attenuation should satisfy the following inequality:</w:t>
      </w:r>
    </w:p>
    <w:p w:rsidR="00220BE7" w:rsidRDefault="00220BE7">
      <w:pPr>
        <w:pStyle w:val="Equation"/>
        <w:rPr>
          <w:lang w:val="en-US"/>
        </w:rPr>
      </w:pPr>
      <w:r>
        <w:rPr>
          <w:lang w:val="en-US"/>
        </w:rPr>
        <w:tab/>
      </w:r>
      <w:r>
        <w:rPr>
          <w:lang w:val="en-US"/>
        </w:rPr>
        <w:tab/>
        <w:t>–</w:t>
      </w:r>
      <w:r>
        <w:rPr>
          <w:sz w:val="4"/>
          <w:lang w:val="es-ES_tradnl"/>
        </w:rPr>
        <w:t> </w:t>
      </w:r>
      <w:r>
        <w:rPr>
          <w:lang w:val="en-US"/>
        </w:rPr>
        <w:t>96.8 </w:t>
      </w:r>
      <w:r>
        <w:rPr>
          <w:lang w:val="es-ES_tradnl"/>
        </w:rPr>
        <w:t>dB(W/(m</w:t>
      </w:r>
      <w:r>
        <w:rPr>
          <w:position w:val="6"/>
          <w:sz w:val="18"/>
          <w:lang w:val="en-US"/>
        </w:rPr>
        <w:t>2</w:t>
      </w:r>
      <w:r>
        <w:rPr>
          <w:lang w:val="es-ES_tradnl"/>
        </w:rPr>
        <w:t xml:space="preserve"> </w:t>
      </w:r>
      <w:r>
        <w:rPr>
          <w:rFonts w:ascii="Symbol" w:hAnsi="Symbol"/>
        </w:rPr>
        <w:t></w:t>
      </w:r>
      <w:r>
        <w:rPr>
          <w:lang w:val="es-ES_tradnl"/>
        </w:rPr>
        <w:t xml:space="preserve"> 4 kHz))</w:t>
      </w:r>
      <w:r>
        <w:rPr>
          <w:lang w:val="en-US"/>
        </w:rPr>
        <w:t xml:space="preserve">  –  </w:t>
      </w:r>
      <w:r>
        <w:rPr>
          <w:i/>
          <w:iCs/>
          <w:lang w:val="en-US"/>
        </w:rPr>
        <w:t>ATTENUATION</w:t>
      </w:r>
      <w:r>
        <w:rPr>
          <w:i/>
          <w:iCs/>
          <w:position w:val="-4"/>
          <w:sz w:val="18"/>
          <w:lang w:val="en-US"/>
        </w:rPr>
        <w:t>OoB</w:t>
      </w:r>
      <w:r>
        <w:rPr>
          <w:lang w:val="en-US"/>
        </w:rPr>
        <w:t xml:space="preserve">  </w:t>
      </w:r>
      <w:r>
        <w:rPr>
          <w:rFonts w:ascii="Symbol" w:hAnsi="Symbol"/>
        </w:rPr>
        <w:sym w:font="Symbol" w:char="F0A3"/>
      </w:r>
      <w:r>
        <w:rPr>
          <w:lang w:val="en-US"/>
        </w:rPr>
        <w:t xml:space="preserve">  </w:t>
      </w:r>
      <w:r>
        <w:rPr>
          <w:lang w:val="es-ES_tradnl"/>
        </w:rPr>
        <w:t>–</w:t>
      </w:r>
      <w:r>
        <w:rPr>
          <w:sz w:val="4"/>
          <w:lang w:val="es-ES_tradnl"/>
        </w:rPr>
        <w:t> </w:t>
      </w:r>
      <w:r>
        <w:rPr>
          <w:lang w:val="en-US"/>
        </w:rPr>
        <w:t>165 </w:t>
      </w:r>
      <w:r>
        <w:rPr>
          <w:lang w:val="es-ES_tradnl"/>
        </w:rPr>
        <w:t>dB(W/(m</w:t>
      </w:r>
      <w:r>
        <w:rPr>
          <w:position w:val="6"/>
          <w:sz w:val="18"/>
          <w:lang w:val="en-US"/>
        </w:rPr>
        <w:t>2</w:t>
      </w:r>
      <w:r>
        <w:rPr>
          <w:lang w:val="es-ES_tradnl"/>
        </w:rPr>
        <w:t xml:space="preserve"> </w:t>
      </w:r>
      <w:r>
        <w:rPr>
          <w:rFonts w:ascii="Symbol" w:hAnsi="Symbol"/>
        </w:rPr>
        <w:t></w:t>
      </w:r>
      <w:r>
        <w:rPr>
          <w:lang w:val="es-ES_tradnl"/>
        </w:rPr>
        <w:t xml:space="preserve"> 4 kHz))</w:t>
      </w:r>
      <w:r>
        <w:rPr>
          <w:lang w:val="en-US"/>
        </w:rPr>
        <w:tab/>
        <w:t>(28)</w:t>
      </w:r>
    </w:p>
    <w:p w:rsidR="00220BE7" w:rsidRDefault="00220BE7">
      <w:pPr>
        <w:rPr>
          <w:lang w:val="en-US"/>
        </w:rPr>
      </w:pPr>
      <w:r>
        <w:rPr>
          <w:lang w:val="en-US"/>
        </w:rPr>
        <w:t xml:space="preserve">or </w:t>
      </w:r>
      <w:r>
        <w:rPr>
          <w:i/>
          <w:iCs/>
          <w:lang w:val="en-US"/>
        </w:rPr>
        <w:t>ATTENUATION</w:t>
      </w:r>
      <w:r>
        <w:rPr>
          <w:i/>
          <w:iCs/>
          <w:position w:val="-4"/>
          <w:sz w:val="16"/>
          <w:lang w:val="en-US"/>
        </w:rPr>
        <w:t>OoB</w:t>
      </w:r>
      <w:r>
        <w:rPr>
          <w:lang w:val="en-US"/>
        </w:rPr>
        <w:t xml:space="preserve"> </w:t>
      </w:r>
      <w:r>
        <w:rPr>
          <w:rFonts w:ascii="Symbol" w:hAnsi="Symbol"/>
        </w:rPr>
        <w:t></w:t>
      </w:r>
      <w:r>
        <w:rPr>
          <w:lang w:val="en-US"/>
        </w:rPr>
        <w:t xml:space="preserve"> 68.2 dB.</w:t>
      </w:r>
    </w:p>
    <w:p w:rsidR="00220BE7" w:rsidRDefault="00220BE7">
      <w:pPr>
        <w:pStyle w:val="Heading1"/>
      </w:pPr>
      <w:r>
        <w:t>2</w:t>
      </w:r>
      <w:r>
        <w:tab/>
        <w:t>OoB pfd levels established for HAPS in the band 2 025-2 110 MHz</w:t>
      </w:r>
    </w:p>
    <w:p w:rsidR="00220BE7" w:rsidRDefault="00220BE7">
      <w:r>
        <w:t xml:space="preserve">The pfd level of </w:t>
      </w:r>
      <w:r>
        <w:rPr>
          <w:lang w:val="es-ES_tradnl"/>
        </w:rPr>
        <w:t>–</w:t>
      </w:r>
      <w:r>
        <w:rPr>
          <w:sz w:val="4"/>
          <w:lang w:val="es-ES_tradnl"/>
        </w:rPr>
        <w:t> </w:t>
      </w:r>
      <w:r>
        <w:rPr>
          <w:lang w:val="en-US"/>
        </w:rPr>
        <w:t>165 </w:t>
      </w:r>
      <w:r>
        <w:rPr>
          <w:lang w:val="es-ES_tradnl"/>
        </w:rPr>
        <w:t>dB(W/(m</w:t>
      </w:r>
      <w:r>
        <w:rPr>
          <w:position w:val="6"/>
          <w:sz w:val="16"/>
          <w:lang w:val="es-ES_tradnl"/>
        </w:rPr>
        <w:t>2</w:t>
      </w:r>
      <w:r>
        <w:rPr>
          <w:lang w:val="es-ES_tradnl"/>
        </w:rPr>
        <w:t xml:space="preserve"> </w:t>
      </w:r>
      <w:r>
        <w:rPr>
          <w:rFonts w:ascii="Symbol" w:hAnsi="Symbol"/>
        </w:rPr>
        <w:t></w:t>
      </w:r>
      <w:r>
        <w:rPr>
          <w:lang w:val="es-ES_tradnl"/>
        </w:rPr>
        <w:t xml:space="preserve"> 1 MHz))</w:t>
      </w:r>
      <w:r>
        <w:t xml:space="preserve"> provided in </w:t>
      </w:r>
      <w:r>
        <w:rPr>
          <w:i/>
          <w:iCs/>
        </w:rPr>
        <w:t>recommends</w:t>
      </w:r>
      <w:r>
        <w:t xml:space="preserve"> </w:t>
      </w:r>
      <w:r>
        <w:rPr>
          <w:lang w:val="en-US"/>
        </w:rPr>
        <w:t>5.1</w:t>
      </w:r>
      <w:r>
        <w:t xml:space="preserve"> for elevation angles between 0° and 5° is based on the following. The permissible OoB emission interference level is determined from the requirement that the interference from HAPS into a fixed service station with a 33 dBi antenna gain and a 5 dB noise figure should be no greater than 20 dB below the thermal noise level of –</w:t>
      </w:r>
      <w:r>
        <w:rPr>
          <w:sz w:val="4"/>
          <w:lang w:val="es-ES_tradnl"/>
        </w:rPr>
        <w:t> </w:t>
      </w:r>
      <w:r>
        <w:t>139 dB(W/MHz).</w:t>
      </w:r>
    </w:p>
    <w:p w:rsidR="00220BE7" w:rsidRDefault="00220BE7">
      <w:r>
        <w:t xml:space="preserve">The pfd level of </w:t>
      </w:r>
      <w:r>
        <w:rPr>
          <w:lang w:val="es-ES_tradnl"/>
        </w:rPr>
        <w:t>–</w:t>
      </w:r>
      <w:r>
        <w:rPr>
          <w:sz w:val="4"/>
          <w:lang w:val="es-ES_tradnl"/>
        </w:rPr>
        <w:t> </w:t>
      </w:r>
      <w:r>
        <w:rPr>
          <w:lang w:val="en-US"/>
        </w:rPr>
        <w:t>130 </w:t>
      </w:r>
      <w:r>
        <w:rPr>
          <w:lang w:val="es-ES_tradnl"/>
        </w:rPr>
        <w:t>dB(W/(m</w:t>
      </w:r>
      <w:r>
        <w:rPr>
          <w:position w:val="6"/>
          <w:sz w:val="16"/>
          <w:lang w:val="es-ES_tradnl"/>
        </w:rPr>
        <w:t>2</w:t>
      </w:r>
      <w:r>
        <w:rPr>
          <w:lang w:val="es-ES_tradnl"/>
        </w:rPr>
        <w:t xml:space="preserve"> </w:t>
      </w:r>
      <w:r>
        <w:rPr>
          <w:rFonts w:ascii="Symbol" w:hAnsi="Symbol"/>
        </w:rPr>
        <w:t></w:t>
      </w:r>
      <w:r>
        <w:rPr>
          <w:lang w:val="es-ES_tradnl"/>
        </w:rPr>
        <w:t xml:space="preserve"> 1 MHz))</w:t>
      </w:r>
      <w:r>
        <w:t xml:space="preserve"> provided in </w:t>
      </w:r>
      <w:r>
        <w:rPr>
          <w:i/>
          <w:iCs/>
        </w:rPr>
        <w:t>recommends</w:t>
      </w:r>
      <w:r>
        <w:t xml:space="preserve"> </w:t>
      </w:r>
      <w:r>
        <w:rPr>
          <w:lang w:val="en-US"/>
        </w:rPr>
        <w:t>5.3</w:t>
      </w:r>
      <w:r>
        <w:t xml:space="preserve"> for elevation angles between 25° and 90° is based on the same receiver protection characteristics but a fixed service antenna gain in the direction of the HAPS of 3.5 dBi.</w:t>
      </w:r>
    </w:p>
    <w:p w:rsidR="00220BE7" w:rsidRDefault="00220BE7"/>
    <w:p w:rsidR="00220BE7" w:rsidRDefault="00220BE7"/>
    <w:p w:rsidR="00220BE7" w:rsidRDefault="00220BE7"/>
    <w:p w:rsidR="00220BE7" w:rsidRDefault="00220BE7">
      <w:pPr>
        <w:pStyle w:val="Annex"/>
        <w:rPr>
          <w:lang w:val="en-US"/>
        </w:rPr>
      </w:pPr>
      <w:r>
        <w:t>ANNEX</w:t>
      </w:r>
      <w:r>
        <w:rPr>
          <w:lang w:val="en-US"/>
        </w:rPr>
        <w:t xml:space="preserve">  3</w:t>
      </w:r>
    </w:p>
    <w:p w:rsidR="00220BE7" w:rsidRDefault="00220BE7">
      <w:pPr>
        <w:pStyle w:val="AnnexTitle"/>
        <w:rPr>
          <w:lang w:val="en-US"/>
        </w:rPr>
      </w:pPr>
      <w:r>
        <w:rPr>
          <w:lang w:val="en-US"/>
        </w:rPr>
        <w:t xml:space="preserve">Compatibility between HAPS IMT-2000 systems and space research (SR), </w:t>
      </w:r>
      <w:r>
        <w:rPr>
          <w:lang w:val="en-US"/>
        </w:rPr>
        <w:br/>
        <w:t xml:space="preserve">space operation (SO), and Earth-exploration satellite (EES) services </w:t>
      </w:r>
      <w:r>
        <w:rPr>
          <w:lang w:val="en-US"/>
        </w:rPr>
        <w:br/>
        <w:t>operating in the adjacent band 2 025-2 110 MHz</w:t>
      </w:r>
    </w:p>
    <w:p w:rsidR="00220BE7" w:rsidRDefault="00220BE7">
      <w:pPr>
        <w:pStyle w:val="Normalaftertitle"/>
      </w:pPr>
      <w:r>
        <w:t>The space network consists of space-to-space links between a data-relay satellite (DRS) in GSO orbit and a low Earth</w:t>
      </w:r>
      <w:r>
        <w:noBreakHyphen/>
        <w:t>orbiting (LEO) satellite. The DRS transmit to a LEO in the band 2</w:t>
      </w:r>
      <w:r>
        <w:rPr>
          <w:rFonts w:ascii="Tms Rmn" w:hAnsi="Tms Rmn"/>
          <w:sz w:val="12"/>
        </w:rPr>
        <w:t> </w:t>
      </w:r>
      <w:r>
        <w:t>025-2</w:t>
      </w:r>
      <w:r>
        <w:rPr>
          <w:rFonts w:ascii="Tms Rmn" w:hAnsi="Tms Rmn"/>
          <w:sz w:val="12"/>
        </w:rPr>
        <w:t> </w:t>
      </w:r>
      <w:r>
        <w:t>110 MHz and receives transmission from LEO in the band 2</w:t>
      </w:r>
      <w:r>
        <w:rPr>
          <w:rFonts w:ascii="Tms Rmn" w:hAnsi="Tms Rmn"/>
          <w:sz w:val="12"/>
        </w:rPr>
        <w:t> </w:t>
      </w:r>
      <w:r>
        <w:t>200-2</w:t>
      </w:r>
      <w:r>
        <w:rPr>
          <w:rFonts w:ascii="Tms Rmn" w:hAnsi="Tms Rmn"/>
          <w:sz w:val="12"/>
        </w:rPr>
        <w:t> </w:t>
      </w:r>
      <w:r>
        <w:t>290 MHz. Thus the LEO satellite is susceptible to interference from emissions in the band 2</w:t>
      </w:r>
      <w:r>
        <w:rPr>
          <w:rFonts w:ascii="Tms Rmn" w:hAnsi="Tms Rmn"/>
          <w:sz w:val="12"/>
        </w:rPr>
        <w:t> </w:t>
      </w:r>
      <w:r>
        <w:t>025</w:t>
      </w:r>
      <w:r>
        <w:noBreakHyphen/>
        <w:t>2</w:t>
      </w:r>
      <w:r>
        <w:rPr>
          <w:rFonts w:ascii="Tms Rmn" w:hAnsi="Tms Rmn"/>
          <w:sz w:val="12"/>
        </w:rPr>
        <w:t> </w:t>
      </w:r>
      <w:r>
        <w:t>110 MHz. A LEO satellite may also communicate with earth stations in the ground network using Earth</w:t>
      </w:r>
      <w:r>
        <w:noBreakHyphen/>
        <w:t>space links. The Earth-space link transmits in the band 2</w:t>
      </w:r>
      <w:r>
        <w:rPr>
          <w:rFonts w:ascii="Tms Rmn" w:hAnsi="Tms Rmn"/>
          <w:sz w:val="12"/>
        </w:rPr>
        <w:t> </w:t>
      </w:r>
      <w:r>
        <w:t>025-2</w:t>
      </w:r>
      <w:r>
        <w:rPr>
          <w:rFonts w:ascii="Tms Rmn" w:hAnsi="Tms Rmn"/>
          <w:sz w:val="12"/>
        </w:rPr>
        <w:t> </w:t>
      </w:r>
      <w:r>
        <w:t>110 MHz to a LEO satellite and receives in the band 2</w:t>
      </w:r>
      <w:r>
        <w:rPr>
          <w:rFonts w:ascii="Tms Rmn" w:hAnsi="Tms Rmn"/>
          <w:sz w:val="12"/>
        </w:rPr>
        <w:t> </w:t>
      </w:r>
      <w:r>
        <w:t>200</w:t>
      </w:r>
      <w:r>
        <w:noBreakHyphen/>
        <w:t>2</w:t>
      </w:r>
      <w:r>
        <w:rPr>
          <w:rFonts w:ascii="Tms Rmn" w:hAnsi="Tms Rmn"/>
          <w:sz w:val="12"/>
        </w:rPr>
        <w:t> </w:t>
      </w:r>
      <w:r>
        <w:t>290 MHz from a LEO satellite.</w:t>
      </w:r>
    </w:p>
    <w:p w:rsidR="00220BE7" w:rsidRDefault="00220BE7">
      <w:r>
        <w:t>RR No. S5.391 refers to Recommendation ITU-R SA.1154 which recommends:</w:t>
      </w:r>
    </w:p>
    <w:p w:rsidR="00220BE7" w:rsidRDefault="00220BE7">
      <w:pPr>
        <w:rPr>
          <w:iCs/>
        </w:rPr>
      </w:pPr>
      <w:r>
        <w:t>“</w:t>
      </w:r>
      <w:r>
        <w:rPr>
          <w:b/>
          <w:lang w:val="en-US"/>
        </w:rPr>
        <w:t>1</w:t>
      </w:r>
      <w:r>
        <w:rPr>
          <w:b/>
          <w:iCs/>
        </w:rPr>
        <w:tab/>
      </w:r>
      <w:r>
        <w:rPr>
          <w:iCs/>
        </w:rPr>
        <w:t xml:space="preserve">that the following provisions are suitable to protect the SR, SO and EES services from aggregate interference from emissions of mobile systems in the </w:t>
      </w:r>
      <w:r>
        <w:rPr>
          <w:lang w:val="en-US"/>
        </w:rPr>
        <w:t>2</w:t>
      </w:r>
      <w:r>
        <w:rPr>
          <w:rFonts w:ascii="Tms Rmn" w:hAnsi="Tms Rmn"/>
          <w:sz w:val="12"/>
          <w:lang w:val="en-US"/>
        </w:rPr>
        <w:t> </w:t>
      </w:r>
      <w:r>
        <w:rPr>
          <w:lang w:val="en-US"/>
        </w:rPr>
        <w:t>025-2</w:t>
      </w:r>
      <w:r>
        <w:rPr>
          <w:rFonts w:ascii="Tms Rmn" w:hAnsi="Tms Rmn"/>
          <w:sz w:val="12"/>
          <w:lang w:val="en-US"/>
        </w:rPr>
        <w:t> </w:t>
      </w:r>
      <w:r>
        <w:rPr>
          <w:lang w:val="en-US"/>
        </w:rPr>
        <w:t xml:space="preserve">110 </w:t>
      </w:r>
      <w:r>
        <w:rPr>
          <w:iCs/>
        </w:rPr>
        <w:t>MHz band:</w:t>
      </w:r>
    </w:p>
    <w:p w:rsidR="00220BE7" w:rsidRDefault="00220BE7">
      <w:pPr>
        <w:rPr>
          <w:iCs/>
        </w:rPr>
      </w:pPr>
      <w:r>
        <w:rPr>
          <w:b/>
          <w:lang w:val="en-US"/>
        </w:rPr>
        <w:t>1.1</w:t>
      </w:r>
      <w:r>
        <w:rPr>
          <w:b/>
          <w:iCs/>
        </w:rPr>
        <w:tab/>
      </w:r>
      <w:r>
        <w:rPr>
          <w:iCs/>
        </w:rPr>
        <w:t>that the aggregate interference at the input terminals of the spacecraft receiver, except in the case of a space-to-space link, should not exceed –</w:t>
      </w:r>
      <w:r>
        <w:rPr>
          <w:sz w:val="4"/>
          <w:lang w:val="es-ES_tradnl"/>
        </w:rPr>
        <w:t> </w:t>
      </w:r>
      <w:r>
        <w:rPr>
          <w:lang w:val="en-US"/>
        </w:rPr>
        <w:t>180 dB(W/kHz)</w:t>
      </w:r>
      <w:r>
        <w:rPr>
          <w:iCs/>
        </w:rPr>
        <w:t xml:space="preserve"> for more than 0.1% of the time;</w:t>
      </w:r>
    </w:p>
    <w:p w:rsidR="00220BE7" w:rsidRDefault="00220BE7">
      <w:pPr>
        <w:rPr>
          <w:iCs/>
          <w:lang w:val="en-US"/>
        </w:rPr>
      </w:pPr>
      <w:r>
        <w:rPr>
          <w:b/>
          <w:lang w:val="en-US"/>
        </w:rPr>
        <w:t>1.2</w:t>
      </w:r>
      <w:r>
        <w:rPr>
          <w:b/>
          <w:iCs/>
        </w:rPr>
        <w:tab/>
      </w:r>
      <w:r>
        <w:rPr>
          <w:iCs/>
        </w:rPr>
        <w:t>that in the case of space-to-space links the aggregate interference at the input terminals of the spacecraft receiver should not exceed –</w:t>
      </w:r>
      <w:r>
        <w:rPr>
          <w:sz w:val="4"/>
          <w:lang w:val="es-ES_tradnl"/>
        </w:rPr>
        <w:t> </w:t>
      </w:r>
      <w:r>
        <w:rPr>
          <w:lang w:val="en-US"/>
        </w:rPr>
        <w:t>184 dB(W/kHz)</w:t>
      </w:r>
      <w:r>
        <w:rPr>
          <w:iCs/>
        </w:rPr>
        <w:t xml:space="preserve"> for more than 0.1% of the time</w:t>
      </w:r>
      <w:r>
        <w:rPr>
          <w:lang w:val="en-US"/>
        </w:rPr>
        <w:t>;”.</w:t>
      </w:r>
    </w:p>
    <w:p w:rsidR="00220BE7" w:rsidRDefault="00220BE7">
      <w:r>
        <w:t>Notwithstanding Recommendation 622 (WRC-97), which recommends to implement enhancements in technology to minimize the total bandwidth required by the space services, RR No. S5.391 and Recommendation ITU-R SA.1154 recommend that only low-density mobile systems be allowed to operate in these bands.</w:t>
      </w:r>
    </w:p>
    <w:p w:rsidR="00220BE7" w:rsidRDefault="00220BE7">
      <w:r>
        <w:br w:type="page"/>
      </w:r>
      <w:r>
        <w:lastRenderedPageBreak/>
        <w:t xml:space="preserve">Since RR No. S5.391 pertains only to in-band interference, it is deemed necessary to decrease the recommended in-band spectral density level by 5 dB. This gives a level of </w:t>
      </w:r>
      <w:r>
        <w:rPr>
          <w:iCs/>
        </w:rPr>
        <w:t>–</w:t>
      </w:r>
      <w:r>
        <w:rPr>
          <w:sz w:val="4"/>
          <w:lang w:val="es-ES_tradnl"/>
        </w:rPr>
        <w:t> </w:t>
      </w:r>
      <w:r>
        <w:rPr>
          <w:lang w:val="en-US"/>
        </w:rPr>
        <w:t>159 dB(W/MHz)</w:t>
      </w:r>
      <w:r>
        <w:t xml:space="preserve"> for the allowable aggregate interference at the input terminals of the receiver in the earth station for 99.9% of the time.</w:t>
      </w:r>
    </w:p>
    <w:p w:rsidR="00220BE7" w:rsidRDefault="00220BE7">
      <w:r>
        <w:t>Consider now the potential interference from HAPS to LEO satellites operating in the space network and receiving in the band 2</w:t>
      </w:r>
      <w:r>
        <w:rPr>
          <w:rFonts w:ascii="Tms Rmn" w:hAnsi="Tms Rmn"/>
          <w:sz w:val="12"/>
        </w:rPr>
        <w:t> </w:t>
      </w:r>
      <w:r>
        <w:t>025-2</w:t>
      </w:r>
      <w:r>
        <w:rPr>
          <w:rFonts w:ascii="Tms Rmn" w:hAnsi="Tms Rmn"/>
          <w:sz w:val="12"/>
        </w:rPr>
        <w:t> </w:t>
      </w:r>
      <w:r>
        <w:t xml:space="preserve">110 MHz. The geometries involved are sketched in </w:t>
      </w:r>
      <w:r>
        <w:rPr>
          <w:lang w:val="en-US"/>
        </w:rPr>
        <w:t>Fig</w:t>
      </w:r>
      <w:r>
        <w:t>s</w:t>
      </w:r>
      <w:r>
        <w:rPr>
          <w:lang w:val="en-US"/>
        </w:rPr>
        <w:t>. </w:t>
      </w:r>
      <w:r>
        <w:t xml:space="preserve">12a and 12b. The aggregate interference at the input terminals of the LEO receiver should not exceed </w:t>
      </w:r>
      <w:r>
        <w:rPr>
          <w:iCs/>
        </w:rPr>
        <w:t>–</w:t>
      </w:r>
      <w:r>
        <w:rPr>
          <w:sz w:val="4"/>
          <w:lang w:val="es-ES_tradnl"/>
        </w:rPr>
        <w:t> </w:t>
      </w:r>
      <w:r>
        <w:t>219 dB(W/Hz) for more than 0.1% of the time.</w:t>
      </w:r>
    </w:p>
    <w:p w:rsidR="00220BE7" w:rsidRDefault="00220BE7"/>
    <w:p w:rsidR="00220BE7" w:rsidRDefault="00220BE7"/>
    <w:p w:rsidR="00220BE7" w:rsidRDefault="00220BE7"/>
    <w:p w:rsidR="00220BE7" w:rsidRDefault="00737A63">
      <w:pPr>
        <w:pStyle w:val="Fig"/>
      </w:pPr>
      <w:r>
        <w:rPr>
          <w:noProof/>
          <w:lang w:eastAsia="zh-CN"/>
        </w:rPr>
        <w:drawing>
          <wp:inline distT="0" distB="0" distL="0" distR="0">
            <wp:extent cx="5890260" cy="27279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90260" cy="2727960"/>
                    </a:xfrm>
                    <a:prstGeom prst="rect">
                      <a:avLst/>
                    </a:prstGeom>
                    <a:noFill/>
                    <a:ln>
                      <a:noFill/>
                    </a:ln>
                  </pic:spPr>
                </pic:pic>
              </a:graphicData>
            </a:graphic>
          </wp:inline>
        </w:drawing>
      </w:r>
    </w:p>
    <w:p w:rsidR="00220BE7" w:rsidRDefault="00220BE7"/>
    <w:p w:rsidR="00220BE7" w:rsidRDefault="00220BE7"/>
    <w:p w:rsidR="00220BE7" w:rsidRDefault="00220BE7"/>
    <w:p w:rsidR="00220BE7" w:rsidRDefault="00220BE7">
      <w:r>
        <w:t xml:space="preserve">HAPS antennas do not point towards LEO satellites, hence main-lobe to side-lobe interference is not possible. For near side-lobe to main-lobe interference, only a single HAPS beam can be involved because different HAPS transmission beams point in different directions. This situation is not much different from that between HAPS and the DRS satellite, with the exception that the free space loss is slightly less because of the low altitude of the satellite (~250 km). In this interference scenario the LEO satellite is just visible from HAPS, hence the distance between HAPS and the LEO satellite is given approximately by </w:t>
      </w:r>
      <w:r>
        <w:rPr>
          <w:position w:val="-12"/>
          <w:lang w:val="en-US"/>
        </w:rPr>
        <w:object w:dxaOrig="2240" w:dyaOrig="380">
          <v:shape id="_x0000_i1046" type="#_x0000_t75" style="width:112.2pt;height:19.2pt" o:ole="">
            <v:imagedata r:id="rId65" o:title=""/>
          </v:shape>
          <o:OLEObject Type="Embed" ProgID="Equation.3" ShapeID="_x0000_i1046" DrawAspect="Content" ObjectID="_1361254784" r:id="rId66"/>
        </w:object>
      </w:r>
      <w:r>
        <w:t xml:space="preserve"> or 2 295 km, which yields a free space loss of 166 dB. The interference to the LEO satellite is coupled into the receiving system through antenna side lobes that exhibit 0 dBi gain.</w:t>
      </w:r>
    </w:p>
    <w:p w:rsidR="00220BE7" w:rsidRDefault="00220BE7">
      <w:pPr>
        <w:pStyle w:val="Blanc"/>
      </w:pPr>
    </w:p>
    <w:p w:rsidR="00220BE7" w:rsidRDefault="00220BE7">
      <w:pPr>
        <w:pStyle w:val="Equation"/>
        <w:rPr>
          <w:i/>
        </w:rPr>
      </w:pPr>
      <w:r>
        <w:rPr>
          <w:i/>
          <w:lang w:val="en-US"/>
        </w:rPr>
        <w:tab/>
      </w:r>
      <w:r>
        <w:rPr>
          <w:i/>
          <w:lang w:val="en-US"/>
        </w:rPr>
        <w:tab/>
      </w:r>
      <w:r>
        <w:rPr>
          <w:i/>
        </w:rPr>
        <w:t>Threshold e.i.r.p.</w:t>
      </w:r>
      <w:r>
        <w:t xml:space="preserve">  </w:t>
      </w:r>
      <w:r>
        <w:rPr>
          <w:rFonts w:ascii="Symbol" w:hAnsi="Symbol"/>
          <w:iCs/>
        </w:rPr>
        <w:t></w:t>
      </w:r>
      <w:r>
        <w:t xml:space="preserve">  </w:t>
      </w:r>
      <w:r>
        <w:rPr>
          <w:lang w:val="es-ES_tradnl"/>
        </w:rPr>
        <w:t>–</w:t>
      </w:r>
      <w:r>
        <w:rPr>
          <w:sz w:val="4"/>
          <w:lang w:val="es-ES_tradnl"/>
        </w:rPr>
        <w:t> </w:t>
      </w:r>
      <w:r>
        <w:t>159 </w:t>
      </w:r>
      <w:r>
        <w:rPr>
          <w:lang w:val="es-ES_tradnl"/>
        </w:rPr>
        <w:t>dB(W/MHz)</w:t>
      </w:r>
      <w:r>
        <w:rPr>
          <w:iCs/>
        </w:rPr>
        <w:t xml:space="preserve">  </w:t>
      </w:r>
      <w:r>
        <w:rPr>
          <w:rFonts w:ascii="Symbol" w:hAnsi="Symbol"/>
          <w:iCs/>
        </w:rPr>
        <w:t></w:t>
      </w:r>
      <w:r>
        <w:rPr>
          <w:iCs/>
        </w:rPr>
        <w:t xml:space="preserve">  166 dB  –  0 dBi  </w:t>
      </w:r>
      <w:r>
        <w:rPr>
          <w:rFonts w:ascii="Symbol" w:hAnsi="Symbol"/>
          <w:iCs/>
        </w:rPr>
        <w:t></w:t>
      </w:r>
      <w:r>
        <w:rPr>
          <w:iCs/>
        </w:rPr>
        <w:t xml:space="preserve">  2 dB</w:t>
      </w:r>
      <w:r>
        <w:t xml:space="preserve">  </w:t>
      </w:r>
      <w:r>
        <w:rPr>
          <w:rFonts w:ascii="Symbol" w:hAnsi="Symbol"/>
        </w:rPr>
        <w:t></w:t>
      </w:r>
      <w:r>
        <w:t xml:space="preserve">  </w:t>
      </w:r>
      <w:r>
        <w:rPr>
          <w:iCs/>
        </w:rPr>
        <w:t>9</w:t>
      </w:r>
      <w:r>
        <w:t> </w:t>
      </w:r>
      <w:r>
        <w:rPr>
          <w:lang w:val="es-ES_tradnl"/>
        </w:rPr>
        <w:t>dB(W/MHz)</w:t>
      </w:r>
      <w:r>
        <w:rPr>
          <w:iCs/>
        </w:rPr>
        <w:tab/>
        <w:t>(29)</w:t>
      </w:r>
    </w:p>
    <w:p w:rsidR="00220BE7" w:rsidRDefault="00220BE7">
      <w:pPr>
        <w:pStyle w:val="Blanc"/>
      </w:pPr>
    </w:p>
    <w:p w:rsidR="00220BE7" w:rsidRDefault="00220BE7">
      <w:r>
        <w:t>Hence even without any OoB attenuation, the probability for interference is zero.</w:t>
      </w:r>
    </w:p>
    <w:p w:rsidR="00220BE7" w:rsidRDefault="00220BE7">
      <w:r>
        <w:t>Within the visible area of the LEO satellite, there is typically more than one HAPS network providing overlay coverage. For a satellite altitude of around 250 km, which has a visible area roughly 12 times the HAPS coverage area, hence 12 can be considered to be the upper limit for the number of HAPS that can be seen from a single space science LEO satellite. For simplicity, the HAPS networks can be assumed to be roughly evenly distributed throughout the visible area of the satellite. Since each HAPS station has a large number of antennas, the potential for aggregated interference exists.</w:t>
      </w:r>
    </w:p>
    <w:p w:rsidR="00220BE7" w:rsidRDefault="00220BE7">
      <w:r>
        <w:t xml:space="preserve">Because the side-lobe antenna gain is a function of the centre frequency of the antenna array, it is assumed here conservatively that the far side lobes of the HAPS antennas have essentially 0 dBi gain. For 700 HAPS beams, this gives an aggregated e.i.r.p. spectral density of at most 11.5 dB(W/MHz). About 12 HAPS platforms can be located within </w:t>
      </w:r>
      <w:r>
        <w:br w:type="page"/>
      </w:r>
      <w:r>
        <w:lastRenderedPageBreak/>
        <w:t>a LEO satellite coverage area. The cumulative interfering spectral density arriving at the LEO satellite from 12 HAPS is given by:</w:t>
      </w:r>
    </w:p>
    <w:p w:rsidR="00220BE7" w:rsidRDefault="00220BE7">
      <w:pPr>
        <w:pStyle w:val="Equation"/>
        <w:tabs>
          <w:tab w:val="clear" w:pos="4849"/>
          <w:tab w:val="left" w:pos="3402"/>
        </w:tabs>
        <w:spacing w:before="240" w:after="0"/>
      </w:pPr>
      <w:r>
        <w:tab/>
      </w:r>
      <w:r>
        <w:tab/>
      </w:r>
      <w:r>
        <w:rPr>
          <w:position w:val="-16"/>
        </w:rPr>
        <w:object w:dxaOrig="400" w:dyaOrig="380">
          <v:shape id="_x0000_i1047" type="#_x0000_t75" style="width:19.8pt;height:19.2pt" o:ole="">
            <v:imagedata r:id="rId67" o:title=""/>
          </v:shape>
          <o:OLEObject Type="Embed" ProgID="Equation.3" ShapeID="_x0000_i1047" DrawAspect="Content" ObjectID="_1361254785" r:id="rId68"/>
        </w:object>
      </w:r>
      <w:r>
        <w:rPr>
          <w:rFonts w:ascii="Symbol" w:hAnsi="Symbol"/>
        </w:rPr>
        <w:t></w:t>
      </w:r>
      <w:r>
        <w:t xml:space="preserve">  </w:t>
      </w:r>
      <w:r>
        <w:rPr>
          <w:position w:val="-32"/>
        </w:rPr>
        <w:object w:dxaOrig="3140" w:dyaOrig="740">
          <v:shape id="_x0000_i1048" type="#_x0000_t75" style="width:157.2pt;height:37.2pt" o:ole="">
            <v:imagedata r:id="rId69" o:title=""/>
          </v:shape>
          <o:OLEObject Type="Embed" ProgID="Equation.3" ShapeID="_x0000_i1048" DrawAspect="Content" ObjectID="_1361254786" r:id="rId70"/>
        </w:object>
      </w:r>
    </w:p>
    <w:p w:rsidR="00220BE7" w:rsidRDefault="00220BE7">
      <w:pPr>
        <w:pStyle w:val="Equation"/>
        <w:spacing w:before="0" w:after="0"/>
      </w:pPr>
      <w:r>
        <w:tab/>
      </w:r>
      <w:r>
        <w:tab/>
      </w:r>
      <w:r>
        <w:tab/>
        <w:t>(30)</w:t>
      </w:r>
    </w:p>
    <w:p w:rsidR="00220BE7" w:rsidRDefault="00220BE7">
      <w:pPr>
        <w:pStyle w:val="Equation"/>
        <w:tabs>
          <w:tab w:val="clear" w:pos="4849"/>
          <w:tab w:val="left" w:pos="3402"/>
        </w:tabs>
        <w:spacing w:before="0"/>
      </w:pPr>
      <w:r>
        <w:tab/>
      </w:r>
      <w:r>
        <w:tab/>
      </w:r>
      <w:r>
        <w:rPr>
          <w:position w:val="-10"/>
        </w:rPr>
        <w:object w:dxaOrig="340" w:dyaOrig="320">
          <v:shape id="_x0000_i1049" type="#_x0000_t75" style="width:16.8pt;height:16.2pt" o:ole="">
            <v:imagedata r:id="rId71" o:title=""/>
          </v:shape>
          <o:OLEObject Type="Embed" ProgID="Equation.3" ShapeID="_x0000_i1049" DrawAspect="Content" ObjectID="_1361254787" r:id="rId72"/>
        </w:object>
      </w:r>
      <w:r>
        <w:t xml:space="preserve">  </w:t>
      </w:r>
      <w:r>
        <w:rPr>
          <w:rFonts w:ascii="Symbol" w:hAnsi="Symbol"/>
        </w:rPr>
        <w:t></w:t>
      </w:r>
      <w:r>
        <w:t xml:space="preserve">  </w:t>
      </w:r>
      <w:r>
        <w:rPr>
          <w:position w:val="-14"/>
        </w:rPr>
        <w:object w:dxaOrig="1660" w:dyaOrig="480">
          <v:shape id="_x0000_i1050" type="#_x0000_t75" style="width:82.8pt;height:24pt" o:ole="">
            <v:imagedata r:id="rId73" o:title=""/>
          </v:shape>
          <o:OLEObject Type="Embed" ProgID="Equation.3" ShapeID="_x0000_i1050" DrawAspect="Content" ObjectID="_1361254788" r:id="rId74"/>
        </w:object>
      </w:r>
    </w:p>
    <w:p w:rsidR="00220BE7" w:rsidRDefault="00220BE7">
      <w:r>
        <w:t>where:</w:t>
      </w:r>
    </w:p>
    <w:p w:rsidR="00220BE7" w:rsidRDefault="00220BE7">
      <w:pPr>
        <w:pStyle w:val="enumlev1"/>
        <w:tabs>
          <w:tab w:val="left" w:pos="1049"/>
        </w:tabs>
      </w:pPr>
      <w:r>
        <w:tab/>
      </w:r>
      <w:r>
        <w:rPr>
          <w:position w:val="-10"/>
        </w:rPr>
        <w:object w:dxaOrig="240" w:dyaOrig="320">
          <v:shape id="_x0000_i1051" type="#_x0000_t75" style="width:12pt;height:16.2pt" o:ole="">
            <v:imagedata r:id="rId75" o:title=""/>
          </v:shape>
          <o:OLEObject Type="Embed" ProgID="Equation.3" ShapeID="_x0000_i1051" DrawAspect="Content" ObjectID="_1361254789" r:id="rId76"/>
        </w:object>
      </w:r>
      <w:r>
        <w:t>:</w:t>
      </w:r>
      <w:r>
        <w:tab/>
        <w:t>e.i.r.p. spectral density contribution from a single HAPS (11.5 dB(W/MHz))</w:t>
      </w:r>
    </w:p>
    <w:p w:rsidR="00220BE7" w:rsidRDefault="00220BE7">
      <w:pPr>
        <w:pStyle w:val="enumlev1"/>
        <w:tabs>
          <w:tab w:val="left" w:pos="1049"/>
        </w:tabs>
      </w:pPr>
      <w:r>
        <w:tab/>
      </w:r>
      <w:r>
        <w:rPr>
          <w:i/>
          <w:iCs/>
        </w:rPr>
        <w:t>f</w:t>
      </w:r>
      <w:r>
        <w:rPr>
          <w:rFonts w:ascii="Tms Rmn" w:hAnsi="Tms Rmn"/>
          <w:sz w:val="12"/>
        </w:rPr>
        <w:t> </w:t>
      </w:r>
      <w:r>
        <w:t>:</w:t>
      </w:r>
      <w:r>
        <w:tab/>
        <w:t>transmission frequency</w:t>
      </w:r>
    </w:p>
    <w:p w:rsidR="00220BE7" w:rsidRDefault="00220BE7">
      <w:pPr>
        <w:pStyle w:val="enumlev1"/>
        <w:tabs>
          <w:tab w:val="left" w:pos="1049"/>
        </w:tabs>
      </w:pPr>
      <w:r>
        <w:tab/>
      </w:r>
      <w:r>
        <w:rPr>
          <w:i/>
          <w:iCs/>
        </w:rPr>
        <w:t>n</w:t>
      </w:r>
      <w:r>
        <w:rPr>
          <w:i/>
          <w:iCs/>
          <w:position w:val="-4"/>
          <w:sz w:val="16"/>
        </w:rPr>
        <w:t>a</w:t>
      </w:r>
      <w:r>
        <w:t>(</w:t>
      </w:r>
      <w:r>
        <w:rPr>
          <w:i/>
          <w:iCs/>
        </w:rPr>
        <w:t>h</w:t>
      </w:r>
      <w:r>
        <w:t>)</w:t>
      </w:r>
      <w:r>
        <w:rPr>
          <w:rFonts w:ascii="Tms Rmn" w:hAnsi="Tms Rmn"/>
          <w:sz w:val="12"/>
        </w:rPr>
        <w:t> </w:t>
      </w:r>
      <w:r>
        <w:t>:</w:t>
      </w:r>
      <w:r>
        <w:tab/>
        <w:t>total number of HAPS in the interference area (~12)</w:t>
      </w:r>
    </w:p>
    <w:p w:rsidR="00220BE7" w:rsidRDefault="00220BE7">
      <w:pPr>
        <w:pStyle w:val="enumlev1"/>
        <w:tabs>
          <w:tab w:val="left" w:pos="1049"/>
        </w:tabs>
      </w:pPr>
      <w:r>
        <w:tab/>
      </w:r>
      <w:r>
        <w:rPr>
          <w:i/>
          <w:iCs/>
        </w:rPr>
        <w:t>c</w:t>
      </w:r>
      <w:r>
        <w:rPr>
          <w:rFonts w:ascii="Tms Rmn" w:hAnsi="Tms Rmn"/>
          <w:sz w:val="12"/>
        </w:rPr>
        <w:t> </w:t>
      </w:r>
      <w:r>
        <w:t>:</w:t>
      </w:r>
      <w:r>
        <w:tab/>
        <w:t>speed of light</w:t>
      </w:r>
    </w:p>
    <w:p w:rsidR="00220BE7" w:rsidRDefault="00220BE7">
      <w:pPr>
        <w:pStyle w:val="enumlev1"/>
        <w:tabs>
          <w:tab w:val="left" w:pos="1049"/>
        </w:tabs>
      </w:pPr>
      <w:r>
        <w:tab/>
      </w:r>
      <w:r>
        <w:rPr>
          <w:i/>
          <w:iCs/>
        </w:rPr>
        <w:t>d</w:t>
      </w:r>
      <w:r>
        <w:rPr>
          <w:i/>
          <w:iCs/>
          <w:position w:val="-4"/>
          <w:sz w:val="16"/>
        </w:rPr>
        <w:t>m</w:t>
      </w:r>
      <w:r>
        <w:rPr>
          <w:rFonts w:ascii="Tms Rmn" w:hAnsi="Tms Rmn"/>
          <w:sz w:val="12"/>
        </w:rPr>
        <w:t> </w:t>
      </w:r>
      <w:r>
        <w:t>:</w:t>
      </w:r>
      <w:r>
        <w:tab/>
        <w:t>maximum distance to interferer</w:t>
      </w:r>
    </w:p>
    <w:p w:rsidR="00220BE7" w:rsidRDefault="00220BE7">
      <w:pPr>
        <w:pStyle w:val="enumlev1"/>
        <w:tabs>
          <w:tab w:val="left" w:pos="1049"/>
        </w:tabs>
      </w:pPr>
      <w:r>
        <w:tab/>
      </w:r>
      <w:r>
        <w:rPr>
          <w:i/>
          <w:iCs/>
        </w:rPr>
        <w:t>R</w:t>
      </w:r>
      <w:r>
        <w:rPr>
          <w:rFonts w:ascii="Tms Rmn" w:hAnsi="Tms Rmn"/>
          <w:sz w:val="12"/>
        </w:rPr>
        <w:t> </w:t>
      </w:r>
      <w:r>
        <w:t>:</w:t>
      </w:r>
      <w:r>
        <w:tab/>
        <w:t>Earth radius</w:t>
      </w:r>
    </w:p>
    <w:p w:rsidR="00220BE7" w:rsidRDefault="00220BE7">
      <w:pPr>
        <w:pStyle w:val="enumlev1"/>
        <w:tabs>
          <w:tab w:val="left" w:pos="1049"/>
        </w:tabs>
      </w:pPr>
      <w:r>
        <w:tab/>
      </w:r>
      <w:r>
        <w:rPr>
          <w:i/>
          <w:iCs/>
        </w:rPr>
        <w:t>h</w:t>
      </w:r>
      <w:r>
        <w:rPr>
          <w:rFonts w:ascii="Tms Rmn" w:hAnsi="Tms Rmn"/>
          <w:sz w:val="12"/>
        </w:rPr>
        <w:t> </w:t>
      </w:r>
      <w:r>
        <w:t>:</w:t>
      </w:r>
      <w:r>
        <w:tab/>
        <w:t>LEO orbit height minus HAPS altitude.</w:t>
      </w:r>
    </w:p>
    <w:p w:rsidR="00220BE7" w:rsidRDefault="00220BE7">
      <w:r>
        <w:t xml:space="preserve">The average path loss can be computed from </w:t>
      </w:r>
      <w:r>
        <w:rPr>
          <w:lang w:val="en-US"/>
        </w:rPr>
        <w:t>equation (30)</w:t>
      </w:r>
      <w:r>
        <w:t>. For a satellite altitude of 250 km, it is 158 dB. This gives the aggregate interference at the input terminals of the LEO receiver of –</w:t>
      </w:r>
      <w:r>
        <w:rPr>
          <w:sz w:val="4"/>
          <w:lang w:val="es-ES_tradnl"/>
        </w:rPr>
        <w:t> </w:t>
      </w:r>
      <w:r>
        <w:t>138 dB(W/MHz) (allowing 2 dB polarization discrimination), as follows:</w:t>
      </w:r>
    </w:p>
    <w:p w:rsidR="00220BE7" w:rsidRDefault="00220BE7">
      <w:pPr>
        <w:pStyle w:val="Equation"/>
        <w:rPr>
          <w:i/>
          <w:lang w:val="en-US"/>
        </w:rPr>
      </w:pPr>
      <w:r>
        <w:rPr>
          <w:i/>
          <w:lang w:val="en-US"/>
        </w:rPr>
        <w:t>Threshold e.i.r.p.</w:t>
      </w:r>
      <w:r>
        <w:rPr>
          <w:lang w:val="en-US"/>
        </w:rPr>
        <w:t xml:space="preserve">  </w:t>
      </w:r>
      <w:r>
        <w:rPr>
          <w:rFonts w:ascii="Symbol" w:hAnsi="Symbol"/>
          <w:iCs/>
        </w:rPr>
        <w:t></w:t>
      </w:r>
      <w:r>
        <w:rPr>
          <w:lang w:val="en-US"/>
        </w:rPr>
        <w:t xml:space="preserve">  </w:t>
      </w:r>
      <w:r>
        <w:rPr>
          <w:lang w:val="es-ES_tradnl"/>
        </w:rPr>
        <w:t>–</w:t>
      </w:r>
      <w:r>
        <w:rPr>
          <w:sz w:val="4"/>
          <w:lang w:val="es-ES_tradnl"/>
        </w:rPr>
        <w:t> </w:t>
      </w:r>
      <w:r>
        <w:rPr>
          <w:lang w:val="en-US"/>
        </w:rPr>
        <w:t>159 </w:t>
      </w:r>
      <w:r>
        <w:rPr>
          <w:lang w:val="es-ES_tradnl"/>
        </w:rPr>
        <w:t>dB(W/MHz)</w:t>
      </w:r>
      <w:r>
        <w:rPr>
          <w:iCs/>
          <w:lang w:val="en-US"/>
        </w:rPr>
        <w:t xml:space="preserve">  </w:t>
      </w:r>
      <w:r>
        <w:rPr>
          <w:rFonts w:ascii="Symbol" w:hAnsi="Symbol"/>
          <w:iCs/>
        </w:rPr>
        <w:t></w:t>
      </w:r>
      <w:r>
        <w:rPr>
          <w:iCs/>
          <w:lang w:val="en-US"/>
        </w:rPr>
        <w:t xml:space="preserve">  158 dB  –  0 dBi  </w:t>
      </w:r>
      <w:r>
        <w:rPr>
          <w:rFonts w:ascii="Symbol" w:hAnsi="Symbol"/>
          <w:iCs/>
        </w:rPr>
        <w:t></w:t>
      </w:r>
      <w:r>
        <w:rPr>
          <w:iCs/>
          <w:lang w:val="en-US"/>
        </w:rPr>
        <w:t xml:space="preserve">  2 dB  –  10 log(12 )</w:t>
      </w:r>
      <w:r>
        <w:rPr>
          <w:lang w:val="en-US"/>
        </w:rPr>
        <w:t xml:space="preserve">  </w:t>
      </w:r>
      <w:r>
        <w:rPr>
          <w:rFonts w:ascii="Symbol" w:hAnsi="Symbol"/>
        </w:rPr>
        <w:t></w:t>
      </w:r>
      <w:r>
        <w:rPr>
          <w:lang w:val="en-US"/>
        </w:rPr>
        <w:t xml:space="preserve">  </w:t>
      </w:r>
      <w:r>
        <w:t>–</w:t>
      </w:r>
      <w:r>
        <w:rPr>
          <w:sz w:val="4"/>
          <w:lang w:val="es-ES_tradnl"/>
        </w:rPr>
        <w:t> </w:t>
      </w:r>
      <w:r>
        <w:rPr>
          <w:iCs/>
          <w:lang w:val="en-US"/>
        </w:rPr>
        <w:t>9.8</w:t>
      </w:r>
      <w:r>
        <w:rPr>
          <w:lang w:val="en-US"/>
        </w:rPr>
        <w:t> </w:t>
      </w:r>
      <w:r>
        <w:rPr>
          <w:lang w:val="es-ES_tradnl"/>
        </w:rPr>
        <w:t>dB(W/MHz)</w:t>
      </w:r>
      <w:r>
        <w:rPr>
          <w:iCs/>
          <w:lang w:val="en-US"/>
        </w:rPr>
        <w:tab/>
        <w:t>(</w:t>
      </w:r>
      <w:r>
        <w:rPr>
          <w:lang w:val="en-US"/>
        </w:rPr>
        <w:t>31</w:t>
      </w:r>
      <w:r>
        <w:rPr>
          <w:iCs/>
          <w:lang w:val="en-US"/>
        </w:rPr>
        <w:t>)</w:t>
      </w:r>
    </w:p>
    <w:p w:rsidR="00220BE7" w:rsidRDefault="00220BE7">
      <w:pPr>
        <w:rPr>
          <w:lang w:val="en-US"/>
        </w:rPr>
      </w:pPr>
      <w:r>
        <w:t xml:space="preserve">which requires OoB attenuation of at least 21 dB in order to reach the threshold level of </w:t>
      </w:r>
      <w:r>
        <w:rPr>
          <w:lang w:val="es-ES_tradnl"/>
        </w:rPr>
        <w:t>–</w:t>
      </w:r>
      <w:r>
        <w:rPr>
          <w:sz w:val="4"/>
          <w:lang w:val="es-ES_tradnl"/>
        </w:rPr>
        <w:t> </w:t>
      </w:r>
      <w:r>
        <w:t>159 dB(W/MHz).</w:t>
      </w:r>
    </w:p>
    <w:p w:rsidR="00220BE7" w:rsidRDefault="00220BE7">
      <w:r>
        <w:t>The same considerations can be applied to the LEO satellite operating in the ground network with its antennas pointing to the earth station. Here the allowable aggregate OoB interference at the input receiver of –215 dB(W/Hz) (99.9% of the time) is 4 dB higher than that of the space-to-space link. Hence the required minimum OoB attenuation is 17 dB.</w:t>
      </w:r>
    </w:p>
    <w:p w:rsidR="00220BE7" w:rsidRDefault="00220BE7">
      <w:r>
        <w:t>Since HAPS IMT-2000 mobile stations have exactly the same specification as that of the conventional mobile stations, the sharing analysis would only be different if the number of active users per unit area is considerably different between tower-based IMT-2000 systems and HAPS-based terrestrial IMT-2000 systems. Since the number densities estimated for HAPS is about the same as those of the tower-based systems, except in a central business district, where tower-based systems are expected to be able to support higher user density, the sharing criterion between HAPS mobile terminals and space science services should be no different.</w:t>
      </w:r>
    </w:p>
    <w:p w:rsidR="00220BE7" w:rsidRDefault="00220BE7">
      <w:pPr>
        <w:rPr>
          <w:lang w:val="en-US"/>
        </w:rPr>
      </w:pPr>
    </w:p>
    <w:p w:rsidR="00220BE7" w:rsidRDefault="00220BE7">
      <w:pPr>
        <w:pStyle w:val="Line"/>
        <w:rPr>
          <w:lang w:val="es-ES_tradnl"/>
        </w:rPr>
      </w:pPr>
    </w:p>
    <w:p w:rsidR="00220BE7" w:rsidRDefault="00220BE7">
      <w:pPr>
        <w:rPr>
          <w:lang w:val="es-ES_tradnl"/>
        </w:rPr>
      </w:pPr>
    </w:p>
    <w:p w:rsidR="00220BE7" w:rsidRDefault="00220BE7">
      <w:pPr>
        <w:rPr>
          <w:lang w:val="es-ES_tradnl"/>
        </w:rPr>
      </w:pPr>
    </w:p>
    <w:p w:rsidR="00220BE7" w:rsidRDefault="00220BE7">
      <w:pPr>
        <w:rPr>
          <w:lang w:val="es-ES_tradnl"/>
        </w:rPr>
      </w:pPr>
    </w:p>
    <w:p w:rsidR="00220BE7" w:rsidRDefault="00220BE7">
      <w:pPr>
        <w:rPr>
          <w:lang w:val="es-ES_tradnl"/>
        </w:rPr>
      </w:pPr>
    </w:p>
    <w:p w:rsidR="00220BE7" w:rsidRDefault="00220BE7">
      <w:pPr>
        <w:rPr>
          <w:lang w:val="es-ES_tradnl"/>
        </w:rPr>
      </w:pPr>
    </w:p>
    <w:p w:rsidR="00220BE7" w:rsidRDefault="00220BE7">
      <w:pPr>
        <w:rPr>
          <w:lang w:val="es-ES_tradnl"/>
        </w:rPr>
      </w:pPr>
    </w:p>
    <w:p w:rsidR="00220BE7" w:rsidRDefault="00220BE7">
      <w:pPr>
        <w:rPr>
          <w:lang w:val="es-ES_tradnl"/>
        </w:rPr>
      </w:pPr>
    </w:p>
    <w:p w:rsidR="00220BE7" w:rsidRDefault="00220BE7">
      <w:pPr>
        <w:rPr>
          <w:lang w:val="es-ES_tradnl"/>
        </w:rPr>
      </w:pPr>
    </w:p>
    <w:p w:rsidR="00220BE7" w:rsidRDefault="00220BE7">
      <w:pPr>
        <w:rPr>
          <w:lang w:val="es-ES_tradnl"/>
        </w:rPr>
      </w:pPr>
    </w:p>
    <w:p w:rsidR="00220BE7" w:rsidRDefault="00220BE7">
      <w:pPr>
        <w:rPr>
          <w:lang w:val="es-ES_tradnl"/>
        </w:rPr>
      </w:pPr>
    </w:p>
    <w:p w:rsidR="00220BE7" w:rsidRDefault="00220BE7">
      <w:pPr>
        <w:rPr>
          <w:lang w:val="es-ES_tradnl"/>
        </w:rPr>
      </w:pPr>
    </w:p>
    <w:p w:rsidR="00220BE7" w:rsidRDefault="00220BE7">
      <w:pPr>
        <w:rPr>
          <w:lang w:val="es-ES_tradnl"/>
        </w:rPr>
      </w:pPr>
    </w:p>
    <w:p w:rsidR="00220BE7" w:rsidRDefault="00220BE7">
      <w:pPr>
        <w:rPr>
          <w:lang w:val="en-US"/>
        </w:rPr>
        <w:sectPr w:rsidR="00220BE7" w:rsidSect="00737A63">
          <w:headerReference w:type="even" r:id="rId77"/>
          <w:headerReference w:type="default" r:id="rId78"/>
          <w:headerReference w:type="first" r:id="rId79"/>
          <w:footnotePr>
            <w:pos w:val="beneathText"/>
          </w:footnotePr>
          <w:pgSz w:w="11907" w:h="16840" w:code="9"/>
          <w:pgMar w:top="1089" w:right="1089" w:bottom="1089" w:left="1089" w:header="482" w:footer="482" w:gutter="0"/>
          <w:paperSrc w:first="7" w:other="7"/>
          <w:pgNumType w:start="1"/>
          <w:cols w:space="720"/>
          <w:vAlign w:val="both"/>
        </w:sectPr>
      </w:pPr>
    </w:p>
    <w:p w:rsidR="00220BE7" w:rsidRDefault="00220BE7">
      <w:pPr>
        <w:pStyle w:val="listitem"/>
        <w:keepLines w:val="0"/>
        <w:spacing w:before="136"/>
        <w:rPr>
          <w:lang w:val="en-US"/>
        </w:rPr>
      </w:pPr>
    </w:p>
    <w:sectPr w:rsidR="00220BE7">
      <w:headerReference w:type="first" r:id="rId80"/>
      <w:footnotePr>
        <w:pos w:val="beneathText"/>
      </w:footnotePr>
      <w:type w:val="continuous"/>
      <w:pgSz w:w="11907" w:h="16840" w:code="9"/>
      <w:pgMar w:top="1089" w:right="1089" w:bottom="1089" w:left="1089" w:header="482" w:footer="482" w:gutter="0"/>
      <w:paperSrc w:first="15" w:other="15"/>
      <w:cols w:space="720"/>
      <w:vAlign w:val="both"/>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448" w:rsidRDefault="003D4448" w:rsidP="00220BE7">
      <w:pPr>
        <w:spacing w:before="0"/>
      </w:pPr>
      <w:r>
        <w:separator/>
      </w:r>
    </w:p>
  </w:endnote>
  <w:endnote w:type="continuationSeparator" w:id="0">
    <w:p w:rsidR="003D4448" w:rsidRDefault="003D4448" w:rsidP="00220BE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448" w:rsidRDefault="003D4448">
      <w:r>
        <w:rPr>
          <w:b/>
        </w:rPr>
        <w:t>_______________</w:t>
      </w:r>
    </w:p>
  </w:footnote>
  <w:footnote w:type="continuationSeparator" w:id="0">
    <w:p w:rsidR="003D4448" w:rsidRDefault="003D4448" w:rsidP="00220BE7">
      <w:pPr>
        <w:spacing w:before="0"/>
      </w:pPr>
      <w:r>
        <w:continuationSeparator/>
      </w:r>
    </w:p>
  </w:footnote>
  <w:footnote w:id="1">
    <w:p w:rsidR="00220BE7" w:rsidRDefault="00220BE7">
      <w:pPr>
        <w:pStyle w:val="FootnoteText"/>
      </w:pPr>
      <w:r>
        <w:rPr>
          <w:rStyle w:val="FootnoteReference"/>
        </w:rPr>
        <w:t>*</w:t>
      </w:r>
      <w:r>
        <w:tab/>
        <w:t>This Recommendation should be brought to the attention of Radiocommunication Study Groups 4 and 9.</w:t>
      </w:r>
    </w:p>
  </w:footnote>
  <w:footnote w:id="2">
    <w:p w:rsidR="00737A63" w:rsidRPr="00737A63" w:rsidRDefault="00737A63">
      <w:pPr>
        <w:pStyle w:val="FootnoteText"/>
        <w:rPr>
          <w:lang w:val="en-US"/>
        </w:rPr>
      </w:pPr>
      <w:r>
        <w:rPr>
          <w:rStyle w:val="FootnoteReference"/>
        </w:rPr>
        <w:t>**</w:t>
      </w:r>
      <w:r>
        <w:tab/>
        <w:t>Radiocommunication Study Group 5 made editorial amendments to this Recommendation in November 2010.</w:t>
      </w:r>
    </w:p>
  </w:footnote>
  <w:footnote w:id="3">
    <w:p w:rsidR="00737A63" w:rsidRPr="00737A63" w:rsidRDefault="00737A63" w:rsidP="00737A63">
      <w:pPr>
        <w:pStyle w:val="FootnoteText"/>
        <w:ind w:left="313" w:hanging="313"/>
        <w:rPr>
          <w:lang w:val="en-US"/>
        </w:rPr>
      </w:pPr>
      <w:r>
        <w:rPr>
          <w:rStyle w:val="FootnoteReference"/>
        </w:rPr>
        <w:t>***</w:t>
      </w:r>
      <w:r>
        <w:tab/>
        <w:t>The use of HAPS systems in these bands shall be optional for administrations. Each administration shall retain its individual authority over technical and regulatory matters pertaining to the sharing, coordination and implementation of HAPS systems in these bands.</w:t>
      </w:r>
    </w:p>
  </w:footnote>
  <w:footnote w:id="4">
    <w:p w:rsidR="009F7249" w:rsidRPr="009F7249" w:rsidRDefault="009F7249" w:rsidP="009F7249">
      <w:pPr>
        <w:pStyle w:val="FootnoteText"/>
        <w:ind w:left="313" w:hanging="313"/>
      </w:pPr>
      <w:r>
        <w:rPr>
          <w:rStyle w:val="FootnoteReference"/>
        </w:rPr>
        <w:t>(1)</w:t>
      </w:r>
      <w:r>
        <w:tab/>
      </w:r>
      <w:r w:rsidRPr="009F7249">
        <w:t>HAPS is defined in RR No. S1.66A as “A station located on an object at an altitude of 20 to 50 km and at a specified, nominal, fixed point relative to the Earth.” A HAPS system consists of a HAPS, several ground stations, and numerous mobile and fixed subscriber stations. Each HAPS deploys a multibeam antenna capable of projecting numerous spot beams within its coverage area. The HAPS system mobile and fixed subscriber stations are identical to those used with traditional terrestrial IMT-2000 tower</w:t>
      </w:r>
      <w:r w:rsidRPr="009F7249">
        <w:noBreakHyphen/>
        <w:t>based systems.</w:t>
      </w:r>
      <w:r w:rsidRPr="009F7249">
        <w:rPr>
          <w:lang w:val="en-US"/>
        </w:rPr>
        <w:t xml:space="preserve"> </w:t>
      </w:r>
      <w:r w:rsidRPr="009F7249">
        <w:t>Links between two HAPS and links between HAPS and HAPS system ground stations will not be in bands designated for IMT-2000 and will utilize non-IMT-2000 frequencies. Use of any proposed frequencies by HAPS for these links will need to be studied and coordinated</w:t>
      </w:r>
      <w:r w:rsidRPr="009F7249">
        <w:rPr>
          <w:lang w:val="en-US"/>
        </w:rPr>
        <w:t>.</w:t>
      </w:r>
    </w:p>
    <w:p w:rsidR="009F7249" w:rsidRPr="009F7249" w:rsidRDefault="009F7249" w:rsidP="009F7249">
      <w:pPr>
        <w:pStyle w:val="FootnoteText"/>
        <w:ind w:left="313" w:hanging="313"/>
        <w:rPr>
          <w:lang w:val="en-US"/>
        </w:rPr>
      </w:pPr>
      <w:r w:rsidRPr="009F7249">
        <w:tab/>
        <w:t>The HAPS systems will be global in nature but national in service provision. Each HAPS will be positioned above commercial airspace at an altitude that is high enough to provide service to a large footprint but that is low enough to provide dense coverage. HAPS will offer a new means of providing IMT-2000 with minimal ground network infrastructure</w:t>
      </w:r>
      <w:r w:rsidR="00DD1C17">
        <w:t>.</w:t>
      </w:r>
      <w:bookmarkStart w:id="3" w:name="_GoBack"/>
      <w:bookmarkEnd w:id="3"/>
    </w:p>
  </w:footnote>
  <w:footnote w:id="5">
    <w:p w:rsidR="00220BE7" w:rsidRDefault="00220BE7">
      <w:pPr>
        <w:pStyle w:val="FootnoteText"/>
      </w:pPr>
      <w:r>
        <w:rPr>
          <w:rStyle w:val="FootnoteReference"/>
        </w:rPr>
        <w:t>*</w:t>
      </w:r>
      <w:r>
        <w:tab/>
        <w:t>This value may not be appropriate for the protection of some stations operating in these bands in the fixed and mobile services.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A63" w:rsidRDefault="00737A6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A63" w:rsidRDefault="00737A63" w:rsidP="00B033C8">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78725" cy="10724515"/>
          <wp:effectExtent l="0" t="0" r="3175" b="635"/>
          <wp:wrapNone/>
          <wp:docPr id="2" name="Picture 7" descr="Description: 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rec_maquette-200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A63" w:rsidRPr="00FC42AF" w:rsidRDefault="00737A63" w:rsidP="00737A63">
    <w:pPr>
      <w:pStyle w:val="Header"/>
      <w:jc w:val="left"/>
    </w:pPr>
    <w:r>
      <w:rPr>
        <w:rStyle w:val="PageNumber"/>
        <w:b w:val="0"/>
        <w:bCs/>
      </w:rPr>
      <w:fldChar w:fldCharType="begin"/>
    </w:r>
    <w:r w:rsidRPr="00FC42AF">
      <w:rPr>
        <w:rStyle w:val="PageNumber"/>
        <w:bCs/>
      </w:rPr>
      <w:instrText xml:space="preserve"> PAGE </w:instrText>
    </w:r>
    <w:r>
      <w:rPr>
        <w:rStyle w:val="PageNumber"/>
        <w:b w:val="0"/>
        <w:bCs/>
      </w:rPr>
      <w:fldChar w:fldCharType="separate"/>
    </w:r>
    <w:r w:rsidR="00DD1C17">
      <w:rPr>
        <w:rStyle w:val="PageNumber"/>
        <w:bCs/>
        <w:noProof/>
      </w:rPr>
      <w:t>ii</w:t>
    </w:r>
    <w:r>
      <w:rPr>
        <w:rStyle w:val="PageNumber"/>
        <w:b w:val="0"/>
        <w:bCs/>
      </w:rPr>
      <w:fldChar w:fldCharType="end"/>
    </w:r>
    <w:r w:rsidRPr="00FC42AF">
      <w:tab/>
    </w:r>
    <w:r>
      <w:t xml:space="preserve">Rec. </w:t>
    </w:r>
    <w:r>
      <w:rPr>
        <w:bCs/>
      </w:rPr>
      <w:t xml:space="preserve"> </w:t>
    </w:r>
    <w:r w:rsidRPr="00737A63">
      <w:fldChar w:fldCharType="begin"/>
    </w:r>
    <w:r w:rsidRPr="00737A63">
      <w:instrText>styleref href</w:instrText>
    </w:r>
    <w:r w:rsidRPr="00737A63">
      <w:fldChar w:fldCharType="separate"/>
    </w:r>
    <w:r w:rsidR="00DD1C17">
      <w:rPr>
        <w:noProof/>
      </w:rPr>
      <w:t>ITU-R  M.1456</w:t>
    </w:r>
    <w:r w:rsidRPr="00737A6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A63" w:rsidRDefault="00737A63">
    <w:pPr>
      <w:pStyle w:val="Header"/>
    </w:pPr>
    <w:r>
      <w:tab/>
    </w:r>
    <w:r>
      <w:fldChar w:fldCharType="begin"/>
    </w:r>
    <w:r>
      <w:instrText xml:space="preserve"> DOCPROPERTY "Header" \* MERGEFORMAT </w:instrText>
    </w:r>
    <w:r>
      <w:fldChar w:fldCharType="separate"/>
    </w:r>
    <w:r w:rsidR="009F7249">
      <w:rPr>
        <w:b w:val="0"/>
        <w:bCs/>
        <w:lang w:val="en-US"/>
      </w:rPr>
      <w:t>Error! Unknown document property name.</w:t>
    </w:r>
    <w:r>
      <w:rPr>
        <w:bCs/>
      </w:rPr>
      <w:fldChar w:fldCharType="end"/>
    </w:r>
    <w:r>
      <w:rPr>
        <w:bCs/>
      </w:rPr>
      <w:t xml:space="preserve"> </w:t>
    </w:r>
    <w:r>
      <w:rPr>
        <w:b w:val="0"/>
        <w:bCs/>
      </w:rPr>
      <w:fldChar w:fldCharType="begin"/>
    </w:r>
    <w:r>
      <w:rPr>
        <w:bCs/>
      </w:rPr>
      <w:instrText>styleref href</w:instrText>
    </w:r>
    <w:r>
      <w:rPr>
        <w:b w:val="0"/>
        <w:bCs/>
      </w:rPr>
      <w:fldChar w:fldCharType="separate"/>
    </w:r>
    <w:r w:rsidR="009F7249">
      <w:rPr>
        <w:b w:val="0"/>
        <w:bCs/>
        <w:noProof/>
      </w:rPr>
      <w:t>ITU-R  M.1456</w:t>
    </w:r>
    <w:r>
      <w:rPr>
        <w:b w:val="0"/>
        <w:bCs/>
      </w:rPr>
      <w:fldChar w:fldCharType="end"/>
    </w:r>
    <w:r>
      <w:tab/>
    </w:r>
    <w:r>
      <w:rPr>
        <w:rStyle w:val="PageNumber"/>
        <w:b w:val="0"/>
        <w:bCs/>
      </w:rPr>
      <w:fldChar w:fldCharType="begin"/>
    </w:r>
    <w:r>
      <w:rPr>
        <w:rStyle w:val="PageNumber"/>
        <w:bCs/>
      </w:rPr>
      <w:instrText xml:space="preserve"> PAGE </w:instrText>
    </w:r>
    <w:r>
      <w:rPr>
        <w:rStyle w:val="PageNumber"/>
        <w:b w:val="0"/>
        <w:bCs/>
      </w:rPr>
      <w:fldChar w:fldCharType="separate"/>
    </w:r>
    <w:r>
      <w:rPr>
        <w:rStyle w:val="PageNumber"/>
        <w:bCs/>
        <w:noProof/>
      </w:rPr>
      <w:t>3</w:t>
    </w:r>
    <w:r>
      <w:rPr>
        <w:rStyle w:val="PageNumber"/>
        <w:b w:val="0"/>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A63" w:rsidRPr="00FC42AF" w:rsidRDefault="00737A63" w:rsidP="00737A63">
    <w:pPr>
      <w:pStyle w:val="Header"/>
      <w:jc w:val="left"/>
    </w:pPr>
    <w:r>
      <w:rPr>
        <w:rStyle w:val="PageNumber"/>
        <w:b w:val="0"/>
        <w:bCs/>
      </w:rPr>
      <w:fldChar w:fldCharType="begin"/>
    </w:r>
    <w:r w:rsidRPr="00FC42AF">
      <w:rPr>
        <w:rStyle w:val="PageNumber"/>
        <w:bCs/>
      </w:rPr>
      <w:instrText xml:space="preserve"> PAGE </w:instrText>
    </w:r>
    <w:r>
      <w:rPr>
        <w:rStyle w:val="PageNumber"/>
        <w:b w:val="0"/>
        <w:bCs/>
      </w:rPr>
      <w:fldChar w:fldCharType="separate"/>
    </w:r>
    <w:r w:rsidR="00DD1C17">
      <w:rPr>
        <w:rStyle w:val="PageNumber"/>
        <w:bCs/>
        <w:noProof/>
      </w:rPr>
      <w:t>2</w:t>
    </w:r>
    <w:r>
      <w:rPr>
        <w:rStyle w:val="PageNumber"/>
        <w:b w:val="0"/>
        <w:bCs/>
      </w:rPr>
      <w:fldChar w:fldCharType="end"/>
    </w:r>
    <w:r w:rsidRPr="00FC42AF">
      <w:tab/>
    </w:r>
    <w:r>
      <w:t xml:space="preserve">Rec. </w:t>
    </w:r>
    <w:r>
      <w:rPr>
        <w:bCs/>
      </w:rPr>
      <w:t xml:space="preserve"> </w:t>
    </w:r>
    <w:r w:rsidRPr="00737A63">
      <w:fldChar w:fldCharType="begin"/>
    </w:r>
    <w:r w:rsidRPr="00737A63">
      <w:instrText>styleref href</w:instrText>
    </w:r>
    <w:r w:rsidRPr="00737A63">
      <w:fldChar w:fldCharType="separate"/>
    </w:r>
    <w:r w:rsidR="00DD1C17">
      <w:rPr>
        <w:noProof/>
      </w:rPr>
      <w:t>ITU-R  M.1456</w:t>
    </w:r>
    <w:r w:rsidRPr="00737A63">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A63" w:rsidRDefault="00737A63" w:rsidP="00737A63">
    <w:pPr>
      <w:pStyle w:val="Header"/>
    </w:pPr>
    <w:r>
      <w:tab/>
      <w:t xml:space="preserve">Rec. </w:t>
    </w:r>
    <w:r>
      <w:rPr>
        <w:bCs/>
      </w:rPr>
      <w:t xml:space="preserve"> </w:t>
    </w:r>
    <w:r w:rsidRPr="00737A63">
      <w:fldChar w:fldCharType="begin"/>
    </w:r>
    <w:r w:rsidRPr="00737A63">
      <w:instrText>styleref href</w:instrText>
    </w:r>
    <w:r w:rsidRPr="00737A63">
      <w:fldChar w:fldCharType="separate"/>
    </w:r>
    <w:r w:rsidR="00DD1C17">
      <w:rPr>
        <w:noProof/>
      </w:rPr>
      <w:t>ITU-R  M.1456</w:t>
    </w:r>
    <w:r w:rsidRPr="00737A63">
      <w:fldChar w:fldCharType="end"/>
    </w:r>
    <w:r>
      <w:tab/>
    </w:r>
    <w:r>
      <w:rPr>
        <w:rStyle w:val="PageNumber"/>
        <w:b w:val="0"/>
        <w:bCs/>
      </w:rPr>
      <w:fldChar w:fldCharType="begin"/>
    </w:r>
    <w:r>
      <w:rPr>
        <w:rStyle w:val="PageNumber"/>
        <w:bCs/>
      </w:rPr>
      <w:instrText xml:space="preserve"> PAGE </w:instrText>
    </w:r>
    <w:r>
      <w:rPr>
        <w:rStyle w:val="PageNumber"/>
        <w:b w:val="0"/>
        <w:bCs/>
      </w:rPr>
      <w:fldChar w:fldCharType="separate"/>
    </w:r>
    <w:r w:rsidR="00DD1C17">
      <w:rPr>
        <w:rStyle w:val="PageNumber"/>
        <w:bCs/>
        <w:noProof/>
      </w:rPr>
      <w:t>1</w:t>
    </w:r>
    <w:r>
      <w:rPr>
        <w:rStyle w:val="PageNumber"/>
        <w:b w:val="0"/>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BE7" w:rsidRDefault="00220BE7">
    <w:pPr>
      <w:pStyle w:val="Header"/>
      <w:rPr>
        <w:lang w:val="fr-CH"/>
      </w:rPr>
    </w:pPr>
    <w:r>
      <w:tab/>
    </w:r>
    <w:r>
      <w:fldChar w:fldCharType="begin"/>
    </w:r>
    <w:r>
      <w:rPr>
        <w:lang w:val="fr-CH"/>
      </w:rPr>
      <w:instrText>styleref head_foot</w:instrText>
    </w:r>
    <w:r>
      <w:fldChar w:fldCharType="end"/>
    </w:r>
    <w:r>
      <w:rPr>
        <w:lang w:val="fr-CH"/>
      </w:rPr>
      <w:tab/>
    </w:r>
    <w:r>
      <w:fldChar w:fldCharType="begin"/>
    </w:r>
    <w:r>
      <w:rPr>
        <w:lang w:val="fr-CH"/>
      </w:rPr>
      <w:instrText>PAGE</w:instrText>
    </w:r>
    <w:r>
      <w:fldChar w:fldCharType="separate"/>
    </w:r>
    <w:r w:rsidR="00737A63">
      <w:rPr>
        <w:noProof/>
      </w:rPr>
      <w:t>1</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BE7" w:rsidRDefault="00220B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81657E8"/>
    <w:lvl w:ilvl="0">
      <w:start w:val="1"/>
      <w:numFmt w:val="decimal"/>
      <w:lvlText w:val="%1."/>
      <w:lvlJc w:val="left"/>
      <w:pPr>
        <w:tabs>
          <w:tab w:val="num" w:pos="360"/>
        </w:tabs>
        <w:ind w:left="360" w:hanging="360"/>
      </w:pPr>
    </w:lvl>
  </w:abstractNum>
  <w:abstractNum w:abstractNumId="1">
    <w:nsid w:val="FFFFFFFE"/>
    <w:multiLevelType w:val="singleLevel"/>
    <w:tmpl w:val="B39284A0"/>
    <w:lvl w:ilvl="0">
      <w:numFmt w:val="decimal"/>
      <w:lvlText w:val="*"/>
      <w:lvlJc w:val="left"/>
    </w:lvl>
  </w:abstractNum>
  <w:abstractNum w:abstractNumId="2">
    <w:nsid w:val="52317836"/>
    <w:multiLevelType w:val="singleLevel"/>
    <w:tmpl w:val="04383FD2"/>
    <w:lvl w:ilvl="0">
      <w:start w:val="1"/>
      <w:numFmt w:val="lowerLetter"/>
      <w:lvlText w:val="%1) "/>
      <w:legacy w:legacy="1" w:legacySpace="0" w:legacyIndent="360"/>
      <w:lvlJc w:val="left"/>
      <w:pPr>
        <w:ind w:left="1154" w:hanging="360"/>
      </w:pPr>
      <w:rPr>
        <w:rFonts w:ascii="Times New Roman" w:hAnsi="Times New Roman" w:hint="default"/>
        <w:b w:val="0"/>
        <w:i w:val="0"/>
        <w:sz w:val="22"/>
        <w:u w:val="none"/>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SpellingErrors/>
  <w:attachedTemplate r:id="rId1"/>
  <w:defaultTabStop w:val="720"/>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558"/>
    <w:rsid w:val="00220BE7"/>
    <w:rsid w:val="003D4448"/>
    <w:rsid w:val="00622F93"/>
    <w:rsid w:val="00630818"/>
    <w:rsid w:val="00737A63"/>
    <w:rsid w:val="00847558"/>
    <w:rsid w:val="009F7249"/>
    <w:rsid w:val="00BD6236"/>
    <w:rsid w:val="00DD1C17"/>
    <w:rsid w:val="00DE207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eastAsia="en-US"/>
    </w:rPr>
  </w:style>
  <w:style w:type="paragraph" w:styleId="Heading1">
    <w:name w:val="heading 1"/>
    <w:basedOn w:val="Normal"/>
    <w:next w:val="Normal"/>
    <w:qFormat/>
    <w:pPr>
      <w:keepNext/>
      <w:keepLines/>
      <w:tabs>
        <w:tab w:val="clear" w:pos="1191"/>
        <w:tab w:val="clear" w:pos="1588"/>
        <w:tab w:val="clear" w:pos="1985"/>
      </w:tabs>
      <w:spacing w:before="480"/>
      <w:ind w:left="794" w:hanging="794"/>
      <w:outlineLvl w:val="0"/>
    </w:pPr>
    <w:rPr>
      <w:b/>
      <w:sz w:val="24"/>
    </w:rPr>
  </w:style>
  <w:style w:type="paragraph" w:styleId="Heading2">
    <w:name w:val="heading 2"/>
    <w:basedOn w:val="Normal"/>
    <w:next w:val="Normal"/>
    <w:qFormat/>
    <w:pPr>
      <w:keepNext/>
      <w:keepLines/>
      <w:tabs>
        <w:tab w:val="clear" w:pos="1191"/>
        <w:tab w:val="clear" w:pos="1588"/>
        <w:tab w:val="clear" w:pos="1985"/>
      </w:tabs>
      <w:spacing w:before="313"/>
      <w:ind w:left="794" w:hanging="794"/>
      <w:outlineLvl w:val="1"/>
    </w:pPr>
    <w:rPr>
      <w:b/>
      <w:sz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spacing w:before="200"/>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basedOn w:val="Heading3"/>
    <w:next w:val="Normal"/>
    <w:qFormat/>
    <w:pPr>
      <w:tabs>
        <w:tab w:val="clear" w:pos="794"/>
        <w:tab w:val="left" w:pos="1531"/>
      </w:tabs>
      <w:ind w:left="1531" w:hanging="153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2">
    <w:name w:val="toc 2"/>
    <w:basedOn w:val="TOC1"/>
    <w:next w:val="TOC3"/>
    <w:semiHidden/>
    <w:pPr>
      <w:tabs>
        <w:tab w:val="clear" w:pos="567"/>
        <w:tab w:val="left" w:pos="1247"/>
      </w:tabs>
      <w:spacing w:before="40"/>
      <w:ind w:left="1247" w:hanging="680"/>
    </w:pPr>
  </w:style>
  <w:style w:type="paragraph" w:styleId="TOC1">
    <w:name w:val="toc 1"/>
    <w:basedOn w:val="Normal"/>
    <w:next w:val="TOC2"/>
    <w:semiHidden/>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TOC3">
    <w:name w:val="toc 3"/>
    <w:basedOn w:val="TOC2"/>
    <w:next w:val="TOC4"/>
    <w:semiHidden/>
    <w:pPr>
      <w:tabs>
        <w:tab w:val="clear" w:pos="1247"/>
        <w:tab w:val="left" w:pos="2041"/>
      </w:tabs>
      <w:spacing w:before="20"/>
      <w:ind w:left="2041" w:hanging="794"/>
    </w:pPr>
  </w:style>
  <w:style w:type="paragraph" w:styleId="TOC4">
    <w:name w:val="toc 4"/>
    <w:basedOn w:val="TOC3"/>
    <w:next w:val="TOC5"/>
    <w:semiHidden/>
    <w:pPr>
      <w:tabs>
        <w:tab w:val="left" w:pos="2948"/>
      </w:tabs>
      <w:ind w:left="2948" w:hanging="907"/>
    </w:pPr>
  </w:style>
  <w:style w:type="paragraph" w:styleId="TOC5">
    <w:name w:val="toc 5"/>
    <w:basedOn w:val="Normal"/>
    <w:next w:val="Normal"/>
    <w:semiHidden/>
    <w:pPr>
      <w:tabs>
        <w:tab w:val="left" w:pos="3969"/>
        <w:tab w:val="right" w:leader="dot" w:pos="9725"/>
      </w:tabs>
      <w:ind w:left="2948"/>
    </w:pPr>
  </w:style>
  <w:style w:type="paragraph" w:styleId="TOC6">
    <w:name w:val="toc 6"/>
    <w:basedOn w:val="Normal"/>
    <w:next w:val="Normal"/>
    <w:semiHidden/>
    <w:pPr>
      <w:tabs>
        <w:tab w:val="left" w:pos="5104"/>
        <w:tab w:val="right" w:leader="dot" w:pos="9725"/>
      </w:tabs>
      <w:ind w:left="3969"/>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emiHidden/>
  </w:style>
  <w:style w:type="paragraph" w:styleId="IndexHeading">
    <w:name w:val="index heading"/>
    <w:basedOn w:val="Normal"/>
    <w:next w:val="Index1"/>
    <w:semiHidden/>
  </w:style>
  <w:style w:type="paragraph" w:styleId="Footer">
    <w:name w:val="footer"/>
    <w:aliases w:val="footer odd"/>
    <w:basedOn w:val="Normal"/>
    <w:semiHidden/>
    <w:pPr>
      <w:tabs>
        <w:tab w:val="clear" w:pos="794"/>
        <w:tab w:val="clear" w:pos="1191"/>
        <w:tab w:val="clear" w:pos="1588"/>
        <w:tab w:val="clear" w:pos="1985"/>
        <w:tab w:val="center" w:pos="4849"/>
        <w:tab w:val="right" w:pos="9696"/>
      </w:tabs>
      <w:jc w:val="left"/>
    </w:pPr>
    <w:rPr>
      <w:b/>
    </w:rPr>
  </w:style>
  <w:style w:type="paragraph" w:styleId="Header">
    <w:name w:val="header"/>
    <w:aliases w:val="header odd,header odd1,header odd2"/>
    <w:basedOn w:val="Normal"/>
    <w:pPr>
      <w:tabs>
        <w:tab w:val="clear" w:pos="794"/>
        <w:tab w:val="clear" w:pos="1191"/>
        <w:tab w:val="clear" w:pos="1588"/>
        <w:tab w:val="clear" w:pos="1985"/>
        <w:tab w:val="center" w:pos="4849"/>
        <w:tab w:val="right" w:pos="9696"/>
      </w:tabs>
    </w:pPr>
    <w:rPr>
      <w:b/>
    </w:rPr>
  </w:style>
  <w:style w:type="character" w:styleId="FootnoteReference">
    <w:name w:val="footnote reference"/>
    <w:basedOn w:val="DefaultParagraphFont"/>
    <w:semiHidden/>
    <w:rPr>
      <w:position w:val="4"/>
      <w:sz w:val="16"/>
    </w:rPr>
  </w:style>
  <w:style w:type="paragraph" w:styleId="FootnoteText">
    <w:name w:val="footnote text"/>
    <w:basedOn w:val="Normal"/>
    <w:semiHidden/>
    <w:pPr>
      <w:tabs>
        <w:tab w:val="clear" w:pos="794"/>
        <w:tab w:val="clear" w:pos="1191"/>
        <w:tab w:val="clear" w:pos="1588"/>
        <w:tab w:val="clear" w:pos="1985"/>
        <w:tab w:val="left" w:pos="313"/>
      </w:tabs>
    </w:pPr>
    <w:rPr>
      <w:sz w:val="18"/>
    </w:rPr>
  </w:style>
  <w:style w:type="paragraph" w:styleId="NormalIndent">
    <w:name w:val="Normal Indent"/>
    <w:basedOn w:val="Normal"/>
    <w:semiHidden/>
    <w:pPr>
      <w:ind w:left="600"/>
    </w:pPr>
  </w:style>
  <w:style w:type="paragraph" w:customStyle="1" w:styleId="TableLegend">
    <w:name w:val="Table_Legend"/>
    <w:basedOn w:val="Normal"/>
    <w:next w:val="Normal"/>
    <w:pPr>
      <w:keepNext/>
      <w:spacing w:before="86" w:line="199" w:lineRule="exact"/>
      <w:ind w:left="-85" w:right="-85"/>
    </w:pPr>
    <w:rPr>
      <w:sz w:val="18"/>
    </w:rPr>
  </w:style>
  <w:style w:type="paragraph" w:customStyle="1" w:styleId="TableTitle">
    <w:name w:val="Table_Title"/>
    <w:basedOn w:val="Table"/>
    <w:next w:val="Blanc"/>
    <w:pPr>
      <w:spacing w:before="0"/>
    </w:pPr>
    <w:rPr>
      <w:b/>
    </w:r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TableText">
    <w:name w:val="Table_Text"/>
    <w:basedOn w:val="TableLegend"/>
    <w:pPr>
      <w:spacing w:before="100" w:after="100" w:line="190" w:lineRule="exact"/>
      <w:ind w:left="0" w:right="0"/>
    </w:p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Figure">
    <w:name w:val="Figure"/>
    <w:basedOn w:val="Normal"/>
    <w:next w:val="Normal"/>
    <w:pPr>
      <w:keepNext/>
      <w:keepLines/>
      <w:spacing w:before="240"/>
      <w:jc w:val="center"/>
    </w:pPr>
  </w:style>
  <w:style w:type="paragraph" w:customStyle="1" w:styleId="FigureLegend">
    <w:name w:val="Figure_Legend"/>
    <w:basedOn w:val="TableLegend"/>
    <w:next w:val="FigureRemark"/>
    <w:pPr>
      <w:jc w:val="left"/>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Figure0">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sz w:val="24"/>
    </w:rPr>
  </w:style>
  <w:style w:type="paragraph" w:customStyle="1" w:styleId="Normalaftertitle">
    <w:name w:val="Normal after title"/>
    <w:basedOn w:val="Normal"/>
    <w:next w:val="Normal"/>
    <w:pPr>
      <w:spacing w:before="480"/>
    </w:p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rPr>
  </w:style>
  <w:style w:type="paragraph" w:customStyle="1" w:styleId="RefText">
    <w:name w:val="Ref_Text"/>
    <w:basedOn w:val="Normal"/>
    <w:pPr>
      <w:ind w:left="567" w:hanging="567"/>
    </w:pPr>
    <w:rPr>
      <w:sz w:val="18"/>
    </w:rPr>
  </w:style>
  <w:style w:type="paragraph" w:customStyle="1" w:styleId="listitem">
    <w:name w:val="listitem"/>
    <w:basedOn w:val="Normal"/>
    <w:pPr>
      <w:keepLines/>
      <w:spacing w:before="0"/>
      <w:jc w:val="left"/>
    </w:p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pPr>
      <w:spacing w:before="180"/>
    </w:pPr>
    <w:rPr>
      <w:b/>
    </w:rPr>
  </w:style>
  <w:style w:type="paragraph" w:customStyle="1" w:styleId="RecTitleRef">
    <w:name w:val="Rec_Title/Ref"/>
    <w:basedOn w:val="RecTitle"/>
    <w:next w:val="RecTitleDate"/>
    <w:pPr>
      <w:spacing w:before="136"/>
    </w:pPr>
    <w:rPr>
      <w:b w:val="0"/>
    </w:rPr>
  </w:style>
  <w:style w:type="paragraph" w:customStyle="1" w:styleId="RecTitleDate">
    <w:name w:val="Rec_Title/Date"/>
    <w:basedOn w:val="RecTitleRef"/>
    <w:next w:val="headfoot"/>
    <w:pPr>
      <w:tabs>
        <w:tab w:val="clear" w:pos="4849"/>
      </w:tabs>
      <w:jc w:val="right"/>
    </w:pPr>
  </w:style>
  <w:style w:type="paragraph" w:customStyle="1" w:styleId="headfoot">
    <w:name w:val="head_foot"/>
    <w:basedOn w:val="Normal"/>
    <w:next w:val="Normalaftertitle"/>
    <w:pPr>
      <w:tabs>
        <w:tab w:val="clear" w:pos="794"/>
        <w:tab w:val="clear" w:pos="1191"/>
        <w:tab w:val="clear" w:pos="1588"/>
        <w:tab w:val="clear" w:pos="1985"/>
      </w:tabs>
      <w:spacing w:before="0"/>
    </w:pPr>
    <w:rPr>
      <w:b/>
      <w:color w:val="FFFFFF"/>
      <w:sz w:val="8"/>
    </w:r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rPr>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rPr>
  </w:style>
  <w:style w:type="paragraph" w:customStyle="1" w:styleId="heading">
    <w:name w:val="heading"/>
    <w:basedOn w:val="Heading2"/>
    <w:pPr>
      <w:tabs>
        <w:tab w:val="left" w:pos="1191"/>
        <w:tab w:val="left" w:pos="1588"/>
      </w:tabs>
      <w:outlineLvl w:val="9"/>
    </w:pPr>
  </w:style>
  <w:style w:type="paragraph" w:customStyle="1" w:styleId="Line1">
    <w:name w:val="Line_1"/>
    <w:basedOn w:val="Normal"/>
    <w:next w:val="Normal"/>
    <w:pPr>
      <w:pBdr>
        <w:top w:val="dashed" w:sz="6" w:space="1" w:color="auto"/>
      </w:pBdr>
      <w:tabs>
        <w:tab w:val="clear" w:pos="794"/>
        <w:tab w:val="clear" w:pos="1191"/>
        <w:tab w:val="clear" w:pos="1588"/>
        <w:tab w:val="clear" w:pos="1985"/>
      </w:tabs>
      <w:spacing w:before="240"/>
      <w:ind w:left="3997" w:right="3997"/>
      <w:jc w:val="center"/>
    </w:pPr>
  </w:style>
  <w:style w:type="paragraph" w:customStyle="1" w:styleId="Part">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Ref">
    <w:name w:val="Rep_Title/Ref"/>
    <w:basedOn w:val="RecTitleRef"/>
    <w:next w:val="RepTitleDate"/>
  </w:style>
  <w:style w:type="paragraph" w:customStyle="1" w:styleId="RepTitleDate">
    <w:name w:val="Rep_Title/Date"/>
    <w:basedOn w:val="RecTitleDate"/>
    <w:next w:val="headfoot"/>
  </w:style>
  <w:style w:type="paragraph" w:customStyle="1" w:styleId="RefDoc">
    <w:name w:val="Ref_Doc"/>
    <w:basedOn w:val="RefText"/>
    <w:next w:val="RefText"/>
    <w:pPr>
      <w:spacing w:before="227"/>
    </w:pPr>
    <w:rPr>
      <w:i/>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Ref">
    <w:name w:val="Question_Title/Ref"/>
    <w:basedOn w:val="RecTitleRef"/>
    <w:next w:val="QuestionTitleDate"/>
  </w:style>
  <w:style w:type="paragraph" w:customStyle="1" w:styleId="QuestionTitleDate">
    <w:name w:val="Question_Title/Date"/>
    <w:basedOn w:val="RecTitleDate"/>
    <w:next w:val="headfoot"/>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Ref">
    <w:name w:val="Res_Title/Ref"/>
    <w:basedOn w:val="RecTitleRef"/>
    <w:next w:val="ResTitleDate"/>
  </w:style>
  <w:style w:type="paragraph" w:customStyle="1" w:styleId="ResTitleDate">
    <w:name w:val="Res_Title/Date"/>
    <w:basedOn w:val="RecTitleDate"/>
    <w:next w:val="headfoot"/>
  </w:style>
  <w:style w:type="paragraph" w:customStyle="1" w:styleId="Tablefin">
    <w:name w:val="Table_fin"/>
    <w:basedOn w:val="Normal"/>
    <w:next w:val="Normal"/>
    <w:pPr>
      <w:spacing w:before="28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Style">
    <w:name w:val="Style"/>
    <w:basedOn w:val="Normal"/>
    <w:pPr>
      <w:tabs>
        <w:tab w:val="center" w:pos="4196"/>
        <w:tab w:val="left" w:pos="9242"/>
        <w:tab w:val="center" w:pos="12587"/>
      </w:tabs>
      <w:spacing w:before="340" w:line="318" w:lineRule="atLeast"/>
      <w:ind w:right="618"/>
    </w:pPr>
    <w:rPr>
      <w:i/>
      <w:sz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
    <w:name w:val="Fig"/>
    <w:basedOn w:val="Figure"/>
    <w:next w:val="Fig0"/>
    <w:pPr>
      <w:keepNext w:val="0"/>
      <w:keepLines w:val="0"/>
      <w:spacing w:before="136"/>
    </w:pPr>
    <w:rPr>
      <w:lang w:val="en-US"/>
    </w:rPr>
  </w:style>
  <w:style w:type="paragraph" w:customStyle="1" w:styleId="Fig0">
    <w:name w:val="Fig_#"/>
    <w:basedOn w:val="Fig"/>
    <w:next w:val="Normal"/>
    <w:pPr>
      <w:jc w:val="left"/>
    </w:pPr>
    <w:rPr>
      <w:color w:val="FF0000"/>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0"/>
      <w:jc w:val="left"/>
    </w:pPr>
    <w:rPr>
      <w:noProof/>
    </w:r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style>
  <w:style w:type="paragraph" w:customStyle="1" w:styleId="tocpart">
    <w:name w:val="tocpart"/>
    <w:basedOn w:val="Normal"/>
    <w:pPr>
      <w:tabs>
        <w:tab w:val="clear" w:pos="794"/>
        <w:tab w:val="clear" w:pos="1191"/>
        <w:tab w:val="clear" w:pos="1588"/>
        <w:tab w:val="clear" w:pos="1985"/>
        <w:tab w:val="left" w:pos="2127"/>
        <w:tab w:val="left" w:pos="8789"/>
        <w:tab w:val="right" w:pos="9639"/>
      </w:tabs>
      <w:ind w:left="2127" w:hanging="2127"/>
    </w:pPr>
  </w:style>
  <w:style w:type="paragraph" w:customStyle="1" w:styleId="toctemp">
    <w:name w:val="toctemp"/>
    <w:basedOn w:val="Normal"/>
    <w:next w:val="FootnoteText"/>
    <w:pPr>
      <w:tabs>
        <w:tab w:val="clear" w:pos="794"/>
        <w:tab w:val="clear" w:pos="1191"/>
        <w:tab w:val="clear" w:pos="1588"/>
        <w:tab w:val="clear" w:pos="1985"/>
        <w:tab w:val="left" w:pos="2269"/>
        <w:tab w:val="left" w:leader="dot" w:pos="8789"/>
        <w:tab w:val="right" w:pos="9639"/>
      </w:tabs>
      <w:ind w:left="1418" w:right="964" w:hanging="1418"/>
    </w:pPr>
  </w:style>
  <w:style w:type="paragraph" w:customStyle="1" w:styleId="heading13">
    <w:name w:val="heading 13"/>
    <w:basedOn w:val="Heading3"/>
    <w:pPr>
      <w:tabs>
        <w:tab w:val="clear" w:pos="794"/>
        <w:tab w:val="left" w:pos="1077"/>
        <w:tab w:val="right" w:pos="9696"/>
      </w:tabs>
      <w:spacing w:before="240"/>
      <w:ind w:left="1077" w:hanging="1077"/>
      <w:outlineLvl w:val="9"/>
    </w:pPr>
    <w:rPr>
      <w:b w:val="0"/>
      <w:i/>
    </w:rPr>
  </w:style>
  <w:style w:type="paragraph" w:customStyle="1" w:styleId="Source">
    <w:name w:val="Source"/>
    <w:basedOn w:val="Normal"/>
    <w:next w:val="Normal"/>
    <w:pPr>
      <w:tabs>
        <w:tab w:val="clear" w:pos="794"/>
        <w:tab w:val="clear" w:pos="1191"/>
        <w:tab w:val="clear" w:pos="1588"/>
        <w:tab w:val="clear" w:pos="1985"/>
      </w:tabs>
      <w:spacing w:before="960"/>
      <w:jc w:val="center"/>
    </w:pPr>
    <w:rPr>
      <w:b/>
      <w:sz w:val="28"/>
      <w:lang w:val="es-ES"/>
    </w:rPr>
  </w:style>
  <w:style w:type="paragraph" w:customStyle="1" w:styleId="RecNo">
    <w:name w:val="Rec_No"/>
    <w:basedOn w:val="ResNo"/>
    <w:next w:val="Rectitle0"/>
  </w:style>
  <w:style w:type="paragraph" w:customStyle="1" w:styleId="ResNo">
    <w:name w:val="Res_No"/>
    <w:basedOn w:val="ArtNo"/>
    <w:next w:val="Restitle0"/>
  </w:style>
  <w:style w:type="paragraph" w:customStyle="1" w:styleId="ArtNo">
    <w:name w:val="Art_No"/>
    <w:basedOn w:val="Normal"/>
    <w:next w:val="Arttitle"/>
    <w:pPr>
      <w:keepNext/>
      <w:keepLines/>
      <w:tabs>
        <w:tab w:val="clear" w:pos="794"/>
        <w:tab w:val="clear" w:pos="1191"/>
        <w:tab w:val="clear" w:pos="1588"/>
        <w:tab w:val="clear" w:pos="1985"/>
        <w:tab w:val="left" w:pos="1134"/>
        <w:tab w:val="left" w:pos="1871"/>
        <w:tab w:val="left" w:pos="2268"/>
      </w:tabs>
      <w:spacing w:before="720"/>
      <w:jc w:val="center"/>
    </w:pPr>
    <w:rPr>
      <w:caps/>
      <w:sz w:val="28"/>
      <w:lang w:val="es-ES"/>
    </w:rPr>
  </w:style>
  <w:style w:type="paragraph" w:customStyle="1" w:styleId="Arttitle">
    <w:name w:val="Art_title"/>
    <w:basedOn w:val="Normal"/>
    <w:next w:val="Normalaftertitle"/>
    <w:pPr>
      <w:keepNext/>
      <w:keepLines/>
      <w:tabs>
        <w:tab w:val="clear" w:pos="794"/>
        <w:tab w:val="clear" w:pos="1191"/>
        <w:tab w:val="clear" w:pos="1588"/>
        <w:tab w:val="clear" w:pos="1985"/>
        <w:tab w:val="left" w:pos="1134"/>
        <w:tab w:val="left" w:pos="1871"/>
        <w:tab w:val="left" w:pos="2268"/>
      </w:tabs>
      <w:spacing w:before="160" w:after="80"/>
      <w:jc w:val="center"/>
    </w:pPr>
    <w:rPr>
      <w:b/>
      <w:sz w:val="28"/>
      <w:lang w:val="es-ES"/>
    </w:rPr>
  </w:style>
  <w:style w:type="paragraph" w:customStyle="1" w:styleId="Restitle0">
    <w:name w:val="Res_title"/>
    <w:basedOn w:val="Arttitle"/>
    <w:next w:val="headfoot"/>
    <w:pPr>
      <w:spacing w:after="120"/>
    </w:pPr>
  </w:style>
  <w:style w:type="paragraph" w:customStyle="1" w:styleId="Rectitle0">
    <w:name w:val="Rec_title"/>
    <w:basedOn w:val="Restitle0"/>
    <w:next w:val="headfoot"/>
  </w:style>
  <w:style w:type="paragraph" w:customStyle="1" w:styleId="TableHead">
    <w:name w:val="Table_Head"/>
    <w:basedOn w:val="TableText"/>
    <w:pPr>
      <w:keepNext w:val="0"/>
      <w:tabs>
        <w:tab w:val="clear" w:pos="794"/>
        <w:tab w:val="clear" w:pos="1191"/>
        <w:tab w:val="clear" w:pos="1588"/>
        <w:tab w:val="clear" w:pos="1985"/>
      </w:tabs>
      <w:spacing w:before="113" w:after="113" w:line="240" w:lineRule="auto"/>
      <w:jc w:val="center"/>
    </w:pPr>
    <w:rPr>
      <w:b/>
      <w:sz w:val="22"/>
      <w:lang w:val="es-ES_tradnl"/>
    </w:rPr>
  </w:style>
  <w:style w:type="paragraph" w:customStyle="1" w:styleId="Head">
    <w:name w:val="Head"/>
    <w:basedOn w:val="Normal"/>
    <w:pPr>
      <w:tabs>
        <w:tab w:val="clear" w:pos="794"/>
        <w:tab w:val="clear" w:pos="1191"/>
        <w:tab w:val="clear" w:pos="1588"/>
        <w:tab w:val="clear" w:pos="1985"/>
        <w:tab w:val="left" w:pos="6663"/>
      </w:tabs>
      <w:overflowPunct/>
      <w:autoSpaceDE/>
      <w:autoSpaceDN/>
      <w:adjustRightInd/>
      <w:spacing w:before="0"/>
      <w:jc w:val="left"/>
      <w:textAlignment w:val="auto"/>
    </w:pPr>
    <w:rPr>
      <w:b/>
      <w:color w:val="FFFFFF"/>
      <w:sz w:val="8"/>
      <w:lang w:val="es-ES"/>
    </w:rPr>
  </w:style>
  <w:style w:type="paragraph" w:styleId="BodyText">
    <w:name w:val="Body Text"/>
    <w:basedOn w:val="Normal"/>
    <w:semiHidden/>
    <w:pPr>
      <w:tabs>
        <w:tab w:val="clear" w:pos="794"/>
        <w:tab w:val="clear" w:pos="1191"/>
        <w:tab w:val="clear" w:pos="1588"/>
        <w:tab w:val="clear" w:pos="1985"/>
      </w:tabs>
      <w:spacing w:before="60" w:after="60"/>
      <w:jc w:val="left"/>
    </w:pPr>
  </w:style>
  <w:style w:type="paragraph" w:customStyle="1" w:styleId="AnnexNo">
    <w:name w:val="Annex_No"/>
    <w:basedOn w:val="ArtNo"/>
    <w:next w:val="Annexref0"/>
  </w:style>
  <w:style w:type="paragraph" w:customStyle="1" w:styleId="Annexref0">
    <w:name w:val="Annex_ref"/>
    <w:basedOn w:val="Normal"/>
    <w:pPr>
      <w:tabs>
        <w:tab w:val="clear" w:pos="794"/>
        <w:tab w:val="clear" w:pos="1191"/>
        <w:tab w:val="clear" w:pos="1588"/>
        <w:tab w:val="clear" w:pos="1985"/>
        <w:tab w:val="left" w:pos="1134"/>
        <w:tab w:val="left" w:pos="1871"/>
        <w:tab w:val="left" w:pos="2268"/>
      </w:tabs>
      <w:spacing w:before="120"/>
      <w:jc w:val="center"/>
    </w:pPr>
    <w:rPr>
      <w:sz w:val="24"/>
      <w:lang w:val="es-ES"/>
    </w:rPr>
  </w:style>
  <w:style w:type="character" w:styleId="PageNumber">
    <w:name w:val="page number"/>
    <w:basedOn w:val="DefaultParagraphFont"/>
  </w:style>
  <w:style w:type="paragraph" w:customStyle="1" w:styleId="SpecialFooter">
    <w:name w:val="Special Footer"/>
    <w:basedOn w:val="Footer"/>
    <w:pPr>
      <w:tabs>
        <w:tab w:val="clear" w:pos="4849"/>
        <w:tab w:val="clear" w:pos="9696"/>
        <w:tab w:val="left" w:pos="567"/>
        <w:tab w:val="left" w:pos="1134"/>
        <w:tab w:val="left" w:pos="1701"/>
        <w:tab w:val="left" w:pos="2268"/>
        <w:tab w:val="left" w:pos="2835"/>
        <w:tab w:val="left" w:pos="5954"/>
        <w:tab w:val="right" w:pos="9639"/>
      </w:tabs>
      <w:spacing w:before="0"/>
      <w:jc w:val="both"/>
    </w:pPr>
    <w:rPr>
      <w:b w:val="0"/>
      <w:sz w:val="18"/>
      <w:lang w:val="es-ES"/>
    </w:rPr>
  </w:style>
  <w:style w:type="paragraph" w:customStyle="1" w:styleId="foot">
    <w:name w:val="foot"/>
    <w:basedOn w:val="headfoot"/>
    <w:rPr>
      <w:lang w:val="fr-CH"/>
    </w:rPr>
  </w:style>
  <w:style w:type="paragraph" w:customStyle="1" w:styleId="Tablehead0">
    <w:name w:val="Table_head"/>
    <w:basedOn w:val="Normal"/>
    <w:next w:val="Normal"/>
    <w:rsid w:val="00BD623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Tabletext0">
    <w:name w:val="Table_text"/>
    <w:basedOn w:val="Normal"/>
    <w:link w:val="Tabletext1"/>
    <w:rsid w:val="00BD62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lang w:val="fr-FR" w:eastAsia="x-none"/>
    </w:rPr>
  </w:style>
  <w:style w:type="paragraph" w:customStyle="1" w:styleId="Chaptitle">
    <w:name w:val="Chap_title"/>
    <w:basedOn w:val="Arttitle"/>
    <w:next w:val="Normal"/>
    <w:rsid w:val="00BD6236"/>
    <w:pPr>
      <w:tabs>
        <w:tab w:val="clear" w:pos="1134"/>
        <w:tab w:val="clear" w:pos="1871"/>
        <w:tab w:val="clear" w:pos="2268"/>
        <w:tab w:val="left" w:pos="794"/>
        <w:tab w:val="left" w:pos="1191"/>
        <w:tab w:val="left" w:pos="1588"/>
        <w:tab w:val="left" w:pos="1985"/>
      </w:tabs>
      <w:spacing w:before="240" w:after="0"/>
    </w:pPr>
    <w:rPr>
      <w:lang w:val="fr-FR"/>
    </w:rPr>
  </w:style>
  <w:style w:type="character" w:styleId="Hyperlink">
    <w:name w:val="Hyperlink"/>
    <w:basedOn w:val="DefaultParagraphFont"/>
    <w:rsid w:val="00BD6236"/>
    <w:rPr>
      <w:color w:val="0000FF"/>
      <w:u w:val="single"/>
    </w:rPr>
  </w:style>
  <w:style w:type="character" w:customStyle="1" w:styleId="Tabletext1">
    <w:name w:val="Table_text (文字)"/>
    <w:link w:val="Tabletext0"/>
    <w:rsid w:val="00DE2073"/>
    <w:rPr>
      <w:rFonts w:ascii="Times New Roman" w:hAnsi="Times New Roman"/>
      <w:sz w:val="22"/>
      <w:lang w:val="fr-FR"/>
    </w:rPr>
  </w:style>
  <w:style w:type="character" w:customStyle="1" w:styleId="href">
    <w:name w:val="href"/>
    <w:rsid w:val="00737A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eastAsia="en-US"/>
    </w:rPr>
  </w:style>
  <w:style w:type="paragraph" w:styleId="Heading1">
    <w:name w:val="heading 1"/>
    <w:basedOn w:val="Normal"/>
    <w:next w:val="Normal"/>
    <w:qFormat/>
    <w:pPr>
      <w:keepNext/>
      <w:keepLines/>
      <w:tabs>
        <w:tab w:val="clear" w:pos="1191"/>
        <w:tab w:val="clear" w:pos="1588"/>
        <w:tab w:val="clear" w:pos="1985"/>
      </w:tabs>
      <w:spacing w:before="480"/>
      <w:ind w:left="794" w:hanging="794"/>
      <w:outlineLvl w:val="0"/>
    </w:pPr>
    <w:rPr>
      <w:b/>
      <w:sz w:val="24"/>
    </w:rPr>
  </w:style>
  <w:style w:type="paragraph" w:styleId="Heading2">
    <w:name w:val="heading 2"/>
    <w:basedOn w:val="Normal"/>
    <w:next w:val="Normal"/>
    <w:qFormat/>
    <w:pPr>
      <w:keepNext/>
      <w:keepLines/>
      <w:tabs>
        <w:tab w:val="clear" w:pos="1191"/>
        <w:tab w:val="clear" w:pos="1588"/>
        <w:tab w:val="clear" w:pos="1985"/>
      </w:tabs>
      <w:spacing w:before="313"/>
      <w:ind w:left="794" w:hanging="794"/>
      <w:outlineLvl w:val="1"/>
    </w:pPr>
    <w:rPr>
      <w:b/>
      <w:sz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spacing w:before="200"/>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basedOn w:val="Heading3"/>
    <w:next w:val="Normal"/>
    <w:qFormat/>
    <w:pPr>
      <w:tabs>
        <w:tab w:val="clear" w:pos="794"/>
        <w:tab w:val="left" w:pos="1531"/>
      </w:tabs>
      <w:ind w:left="1531" w:hanging="153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2">
    <w:name w:val="toc 2"/>
    <w:basedOn w:val="TOC1"/>
    <w:next w:val="TOC3"/>
    <w:semiHidden/>
    <w:pPr>
      <w:tabs>
        <w:tab w:val="clear" w:pos="567"/>
        <w:tab w:val="left" w:pos="1247"/>
      </w:tabs>
      <w:spacing w:before="40"/>
      <w:ind w:left="1247" w:hanging="680"/>
    </w:pPr>
  </w:style>
  <w:style w:type="paragraph" w:styleId="TOC1">
    <w:name w:val="toc 1"/>
    <w:basedOn w:val="Normal"/>
    <w:next w:val="TOC2"/>
    <w:semiHidden/>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TOC3">
    <w:name w:val="toc 3"/>
    <w:basedOn w:val="TOC2"/>
    <w:next w:val="TOC4"/>
    <w:semiHidden/>
    <w:pPr>
      <w:tabs>
        <w:tab w:val="clear" w:pos="1247"/>
        <w:tab w:val="left" w:pos="2041"/>
      </w:tabs>
      <w:spacing w:before="20"/>
      <w:ind w:left="2041" w:hanging="794"/>
    </w:pPr>
  </w:style>
  <w:style w:type="paragraph" w:styleId="TOC4">
    <w:name w:val="toc 4"/>
    <w:basedOn w:val="TOC3"/>
    <w:next w:val="TOC5"/>
    <w:semiHidden/>
    <w:pPr>
      <w:tabs>
        <w:tab w:val="left" w:pos="2948"/>
      </w:tabs>
      <w:ind w:left="2948" w:hanging="907"/>
    </w:pPr>
  </w:style>
  <w:style w:type="paragraph" w:styleId="TOC5">
    <w:name w:val="toc 5"/>
    <w:basedOn w:val="Normal"/>
    <w:next w:val="Normal"/>
    <w:semiHidden/>
    <w:pPr>
      <w:tabs>
        <w:tab w:val="left" w:pos="3969"/>
        <w:tab w:val="right" w:leader="dot" w:pos="9725"/>
      </w:tabs>
      <w:ind w:left="2948"/>
    </w:pPr>
  </w:style>
  <w:style w:type="paragraph" w:styleId="TOC6">
    <w:name w:val="toc 6"/>
    <w:basedOn w:val="Normal"/>
    <w:next w:val="Normal"/>
    <w:semiHidden/>
    <w:pPr>
      <w:tabs>
        <w:tab w:val="left" w:pos="5104"/>
        <w:tab w:val="right" w:leader="dot" w:pos="9725"/>
      </w:tabs>
      <w:ind w:left="3969"/>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emiHidden/>
  </w:style>
  <w:style w:type="paragraph" w:styleId="IndexHeading">
    <w:name w:val="index heading"/>
    <w:basedOn w:val="Normal"/>
    <w:next w:val="Index1"/>
    <w:semiHidden/>
  </w:style>
  <w:style w:type="paragraph" w:styleId="Footer">
    <w:name w:val="footer"/>
    <w:aliases w:val="footer odd"/>
    <w:basedOn w:val="Normal"/>
    <w:semiHidden/>
    <w:pPr>
      <w:tabs>
        <w:tab w:val="clear" w:pos="794"/>
        <w:tab w:val="clear" w:pos="1191"/>
        <w:tab w:val="clear" w:pos="1588"/>
        <w:tab w:val="clear" w:pos="1985"/>
        <w:tab w:val="center" w:pos="4849"/>
        <w:tab w:val="right" w:pos="9696"/>
      </w:tabs>
      <w:jc w:val="left"/>
    </w:pPr>
    <w:rPr>
      <w:b/>
    </w:rPr>
  </w:style>
  <w:style w:type="paragraph" w:styleId="Header">
    <w:name w:val="header"/>
    <w:aliases w:val="header odd,header odd1,header odd2"/>
    <w:basedOn w:val="Normal"/>
    <w:pPr>
      <w:tabs>
        <w:tab w:val="clear" w:pos="794"/>
        <w:tab w:val="clear" w:pos="1191"/>
        <w:tab w:val="clear" w:pos="1588"/>
        <w:tab w:val="clear" w:pos="1985"/>
        <w:tab w:val="center" w:pos="4849"/>
        <w:tab w:val="right" w:pos="9696"/>
      </w:tabs>
    </w:pPr>
    <w:rPr>
      <w:b/>
    </w:rPr>
  </w:style>
  <w:style w:type="character" w:styleId="FootnoteReference">
    <w:name w:val="footnote reference"/>
    <w:basedOn w:val="DefaultParagraphFont"/>
    <w:semiHidden/>
    <w:rPr>
      <w:position w:val="4"/>
      <w:sz w:val="16"/>
    </w:rPr>
  </w:style>
  <w:style w:type="paragraph" w:styleId="FootnoteText">
    <w:name w:val="footnote text"/>
    <w:basedOn w:val="Normal"/>
    <w:semiHidden/>
    <w:pPr>
      <w:tabs>
        <w:tab w:val="clear" w:pos="794"/>
        <w:tab w:val="clear" w:pos="1191"/>
        <w:tab w:val="clear" w:pos="1588"/>
        <w:tab w:val="clear" w:pos="1985"/>
        <w:tab w:val="left" w:pos="313"/>
      </w:tabs>
    </w:pPr>
    <w:rPr>
      <w:sz w:val="18"/>
    </w:rPr>
  </w:style>
  <w:style w:type="paragraph" w:styleId="NormalIndent">
    <w:name w:val="Normal Indent"/>
    <w:basedOn w:val="Normal"/>
    <w:semiHidden/>
    <w:pPr>
      <w:ind w:left="600"/>
    </w:pPr>
  </w:style>
  <w:style w:type="paragraph" w:customStyle="1" w:styleId="TableLegend">
    <w:name w:val="Table_Legend"/>
    <w:basedOn w:val="Normal"/>
    <w:next w:val="Normal"/>
    <w:pPr>
      <w:keepNext/>
      <w:spacing w:before="86" w:line="199" w:lineRule="exact"/>
      <w:ind w:left="-85" w:right="-85"/>
    </w:pPr>
    <w:rPr>
      <w:sz w:val="18"/>
    </w:rPr>
  </w:style>
  <w:style w:type="paragraph" w:customStyle="1" w:styleId="TableTitle">
    <w:name w:val="Table_Title"/>
    <w:basedOn w:val="Table"/>
    <w:next w:val="Blanc"/>
    <w:pPr>
      <w:spacing w:before="0"/>
    </w:pPr>
    <w:rPr>
      <w:b/>
    </w:r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TableText">
    <w:name w:val="Table_Text"/>
    <w:basedOn w:val="TableLegend"/>
    <w:pPr>
      <w:spacing w:before="100" w:after="100" w:line="190" w:lineRule="exact"/>
      <w:ind w:left="0" w:right="0"/>
    </w:p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Figure">
    <w:name w:val="Figure"/>
    <w:basedOn w:val="Normal"/>
    <w:next w:val="Normal"/>
    <w:pPr>
      <w:keepNext/>
      <w:keepLines/>
      <w:spacing w:before="240"/>
      <w:jc w:val="center"/>
    </w:pPr>
  </w:style>
  <w:style w:type="paragraph" w:customStyle="1" w:styleId="FigureLegend">
    <w:name w:val="Figure_Legend"/>
    <w:basedOn w:val="TableLegend"/>
    <w:next w:val="FigureRemark"/>
    <w:pPr>
      <w:jc w:val="left"/>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Figure0">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sz w:val="24"/>
    </w:rPr>
  </w:style>
  <w:style w:type="paragraph" w:customStyle="1" w:styleId="Normalaftertitle">
    <w:name w:val="Normal after title"/>
    <w:basedOn w:val="Normal"/>
    <w:next w:val="Normal"/>
    <w:pPr>
      <w:spacing w:before="480"/>
    </w:p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rPr>
  </w:style>
  <w:style w:type="paragraph" w:customStyle="1" w:styleId="RefText">
    <w:name w:val="Ref_Text"/>
    <w:basedOn w:val="Normal"/>
    <w:pPr>
      <w:ind w:left="567" w:hanging="567"/>
    </w:pPr>
    <w:rPr>
      <w:sz w:val="18"/>
    </w:rPr>
  </w:style>
  <w:style w:type="paragraph" w:customStyle="1" w:styleId="listitem">
    <w:name w:val="listitem"/>
    <w:basedOn w:val="Normal"/>
    <w:pPr>
      <w:keepLines/>
      <w:spacing w:before="0"/>
      <w:jc w:val="left"/>
    </w:p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pPr>
      <w:spacing w:before="180"/>
    </w:pPr>
    <w:rPr>
      <w:b/>
    </w:rPr>
  </w:style>
  <w:style w:type="paragraph" w:customStyle="1" w:styleId="RecTitleRef">
    <w:name w:val="Rec_Title/Ref"/>
    <w:basedOn w:val="RecTitle"/>
    <w:next w:val="RecTitleDate"/>
    <w:pPr>
      <w:spacing w:before="136"/>
    </w:pPr>
    <w:rPr>
      <w:b w:val="0"/>
    </w:rPr>
  </w:style>
  <w:style w:type="paragraph" w:customStyle="1" w:styleId="RecTitleDate">
    <w:name w:val="Rec_Title/Date"/>
    <w:basedOn w:val="RecTitleRef"/>
    <w:next w:val="headfoot"/>
    <w:pPr>
      <w:tabs>
        <w:tab w:val="clear" w:pos="4849"/>
      </w:tabs>
      <w:jc w:val="right"/>
    </w:pPr>
  </w:style>
  <w:style w:type="paragraph" w:customStyle="1" w:styleId="headfoot">
    <w:name w:val="head_foot"/>
    <w:basedOn w:val="Normal"/>
    <w:next w:val="Normalaftertitle"/>
    <w:pPr>
      <w:tabs>
        <w:tab w:val="clear" w:pos="794"/>
        <w:tab w:val="clear" w:pos="1191"/>
        <w:tab w:val="clear" w:pos="1588"/>
        <w:tab w:val="clear" w:pos="1985"/>
      </w:tabs>
      <w:spacing w:before="0"/>
    </w:pPr>
    <w:rPr>
      <w:b/>
      <w:color w:val="FFFFFF"/>
      <w:sz w:val="8"/>
    </w:r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rPr>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rPr>
  </w:style>
  <w:style w:type="paragraph" w:customStyle="1" w:styleId="heading">
    <w:name w:val="heading"/>
    <w:basedOn w:val="Heading2"/>
    <w:pPr>
      <w:tabs>
        <w:tab w:val="left" w:pos="1191"/>
        <w:tab w:val="left" w:pos="1588"/>
      </w:tabs>
      <w:outlineLvl w:val="9"/>
    </w:pPr>
  </w:style>
  <w:style w:type="paragraph" w:customStyle="1" w:styleId="Line1">
    <w:name w:val="Line_1"/>
    <w:basedOn w:val="Normal"/>
    <w:next w:val="Normal"/>
    <w:pPr>
      <w:pBdr>
        <w:top w:val="dashed" w:sz="6" w:space="1" w:color="auto"/>
      </w:pBdr>
      <w:tabs>
        <w:tab w:val="clear" w:pos="794"/>
        <w:tab w:val="clear" w:pos="1191"/>
        <w:tab w:val="clear" w:pos="1588"/>
        <w:tab w:val="clear" w:pos="1985"/>
      </w:tabs>
      <w:spacing w:before="240"/>
      <w:ind w:left="3997" w:right="3997"/>
      <w:jc w:val="center"/>
    </w:pPr>
  </w:style>
  <w:style w:type="paragraph" w:customStyle="1" w:styleId="Part">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Ref">
    <w:name w:val="Rep_Title/Ref"/>
    <w:basedOn w:val="RecTitleRef"/>
    <w:next w:val="RepTitleDate"/>
  </w:style>
  <w:style w:type="paragraph" w:customStyle="1" w:styleId="RepTitleDate">
    <w:name w:val="Rep_Title/Date"/>
    <w:basedOn w:val="RecTitleDate"/>
    <w:next w:val="headfoot"/>
  </w:style>
  <w:style w:type="paragraph" w:customStyle="1" w:styleId="RefDoc">
    <w:name w:val="Ref_Doc"/>
    <w:basedOn w:val="RefText"/>
    <w:next w:val="RefText"/>
    <w:pPr>
      <w:spacing w:before="227"/>
    </w:pPr>
    <w:rPr>
      <w:i/>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Ref">
    <w:name w:val="Question_Title/Ref"/>
    <w:basedOn w:val="RecTitleRef"/>
    <w:next w:val="QuestionTitleDate"/>
  </w:style>
  <w:style w:type="paragraph" w:customStyle="1" w:styleId="QuestionTitleDate">
    <w:name w:val="Question_Title/Date"/>
    <w:basedOn w:val="RecTitleDate"/>
    <w:next w:val="headfoot"/>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Ref">
    <w:name w:val="Res_Title/Ref"/>
    <w:basedOn w:val="RecTitleRef"/>
    <w:next w:val="ResTitleDate"/>
  </w:style>
  <w:style w:type="paragraph" w:customStyle="1" w:styleId="ResTitleDate">
    <w:name w:val="Res_Title/Date"/>
    <w:basedOn w:val="RecTitleDate"/>
    <w:next w:val="headfoot"/>
  </w:style>
  <w:style w:type="paragraph" w:customStyle="1" w:styleId="Tablefin">
    <w:name w:val="Table_fin"/>
    <w:basedOn w:val="Normal"/>
    <w:next w:val="Normal"/>
    <w:pPr>
      <w:spacing w:before="28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Style">
    <w:name w:val="Style"/>
    <w:basedOn w:val="Normal"/>
    <w:pPr>
      <w:tabs>
        <w:tab w:val="center" w:pos="4196"/>
        <w:tab w:val="left" w:pos="9242"/>
        <w:tab w:val="center" w:pos="12587"/>
      </w:tabs>
      <w:spacing w:before="340" w:line="318" w:lineRule="atLeast"/>
      <w:ind w:right="618"/>
    </w:pPr>
    <w:rPr>
      <w:i/>
      <w:sz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
    <w:name w:val="Fig"/>
    <w:basedOn w:val="Figure"/>
    <w:next w:val="Fig0"/>
    <w:pPr>
      <w:keepNext w:val="0"/>
      <w:keepLines w:val="0"/>
      <w:spacing w:before="136"/>
    </w:pPr>
    <w:rPr>
      <w:lang w:val="en-US"/>
    </w:rPr>
  </w:style>
  <w:style w:type="paragraph" w:customStyle="1" w:styleId="Fig0">
    <w:name w:val="Fig_#"/>
    <w:basedOn w:val="Fig"/>
    <w:next w:val="Normal"/>
    <w:pPr>
      <w:jc w:val="left"/>
    </w:pPr>
    <w:rPr>
      <w:color w:val="FF0000"/>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0"/>
      <w:jc w:val="left"/>
    </w:pPr>
    <w:rPr>
      <w:noProof/>
    </w:r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style>
  <w:style w:type="paragraph" w:customStyle="1" w:styleId="tocpart">
    <w:name w:val="tocpart"/>
    <w:basedOn w:val="Normal"/>
    <w:pPr>
      <w:tabs>
        <w:tab w:val="clear" w:pos="794"/>
        <w:tab w:val="clear" w:pos="1191"/>
        <w:tab w:val="clear" w:pos="1588"/>
        <w:tab w:val="clear" w:pos="1985"/>
        <w:tab w:val="left" w:pos="2127"/>
        <w:tab w:val="left" w:pos="8789"/>
        <w:tab w:val="right" w:pos="9639"/>
      </w:tabs>
      <w:ind w:left="2127" w:hanging="2127"/>
    </w:pPr>
  </w:style>
  <w:style w:type="paragraph" w:customStyle="1" w:styleId="toctemp">
    <w:name w:val="toctemp"/>
    <w:basedOn w:val="Normal"/>
    <w:next w:val="FootnoteText"/>
    <w:pPr>
      <w:tabs>
        <w:tab w:val="clear" w:pos="794"/>
        <w:tab w:val="clear" w:pos="1191"/>
        <w:tab w:val="clear" w:pos="1588"/>
        <w:tab w:val="clear" w:pos="1985"/>
        <w:tab w:val="left" w:pos="2269"/>
        <w:tab w:val="left" w:leader="dot" w:pos="8789"/>
        <w:tab w:val="right" w:pos="9639"/>
      </w:tabs>
      <w:ind w:left="1418" w:right="964" w:hanging="1418"/>
    </w:pPr>
  </w:style>
  <w:style w:type="paragraph" w:customStyle="1" w:styleId="heading13">
    <w:name w:val="heading 13"/>
    <w:basedOn w:val="Heading3"/>
    <w:pPr>
      <w:tabs>
        <w:tab w:val="clear" w:pos="794"/>
        <w:tab w:val="left" w:pos="1077"/>
        <w:tab w:val="right" w:pos="9696"/>
      </w:tabs>
      <w:spacing w:before="240"/>
      <w:ind w:left="1077" w:hanging="1077"/>
      <w:outlineLvl w:val="9"/>
    </w:pPr>
    <w:rPr>
      <w:b w:val="0"/>
      <w:i/>
    </w:rPr>
  </w:style>
  <w:style w:type="paragraph" w:customStyle="1" w:styleId="Source">
    <w:name w:val="Source"/>
    <w:basedOn w:val="Normal"/>
    <w:next w:val="Normal"/>
    <w:pPr>
      <w:tabs>
        <w:tab w:val="clear" w:pos="794"/>
        <w:tab w:val="clear" w:pos="1191"/>
        <w:tab w:val="clear" w:pos="1588"/>
        <w:tab w:val="clear" w:pos="1985"/>
      </w:tabs>
      <w:spacing w:before="960"/>
      <w:jc w:val="center"/>
    </w:pPr>
    <w:rPr>
      <w:b/>
      <w:sz w:val="28"/>
      <w:lang w:val="es-ES"/>
    </w:rPr>
  </w:style>
  <w:style w:type="paragraph" w:customStyle="1" w:styleId="RecNo">
    <w:name w:val="Rec_No"/>
    <w:basedOn w:val="ResNo"/>
    <w:next w:val="Rectitle0"/>
  </w:style>
  <w:style w:type="paragraph" w:customStyle="1" w:styleId="ResNo">
    <w:name w:val="Res_No"/>
    <w:basedOn w:val="ArtNo"/>
    <w:next w:val="Restitle0"/>
  </w:style>
  <w:style w:type="paragraph" w:customStyle="1" w:styleId="ArtNo">
    <w:name w:val="Art_No"/>
    <w:basedOn w:val="Normal"/>
    <w:next w:val="Arttitle"/>
    <w:pPr>
      <w:keepNext/>
      <w:keepLines/>
      <w:tabs>
        <w:tab w:val="clear" w:pos="794"/>
        <w:tab w:val="clear" w:pos="1191"/>
        <w:tab w:val="clear" w:pos="1588"/>
        <w:tab w:val="clear" w:pos="1985"/>
        <w:tab w:val="left" w:pos="1134"/>
        <w:tab w:val="left" w:pos="1871"/>
        <w:tab w:val="left" w:pos="2268"/>
      </w:tabs>
      <w:spacing w:before="720"/>
      <w:jc w:val="center"/>
    </w:pPr>
    <w:rPr>
      <w:caps/>
      <w:sz w:val="28"/>
      <w:lang w:val="es-ES"/>
    </w:rPr>
  </w:style>
  <w:style w:type="paragraph" w:customStyle="1" w:styleId="Arttitle">
    <w:name w:val="Art_title"/>
    <w:basedOn w:val="Normal"/>
    <w:next w:val="Normalaftertitle"/>
    <w:pPr>
      <w:keepNext/>
      <w:keepLines/>
      <w:tabs>
        <w:tab w:val="clear" w:pos="794"/>
        <w:tab w:val="clear" w:pos="1191"/>
        <w:tab w:val="clear" w:pos="1588"/>
        <w:tab w:val="clear" w:pos="1985"/>
        <w:tab w:val="left" w:pos="1134"/>
        <w:tab w:val="left" w:pos="1871"/>
        <w:tab w:val="left" w:pos="2268"/>
      </w:tabs>
      <w:spacing w:before="160" w:after="80"/>
      <w:jc w:val="center"/>
    </w:pPr>
    <w:rPr>
      <w:b/>
      <w:sz w:val="28"/>
      <w:lang w:val="es-ES"/>
    </w:rPr>
  </w:style>
  <w:style w:type="paragraph" w:customStyle="1" w:styleId="Restitle0">
    <w:name w:val="Res_title"/>
    <w:basedOn w:val="Arttitle"/>
    <w:next w:val="headfoot"/>
    <w:pPr>
      <w:spacing w:after="120"/>
    </w:pPr>
  </w:style>
  <w:style w:type="paragraph" w:customStyle="1" w:styleId="Rectitle0">
    <w:name w:val="Rec_title"/>
    <w:basedOn w:val="Restitle0"/>
    <w:next w:val="headfoot"/>
  </w:style>
  <w:style w:type="paragraph" w:customStyle="1" w:styleId="TableHead">
    <w:name w:val="Table_Head"/>
    <w:basedOn w:val="TableText"/>
    <w:pPr>
      <w:keepNext w:val="0"/>
      <w:tabs>
        <w:tab w:val="clear" w:pos="794"/>
        <w:tab w:val="clear" w:pos="1191"/>
        <w:tab w:val="clear" w:pos="1588"/>
        <w:tab w:val="clear" w:pos="1985"/>
      </w:tabs>
      <w:spacing w:before="113" w:after="113" w:line="240" w:lineRule="auto"/>
      <w:jc w:val="center"/>
    </w:pPr>
    <w:rPr>
      <w:b/>
      <w:sz w:val="22"/>
      <w:lang w:val="es-ES_tradnl"/>
    </w:rPr>
  </w:style>
  <w:style w:type="paragraph" w:customStyle="1" w:styleId="Head">
    <w:name w:val="Head"/>
    <w:basedOn w:val="Normal"/>
    <w:pPr>
      <w:tabs>
        <w:tab w:val="clear" w:pos="794"/>
        <w:tab w:val="clear" w:pos="1191"/>
        <w:tab w:val="clear" w:pos="1588"/>
        <w:tab w:val="clear" w:pos="1985"/>
        <w:tab w:val="left" w:pos="6663"/>
      </w:tabs>
      <w:overflowPunct/>
      <w:autoSpaceDE/>
      <w:autoSpaceDN/>
      <w:adjustRightInd/>
      <w:spacing w:before="0"/>
      <w:jc w:val="left"/>
      <w:textAlignment w:val="auto"/>
    </w:pPr>
    <w:rPr>
      <w:b/>
      <w:color w:val="FFFFFF"/>
      <w:sz w:val="8"/>
      <w:lang w:val="es-ES"/>
    </w:rPr>
  </w:style>
  <w:style w:type="paragraph" w:styleId="BodyText">
    <w:name w:val="Body Text"/>
    <w:basedOn w:val="Normal"/>
    <w:semiHidden/>
    <w:pPr>
      <w:tabs>
        <w:tab w:val="clear" w:pos="794"/>
        <w:tab w:val="clear" w:pos="1191"/>
        <w:tab w:val="clear" w:pos="1588"/>
        <w:tab w:val="clear" w:pos="1985"/>
      </w:tabs>
      <w:spacing w:before="60" w:after="60"/>
      <w:jc w:val="left"/>
    </w:pPr>
  </w:style>
  <w:style w:type="paragraph" w:customStyle="1" w:styleId="AnnexNo">
    <w:name w:val="Annex_No"/>
    <w:basedOn w:val="ArtNo"/>
    <w:next w:val="Annexref0"/>
  </w:style>
  <w:style w:type="paragraph" w:customStyle="1" w:styleId="Annexref0">
    <w:name w:val="Annex_ref"/>
    <w:basedOn w:val="Normal"/>
    <w:pPr>
      <w:tabs>
        <w:tab w:val="clear" w:pos="794"/>
        <w:tab w:val="clear" w:pos="1191"/>
        <w:tab w:val="clear" w:pos="1588"/>
        <w:tab w:val="clear" w:pos="1985"/>
        <w:tab w:val="left" w:pos="1134"/>
        <w:tab w:val="left" w:pos="1871"/>
        <w:tab w:val="left" w:pos="2268"/>
      </w:tabs>
      <w:spacing w:before="120"/>
      <w:jc w:val="center"/>
    </w:pPr>
    <w:rPr>
      <w:sz w:val="24"/>
      <w:lang w:val="es-ES"/>
    </w:rPr>
  </w:style>
  <w:style w:type="character" w:styleId="PageNumber">
    <w:name w:val="page number"/>
    <w:basedOn w:val="DefaultParagraphFont"/>
  </w:style>
  <w:style w:type="paragraph" w:customStyle="1" w:styleId="SpecialFooter">
    <w:name w:val="Special Footer"/>
    <w:basedOn w:val="Footer"/>
    <w:pPr>
      <w:tabs>
        <w:tab w:val="clear" w:pos="4849"/>
        <w:tab w:val="clear" w:pos="9696"/>
        <w:tab w:val="left" w:pos="567"/>
        <w:tab w:val="left" w:pos="1134"/>
        <w:tab w:val="left" w:pos="1701"/>
        <w:tab w:val="left" w:pos="2268"/>
        <w:tab w:val="left" w:pos="2835"/>
        <w:tab w:val="left" w:pos="5954"/>
        <w:tab w:val="right" w:pos="9639"/>
      </w:tabs>
      <w:spacing w:before="0"/>
      <w:jc w:val="both"/>
    </w:pPr>
    <w:rPr>
      <w:b w:val="0"/>
      <w:sz w:val="18"/>
      <w:lang w:val="es-ES"/>
    </w:rPr>
  </w:style>
  <w:style w:type="paragraph" w:customStyle="1" w:styleId="foot">
    <w:name w:val="foot"/>
    <w:basedOn w:val="headfoot"/>
    <w:rPr>
      <w:lang w:val="fr-CH"/>
    </w:rPr>
  </w:style>
  <w:style w:type="paragraph" w:customStyle="1" w:styleId="Tablehead0">
    <w:name w:val="Table_head"/>
    <w:basedOn w:val="Normal"/>
    <w:next w:val="Normal"/>
    <w:rsid w:val="00BD623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Tabletext0">
    <w:name w:val="Table_text"/>
    <w:basedOn w:val="Normal"/>
    <w:link w:val="Tabletext1"/>
    <w:rsid w:val="00BD62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lang w:val="fr-FR" w:eastAsia="x-none"/>
    </w:rPr>
  </w:style>
  <w:style w:type="paragraph" w:customStyle="1" w:styleId="Chaptitle">
    <w:name w:val="Chap_title"/>
    <w:basedOn w:val="Arttitle"/>
    <w:next w:val="Normal"/>
    <w:rsid w:val="00BD6236"/>
    <w:pPr>
      <w:tabs>
        <w:tab w:val="clear" w:pos="1134"/>
        <w:tab w:val="clear" w:pos="1871"/>
        <w:tab w:val="clear" w:pos="2268"/>
        <w:tab w:val="left" w:pos="794"/>
        <w:tab w:val="left" w:pos="1191"/>
        <w:tab w:val="left" w:pos="1588"/>
        <w:tab w:val="left" w:pos="1985"/>
      </w:tabs>
      <w:spacing w:before="240" w:after="0"/>
    </w:pPr>
    <w:rPr>
      <w:lang w:val="fr-FR"/>
    </w:rPr>
  </w:style>
  <w:style w:type="character" w:styleId="Hyperlink">
    <w:name w:val="Hyperlink"/>
    <w:basedOn w:val="DefaultParagraphFont"/>
    <w:rsid w:val="00BD6236"/>
    <w:rPr>
      <w:color w:val="0000FF"/>
      <w:u w:val="single"/>
    </w:rPr>
  </w:style>
  <w:style w:type="character" w:customStyle="1" w:styleId="Tabletext1">
    <w:name w:val="Table_text (文字)"/>
    <w:link w:val="Tabletext0"/>
    <w:rsid w:val="00DE2073"/>
    <w:rPr>
      <w:rFonts w:ascii="Times New Roman" w:hAnsi="Times New Roman"/>
      <w:sz w:val="22"/>
      <w:lang w:val="fr-FR"/>
    </w:rPr>
  </w:style>
  <w:style w:type="character" w:customStyle="1" w:styleId="href">
    <w:name w:val="href"/>
    <w:rsid w:val="00737A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5.bin"/><Relationship Id="rId39" Type="http://schemas.openxmlformats.org/officeDocument/2006/relationships/image" Target="media/image15.wmf"/><Relationship Id="rId21" Type="http://schemas.openxmlformats.org/officeDocument/2006/relationships/image" Target="media/image5.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oleObject" Target="embeddings/oleObject16.bin"/><Relationship Id="rId50" Type="http://schemas.openxmlformats.org/officeDocument/2006/relationships/image" Target="media/image20.wmf"/><Relationship Id="rId55" Type="http://schemas.openxmlformats.org/officeDocument/2006/relationships/image" Target="media/image22.wmf"/><Relationship Id="rId63" Type="http://schemas.openxmlformats.org/officeDocument/2006/relationships/image" Target="media/image29.wmf"/><Relationship Id="rId68" Type="http://schemas.openxmlformats.org/officeDocument/2006/relationships/oleObject" Target="embeddings/oleObject23.bin"/><Relationship Id="rId76" Type="http://schemas.openxmlformats.org/officeDocument/2006/relationships/oleObject" Target="embeddings/oleObject27.bin"/><Relationship Id="rId7" Type="http://schemas.openxmlformats.org/officeDocument/2006/relationships/footnotes" Target="footnotes.xml"/><Relationship Id="rId71" Type="http://schemas.openxmlformats.org/officeDocument/2006/relationships/image" Target="media/image34.wmf"/><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0.wmf"/><Relationship Id="rId11" Type="http://schemas.openxmlformats.org/officeDocument/2006/relationships/hyperlink" Target="http://www.itu.int/ITU-R/go/patents/en"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4.wmf"/><Relationship Id="rId40" Type="http://schemas.openxmlformats.org/officeDocument/2006/relationships/oleObject" Target="embeddings/oleObject12.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image" Target="media/image25.wmf"/><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header" Target="header7.xml"/><Relationship Id="rId5" Type="http://schemas.openxmlformats.org/officeDocument/2006/relationships/settings" Target="settings.xml"/><Relationship Id="rId61" Type="http://schemas.openxmlformats.org/officeDocument/2006/relationships/oleObject" Target="embeddings/oleObject21.bin"/><Relationship Id="rId82"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1.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image" Target="media/image27.wmf"/><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header" Target="header6.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wmf"/><Relationship Id="rId27" Type="http://schemas.openxmlformats.org/officeDocument/2006/relationships/image" Target="media/image9.wmf"/><Relationship Id="rId30" Type="http://schemas.openxmlformats.org/officeDocument/2006/relationships/oleObject" Target="embeddings/oleObject7.bin"/><Relationship Id="rId35" Type="http://schemas.openxmlformats.org/officeDocument/2006/relationships/image" Target="media/image13.wmf"/><Relationship Id="rId43" Type="http://schemas.openxmlformats.org/officeDocument/2006/relationships/oleObject" Target="embeddings/oleObject14.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30.wmf"/><Relationship Id="rId69" Type="http://schemas.openxmlformats.org/officeDocument/2006/relationships/image" Target="media/image33.wmf"/><Relationship Id="rId77"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oleObject" Target="embeddings/oleObject25.bin"/><Relationship Id="rId80" Type="http://schemas.openxmlformats.org/officeDocument/2006/relationships/header" Target="header8.xm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1.bin"/><Relationship Id="rId46" Type="http://schemas.openxmlformats.org/officeDocument/2006/relationships/image" Target="media/image18.wmf"/><Relationship Id="rId59" Type="http://schemas.openxmlformats.org/officeDocument/2006/relationships/image" Target="media/image26.wmf"/><Relationship Id="rId67" Type="http://schemas.openxmlformats.org/officeDocument/2006/relationships/image" Target="media/image32.wmf"/><Relationship Id="rId20" Type="http://schemas.openxmlformats.org/officeDocument/2006/relationships/oleObject" Target="embeddings/oleObject3.bin"/><Relationship Id="rId41" Type="http://schemas.openxmlformats.org/officeDocument/2006/relationships/image" Target="media/image16.wmf"/><Relationship Id="rId54" Type="http://schemas.openxmlformats.org/officeDocument/2006/relationships/oleObject" Target="embeddings/oleObject20.bin"/><Relationship Id="rId62" Type="http://schemas.openxmlformats.org/officeDocument/2006/relationships/image" Target="media/image28.wmf"/><Relationship Id="rId70" Type="http://schemas.openxmlformats.org/officeDocument/2006/relationships/oleObject" Target="embeddings/oleObject24.bin"/><Relationship Id="rId75" Type="http://schemas.openxmlformats.org/officeDocument/2006/relationships/image" Target="media/image36.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7.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oleObject" Target="embeddings/oleObject17.bin"/><Relationship Id="rId57" Type="http://schemas.openxmlformats.org/officeDocument/2006/relationships/image" Target="media/image24.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F0601-B068-44FD-8C82-6B7EDC895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TotalTime>
  <Pages>23</Pages>
  <Words>6184</Words>
  <Characters>35250</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M.1456 - Minimum performance characteristics and operational conditions for high altitude platform stations providing imt-2000 in the bands 1 885-1 980 MHz, 2 010-2 025 MHz and 2 110-2 170 MHz in regions 1 and 3 and 1 885-1 980 MHz and 2 110-2 1 ...</vt:lpstr>
    </vt:vector>
  </TitlesOfParts>
  <Manager>CP..2945 / PV</Manager>
  <Company>ITU</Company>
  <LinksUpToDate>false</LinksUpToDate>
  <CharactersWithSpaces>41352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M.1456 - Minimum performance characteristics and operational conditions for high altitude platform stations providing imt-2000 in the bands 1 885-1 980 MHz, 2 010-2 025 MHz and 2 110-2 170 MHz in regions 1 and 3 and 1 885-1 980 MHz and 2 110-2 1 ...</dc:title>
  <dc:subject>M Series = Mobile, radiodetermination, amateur and related satellite services</dc:subject>
  <dc:creator>ITU Radiocommunication Bureau (BR)</dc:creator>
  <cp:keywords>M, 1456</cp:keywords>
  <dc:description>Saisie  +   MEP       10.07.2000/PV_x000d_
BAT                        26.07.2000/PV_x000d_
Corr. ULT:             28.07.2000/PV_x000d_
Suppr. du Résumé + ULT:  01.08.2000/DD</dc:description>
  <cp:lastModifiedBy>santosbo</cp:lastModifiedBy>
  <cp:revision>4</cp:revision>
  <cp:lastPrinted>2000-08-01T12:09:00Z</cp:lastPrinted>
  <dcterms:created xsi:type="dcterms:W3CDTF">2011-03-10T08:15:00Z</dcterms:created>
  <dcterms:modified xsi:type="dcterms:W3CDTF">2011-03-10T08:30:00Z</dcterms:modified>
  <cp:category>WW7   Folios:     1   à   22 (bl)</cp:category>
</cp:coreProperties>
</file>