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p w:rsidR="00F330C1" w:rsidRPr="00031C45" w:rsidRDefault="00F330C1" w:rsidP="00F330C1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330C1" w:rsidRPr="00031C45" w:rsidTr="00110AEC">
        <w:tc>
          <w:tcPr>
            <w:tcW w:w="10089" w:type="dxa"/>
          </w:tcPr>
          <w:p w:rsidR="00F330C1" w:rsidRPr="00031C45" w:rsidRDefault="00F330C1" w:rsidP="00110AE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330C1" w:rsidRPr="00031C45" w:rsidRDefault="00F330C1" w:rsidP="00110AE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31C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M.</w:t>
            </w:r>
            <w:r w:rsidR="00AC445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1176-1</w:t>
            </w:r>
          </w:p>
          <w:p w:rsidR="00F330C1" w:rsidRPr="00031C45" w:rsidRDefault="00F330C1" w:rsidP="00F330C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031C4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(02/2013)</w:t>
            </w:r>
          </w:p>
        </w:tc>
      </w:tr>
      <w:tr w:rsidR="00F330C1" w:rsidRPr="00976EC9" w:rsidTr="00110AEC">
        <w:tc>
          <w:tcPr>
            <w:tcW w:w="10089" w:type="dxa"/>
          </w:tcPr>
          <w:p w:rsidR="00980DC2" w:rsidRDefault="00980DC2" w:rsidP="00110AE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F330C1" w:rsidRPr="00031C45" w:rsidRDefault="00DB762F" w:rsidP="00110AE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B53A4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 xml:space="preserve">Parámetros técnicos de los dispositivos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br/>
            </w:r>
            <w:r w:rsidRPr="00B53A4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de mejora de los blancos radar</w:t>
            </w:r>
          </w:p>
          <w:p w:rsidR="00F330C1" w:rsidRPr="00031C45" w:rsidRDefault="00F330C1" w:rsidP="00110AE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F330C1" w:rsidRPr="00976EC9" w:rsidTr="00110AEC">
        <w:tc>
          <w:tcPr>
            <w:tcW w:w="10089" w:type="dxa"/>
          </w:tcPr>
          <w:p w:rsidR="00F330C1" w:rsidRPr="00031C45" w:rsidRDefault="00F330C1" w:rsidP="00110AE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330C1" w:rsidRPr="00031C45" w:rsidRDefault="00F330C1" w:rsidP="00110AE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330C1" w:rsidRPr="00031C45" w:rsidRDefault="00F330C1" w:rsidP="00110AE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F330C1" w:rsidRPr="00031C45" w:rsidRDefault="00F330C1" w:rsidP="00110AE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31C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F330C1" w:rsidRPr="00031C45" w:rsidRDefault="00F330C1" w:rsidP="00110AEC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31C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Pr="00031C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031C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F330C1" w:rsidRPr="00031C45" w:rsidRDefault="00F330C1" w:rsidP="00F330C1">
      <w:pPr>
        <w:spacing w:before="80"/>
        <w:rPr>
          <w:i/>
          <w:sz w:val="22"/>
          <w:lang w:val="es-ES_tradnl"/>
        </w:rPr>
      </w:pPr>
    </w:p>
    <w:p w:rsidR="00F330C1" w:rsidRPr="00031C45" w:rsidRDefault="00F330C1" w:rsidP="00F330C1">
      <w:pPr>
        <w:spacing w:before="80"/>
        <w:rPr>
          <w:i/>
          <w:sz w:val="22"/>
          <w:lang w:val="es-ES_tradnl"/>
        </w:rPr>
      </w:pPr>
    </w:p>
    <w:p w:rsidR="00F330C1" w:rsidRDefault="00F330C1" w:rsidP="00F330C1">
      <w:pPr>
        <w:spacing w:before="80"/>
        <w:rPr>
          <w:sz w:val="22"/>
          <w:lang w:val="es-ES_tradnl"/>
        </w:rPr>
      </w:pPr>
    </w:p>
    <w:p w:rsidR="0045659E" w:rsidRPr="0045659E" w:rsidRDefault="0045659E" w:rsidP="00F330C1">
      <w:pPr>
        <w:spacing w:before="80"/>
        <w:rPr>
          <w:sz w:val="22"/>
          <w:lang w:val="es-ES_tradnl"/>
        </w:rPr>
      </w:pPr>
    </w:p>
    <w:p w:rsidR="00F330C1" w:rsidRPr="00031C45" w:rsidRDefault="00F330C1" w:rsidP="00F330C1">
      <w:pPr>
        <w:spacing w:before="80"/>
        <w:rPr>
          <w:i/>
          <w:sz w:val="22"/>
          <w:lang w:val="es-ES_tradnl"/>
        </w:rPr>
      </w:pPr>
    </w:p>
    <w:p w:rsidR="00F330C1" w:rsidRPr="00031C45" w:rsidRDefault="00F330C1" w:rsidP="00F330C1">
      <w:pPr>
        <w:spacing w:before="80"/>
        <w:rPr>
          <w:i/>
          <w:sz w:val="22"/>
          <w:lang w:val="es-ES_tradnl"/>
        </w:rPr>
      </w:pPr>
    </w:p>
    <w:p w:rsidR="00F330C1" w:rsidRPr="00031C45" w:rsidRDefault="00F330C1" w:rsidP="00F330C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F330C1" w:rsidRPr="00031C45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330C1" w:rsidRPr="00031C45" w:rsidRDefault="00F330C1" w:rsidP="00F330C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031C45">
        <w:rPr>
          <w:bCs/>
          <w:sz w:val="24"/>
          <w:szCs w:val="24"/>
          <w:lang w:val="es-ES_tradnl"/>
        </w:rPr>
        <w:lastRenderedPageBreak/>
        <w:t>Prólogo</w:t>
      </w:r>
    </w:p>
    <w:p w:rsidR="00F330C1" w:rsidRPr="00031C45" w:rsidRDefault="00F330C1" w:rsidP="00F330C1">
      <w:pPr>
        <w:spacing w:before="180"/>
        <w:rPr>
          <w:sz w:val="20"/>
          <w:lang w:val="es-ES_tradnl"/>
        </w:rPr>
      </w:pPr>
      <w:r w:rsidRPr="00031C45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F330C1" w:rsidRPr="00031C45" w:rsidRDefault="00F330C1" w:rsidP="00F330C1">
      <w:pPr>
        <w:rPr>
          <w:sz w:val="20"/>
          <w:lang w:val="es-ES_tradnl"/>
        </w:rPr>
      </w:pPr>
      <w:r w:rsidRPr="00031C45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F330C1" w:rsidRPr="00031C45" w:rsidRDefault="00F330C1" w:rsidP="00F330C1">
      <w:pPr>
        <w:pStyle w:val="Heading1"/>
        <w:spacing w:before="340"/>
        <w:jc w:val="center"/>
        <w:rPr>
          <w:szCs w:val="24"/>
          <w:lang w:val="es-ES_tradnl"/>
        </w:rPr>
      </w:pPr>
      <w:r w:rsidRPr="00031C45">
        <w:rPr>
          <w:lang w:val="es-ES_tradnl"/>
        </w:rPr>
        <w:t>Política sobre Derechos de Propiedad Intelectual</w:t>
      </w:r>
      <w:r w:rsidRPr="00031C45">
        <w:rPr>
          <w:szCs w:val="24"/>
          <w:lang w:val="es-ES_tradnl"/>
        </w:rPr>
        <w:t xml:space="preserve"> (IPR)</w:t>
      </w:r>
    </w:p>
    <w:p w:rsidR="00F330C1" w:rsidRPr="00031C45" w:rsidRDefault="00F330C1" w:rsidP="00F330C1">
      <w:pPr>
        <w:spacing w:before="180"/>
        <w:rPr>
          <w:sz w:val="20"/>
          <w:lang w:val="es-ES_tradnl"/>
        </w:rPr>
      </w:pPr>
      <w:r w:rsidRPr="00031C45">
        <w:rPr>
          <w:sz w:val="20"/>
          <w:lang w:val="es-ES_tradnl"/>
        </w:rPr>
        <w:t>La política del UIT</w:t>
      </w:r>
      <w:r w:rsidRPr="00031C45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31C45">
        <w:rPr>
          <w:sz w:val="20"/>
          <w:lang w:val="es-ES_tradnl"/>
        </w:rPr>
        <w:noBreakHyphen/>
        <w:t>T/UIT</w:t>
      </w:r>
      <w:r w:rsidRPr="00031C45">
        <w:rPr>
          <w:sz w:val="20"/>
          <w:lang w:val="es-ES_tradnl"/>
        </w:rPr>
        <w:noBreakHyphen/>
        <w:t>R/ISO/CEI a la que se hace referencia en el Anexo 1 a la Resolución UIT</w:t>
      </w:r>
      <w:r w:rsidRPr="00031C45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31C45">
          <w:rPr>
            <w:rStyle w:val="Hyperlink"/>
            <w:sz w:val="20"/>
            <w:lang w:val="es-ES_tradnl"/>
          </w:rPr>
          <w:t>http://www.itu.int/ITU-R/go/patents/es</w:t>
        </w:r>
      </w:hyperlink>
      <w:r w:rsidRPr="00031C45">
        <w:rPr>
          <w:sz w:val="20"/>
          <w:lang w:val="es-ES_tradnl"/>
        </w:rPr>
        <w:t>, donde también aparecen las Directrices para la implementación de la Política Común de Patentes UIT</w:t>
      </w:r>
      <w:r w:rsidRPr="00031C45">
        <w:rPr>
          <w:sz w:val="20"/>
          <w:lang w:val="es-ES_tradnl"/>
        </w:rPr>
        <w:noBreakHyphen/>
        <w:t>T/UIT</w:t>
      </w:r>
      <w:r w:rsidRPr="00031C45">
        <w:rPr>
          <w:sz w:val="20"/>
          <w:lang w:val="es-ES_tradnl"/>
        </w:rPr>
        <w:noBreakHyphen/>
        <w:t>R/ISO/CEI y la base de datos sobre información de patentes del UIT</w:t>
      </w:r>
      <w:r w:rsidRPr="00031C45">
        <w:rPr>
          <w:sz w:val="20"/>
          <w:lang w:val="es-ES_tradnl"/>
        </w:rPr>
        <w:noBreakHyphen/>
        <w:t>R sobre este asunto.</w:t>
      </w:r>
    </w:p>
    <w:p w:rsidR="00F330C1" w:rsidRPr="00031C45" w:rsidRDefault="00F330C1" w:rsidP="00F330C1">
      <w:pPr>
        <w:spacing w:before="0"/>
        <w:jc w:val="center"/>
        <w:rPr>
          <w:sz w:val="22"/>
          <w:lang w:val="es-ES_tradnl"/>
        </w:rPr>
      </w:pPr>
    </w:p>
    <w:p w:rsidR="00F330C1" w:rsidRPr="00031C45" w:rsidRDefault="00F330C1" w:rsidP="00F330C1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330C1" w:rsidRPr="00976EC9" w:rsidTr="00110AEC">
        <w:tc>
          <w:tcPr>
            <w:tcW w:w="9360" w:type="dxa"/>
            <w:gridSpan w:val="2"/>
          </w:tcPr>
          <w:p w:rsidR="00F330C1" w:rsidRPr="00031C45" w:rsidRDefault="00F330C1" w:rsidP="00110AE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31C45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031C45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031C45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031C45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Título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31C45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F330C1" w:rsidRPr="00976EC9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31C45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31C45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F330C1" w:rsidRPr="00031C45" w:rsidTr="00110AEC">
        <w:tc>
          <w:tcPr>
            <w:tcW w:w="1140" w:type="dxa"/>
            <w:shd w:val="clear" w:color="auto" w:fill="auto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31C45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F330C1" w:rsidRPr="00031C45" w:rsidTr="00110AEC">
        <w:tc>
          <w:tcPr>
            <w:tcW w:w="1140" w:type="dxa"/>
            <w:shd w:val="clear" w:color="auto" w:fill="auto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F330C1" w:rsidRPr="00031C45" w:rsidRDefault="00F330C1" w:rsidP="00110AE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F330C1" w:rsidRPr="00976EC9" w:rsidTr="00110AEC">
        <w:tc>
          <w:tcPr>
            <w:tcW w:w="1140" w:type="dxa"/>
            <w:shd w:val="clear" w:color="auto" w:fill="F3F3F3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031C45">
              <w:rPr>
                <w:b/>
                <w:bCs/>
                <w:color w:val="000080"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F330C1" w:rsidRPr="00031C45" w:rsidRDefault="00F330C1" w:rsidP="00110AE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031C45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F330C1" w:rsidRPr="00976EC9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F330C1" w:rsidRPr="00976EC9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F330C1" w:rsidRPr="00976EC9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F330C1" w:rsidRPr="00031C45" w:rsidTr="00110AEC">
        <w:tc>
          <w:tcPr>
            <w:tcW w:w="1140" w:type="dxa"/>
            <w:shd w:val="clear" w:color="auto" w:fill="auto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330C1" w:rsidRPr="00031C45" w:rsidRDefault="00F330C1" w:rsidP="00110AEC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031C45">
              <w:rPr>
                <w:sz w:val="20"/>
                <w:lang w:val="es-ES_tradnl"/>
              </w:rPr>
              <w:t>Gestión del espectro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F330C1" w:rsidRPr="00976EC9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F330C1" w:rsidRPr="00031C45" w:rsidTr="00110AEC">
        <w:tc>
          <w:tcPr>
            <w:tcW w:w="1140" w:type="dxa"/>
          </w:tcPr>
          <w:p w:rsidR="00F330C1" w:rsidRPr="00031C45" w:rsidRDefault="00F330C1" w:rsidP="00110AE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031C45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F330C1" w:rsidRPr="00031C45" w:rsidRDefault="00F330C1" w:rsidP="00110AEC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031C45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F330C1" w:rsidRPr="00031C45" w:rsidRDefault="00F330C1" w:rsidP="00F330C1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F330C1" w:rsidRPr="00031C45" w:rsidTr="00110AEC">
        <w:tc>
          <w:tcPr>
            <w:tcW w:w="720" w:type="dxa"/>
          </w:tcPr>
          <w:p w:rsidR="00F330C1" w:rsidRPr="00031C45" w:rsidRDefault="00F330C1" w:rsidP="00110AEC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330C1" w:rsidRPr="00976EC9" w:rsidTr="00110AEC">
        <w:tc>
          <w:tcPr>
            <w:tcW w:w="9360" w:type="dxa"/>
          </w:tcPr>
          <w:p w:rsidR="00F330C1" w:rsidRPr="00031C45" w:rsidRDefault="00F330C1" w:rsidP="007763D3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031C45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031C45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7763D3">
              <w:rPr>
                <w:i/>
                <w:iCs/>
                <w:sz w:val="20"/>
                <w:lang w:val="es-ES_tradnl"/>
              </w:rPr>
              <w:t> </w:t>
            </w:r>
            <w:r w:rsidRPr="00031C45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:rsidR="00F330C1" w:rsidRPr="00031C45" w:rsidRDefault="00F330C1" w:rsidP="00F330C1">
      <w:pPr>
        <w:spacing w:before="0"/>
        <w:jc w:val="center"/>
        <w:rPr>
          <w:sz w:val="22"/>
          <w:lang w:val="es-ES_tradnl"/>
        </w:rPr>
      </w:pPr>
    </w:p>
    <w:p w:rsidR="00F330C1" w:rsidRPr="00031C45" w:rsidRDefault="00F330C1" w:rsidP="00F330C1">
      <w:pPr>
        <w:spacing w:before="60"/>
        <w:jc w:val="right"/>
        <w:rPr>
          <w:i/>
          <w:iCs/>
          <w:sz w:val="20"/>
          <w:lang w:val="es-ES_tradnl"/>
        </w:rPr>
      </w:pPr>
      <w:r w:rsidRPr="00031C45">
        <w:rPr>
          <w:i/>
          <w:iCs/>
          <w:sz w:val="20"/>
          <w:lang w:val="es-ES_tradnl"/>
        </w:rPr>
        <w:t>Publicación electrónica</w:t>
      </w:r>
    </w:p>
    <w:p w:rsidR="00F330C1" w:rsidRPr="00031C45" w:rsidRDefault="00F330C1" w:rsidP="00F330C1">
      <w:pPr>
        <w:spacing w:before="0" w:after="40"/>
        <w:jc w:val="right"/>
        <w:rPr>
          <w:sz w:val="20"/>
          <w:lang w:val="es-ES_tradnl"/>
        </w:rPr>
      </w:pPr>
      <w:r w:rsidRPr="00031C45">
        <w:rPr>
          <w:sz w:val="20"/>
          <w:lang w:val="es-ES_tradnl"/>
        </w:rPr>
        <w:t>Ginebra, 2014</w:t>
      </w:r>
    </w:p>
    <w:p w:rsidR="00F330C1" w:rsidRPr="00031C45" w:rsidRDefault="00F330C1" w:rsidP="00F330C1">
      <w:pPr>
        <w:spacing w:before="0"/>
        <w:jc w:val="center"/>
        <w:rPr>
          <w:sz w:val="22"/>
          <w:lang w:val="es-ES_tradnl"/>
        </w:rPr>
      </w:pPr>
    </w:p>
    <w:p w:rsidR="00F330C1" w:rsidRPr="00031C45" w:rsidRDefault="00F330C1" w:rsidP="00F330C1">
      <w:pPr>
        <w:spacing w:before="0"/>
        <w:jc w:val="center"/>
        <w:rPr>
          <w:sz w:val="20"/>
          <w:lang w:val="es-ES_tradnl"/>
        </w:rPr>
      </w:pPr>
      <w:r w:rsidRPr="00031C45">
        <w:rPr>
          <w:sz w:val="20"/>
          <w:lang w:val="es-ES_tradnl"/>
        </w:rPr>
        <w:sym w:font="Symbol" w:char="F0E3"/>
      </w:r>
      <w:r w:rsidRPr="00031C45">
        <w:rPr>
          <w:sz w:val="20"/>
          <w:lang w:val="es-ES_tradnl"/>
        </w:rPr>
        <w:t xml:space="preserve"> UIT </w:t>
      </w:r>
      <w:bookmarkStart w:id="1" w:name="iiannee"/>
      <w:bookmarkEnd w:id="1"/>
      <w:r w:rsidRPr="00031C45">
        <w:rPr>
          <w:sz w:val="20"/>
          <w:lang w:val="es-ES_tradnl"/>
        </w:rPr>
        <w:t>2014</w:t>
      </w:r>
    </w:p>
    <w:p w:rsidR="00F330C1" w:rsidRPr="00031C45" w:rsidRDefault="00F330C1" w:rsidP="00F330C1">
      <w:pPr>
        <w:spacing w:before="80"/>
        <w:rPr>
          <w:sz w:val="18"/>
          <w:szCs w:val="18"/>
          <w:lang w:val="es-ES_tradnl"/>
        </w:rPr>
      </w:pPr>
      <w:r w:rsidRPr="00031C45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F330C1" w:rsidRPr="00031C45" w:rsidRDefault="00F330C1" w:rsidP="00F330C1">
      <w:pPr>
        <w:spacing w:before="160"/>
        <w:rPr>
          <w:i/>
          <w:sz w:val="20"/>
          <w:highlight w:val="yellow"/>
          <w:lang w:val="es-ES_tradnl"/>
        </w:rPr>
        <w:sectPr w:rsidR="00F330C1" w:rsidRPr="00031C45" w:rsidSect="00110AE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330C1" w:rsidRPr="00031C45" w:rsidRDefault="00F330C1" w:rsidP="00F330C1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031C45">
        <w:rPr>
          <w:lang w:val="es-ES_tradnl"/>
        </w:rPr>
        <w:lastRenderedPageBreak/>
        <w:t xml:space="preserve">RECOMENDACIÓN  </w:t>
      </w:r>
      <w:r w:rsidRPr="00031C45">
        <w:rPr>
          <w:rStyle w:val="href"/>
          <w:lang w:val="es-ES_tradnl"/>
        </w:rPr>
        <w:t>UIT-R  M.</w:t>
      </w:r>
      <w:r w:rsidR="00AC4454">
        <w:rPr>
          <w:rStyle w:val="href"/>
          <w:lang w:val="es-ES_tradnl"/>
        </w:rPr>
        <w:t>1176-1</w:t>
      </w:r>
      <w:r w:rsidR="00AC4454" w:rsidRPr="00B0282E">
        <w:rPr>
          <w:rStyle w:val="FootnoteReference"/>
          <w:lang w:val="es-ES_tradnl"/>
        </w:rPr>
        <w:footnoteReference w:customMarkFollows="1" w:id="1"/>
        <w:t>*</w:t>
      </w:r>
    </w:p>
    <w:p w:rsidR="00A6617B" w:rsidRPr="00031C45" w:rsidRDefault="00AC4454" w:rsidP="00F330C1">
      <w:pPr>
        <w:pStyle w:val="Rectitle"/>
        <w:rPr>
          <w:lang w:val="es-ES_tradnl"/>
        </w:rPr>
      </w:pPr>
      <w:r w:rsidRPr="00B53A4E">
        <w:rPr>
          <w:lang w:val="es-ES"/>
        </w:rPr>
        <w:t>Parámetros técnicos de los dispositivos de mejora</w:t>
      </w:r>
      <w:r>
        <w:rPr>
          <w:lang w:val="es-ES"/>
        </w:rPr>
        <w:t xml:space="preserve"> </w:t>
      </w:r>
      <w:r w:rsidRPr="00B53A4E">
        <w:rPr>
          <w:lang w:val="es-ES"/>
        </w:rPr>
        <w:t>de los blancos radar</w:t>
      </w:r>
    </w:p>
    <w:p w:rsidR="00980DC2" w:rsidRPr="00031C45" w:rsidRDefault="00980DC2" w:rsidP="00980DC2">
      <w:pPr>
        <w:pStyle w:val="Blanc"/>
        <w:rPr>
          <w:lang w:val="es-ES_tradnl"/>
        </w:rPr>
      </w:pPr>
    </w:p>
    <w:p w:rsidR="00AC4454" w:rsidRPr="00B53A4E" w:rsidRDefault="00AC4454" w:rsidP="00AC4454">
      <w:pPr>
        <w:pStyle w:val="Recdate"/>
        <w:rPr>
          <w:lang w:val="es-ES"/>
        </w:rPr>
      </w:pPr>
      <w:r w:rsidRPr="00B53A4E">
        <w:rPr>
          <w:lang w:val="es-ES"/>
        </w:rPr>
        <w:t>(1995-2013)</w:t>
      </w:r>
    </w:p>
    <w:p w:rsidR="00AC4454" w:rsidRPr="00031C45" w:rsidRDefault="00AC4454" w:rsidP="00AC4454">
      <w:pPr>
        <w:pStyle w:val="Blanc"/>
        <w:rPr>
          <w:lang w:val="es-ES_tradnl"/>
        </w:rPr>
      </w:pPr>
    </w:p>
    <w:p w:rsidR="00AC4454" w:rsidRPr="00B53A4E" w:rsidRDefault="00AC4454" w:rsidP="00AC4454">
      <w:pPr>
        <w:pStyle w:val="HeadingSum"/>
        <w:rPr>
          <w:lang w:val="es-ES"/>
        </w:rPr>
      </w:pPr>
      <w:r w:rsidRPr="00B53A4E">
        <w:rPr>
          <w:lang w:val="es-ES"/>
        </w:rPr>
        <w:t>Cometido</w:t>
      </w:r>
    </w:p>
    <w:p w:rsidR="00AC4454" w:rsidRPr="00B53A4E" w:rsidRDefault="00AC4454" w:rsidP="00AC4454">
      <w:pPr>
        <w:pStyle w:val="Summary"/>
        <w:spacing w:after="0"/>
        <w:rPr>
          <w:szCs w:val="22"/>
          <w:lang w:val="es-ES"/>
        </w:rPr>
      </w:pPr>
      <w:r w:rsidRPr="00B53A4E">
        <w:rPr>
          <w:szCs w:val="22"/>
          <w:lang w:val="es-ES"/>
        </w:rPr>
        <w:t>Las pruebas efectuadas con dispositivos de mejora de blancos radar indican que el eco de la señal de radar producido por boyas de navegación y pequeñas embarcaciones puede mejorar considerablemente gracias a la utilización de tales dispositivos.</w:t>
      </w:r>
    </w:p>
    <w:p w:rsidR="00AC4454" w:rsidRPr="00B53A4E" w:rsidRDefault="00AC4454" w:rsidP="00AC4454">
      <w:pPr>
        <w:pStyle w:val="Summary"/>
        <w:rPr>
          <w:szCs w:val="22"/>
          <w:lang w:val="es-ES"/>
        </w:rPr>
      </w:pPr>
      <w:r w:rsidRPr="00B53A4E">
        <w:rPr>
          <w:szCs w:val="22"/>
          <w:lang w:val="es-ES"/>
        </w:rPr>
        <w:t>Esta Recomendación indica los parámetros técnicos de los dispositivos de mejora de blancos radar que funcionan en las bandas de frecuencias 2 900</w:t>
      </w:r>
      <w:r w:rsidRPr="00B53A4E">
        <w:rPr>
          <w:szCs w:val="22"/>
          <w:lang w:val="es-ES"/>
        </w:rPr>
        <w:noBreakHyphen/>
        <w:t>3 100 MHz y/o 9 200-9 500 MHz.</w:t>
      </w:r>
    </w:p>
    <w:p w:rsidR="00AC4454" w:rsidRPr="00B53A4E" w:rsidRDefault="00AC4454" w:rsidP="00AC4454">
      <w:pPr>
        <w:pStyle w:val="Normalaftertitle0"/>
        <w:spacing w:before="720"/>
        <w:rPr>
          <w:rFonts w:asciiTheme="majorBidi" w:hAnsiTheme="majorBidi" w:cstheme="majorBidi"/>
          <w:sz w:val="24"/>
          <w:szCs w:val="24"/>
          <w:lang w:val="es-ES"/>
        </w:rPr>
      </w:pPr>
      <w:r w:rsidRPr="00B53A4E">
        <w:rPr>
          <w:rFonts w:asciiTheme="majorBidi" w:hAnsiTheme="majorBidi" w:cstheme="majorBidi"/>
          <w:sz w:val="24"/>
          <w:szCs w:val="24"/>
          <w:lang w:val="es-ES"/>
        </w:rPr>
        <w:t>La Asamblea de Radiocomunicaciones de la UIT,</w:t>
      </w:r>
    </w:p>
    <w:p w:rsidR="00AC4454" w:rsidRPr="00B53A4E" w:rsidRDefault="00AC4454" w:rsidP="00AC4454">
      <w:pPr>
        <w:pStyle w:val="Call"/>
        <w:rPr>
          <w:rFonts w:asciiTheme="majorBidi" w:hAnsiTheme="majorBidi" w:cstheme="majorBidi"/>
          <w:lang w:val="es-ES"/>
        </w:rPr>
      </w:pPr>
      <w:r w:rsidRPr="00B53A4E">
        <w:rPr>
          <w:lang w:val="es-ES"/>
        </w:rPr>
        <w:t>considerando</w:t>
      </w:r>
    </w:p>
    <w:p w:rsidR="00AC4454" w:rsidRPr="00B53A4E" w:rsidRDefault="00AC4454" w:rsidP="00AC4454">
      <w:pPr>
        <w:rPr>
          <w:rFonts w:asciiTheme="majorBidi" w:hAnsiTheme="majorBidi" w:cstheme="majorBidi"/>
          <w:szCs w:val="24"/>
          <w:lang w:val="es-ES"/>
        </w:rPr>
      </w:pPr>
      <w:r w:rsidRPr="00AC4454">
        <w:rPr>
          <w:rFonts w:asciiTheme="majorBidi" w:hAnsiTheme="majorBidi" w:cstheme="majorBidi"/>
          <w:i/>
          <w:szCs w:val="24"/>
          <w:lang w:val="es-ES"/>
        </w:rPr>
        <w:t>a)</w:t>
      </w:r>
      <w:r w:rsidRPr="00B53A4E">
        <w:rPr>
          <w:rFonts w:asciiTheme="majorBidi" w:hAnsiTheme="majorBidi" w:cstheme="majorBidi"/>
          <w:szCs w:val="24"/>
          <w:lang w:val="es-ES"/>
        </w:rPr>
        <w:tab/>
        <w:t xml:space="preserve">que los radares marítimos utilizados en el servicio de radionavegación marítima funcionan en las bandas de </w:t>
      </w:r>
      <w:r>
        <w:rPr>
          <w:rFonts w:asciiTheme="majorBidi" w:hAnsiTheme="majorBidi" w:cstheme="majorBidi"/>
          <w:szCs w:val="24"/>
          <w:lang w:val="es-ES"/>
        </w:rPr>
        <w:t xml:space="preserve">frecuencia </w:t>
      </w:r>
      <w:r w:rsidRPr="00B53A4E">
        <w:rPr>
          <w:rFonts w:asciiTheme="majorBidi" w:hAnsiTheme="majorBidi" w:cstheme="majorBidi"/>
          <w:szCs w:val="24"/>
          <w:lang w:val="es-ES"/>
        </w:rPr>
        <w:t>2 900</w:t>
      </w:r>
      <w:r w:rsidRPr="00B53A4E">
        <w:rPr>
          <w:rFonts w:asciiTheme="majorBidi" w:hAnsiTheme="majorBidi" w:cstheme="majorBidi"/>
          <w:szCs w:val="24"/>
          <w:lang w:val="es-ES"/>
        </w:rPr>
        <w:noBreakHyphen/>
        <w:t>3 100 MHz y 9 2</w:t>
      </w:r>
      <w:r w:rsidR="00976EC9">
        <w:rPr>
          <w:rFonts w:asciiTheme="majorBidi" w:hAnsiTheme="majorBidi" w:cstheme="majorBidi"/>
          <w:szCs w:val="24"/>
          <w:lang w:val="es-ES"/>
        </w:rPr>
        <w:t>0</w:t>
      </w:r>
      <w:r w:rsidRPr="00B53A4E">
        <w:rPr>
          <w:rFonts w:asciiTheme="majorBidi" w:hAnsiTheme="majorBidi" w:cstheme="majorBidi"/>
          <w:szCs w:val="24"/>
          <w:lang w:val="es-ES"/>
        </w:rPr>
        <w:t>0-9 500 MHz;</w:t>
      </w:r>
    </w:p>
    <w:p w:rsidR="00AC4454" w:rsidRPr="00B53A4E" w:rsidRDefault="00AC4454" w:rsidP="00AC4454">
      <w:pPr>
        <w:rPr>
          <w:rFonts w:asciiTheme="majorBidi" w:hAnsiTheme="majorBidi" w:cstheme="majorBidi"/>
          <w:szCs w:val="24"/>
          <w:lang w:val="es-ES"/>
        </w:rPr>
      </w:pPr>
      <w:r w:rsidRPr="00AC4454">
        <w:rPr>
          <w:rFonts w:asciiTheme="majorBidi" w:hAnsiTheme="majorBidi" w:cstheme="majorBidi"/>
          <w:i/>
          <w:szCs w:val="24"/>
          <w:lang w:val="es-ES"/>
        </w:rPr>
        <w:t>b)</w:t>
      </w:r>
      <w:r w:rsidRPr="00B53A4E">
        <w:rPr>
          <w:rFonts w:asciiTheme="majorBidi" w:hAnsiTheme="majorBidi" w:cstheme="majorBidi"/>
          <w:szCs w:val="24"/>
          <w:lang w:val="es-ES"/>
        </w:rPr>
        <w:tab/>
        <w:t>que un transpondedor puede mejorar los ecos de radar, pero que esta mejora no debe sobrepasar en un grado significativo la que se lograría mediante medios pasivos (Resolución A.615</w:t>
      </w:r>
      <w:r w:rsidR="00592959">
        <w:rPr>
          <w:rFonts w:asciiTheme="majorBidi" w:hAnsiTheme="majorBidi" w:cstheme="majorBidi"/>
          <w:szCs w:val="24"/>
          <w:lang w:val="es-ES"/>
        </w:rPr>
        <w:t xml:space="preserve"> </w:t>
      </w:r>
      <w:r w:rsidRPr="00B53A4E">
        <w:rPr>
          <w:rFonts w:asciiTheme="majorBidi" w:hAnsiTheme="majorBidi" w:cstheme="majorBidi"/>
          <w:szCs w:val="24"/>
          <w:lang w:val="es-ES"/>
        </w:rPr>
        <w:t>(15) de la Organización Marítima Internacional (OMI));</w:t>
      </w:r>
    </w:p>
    <w:p w:rsidR="00AC4454" w:rsidRPr="00B53A4E" w:rsidRDefault="00AC4454" w:rsidP="00AC4454">
      <w:pPr>
        <w:rPr>
          <w:rFonts w:asciiTheme="majorBidi" w:hAnsiTheme="majorBidi" w:cstheme="majorBidi"/>
          <w:szCs w:val="24"/>
          <w:lang w:val="es-ES"/>
        </w:rPr>
      </w:pPr>
      <w:r w:rsidRPr="00AC4454">
        <w:rPr>
          <w:rFonts w:asciiTheme="majorBidi" w:hAnsiTheme="majorBidi" w:cstheme="majorBidi"/>
          <w:i/>
          <w:szCs w:val="24"/>
          <w:lang w:val="es-ES"/>
        </w:rPr>
        <w:t>c)</w:t>
      </w:r>
      <w:r w:rsidRPr="00B53A4E">
        <w:rPr>
          <w:rFonts w:asciiTheme="majorBidi" w:hAnsiTheme="majorBidi" w:cstheme="majorBidi"/>
          <w:szCs w:val="24"/>
          <w:lang w:val="es-ES"/>
        </w:rPr>
        <w:tab/>
        <w:t>que los ecos de radar producidos por objetos tales como boyas de navegación y embarcaciones pequeñas pueden mejorar considerablemente mediante la utilización de un dispositivo de mejora de blancos activo, que consiste en un amplificador de radiofrecuencia de banda ancha y antenas receptora y transmisora,</w:t>
      </w:r>
    </w:p>
    <w:p w:rsidR="00AC4454" w:rsidRPr="00B53A4E" w:rsidRDefault="00AC4454" w:rsidP="00AC4454">
      <w:pPr>
        <w:pStyle w:val="Call"/>
        <w:rPr>
          <w:lang w:val="es-ES"/>
        </w:rPr>
      </w:pPr>
      <w:r w:rsidRPr="00B53A4E">
        <w:rPr>
          <w:lang w:val="es-ES"/>
        </w:rPr>
        <w:t>observando</w:t>
      </w:r>
    </w:p>
    <w:p w:rsidR="00AC4454" w:rsidRPr="00B53A4E" w:rsidRDefault="00AC4454" w:rsidP="00AC4454">
      <w:pPr>
        <w:rPr>
          <w:lang w:val="es-ES"/>
        </w:rPr>
      </w:pPr>
      <w:r w:rsidRPr="00AC4454">
        <w:rPr>
          <w:i/>
          <w:lang w:val="es-ES"/>
        </w:rPr>
        <w:t>a)</w:t>
      </w:r>
      <w:r w:rsidRPr="00B53A4E">
        <w:rPr>
          <w:lang w:val="es-ES"/>
        </w:rPr>
        <w:tab/>
        <w:t>que la regla 19-2.1.7 del Convenio SOLAS de la OMI exige, si es posible, la incorporación de un reflector de radar en todos los ba</w:t>
      </w:r>
      <w:r>
        <w:rPr>
          <w:lang w:val="es-ES"/>
        </w:rPr>
        <w:t>r</w:t>
      </w:r>
      <w:r w:rsidRPr="00B53A4E">
        <w:rPr>
          <w:lang w:val="es-ES"/>
        </w:rPr>
        <w:t>cos y embarcaciones de menos de 150 toneladas de registro bruto para permitir la detección por radar;</w:t>
      </w:r>
    </w:p>
    <w:p w:rsidR="00AC4454" w:rsidRPr="00B53A4E" w:rsidRDefault="00AC4454" w:rsidP="00AC4454">
      <w:pPr>
        <w:rPr>
          <w:lang w:val="es-ES"/>
        </w:rPr>
      </w:pPr>
      <w:r w:rsidRPr="00AC4454">
        <w:rPr>
          <w:i/>
          <w:lang w:val="es-ES"/>
        </w:rPr>
        <w:t>b)</w:t>
      </w:r>
      <w:r w:rsidRPr="00B53A4E">
        <w:rPr>
          <w:lang w:val="es-ES"/>
        </w:rPr>
        <w:tab/>
        <w:t>que la Resolución MSC.164(78) de la OMI establece las normas de calidad de funcionamiento de los reflectores de radar pasivos y activos,</w:t>
      </w:r>
    </w:p>
    <w:p w:rsidR="00AC4454" w:rsidRPr="00B53A4E" w:rsidRDefault="00AC4454" w:rsidP="00AC4454">
      <w:pPr>
        <w:pStyle w:val="Call"/>
        <w:rPr>
          <w:lang w:val="es-ES"/>
        </w:rPr>
      </w:pPr>
      <w:r w:rsidRPr="00B53A4E">
        <w:rPr>
          <w:lang w:val="es-ES"/>
        </w:rPr>
        <w:t>recomienda</w:t>
      </w:r>
    </w:p>
    <w:p w:rsidR="00AC4454" w:rsidRPr="00B53A4E" w:rsidRDefault="00AC4454" w:rsidP="00AC4454">
      <w:pPr>
        <w:rPr>
          <w:lang w:val="es-ES"/>
        </w:rPr>
      </w:pPr>
      <w:r w:rsidRPr="00B53A4E">
        <w:rPr>
          <w:lang w:val="es-ES"/>
        </w:rPr>
        <w:t xml:space="preserve">que los parámetros técnicos de los dispositivos de mejora de blancos radar para uso en boyas de navegación, barcos y embarcaciones de menos de 150 toneladas de registro bruto sean conformes con el </w:t>
      </w:r>
      <w:r w:rsidR="00592959" w:rsidRPr="00B53A4E">
        <w:rPr>
          <w:lang w:val="es-ES"/>
        </w:rPr>
        <w:t>Anexo</w:t>
      </w:r>
      <w:r w:rsidRPr="00B53A4E">
        <w:rPr>
          <w:lang w:val="es-ES"/>
        </w:rPr>
        <w:t>.</w:t>
      </w:r>
    </w:p>
    <w:p w:rsidR="00AC4454" w:rsidRDefault="00AC4454" w:rsidP="00AC4454">
      <w:pPr>
        <w:pStyle w:val="AnnexNoTitle"/>
        <w:rPr>
          <w:rFonts w:asciiTheme="majorBidi" w:hAnsiTheme="majorBidi" w:cstheme="majorBidi"/>
          <w:sz w:val="24"/>
          <w:szCs w:val="24"/>
          <w:lang w:val="es-ES"/>
        </w:rPr>
      </w:pPr>
      <w:r w:rsidRPr="00B53A4E">
        <w:rPr>
          <w:lang w:val="es-ES"/>
        </w:rPr>
        <w:lastRenderedPageBreak/>
        <w:t>Anexo</w:t>
      </w:r>
      <w:r w:rsidRPr="00B53A4E">
        <w:rPr>
          <w:lang w:val="es-ES"/>
        </w:rPr>
        <w:br/>
      </w:r>
      <w:r w:rsidRPr="00B53A4E">
        <w:rPr>
          <w:lang w:val="es-ES"/>
        </w:rPr>
        <w:br/>
      </w:r>
      <w:r w:rsidRPr="00B53A4E">
        <w:rPr>
          <w:rFonts w:asciiTheme="majorBidi" w:hAnsiTheme="majorBidi" w:cstheme="majorBidi"/>
          <w:sz w:val="24"/>
          <w:szCs w:val="24"/>
          <w:lang w:val="es-ES"/>
        </w:rPr>
        <w:t xml:space="preserve">Parámetros técnicos de un dispositivo de mejora de blancos radar </w:t>
      </w:r>
      <w:r w:rsidRPr="00B53A4E">
        <w:rPr>
          <w:rFonts w:asciiTheme="majorBidi" w:hAnsiTheme="majorBidi" w:cstheme="majorBidi"/>
          <w:sz w:val="24"/>
          <w:szCs w:val="24"/>
          <w:lang w:val="es-ES"/>
        </w:rPr>
        <w:br/>
        <w:t>para uso en boyas de navegación y embarcaciones pequeñas</w:t>
      </w:r>
    </w:p>
    <w:p w:rsidR="00AC4454" w:rsidRPr="00B53A4E" w:rsidRDefault="00AC4454" w:rsidP="00AC4454">
      <w:pPr>
        <w:rPr>
          <w:lang w:val="es-ES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973"/>
      </w:tblGrid>
      <w:tr w:rsidR="00AC4454" w:rsidRPr="00B53A4E" w:rsidTr="008744E4">
        <w:trPr>
          <w:jc w:val="center"/>
        </w:trPr>
        <w:tc>
          <w:tcPr>
            <w:tcW w:w="2665" w:type="dxa"/>
            <w:shd w:val="clear" w:color="auto" w:fill="auto"/>
          </w:tcPr>
          <w:p w:rsidR="00AC4454" w:rsidRPr="00B53A4E" w:rsidRDefault="00AC4454" w:rsidP="00F72A49">
            <w:pPr>
              <w:pStyle w:val="Tablehead"/>
              <w:rPr>
                <w:lang w:val="es-ES"/>
              </w:rPr>
            </w:pPr>
            <w:r w:rsidRPr="00B53A4E">
              <w:rPr>
                <w:lang w:val="es-ES"/>
              </w:rPr>
              <w:t>Parámetros</w:t>
            </w:r>
          </w:p>
        </w:tc>
        <w:tc>
          <w:tcPr>
            <w:tcW w:w="6973" w:type="dxa"/>
            <w:shd w:val="clear" w:color="auto" w:fill="auto"/>
          </w:tcPr>
          <w:p w:rsidR="00AC4454" w:rsidRPr="00B53A4E" w:rsidRDefault="00AC4454" w:rsidP="00F72A49">
            <w:pPr>
              <w:pStyle w:val="Tablehead"/>
              <w:rPr>
                <w:lang w:val="es-ES"/>
              </w:rPr>
            </w:pPr>
            <w:r w:rsidRPr="00B53A4E">
              <w:rPr>
                <w:lang w:val="es-ES"/>
              </w:rPr>
              <w:t>Especificaciones</w:t>
            </w:r>
          </w:p>
        </w:tc>
      </w:tr>
      <w:tr w:rsidR="00AC4454" w:rsidRPr="00976EC9" w:rsidTr="008744E4">
        <w:trPr>
          <w:trHeight w:val="729"/>
          <w:jc w:val="center"/>
        </w:trPr>
        <w:tc>
          <w:tcPr>
            <w:tcW w:w="2665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keepNext/>
              <w:keepLines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Polarización</w:t>
            </w:r>
          </w:p>
        </w:tc>
        <w:tc>
          <w:tcPr>
            <w:tcW w:w="6973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En la banda de 3 GHz, adecuada para la respuesta de radares que utilizan polarización hori</w:t>
            </w:r>
            <w:r>
              <w:rPr>
                <w:lang w:val="es-ES"/>
              </w:rPr>
              <w:t>zontal</w:t>
            </w:r>
            <w:r w:rsidR="00A9796E">
              <w:rPr>
                <w:lang w:val="es-ES"/>
              </w:rPr>
              <w:t>.</w:t>
            </w:r>
          </w:p>
          <w:p w:rsidR="00AC4454" w:rsidRPr="00B53A4E" w:rsidRDefault="00A9796E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 xml:space="preserve">En </w:t>
            </w:r>
            <w:r w:rsidR="00AC4454" w:rsidRPr="00B53A4E">
              <w:rPr>
                <w:lang w:val="es-ES"/>
              </w:rPr>
              <w:t>la banda de 9 GHz, adecuada para la respuesta de radares que utilizan polarización horizontal</w:t>
            </w:r>
            <w:r>
              <w:rPr>
                <w:lang w:val="es-ES"/>
              </w:rPr>
              <w:t>.</w:t>
            </w:r>
          </w:p>
        </w:tc>
      </w:tr>
      <w:tr w:rsidR="00AC4454" w:rsidRPr="00B53A4E" w:rsidTr="008744E4">
        <w:trPr>
          <w:trHeight w:val="729"/>
          <w:jc w:val="center"/>
        </w:trPr>
        <w:tc>
          <w:tcPr>
            <w:tcW w:w="2665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Bandas de frecuencias</w:t>
            </w:r>
          </w:p>
        </w:tc>
        <w:tc>
          <w:tcPr>
            <w:tcW w:w="6973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2 900 a 3 100 MHz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9 200 a 9 500 MHz</w:t>
            </w:r>
          </w:p>
        </w:tc>
      </w:tr>
      <w:tr w:rsidR="00AC4454" w:rsidRPr="00976EC9" w:rsidTr="008744E4">
        <w:trPr>
          <w:trHeight w:val="729"/>
          <w:jc w:val="center"/>
        </w:trPr>
        <w:tc>
          <w:tcPr>
            <w:tcW w:w="2665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Ganancia</w:t>
            </w:r>
          </w:p>
        </w:tc>
        <w:tc>
          <w:tcPr>
            <w:tcW w:w="6973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Representa una sección transversal de radar de un RTE en condición no saturada no inferior a</w:t>
            </w:r>
            <w:r w:rsidR="008D7EA5">
              <w:rPr>
                <w:lang w:val="es-ES"/>
              </w:rPr>
              <w:t>: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ab/>
              <w:t>0,5 m</w:t>
            </w:r>
            <w:r w:rsidRPr="00B53A4E">
              <w:rPr>
                <w:vertAlign w:val="superscript"/>
                <w:lang w:val="es-ES"/>
              </w:rPr>
              <w:t>2</w:t>
            </w:r>
            <w:r w:rsidR="00A9796E">
              <w:rPr>
                <w:lang w:val="es-ES"/>
              </w:rPr>
              <w:t xml:space="preserve"> en la banda de 3 GHz;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ab/>
              <w:t>7,5 m</w:t>
            </w:r>
            <w:r w:rsidRPr="00B53A4E">
              <w:rPr>
                <w:vertAlign w:val="superscript"/>
                <w:lang w:val="es-ES"/>
              </w:rPr>
              <w:t>2</w:t>
            </w:r>
            <w:r w:rsidRPr="00B53A4E">
              <w:rPr>
                <w:lang w:val="es-ES"/>
              </w:rPr>
              <w:t xml:space="preserve"> en la banda de 9 GHz</w:t>
            </w:r>
            <w:r w:rsidR="00A9796E">
              <w:rPr>
                <w:lang w:val="es-ES"/>
              </w:rPr>
              <w:t>,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siendo</w:t>
            </w:r>
            <w:r w:rsidR="008D7EA5">
              <w:rPr>
                <w:lang w:val="es-ES"/>
              </w:rPr>
              <w:t>: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lang w:val="es-ES"/>
              </w:rPr>
              <w:t xml:space="preserve"> = 10 log(</w:t>
            </w:r>
            <w:r w:rsidRPr="00B53A4E">
              <w:rPr>
                <w:lang w:val="es-ES"/>
              </w:rPr>
              <w:sym w:font="Symbol" w:char="F073"/>
            </w:r>
            <w:r w:rsidRPr="00B53A4E">
              <w:rPr>
                <w:lang w:val="es-ES"/>
              </w:rPr>
              <w:t xml:space="preserve"> </w:t>
            </w:r>
            <w:r w:rsidRPr="00B53A4E">
              <w:rPr>
                <w:i/>
                <w:iCs/>
                <w:vertAlign w:val="subscript"/>
                <w:lang w:val="es-ES"/>
              </w:rPr>
              <w:t>unsat</w:t>
            </w:r>
            <w:r w:rsidRPr="00B53A4E">
              <w:rPr>
                <w:lang w:val="es-ES"/>
              </w:rPr>
              <w:t>) – 20 log(λ) + 10 log(4π)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lang w:val="es-ES"/>
              </w:rPr>
              <w:t xml:space="preserve"> = </w:t>
            </w: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i/>
                <w:iCs/>
                <w:vertAlign w:val="subscript"/>
                <w:lang w:val="es-ES"/>
              </w:rPr>
              <w:t>a</w:t>
            </w:r>
            <w:r w:rsidRPr="00B53A4E">
              <w:rPr>
                <w:vertAlign w:val="subscript"/>
                <w:lang w:val="es-ES"/>
              </w:rPr>
              <w:t xml:space="preserve"> </w:t>
            </w:r>
            <w:r w:rsidRPr="00B53A4E">
              <w:rPr>
                <w:lang w:val="es-ES"/>
              </w:rPr>
              <w:t xml:space="preserve">+ </w:t>
            </w: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i/>
                <w:iCs/>
                <w:vertAlign w:val="subscript"/>
                <w:lang w:val="es-ES"/>
              </w:rPr>
              <w:t>r</w:t>
            </w:r>
            <w:r w:rsidRPr="00B53A4E">
              <w:rPr>
                <w:vertAlign w:val="subscript"/>
                <w:lang w:val="es-ES"/>
              </w:rPr>
              <w:t xml:space="preserve"> </w:t>
            </w:r>
            <w:r w:rsidRPr="00B53A4E">
              <w:rPr>
                <w:lang w:val="es-ES"/>
              </w:rPr>
              <w:t xml:space="preserve">+ </w:t>
            </w: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i/>
                <w:iCs/>
                <w:vertAlign w:val="subscript"/>
                <w:lang w:val="es-ES"/>
              </w:rPr>
              <w:t>t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i/>
                <w:iCs/>
                <w:vertAlign w:val="subscript"/>
                <w:lang w:val="es-ES"/>
              </w:rPr>
              <w:t>a</w:t>
            </w:r>
            <w:r w:rsidRPr="00B53A4E">
              <w:rPr>
                <w:lang w:val="es-ES"/>
              </w:rPr>
              <w:t xml:space="preserve"> la ganancia (dB) del amplificador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i/>
                <w:iCs/>
                <w:vertAlign w:val="subscript"/>
                <w:lang w:val="es-ES"/>
              </w:rPr>
              <w:t>t</w:t>
            </w:r>
            <w:r w:rsidRPr="00B53A4E">
              <w:rPr>
                <w:lang w:val="es-ES"/>
              </w:rPr>
              <w:t xml:space="preserve"> la ganancia (dBi) de la antena transmisora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i/>
                <w:iCs/>
                <w:lang w:val="es-ES"/>
              </w:rPr>
              <w:t>G</w:t>
            </w:r>
            <w:r w:rsidRPr="00B53A4E">
              <w:rPr>
                <w:i/>
                <w:iCs/>
                <w:vertAlign w:val="subscript"/>
                <w:lang w:val="es-ES"/>
              </w:rPr>
              <w:t>r</w:t>
            </w:r>
            <w:r w:rsidRPr="00B53A4E">
              <w:rPr>
                <w:lang w:val="es-ES"/>
              </w:rPr>
              <w:t xml:space="preserve"> la ganancia (dBi) de la antena receptora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sym w:font="Symbol" w:char="F073"/>
            </w:r>
            <w:r w:rsidRPr="00B53A4E">
              <w:rPr>
                <w:lang w:val="es-ES"/>
              </w:rPr>
              <w:t xml:space="preserve"> </w:t>
            </w:r>
            <w:r w:rsidRPr="00B53A4E">
              <w:rPr>
                <w:i/>
                <w:iCs/>
                <w:vertAlign w:val="subscript"/>
                <w:lang w:val="es-ES"/>
              </w:rPr>
              <w:t>unsat</w:t>
            </w:r>
            <w:r w:rsidRPr="00B53A4E">
              <w:rPr>
                <w:lang w:val="es-ES"/>
              </w:rPr>
              <w:t xml:space="preserve"> la sección transversal del radar (m</w:t>
            </w:r>
            <w:r w:rsidRPr="00B53A4E">
              <w:rPr>
                <w:vertAlign w:val="superscript"/>
                <w:lang w:val="es-ES"/>
              </w:rPr>
              <w:t>2</w:t>
            </w:r>
            <w:r w:rsidRPr="00B53A4E">
              <w:rPr>
                <w:lang w:val="es-ES"/>
              </w:rPr>
              <w:t>), y λ la longitud de onda</w:t>
            </w:r>
            <w:r>
              <w:rPr>
                <w:lang w:val="es-ES"/>
              </w:rPr>
              <w:t> </w:t>
            </w:r>
            <w:r w:rsidRPr="00B53A4E">
              <w:rPr>
                <w:lang w:val="es-ES"/>
              </w:rPr>
              <w:t>(m)</w:t>
            </w:r>
            <w:r w:rsidR="00A9796E">
              <w:rPr>
                <w:lang w:val="es-ES"/>
              </w:rPr>
              <w:t>.</w:t>
            </w:r>
          </w:p>
        </w:tc>
      </w:tr>
      <w:tr w:rsidR="00AC4454" w:rsidRPr="00976EC9" w:rsidTr="008744E4">
        <w:trPr>
          <w:trHeight w:val="750"/>
          <w:jc w:val="center"/>
        </w:trPr>
        <w:tc>
          <w:tcPr>
            <w:tcW w:w="2665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Anchura del haz</w:t>
            </w:r>
          </w:p>
        </w:tc>
        <w:tc>
          <w:tcPr>
            <w:tcW w:w="6973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Horizontal: Para mantener la sección transversal del radar por encima de al</w:t>
            </w:r>
            <w:r w:rsidR="008744E4">
              <w:rPr>
                <w:lang w:val="es-ES"/>
              </w:rPr>
              <w:t> </w:t>
            </w:r>
            <w:r w:rsidRPr="00B53A4E">
              <w:rPr>
                <w:lang w:val="es-ES"/>
              </w:rPr>
              <w:t>menos 280° con nulos por debajo de este nive</w:t>
            </w:r>
            <w:r w:rsidR="008744E4">
              <w:rPr>
                <w:lang w:val="es-ES"/>
              </w:rPr>
              <w:t>l no superiores a 10°, separados</w:t>
            </w:r>
            <w:r w:rsidRPr="00B53A4E">
              <w:rPr>
                <w:lang w:val="es-ES"/>
              </w:rPr>
              <w:t xml:space="preserve"> al menos 20°.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Vertical: Para mantener la sección transversal del radar por encima de ±10° (±20° es el caso de barcos de un solo casco)</w:t>
            </w:r>
            <w:r w:rsidR="00A9796E">
              <w:rPr>
                <w:lang w:val="es-ES"/>
              </w:rPr>
              <w:t>.</w:t>
            </w:r>
          </w:p>
        </w:tc>
      </w:tr>
      <w:tr w:rsidR="00AC4454" w:rsidRPr="00976EC9" w:rsidTr="008744E4">
        <w:trPr>
          <w:trHeight w:val="750"/>
          <w:jc w:val="center"/>
        </w:trPr>
        <w:tc>
          <w:tcPr>
            <w:tcW w:w="2665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Forma de onda de salida</w:t>
            </w:r>
          </w:p>
        </w:tc>
        <w:tc>
          <w:tcPr>
            <w:tcW w:w="6973" w:type="dxa"/>
            <w:shd w:val="clear" w:color="auto" w:fill="auto"/>
          </w:tcPr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La salida sólo será una versión amplificada del impulso recibido sin ninguna forma de tratamiento, excepto la limitación.</w:t>
            </w:r>
          </w:p>
          <w:p w:rsidR="00AC4454" w:rsidRPr="00B53A4E" w:rsidRDefault="00AC4454" w:rsidP="00F72A49">
            <w:pPr>
              <w:pStyle w:val="Tabletext"/>
              <w:jc w:val="left"/>
              <w:rPr>
                <w:lang w:val="es-ES"/>
              </w:rPr>
            </w:pPr>
            <w:r w:rsidRPr="00B53A4E">
              <w:rPr>
                <w:lang w:val="es-ES"/>
              </w:rPr>
              <w:t>El retardo y el estiramiento del impulso de salida no sobrepasarán el 10% de la longitud del impulso recibido, o 10 ns tomándose el valor que sea mayor</w:t>
            </w:r>
            <w:r w:rsidR="00A9796E">
              <w:rPr>
                <w:lang w:val="es-ES"/>
              </w:rPr>
              <w:t>.</w:t>
            </w:r>
          </w:p>
        </w:tc>
      </w:tr>
      <w:tr w:rsidR="00A9796E" w:rsidRPr="00A9796E" w:rsidTr="008744E4">
        <w:trPr>
          <w:trHeight w:val="750"/>
          <w:jc w:val="center"/>
        </w:trPr>
        <w:tc>
          <w:tcPr>
            <w:tcW w:w="2665" w:type="dxa"/>
            <w:shd w:val="clear" w:color="auto" w:fill="auto"/>
          </w:tcPr>
          <w:p w:rsidR="00A9796E" w:rsidRPr="00B53A4E" w:rsidRDefault="00A9796E" w:rsidP="00F72A49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p.i.r.e en el nivel límite</w:t>
            </w:r>
          </w:p>
        </w:tc>
        <w:tc>
          <w:tcPr>
            <w:tcW w:w="6973" w:type="dxa"/>
            <w:shd w:val="clear" w:color="auto" w:fill="auto"/>
          </w:tcPr>
          <w:p w:rsidR="00A9796E" w:rsidRPr="00B53A4E" w:rsidRDefault="00A9796E" w:rsidP="00F72A49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No superior a 10 W.</w:t>
            </w:r>
          </w:p>
        </w:tc>
      </w:tr>
    </w:tbl>
    <w:p w:rsidR="00AC4454" w:rsidRPr="00B53A4E" w:rsidRDefault="00AC4454" w:rsidP="00AC4454">
      <w:pPr>
        <w:rPr>
          <w:lang w:val="es-ES"/>
        </w:rPr>
      </w:pPr>
    </w:p>
    <w:p w:rsidR="00E02DE5" w:rsidRPr="00AC4454" w:rsidRDefault="00E02DE5" w:rsidP="00F81711">
      <w:pPr>
        <w:spacing w:before="0"/>
        <w:rPr>
          <w:lang w:val="es-ES"/>
        </w:rPr>
      </w:pPr>
      <w:bookmarkStart w:id="3" w:name="_GoBack"/>
      <w:bookmarkEnd w:id="3"/>
    </w:p>
    <w:p w:rsidR="00E02DE5" w:rsidRPr="00031C45" w:rsidRDefault="00E02DE5">
      <w:pPr>
        <w:jc w:val="center"/>
        <w:rPr>
          <w:lang w:val="es-ES_tradnl"/>
        </w:rPr>
      </w:pPr>
      <w:r w:rsidRPr="00031C45">
        <w:rPr>
          <w:lang w:val="es-ES_tradnl"/>
        </w:rPr>
        <w:t>______________</w:t>
      </w:r>
    </w:p>
    <w:p w:rsidR="00E02DE5" w:rsidRPr="00031C45" w:rsidRDefault="00E02DE5" w:rsidP="00FF02C6">
      <w:pPr>
        <w:rPr>
          <w:lang w:val="es-ES_tradnl"/>
        </w:rPr>
      </w:pPr>
    </w:p>
    <w:sectPr w:rsidR="00E02DE5" w:rsidRPr="00031C45" w:rsidSect="00F330C1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AEC" w:rsidRDefault="00110AEC">
      <w:r>
        <w:separator/>
      </w:r>
    </w:p>
  </w:endnote>
  <w:endnote w:type="continuationSeparator" w:id="0">
    <w:p w:rsidR="00110AEC" w:rsidRDefault="0011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AEC" w:rsidRDefault="00110AEC">
      <w:r>
        <w:separator/>
      </w:r>
    </w:p>
  </w:footnote>
  <w:footnote w:type="continuationSeparator" w:id="0">
    <w:p w:rsidR="00110AEC" w:rsidRDefault="00110AEC">
      <w:r>
        <w:continuationSeparator/>
      </w:r>
    </w:p>
  </w:footnote>
  <w:footnote w:id="1">
    <w:p w:rsidR="00AC4454" w:rsidRPr="00B0282E" w:rsidRDefault="00AC4454" w:rsidP="00AC4454">
      <w:pPr>
        <w:pStyle w:val="FootnoteText"/>
        <w:rPr>
          <w:lang w:val="es-ES_tradnl"/>
        </w:rPr>
      </w:pPr>
      <w:r w:rsidRPr="00B0282E">
        <w:rPr>
          <w:rStyle w:val="FootnoteReference"/>
          <w:lang w:val="es-ES_tradnl"/>
        </w:rPr>
        <w:t>*</w:t>
      </w:r>
      <w:r w:rsidRPr="00B0282E">
        <w:rPr>
          <w:lang w:val="es-ES_tradnl"/>
        </w:rPr>
        <w:t xml:space="preserve"> </w:t>
      </w:r>
      <w:r w:rsidRPr="00B0282E">
        <w:rPr>
          <w:lang w:val="es-ES_tradnl"/>
        </w:rPr>
        <w:tab/>
        <w:t>Esta Recomendación debe señalarse a la atención de la Organización Marítima Internacional (OMI)</w:t>
      </w:r>
      <w:r w:rsidR="000A4D35">
        <w:rPr>
          <w:lang w:val="es-ES_tradnl"/>
        </w:rPr>
        <w:t>, de la Organización Internacional de Normalización (ISO), de la Comisión Electrotécnica Internacional (CEI)</w:t>
      </w:r>
      <w:r w:rsidRPr="00B0282E">
        <w:rPr>
          <w:lang w:val="es-ES_tradnl"/>
        </w:rPr>
        <w:t xml:space="preserve"> y de la Asociación Internacional de Señalización Marítima (IALA).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AEC" w:rsidRDefault="00110AE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AEC" w:rsidRDefault="00110AEC" w:rsidP="00110AEC">
    <w:pPr>
      <w:ind w:right="360" w:firstLine="360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102548FA" wp14:editId="016D57F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AEC" w:rsidRDefault="00110AEC" w:rsidP="00110AEC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295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8744E4" w:rsidRPr="008744E4">
        <w:rPr>
          <w:b/>
          <w:bCs/>
        </w:rPr>
        <w:t xml:space="preserve">Rec. </w:t>
      </w:r>
    </w:fldSimple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592959">
      <w:rPr>
        <w:b/>
        <w:bCs/>
        <w:noProof/>
      </w:rPr>
      <w:t>UIT-R  M.1176-1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AEC" w:rsidRDefault="00110AEC">
    <w:r>
      <w:tab/>
    </w:r>
    <w:fldSimple w:instr=" DOCPROPERTY &quot;Header&quot; \* MERGEFORMAT ">
      <w:r w:rsidR="008744E4" w:rsidRPr="008744E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744E4">
      <w:rPr>
        <w:b/>
        <w:bCs/>
        <w:noProof/>
      </w:rPr>
      <w:t>UIT-R  M.1176-1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AEC" w:rsidRDefault="00110AE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81711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8744E4" w:rsidRPr="008744E4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81711">
      <w:rPr>
        <w:b/>
        <w:bCs/>
        <w:noProof/>
        <w:lang w:val="en-US"/>
      </w:rPr>
      <w:t>UIT-R  M.1176-1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AEC" w:rsidRDefault="00110AEC">
    <w:pPr>
      <w:pStyle w:val="Header"/>
    </w:pPr>
    <w:r>
      <w:tab/>
    </w:r>
    <w:fldSimple w:instr=" DOCPROPERTY &quot;Header&quot; \* MERGEFORMAT ">
      <w:r w:rsidR="008744E4" w:rsidRPr="008744E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2959">
      <w:rPr>
        <w:b/>
        <w:bCs/>
        <w:noProof/>
      </w:rPr>
      <w:t>UIT-R  M.1176-1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295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42AB1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FC4B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5449C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0CF5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18645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1B4C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74B6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9C9C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12D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185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89A76D1"/>
    <w:multiLevelType w:val="hybridMultilevel"/>
    <w:tmpl w:val="4586B060"/>
    <w:lvl w:ilvl="0" w:tplc="E70EB02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0C1"/>
    <w:rsid w:val="00031C45"/>
    <w:rsid w:val="000422EE"/>
    <w:rsid w:val="000A4D35"/>
    <w:rsid w:val="00110AEC"/>
    <w:rsid w:val="001864EA"/>
    <w:rsid w:val="00193B54"/>
    <w:rsid w:val="001E7BA2"/>
    <w:rsid w:val="00217EBF"/>
    <w:rsid w:val="00242AEE"/>
    <w:rsid w:val="002D76C4"/>
    <w:rsid w:val="0045659E"/>
    <w:rsid w:val="0052529D"/>
    <w:rsid w:val="00532873"/>
    <w:rsid w:val="00592959"/>
    <w:rsid w:val="00607D68"/>
    <w:rsid w:val="00627E19"/>
    <w:rsid w:val="006D4383"/>
    <w:rsid w:val="007320CB"/>
    <w:rsid w:val="007468DA"/>
    <w:rsid w:val="00766F9F"/>
    <w:rsid w:val="007763D3"/>
    <w:rsid w:val="007B160F"/>
    <w:rsid w:val="007D2815"/>
    <w:rsid w:val="008005EA"/>
    <w:rsid w:val="008744E4"/>
    <w:rsid w:val="008D7EA5"/>
    <w:rsid w:val="009406E1"/>
    <w:rsid w:val="00976EC9"/>
    <w:rsid w:val="00980DC2"/>
    <w:rsid w:val="00981574"/>
    <w:rsid w:val="009E00A8"/>
    <w:rsid w:val="00A32B9A"/>
    <w:rsid w:val="00A6617B"/>
    <w:rsid w:val="00A9796E"/>
    <w:rsid w:val="00AB0DC8"/>
    <w:rsid w:val="00AC4454"/>
    <w:rsid w:val="00B03FE9"/>
    <w:rsid w:val="00B44E24"/>
    <w:rsid w:val="00B55A4E"/>
    <w:rsid w:val="00DB762F"/>
    <w:rsid w:val="00DE4004"/>
    <w:rsid w:val="00DF4176"/>
    <w:rsid w:val="00E02DE5"/>
    <w:rsid w:val="00F330C1"/>
    <w:rsid w:val="00F81711"/>
    <w:rsid w:val="00FF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4477214F-26FE-4DDC-8DC4-DD491811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0C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F330C1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F330C1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F330C1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110AEC"/>
    <w:rPr>
      <w:b/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AC4454"/>
    <w:pPr>
      <w:spacing w:before="480"/>
    </w:pPr>
    <w:rPr>
      <w:sz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FD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0D1FB-B2ED-4E94-AAA4-2DF765E27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74</TotalTime>
  <Pages>4</Pages>
  <Words>946</Words>
  <Characters>5323</Characters>
  <Application>Microsoft Office Word</Application>
  <DocSecurity>0</DocSecurity>
  <Lines>231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10</cp:revision>
  <cp:lastPrinted>2005-02-10T15:54:00Z</cp:lastPrinted>
  <dcterms:created xsi:type="dcterms:W3CDTF">2014-06-25T13:58:00Z</dcterms:created>
  <dcterms:modified xsi:type="dcterms:W3CDTF">2014-06-26T09:18:00Z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