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EC9" w:rsidRDefault="008D6EC9">
      <w:bookmarkStart w:id="0" w:name="_GoBack"/>
      <w:bookmarkEnd w:id="0"/>
    </w:p>
    <w:p w:rsidR="008D6EC9" w:rsidRDefault="008D6EC9"/>
    <w:p w:rsidR="008D6EC9" w:rsidRDefault="008D6EC9"/>
    <w:p w:rsidR="008D6EC9" w:rsidRDefault="008D6EC9"/>
    <w:p w:rsidR="008D6EC9" w:rsidRDefault="008D6EC9"/>
    <w:p w:rsidR="008D6EC9" w:rsidRDefault="008D6EC9"/>
    <w:p w:rsidR="008D6EC9" w:rsidRDefault="008D6EC9"/>
    <w:p w:rsidR="008D6EC9" w:rsidRDefault="008D6EC9"/>
    <w:p w:rsidR="008D6EC9" w:rsidRDefault="008D6EC9"/>
    <w:p w:rsidR="008D6EC9" w:rsidRDefault="008D6EC9"/>
    <w:p w:rsidR="008D6EC9" w:rsidRDefault="008D6EC9"/>
    <w:p w:rsidR="008D6EC9" w:rsidRDefault="008D6EC9"/>
    <w:tbl>
      <w:tblPr>
        <w:tblW w:w="10089" w:type="dxa"/>
        <w:tblLook w:val="01E0" w:firstRow="1" w:lastRow="1" w:firstColumn="1" w:lastColumn="1" w:noHBand="0" w:noVBand="0"/>
      </w:tblPr>
      <w:tblGrid>
        <w:gridCol w:w="10089"/>
      </w:tblGrid>
      <w:tr w:rsidR="008D6EC9" w:rsidRPr="004F65E4">
        <w:tc>
          <w:tcPr>
            <w:tcW w:w="10089" w:type="dxa"/>
          </w:tcPr>
          <w:p w:rsidR="008D6EC9" w:rsidRPr="001511A6" w:rsidRDefault="008D6EC9" w:rsidP="00013002">
            <w:pPr>
              <w:spacing w:before="380" w:line="280" w:lineRule="exact"/>
              <w:jc w:val="right"/>
              <w:rPr>
                <w:rFonts w:ascii="Tahoma" w:hAnsi="Tahoma" w:cs="Tahoma"/>
                <w:b/>
                <w:bCs/>
                <w:iCs/>
                <w:color w:val="243285"/>
                <w:sz w:val="32"/>
                <w:szCs w:val="32"/>
                <w:lang w:val="en-US"/>
              </w:rPr>
            </w:pPr>
          </w:p>
          <w:p w:rsidR="008D6EC9" w:rsidRPr="004F65E4" w:rsidRDefault="008D6EC9"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DA047D">
              <w:rPr>
                <w:rFonts w:ascii="Tahoma" w:hAnsi="Tahoma" w:cs="Tahoma"/>
                <w:b/>
                <w:bCs/>
                <w:iCs/>
                <w:color w:val="243285"/>
                <w:sz w:val="36"/>
                <w:szCs w:val="36"/>
              </w:rPr>
              <w:t>1176-1</w:t>
            </w:r>
          </w:p>
          <w:p w:rsidR="008D6EC9" w:rsidRPr="004F65E4" w:rsidRDefault="008D6EC9" w:rsidP="00825E6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25E63">
              <w:rPr>
                <w:rFonts w:ascii="Tahoma" w:hAnsi="Tahoma" w:cs="Tahoma"/>
                <w:b/>
                <w:bCs/>
                <w:iCs/>
                <w:color w:val="243285"/>
                <w:szCs w:val="24"/>
              </w:rPr>
              <w:t>02</w:t>
            </w:r>
            <w:r w:rsidRPr="004F65E4">
              <w:rPr>
                <w:rFonts w:ascii="Tahoma" w:hAnsi="Tahoma" w:cs="Tahoma"/>
                <w:b/>
                <w:bCs/>
                <w:iCs/>
                <w:color w:val="243285"/>
                <w:szCs w:val="24"/>
              </w:rPr>
              <w:t>/</w:t>
            </w:r>
            <w:r w:rsidR="00354510">
              <w:rPr>
                <w:rFonts w:ascii="Tahoma" w:hAnsi="Tahoma" w:cs="Tahoma"/>
                <w:b/>
                <w:bCs/>
                <w:iCs/>
                <w:color w:val="243285"/>
                <w:szCs w:val="24"/>
              </w:rPr>
              <w:t>201</w:t>
            </w:r>
            <w:r w:rsidR="00825E63">
              <w:rPr>
                <w:rFonts w:ascii="Tahoma" w:hAnsi="Tahoma" w:cs="Tahoma"/>
                <w:b/>
                <w:bCs/>
                <w:iCs/>
                <w:color w:val="243285"/>
                <w:szCs w:val="24"/>
              </w:rPr>
              <w:t>3</w:t>
            </w:r>
            <w:r w:rsidRPr="004F65E4">
              <w:rPr>
                <w:rFonts w:ascii="Tahoma" w:hAnsi="Tahoma" w:cs="Tahoma"/>
                <w:b/>
                <w:bCs/>
                <w:iCs/>
                <w:color w:val="243285"/>
                <w:szCs w:val="24"/>
              </w:rPr>
              <w:t>)</w:t>
            </w:r>
          </w:p>
        </w:tc>
      </w:tr>
      <w:tr w:rsidR="008D6EC9" w:rsidRPr="00825E63">
        <w:tc>
          <w:tcPr>
            <w:tcW w:w="10089" w:type="dxa"/>
          </w:tcPr>
          <w:p w:rsidR="008D6EC9" w:rsidRPr="003E1DED" w:rsidRDefault="00DA1CD1" w:rsidP="00DA1CD1">
            <w:pPr>
              <w:spacing w:before="80" w:line="500" w:lineRule="exact"/>
              <w:jc w:val="right"/>
              <w:rPr>
                <w:rFonts w:ascii="Tahoma" w:hAnsi="Tahoma" w:cs="Tahoma"/>
                <w:b/>
                <w:bCs/>
                <w:iCs/>
                <w:color w:val="243285"/>
                <w:sz w:val="44"/>
                <w:szCs w:val="44"/>
                <w:lang w:val="en-US"/>
              </w:rPr>
            </w:pPr>
            <w:r w:rsidRPr="00DA1CD1">
              <w:rPr>
                <w:rFonts w:ascii="Tahoma" w:hAnsi="Tahoma" w:cs="Tahoma"/>
                <w:b/>
                <w:bCs/>
                <w:iCs/>
                <w:color w:val="243285"/>
                <w:sz w:val="44"/>
                <w:szCs w:val="44"/>
                <w:lang w:val="en-GB"/>
              </w:rPr>
              <w:t xml:space="preserve">Technical parameters of </w:t>
            </w:r>
            <w:r>
              <w:rPr>
                <w:rFonts w:ascii="Tahoma" w:hAnsi="Tahoma" w:cs="Tahoma"/>
                <w:b/>
                <w:bCs/>
                <w:iCs/>
                <w:color w:val="243285"/>
                <w:sz w:val="44"/>
                <w:szCs w:val="44"/>
                <w:lang w:val="en-GB"/>
              </w:rPr>
              <w:br/>
            </w:r>
            <w:r w:rsidRPr="00DA1CD1">
              <w:rPr>
                <w:rFonts w:ascii="Tahoma" w:hAnsi="Tahoma" w:cs="Tahoma"/>
                <w:b/>
                <w:bCs/>
                <w:iCs/>
                <w:color w:val="243285"/>
                <w:sz w:val="44"/>
                <w:szCs w:val="44"/>
                <w:lang w:val="en-GB"/>
              </w:rPr>
              <w:t>radar target enhancers</w:t>
            </w:r>
          </w:p>
          <w:p w:rsidR="008D6EC9" w:rsidRPr="00052F66" w:rsidRDefault="008D6EC9" w:rsidP="00052F66">
            <w:pPr>
              <w:spacing w:before="80" w:line="500" w:lineRule="exact"/>
              <w:jc w:val="right"/>
              <w:rPr>
                <w:rFonts w:ascii="Tahoma" w:hAnsi="Tahoma" w:cs="Tahoma"/>
                <w:b/>
                <w:bCs/>
                <w:iCs/>
                <w:color w:val="243285"/>
                <w:sz w:val="44"/>
                <w:szCs w:val="44"/>
                <w:lang w:val="en-US"/>
              </w:rPr>
            </w:pPr>
          </w:p>
        </w:tc>
      </w:tr>
      <w:tr w:rsidR="008D6EC9" w:rsidRPr="00DA1CD1">
        <w:tc>
          <w:tcPr>
            <w:tcW w:w="10089" w:type="dxa"/>
          </w:tcPr>
          <w:p w:rsidR="008D6EC9" w:rsidRPr="00052F66" w:rsidRDefault="008D6EC9" w:rsidP="00FD15CF">
            <w:pPr>
              <w:spacing w:before="80" w:line="280" w:lineRule="exact"/>
              <w:ind w:right="640"/>
              <w:rPr>
                <w:rFonts w:ascii="Tahoma" w:hAnsi="Tahoma" w:cs="Tahoma"/>
                <w:b/>
                <w:bCs/>
                <w:iCs/>
                <w:color w:val="243285"/>
                <w:sz w:val="32"/>
                <w:szCs w:val="32"/>
                <w:lang w:val="en-US"/>
              </w:rPr>
            </w:pPr>
          </w:p>
          <w:p w:rsidR="008D6EC9" w:rsidRPr="00052F66" w:rsidRDefault="008D6EC9" w:rsidP="00FD15CF">
            <w:pPr>
              <w:spacing w:before="80" w:after="180" w:line="360" w:lineRule="exact"/>
              <w:ind w:right="720"/>
              <w:rPr>
                <w:rFonts w:ascii="Tahoma" w:hAnsi="Tahoma" w:cs="Tahoma"/>
                <w:b/>
                <w:bCs/>
                <w:iCs/>
                <w:color w:val="243285"/>
                <w:sz w:val="36"/>
                <w:szCs w:val="36"/>
                <w:lang w:val="en-US"/>
              </w:rPr>
            </w:pPr>
          </w:p>
          <w:p w:rsidR="008D6EC9" w:rsidRPr="001511A6" w:rsidRDefault="008D6EC9"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8D6EC9" w:rsidRDefault="008D6EC9"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8D6EC9" w:rsidRPr="0041667C" w:rsidRDefault="008D6EC9"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8D6EC9" w:rsidRDefault="008D6EC9" w:rsidP="00CD659B">
      <w:pPr>
        <w:spacing w:before="80"/>
        <w:rPr>
          <w:i/>
          <w:sz w:val="22"/>
          <w:lang w:val="en-US"/>
        </w:rPr>
      </w:pPr>
    </w:p>
    <w:p w:rsidR="008D6EC9" w:rsidRDefault="008D6EC9" w:rsidP="00CD659B">
      <w:pPr>
        <w:spacing w:before="80"/>
        <w:rPr>
          <w:i/>
          <w:sz w:val="22"/>
          <w:lang w:val="en-US"/>
        </w:rPr>
      </w:pPr>
    </w:p>
    <w:p w:rsidR="008D6EC9" w:rsidRDefault="008D6EC9" w:rsidP="00CD659B">
      <w:pPr>
        <w:spacing w:before="80"/>
        <w:rPr>
          <w:i/>
          <w:sz w:val="22"/>
          <w:lang w:val="en-US"/>
        </w:rPr>
      </w:pPr>
    </w:p>
    <w:p w:rsidR="008D6EC9" w:rsidRDefault="008D6EC9" w:rsidP="00CD659B">
      <w:pPr>
        <w:spacing w:before="80"/>
        <w:rPr>
          <w:i/>
          <w:sz w:val="22"/>
          <w:lang w:val="en-US"/>
        </w:rPr>
      </w:pPr>
    </w:p>
    <w:p w:rsidR="008D6EC9" w:rsidRDefault="008D6EC9" w:rsidP="00CD659B">
      <w:pPr>
        <w:pStyle w:val="Equation"/>
        <w:tabs>
          <w:tab w:val="clear" w:pos="4820"/>
          <w:tab w:val="clear" w:pos="9639"/>
          <w:tab w:val="left" w:pos="1191"/>
          <w:tab w:val="left" w:pos="1588"/>
          <w:tab w:val="left" w:pos="1985"/>
        </w:tabs>
        <w:rPr>
          <w:rFonts w:ascii="Palatino Linotype" w:hAnsi="Palatino Linotype"/>
          <w:lang w:val="en-US"/>
        </w:rPr>
        <w:sectPr w:rsidR="008D6EC9" w:rsidSect="00F940A0">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8D6EC9" w:rsidRPr="00586EF8" w:rsidRDefault="008D6EC9"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D6EC9" w:rsidRDefault="008D6EC9"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D6EC9" w:rsidRDefault="008D6EC9"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D6EC9" w:rsidRPr="00B714F3" w:rsidRDefault="008D6EC9" w:rsidP="002F5199">
      <w:pPr>
        <w:pStyle w:val="Heading1"/>
        <w:spacing w:before="680"/>
        <w:jc w:val="center"/>
        <w:rPr>
          <w:szCs w:val="24"/>
          <w:lang w:val="en-US"/>
        </w:rPr>
      </w:pPr>
      <w:r w:rsidRPr="00B714F3">
        <w:rPr>
          <w:szCs w:val="24"/>
          <w:lang w:val="en-US"/>
        </w:rPr>
        <w:t>Policy on Intellectual Property Right (IPR)</w:t>
      </w:r>
    </w:p>
    <w:p w:rsidR="008D6EC9" w:rsidRPr="00B714F3" w:rsidRDefault="008D6EC9"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D6EC9" w:rsidRDefault="008D6EC9" w:rsidP="00586EF8">
      <w:pPr>
        <w:jc w:val="center"/>
        <w:rPr>
          <w:sz w:val="22"/>
          <w:lang w:val="en-US"/>
        </w:rPr>
      </w:pPr>
    </w:p>
    <w:p w:rsidR="008D6EC9" w:rsidRDefault="008D6EC9"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D6EC9" w:rsidRPr="00825E63">
        <w:tc>
          <w:tcPr>
            <w:tcW w:w="9360" w:type="dxa"/>
            <w:gridSpan w:val="2"/>
          </w:tcPr>
          <w:p w:rsidR="008D6EC9" w:rsidRPr="00036EE3" w:rsidRDefault="008D6EC9"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D6EC9" w:rsidRPr="00036EE3" w:rsidRDefault="008D6EC9"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8D6EC9" w:rsidRPr="00036EE3">
        <w:tc>
          <w:tcPr>
            <w:tcW w:w="1140" w:type="dxa"/>
          </w:tcPr>
          <w:p w:rsidR="008D6EC9" w:rsidRPr="00036EE3" w:rsidRDefault="008D6EC9" w:rsidP="000D0677">
            <w:pPr>
              <w:spacing w:before="200" w:after="100"/>
              <w:ind w:left="57"/>
              <w:rPr>
                <w:b/>
                <w:bCs/>
                <w:sz w:val="20"/>
                <w:lang w:val="en-US"/>
              </w:rPr>
            </w:pPr>
            <w:r w:rsidRPr="00036EE3">
              <w:rPr>
                <w:b/>
                <w:bCs/>
                <w:sz w:val="20"/>
                <w:lang w:val="en-US"/>
              </w:rPr>
              <w:t>Series</w:t>
            </w:r>
          </w:p>
        </w:tc>
        <w:tc>
          <w:tcPr>
            <w:tcW w:w="8220" w:type="dxa"/>
          </w:tcPr>
          <w:p w:rsidR="008D6EC9" w:rsidRPr="00036EE3" w:rsidRDefault="008D6EC9"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D6EC9" w:rsidRPr="00036EE3">
        <w:tc>
          <w:tcPr>
            <w:tcW w:w="1140" w:type="dxa"/>
          </w:tcPr>
          <w:p w:rsidR="008D6EC9" w:rsidRPr="00036EE3" w:rsidRDefault="008D6EC9" w:rsidP="006B1D2B">
            <w:pPr>
              <w:spacing w:before="30" w:after="30"/>
              <w:ind w:left="57"/>
              <w:jc w:val="left"/>
              <w:rPr>
                <w:b/>
                <w:bCs/>
                <w:sz w:val="20"/>
                <w:lang w:val="en-US"/>
              </w:rPr>
            </w:pPr>
            <w:r w:rsidRPr="00036EE3">
              <w:rPr>
                <w:b/>
                <w:bCs/>
                <w:sz w:val="20"/>
                <w:lang w:val="en-US"/>
              </w:rPr>
              <w:t>BO</w:t>
            </w:r>
          </w:p>
        </w:tc>
        <w:tc>
          <w:tcPr>
            <w:tcW w:w="8220" w:type="dxa"/>
          </w:tcPr>
          <w:p w:rsidR="008D6EC9" w:rsidRPr="00036EE3" w:rsidRDefault="008D6EC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D6EC9" w:rsidRPr="00825E63" w:rsidTr="007D224F">
        <w:tc>
          <w:tcPr>
            <w:tcW w:w="1140" w:type="dxa"/>
            <w:tcBorders>
              <w:bottom w:val="nil"/>
            </w:tcBorders>
          </w:tcPr>
          <w:p w:rsidR="008D6EC9" w:rsidRPr="00036EE3" w:rsidRDefault="008D6EC9"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8D6EC9" w:rsidRPr="00036EE3" w:rsidRDefault="008D6EC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D6EC9" w:rsidRPr="00036EE3" w:rsidTr="007D224F">
        <w:tc>
          <w:tcPr>
            <w:tcW w:w="1140" w:type="dxa"/>
            <w:tcBorders>
              <w:top w:val="nil"/>
              <w:bottom w:val="nil"/>
            </w:tcBorders>
            <w:shd w:val="clear" w:color="auto" w:fill="auto"/>
          </w:tcPr>
          <w:p w:rsidR="008D6EC9" w:rsidRPr="007D224F" w:rsidRDefault="008D6EC9"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D6EC9" w:rsidRPr="007D224F" w:rsidRDefault="008D6EC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D6EC9" w:rsidRPr="00ED2695" w:rsidTr="0041667C">
        <w:tc>
          <w:tcPr>
            <w:tcW w:w="1140" w:type="dxa"/>
            <w:tcBorders>
              <w:top w:val="nil"/>
              <w:bottom w:val="nil"/>
            </w:tcBorders>
            <w:shd w:val="clear" w:color="auto" w:fill="auto"/>
          </w:tcPr>
          <w:p w:rsidR="008D6EC9" w:rsidRPr="00ED2695" w:rsidRDefault="008D6EC9"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D6EC9" w:rsidRPr="00ED2695" w:rsidRDefault="008D6EC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D6EC9" w:rsidRPr="007D224F" w:rsidTr="0041667C">
        <w:tc>
          <w:tcPr>
            <w:tcW w:w="1140" w:type="dxa"/>
            <w:tcBorders>
              <w:top w:val="nil"/>
              <w:bottom w:val="nil"/>
            </w:tcBorders>
            <w:shd w:val="clear" w:color="auto" w:fill="auto"/>
          </w:tcPr>
          <w:p w:rsidR="008D6EC9" w:rsidRPr="0041667C" w:rsidRDefault="008D6EC9"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8D6EC9" w:rsidRPr="0041667C" w:rsidRDefault="008D6EC9"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8D6EC9" w:rsidRPr="0041667C" w:rsidTr="0041667C">
        <w:tc>
          <w:tcPr>
            <w:tcW w:w="1140" w:type="dxa"/>
            <w:tcBorders>
              <w:top w:val="nil"/>
              <w:bottom w:val="nil"/>
            </w:tcBorders>
            <w:shd w:val="clear" w:color="auto" w:fill="F3F3F3"/>
          </w:tcPr>
          <w:p w:rsidR="008D6EC9" w:rsidRPr="0041667C" w:rsidRDefault="008D6EC9"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8D6EC9" w:rsidRPr="0041667C" w:rsidRDefault="008D6EC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8D6EC9" w:rsidRPr="00036EE3" w:rsidTr="0041667C">
        <w:tc>
          <w:tcPr>
            <w:tcW w:w="1140" w:type="dxa"/>
            <w:tcBorders>
              <w:top w:val="nil"/>
            </w:tcBorders>
          </w:tcPr>
          <w:p w:rsidR="008D6EC9" w:rsidRPr="00036EE3" w:rsidRDefault="008D6EC9"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8D6EC9" w:rsidRPr="00036EE3" w:rsidRDefault="008D6EC9" w:rsidP="006B1D2B">
            <w:pPr>
              <w:spacing w:before="30" w:after="30"/>
              <w:jc w:val="left"/>
              <w:rPr>
                <w:sz w:val="20"/>
                <w:lang w:val="fr-CH"/>
              </w:rPr>
            </w:pPr>
            <w:r w:rsidRPr="00036EE3">
              <w:rPr>
                <w:sz w:val="20"/>
                <w:lang w:val="fr-CH"/>
              </w:rPr>
              <w:t>Radiowave propagation</w:t>
            </w:r>
          </w:p>
        </w:tc>
      </w:tr>
      <w:tr w:rsidR="008D6EC9" w:rsidRPr="00036EE3">
        <w:tc>
          <w:tcPr>
            <w:tcW w:w="1140" w:type="dxa"/>
          </w:tcPr>
          <w:p w:rsidR="008D6EC9" w:rsidRPr="00036EE3" w:rsidRDefault="008D6EC9" w:rsidP="006B1D2B">
            <w:pPr>
              <w:spacing w:before="30" w:after="30"/>
              <w:ind w:left="57"/>
              <w:jc w:val="left"/>
              <w:rPr>
                <w:b/>
                <w:bCs/>
                <w:sz w:val="20"/>
                <w:lang w:val="en-US"/>
              </w:rPr>
            </w:pPr>
            <w:r w:rsidRPr="00036EE3">
              <w:rPr>
                <w:b/>
                <w:bCs/>
                <w:sz w:val="20"/>
                <w:lang w:val="en-US"/>
              </w:rPr>
              <w:t>RA</w:t>
            </w:r>
          </w:p>
        </w:tc>
        <w:tc>
          <w:tcPr>
            <w:tcW w:w="8220" w:type="dxa"/>
          </w:tcPr>
          <w:p w:rsidR="008D6EC9" w:rsidRPr="00036EE3" w:rsidRDefault="008D6EC9"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D6EC9" w:rsidRPr="00036EE3">
        <w:tc>
          <w:tcPr>
            <w:tcW w:w="1140" w:type="dxa"/>
          </w:tcPr>
          <w:p w:rsidR="008D6EC9" w:rsidRPr="00036EE3" w:rsidRDefault="008D6EC9" w:rsidP="006B1D2B">
            <w:pPr>
              <w:spacing w:before="30" w:after="30"/>
              <w:ind w:left="57"/>
              <w:jc w:val="left"/>
              <w:rPr>
                <w:b/>
                <w:bCs/>
                <w:sz w:val="20"/>
                <w:lang w:val="en-US"/>
              </w:rPr>
            </w:pPr>
            <w:r w:rsidRPr="00036EE3">
              <w:rPr>
                <w:b/>
                <w:bCs/>
                <w:sz w:val="20"/>
                <w:lang w:val="en-US"/>
              </w:rPr>
              <w:t>RS</w:t>
            </w:r>
          </w:p>
        </w:tc>
        <w:tc>
          <w:tcPr>
            <w:tcW w:w="8220" w:type="dxa"/>
          </w:tcPr>
          <w:p w:rsidR="008D6EC9" w:rsidRPr="00036EE3" w:rsidRDefault="008D6EC9"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D6EC9" w:rsidRPr="00036EE3">
        <w:tc>
          <w:tcPr>
            <w:tcW w:w="1140" w:type="dxa"/>
          </w:tcPr>
          <w:p w:rsidR="008D6EC9" w:rsidRPr="00036EE3" w:rsidRDefault="008D6EC9" w:rsidP="006B1D2B">
            <w:pPr>
              <w:spacing w:before="30" w:after="30"/>
              <w:ind w:left="57"/>
              <w:jc w:val="left"/>
              <w:rPr>
                <w:b/>
                <w:bCs/>
                <w:sz w:val="20"/>
                <w:lang w:val="en-US"/>
              </w:rPr>
            </w:pPr>
            <w:r w:rsidRPr="00036EE3">
              <w:rPr>
                <w:b/>
                <w:bCs/>
                <w:sz w:val="20"/>
                <w:lang w:val="en-US"/>
              </w:rPr>
              <w:t>S</w:t>
            </w:r>
          </w:p>
        </w:tc>
        <w:tc>
          <w:tcPr>
            <w:tcW w:w="8220" w:type="dxa"/>
          </w:tcPr>
          <w:p w:rsidR="008D6EC9" w:rsidRPr="00036EE3" w:rsidRDefault="008D6EC9" w:rsidP="006B1D2B">
            <w:pPr>
              <w:spacing w:before="30" w:after="30"/>
              <w:jc w:val="left"/>
              <w:rPr>
                <w:sz w:val="20"/>
                <w:lang w:val="en-US"/>
              </w:rPr>
            </w:pPr>
            <w:r w:rsidRPr="00036EE3">
              <w:rPr>
                <w:sz w:val="20"/>
                <w:lang w:val="en-US"/>
              </w:rPr>
              <w:t>Fixed-satellite service</w:t>
            </w:r>
          </w:p>
        </w:tc>
      </w:tr>
      <w:tr w:rsidR="008D6EC9" w:rsidRPr="00036EE3">
        <w:tc>
          <w:tcPr>
            <w:tcW w:w="1140" w:type="dxa"/>
          </w:tcPr>
          <w:p w:rsidR="008D6EC9" w:rsidRPr="00036EE3" w:rsidRDefault="008D6EC9" w:rsidP="006B1D2B">
            <w:pPr>
              <w:spacing w:before="30" w:after="30"/>
              <w:ind w:left="57"/>
              <w:jc w:val="left"/>
              <w:rPr>
                <w:b/>
                <w:bCs/>
                <w:sz w:val="20"/>
                <w:lang w:val="en-US"/>
              </w:rPr>
            </w:pPr>
            <w:r w:rsidRPr="00036EE3">
              <w:rPr>
                <w:b/>
                <w:bCs/>
                <w:sz w:val="20"/>
                <w:lang w:val="en-US"/>
              </w:rPr>
              <w:t>SA</w:t>
            </w:r>
          </w:p>
        </w:tc>
        <w:tc>
          <w:tcPr>
            <w:tcW w:w="8220" w:type="dxa"/>
          </w:tcPr>
          <w:p w:rsidR="008D6EC9" w:rsidRPr="00036EE3" w:rsidRDefault="008D6EC9" w:rsidP="006B1D2B">
            <w:pPr>
              <w:spacing w:before="30" w:after="30"/>
              <w:jc w:val="left"/>
              <w:rPr>
                <w:sz w:val="20"/>
                <w:lang w:val="en-US"/>
              </w:rPr>
            </w:pPr>
            <w:r w:rsidRPr="00036EE3">
              <w:rPr>
                <w:sz w:val="20"/>
                <w:lang w:val="en-US"/>
              </w:rPr>
              <w:t>Space applications and meteorology</w:t>
            </w:r>
          </w:p>
        </w:tc>
      </w:tr>
      <w:tr w:rsidR="008D6EC9" w:rsidRPr="00825E63" w:rsidTr="000A4386">
        <w:tc>
          <w:tcPr>
            <w:tcW w:w="1140" w:type="dxa"/>
            <w:tcBorders>
              <w:bottom w:val="nil"/>
            </w:tcBorders>
          </w:tcPr>
          <w:p w:rsidR="008D6EC9" w:rsidRPr="00036EE3" w:rsidRDefault="008D6EC9"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8D6EC9" w:rsidRPr="00036EE3" w:rsidRDefault="008D6EC9" w:rsidP="006B1D2B">
            <w:pPr>
              <w:spacing w:before="30" w:after="30"/>
              <w:jc w:val="left"/>
              <w:rPr>
                <w:sz w:val="20"/>
                <w:lang w:val="en-US"/>
              </w:rPr>
            </w:pPr>
            <w:r w:rsidRPr="00036EE3">
              <w:rPr>
                <w:sz w:val="20"/>
                <w:lang w:val="en-US"/>
              </w:rPr>
              <w:t>Frequency sharing and coordination between fixed-satellite and fixed service systems</w:t>
            </w:r>
          </w:p>
        </w:tc>
      </w:tr>
      <w:tr w:rsidR="008D6EC9" w:rsidRPr="00036EE3" w:rsidTr="000A4386">
        <w:tc>
          <w:tcPr>
            <w:tcW w:w="1140" w:type="dxa"/>
            <w:tcBorders>
              <w:top w:val="nil"/>
              <w:bottom w:val="nil"/>
            </w:tcBorders>
            <w:shd w:val="clear" w:color="auto" w:fill="auto"/>
          </w:tcPr>
          <w:p w:rsidR="008D6EC9" w:rsidRPr="000A4386" w:rsidRDefault="008D6EC9"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D6EC9" w:rsidRPr="000A4386" w:rsidRDefault="008D6EC9" w:rsidP="006B1D2B">
            <w:pPr>
              <w:spacing w:before="30" w:after="30"/>
              <w:jc w:val="left"/>
              <w:rPr>
                <w:sz w:val="20"/>
                <w:lang w:val="en-US"/>
              </w:rPr>
            </w:pPr>
            <w:r w:rsidRPr="000A4386">
              <w:rPr>
                <w:sz w:val="20"/>
                <w:lang w:val="en-US"/>
              </w:rPr>
              <w:t>Spectrum management</w:t>
            </w:r>
          </w:p>
        </w:tc>
      </w:tr>
      <w:tr w:rsidR="008D6EC9" w:rsidRPr="00036EE3" w:rsidTr="000A4386">
        <w:tc>
          <w:tcPr>
            <w:tcW w:w="1140" w:type="dxa"/>
            <w:tcBorders>
              <w:top w:val="nil"/>
            </w:tcBorders>
          </w:tcPr>
          <w:p w:rsidR="008D6EC9" w:rsidRPr="00036EE3" w:rsidRDefault="008D6EC9"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8D6EC9" w:rsidRPr="00036EE3" w:rsidRDefault="008D6EC9" w:rsidP="006B1D2B">
            <w:pPr>
              <w:spacing w:before="30" w:after="30"/>
              <w:jc w:val="left"/>
              <w:rPr>
                <w:sz w:val="20"/>
                <w:lang w:val="en-US"/>
              </w:rPr>
            </w:pPr>
            <w:r w:rsidRPr="00036EE3">
              <w:rPr>
                <w:sz w:val="20"/>
                <w:lang w:val="en-US"/>
              </w:rPr>
              <w:t>Satellite news gathering</w:t>
            </w:r>
          </w:p>
        </w:tc>
      </w:tr>
      <w:tr w:rsidR="008D6EC9" w:rsidRPr="00825E63">
        <w:tc>
          <w:tcPr>
            <w:tcW w:w="1140" w:type="dxa"/>
          </w:tcPr>
          <w:p w:rsidR="008D6EC9" w:rsidRPr="00036EE3" w:rsidRDefault="008D6EC9" w:rsidP="006B1D2B">
            <w:pPr>
              <w:spacing w:before="30" w:after="30"/>
              <w:ind w:left="57"/>
              <w:jc w:val="left"/>
              <w:rPr>
                <w:b/>
                <w:bCs/>
                <w:sz w:val="20"/>
                <w:lang w:val="en-US"/>
              </w:rPr>
            </w:pPr>
            <w:r w:rsidRPr="00036EE3">
              <w:rPr>
                <w:b/>
                <w:bCs/>
                <w:sz w:val="20"/>
                <w:lang w:val="en-US"/>
              </w:rPr>
              <w:t>TF</w:t>
            </w:r>
          </w:p>
        </w:tc>
        <w:tc>
          <w:tcPr>
            <w:tcW w:w="8220" w:type="dxa"/>
          </w:tcPr>
          <w:p w:rsidR="008D6EC9" w:rsidRPr="00036EE3" w:rsidRDefault="008D6EC9" w:rsidP="006B1D2B">
            <w:pPr>
              <w:spacing w:before="30" w:after="30"/>
              <w:jc w:val="left"/>
              <w:rPr>
                <w:sz w:val="20"/>
                <w:lang w:val="en-US"/>
              </w:rPr>
            </w:pPr>
            <w:r w:rsidRPr="00036EE3">
              <w:rPr>
                <w:sz w:val="20"/>
                <w:lang w:val="en-US"/>
              </w:rPr>
              <w:t>Time signals and frequency standards emissions</w:t>
            </w:r>
          </w:p>
        </w:tc>
      </w:tr>
      <w:tr w:rsidR="008D6EC9" w:rsidRPr="00036EE3">
        <w:tc>
          <w:tcPr>
            <w:tcW w:w="1140" w:type="dxa"/>
          </w:tcPr>
          <w:p w:rsidR="008D6EC9" w:rsidRPr="00036EE3" w:rsidRDefault="008D6EC9" w:rsidP="006B1D2B">
            <w:pPr>
              <w:spacing w:before="30" w:after="30"/>
              <w:ind w:left="57"/>
              <w:jc w:val="left"/>
              <w:rPr>
                <w:b/>
                <w:bCs/>
                <w:sz w:val="20"/>
                <w:lang w:val="en-US"/>
              </w:rPr>
            </w:pPr>
            <w:r w:rsidRPr="00036EE3">
              <w:rPr>
                <w:b/>
                <w:bCs/>
                <w:sz w:val="20"/>
                <w:lang w:val="en-US"/>
              </w:rPr>
              <w:t>V</w:t>
            </w:r>
          </w:p>
        </w:tc>
        <w:tc>
          <w:tcPr>
            <w:tcW w:w="8220" w:type="dxa"/>
          </w:tcPr>
          <w:p w:rsidR="008D6EC9" w:rsidRPr="00036EE3" w:rsidRDefault="008D6EC9" w:rsidP="00906589">
            <w:pPr>
              <w:spacing w:before="30" w:after="180"/>
              <w:jc w:val="left"/>
              <w:rPr>
                <w:sz w:val="20"/>
                <w:lang w:val="en-US"/>
              </w:rPr>
            </w:pPr>
            <w:r w:rsidRPr="00036EE3">
              <w:rPr>
                <w:sz w:val="20"/>
                <w:lang w:val="en-US"/>
              </w:rPr>
              <w:t>Vocabulary and related subjects</w:t>
            </w:r>
          </w:p>
        </w:tc>
      </w:tr>
    </w:tbl>
    <w:p w:rsidR="008D6EC9" w:rsidRPr="00036EE3" w:rsidRDefault="008D6EC9"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D6EC9">
        <w:tc>
          <w:tcPr>
            <w:tcW w:w="720" w:type="dxa"/>
          </w:tcPr>
          <w:p w:rsidR="008D6EC9" w:rsidRDefault="008D6EC9" w:rsidP="00036EE3">
            <w:pPr>
              <w:jc w:val="center"/>
              <w:rPr>
                <w:sz w:val="22"/>
                <w:lang w:val="en-US"/>
              </w:rPr>
            </w:pPr>
          </w:p>
        </w:tc>
      </w:tr>
    </w:tbl>
    <w:p w:rsidR="008D6EC9" w:rsidRPr="00036EE3" w:rsidRDefault="008D6EC9"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D6EC9" w:rsidRPr="00825E63">
        <w:tc>
          <w:tcPr>
            <w:tcW w:w="9360" w:type="dxa"/>
          </w:tcPr>
          <w:p w:rsidR="008D6EC9" w:rsidRPr="002F5199" w:rsidRDefault="008D6EC9"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D6EC9" w:rsidRDefault="008D6EC9" w:rsidP="002F5199">
      <w:pPr>
        <w:spacing w:before="0"/>
        <w:jc w:val="center"/>
        <w:rPr>
          <w:sz w:val="22"/>
          <w:lang w:val="en-US"/>
        </w:rPr>
      </w:pPr>
    </w:p>
    <w:p w:rsidR="008D6EC9" w:rsidRDefault="008D6EC9" w:rsidP="002F5199">
      <w:pPr>
        <w:spacing w:before="0"/>
        <w:jc w:val="center"/>
        <w:rPr>
          <w:sz w:val="22"/>
          <w:lang w:val="en-US"/>
        </w:rPr>
      </w:pPr>
    </w:p>
    <w:p w:rsidR="008D6EC9" w:rsidRPr="002F5199" w:rsidRDefault="008D6EC9" w:rsidP="00906589">
      <w:pPr>
        <w:spacing w:before="0"/>
        <w:jc w:val="right"/>
        <w:rPr>
          <w:i/>
          <w:iCs/>
          <w:sz w:val="20"/>
          <w:lang w:val="en-US"/>
        </w:rPr>
      </w:pPr>
      <w:r w:rsidRPr="002F5199">
        <w:rPr>
          <w:i/>
          <w:iCs/>
          <w:sz w:val="20"/>
          <w:lang w:val="en-US"/>
        </w:rPr>
        <w:t>Electronic Publication</w:t>
      </w:r>
    </w:p>
    <w:p w:rsidR="008D6EC9" w:rsidRPr="002F5199" w:rsidRDefault="008D6EC9" w:rsidP="00505282">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8D6EC9" w:rsidRDefault="008D6EC9" w:rsidP="00906589">
      <w:pPr>
        <w:jc w:val="center"/>
        <w:rPr>
          <w:sz w:val="22"/>
          <w:lang w:val="en-US"/>
        </w:rPr>
      </w:pPr>
    </w:p>
    <w:p w:rsidR="008D6EC9" w:rsidRPr="00470E28" w:rsidRDefault="008D6EC9"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8D6EC9" w:rsidRPr="00470E28" w:rsidRDefault="008D6EC9"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D6EC9" w:rsidRDefault="008D6EC9" w:rsidP="00A971A1">
      <w:pPr>
        <w:spacing w:before="160"/>
        <w:rPr>
          <w:i/>
          <w:sz w:val="20"/>
          <w:lang w:val="en-US"/>
        </w:rPr>
        <w:sectPr w:rsidR="008D6EC9"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D6EC9" w:rsidRPr="00052F66" w:rsidRDefault="008D6EC9" w:rsidP="002719C5">
      <w:pPr>
        <w:pStyle w:val="RecNo"/>
        <w:rPr>
          <w:lang w:val="en-US"/>
        </w:rPr>
      </w:pPr>
      <w:bookmarkStart w:id="3" w:name="irecnoe"/>
      <w:bookmarkEnd w:id="3"/>
      <w:r w:rsidRPr="004D34CA">
        <w:rPr>
          <w:lang w:val="en-US"/>
        </w:rPr>
        <w:lastRenderedPageBreak/>
        <w:t>RECOMMENDATION</w:t>
      </w:r>
      <w:r w:rsidRPr="00BF487A">
        <w:rPr>
          <w:lang w:val="en-US"/>
        </w:rPr>
        <w:t xml:space="preserve">  </w:t>
      </w:r>
      <w:r w:rsidRPr="00BF487A">
        <w:rPr>
          <w:rStyle w:val="href"/>
          <w:lang w:val="en-US"/>
        </w:rPr>
        <w:t xml:space="preserve">ITU-R  </w:t>
      </w:r>
      <w:r>
        <w:rPr>
          <w:rStyle w:val="href"/>
          <w:lang w:val="en-US"/>
        </w:rPr>
        <w:t>M</w:t>
      </w:r>
      <w:r w:rsidRPr="00BF487A">
        <w:rPr>
          <w:rStyle w:val="href"/>
          <w:lang w:val="en-US"/>
        </w:rPr>
        <w:t>.</w:t>
      </w:r>
      <w:r>
        <w:rPr>
          <w:rStyle w:val="href"/>
          <w:lang w:val="en-US"/>
        </w:rPr>
        <w:t>1176-1</w:t>
      </w:r>
      <w:r w:rsidR="002719C5" w:rsidRPr="002719C5">
        <w:rPr>
          <w:position w:val="6"/>
          <w:sz w:val="18"/>
          <w:lang w:val="en-GB"/>
        </w:rPr>
        <w:footnoteReference w:customMarkFollows="1" w:id="1"/>
        <w:t>*</w:t>
      </w:r>
    </w:p>
    <w:p w:rsidR="00A6617B" w:rsidRDefault="008D6EC9" w:rsidP="008D6EC9">
      <w:pPr>
        <w:pStyle w:val="Rectitle"/>
        <w:rPr>
          <w:lang w:val="en-GB"/>
        </w:rPr>
      </w:pPr>
      <w:r w:rsidRPr="008D6EC9">
        <w:rPr>
          <w:lang w:val="en-GB"/>
        </w:rPr>
        <w:t>Technical parameters of radar target enhancers</w:t>
      </w:r>
    </w:p>
    <w:p w:rsidR="00217F10" w:rsidRPr="004D34CA" w:rsidRDefault="00217F10" w:rsidP="00825E63">
      <w:pPr>
        <w:pStyle w:val="Recdate"/>
        <w:rPr>
          <w:lang w:val="en-US"/>
        </w:rPr>
      </w:pPr>
      <w:r w:rsidRPr="004D34CA">
        <w:rPr>
          <w:lang w:val="en-US"/>
        </w:rPr>
        <w:t>(1995</w:t>
      </w:r>
      <w:r w:rsidR="002719C5" w:rsidRPr="004D34CA">
        <w:rPr>
          <w:lang w:val="en-US"/>
        </w:rPr>
        <w:t>-201</w:t>
      </w:r>
      <w:r w:rsidR="00825E63">
        <w:rPr>
          <w:lang w:val="en-US"/>
        </w:rPr>
        <w:t>3</w:t>
      </w:r>
      <w:r w:rsidRPr="004D34CA">
        <w:rPr>
          <w:lang w:val="en-US"/>
        </w:rPr>
        <w:t>)</w:t>
      </w:r>
    </w:p>
    <w:p w:rsidR="00DA047D" w:rsidRPr="004D34CA" w:rsidRDefault="00DA047D" w:rsidP="002719C5">
      <w:pPr>
        <w:pStyle w:val="HeadingSum"/>
        <w:rPr>
          <w:lang w:val="en-US"/>
        </w:rPr>
      </w:pPr>
      <w:r w:rsidRPr="004D34CA">
        <w:rPr>
          <w:lang w:val="en-US"/>
        </w:rPr>
        <w:t>Scope</w:t>
      </w:r>
    </w:p>
    <w:p w:rsidR="00DA047D" w:rsidRPr="00F67180" w:rsidRDefault="00DA047D" w:rsidP="004D34CA">
      <w:pPr>
        <w:pStyle w:val="Summary"/>
        <w:rPr>
          <w:lang w:val="en-US"/>
        </w:rPr>
      </w:pPr>
      <w:r w:rsidRPr="00F67180">
        <w:rPr>
          <w:lang w:val="en-US"/>
        </w:rPr>
        <w:t>Trials of radar target enhancers have indicated that the radar returns from navigation buoys and small craft can be significantly improved by the use of such devices.</w:t>
      </w:r>
    </w:p>
    <w:p w:rsidR="00DA047D" w:rsidRPr="00F67180" w:rsidRDefault="00DA047D" w:rsidP="004D34CA">
      <w:pPr>
        <w:pStyle w:val="Summary"/>
        <w:rPr>
          <w:lang w:val="en-US"/>
        </w:rPr>
      </w:pPr>
      <w:r w:rsidRPr="00F67180">
        <w:rPr>
          <w:lang w:val="en-US"/>
        </w:rPr>
        <w:t>This Recommendation provides the technical parameters for radar target enhancers (RTE) operating in the frequency bands 2 900-3 100 MHz and/or 9 200-9 500 MHz.</w:t>
      </w:r>
    </w:p>
    <w:p w:rsidR="00DA047D" w:rsidRPr="00DA047D" w:rsidRDefault="00DA047D" w:rsidP="002719C5">
      <w:pPr>
        <w:pStyle w:val="Normalaftertitle"/>
        <w:rPr>
          <w:lang w:val="en-GB"/>
        </w:rPr>
      </w:pPr>
      <w:r w:rsidRPr="00DA047D">
        <w:rPr>
          <w:lang w:val="en-GB"/>
        </w:rPr>
        <w:t>The ITU Radiocommunication Assembly,</w:t>
      </w:r>
    </w:p>
    <w:p w:rsidR="00DA047D" w:rsidRPr="00DA047D" w:rsidRDefault="00DA047D" w:rsidP="002719C5">
      <w:pPr>
        <w:pStyle w:val="Call"/>
        <w:rPr>
          <w:lang w:val="en-GB"/>
        </w:rPr>
      </w:pPr>
      <w:r w:rsidRPr="00DA047D">
        <w:rPr>
          <w:lang w:val="en-GB"/>
        </w:rPr>
        <w:t>considering</w:t>
      </w:r>
    </w:p>
    <w:p w:rsidR="00DA047D" w:rsidRPr="00DA047D" w:rsidRDefault="00DA047D" w:rsidP="002719C5">
      <w:pPr>
        <w:rPr>
          <w:lang w:val="en-GB"/>
        </w:rPr>
      </w:pPr>
      <w:r w:rsidRPr="002719C5">
        <w:rPr>
          <w:lang w:val="en-GB"/>
        </w:rPr>
        <w:t>a)</w:t>
      </w:r>
      <w:r w:rsidRPr="00DA047D">
        <w:rPr>
          <w:lang w:val="en-GB"/>
        </w:rPr>
        <w:tab/>
        <w:t xml:space="preserve">that maritime radars in the maritime radionavigation service operate in the frequency </w:t>
      </w:r>
      <w:r w:rsidR="00A4492F">
        <w:rPr>
          <w:lang w:val="en-GB"/>
        </w:rPr>
        <w:t>bands 2 900-3 </w:t>
      </w:r>
      <w:r w:rsidRPr="00DA047D">
        <w:rPr>
          <w:lang w:val="en-GB"/>
        </w:rPr>
        <w:t xml:space="preserve">100 MHz and </w:t>
      </w:r>
      <w:r w:rsidR="00A4492F">
        <w:rPr>
          <w:lang w:val="en-GB"/>
        </w:rPr>
        <w:t>9 </w:t>
      </w:r>
      <w:r w:rsidRPr="00DA047D">
        <w:rPr>
          <w:lang w:val="en-GB"/>
        </w:rPr>
        <w:t>200</w:t>
      </w:r>
      <w:r w:rsidR="00A4492F">
        <w:rPr>
          <w:lang w:val="en-GB"/>
        </w:rPr>
        <w:t>-9 </w:t>
      </w:r>
      <w:r w:rsidRPr="00DA047D">
        <w:rPr>
          <w:lang w:val="en-GB"/>
        </w:rPr>
        <w:t>500 MHz;</w:t>
      </w:r>
    </w:p>
    <w:p w:rsidR="00DA047D" w:rsidRPr="00DA047D" w:rsidRDefault="00DA047D" w:rsidP="002719C5">
      <w:pPr>
        <w:rPr>
          <w:lang w:val="en-GB"/>
        </w:rPr>
      </w:pPr>
      <w:r w:rsidRPr="002719C5">
        <w:rPr>
          <w:lang w:val="en-GB"/>
        </w:rPr>
        <w:t>b)</w:t>
      </w:r>
      <w:r w:rsidRPr="00DA047D">
        <w:rPr>
          <w:lang w:val="en-GB"/>
        </w:rPr>
        <w:tab/>
        <w:t>that a transponder is a device that can provide for echo enhancement with the provision that such enhancement should not significantly exceed that which could be achieved by passive means (IMO Resolution A.615(15));</w:t>
      </w:r>
    </w:p>
    <w:p w:rsidR="00DA047D" w:rsidRPr="00DA047D" w:rsidRDefault="00DA047D" w:rsidP="002719C5">
      <w:pPr>
        <w:rPr>
          <w:lang w:val="en-GB"/>
        </w:rPr>
      </w:pPr>
      <w:r w:rsidRPr="002719C5">
        <w:rPr>
          <w:lang w:val="en-GB"/>
        </w:rPr>
        <w:t>c)</w:t>
      </w:r>
      <w:r w:rsidRPr="00DA047D">
        <w:rPr>
          <w:lang w:val="en-GB"/>
        </w:rPr>
        <w:tab/>
        <w:t>that the radar returns from targets such as navigation buoys and small craft can be significantly improved by the use of an active target enhancer consisting of a broadband radio</w:t>
      </w:r>
      <w:r w:rsidRPr="00DA047D">
        <w:rPr>
          <w:lang w:val="en-GB"/>
        </w:rPr>
        <w:noBreakHyphen/>
        <w:t>frequency amplifier, receive and transmit antennas,</w:t>
      </w:r>
    </w:p>
    <w:p w:rsidR="00DA047D" w:rsidRPr="00DA047D" w:rsidRDefault="00DA047D" w:rsidP="00A4492F">
      <w:pPr>
        <w:pStyle w:val="Call"/>
        <w:rPr>
          <w:lang w:val="en-GB"/>
        </w:rPr>
      </w:pPr>
      <w:r w:rsidRPr="00DA047D">
        <w:rPr>
          <w:lang w:val="en-GB"/>
        </w:rPr>
        <w:t>noting</w:t>
      </w:r>
    </w:p>
    <w:p w:rsidR="00DA047D" w:rsidRPr="00DA047D" w:rsidRDefault="00DA047D" w:rsidP="00A4492F">
      <w:pPr>
        <w:rPr>
          <w:lang w:val="en-GB"/>
        </w:rPr>
      </w:pPr>
      <w:r w:rsidRPr="00A4492F">
        <w:rPr>
          <w:lang w:val="en-GB"/>
        </w:rPr>
        <w:t>a)</w:t>
      </w:r>
      <w:r w:rsidRPr="00DA047D">
        <w:rPr>
          <w:lang w:val="en-GB"/>
        </w:rPr>
        <w:tab/>
        <w:t>that IM</w:t>
      </w:r>
      <w:r w:rsidR="00A4492F">
        <w:rPr>
          <w:lang w:val="en-GB"/>
        </w:rPr>
        <w:t>O SOLAS Chapter 5 regulation 19-</w:t>
      </w:r>
      <w:r w:rsidRPr="00DA047D">
        <w:rPr>
          <w:lang w:val="en-GB"/>
        </w:rPr>
        <w:t xml:space="preserve">2.1.7 requires, if practicable, fitting of </w:t>
      </w:r>
      <w:r w:rsidR="002719C5">
        <w:rPr>
          <w:lang w:val="en-GB"/>
        </w:rPr>
        <w:t>a radar</w:t>
      </w:r>
      <w:r w:rsidRPr="00DA047D">
        <w:rPr>
          <w:lang w:val="en-GB"/>
        </w:rPr>
        <w:t xml:space="preserve"> reflector to all ships and craft under 150 gross tonnage to enable detection by radar;</w:t>
      </w:r>
    </w:p>
    <w:p w:rsidR="00DA047D" w:rsidRPr="00DA047D" w:rsidRDefault="00DA047D" w:rsidP="00A4492F">
      <w:pPr>
        <w:rPr>
          <w:lang w:val="en-GB"/>
        </w:rPr>
      </w:pPr>
      <w:r w:rsidRPr="00A4492F">
        <w:rPr>
          <w:lang w:val="en-GB"/>
        </w:rPr>
        <w:t>b)</w:t>
      </w:r>
      <w:r w:rsidRPr="00DA047D">
        <w:rPr>
          <w:lang w:val="en-GB"/>
        </w:rPr>
        <w:tab/>
        <w:t>that IMO Resolution MSC.164(78) provides performance standards for both passive and active radar reflectors,</w:t>
      </w:r>
    </w:p>
    <w:p w:rsidR="00DA047D" w:rsidRPr="00DA047D" w:rsidRDefault="00DA047D" w:rsidP="00A4492F">
      <w:pPr>
        <w:pStyle w:val="Call"/>
        <w:rPr>
          <w:lang w:val="en-GB"/>
        </w:rPr>
      </w:pPr>
      <w:r w:rsidRPr="00DA047D">
        <w:rPr>
          <w:lang w:val="en-GB"/>
        </w:rPr>
        <w:t>recommends</w:t>
      </w:r>
    </w:p>
    <w:p w:rsidR="00DA047D" w:rsidRDefault="00DA047D" w:rsidP="00A4492F">
      <w:pPr>
        <w:rPr>
          <w:lang w:val="en-GB"/>
        </w:rPr>
      </w:pPr>
      <w:r w:rsidRPr="00DA047D">
        <w:rPr>
          <w:lang w:val="en-GB"/>
        </w:rPr>
        <w:tab/>
        <w:t xml:space="preserve">that the technical parameters of radar target enhancers for use on navigation buoys and ships and craft under 150 gross tonnage should be in accordance with </w:t>
      </w:r>
      <w:r w:rsidR="00A4492F">
        <w:rPr>
          <w:lang w:val="en-GB"/>
        </w:rPr>
        <w:t xml:space="preserve">the </w:t>
      </w:r>
      <w:r w:rsidR="00DA1CD1">
        <w:rPr>
          <w:lang w:val="en-GB"/>
        </w:rPr>
        <w:t>Annex</w:t>
      </w:r>
      <w:r w:rsidRPr="00DA047D">
        <w:rPr>
          <w:lang w:val="en-GB"/>
        </w:rPr>
        <w:t>.</w:t>
      </w:r>
    </w:p>
    <w:p w:rsidR="00DA047D" w:rsidRPr="00DA047D" w:rsidRDefault="00DA047D" w:rsidP="00A50841">
      <w:pPr>
        <w:pStyle w:val="AnnexNoTitle"/>
        <w:rPr>
          <w:lang w:val="en-GB"/>
        </w:rPr>
      </w:pPr>
      <w:r w:rsidRPr="00DA047D">
        <w:rPr>
          <w:lang w:val="en-GB"/>
        </w:rPr>
        <w:lastRenderedPageBreak/>
        <w:t>A</w:t>
      </w:r>
      <w:r w:rsidR="00A50841" w:rsidRPr="00DA047D">
        <w:rPr>
          <w:lang w:val="en-GB"/>
        </w:rPr>
        <w:t>nnex</w:t>
      </w:r>
      <w:r w:rsidR="00A50841">
        <w:rPr>
          <w:lang w:val="en-GB"/>
        </w:rPr>
        <w:br/>
      </w:r>
      <w:r w:rsidR="00A50841">
        <w:rPr>
          <w:lang w:val="en-GB"/>
        </w:rPr>
        <w:br/>
      </w:r>
      <w:r w:rsidRPr="00DA047D">
        <w:rPr>
          <w:lang w:val="en-GB"/>
        </w:rPr>
        <w:t>Technical parameters of a radar target enhancer</w:t>
      </w:r>
      <w:r w:rsidRPr="00DA047D">
        <w:rPr>
          <w:lang w:val="en-GB"/>
        </w:rPr>
        <w:br/>
        <w:t>for use on navigation buoys and small craft</w:t>
      </w:r>
    </w:p>
    <w:p w:rsidR="00DA047D" w:rsidRPr="00DA047D" w:rsidRDefault="00DA047D" w:rsidP="000755EE">
      <w:pPr>
        <w:keepNext/>
        <w:keepLines/>
        <w:tabs>
          <w:tab w:val="clear" w:pos="794"/>
          <w:tab w:val="clear" w:pos="1191"/>
          <w:tab w:val="clear" w:pos="1588"/>
          <w:tab w:val="clear" w:pos="1985"/>
          <w:tab w:val="left" w:pos="1871"/>
          <w:tab w:val="left" w:pos="2268"/>
        </w:tabs>
        <w:spacing w:before="0"/>
        <w:rPr>
          <w:rFonts w:eastAsia="MS Mincho"/>
          <w:sz w:val="12"/>
          <w:szCs w:val="12"/>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5"/>
        <w:gridCol w:w="6374"/>
      </w:tblGrid>
      <w:tr w:rsidR="00DA047D" w:rsidRPr="00DA047D" w:rsidTr="00A50841">
        <w:trPr>
          <w:jc w:val="center"/>
        </w:trPr>
        <w:tc>
          <w:tcPr>
            <w:tcW w:w="3265" w:type="dxa"/>
            <w:shd w:val="clear" w:color="auto" w:fill="auto"/>
          </w:tcPr>
          <w:p w:rsidR="00DA047D" w:rsidRPr="00DA047D" w:rsidRDefault="00DA047D" w:rsidP="000755EE">
            <w:pPr>
              <w:pStyle w:val="Tablehead"/>
              <w:keepLines/>
              <w:rPr>
                <w:lang w:val="en-GB"/>
              </w:rPr>
            </w:pPr>
            <w:r w:rsidRPr="00DA047D">
              <w:rPr>
                <w:lang w:val="en-GB"/>
              </w:rPr>
              <w:t>Parameters</w:t>
            </w:r>
          </w:p>
        </w:tc>
        <w:tc>
          <w:tcPr>
            <w:tcW w:w="6374" w:type="dxa"/>
            <w:shd w:val="clear" w:color="auto" w:fill="auto"/>
          </w:tcPr>
          <w:p w:rsidR="00DA047D" w:rsidRPr="00DA047D" w:rsidRDefault="00DA047D" w:rsidP="000755EE">
            <w:pPr>
              <w:pStyle w:val="Tablehead"/>
              <w:keepLines/>
              <w:rPr>
                <w:lang w:val="en-GB"/>
              </w:rPr>
            </w:pPr>
            <w:r w:rsidRPr="00DA047D">
              <w:rPr>
                <w:lang w:val="en-GB"/>
              </w:rPr>
              <w:t>Specifications</w:t>
            </w:r>
          </w:p>
        </w:tc>
      </w:tr>
      <w:tr w:rsidR="00DA047D" w:rsidRPr="00825E63" w:rsidTr="00A50841">
        <w:trPr>
          <w:trHeight w:val="729"/>
          <w:jc w:val="center"/>
        </w:trPr>
        <w:tc>
          <w:tcPr>
            <w:tcW w:w="3265" w:type="dxa"/>
            <w:shd w:val="clear" w:color="auto" w:fill="auto"/>
          </w:tcPr>
          <w:p w:rsidR="00DA047D" w:rsidRPr="00DA047D" w:rsidRDefault="00DA047D" w:rsidP="000755EE">
            <w:pPr>
              <w:pStyle w:val="Tabletext"/>
              <w:keepNext/>
              <w:keepLines/>
              <w:rPr>
                <w:lang w:val="en-GB"/>
              </w:rPr>
            </w:pPr>
            <w:r w:rsidRPr="00DA047D">
              <w:rPr>
                <w:lang w:val="en-GB"/>
              </w:rPr>
              <w:t>Polarization</w:t>
            </w:r>
          </w:p>
        </w:tc>
        <w:tc>
          <w:tcPr>
            <w:tcW w:w="6374" w:type="dxa"/>
            <w:shd w:val="clear" w:color="auto" w:fill="auto"/>
          </w:tcPr>
          <w:p w:rsidR="00DA047D" w:rsidRPr="00DA047D" w:rsidRDefault="00DA047D" w:rsidP="000755EE">
            <w:pPr>
              <w:pStyle w:val="Tabletext"/>
              <w:keepNext/>
              <w:keepLines/>
              <w:rPr>
                <w:lang w:val="en-GB"/>
              </w:rPr>
            </w:pPr>
            <w:r w:rsidRPr="00DA047D">
              <w:rPr>
                <w:lang w:val="en-GB"/>
              </w:rPr>
              <w:t>In the 3 GHz band, suitable for responding to radars using horizontal polarization.</w:t>
            </w:r>
          </w:p>
          <w:p w:rsidR="00DA047D" w:rsidRPr="00DA047D" w:rsidRDefault="00DA047D" w:rsidP="000755EE">
            <w:pPr>
              <w:pStyle w:val="Tabletext"/>
              <w:keepNext/>
              <w:keepLines/>
              <w:rPr>
                <w:lang w:val="en-GB"/>
              </w:rPr>
            </w:pPr>
            <w:r w:rsidRPr="00DA047D">
              <w:rPr>
                <w:lang w:val="en-GB"/>
              </w:rPr>
              <w:t>In the 9 GHz band, suitable for responding to radars using horizontal polarization.</w:t>
            </w:r>
          </w:p>
        </w:tc>
      </w:tr>
      <w:tr w:rsidR="00DA047D" w:rsidRPr="00DA047D" w:rsidTr="00A50841">
        <w:trPr>
          <w:trHeight w:val="729"/>
          <w:jc w:val="center"/>
        </w:trPr>
        <w:tc>
          <w:tcPr>
            <w:tcW w:w="3265" w:type="dxa"/>
            <w:shd w:val="clear" w:color="auto" w:fill="auto"/>
          </w:tcPr>
          <w:p w:rsidR="00DA047D" w:rsidRPr="00DA047D" w:rsidRDefault="00DA047D" w:rsidP="00BE7FA0">
            <w:pPr>
              <w:pStyle w:val="Tabletext"/>
              <w:rPr>
                <w:lang w:val="en-GB"/>
              </w:rPr>
            </w:pPr>
            <w:r w:rsidRPr="00DA047D">
              <w:rPr>
                <w:lang w:val="en-GB"/>
              </w:rPr>
              <w:t>Frequency bands</w:t>
            </w:r>
          </w:p>
        </w:tc>
        <w:tc>
          <w:tcPr>
            <w:tcW w:w="6374" w:type="dxa"/>
            <w:shd w:val="clear" w:color="auto" w:fill="auto"/>
          </w:tcPr>
          <w:p w:rsidR="00DA047D" w:rsidRPr="00DA047D" w:rsidRDefault="00DA047D" w:rsidP="00BE7FA0">
            <w:pPr>
              <w:pStyle w:val="Tabletext"/>
              <w:rPr>
                <w:lang w:val="en-GB"/>
              </w:rPr>
            </w:pPr>
            <w:r w:rsidRPr="00DA047D">
              <w:rPr>
                <w:lang w:val="en-GB"/>
              </w:rPr>
              <w:t>2 900 to 3 100 MHz</w:t>
            </w:r>
          </w:p>
          <w:p w:rsidR="00DA047D" w:rsidRPr="00DA047D" w:rsidRDefault="00DA047D" w:rsidP="00BE7FA0">
            <w:pPr>
              <w:pStyle w:val="Tabletext"/>
              <w:rPr>
                <w:lang w:val="en-GB"/>
              </w:rPr>
            </w:pPr>
            <w:r w:rsidRPr="00DA047D">
              <w:rPr>
                <w:lang w:val="en-GB"/>
              </w:rPr>
              <w:t>9 200 to 9 500 MHz</w:t>
            </w:r>
          </w:p>
        </w:tc>
      </w:tr>
      <w:tr w:rsidR="00DA047D" w:rsidRPr="00825E63" w:rsidTr="00A50841">
        <w:trPr>
          <w:trHeight w:val="729"/>
          <w:jc w:val="center"/>
        </w:trPr>
        <w:tc>
          <w:tcPr>
            <w:tcW w:w="3265" w:type="dxa"/>
            <w:shd w:val="clear" w:color="auto" w:fill="auto"/>
          </w:tcPr>
          <w:p w:rsidR="00DA047D" w:rsidRPr="00DA047D" w:rsidRDefault="00DA047D" w:rsidP="00BE7FA0">
            <w:pPr>
              <w:pStyle w:val="Tabletext"/>
              <w:rPr>
                <w:lang w:val="en-GB"/>
              </w:rPr>
            </w:pPr>
            <w:r w:rsidRPr="00DA047D">
              <w:rPr>
                <w:lang w:val="en-GB"/>
              </w:rPr>
              <w:t>Gain</w:t>
            </w:r>
          </w:p>
        </w:tc>
        <w:tc>
          <w:tcPr>
            <w:tcW w:w="6374" w:type="dxa"/>
            <w:shd w:val="clear" w:color="auto" w:fill="auto"/>
          </w:tcPr>
          <w:p w:rsidR="00DA047D" w:rsidRPr="00DA047D" w:rsidRDefault="00DA047D" w:rsidP="00BE7FA0">
            <w:pPr>
              <w:pStyle w:val="Tabletext"/>
              <w:rPr>
                <w:lang w:val="en-GB"/>
              </w:rPr>
            </w:pPr>
            <w:r w:rsidRPr="00DA047D">
              <w:rPr>
                <w:lang w:val="en-GB"/>
              </w:rPr>
              <w:t>To represent</w:t>
            </w:r>
            <w:r w:rsidR="00BE7FA0">
              <w:rPr>
                <w:lang w:val="en-GB"/>
              </w:rPr>
              <w:t xml:space="preserve"> a radar cross-</w:t>
            </w:r>
            <w:r w:rsidRPr="00DA047D">
              <w:rPr>
                <w:lang w:val="en-GB"/>
              </w:rPr>
              <w:t>section of an RTE in unsaturated condition not less than:</w:t>
            </w:r>
          </w:p>
          <w:p w:rsidR="00DA047D" w:rsidRPr="00DA047D" w:rsidRDefault="00DA047D" w:rsidP="00BE7FA0">
            <w:pPr>
              <w:pStyle w:val="Tabletext"/>
              <w:rPr>
                <w:lang w:val="en-GB"/>
              </w:rPr>
            </w:pPr>
            <w:r w:rsidRPr="00DA047D">
              <w:rPr>
                <w:lang w:val="en-GB"/>
              </w:rPr>
              <w:tab/>
              <w:t>0.5</w:t>
            </w:r>
            <w:r w:rsidR="00F67180">
              <w:rPr>
                <w:lang w:val="en-GB"/>
              </w:rPr>
              <w:t xml:space="preserve"> </w:t>
            </w:r>
            <w:r w:rsidRPr="00DA047D">
              <w:rPr>
                <w:lang w:val="en-GB"/>
              </w:rPr>
              <w:t>m</w:t>
            </w:r>
            <w:r w:rsidRPr="00DA047D">
              <w:rPr>
                <w:vertAlign w:val="superscript"/>
                <w:lang w:val="en-GB"/>
              </w:rPr>
              <w:t>2</w:t>
            </w:r>
            <w:r w:rsidRPr="00DA047D">
              <w:rPr>
                <w:lang w:val="en-GB"/>
              </w:rPr>
              <w:t xml:space="preserve"> in the 3 GHz band</w:t>
            </w:r>
          </w:p>
          <w:p w:rsidR="00DA047D" w:rsidRPr="00DA047D" w:rsidRDefault="00DA047D" w:rsidP="00BE7FA0">
            <w:pPr>
              <w:pStyle w:val="Tabletext"/>
              <w:rPr>
                <w:lang w:val="en-GB"/>
              </w:rPr>
            </w:pPr>
            <w:r w:rsidRPr="00DA047D">
              <w:rPr>
                <w:lang w:val="en-GB"/>
              </w:rPr>
              <w:tab/>
              <w:t>7.5</w:t>
            </w:r>
            <w:r w:rsidR="00F67180">
              <w:rPr>
                <w:lang w:val="en-GB"/>
              </w:rPr>
              <w:t xml:space="preserve"> </w:t>
            </w:r>
            <w:r w:rsidRPr="00DA047D">
              <w:rPr>
                <w:lang w:val="en-GB"/>
              </w:rPr>
              <w:t>m</w:t>
            </w:r>
            <w:r w:rsidRPr="00DA047D">
              <w:rPr>
                <w:vertAlign w:val="superscript"/>
                <w:lang w:val="en-GB"/>
              </w:rPr>
              <w:t>2</w:t>
            </w:r>
            <w:r w:rsidRPr="00DA047D">
              <w:rPr>
                <w:lang w:val="en-GB"/>
              </w:rPr>
              <w:t xml:space="preserve"> in the 9 GHz band</w:t>
            </w:r>
          </w:p>
          <w:p w:rsidR="00DA047D" w:rsidRPr="00DA047D" w:rsidRDefault="00DA047D" w:rsidP="00BE7FA0">
            <w:pPr>
              <w:pStyle w:val="Tabletext"/>
              <w:rPr>
                <w:lang w:val="en-GB"/>
              </w:rPr>
            </w:pPr>
            <w:r w:rsidRPr="00DA047D">
              <w:rPr>
                <w:lang w:val="en-GB"/>
              </w:rPr>
              <w:t xml:space="preserve">where </w:t>
            </w:r>
          </w:p>
          <w:p w:rsidR="00DA047D" w:rsidRPr="00AA19D8" w:rsidRDefault="00AA19D8" w:rsidP="00BE7FA0">
            <w:pPr>
              <w:pStyle w:val="Tabletext"/>
              <w:rPr>
                <w:lang w:val="en-GB"/>
              </w:rPr>
            </w:pPr>
            <w:r w:rsidRPr="00AA19D8">
              <w:rPr>
                <w:i/>
                <w:iCs/>
                <w:lang w:val="en-GB"/>
              </w:rPr>
              <w:t>G</w:t>
            </w:r>
            <w:r>
              <w:rPr>
                <w:lang w:val="en-GB"/>
              </w:rPr>
              <w:t xml:space="preserve"> </w:t>
            </w:r>
            <w:r w:rsidRPr="00DA047D">
              <w:rPr>
                <w:lang w:val="en-GB"/>
              </w:rPr>
              <w:t>=</w:t>
            </w:r>
            <w:r>
              <w:rPr>
                <w:lang w:val="en-GB"/>
              </w:rPr>
              <w:t xml:space="preserve"> 10 log(</w:t>
            </w:r>
            <w:r>
              <w:rPr>
                <w:lang w:val="en-GB"/>
              </w:rPr>
              <w:sym w:font="Symbol" w:char="F073"/>
            </w:r>
            <w:r>
              <w:rPr>
                <w:lang w:val="en-GB"/>
              </w:rPr>
              <w:t xml:space="preserve"> </w:t>
            </w:r>
            <w:r w:rsidRPr="00326CD0">
              <w:rPr>
                <w:i/>
                <w:iCs/>
                <w:vertAlign w:val="subscript"/>
                <w:lang w:val="en-GB"/>
              </w:rPr>
              <w:t>unsat</w:t>
            </w:r>
            <w:r>
              <w:rPr>
                <w:lang w:val="en-GB"/>
              </w:rPr>
              <w:t>) – 20 log(λ) + 10 log(4π)</w:t>
            </w:r>
          </w:p>
          <w:p w:rsidR="00DA047D" w:rsidRPr="00DA047D" w:rsidRDefault="00DA047D" w:rsidP="00BE7FA0">
            <w:pPr>
              <w:pStyle w:val="Tabletext"/>
              <w:rPr>
                <w:lang w:val="en-GB"/>
              </w:rPr>
            </w:pPr>
            <w:r w:rsidRPr="00AA19D8">
              <w:rPr>
                <w:i/>
                <w:iCs/>
                <w:lang w:val="en-GB"/>
              </w:rPr>
              <w:t>G</w:t>
            </w:r>
            <w:r w:rsidRPr="00DA047D">
              <w:rPr>
                <w:lang w:val="en-GB"/>
              </w:rPr>
              <w:t xml:space="preserve"> = </w:t>
            </w:r>
            <w:r w:rsidRPr="00AA19D8">
              <w:rPr>
                <w:i/>
                <w:iCs/>
                <w:lang w:val="en-GB"/>
              </w:rPr>
              <w:t>G</w:t>
            </w:r>
            <w:r w:rsidRPr="00AA19D8">
              <w:rPr>
                <w:i/>
                <w:iCs/>
                <w:vertAlign w:val="subscript"/>
                <w:lang w:val="en-GB"/>
              </w:rPr>
              <w:t>a</w:t>
            </w:r>
            <w:r w:rsidRPr="00DA047D">
              <w:rPr>
                <w:vertAlign w:val="subscript"/>
                <w:lang w:val="en-GB"/>
              </w:rPr>
              <w:t xml:space="preserve"> </w:t>
            </w:r>
            <w:r w:rsidRPr="00DA047D">
              <w:rPr>
                <w:lang w:val="en-GB"/>
              </w:rPr>
              <w:t xml:space="preserve">+ </w:t>
            </w:r>
            <w:r w:rsidRPr="00AA19D8">
              <w:rPr>
                <w:i/>
                <w:iCs/>
                <w:lang w:val="en-GB"/>
              </w:rPr>
              <w:t>G</w:t>
            </w:r>
            <w:r w:rsidRPr="00AA19D8">
              <w:rPr>
                <w:i/>
                <w:iCs/>
                <w:vertAlign w:val="subscript"/>
                <w:lang w:val="en-GB"/>
              </w:rPr>
              <w:t>r</w:t>
            </w:r>
            <w:r w:rsidRPr="00DA047D">
              <w:rPr>
                <w:vertAlign w:val="subscript"/>
                <w:lang w:val="en-GB"/>
              </w:rPr>
              <w:t xml:space="preserve"> </w:t>
            </w:r>
            <w:r w:rsidRPr="00DA047D">
              <w:rPr>
                <w:lang w:val="en-GB"/>
              </w:rPr>
              <w:t xml:space="preserve">+ </w:t>
            </w:r>
            <w:r w:rsidRPr="00AA19D8">
              <w:rPr>
                <w:i/>
                <w:iCs/>
                <w:lang w:val="en-GB"/>
              </w:rPr>
              <w:t>G</w:t>
            </w:r>
            <w:r w:rsidRPr="00AA19D8">
              <w:rPr>
                <w:i/>
                <w:iCs/>
                <w:vertAlign w:val="subscript"/>
                <w:lang w:val="en-GB"/>
              </w:rPr>
              <w:t>t</w:t>
            </w:r>
          </w:p>
          <w:p w:rsidR="00DA047D" w:rsidRPr="00DA047D" w:rsidRDefault="00DA047D" w:rsidP="00BE7FA0">
            <w:pPr>
              <w:pStyle w:val="Tabletext"/>
              <w:rPr>
                <w:lang w:val="en-GB"/>
              </w:rPr>
            </w:pPr>
            <w:r w:rsidRPr="00AA19D8">
              <w:rPr>
                <w:i/>
                <w:iCs/>
                <w:lang w:val="en-GB"/>
              </w:rPr>
              <w:t>G</w:t>
            </w:r>
            <w:r w:rsidRPr="00AA19D8">
              <w:rPr>
                <w:i/>
                <w:iCs/>
                <w:vertAlign w:val="subscript"/>
                <w:lang w:val="en-GB"/>
              </w:rPr>
              <w:t>a</w:t>
            </w:r>
            <w:r w:rsidRPr="00DA047D">
              <w:rPr>
                <w:lang w:val="en-GB"/>
              </w:rPr>
              <w:t xml:space="preserve"> is the gain (dB) of the amplifier</w:t>
            </w:r>
          </w:p>
          <w:p w:rsidR="00DA047D" w:rsidRPr="00DA047D" w:rsidRDefault="00DA047D" w:rsidP="00BE7FA0">
            <w:pPr>
              <w:pStyle w:val="Tabletext"/>
              <w:rPr>
                <w:lang w:val="en-GB"/>
              </w:rPr>
            </w:pPr>
            <w:r w:rsidRPr="00AA19D8">
              <w:rPr>
                <w:i/>
                <w:iCs/>
                <w:lang w:val="en-GB"/>
              </w:rPr>
              <w:t>G</w:t>
            </w:r>
            <w:r w:rsidRPr="00AA19D8">
              <w:rPr>
                <w:i/>
                <w:iCs/>
                <w:vertAlign w:val="subscript"/>
                <w:lang w:val="en-GB"/>
              </w:rPr>
              <w:t>t</w:t>
            </w:r>
            <w:r w:rsidRPr="00DA047D">
              <w:rPr>
                <w:lang w:val="en-GB"/>
              </w:rPr>
              <w:t xml:space="preserve"> is the gain (dBi) of the transmitting antenna</w:t>
            </w:r>
          </w:p>
          <w:p w:rsidR="00DA047D" w:rsidRPr="00DA047D" w:rsidRDefault="00DA047D" w:rsidP="00BE7FA0">
            <w:pPr>
              <w:pStyle w:val="Tabletext"/>
              <w:rPr>
                <w:lang w:val="en-GB"/>
              </w:rPr>
            </w:pPr>
            <w:r w:rsidRPr="00AA19D8">
              <w:rPr>
                <w:i/>
                <w:iCs/>
                <w:lang w:val="en-GB"/>
              </w:rPr>
              <w:t>G</w:t>
            </w:r>
            <w:r w:rsidRPr="00AA19D8">
              <w:rPr>
                <w:i/>
                <w:iCs/>
                <w:vertAlign w:val="subscript"/>
                <w:lang w:val="en-GB"/>
              </w:rPr>
              <w:t>r</w:t>
            </w:r>
            <w:r w:rsidRPr="00DA047D">
              <w:rPr>
                <w:lang w:val="en-GB"/>
              </w:rPr>
              <w:t xml:space="preserve"> is the gain (dBi) of the receiving antenna</w:t>
            </w:r>
          </w:p>
          <w:p w:rsidR="00DA047D" w:rsidRPr="00DA047D" w:rsidRDefault="004F06DB" w:rsidP="00BE7FA0">
            <w:pPr>
              <w:pStyle w:val="Tabletext"/>
              <w:rPr>
                <w:lang w:val="en-GB"/>
              </w:rPr>
            </w:pPr>
            <w:r>
              <w:rPr>
                <w:lang w:val="en-GB"/>
              </w:rPr>
              <w:sym w:font="Symbol" w:char="F073"/>
            </w:r>
            <w:r>
              <w:rPr>
                <w:lang w:val="en-GB"/>
              </w:rPr>
              <w:t xml:space="preserve"> </w:t>
            </w:r>
            <w:r w:rsidRPr="00326CD0">
              <w:rPr>
                <w:i/>
                <w:iCs/>
                <w:vertAlign w:val="subscript"/>
                <w:lang w:val="en-GB"/>
              </w:rPr>
              <w:t>unsat</w:t>
            </w:r>
            <w:r>
              <w:rPr>
                <w:lang w:val="en-GB"/>
              </w:rPr>
              <w:t xml:space="preserve"> </w:t>
            </w:r>
            <w:r w:rsidR="00BE7FA0">
              <w:rPr>
                <w:lang w:val="en-GB"/>
              </w:rPr>
              <w:t>is the radar cross-</w:t>
            </w:r>
            <w:r w:rsidR="00DA047D" w:rsidRPr="00DA047D">
              <w:rPr>
                <w:lang w:val="en-GB"/>
              </w:rPr>
              <w:t>section (m</w:t>
            </w:r>
            <w:r w:rsidR="00DA047D" w:rsidRPr="00DA047D">
              <w:rPr>
                <w:vertAlign w:val="superscript"/>
                <w:lang w:val="en-GB"/>
              </w:rPr>
              <w:t>2</w:t>
            </w:r>
            <w:r w:rsidR="00DA047D" w:rsidRPr="00DA047D">
              <w:rPr>
                <w:lang w:val="en-GB"/>
              </w:rPr>
              <w:t>), and λ is the wavelength (m).</w:t>
            </w:r>
          </w:p>
        </w:tc>
      </w:tr>
      <w:tr w:rsidR="00DA047D" w:rsidRPr="00825E63" w:rsidTr="00A50841">
        <w:trPr>
          <w:trHeight w:val="750"/>
          <w:jc w:val="center"/>
        </w:trPr>
        <w:tc>
          <w:tcPr>
            <w:tcW w:w="3265" w:type="dxa"/>
            <w:shd w:val="clear" w:color="auto" w:fill="auto"/>
          </w:tcPr>
          <w:p w:rsidR="00DA047D" w:rsidRPr="00DA047D" w:rsidRDefault="00DA047D" w:rsidP="00BE7FA0">
            <w:pPr>
              <w:pStyle w:val="Tabletext"/>
              <w:rPr>
                <w:lang w:val="en-GB"/>
              </w:rPr>
            </w:pPr>
            <w:r w:rsidRPr="00DA047D">
              <w:rPr>
                <w:lang w:val="en-GB"/>
              </w:rPr>
              <w:t>Beamwidth</w:t>
            </w:r>
          </w:p>
        </w:tc>
        <w:tc>
          <w:tcPr>
            <w:tcW w:w="6374" w:type="dxa"/>
            <w:shd w:val="clear" w:color="auto" w:fill="auto"/>
          </w:tcPr>
          <w:p w:rsidR="00DA047D" w:rsidRPr="00DA047D" w:rsidRDefault="00DA047D" w:rsidP="00BE7FA0">
            <w:pPr>
              <w:pStyle w:val="Tabletext"/>
              <w:rPr>
                <w:lang w:val="en-GB"/>
              </w:rPr>
            </w:pPr>
            <w:r w:rsidRPr="00DA047D">
              <w:rPr>
                <w:lang w:val="en-GB"/>
              </w:rPr>
              <w:t>Horizont</w:t>
            </w:r>
            <w:r w:rsidR="00BE7FA0">
              <w:rPr>
                <w:lang w:val="en-GB"/>
              </w:rPr>
              <w:t>al: To maintain the radar cross-</w:t>
            </w:r>
            <w:r w:rsidRPr="00DA047D">
              <w:rPr>
                <w:lang w:val="en-GB"/>
              </w:rPr>
              <w:t>section over at least 280°, with nulls below this level being no greater than 10°, at least 20° apart.</w:t>
            </w:r>
          </w:p>
          <w:p w:rsidR="00DA047D" w:rsidRPr="00DA047D" w:rsidRDefault="00DA047D" w:rsidP="00DA1CD1">
            <w:pPr>
              <w:pStyle w:val="Tabletext"/>
              <w:rPr>
                <w:lang w:val="en-GB"/>
              </w:rPr>
            </w:pPr>
            <w:r w:rsidRPr="00DA047D">
              <w:rPr>
                <w:lang w:val="en-GB"/>
              </w:rPr>
              <w:t>Vertical: To maintain the radar cross</w:t>
            </w:r>
            <w:r w:rsidR="00DA1CD1">
              <w:rPr>
                <w:lang w:val="en-GB"/>
              </w:rPr>
              <w:t>-</w:t>
            </w:r>
            <w:r w:rsidRPr="00DA047D">
              <w:rPr>
                <w:lang w:val="en-GB"/>
              </w:rPr>
              <w:t>section over ±10°(±20° for single hull sailing vessels).</w:t>
            </w:r>
          </w:p>
        </w:tc>
      </w:tr>
      <w:tr w:rsidR="00DA047D" w:rsidRPr="00825E63" w:rsidTr="00A50841">
        <w:trPr>
          <w:trHeight w:val="750"/>
          <w:jc w:val="center"/>
        </w:trPr>
        <w:tc>
          <w:tcPr>
            <w:tcW w:w="3265" w:type="dxa"/>
            <w:shd w:val="clear" w:color="auto" w:fill="auto"/>
          </w:tcPr>
          <w:p w:rsidR="00DA047D" w:rsidRPr="00DA047D" w:rsidRDefault="00DA047D" w:rsidP="00BE7FA0">
            <w:pPr>
              <w:pStyle w:val="Tabletext"/>
              <w:rPr>
                <w:lang w:val="en-GB"/>
              </w:rPr>
            </w:pPr>
            <w:r w:rsidRPr="00DA047D">
              <w:rPr>
                <w:lang w:val="en-GB"/>
              </w:rPr>
              <w:t>Output form</w:t>
            </w:r>
          </w:p>
        </w:tc>
        <w:tc>
          <w:tcPr>
            <w:tcW w:w="6374" w:type="dxa"/>
            <w:shd w:val="clear" w:color="auto" w:fill="auto"/>
          </w:tcPr>
          <w:p w:rsidR="00DA047D" w:rsidRPr="00DA047D" w:rsidRDefault="00DA047D" w:rsidP="00BE7FA0">
            <w:pPr>
              <w:pStyle w:val="Tabletext"/>
              <w:rPr>
                <w:lang w:val="en-GB"/>
              </w:rPr>
            </w:pPr>
            <w:r w:rsidRPr="00DA047D">
              <w:rPr>
                <w:lang w:val="en-GB"/>
              </w:rPr>
              <w:t>The output shall be only an amplified version of the received pulse, without any form of processing except limiting.</w:t>
            </w:r>
          </w:p>
          <w:p w:rsidR="00DA047D" w:rsidRPr="00DA047D" w:rsidRDefault="00DA047D" w:rsidP="00BE7FA0">
            <w:pPr>
              <w:pStyle w:val="Tabletext"/>
              <w:rPr>
                <w:lang w:val="en-GB"/>
              </w:rPr>
            </w:pPr>
            <w:r w:rsidRPr="00DA047D">
              <w:rPr>
                <w:lang w:val="en-GB"/>
              </w:rPr>
              <w:t>The delay and stretching of the output shall not exceed 10% of the length of the received pulse, or 10 ns whichever is greater.</w:t>
            </w:r>
          </w:p>
        </w:tc>
      </w:tr>
      <w:tr w:rsidR="00DA047D" w:rsidRPr="00DA047D" w:rsidTr="00A50841">
        <w:trPr>
          <w:trHeight w:val="484"/>
          <w:jc w:val="center"/>
        </w:trPr>
        <w:tc>
          <w:tcPr>
            <w:tcW w:w="3265" w:type="dxa"/>
            <w:shd w:val="clear" w:color="auto" w:fill="auto"/>
          </w:tcPr>
          <w:p w:rsidR="00DA047D" w:rsidRPr="00DA047D" w:rsidRDefault="00DA047D" w:rsidP="00BE7FA0">
            <w:pPr>
              <w:pStyle w:val="Tabletext"/>
              <w:rPr>
                <w:lang w:val="en-GB"/>
              </w:rPr>
            </w:pPr>
            <w:r w:rsidRPr="00DA047D">
              <w:rPr>
                <w:lang w:val="en-GB"/>
              </w:rPr>
              <w:t>e.i.r.p. at limiting level</w:t>
            </w:r>
          </w:p>
        </w:tc>
        <w:tc>
          <w:tcPr>
            <w:tcW w:w="6374" w:type="dxa"/>
            <w:shd w:val="clear" w:color="auto" w:fill="auto"/>
          </w:tcPr>
          <w:p w:rsidR="00DA047D" w:rsidRPr="00DA047D" w:rsidRDefault="00DA047D" w:rsidP="00BE7FA0">
            <w:pPr>
              <w:pStyle w:val="Tabletext"/>
              <w:rPr>
                <w:lang w:val="en-GB"/>
              </w:rPr>
            </w:pPr>
            <w:r w:rsidRPr="00DA047D">
              <w:rPr>
                <w:lang w:val="en-GB"/>
              </w:rPr>
              <w:t>Not greater than 10 W.</w:t>
            </w:r>
          </w:p>
        </w:tc>
      </w:tr>
    </w:tbl>
    <w:p w:rsidR="00A50841" w:rsidRDefault="00A50841"/>
    <w:p w:rsidR="00A50841" w:rsidRDefault="00A50841"/>
    <w:p w:rsidR="00A50841" w:rsidRDefault="00A50841"/>
    <w:p w:rsidR="00217F10" w:rsidRDefault="00217F10" w:rsidP="00BE7FA0">
      <w:pPr>
        <w:pStyle w:val="Line"/>
      </w:pPr>
    </w:p>
    <w:sectPr w:rsidR="00217F10" w:rsidSect="00A72616">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EC9" w:rsidRDefault="008D6EC9">
      <w:r>
        <w:separator/>
      </w:r>
    </w:p>
  </w:endnote>
  <w:endnote w:type="continuationSeparator" w:id="0">
    <w:p w:rsidR="008D6EC9" w:rsidRDefault="008D6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EC9" w:rsidRDefault="008D6EC9">
      <w:r>
        <w:separator/>
      </w:r>
    </w:p>
  </w:footnote>
  <w:footnote w:type="continuationSeparator" w:id="0">
    <w:p w:rsidR="008D6EC9" w:rsidRDefault="008D6EC9">
      <w:r>
        <w:continuationSeparator/>
      </w:r>
    </w:p>
  </w:footnote>
  <w:footnote w:id="1">
    <w:p w:rsidR="002719C5" w:rsidRPr="002719C5" w:rsidRDefault="002719C5" w:rsidP="002719C5">
      <w:pPr>
        <w:pStyle w:val="FootnoteText"/>
        <w:tabs>
          <w:tab w:val="clear" w:pos="255"/>
          <w:tab w:val="left" w:pos="284"/>
        </w:tabs>
        <w:rPr>
          <w:lang w:val="en-US"/>
        </w:rPr>
      </w:pPr>
      <w:r w:rsidRPr="002719C5">
        <w:rPr>
          <w:rStyle w:val="FootnoteReference"/>
          <w:lang w:val="en-US"/>
        </w:rPr>
        <w:t>*</w:t>
      </w:r>
      <w:r w:rsidRPr="002719C5">
        <w:rPr>
          <w:lang w:val="en-US"/>
        </w:rPr>
        <w:tab/>
        <w:t>This Recommendation should be brought to the attention of the International Maritime Organization (IMO), the International Standards Organization (ISO), the International Electrotechnical Commission (IEC) and the International Association of Lighthouse Authorities (IALA).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C9" w:rsidRDefault="008D6EC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C9" w:rsidRDefault="008D6EC9" w:rsidP="00B033C8">
    <w:pPr>
      <w:ind w:right="360" w:firstLine="360"/>
    </w:pPr>
    <w:r>
      <w:rPr>
        <w:noProof/>
        <w:lang w:val="en-US" w:eastAsia="zh-CN"/>
      </w:rPr>
      <w:drawing>
        <wp:anchor distT="0" distB="0" distL="114300" distR="114300" simplePos="0" relativeHeight="251659264" behindDoc="1" locked="0" layoutInCell="1" allowOverlap="1" wp14:anchorId="27697F86" wp14:editId="154DFA9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C9" w:rsidRPr="00FC42AF" w:rsidRDefault="008D6EC9" w:rsidP="007913D0">
    <w:pPr>
      <w:tabs>
        <w:tab w:val="clear" w:pos="794"/>
        <w:tab w:val="clear" w:pos="1191"/>
        <w:tab w:val="clear" w:pos="1588"/>
        <w:tab w:val="clear" w:pos="1985"/>
        <w:tab w:val="center" w:pos="4848"/>
        <w:tab w:val="center" w:pos="9696"/>
      </w:tabs>
      <w:jc w:val="left"/>
    </w:pPr>
    <w:r w:rsidRPr="00FC42AF">
      <w:tab/>
    </w:r>
    <w:r w:rsidR="00B82D21">
      <w:fldChar w:fldCharType="begin"/>
    </w:r>
    <w:r w:rsidR="00B82D21">
      <w:instrText xml:space="preserve"> DOCPROPERTY "Header" \* MERGEFORMAT </w:instrText>
    </w:r>
    <w:r w:rsidR="00B82D21">
      <w:fldChar w:fldCharType="separate"/>
    </w:r>
    <w:r w:rsidR="00B82D21" w:rsidRPr="00B82D21">
      <w:rPr>
        <w:b/>
        <w:bCs/>
      </w:rPr>
      <w:t xml:space="preserve">Rec. </w:t>
    </w:r>
    <w:r w:rsidR="00B82D2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82D21">
      <w:rPr>
        <w:b/>
        <w:bCs/>
        <w:noProof/>
      </w:rPr>
      <w:t>ITU-R  M.1176-1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C9" w:rsidRPr="00FC42AF" w:rsidRDefault="008D6EC9"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82D21">
      <w:rPr>
        <w:rStyle w:val="PageNumber"/>
        <w:b/>
        <w:bCs/>
        <w:noProof/>
      </w:rPr>
      <w:t>ii</w:t>
    </w:r>
    <w:r>
      <w:rPr>
        <w:rStyle w:val="PageNumber"/>
        <w:b/>
        <w:bCs/>
      </w:rPr>
      <w:fldChar w:fldCharType="end"/>
    </w:r>
    <w:r w:rsidRPr="00FC42AF">
      <w:tab/>
    </w:r>
    <w:r w:rsidR="00B82D21">
      <w:fldChar w:fldCharType="begin"/>
    </w:r>
    <w:r w:rsidR="00B82D21">
      <w:instrText xml:space="preserve"> DOCPROPERTY "Header" \* MERGEFORMAT </w:instrText>
    </w:r>
    <w:r w:rsidR="00B82D21">
      <w:fldChar w:fldCharType="separate"/>
    </w:r>
    <w:r w:rsidR="00B82D21" w:rsidRPr="00B82D21">
      <w:rPr>
        <w:b/>
        <w:bCs/>
      </w:rPr>
      <w:t xml:space="preserve">Rec. </w:t>
    </w:r>
    <w:r w:rsidR="00B82D2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82D21">
      <w:rPr>
        <w:b/>
        <w:bCs/>
        <w:noProof/>
      </w:rPr>
      <w:t>ITU-R  M.1176-1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C9" w:rsidRDefault="008D6EC9">
    <w:r>
      <w:tab/>
    </w:r>
    <w:r w:rsidR="00B82D21">
      <w:fldChar w:fldCharType="begin"/>
    </w:r>
    <w:r w:rsidR="00B82D21">
      <w:instrText xml:space="preserve"> DOCPROPERTY "Header" \* MERGEFORMAT </w:instrText>
    </w:r>
    <w:r w:rsidR="00B82D21">
      <w:fldChar w:fldCharType="separate"/>
    </w:r>
    <w:r w:rsidR="00B82D21" w:rsidRPr="00B82D21">
      <w:rPr>
        <w:b/>
        <w:bCs/>
      </w:rPr>
      <w:t xml:space="preserve">Rec. </w:t>
    </w:r>
    <w:r w:rsidR="00B82D21">
      <w:rPr>
        <w:b/>
        <w:bCs/>
      </w:rPr>
      <w:fldChar w:fldCharType="end"/>
    </w:r>
    <w:r>
      <w:rPr>
        <w:b/>
        <w:bCs/>
      </w:rPr>
      <w:t xml:space="preserve"> </w:t>
    </w:r>
    <w:r>
      <w:rPr>
        <w:b/>
        <w:bCs/>
      </w:rPr>
      <w:fldChar w:fldCharType="begin"/>
    </w:r>
    <w:r>
      <w:rPr>
        <w:b/>
        <w:bCs/>
      </w:rPr>
      <w:instrText>styleref href</w:instrText>
    </w:r>
    <w:r>
      <w:rPr>
        <w:b/>
        <w:bCs/>
      </w:rPr>
      <w:fldChar w:fldCharType="separate"/>
    </w:r>
    <w:r w:rsidR="00B82D21">
      <w:rPr>
        <w:b/>
        <w:bCs/>
        <w:noProof/>
      </w:rPr>
      <w:t>ITU-R  M.1176-1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82D2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82D21" w:rsidRPr="00B82D2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82D21">
      <w:rPr>
        <w:b/>
        <w:bCs/>
        <w:noProof/>
      </w:rPr>
      <w:t>ITU-R  M.1176-1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A72616">
    <w:pPr>
      <w:pStyle w:val="Header"/>
    </w:pPr>
    <w:r>
      <w:tab/>
    </w:r>
    <w:fldSimple w:instr=" DOCPROPERTY &quot;Header&quot; \* MERGEFORMAT ">
      <w:r w:rsidR="00B82D21" w:rsidRPr="00B82D2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82D21">
      <w:rPr>
        <w:b/>
        <w:bCs/>
        <w:noProof/>
      </w:rPr>
      <w:t>ITU-R  M.1176-1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82D21">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EC9"/>
    <w:rsid w:val="00027CD7"/>
    <w:rsid w:val="000755EE"/>
    <w:rsid w:val="001F2B7B"/>
    <w:rsid w:val="00217EBF"/>
    <w:rsid w:val="00217F10"/>
    <w:rsid w:val="00240565"/>
    <w:rsid w:val="00242AEE"/>
    <w:rsid w:val="002719C5"/>
    <w:rsid w:val="002A4E05"/>
    <w:rsid w:val="002D76C4"/>
    <w:rsid w:val="00326CD0"/>
    <w:rsid w:val="00354510"/>
    <w:rsid w:val="00370DAB"/>
    <w:rsid w:val="00487991"/>
    <w:rsid w:val="004A541F"/>
    <w:rsid w:val="004D34CA"/>
    <w:rsid w:val="004F06DB"/>
    <w:rsid w:val="0052529D"/>
    <w:rsid w:val="00535284"/>
    <w:rsid w:val="00606714"/>
    <w:rsid w:val="00607D68"/>
    <w:rsid w:val="007468DA"/>
    <w:rsid w:val="00825E63"/>
    <w:rsid w:val="008D6EC9"/>
    <w:rsid w:val="009E00A8"/>
    <w:rsid w:val="00A4492F"/>
    <w:rsid w:val="00A50841"/>
    <w:rsid w:val="00A6617B"/>
    <w:rsid w:val="00A72616"/>
    <w:rsid w:val="00AA19D8"/>
    <w:rsid w:val="00AB0DC8"/>
    <w:rsid w:val="00AB4490"/>
    <w:rsid w:val="00B44E24"/>
    <w:rsid w:val="00B82D21"/>
    <w:rsid w:val="00BE7FA0"/>
    <w:rsid w:val="00DA047D"/>
    <w:rsid w:val="00DA1CD1"/>
    <w:rsid w:val="00DD0228"/>
    <w:rsid w:val="00DF4176"/>
    <w:rsid w:val="00F67180"/>
    <w:rsid w:val="00F70F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6E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D6EC9"/>
    <w:pPr>
      <w:keepNext/>
      <w:keepLines/>
      <w:spacing w:before="480"/>
      <w:ind w:left="794" w:hanging="794"/>
      <w:outlineLvl w:val="0"/>
    </w:pPr>
    <w:rPr>
      <w:b/>
    </w:rPr>
  </w:style>
  <w:style w:type="paragraph" w:styleId="Heading2">
    <w:name w:val="heading 2"/>
    <w:basedOn w:val="Heading1"/>
    <w:next w:val="Normal"/>
    <w:qFormat/>
    <w:rsid w:val="008D6EC9"/>
    <w:pPr>
      <w:spacing w:before="320"/>
      <w:outlineLvl w:val="1"/>
    </w:pPr>
  </w:style>
  <w:style w:type="paragraph" w:styleId="Heading3">
    <w:name w:val="heading 3"/>
    <w:basedOn w:val="Heading1"/>
    <w:next w:val="Normal"/>
    <w:qFormat/>
    <w:rsid w:val="008D6EC9"/>
    <w:pPr>
      <w:spacing w:before="200"/>
      <w:outlineLvl w:val="2"/>
    </w:pPr>
  </w:style>
  <w:style w:type="paragraph" w:styleId="Heading4">
    <w:name w:val="heading 4"/>
    <w:basedOn w:val="Heading3"/>
    <w:next w:val="Normal"/>
    <w:qFormat/>
    <w:rsid w:val="008D6EC9"/>
    <w:pPr>
      <w:tabs>
        <w:tab w:val="clear" w:pos="794"/>
        <w:tab w:val="left" w:pos="992"/>
      </w:tabs>
      <w:ind w:left="992" w:hanging="992"/>
      <w:outlineLvl w:val="3"/>
    </w:pPr>
  </w:style>
  <w:style w:type="paragraph" w:styleId="Heading5">
    <w:name w:val="heading 5"/>
    <w:basedOn w:val="Heading4"/>
    <w:next w:val="Normal"/>
    <w:qFormat/>
    <w:rsid w:val="008D6EC9"/>
    <w:pPr>
      <w:outlineLvl w:val="4"/>
    </w:pPr>
  </w:style>
  <w:style w:type="paragraph" w:styleId="Heading6">
    <w:name w:val="heading 6"/>
    <w:basedOn w:val="Heading4"/>
    <w:next w:val="Normal"/>
    <w:qFormat/>
    <w:rsid w:val="008D6EC9"/>
    <w:pPr>
      <w:tabs>
        <w:tab w:val="clear" w:pos="992"/>
        <w:tab w:val="clear" w:pos="1191"/>
      </w:tabs>
      <w:ind w:left="1588" w:hanging="1588"/>
      <w:outlineLvl w:val="5"/>
    </w:pPr>
  </w:style>
  <w:style w:type="paragraph" w:styleId="Heading7">
    <w:name w:val="heading 7"/>
    <w:basedOn w:val="Heading6"/>
    <w:next w:val="Normal"/>
    <w:qFormat/>
    <w:rsid w:val="008D6EC9"/>
    <w:pPr>
      <w:outlineLvl w:val="6"/>
    </w:pPr>
  </w:style>
  <w:style w:type="paragraph" w:styleId="Heading8">
    <w:name w:val="heading 8"/>
    <w:basedOn w:val="Heading6"/>
    <w:next w:val="Normal"/>
    <w:qFormat/>
    <w:rsid w:val="008D6EC9"/>
    <w:pPr>
      <w:outlineLvl w:val="7"/>
    </w:pPr>
  </w:style>
  <w:style w:type="paragraph" w:styleId="Heading9">
    <w:name w:val="heading 9"/>
    <w:basedOn w:val="Heading6"/>
    <w:next w:val="Normal"/>
    <w:qFormat/>
    <w:rsid w:val="008D6EC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6EC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D6EC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D6EC9"/>
  </w:style>
  <w:style w:type="paragraph" w:customStyle="1" w:styleId="Headingb">
    <w:name w:val="Heading_b"/>
    <w:basedOn w:val="Heading3"/>
    <w:next w:val="Normal"/>
    <w:rsid w:val="008D6EC9"/>
    <w:pPr>
      <w:spacing w:before="160"/>
      <w:ind w:left="0" w:firstLine="0"/>
      <w:outlineLvl w:val="9"/>
    </w:pPr>
  </w:style>
  <w:style w:type="paragraph" w:customStyle="1" w:styleId="Headingi">
    <w:name w:val="Heading_i"/>
    <w:basedOn w:val="Heading3"/>
    <w:next w:val="Normal"/>
    <w:rsid w:val="008D6EC9"/>
    <w:pPr>
      <w:spacing w:before="160"/>
      <w:ind w:left="0" w:firstLine="0"/>
    </w:pPr>
    <w:rPr>
      <w:b w:val="0"/>
      <w:i/>
    </w:rPr>
  </w:style>
  <w:style w:type="character" w:customStyle="1" w:styleId="href">
    <w:name w:val="href"/>
    <w:basedOn w:val="DefaultParagraphFont"/>
    <w:rsid w:val="008D6EC9"/>
  </w:style>
  <w:style w:type="paragraph" w:customStyle="1" w:styleId="enumlev1">
    <w:name w:val="enumlev1"/>
    <w:basedOn w:val="Normal"/>
    <w:rsid w:val="008D6EC9"/>
    <w:pPr>
      <w:spacing w:before="80"/>
      <w:ind w:left="794" w:hanging="794"/>
    </w:pPr>
  </w:style>
  <w:style w:type="paragraph" w:customStyle="1" w:styleId="enumlev2">
    <w:name w:val="enumlev2"/>
    <w:basedOn w:val="enumlev1"/>
    <w:rsid w:val="008D6EC9"/>
    <w:pPr>
      <w:ind w:left="1191" w:hanging="397"/>
    </w:pPr>
  </w:style>
  <w:style w:type="paragraph" w:customStyle="1" w:styleId="enumlev3">
    <w:name w:val="enumlev3"/>
    <w:basedOn w:val="enumlev2"/>
    <w:rsid w:val="008D6EC9"/>
    <w:pPr>
      <w:ind w:left="1588"/>
    </w:pPr>
  </w:style>
  <w:style w:type="paragraph" w:customStyle="1" w:styleId="Normalaftertitle">
    <w:name w:val="Normal_after_title"/>
    <w:basedOn w:val="Normal"/>
    <w:next w:val="Normal"/>
    <w:rsid w:val="008D6EC9"/>
    <w:pPr>
      <w:spacing w:before="320"/>
    </w:pPr>
  </w:style>
  <w:style w:type="paragraph" w:customStyle="1" w:styleId="Note">
    <w:name w:val="Note"/>
    <w:basedOn w:val="Normal"/>
    <w:rsid w:val="008D6EC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D6EC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D6EC9"/>
    <w:pPr>
      <w:spacing w:before="240"/>
    </w:pPr>
    <w:rPr>
      <w:sz w:val="22"/>
      <w:lang w:val="es-ES_tradnl"/>
    </w:rPr>
  </w:style>
  <w:style w:type="paragraph" w:customStyle="1" w:styleId="Recref">
    <w:name w:val="Rec_ref"/>
    <w:basedOn w:val="Normal"/>
    <w:next w:val="Recdate"/>
    <w:rsid w:val="008D6EC9"/>
    <w:pPr>
      <w:jc w:val="center"/>
    </w:pPr>
  </w:style>
  <w:style w:type="paragraph" w:customStyle="1" w:styleId="Recdate">
    <w:name w:val="Rec_date"/>
    <w:basedOn w:val="Recref"/>
    <w:next w:val="Normalaftertitle"/>
    <w:rsid w:val="008D6EC9"/>
    <w:pPr>
      <w:jc w:val="right"/>
    </w:pPr>
  </w:style>
  <w:style w:type="paragraph" w:customStyle="1" w:styleId="AnnexNoTitle">
    <w:name w:val="Annex_NoTitle"/>
    <w:basedOn w:val="Normal"/>
    <w:next w:val="Normalaftertitle"/>
    <w:rsid w:val="008D6EC9"/>
    <w:pPr>
      <w:keepNext/>
      <w:keepLines/>
      <w:spacing w:before="480" w:after="80"/>
      <w:jc w:val="center"/>
    </w:pPr>
    <w:rPr>
      <w:b/>
      <w:sz w:val="28"/>
    </w:rPr>
  </w:style>
  <w:style w:type="paragraph" w:customStyle="1" w:styleId="AppendixNoTitle">
    <w:name w:val="Appendix_NoTitle"/>
    <w:basedOn w:val="AnnexNoTitle"/>
    <w:next w:val="Normal"/>
    <w:rsid w:val="008D6EC9"/>
  </w:style>
  <w:style w:type="paragraph" w:customStyle="1" w:styleId="Tablefin">
    <w:name w:val="Table_fin"/>
    <w:basedOn w:val="Normal"/>
    <w:next w:val="Normal"/>
    <w:rsid w:val="008D6EC9"/>
    <w:pPr>
      <w:spacing w:before="0"/>
    </w:pPr>
    <w:rPr>
      <w:sz w:val="20"/>
      <w:lang w:val="en-GB"/>
    </w:rPr>
  </w:style>
  <w:style w:type="paragraph" w:customStyle="1" w:styleId="Tablehead">
    <w:name w:val="Table_head"/>
    <w:basedOn w:val="Normal"/>
    <w:next w:val="Normal"/>
    <w:link w:val="TableheadChar"/>
    <w:rsid w:val="008D6EC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D6E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D6EC9"/>
    <w:pPr>
      <w:keepNext/>
      <w:spacing w:before="360" w:after="120"/>
      <w:jc w:val="center"/>
    </w:pPr>
  </w:style>
  <w:style w:type="paragraph" w:customStyle="1" w:styleId="Tabletext">
    <w:name w:val="Table_text"/>
    <w:basedOn w:val="Normal"/>
    <w:link w:val="TabletextChar"/>
    <w:rsid w:val="008D6E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D6EC9"/>
    <w:pPr>
      <w:tabs>
        <w:tab w:val="clear" w:pos="1191"/>
        <w:tab w:val="clear" w:pos="1588"/>
        <w:tab w:val="clear" w:pos="1985"/>
        <w:tab w:val="center" w:pos="4820"/>
        <w:tab w:val="right" w:pos="9639"/>
      </w:tabs>
    </w:pPr>
  </w:style>
  <w:style w:type="paragraph" w:customStyle="1" w:styleId="Equationlegend">
    <w:name w:val="Equation_legend"/>
    <w:basedOn w:val="NormalIndent"/>
    <w:rsid w:val="008D6EC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D6EC9"/>
    <w:pPr>
      <w:ind w:left="794"/>
    </w:pPr>
  </w:style>
  <w:style w:type="paragraph" w:customStyle="1" w:styleId="Figurelegend">
    <w:name w:val="Figure_legend"/>
    <w:basedOn w:val="Normal"/>
    <w:rsid w:val="008D6EC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D6EC9"/>
    <w:pPr>
      <w:keepNext/>
      <w:keepLines/>
      <w:spacing w:before="480" w:after="80"/>
      <w:jc w:val="center"/>
    </w:pPr>
    <w:rPr>
      <w:caps/>
      <w:sz w:val="18"/>
    </w:rPr>
  </w:style>
  <w:style w:type="paragraph" w:customStyle="1" w:styleId="tocpart">
    <w:name w:val="tocpart"/>
    <w:basedOn w:val="Normal"/>
    <w:rsid w:val="008D6EC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D6EC9"/>
    <w:pPr>
      <w:keepNext/>
      <w:keepLines/>
      <w:spacing w:before="480"/>
      <w:jc w:val="center"/>
    </w:pPr>
    <w:rPr>
      <w:sz w:val="28"/>
    </w:rPr>
  </w:style>
  <w:style w:type="paragraph" w:customStyle="1" w:styleId="Arttitle">
    <w:name w:val="Art_title"/>
    <w:basedOn w:val="Normal"/>
    <w:next w:val="Normalaftertitle"/>
    <w:rsid w:val="008D6EC9"/>
    <w:pPr>
      <w:keepNext/>
      <w:keepLines/>
      <w:spacing w:before="240"/>
      <w:jc w:val="center"/>
    </w:pPr>
    <w:rPr>
      <w:b/>
      <w:sz w:val="28"/>
    </w:rPr>
  </w:style>
  <w:style w:type="paragraph" w:customStyle="1" w:styleId="Blanc">
    <w:name w:val="Blanc"/>
    <w:basedOn w:val="Normal"/>
    <w:next w:val="Tabletext"/>
    <w:rsid w:val="008D6EC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D6EC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D6EC9"/>
    <w:pPr>
      <w:keepNext/>
      <w:keepLines/>
      <w:spacing w:before="160"/>
      <w:ind w:left="794"/>
    </w:pPr>
    <w:rPr>
      <w:i/>
    </w:rPr>
  </w:style>
  <w:style w:type="paragraph" w:customStyle="1" w:styleId="ChapNo">
    <w:name w:val="Chap_No"/>
    <w:basedOn w:val="ArtNo"/>
    <w:next w:val="Chaptitle"/>
    <w:rsid w:val="008D6EC9"/>
    <w:rPr>
      <w:b/>
    </w:rPr>
  </w:style>
  <w:style w:type="paragraph" w:customStyle="1" w:styleId="Chaptitle">
    <w:name w:val="Chap_title"/>
    <w:basedOn w:val="Arttitle"/>
    <w:next w:val="Normalaftertitle"/>
    <w:rsid w:val="008D6EC9"/>
  </w:style>
  <w:style w:type="character" w:styleId="FootnoteReference">
    <w:name w:val="footnote reference"/>
    <w:aliases w:val="Appel note de bas de p,Style 12,(NECG) Footnote Reference,Style 124,o,fr,Style 3,Footnote Reference/"/>
    <w:basedOn w:val="DefaultParagraphFont"/>
    <w:rsid w:val="008D6EC9"/>
    <w:rPr>
      <w:position w:val="6"/>
      <w:sz w:val="18"/>
    </w:rPr>
  </w:style>
  <w:style w:type="paragraph" w:styleId="FootnoteText">
    <w:name w:val="footnote text"/>
    <w:basedOn w:val="Normal"/>
    <w:semiHidden/>
    <w:rsid w:val="008D6EC9"/>
    <w:pPr>
      <w:keepLines/>
      <w:tabs>
        <w:tab w:val="left" w:pos="255"/>
      </w:tabs>
      <w:ind w:left="255" w:hanging="255"/>
    </w:pPr>
    <w:rPr>
      <w:sz w:val="22"/>
    </w:rPr>
  </w:style>
  <w:style w:type="paragraph" w:styleId="Index1">
    <w:name w:val="index 1"/>
    <w:basedOn w:val="Normal"/>
    <w:next w:val="Normal"/>
    <w:semiHidden/>
    <w:rsid w:val="008D6EC9"/>
  </w:style>
  <w:style w:type="paragraph" w:styleId="Index2">
    <w:name w:val="index 2"/>
    <w:basedOn w:val="Normal"/>
    <w:next w:val="Normal"/>
    <w:semiHidden/>
    <w:rsid w:val="008D6EC9"/>
    <w:pPr>
      <w:ind w:left="283"/>
    </w:pPr>
  </w:style>
  <w:style w:type="paragraph" w:styleId="Index3">
    <w:name w:val="index 3"/>
    <w:basedOn w:val="Normal"/>
    <w:next w:val="Normal"/>
    <w:semiHidden/>
    <w:rsid w:val="008D6EC9"/>
    <w:pPr>
      <w:ind w:left="566"/>
    </w:pPr>
  </w:style>
  <w:style w:type="paragraph" w:styleId="IndexHeading">
    <w:name w:val="index heading"/>
    <w:basedOn w:val="Normal"/>
    <w:next w:val="Index1"/>
    <w:semiHidden/>
    <w:rsid w:val="008D6EC9"/>
  </w:style>
  <w:style w:type="paragraph" w:customStyle="1" w:styleId="Line">
    <w:name w:val="Line"/>
    <w:basedOn w:val="Normal"/>
    <w:next w:val="Normal"/>
    <w:rsid w:val="008D6EC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D6EC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D6EC9"/>
  </w:style>
  <w:style w:type="paragraph" w:customStyle="1" w:styleId="Partref">
    <w:name w:val="Part_ref"/>
    <w:basedOn w:val="Normal"/>
    <w:next w:val="Normal"/>
    <w:rsid w:val="008D6EC9"/>
    <w:pPr>
      <w:keepNext/>
      <w:keepLines/>
      <w:spacing w:after="280"/>
      <w:jc w:val="center"/>
    </w:pPr>
  </w:style>
  <w:style w:type="paragraph" w:customStyle="1" w:styleId="Parttitle">
    <w:name w:val="Part_title"/>
    <w:basedOn w:val="Normal"/>
    <w:next w:val="Normalaftertitle"/>
    <w:rsid w:val="008D6EC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D6EC9"/>
  </w:style>
  <w:style w:type="paragraph" w:customStyle="1" w:styleId="QuestionNo">
    <w:name w:val="Question_No"/>
    <w:basedOn w:val="RecNo"/>
    <w:next w:val="Normal"/>
    <w:rsid w:val="008D6EC9"/>
  </w:style>
  <w:style w:type="paragraph" w:customStyle="1" w:styleId="Questionref">
    <w:name w:val="Question_ref"/>
    <w:basedOn w:val="Recref"/>
    <w:next w:val="Questiondate"/>
    <w:rsid w:val="008D6EC9"/>
  </w:style>
  <w:style w:type="paragraph" w:customStyle="1" w:styleId="Questiontitle">
    <w:name w:val="Question_title"/>
    <w:basedOn w:val="Normal"/>
    <w:next w:val="Questionref"/>
    <w:rsid w:val="008D6EC9"/>
  </w:style>
  <w:style w:type="paragraph" w:customStyle="1" w:styleId="Reftext">
    <w:name w:val="Ref_text"/>
    <w:basedOn w:val="Normal"/>
    <w:rsid w:val="008D6EC9"/>
    <w:pPr>
      <w:ind w:left="794" w:hanging="794"/>
    </w:pPr>
    <w:rPr>
      <w:sz w:val="22"/>
    </w:rPr>
  </w:style>
  <w:style w:type="paragraph" w:customStyle="1" w:styleId="Reftitle">
    <w:name w:val="Ref_title"/>
    <w:basedOn w:val="Normal"/>
    <w:next w:val="Reftext"/>
    <w:rsid w:val="008D6EC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D6EC9"/>
  </w:style>
  <w:style w:type="paragraph" w:customStyle="1" w:styleId="RepNo">
    <w:name w:val="Rep_No"/>
    <w:basedOn w:val="RecNo"/>
    <w:next w:val="Reptitle"/>
    <w:rsid w:val="008D6EC9"/>
  </w:style>
  <w:style w:type="paragraph" w:customStyle="1" w:styleId="Repref">
    <w:name w:val="Rep_ref"/>
    <w:basedOn w:val="Recref"/>
    <w:next w:val="Repdate"/>
    <w:rsid w:val="008D6EC9"/>
  </w:style>
  <w:style w:type="paragraph" w:customStyle="1" w:styleId="Reptitle">
    <w:name w:val="Rep_title"/>
    <w:basedOn w:val="Rectitle"/>
    <w:next w:val="Repref"/>
    <w:rsid w:val="008D6EC9"/>
  </w:style>
  <w:style w:type="paragraph" w:customStyle="1" w:styleId="Resdate">
    <w:name w:val="Res_date"/>
    <w:basedOn w:val="Recdate"/>
    <w:next w:val="Normalaftertitle"/>
    <w:rsid w:val="008D6EC9"/>
  </w:style>
  <w:style w:type="paragraph" w:customStyle="1" w:styleId="ResNo">
    <w:name w:val="Res_No"/>
    <w:basedOn w:val="RecNo"/>
    <w:next w:val="Restitle"/>
    <w:rsid w:val="008D6EC9"/>
  </w:style>
  <w:style w:type="paragraph" w:customStyle="1" w:styleId="Resref">
    <w:name w:val="Res_ref"/>
    <w:basedOn w:val="Recref"/>
    <w:next w:val="Resdate"/>
    <w:rsid w:val="008D6EC9"/>
  </w:style>
  <w:style w:type="paragraph" w:customStyle="1" w:styleId="Restitle">
    <w:name w:val="Res_title"/>
    <w:basedOn w:val="Normal"/>
    <w:next w:val="Resref"/>
    <w:rsid w:val="008D6EC9"/>
    <w:pPr>
      <w:spacing w:before="240"/>
      <w:jc w:val="center"/>
    </w:pPr>
    <w:rPr>
      <w:b/>
      <w:sz w:val="28"/>
    </w:rPr>
  </w:style>
  <w:style w:type="paragraph" w:customStyle="1" w:styleId="SectionNo">
    <w:name w:val="Section_No"/>
    <w:basedOn w:val="Normal"/>
    <w:next w:val="Normal"/>
    <w:rsid w:val="008D6EC9"/>
  </w:style>
  <w:style w:type="paragraph" w:customStyle="1" w:styleId="Sectiontitle">
    <w:name w:val="Section_title"/>
    <w:basedOn w:val="Normal"/>
    <w:next w:val="Normalaftertitle"/>
    <w:rsid w:val="008D6EC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D6EC9"/>
    <w:pPr>
      <w:tabs>
        <w:tab w:val="clear" w:pos="794"/>
        <w:tab w:val="clear" w:pos="1191"/>
        <w:tab w:val="clear" w:pos="1588"/>
        <w:tab w:val="clear" w:pos="1985"/>
        <w:tab w:val="right" w:pos="9611"/>
      </w:tabs>
    </w:pPr>
    <w:rPr>
      <w:i/>
    </w:rPr>
  </w:style>
  <w:style w:type="paragraph" w:styleId="TOC1">
    <w:name w:val="toc 1"/>
    <w:basedOn w:val="Normal"/>
    <w:semiHidden/>
    <w:rsid w:val="008D6EC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D6EC9"/>
    <w:pPr>
      <w:tabs>
        <w:tab w:val="clear" w:pos="567"/>
        <w:tab w:val="left" w:pos="1276"/>
      </w:tabs>
      <w:spacing w:before="160"/>
      <w:ind w:left="1276" w:hanging="709"/>
    </w:pPr>
  </w:style>
  <w:style w:type="paragraph" w:styleId="TOC3">
    <w:name w:val="toc 3"/>
    <w:basedOn w:val="TOC2"/>
    <w:semiHidden/>
    <w:rsid w:val="008D6EC9"/>
    <w:pPr>
      <w:tabs>
        <w:tab w:val="clear" w:pos="1276"/>
        <w:tab w:val="left" w:pos="2155"/>
      </w:tabs>
      <w:ind w:left="2155" w:hanging="879"/>
    </w:pPr>
  </w:style>
  <w:style w:type="paragraph" w:styleId="TOC4">
    <w:name w:val="toc 4"/>
    <w:basedOn w:val="TOC3"/>
    <w:semiHidden/>
    <w:rsid w:val="008D6EC9"/>
    <w:pPr>
      <w:tabs>
        <w:tab w:val="left" w:pos="3261"/>
      </w:tabs>
      <w:spacing w:before="80"/>
      <w:ind w:left="3261" w:hanging="993"/>
    </w:pPr>
  </w:style>
  <w:style w:type="paragraph" w:styleId="TOC5">
    <w:name w:val="toc 5"/>
    <w:basedOn w:val="TOC4"/>
    <w:semiHidden/>
    <w:rsid w:val="008D6EC9"/>
  </w:style>
  <w:style w:type="paragraph" w:styleId="TOC6">
    <w:name w:val="toc 6"/>
    <w:basedOn w:val="TOC4"/>
    <w:semiHidden/>
    <w:rsid w:val="008D6EC9"/>
  </w:style>
  <w:style w:type="paragraph" w:styleId="TOC7">
    <w:name w:val="toc 7"/>
    <w:basedOn w:val="TOC4"/>
    <w:semiHidden/>
    <w:rsid w:val="008D6EC9"/>
  </w:style>
  <w:style w:type="paragraph" w:styleId="TOC8">
    <w:name w:val="toc 8"/>
    <w:basedOn w:val="TOC4"/>
    <w:semiHidden/>
    <w:rsid w:val="008D6EC9"/>
  </w:style>
  <w:style w:type="paragraph" w:customStyle="1" w:styleId="Rectitle">
    <w:name w:val="Rec_title"/>
    <w:basedOn w:val="Normal"/>
    <w:next w:val="Recref"/>
    <w:rsid w:val="008D6EC9"/>
    <w:pPr>
      <w:keepNext/>
      <w:keepLines/>
      <w:spacing w:before="240"/>
      <w:jc w:val="center"/>
    </w:pPr>
    <w:rPr>
      <w:b/>
      <w:sz w:val="28"/>
    </w:rPr>
  </w:style>
  <w:style w:type="paragraph" w:customStyle="1" w:styleId="Annexref">
    <w:name w:val="Annex_ref"/>
    <w:basedOn w:val="Normal"/>
    <w:next w:val="Normalaftertitle"/>
    <w:rsid w:val="008D6EC9"/>
    <w:pPr>
      <w:keepNext/>
      <w:keepLines/>
      <w:spacing w:after="280"/>
      <w:jc w:val="center"/>
    </w:pPr>
  </w:style>
  <w:style w:type="paragraph" w:customStyle="1" w:styleId="Appendixref">
    <w:name w:val="Appendix_ref"/>
    <w:basedOn w:val="Annexref"/>
    <w:next w:val="Normalaftertitle"/>
    <w:rsid w:val="008D6EC9"/>
  </w:style>
  <w:style w:type="paragraph" w:customStyle="1" w:styleId="Figuretitle">
    <w:name w:val="Figure_title"/>
    <w:basedOn w:val="Normal"/>
    <w:next w:val="Figure"/>
    <w:rsid w:val="008D6EC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D6EC9"/>
    <w:pPr>
      <w:keepNext/>
      <w:spacing w:before="0" w:after="120"/>
      <w:jc w:val="center"/>
    </w:pPr>
    <w:rPr>
      <w:b/>
    </w:rPr>
  </w:style>
  <w:style w:type="paragraph" w:customStyle="1" w:styleId="Summary">
    <w:name w:val="Summary"/>
    <w:basedOn w:val="Normal"/>
    <w:next w:val="Normalaftertitle"/>
    <w:autoRedefine/>
    <w:rsid w:val="004D34CA"/>
    <w:pPr>
      <w:spacing w:after="120"/>
    </w:pPr>
    <w:rPr>
      <w:sz w:val="22"/>
      <w:lang w:val="es-ES_tradnl"/>
    </w:rPr>
  </w:style>
  <w:style w:type="paragraph" w:customStyle="1" w:styleId="TableLegendNote">
    <w:name w:val="Table_Legend_Note"/>
    <w:basedOn w:val="Tablelegend"/>
    <w:next w:val="Tablelegend"/>
    <w:rsid w:val="008D6EC9"/>
    <w:pPr>
      <w:ind w:left="-85" w:firstLine="0"/>
    </w:pPr>
    <w:rPr>
      <w:lang w:val="en-US"/>
    </w:rPr>
  </w:style>
  <w:style w:type="paragraph" w:customStyle="1" w:styleId="Figure">
    <w:name w:val="Figure"/>
    <w:basedOn w:val="FigureNo"/>
    <w:next w:val="Normal"/>
    <w:rsid w:val="008D6EC9"/>
    <w:pPr>
      <w:keepNext w:val="0"/>
      <w:spacing w:before="0" w:after="240"/>
    </w:pPr>
  </w:style>
  <w:style w:type="character" w:customStyle="1" w:styleId="TableheadChar">
    <w:name w:val="Table_head Char"/>
    <w:basedOn w:val="DefaultParagraphFont"/>
    <w:link w:val="Tablehead"/>
    <w:locked/>
    <w:rsid w:val="008D6EC9"/>
    <w:rPr>
      <w:b/>
      <w:sz w:val="22"/>
      <w:lang w:val="fr-FR" w:eastAsia="en-US"/>
    </w:rPr>
  </w:style>
  <w:style w:type="character" w:customStyle="1" w:styleId="TabletextChar">
    <w:name w:val="Table_text Char"/>
    <w:basedOn w:val="DefaultParagraphFont"/>
    <w:link w:val="Tabletext"/>
    <w:locked/>
    <w:rsid w:val="008D6EC9"/>
    <w:rPr>
      <w:sz w:val="22"/>
      <w:lang w:val="fr-FR" w:eastAsia="en-US"/>
    </w:rPr>
  </w:style>
  <w:style w:type="character" w:styleId="Hyperlink">
    <w:name w:val="Hyperlink"/>
    <w:basedOn w:val="DefaultParagraphFont"/>
    <w:rsid w:val="008D6EC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6E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D6EC9"/>
    <w:pPr>
      <w:keepNext/>
      <w:keepLines/>
      <w:spacing w:before="480"/>
      <w:ind w:left="794" w:hanging="794"/>
      <w:outlineLvl w:val="0"/>
    </w:pPr>
    <w:rPr>
      <w:b/>
    </w:rPr>
  </w:style>
  <w:style w:type="paragraph" w:styleId="Heading2">
    <w:name w:val="heading 2"/>
    <w:basedOn w:val="Heading1"/>
    <w:next w:val="Normal"/>
    <w:qFormat/>
    <w:rsid w:val="008D6EC9"/>
    <w:pPr>
      <w:spacing w:before="320"/>
      <w:outlineLvl w:val="1"/>
    </w:pPr>
  </w:style>
  <w:style w:type="paragraph" w:styleId="Heading3">
    <w:name w:val="heading 3"/>
    <w:basedOn w:val="Heading1"/>
    <w:next w:val="Normal"/>
    <w:qFormat/>
    <w:rsid w:val="008D6EC9"/>
    <w:pPr>
      <w:spacing w:before="200"/>
      <w:outlineLvl w:val="2"/>
    </w:pPr>
  </w:style>
  <w:style w:type="paragraph" w:styleId="Heading4">
    <w:name w:val="heading 4"/>
    <w:basedOn w:val="Heading3"/>
    <w:next w:val="Normal"/>
    <w:qFormat/>
    <w:rsid w:val="008D6EC9"/>
    <w:pPr>
      <w:tabs>
        <w:tab w:val="clear" w:pos="794"/>
        <w:tab w:val="left" w:pos="992"/>
      </w:tabs>
      <w:ind w:left="992" w:hanging="992"/>
      <w:outlineLvl w:val="3"/>
    </w:pPr>
  </w:style>
  <w:style w:type="paragraph" w:styleId="Heading5">
    <w:name w:val="heading 5"/>
    <w:basedOn w:val="Heading4"/>
    <w:next w:val="Normal"/>
    <w:qFormat/>
    <w:rsid w:val="008D6EC9"/>
    <w:pPr>
      <w:outlineLvl w:val="4"/>
    </w:pPr>
  </w:style>
  <w:style w:type="paragraph" w:styleId="Heading6">
    <w:name w:val="heading 6"/>
    <w:basedOn w:val="Heading4"/>
    <w:next w:val="Normal"/>
    <w:qFormat/>
    <w:rsid w:val="008D6EC9"/>
    <w:pPr>
      <w:tabs>
        <w:tab w:val="clear" w:pos="992"/>
        <w:tab w:val="clear" w:pos="1191"/>
      </w:tabs>
      <w:ind w:left="1588" w:hanging="1588"/>
      <w:outlineLvl w:val="5"/>
    </w:pPr>
  </w:style>
  <w:style w:type="paragraph" w:styleId="Heading7">
    <w:name w:val="heading 7"/>
    <w:basedOn w:val="Heading6"/>
    <w:next w:val="Normal"/>
    <w:qFormat/>
    <w:rsid w:val="008D6EC9"/>
    <w:pPr>
      <w:outlineLvl w:val="6"/>
    </w:pPr>
  </w:style>
  <w:style w:type="paragraph" w:styleId="Heading8">
    <w:name w:val="heading 8"/>
    <w:basedOn w:val="Heading6"/>
    <w:next w:val="Normal"/>
    <w:qFormat/>
    <w:rsid w:val="008D6EC9"/>
    <w:pPr>
      <w:outlineLvl w:val="7"/>
    </w:pPr>
  </w:style>
  <w:style w:type="paragraph" w:styleId="Heading9">
    <w:name w:val="heading 9"/>
    <w:basedOn w:val="Heading6"/>
    <w:next w:val="Normal"/>
    <w:qFormat/>
    <w:rsid w:val="008D6EC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6EC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D6EC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D6EC9"/>
  </w:style>
  <w:style w:type="paragraph" w:customStyle="1" w:styleId="Headingb">
    <w:name w:val="Heading_b"/>
    <w:basedOn w:val="Heading3"/>
    <w:next w:val="Normal"/>
    <w:rsid w:val="008D6EC9"/>
    <w:pPr>
      <w:spacing w:before="160"/>
      <w:ind w:left="0" w:firstLine="0"/>
      <w:outlineLvl w:val="9"/>
    </w:pPr>
  </w:style>
  <w:style w:type="paragraph" w:customStyle="1" w:styleId="Headingi">
    <w:name w:val="Heading_i"/>
    <w:basedOn w:val="Heading3"/>
    <w:next w:val="Normal"/>
    <w:rsid w:val="008D6EC9"/>
    <w:pPr>
      <w:spacing w:before="160"/>
      <w:ind w:left="0" w:firstLine="0"/>
    </w:pPr>
    <w:rPr>
      <w:b w:val="0"/>
      <w:i/>
    </w:rPr>
  </w:style>
  <w:style w:type="character" w:customStyle="1" w:styleId="href">
    <w:name w:val="href"/>
    <w:basedOn w:val="DefaultParagraphFont"/>
    <w:rsid w:val="008D6EC9"/>
  </w:style>
  <w:style w:type="paragraph" w:customStyle="1" w:styleId="enumlev1">
    <w:name w:val="enumlev1"/>
    <w:basedOn w:val="Normal"/>
    <w:rsid w:val="008D6EC9"/>
    <w:pPr>
      <w:spacing w:before="80"/>
      <w:ind w:left="794" w:hanging="794"/>
    </w:pPr>
  </w:style>
  <w:style w:type="paragraph" w:customStyle="1" w:styleId="enumlev2">
    <w:name w:val="enumlev2"/>
    <w:basedOn w:val="enumlev1"/>
    <w:rsid w:val="008D6EC9"/>
    <w:pPr>
      <w:ind w:left="1191" w:hanging="397"/>
    </w:pPr>
  </w:style>
  <w:style w:type="paragraph" w:customStyle="1" w:styleId="enumlev3">
    <w:name w:val="enumlev3"/>
    <w:basedOn w:val="enumlev2"/>
    <w:rsid w:val="008D6EC9"/>
    <w:pPr>
      <w:ind w:left="1588"/>
    </w:pPr>
  </w:style>
  <w:style w:type="paragraph" w:customStyle="1" w:styleId="Normalaftertitle">
    <w:name w:val="Normal_after_title"/>
    <w:basedOn w:val="Normal"/>
    <w:next w:val="Normal"/>
    <w:rsid w:val="008D6EC9"/>
    <w:pPr>
      <w:spacing w:before="320"/>
    </w:pPr>
  </w:style>
  <w:style w:type="paragraph" w:customStyle="1" w:styleId="Note">
    <w:name w:val="Note"/>
    <w:basedOn w:val="Normal"/>
    <w:rsid w:val="008D6EC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D6EC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D6EC9"/>
    <w:pPr>
      <w:spacing w:before="240"/>
    </w:pPr>
    <w:rPr>
      <w:sz w:val="22"/>
      <w:lang w:val="es-ES_tradnl"/>
    </w:rPr>
  </w:style>
  <w:style w:type="paragraph" w:customStyle="1" w:styleId="Recref">
    <w:name w:val="Rec_ref"/>
    <w:basedOn w:val="Normal"/>
    <w:next w:val="Recdate"/>
    <w:rsid w:val="008D6EC9"/>
    <w:pPr>
      <w:jc w:val="center"/>
    </w:pPr>
  </w:style>
  <w:style w:type="paragraph" w:customStyle="1" w:styleId="Recdate">
    <w:name w:val="Rec_date"/>
    <w:basedOn w:val="Recref"/>
    <w:next w:val="Normalaftertitle"/>
    <w:rsid w:val="008D6EC9"/>
    <w:pPr>
      <w:jc w:val="right"/>
    </w:pPr>
  </w:style>
  <w:style w:type="paragraph" w:customStyle="1" w:styleId="AnnexNoTitle">
    <w:name w:val="Annex_NoTitle"/>
    <w:basedOn w:val="Normal"/>
    <w:next w:val="Normalaftertitle"/>
    <w:rsid w:val="008D6EC9"/>
    <w:pPr>
      <w:keepNext/>
      <w:keepLines/>
      <w:spacing w:before="480" w:after="80"/>
      <w:jc w:val="center"/>
    </w:pPr>
    <w:rPr>
      <w:b/>
      <w:sz w:val="28"/>
    </w:rPr>
  </w:style>
  <w:style w:type="paragraph" w:customStyle="1" w:styleId="AppendixNoTitle">
    <w:name w:val="Appendix_NoTitle"/>
    <w:basedOn w:val="AnnexNoTitle"/>
    <w:next w:val="Normal"/>
    <w:rsid w:val="008D6EC9"/>
  </w:style>
  <w:style w:type="paragraph" w:customStyle="1" w:styleId="Tablefin">
    <w:name w:val="Table_fin"/>
    <w:basedOn w:val="Normal"/>
    <w:next w:val="Normal"/>
    <w:rsid w:val="008D6EC9"/>
    <w:pPr>
      <w:spacing w:before="0"/>
    </w:pPr>
    <w:rPr>
      <w:sz w:val="20"/>
      <w:lang w:val="en-GB"/>
    </w:rPr>
  </w:style>
  <w:style w:type="paragraph" w:customStyle="1" w:styleId="Tablehead">
    <w:name w:val="Table_head"/>
    <w:basedOn w:val="Normal"/>
    <w:next w:val="Normal"/>
    <w:link w:val="TableheadChar"/>
    <w:rsid w:val="008D6EC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D6E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D6EC9"/>
    <w:pPr>
      <w:keepNext/>
      <w:spacing w:before="360" w:after="120"/>
      <w:jc w:val="center"/>
    </w:pPr>
  </w:style>
  <w:style w:type="paragraph" w:customStyle="1" w:styleId="Tabletext">
    <w:name w:val="Table_text"/>
    <w:basedOn w:val="Normal"/>
    <w:link w:val="TabletextChar"/>
    <w:rsid w:val="008D6E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D6EC9"/>
    <w:pPr>
      <w:tabs>
        <w:tab w:val="clear" w:pos="1191"/>
        <w:tab w:val="clear" w:pos="1588"/>
        <w:tab w:val="clear" w:pos="1985"/>
        <w:tab w:val="center" w:pos="4820"/>
        <w:tab w:val="right" w:pos="9639"/>
      </w:tabs>
    </w:pPr>
  </w:style>
  <w:style w:type="paragraph" w:customStyle="1" w:styleId="Equationlegend">
    <w:name w:val="Equation_legend"/>
    <w:basedOn w:val="NormalIndent"/>
    <w:rsid w:val="008D6EC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D6EC9"/>
    <w:pPr>
      <w:ind w:left="794"/>
    </w:pPr>
  </w:style>
  <w:style w:type="paragraph" w:customStyle="1" w:styleId="Figurelegend">
    <w:name w:val="Figure_legend"/>
    <w:basedOn w:val="Normal"/>
    <w:rsid w:val="008D6EC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D6EC9"/>
    <w:pPr>
      <w:keepNext/>
      <w:keepLines/>
      <w:spacing w:before="480" w:after="80"/>
      <w:jc w:val="center"/>
    </w:pPr>
    <w:rPr>
      <w:caps/>
      <w:sz w:val="18"/>
    </w:rPr>
  </w:style>
  <w:style w:type="paragraph" w:customStyle="1" w:styleId="tocpart">
    <w:name w:val="tocpart"/>
    <w:basedOn w:val="Normal"/>
    <w:rsid w:val="008D6EC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D6EC9"/>
    <w:pPr>
      <w:keepNext/>
      <w:keepLines/>
      <w:spacing w:before="480"/>
      <w:jc w:val="center"/>
    </w:pPr>
    <w:rPr>
      <w:sz w:val="28"/>
    </w:rPr>
  </w:style>
  <w:style w:type="paragraph" w:customStyle="1" w:styleId="Arttitle">
    <w:name w:val="Art_title"/>
    <w:basedOn w:val="Normal"/>
    <w:next w:val="Normalaftertitle"/>
    <w:rsid w:val="008D6EC9"/>
    <w:pPr>
      <w:keepNext/>
      <w:keepLines/>
      <w:spacing w:before="240"/>
      <w:jc w:val="center"/>
    </w:pPr>
    <w:rPr>
      <w:b/>
      <w:sz w:val="28"/>
    </w:rPr>
  </w:style>
  <w:style w:type="paragraph" w:customStyle="1" w:styleId="Blanc">
    <w:name w:val="Blanc"/>
    <w:basedOn w:val="Normal"/>
    <w:next w:val="Tabletext"/>
    <w:rsid w:val="008D6EC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D6EC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D6EC9"/>
    <w:pPr>
      <w:keepNext/>
      <w:keepLines/>
      <w:spacing w:before="160"/>
      <w:ind w:left="794"/>
    </w:pPr>
    <w:rPr>
      <w:i/>
    </w:rPr>
  </w:style>
  <w:style w:type="paragraph" w:customStyle="1" w:styleId="ChapNo">
    <w:name w:val="Chap_No"/>
    <w:basedOn w:val="ArtNo"/>
    <w:next w:val="Chaptitle"/>
    <w:rsid w:val="008D6EC9"/>
    <w:rPr>
      <w:b/>
    </w:rPr>
  </w:style>
  <w:style w:type="paragraph" w:customStyle="1" w:styleId="Chaptitle">
    <w:name w:val="Chap_title"/>
    <w:basedOn w:val="Arttitle"/>
    <w:next w:val="Normalaftertitle"/>
    <w:rsid w:val="008D6EC9"/>
  </w:style>
  <w:style w:type="character" w:styleId="FootnoteReference">
    <w:name w:val="footnote reference"/>
    <w:aliases w:val="Appel note de bas de p,Style 12,(NECG) Footnote Reference,Style 124,o,fr,Style 3,Footnote Reference/"/>
    <w:basedOn w:val="DefaultParagraphFont"/>
    <w:rsid w:val="008D6EC9"/>
    <w:rPr>
      <w:position w:val="6"/>
      <w:sz w:val="18"/>
    </w:rPr>
  </w:style>
  <w:style w:type="paragraph" w:styleId="FootnoteText">
    <w:name w:val="footnote text"/>
    <w:basedOn w:val="Normal"/>
    <w:semiHidden/>
    <w:rsid w:val="008D6EC9"/>
    <w:pPr>
      <w:keepLines/>
      <w:tabs>
        <w:tab w:val="left" w:pos="255"/>
      </w:tabs>
      <w:ind w:left="255" w:hanging="255"/>
    </w:pPr>
    <w:rPr>
      <w:sz w:val="22"/>
    </w:rPr>
  </w:style>
  <w:style w:type="paragraph" w:styleId="Index1">
    <w:name w:val="index 1"/>
    <w:basedOn w:val="Normal"/>
    <w:next w:val="Normal"/>
    <w:semiHidden/>
    <w:rsid w:val="008D6EC9"/>
  </w:style>
  <w:style w:type="paragraph" w:styleId="Index2">
    <w:name w:val="index 2"/>
    <w:basedOn w:val="Normal"/>
    <w:next w:val="Normal"/>
    <w:semiHidden/>
    <w:rsid w:val="008D6EC9"/>
    <w:pPr>
      <w:ind w:left="283"/>
    </w:pPr>
  </w:style>
  <w:style w:type="paragraph" w:styleId="Index3">
    <w:name w:val="index 3"/>
    <w:basedOn w:val="Normal"/>
    <w:next w:val="Normal"/>
    <w:semiHidden/>
    <w:rsid w:val="008D6EC9"/>
    <w:pPr>
      <w:ind w:left="566"/>
    </w:pPr>
  </w:style>
  <w:style w:type="paragraph" w:styleId="IndexHeading">
    <w:name w:val="index heading"/>
    <w:basedOn w:val="Normal"/>
    <w:next w:val="Index1"/>
    <w:semiHidden/>
    <w:rsid w:val="008D6EC9"/>
  </w:style>
  <w:style w:type="paragraph" w:customStyle="1" w:styleId="Line">
    <w:name w:val="Line"/>
    <w:basedOn w:val="Normal"/>
    <w:next w:val="Normal"/>
    <w:rsid w:val="008D6EC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D6EC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D6EC9"/>
  </w:style>
  <w:style w:type="paragraph" w:customStyle="1" w:styleId="Partref">
    <w:name w:val="Part_ref"/>
    <w:basedOn w:val="Normal"/>
    <w:next w:val="Normal"/>
    <w:rsid w:val="008D6EC9"/>
    <w:pPr>
      <w:keepNext/>
      <w:keepLines/>
      <w:spacing w:after="280"/>
      <w:jc w:val="center"/>
    </w:pPr>
  </w:style>
  <w:style w:type="paragraph" w:customStyle="1" w:styleId="Parttitle">
    <w:name w:val="Part_title"/>
    <w:basedOn w:val="Normal"/>
    <w:next w:val="Normalaftertitle"/>
    <w:rsid w:val="008D6EC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D6EC9"/>
  </w:style>
  <w:style w:type="paragraph" w:customStyle="1" w:styleId="QuestionNo">
    <w:name w:val="Question_No"/>
    <w:basedOn w:val="RecNo"/>
    <w:next w:val="Normal"/>
    <w:rsid w:val="008D6EC9"/>
  </w:style>
  <w:style w:type="paragraph" w:customStyle="1" w:styleId="Questionref">
    <w:name w:val="Question_ref"/>
    <w:basedOn w:val="Recref"/>
    <w:next w:val="Questiondate"/>
    <w:rsid w:val="008D6EC9"/>
  </w:style>
  <w:style w:type="paragraph" w:customStyle="1" w:styleId="Questiontitle">
    <w:name w:val="Question_title"/>
    <w:basedOn w:val="Normal"/>
    <w:next w:val="Questionref"/>
    <w:rsid w:val="008D6EC9"/>
  </w:style>
  <w:style w:type="paragraph" w:customStyle="1" w:styleId="Reftext">
    <w:name w:val="Ref_text"/>
    <w:basedOn w:val="Normal"/>
    <w:rsid w:val="008D6EC9"/>
    <w:pPr>
      <w:ind w:left="794" w:hanging="794"/>
    </w:pPr>
    <w:rPr>
      <w:sz w:val="22"/>
    </w:rPr>
  </w:style>
  <w:style w:type="paragraph" w:customStyle="1" w:styleId="Reftitle">
    <w:name w:val="Ref_title"/>
    <w:basedOn w:val="Normal"/>
    <w:next w:val="Reftext"/>
    <w:rsid w:val="008D6EC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D6EC9"/>
  </w:style>
  <w:style w:type="paragraph" w:customStyle="1" w:styleId="RepNo">
    <w:name w:val="Rep_No"/>
    <w:basedOn w:val="RecNo"/>
    <w:next w:val="Reptitle"/>
    <w:rsid w:val="008D6EC9"/>
  </w:style>
  <w:style w:type="paragraph" w:customStyle="1" w:styleId="Repref">
    <w:name w:val="Rep_ref"/>
    <w:basedOn w:val="Recref"/>
    <w:next w:val="Repdate"/>
    <w:rsid w:val="008D6EC9"/>
  </w:style>
  <w:style w:type="paragraph" w:customStyle="1" w:styleId="Reptitle">
    <w:name w:val="Rep_title"/>
    <w:basedOn w:val="Rectitle"/>
    <w:next w:val="Repref"/>
    <w:rsid w:val="008D6EC9"/>
  </w:style>
  <w:style w:type="paragraph" w:customStyle="1" w:styleId="Resdate">
    <w:name w:val="Res_date"/>
    <w:basedOn w:val="Recdate"/>
    <w:next w:val="Normalaftertitle"/>
    <w:rsid w:val="008D6EC9"/>
  </w:style>
  <w:style w:type="paragraph" w:customStyle="1" w:styleId="ResNo">
    <w:name w:val="Res_No"/>
    <w:basedOn w:val="RecNo"/>
    <w:next w:val="Restitle"/>
    <w:rsid w:val="008D6EC9"/>
  </w:style>
  <w:style w:type="paragraph" w:customStyle="1" w:styleId="Resref">
    <w:name w:val="Res_ref"/>
    <w:basedOn w:val="Recref"/>
    <w:next w:val="Resdate"/>
    <w:rsid w:val="008D6EC9"/>
  </w:style>
  <w:style w:type="paragraph" w:customStyle="1" w:styleId="Restitle">
    <w:name w:val="Res_title"/>
    <w:basedOn w:val="Normal"/>
    <w:next w:val="Resref"/>
    <w:rsid w:val="008D6EC9"/>
    <w:pPr>
      <w:spacing w:before="240"/>
      <w:jc w:val="center"/>
    </w:pPr>
    <w:rPr>
      <w:b/>
      <w:sz w:val="28"/>
    </w:rPr>
  </w:style>
  <w:style w:type="paragraph" w:customStyle="1" w:styleId="SectionNo">
    <w:name w:val="Section_No"/>
    <w:basedOn w:val="Normal"/>
    <w:next w:val="Normal"/>
    <w:rsid w:val="008D6EC9"/>
  </w:style>
  <w:style w:type="paragraph" w:customStyle="1" w:styleId="Sectiontitle">
    <w:name w:val="Section_title"/>
    <w:basedOn w:val="Normal"/>
    <w:next w:val="Normalaftertitle"/>
    <w:rsid w:val="008D6EC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D6EC9"/>
    <w:pPr>
      <w:tabs>
        <w:tab w:val="clear" w:pos="794"/>
        <w:tab w:val="clear" w:pos="1191"/>
        <w:tab w:val="clear" w:pos="1588"/>
        <w:tab w:val="clear" w:pos="1985"/>
        <w:tab w:val="right" w:pos="9611"/>
      </w:tabs>
    </w:pPr>
    <w:rPr>
      <w:i/>
    </w:rPr>
  </w:style>
  <w:style w:type="paragraph" w:styleId="TOC1">
    <w:name w:val="toc 1"/>
    <w:basedOn w:val="Normal"/>
    <w:semiHidden/>
    <w:rsid w:val="008D6EC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D6EC9"/>
    <w:pPr>
      <w:tabs>
        <w:tab w:val="clear" w:pos="567"/>
        <w:tab w:val="left" w:pos="1276"/>
      </w:tabs>
      <w:spacing w:before="160"/>
      <w:ind w:left="1276" w:hanging="709"/>
    </w:pPr>
  </w:style>
  <w:style w:type="paragraph" w:styleId="TOC3">
    <w:name w:val="toc 3"/>
    <w:basedOn w:val="TOC2"/>
    <w:semiHidden/>
    <w:rsid w:val="008D6EC9"/>
    <w:pPr>
      <w:tabs>
        <w:tab w:val="clear" w:pos="1276"/>
        <w:tab w:val="left" w:pos="2155"/>
      </w:tabs>
      <w:ind w:left="2155" w:hanging="879"/>
    </w:pPr>
  </w:style>
  <w:style w:type="paragraph" w:styleId="TOC4">
    <w:name w:val="toc 4"/>
    <w:basedOn w:val="TOC3"/>
    <w:semiHidden/>
    <w:rsid w:val="008D6EC9"/>
    <w:pPr>
      <w:tabs>
        <w:tab w:val="left" w:pos="3261"/>
      </w:tabs>
      <w:spacing w:before="80"/>
      <w:ind w:left="3261" w:hanging="993"/>
    </w:pPr>
  </w:style>
  <w:style w:type="paragraph" w:styleId="TOC5">
    <w:name w:val="toc 5"/>
    <w:basedOn w:val="TOC4"/>
    <w:semiHidden/>
    <w:rsid w:val="008D6EC9"/>
  </w:style>
  <w:style w:type="paragraph" w:styleId="TOC6">
    <w:name w:val="toc 6"/>
    <w:basedOn w:val="TOC4"/>
    <w:semiHidden/>
    <w:rsid w:val="008D6EC9"/>
  </w:style>
  <w:style w:type="paragraph" w:styleId="TOC7">
    <w:name w:val="toc 7"/>
    <w:basedOn w:val="TOC4"/>
    <w:semiHidden/>
    <w:rsid w:val="008D6EC9"/>
  </w:style>
  <w:style w:type="paragraph" w:styleId="TOC8">
    <w:name w:val="toc 8"/>
    <w:basedOn w:val="TOC4"/>
    <w:semiHidden/>
    <w:rsid w:val="008D6EC9"/>
  </w:style>
  <w:style w:type="paragraph" w:customStyle="1" w:styleId="Rectitle">
    <w:name w:val="Rec_title"/>
    <w:basedOn w:val="Normal"/>
    <w:next w:val="Recref"/>
    <w:rsid w:val="008D6EC9"/>
    <w:pPr>
      <w:keepNext/>
      <w:keepLines/>
      <w:spacing w:before="240"/>
      <w:jc w:val="center"/>
    </w:pPr>
    <w:rPr>
      <w:b/>
      <w:sz w:val="28"/>
    </w:rPr>
  </w:style>
  <w:style w:type="paragraph" w:customStyle="1" w:styleId="Annexref">
    <w:name w:val="Annex_ref"/>
    <w:basedOn w:val="Normal"/>
    <w:next w:val="Normalaftertitle"/>
    <w:rsid w:val="008D6EC9"/>
    <w:pPr>
      <w:keepNext/>
      <w:keepLines/>
      <w:spacing w:after="280"/>
      <w:jc w:val="center"/>
    </w:pPr>
  </w:style>
  <w:style w:type="paragraph" w:customStyle="1" w:styleId="Appendixref">
    <w:name w:val="Appendix_ref"/>
    <w:basedOn w:val="Annexref"/>
    <w:next w:val="Normalaftertitle"/>
    <w:rsid w:val="008D6EC9"/>
  </w:style>
  <w:style w:type="paragraph" w:customStyle="1" w:styleId="Figuretitle">
    <w:name w:val="Figure_title"/>
    <w:basedOn w:val="Normal"/>
    <w:next w:val="Figure"/>
    <w:rsid w:val="008D6EC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D6EC9"/>
    <w:pPr>
      <w:keepNext/>
      <w:spacing w:before="0" w:after="120"/>
      <w:jc w:val="center"/>
    </w:pPr>
    <w:rPr>
      <w:b/>
    </w:rPr>
  </w:style>
  <w:style w:type="paragraph" w:customStyle="1" w:styleId="Summary">
    <w:name w:val="Summary"/>
    <w:basedOn w:val="Normal"/>
    <w:next w:val="Normalaftertitle"/>
    <w:autoRedefine/>
    <w:rsid w:val="004D34CA"/>
    <w:pPr>
      <w:spacing w:after="120"/>
    </w:pPr>
    <w:rPr>
      <w:sz w:val="22"/>
      <w:lang w:val="es-ES_tradnl"/>
    </w:rPr>
  </w:style>
  <w:style w:type="paragraph" w:customStyle="1" w:styleId="TableLegendNote">
    <w:name w:val="Table_Legend_Note"/>
    <w:basedOn w:val="Tablelegend"/>
    <w:next w:val="Tablelegend"/>
    <w:rsid w:val="008D6EC9"/>
    <w:pPr>
      <w:ind w:left="-85" w:firstLine="0"/>
    </w:pPr>
    <w:rPr>
      <w:lang w:val="en-US"/>
    </w:rPr>
  </w:style>
  <w:style w:type="paragraph" w:customStyle="1" w:styleId="Figure">
    <w:name w:val="Figure"/>
    <w:basedOn w:val="FigureNo"/>
    <w:next w:val="Normal"/>
    <w:rsid w:val="008D6EC9"/>
    <w:pPr>
      <w:keepNext w:val="0"/>
      <w:spacing w:before="0" w:after="240"/>
    </w:pPr>
  </w:style>
  <w:style w:type="character" w:customStyle="1" w:styleId="TableheadChar">
    <w:name w:val="Table_head Char"/>
    <w:basedOn w:val="DefaultParagraphFont"/>
    <w:link w:val="Tablehead"/>
    <w:locked/>
    <w:rsid w:val="008D6EC9"/>
    <w:rPr>
      <w:b/>
      <w:sz w:val="22"/>
      <w:lang w:val="fr-FR" w:eastAsia="en-US"/>
    </w:rPr>
  </w:style>
  <w:style w:type="character" w:customStyle="1" w:styleId="TabletextChar">
    <w:name w:val="Table_text Char"/>
    <w:basedOn w:val="DefaultParagraphFont"/>
    <w:link w:val="Tabletext"/>
    <w:locked/>
    <w:rsid w:val="008D6EC9"/>
    <w:rPr>
      <w:sz w:val="22"/>
      <w:lang w:val="fr-FR" w:eastAsia="en-US"/>
    </w:rPr>
  </w:style>
  <w:style w:type="character" w:styleId="Hyperlink">
    <w:name w:val="Hyperlink"/>
    <w:basedOn w:val="DefaultParagraphFont"/>
    <w:rsid w:val="008D6E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59</TotalTime>
  <Pages>4</Pages>
  <Words>764</Words>
  <Characters>4438</Characters>
  <Application>Microsoft Office Word</Application>
  <DocSecurity>0</DocSecurity>
  <Lines>192</Lines>
  <Paragraphs>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Gachet, Christelle</cp:lastModifiedBy>
  <cp:revision>27</cp:revision>
  <cp:lastPrinted>2013-01-29T15:14:00Z</cp:lastPrinted>
  <dcterms:created xsi:type="dcterms:W3CDTF">2013-01-14T14:02:00Z</dcterms:created>
  <dcterms:modified xsi:type="dcterms:W3CDTF">2013-01-29T15:15:00Z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