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p w:rsidR="00042292" w:rsidRPr="00431F42" w:rsidRDefault="00042292" w:rsidP="00042292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431F42" w:rsidTr="00A07AEB">
        <w:tc>
          <w:tcPr>
            <w:tcW w:w="10089" w:type="dxa"/>
          </w:tcPr>
          <w:p w:rsidR="00042292" w:rsidRPr="00431F42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431F42" w:rsidRDefault="00042292" w:rsidP="002173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567624"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8209E3"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1174-4</w:t>
            </w:r>
          </w:p>
          <w:p w:rsidR="00042292" w:rsidRPr="00431F42" w:rsidRDefault="00042292" w:rsidP="0021735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431F4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209E3" w:rsidRPr="00431F4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10/2019</w:t>
            </w:r>
            <w:r w:rsidRPr="00431F4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431F42" w:rsidTr="00A07AEB">
        <w:tc>
          <w:tcPr>
            <w:tcW w:w="10089" w:type="dxa"/>
          </w:tcPr>
          <w:p w:rsidR="00567624" w:rsidRPr="00431F42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431F42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431F42" w:rsidRDefault="008209E3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31F4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Características técnicas de los equipos utilizados para las comunicaciones</w:t>
            </w:r>
            <w:r w:rsidRPr="00431F4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a bordo de barcos en las bandas comprendidas entre</w:t>
            </w:r>
            <w:r w:rsidRPr="00431F4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450 y 470 MHz</w:t>
            </w:r>
          </w:p>
          <w:p w:rsidR="00042292" w:rsidRPr="00431F42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431F42" w:rsidTr="00A07AEB">
        <w:tc>
          <w:tcPr>
            <w:tcW w:w="10089" w:type="dxa"/>
          </w:tcPr>
          <w:p w:rsidR="00042292" w:rsidRPr="00431F42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431F42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431F42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431F42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431F42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="00410F5B"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431F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431F42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431F42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431F42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431F42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431F42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431F42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431F42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431F42" w:rsidRDefault="00042292" w:rsidP="00042292">
      <w:pPr>
        <w:spacing w:before="180"/>
        <w:rPr>
          <w:sz w:val="20"/>
          <w:lang w:val="es-ES_tradnl"/>
        </w:rPr>
      </w:pPr>
      <w:r w:rsidRPr="00431F42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431F42" w:rsidRDefault="00042292" w:rsidP="00042292">
      <w:pPr>
        <w:rPr>
          <w:sz w:val="20"/>
          <w:lang w:val="es-ES_tradnl"/>
        </w:rPr>
      </w:pPr>
      <w:r w:rsidRPr="00431F42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042292" w:rsidRPr="00431F42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431F42">
        <w:rPr>
          <w:lang w:val="es-ES_tradnl"/>
        </w:rPr>
        <w:t>Política sobre Derechos de Propiedad Intelectual</w:t>
      </w:r>
      <w:r w:rsidRPr="00431F42">
        <w:rPr>
          <w:szCs w:val="24"/>
          <w:lang w:val="es-ES_tradnl"/>
        </w:rPr>
        <w:t xml:space="preserve"> (IPR)</w:t>
      </w:r>
    </w:p>
    <w:p w:rsidR="00042292" w:rsidRPr="00431F42" w:rsidRDefault="00042292" w:rsidP="00ED4181">
      <w:pPr>
        <w:spacing w:before="180"/>
        <w:rPr>
          <w:sz w:val="20"/>
          <w:lang w:val="es-ES_tradnl"/>
        </w:rPr>
      </w:pPr>
      <w:r w:rsidRPr="00431F42">
        <w:rPr>
          <w:sz w:val="20"/>
          <w:lang w:val="es-ES_tradnl"/>
        </w:rPr>
        <w:t>La política del UIT</w:t>
      </w:r>
      <w:r w:rsidRPr="00431F42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431F42">
        <w:rPr>
          <w:sz w:val="20"/>
          <w:lang w:val="es-ES_tradnl"/>
        </w:rPr>
        <w:noBreakHyphen/>
        <w:t>T/UIT</w:t>
      </w:r>
      <w:r w:rsidRPr="00431F42">
        <w:rPr>
          <w:sz w:val="20"/>
          <w:lang w:val="es-ES_tradnl"/>
        </w:rPr>
        <w:noBreakHyphen/>
        <w:t>R/ISO/CEI a la que se hace referencia en la Resolución UIT</w:t>
      </w:r>
      <w:r w:rsidRPr="00431F42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431F42">
          <w:rPr>
            <w:rStyle w:val="Hyperlink"/>
            <w:sz w:val="20"/>
            <w:lang w:val="es-ES_tradnl"/>
          </w:rPr>
          <w:t>http://www.itu.int/ITU-R/go/patents/es</w:t>
        </w:r>
      </w:hyperlink>
      <w:r w:rsidRPr="00431F42">
        <w:rPr>
          <w:sz w:val="20"/>
          <w:lang w:val="es-ES_tradnl"/>
        </w:rPr>
        <w:t>, donde también aparecen las Directrices para la implementación de la Política Común de Patentes UIT</w:t>
      </w:r>
      <w:r w:rsidRPr="00431F42">
        <w:rPr>
          <w:sz w:val="20"/>
          <w:lang w:val="es-ES_tradnl"/>
        </w:rPr>
        <w:noBreakHyphen/>
        <w:t>T/UIT</w:t>
      </w:r>
      <w:r w:rsidRPr="00431F42">
        <w:rPr>
          <w:sz w:val="20"/>
          <w:lang w:val="es-ES_tradnl"/>
        </w:rPr>
        <w:noBreakHyphen/>
        <w:t>R/ISO/CEI y la base de datos sobre información de patentes del UIT</w:t>
      </w:r>
      <w:r w:rsidRPr="00431F42">
        <w:rPr>
          <w:sz w:val="20"/>
          <w:lang w:val="es-ES_tradnl"/>
        </w:rPr>
        <w:noBreakHyphen/>
        <w:t>R sobre este asunto.</w:t>
      </w:r>
    </w:p>
    <w:p w:rsidR="00042292" w:rsidRPr="00431F42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431F42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431F42" w:rsidTr="00CB1354">
        <w:tc>
          <w:tcPr>
            <w:tcW w:w="9360" w:type="dxa"/>
            <w:gridSpan w:val="2"/>
          </w:tcPr>
          <w:p w:rsidR="00042292" w:rsidRPr="00431F42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431F42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431F42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431F42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431F42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Título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431F42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431F42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</w:tcPr>
          <w:p w:rsidR="00042292" w:rsidRPr="00431F42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431F42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042292" w:rsidRPr="00431F42" w:rsidTr="00CB1354">
        <w:tc>
          <w:tcPr>
            <w:tcW w:w="1140" w:type="dxa"/>
            <w:shd w:val="clear" w:color="auto" w:fill="auto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431F42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042292" w:rsidRPr="00431F42" w:rsidTr="00CB1354">
        <w:tc>
          <w:tcPr>
            <w:tcW w:w="1140" w:type="dxa"/>
            <w:shd w:val="clear" w:color="auto" w:fill="auto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431F42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042292" w:rsidRPr="00431F42" w:rsidTr="00CB1354">
        <w:tc>
          <w:tcPr>
            <w:tcW w:w="1140" w:type="dxa"/>
            <w:shd w:val="clear" w:color="auto" w:fill="F3F3F3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431F42">
              <w:rPr>
                <w:b/>
                <w:bCs/>
                <w:color w:val="000080"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431F42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431F42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042292" w:rsidRPr="00431F42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431F42" w:rsidTr="00CB1354">
        <w:tc>
          <w:tcPr>
            <w:tcW w:w="1140" w:type="dxa"/>
            <w:shd w:val="clear" w:color="auto" w:fill="auto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431F42" w:rsidRDefault="00042292" w:rsidP="00CB135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431F42">
              <w:rPr>
                <w:sz w:val="20"/>
                <w:lang w:val="es-ES_tradnl"/>
              </w:rPr>
              <w:t>Gestión del espectro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431F42" w:rsidTr="00CB1354">
        <w:tc>
          <w:tcPr>
            <w:tcW w:w="1140" w:type="dxa"/>
          </w:tcPr>
          <w:p w:rsidR="00042292" w:rsidRPr="00431F42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431F42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042292" w:rsidRPr="00431F42" w:rsidRDefault="00042292" w:rsidP="00CB1354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431F42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042292" w:rsidRPr="00431F42" w:rsidRDefault="00042292" w:rsidP="00042292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RPr="00431F42" w:rsidTr="00CB1354">
        <w:tc>
          <w:tcPr>
            <w:tcW w:w="720" w:type="dxa"/>
          </w:tcPr>
          <w:p w:rsidR="00042292" w:rsidRPr="00431F42" w:rsidRDefault="00042292" w:rsidP="00CB1354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431F42" w:rsidTr="00A07AEB">
        <w:tc>
          <w:tcPr>
            <w:tcW w:w="9360" w:type="dxa"/>
          </w:tcPr>
          <w:p w:rsidR="00042292" w:rsidRPr="00431F42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431F42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431F42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431F42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431F42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431F42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431F42">
        <w:rPr>
          <w:i/>
          <w:iCs/>
          <w:sz w:val="20"/>
          <w:lang w:val="es-ES_tradnl"/>
        </w:rPr>
        <w:t>Publicación electrónica</w:t>
      </w:r>
    </w:p>
    <w:p w:rsidR="00042292" w:rsidRPr="00431F42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431F42">
        <w:rPr>
          <w:sz w:val="20"/>
          <w:lang w:val="es-ES_tradnl"/>
        </w:rPr>
        <w:t>Ginebra, 20</w:t>
      </w:r>
      <w:r w:rsidR="001B26B3" w:rsidRPr="00431F42">
        <w:rPr>
          <w:sz w:val="20"/>
          <w:lang w:val="es-ES_tradnl"/>
        </w:rPr>
        <w:t>1</w:t>
      </w:r>
      <w:r w:rsidR="005418BE" w:rsidRPr="00431F42">
        <w:rPr>
          <w:sz w:val="20"/>
          <w:lang w:val="es-ES_tradnl"/>
        </w:rPr>
        <w:t>9</w:t>
      </w:r>
    </w:p>
    <w:p w:rsidR="00042292" w:rsidRPr="00431F42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431F42" w:rsidRDefault="00042292" w:rsidP="006F3D6E">
      <w:pPr>
        <w:spacing w:before="0"/>
        <w:jc w:val="center"/>
        <w:rPr>
          <w:sz w:val="20"/>
          <w:lang w:val="es-ES_tradnl"/>
        </w:rPr>
      </w:pPr>
      <w:r w:rsidRPr="00431F42">
        <w:rPr>
          <w:sz w:val="20"/>
          <w:lang w:val="es-ES_tradnl"/>
        </w:rPr>
        <w:sym w:font="Symbol" w:char="F0E3"/>
      </w:r>
      <w:r w:rsidRPr="00431F42">
        <w:rPr>
          <w:sz w:val="20"/>
          <w:lang w:val="es-ES_tradnl"/>
        </w:rPr>
        <w:t xml:space="preserve"> UIT </w:t>
      </w:r>
      <w:bookmarkStart w:id="1" w:name="iiannee"/>
      <w:bookmarkEnd w:id="1"/>
      <w:r w:rsidRPr="00431F42">
        <w:rPr>
          <w:sz w:val="20"/>
          <w:lang w:val="es-ES_tradnl"/>
        </w:rPr>
        <w:t>20</w:t>
      </w:r>
      <w:r w:rsidR="001B26B3" w:rsidRPr="00431F42">
        <w:rPr>
          <w:sz w:val="20"/>
          <w:lang w:val="es-ES_tradnl"/>
        </w:rPr>
        <w:t>1</w:t>
      </w:r>
      <w:r w:rsidR="005418BE" w:rsidRPr="00431F42">
        <w:rPr>
          <w:sz w:val="20"/>
          <w:lang w:val="es-ES_tradnl"/>
        </w:rPr>
        <w:t>9</w:t>
      </w:r>
    </w:p>
    <w:p w:rsidR="00042292" w:rsidRPr="00431F42" w:rsidRDefault="00042292" w:rsidP="00042292">
      <w:pPr>
        <w:spacing w:before="80"/>
        <w:rPr>
          <w:sz w:val="18"/>
          <w:szCs w:val="18"/>
          <w:lang w:val="es-ES_tradnl"/>
        </w:rPr>
      </w:pPr>
      <w:r w:rsidRPr="00431F42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042292" w:rsidRPr="00431F42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431F42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74749" w:rsidRPr="00431F42" w:rsidRDefault="00574749" w:rsidP="0021735B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431F42">
        <w:rPr>
          <w:lang w:val="es-ES_tradnl"/>
        </w:rPr>
        <w:lastRenderedPageBreak/>
        <w:t xml:space="preserve">RECOMENDACIÓN  </w:t>
      </w:r>
      <w:r w:rsidRPr="00431F42">
        <w:rPr>
          <w:rStyle w:val="href"/>
          <w:lang w:val="es-ES_tradnl"/>
        </w:rPr>
        <w:t>UIT-R  M.</w:t>
      </w:r>
      <w:r w:rsidR="008209E3" w:rsidRPr="00431F42">
        <w:rPr>
          <w:rStyle w:val="href"/>
          <w:lang w:val="es-ES_tradnl"/>
        </w:rPr>
        <w:t>1174-4</w:t>
      </w:r>
    </w:p>
    <w:p w:rsidR="008209E3" w:rsidRPr="00431F42" w:rsidRDefault="008209E3" w:rsidP="008209E3">
      <w:pPr>
        <w:pStyle w:val="Rectitle"/>
        <w:rPr>
          <w:lang w:val="es-ES_tradnl"/>
        </w:rPr>
      </w:pPr>
      <w:r w:rsidRPr="00431F42">
        <w:rPr>
          <w:lang w:val="es-ES_tradnl"/>
        </w:rPr>
        <w:t>Características técnicas de los equipos utilizados para las comunicaciones</w:t>
      </w:r>
      <w:r w:rsidRPr="00431F42">
        <w:rPr>
          <w:lang w:val="es-ES_tradnl"/>
        </w:rPr>
        <w:br/>
        <w:t>a bordo de barcos en las bandas comprendidas entre 450 y 470 MHz</w:t>
      </w:r>
    </w:p>
    <w:p w:rsidR="008209E3" w:rsidRPr="00431F42" w:rsidRDefault="008209E3" w:rsidP="008209E3">
      <w:pPr>
        <w:pStyle w:val="Recdate"/>
        <w:rPr>
          <w:lang w:val="es-ES_tradnl"/>
        </w:rPr>
      </w:pPr>
      <w:r w:rsidRPr="00431F42">
        <w:rPr>
          <w:lang w:val="es-ES_tradnl"/>
        </w:rPr>
        <w:t>(1995-1998-2004-2015-2019)</w:t>
      </w:r>
    </w:p>
    <w:p w:rsidR="008209E3" w:rsidRPr="00431F42" w:rsidRDefault="008209E3" w:rsidP="008209E3">
      <w:pPr>
        <w:pStyle w:val="HeadingSum"/>
      </w:pPr>
      <w:r w:rsidRPr="00431F42">
        <w:t>Cometido</w:t>
      </w:r>
    </w:p>
    <w:p w:rsidR="008209E3" w:rsidRPr="00431F42" w:rsidRDefault="008209E3" w:rsidP="008209E3">
      <w:pPr>
        <w:pStyle w:val="Summary"/>
      </w:pPr>
      <w:r w:rsidRPr="00431F42">
        <w:t>Esta Recomendación describe las características técnicas de los equipos que funcionan en los servicios móviles marítimos de acuerdo con las disposiciones del número </w:t>
      </w:r>
      <w:r w:rsidRPr="00431F42">
        <w:rPr>
          <w:b/>
          <w:bCs/>
        </w:rPr>
        <w:t>5.287</w:t>
      </w:r>
      <w:r w:rsidRPr="00431F42">
        <w:t xml:space="preserve"> del Reglamento de Radiocomunicaciones (RR) para comunicaciones a bordo de barcos. Se consideran separaciones de canales de 25 kHz o 12,5 kHz para las tecnologías analógica y digital. Además, el canal de 6,25 kHz también puede utilizarse para la tecnología digital.</w:t>
      </w:r>
    </w:p>
    <w:p w:rsidR="008209E3" w:rsidRPr="00431F42" w:rsidRDefault="008209E3" w:rsidP="008209E3">
      <w:pPr>
        <w:pStyle w:val="Headingb"/>
        <w:rPr>
          <w:rFonts w:eastAsiaTheme="minorEastAsia"/>
          <w:lang w:val="es-ES_tradnl"/>
        </w:rPr>
      </w:pPr>
      <w:r w:rsidRPr="00431F42">
        <w:rPr>
          <w:rFonts w:eastAsiaTheme="minorEastAsia"/>
          <w:lang w:val="es-ES_tradnl"/>
        </w:rPr>
        <w:t>Palabras clave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 xml:space="preserve">Aguas territoriales, comunicaciones a bordo, disposición de frecuencias, marítimo, separación de canales, ondas decimétricas, </w:t>
      </w:r>
    </w:p>
    <w:p w:rsidR="008209E3" w:rsidRPr="00431F42" w:rsidRDefault="008209E3" w:rsidP="008209E3">
      <w:pPr>
        <w:pStyle w:val="Headingb"/>
        <w:rPr>
          <w:lang w:val="es-ES_tradnl"/>
        </w:rPr>
      </w:pPr>
      <w:r w:rsidRPr="00431F42">
        <w:rPr>
          <w:rFonts w:eastAsiaTheme="minorEastAsia"/>
          <w:lang w:val="es-ES_tradnl"/>
        </w:rPr>
        <w:t>Abreviaturas/Glosario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Ch.</w:t>
      </w:r>
      <w:r w:rsidRPr="00431F42">
        <w:rPr>
          <w:lang w:val="es-ES_tradnl"/>
        </w:rPr>
        <w:tab/>
        <w:t>Número de canal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DCS</w:t>
      </w:r>
      <w:r w:rsidRPr="00431F42">
        <w:rPr>
          <w:lang w:val="es-ES_tradnl"/>
        </w:rPr>
        <w:tab/>
        <w:t>Silenciador codificado digital (</w:t>
      </w:r>
      <w:r w:rsidRPr="00431F42">
        <w:rPr>
          <w:i/>
          <w:lang w:val="es-ES_tradnl"/>
        </w:rPr>
        <w:t>digital coded squelch</w:t>
      </w:r>
      <w:r w:rsidRPr="00431F42">
        <w:rPr>
          <w:lang w:val="es-ES_tradnl"/>
        </w:rPr>
        <w:t>)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FSK</w:t>
      </w:r>
      <w:r w:rsidRPr="00431F42">
        <w:rPr>
          <w:lang w:val="es-ES_tradnl"/>
        </w:rPr>
        <w:tab/>
        <w:t>Modulación por desplazamiento de frecuencia</w:t>
      </w:r>
    </w:p>
    <w:p w:rsidR="008209E3" w:rsidRPr="00431F42" w:rsidRDefault="008209E3" w:rsidP="008209E3">
      <w:pPr>
        <w:rPr>
          <w:lang w:val="es-ES_tradnl"/>
        </w:rPr>
      </w:pPr>
    </w:p>
    <w:p w:rsidR="008209E3" w:rsidRPr="00431F42" w:rsidRDefault="008209E3" w:rsidP="008209E3">
      <w:pPr>
        <w:rPr>
          <w:lang w:val="es-ES_tradnl"/>
        </w:rPr>
      </w:pP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La Asamblea de Radiocomunicaciones de la UIT,</w:t>
      </w:r>
    </w:p>
    <w:p w:rsidR="008209E3" w:rsidRPr="00431F42" w:rsidRDefault="008209E3" w:rsidP="008209E3">
      <w:pPr>
        <w:pStyle w:val="Call"/>
        <w:rPr>
          <w:lang w:val="es-ES_tradnl"/>
        </w:rPr>
      </w:pPr>
      <w:r w:rsidRPr="00431F42">
        <w:rPr>
          <w:lang w:val="es-ES_tradnl"/>
        </w:rPr>
        <w:t>considerando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i/>
          <w:iCs/>
          <w:lang w:val="es-ES_tradnl"/>
        </w:rPr>
        <w:t>a)</w:t>
      </w:r>
      <w:r w:rsidRPr="00431F42">
        <w:rPr>
          <w:lang w:val="es-ES_tradnl"/>
        </w:rPr>
        <w:tab/>
        <w:t>que es necesario describir las características de los equipos utilizados para las comunicaciones a bordo de barcos en las bandas comprendidas entre 450 y 470 MHz;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i/>
          <w:iCs/>
          <w:lang w:val="es-ES_tradnl"/>
        </w:rPr>
        <w:t>b)</w:t>
      </w:r>
      <w:r w:rsidRPr="00431F42">
        <w:rPr>
          <w:lang w:val="es-ES_tradnl"/>
        </w:rPr>
        <w:tab/>
        <w:t>que recientemente se han producido cambios en lo que respecta a la disponibilidad de frecuencias,</w:t>
      </w:r>
    </w:p>
    <w:p w:rsidR="008209E3" w:rsidRPr="00431F42" w:rsidRDefault="008209E3" w:rsidP="008209E3">
      <w:pPr>
        <w:pStyle w:val="Call"/>
        <w:rPr>
          <w:lang w:val="es-ES_tradnl"/>
        </w:rPr>
      </w:pPr>
      <w:r w:rsidRPr="00431F42">
        <w:rPr>
          <w:lang w:val="es-ES_tradnl"/>
        </w:rPr>
        <w:t>recomienda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bCs/>
          <w:lang w:val="es-ES_tradnl"/>
        </w:rPr>
        <w:t>1</w:t>
      </w:r>
      <w:r w:rsidRPr="00431F42">
        <w:rPr>
          <w:bCs/>
          <w:lang w:val="es-ES_tradnl"/>
        </w:rPr>
        <w:tab/>
        <w:t>que los transmisores y receptores utilizados en el servicio móvil marítimo para comunicaciones</w:t>
      </w:r>
      <w:r w:rsidRPr="00431F42">
        <w:rPr>
          <w:lang w:val="es-ES_tradnl"/>
        </w:rPr>
        <w:t xml:space="preserve"> a bordo de barcos en las bandas comprendidas entre 450 y 470 MHz se adapten a las características técnicas indicadas en el Anexo 1;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2</w:t>
      </w:r>
      <w:r w:rsidRPr="00431F42">
        <w:rPr>
          <w:lang w:val="es-ES_tradnl"/>
        </w:rPr>
        <w:tab/>
        <w:t>que, para la tecnología analógica, el uso de sistemas silenciadores controlados por tono continuo o de sistemas silenciadores codificados digitales (DCS) constituye un mecanismo efectivo para mitigar la impresión de congestión que pueda apreciar el usuario;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3</w:t>
      </w:r>
      <w:r w:rsidRPr="00431F42">
        <w:rPr>
          <w:lang w:val="es-ES_tradnl"/>
        </w:rPr>
        <w:tab/>
        <w:t>que, para la tecnología digital, el uso de DCS o un equivalente operacional podría emplearse para disminuir la impresión de congestión que pueda apreciar el usuario;</w:t>
      </w:r>
    </w:p>
    <w:p w:rsidR="008209E3" w:rsidRPr="00431F42" w:rsidRDefault="008209E3" w:rsidP="008209E3">
      <w:pPr>
        <w:widowControl w:val="0"/>
        <w:rPr>
          <w:spacing w:val="-2"/>
          <w:lang w:val="es-ES_tradnl"/>
        </w:rPr>
      </w:pPr>
      <w:r w:rsidRPr="00431F42">
        <w:rPr>
          <w:spacing w:val="-2"/>
          <w:lang w:val="es-ES_tradnl"/>
        </w:rPr>
        <w:t>4</w:t>
      </w:r>
      <w:r w:rsidRPr="00431F42">
        <w:rPr>
          <w:spacing w:val="-2"/>
          <w:lang w:val="es-ES_tradnl"/>
        </w:rPr>
        <w:tab/>
        <w:t>que, durante el funcionamiento, para detectar si existe un canal disponible para funcionar, se aconseje emplear un método de escuchar antes de hablar como posible técnica de mitigación;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5</w:t>
      </w:r>
      <w:r w:rsidRPr="00431F42">
        <w:rPr>
          <w:lang w:val="es-ES_tradnl"/>
        </w:rPr>
        <w:tab/>
        <w:t>que se aliente a los armadores a que, cuando sustituyan o instalen equipos de comunicaciones a bordo de los buques, instalen equipos que utilicen una separación de canales de 12,5 kHz o 6,25 kHz.</w:t>
      </w:r>
    </w:p>
    <w:p w:rsidR="008209E3" w:rsidRPr="00431F42" w:rsidRDefault="008209E3" w:rsidP="00FE0D30">
      <w:pPr>
        <w:pStyle w:val="AnnexNoTitle"/>
        <w:rPr>
          <w:lang w:val="es-ES_tradnl"/>
        </w:rPr>
      </w:pPr>
      <w:r w:rsidRPr="00431F42">
        <w:rPr>
          <w:lang w:val="es-ES_tradnl"/>
        </w:rPr>
        <w:lastRenderedPageBreak/>
        <w:t>Anexo 1</w:t>
      </w:r>
      <w:r w:rsidRPr="00431F42">
        <w:rPr>
          <w:lang w:val="es-ES_tradnl"/>
        </w:rPr>
        <w:br/>
      </w:r>
      <w:r w:rsidRPr="00431F42">
        <w:rPr>
          <w:lang w:val="es-ES_tradnl"/>
        </w:rPr>
        <w:br/>
        <w:t>Características técnicas de los equipos utilizados para las comunicaciones</w:t>
      </w:r>
      <w:r w:rsidRPr="00431F42">
        <w:rPr>
          <w:lang w:val="es-ES_tradnl"/>
        </w:rPr>
        <w:br/>
        <w:t>a bordo de barcos en las bandas comprendidas entre 450 y 470 MHz</w:t>
      </w:r>
    </w:p>
    <w:p w:rsidR="008209E3" w:rsidRPr="00431F42" w:rsidRDefault="008209E3" w:rsidP="00FE0D30">
      <w:pPr>
        <w:pStyle w:val="Normalaftertitle"/>
        <w:rPr>
          <w:lang w:val="es-ES_tradnl"/>
        </w:rPr>
      </w:pPr>
      <w:r w:rsidRPr="003222BE">
        <w:rPr>
          <w:lang w:val="es-ES_tradnl"/>
        </w:rPr>
        <w:t>1</w:t>
      </w:r>
      <w:r w:rsidRPr="00431F42">
        <w:rPr>
          <w:lang w:val="es-ES_tradnl"/>
        </w:rPr>
        <w:tab/>
        <w:t>Los equipos deben ir provistos del número suficiente de canales para conseguir un servicio satisfactorio en la zona prevista.</w:t>
      </w:r>
    </w:p>
    <w:p w:rsidR="008209E3" w:rsidRPr="00431F42" w:rsidRDefault="008209E3" w:rsidP="008209E3">
      <w:pPr>
        <w:rPr>
          <w:bCs/>
          <w:lang w:val="es-ES_tradnl"/>
        </w:rPr>
      </w:pPr>
      <w:r w:rsidRPr="003222BE">
        <w:rPr>
          <w:lang w:val="es-ES_tradnl"/>
        </w:rPr>
        <w:t>2</w:t>
      </w:r>
      <w:r w:rsidRPr="00431F42">
        <w:rPr>
          <w:bCs/>
          <w:lang w:val="es-ES_tradnl"/>
        </w:rPr>
        <w:tab/>
        <w:t xml:space="preserve">La potencia radiada aparente debe limitarse al mínimo necesario para obtener un servicio </w:t>
      </w:r>
      <w:proofErr w:type="gramStart"/>
      <w:r w:rsidRPr="00431F42">
        <w:rPr>
          <w:bCs/>
          <w:lang w:val="es-ES_tradnl"/>
        </w:rPr>
        <w:t>satisfactorio</w:t>
      </w:r>
      <w:proofErr w:type="gramEnd"/>
      <w:r w:rsidRPr="00431F42">
        <w:rPr>
          <w:bCs/>
          <w:lang w:val="es-ES_tradnl"/>
        </w:rPr>
        <w:t xml:space="preserve"> pero en ningún caso debe ser superior a 2 W. Cuando sea posible, los equipos deben ir provistos de un dispositivo adecuado que permita reducir fácilmente la potencia de salida en, por lo menos, 10 dB.</w:t>
      </w:r>
    </w:p>
    <w:p w:rsidR="008209E3" w:rsidRPr="00431F42" w:rsidRDefault="008209E3" w:rsidP="008209E3">
      <w:pPr>
        <w:rPr>
          <w:lang w:val="es-ES_tradnl"/>
        </w:rPr>
      </w:pPr>
      <w:r w:rsidRPr="003222BE">
        <w:rPr>
          <w:lang w:val="es-ES_tradnl"/>
        </w:rPr>
        <w:t>3</w:t>
      </w:r>
      <w:r w:rsidRPr="00431F42">
        <w:rPr>
          <w:bCs/>
          <w:lang w:val="es-ES_tradnl"/>
        </w:rPr>
        <w:tab/>
        <w:t>Cuando los equipos se instalen en puntos fijos de los barcos, la altura de la antena no debe sobrepasar el nivel superior del puente</w:t>
      </w:r>
      <w:r w:rsidRPr="00431F42">
        <w:rPr>
          <w:lang w:val="es-ES_tradnl"/>
        </w:rPr>
        <w:t xml:space="preserve"> en más de 3,5 m.</w:t>
      </w:r>
    </w:p>
    <w:p w:rsidR="008209E3" w:rsidRPr="00431F42" w:rsidRDefault="008209E3" w:rsidP="008209E3">
      <w:pPr>
        <w:spacing w:before="0"/>
        <w:rPr>
          <w:lang w:val="es-ES_tradnl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4"/>
        <w:gridCol w:w="4592"/>
        <w:gridCol w:w="4592"/>
      </w:tblGrid>
      <w:tr w:rsidR="008209E3" w:rsidRPr="00431F42" w:rsidTr="008209E3">
        <w:trPr>
          <w:trHeight w:val="20"/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jc w:val="left"/>
              <w:rPr>
                <w:lang w:val="es-ES_tradnl"/>
              </w:rPr>
            </w:pPr>
          </w:p>
        </w:tc>
        <w:tc>
          <w:tcPr>
            <w:tcW w:w="4592" w:type="dxa"/>
          </w:tcPr>
          <w:p w:rsidR="008209E3" w:rsidRPr="00431F42" w:rsidRDefault="008209E3" w:rsidP="005D6A26">
            <w:pPr>
              <w:pStyle w:val="Tablehead"/>
              <w:rPr>
                <w:lang w:val="es-ES_tradnl"/>
              </w:rPr>
            </w:pPr>
            <w:r w:rsidRPr="00431F42">
              <w:rPr>
                <w:lang w:val="es-ES_tradnl"/>
              </w:rPr>
              <w:t>Canales con una separación de 25 kHz</w:t>
            </w:r>
            <w:r w:rsidRPr="00431F42">
              <w:rPr>
                <w:lang w:val="es-ES_tradnl"/>
              </w:rPr>
              <w:br/>
              <w:t>Tecnología analógica</w:t>
            </w:r>
          </w:p>
        </w:tc>
        <w:tc>
          <w:tcPr>
            <w:tcW w:w="4592" w:type="dxa"/>
          </w:tcPr>
          <w:p w:rsidR="008209E3" w:rsidRPr="00431F42" w:rsidRDefault="008209E3" w:rsidP="005D6A26">
            <w:pPr>
              <w:pStyle w:val="Tablehead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Canales con una separación de 12,5 kHz</w:t>
            </w:r>
            <w:r w:rsidRPr="00431F42">
              <w:rPr>
                <w:lang w:val="es-ES_tradnl"/>
              </w:rPr>
              <w:br/>
              <w:t>Tecnología analógica</w:t>
            </w:r>
          </w:p>
        </w:tc>
      </w:tr>
      <w:tr w:rsidR="008209E3" w:rsidRPr="00431F42" w:rsidTr="008209E3">
        <w:trPr>
          <w:trHeight w:val="20"/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4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Debe utilizarse únicamente modulación de</w:t>
            </w:r>
            <w:r w:rsidR="001E46EB" w:rsidRPr="00431F42">
              <w:rPr>
                <w:lang w:val="es-ES_tradnl"/>
              </w:rPr>
              <w:t xml:space="preserve"> </w:t>
            </w:r>
            <w:r w:rsidRPr="00431F42">
              <w:rPr>
                <w:lang w:val="es-ES_tradnl"/>
              </w:rPr>
              <w:t>frecuencia con una preacentuación de 6 dB/octava (modulación de fase (MP))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Debe utilizarse únicamente modulación de</w:t>
            </w:r>
            <w:r w:rsidR="001E46EB" w:rsidRPr="00431F42">
              <w:rPr>
                <w:lang w:val="es-ES_tradnl"/>
              </w:rPr>
              <w:t xml:space="preserve"> </w:t>
            </w:r>
            <w:r w:rsidRPr="00431F42">
              <w:rPr>
                <w:lang w:val="es-ES_tradnl"/>
              </w:rPr>
              <w:t>frecuencia con una preacentuación de 6 dB/octava (MP)</w:t>
            </w:r>
          </w:p>
        </w:tc>
      </w:tr>
      <w:tr w:rsidR="008209E3" w:rsidRPr="00431F42" w:rsidTr="008209E3">
        <w:trPr>
          <w:trHeight w:val="20"/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5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La desviación de frecuencia correspondiente al 100% de modulación debe ser de ±5 kHz en la</w:t>
            </w:r>
            <w:r w:rsidR="001E46EB" w:rsidRPr="00431F42">
              <w:rPr>
                <w:lang w:val="es-ES_tradnl"/>
              </w:rPr>
              <w:t> </w:t>
            </w:r>
            <w:r w:rsidRPr="00431F42">
              <w:rPr>
                <w:lang w:val="es-ES_tradnl"/>
              </w:rPr>
              <w:t>medida de lo posible. En ningún caso debe ser</w:t>
            </w:r>
            <w:r w:rsidR="001E46EB" w:rsidRPr="00431F42">
              <w:rPr>
                <w:lang w:val="es-ES_tradnl"/>
              </w:rPr>
              <w:t> </w:t>
            </w:r>
            <w:r w:rsidRPr="00431F42">
              <w:rPr>
                <w:lang w:val="es-ES_tradnl"/>
              </w:rPr>
              <w:t>superior a ±5 kHz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La desviación de frecuencia correspondiente al 100% de modulación debe ser de ±2,5 kHz en la</w:t>
            </w:r>
            <w:r w:rsidR="001E46EB" w:rsidRPr="00431F42">
              <w:rPr>
                <w:lang w:val="es-ES_tradnl"/>
              </w:rPr>
              <w:t> </w:t>
            </w:r>
            <w:r w:rsidRPr="00431F42">
              <w:rPr>
                <w:lang w:val="es-ES_tradnl"/>
              </w:rPr>
              <w:t>medida de lo posible. En ningún caso debe ser</w:t>
            </w:r>
            <w:r w:rsidR="001E46EB" w:rsidRPr="00431F42">
              <w:rPr>
                <w:lang w:val="es-ES_tradnl"/>
              </w:rPr>
              <w:t> </w:t>
            </w:r>
            <w:r w:rsidRPr="00431F42">
              <w:rPr>
                <w:lang w:val="es-ES_tradnl"/>
              </w:rPr>
              <w:t>superior a ±2,5 kHz</w:t>
            </w:r>
          </w:p>
        </w:tc>
      </w:tr>
      <w:tr w:rsidR="008209E3" w:rsidRPr="00431F42" w:rsidTr="008209E3">
        <w:trPr>
          <w:trHeight w:val="20"/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6</w:t>
            </w:r>
          </w:p>
        </w:tc>
        <w:tc>
          <w:tcPr>
            <w:tcW w:w="4592" w:type="dxa"/>
          </w:tcPr>
          <w:p w:rsidR="008209E3" w:rsidRPr="00431F42" w:rsidRDefault="008209E3" w:rsidP="00463F2A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La tolerancia de frecuencia debe ser de 5 × 10</w:t>
            </w:r>
            <w:r w:rsidRPr="00431F42">
              <w:rPr>
                <w:vertAlign w:val="superscript"/>
                <w:lang w:val="es-ES_tradnl"/>
              </w:rPr>
              <w:t>–6</w:t>
            </w:r>
          </w:p>
        </w:tc>
        <w:tc>
          <w:tcPr>
            <w:tcW w:w="4592" w:type="dxa"/>
          </w:tcPr>
          <w:p w:rsidR="008209E3" w:rsidRPr="00431F42" w:rsidRDefault="008209E3" w:rsidP="00463F2A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La tolerancia de frecuencia debe ser de 2,5 × 10</w:t>
            </w:r>
            <w:r w:rsidRPr="00431F42">
              <w:rPr>
                <w:vertAlign w:val="superscript"/>
                <w:lang w:val="es-ES_tradnl"/>
              </w:rPr>
              <w:t>–6</w:t>
            </w:r>
          </w:p>
        </w:tc>
      </w:tr>
      <w:tr w:rsidR="008209E3" w:rsidRPr="00431F42" w:rsidTr="00FE0D30">
        <w:trPr>
          <w:trHeight w:val="20"/>
          <w:jc w:val="center"/>
        </w:trPr>
        <w:tc>
          <w:tcPr>
            <w:tcW w:w="454" w:type="dxa"/>
            <w:tcBorders>
              <w:bottom w:val="single" w:sz="4" w:space="0" w:color="auto"/>
            </w:tcBorders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7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La banda de audiofrecuencia debe limitarse a</w:t>
            </w:r>
            <w:r w:rsidR="001E46EB" w:rsidRPr="00431F42">
              <w:rPr>
                <w:lang w:val="es-ES_tradnl"/>
              </w:rPr>
              <w:t xml:space="preserve"> </w:t>
            </w:r>
            <w:r w:rsidRPr="00431F42">
              <w:rPr>
                <w:lang w:val="es-ES_tradnl"/>
              </w:rPr>
              <w:t>3 000 Hz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8209E3" w:rsidRPr="00431F42" w:rsidRDefault="008209E3" w:rsidP="001E46EB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La banda de audiofrecuencia debe limitarse a</w:t>
            </w:r>
            <w:r w:rsidR="001E46EB" w:rsidRPr="00431F42">
              <w:rPr>
                <w:lang w:val="es-ES_tradnl"/>
              </w:rPr>
              <w:t xml:space="preserve"> </w:t>
            </w:r>
            <w:r w:rsidRPr="00431F42">
              <w:rPr>
                <w:lang w:val="es-ES_tradnl"/>
              </w:rPr>
              <w:t>2 550 Hz</w:t>
            </w:r>
          </w:p>
        </w:tc>
      </w:tr>
      <w:tr w:rsidR="00FE0D30" w:rsidRPr="00431F42" w:rsidTr="00FE0D30">
        <w:trPr>
          <w:trHeight w:val="20"/>
          <w:jc w:val="center"/>
        </w:trPr>
        <w:tc>
          <w:tcPr>
            <w:tcW w:w="454" w:type="dxa"/>
            <w:tcBorders>
              <w:left w:val="single" w:sz="4" w:space="0" w:color="auto"/>
              <w:right w:val="nil"/>
            </w:tcBorders>
          </w:tcPr>
          <w:p w:rsidR="00FE0D30" w:rsidRPr="003222BE" w:rsidRDefault="00FE0D30" w:rsidP="003222BE">
            <w:pPr>
              <w:pStyle w:val="Tabletext"/>
              <w:jc w:val="left"/>
              <w:rPr>
                <w:bCs/>
                <w:lang w:val="es-ES_tradnl"/>
              </w:rPr>
            </w:pPr>
          </w:p>
        </w:tc>
        <w:tc>
          <w:tcPr>
            <w:tcW w:w="4592" w:type="dxa"/>
            <w:tcBorders>
              <w:left w:val="nil"/>
              <w:right w:val="nil"/>
            </w:tcBorders>
          </w:tcPr>
          <w:p w:rsidR="00FE0D30" w:rsidRPr="00431F42" w:rsidRDefault="00FE0D30" w:rsidP="001E46EB">
            <w:pPr>
              <w:pStyle w:val="Tabletext"/>
              <w:jc w:val="left"/>
              <w:rPr>
                <w:lang w:val="es-ES_tradnl"/>
              </w:rPr>
            </w:pPr>
          </w:p>
        </w:tc>
        <w:tc>
          <w:tcPr>
            <w:tcW w:w="4592" w:type="dxa"/>
            <w:tcBorders>
              <w:left w:val="nil"/>
              <w:right w:val="single" w:sz="4" w:space="0" w:color="auto"/>
            </w:tcBorders>
          </w:tcPr>
          <w:p w:rsidR="00FE0D30" w:rsidRPr="00431F42" w:rsidRDefault="00FE0D30" w:rsidP="001E46EB">
            <w:pPr>
              <w:pStyle w:val="Tabletext"/>
              <w:jc w:val="left"/>
              <w:rPr>
                <w:lang w:val="es-ES_tradnl"/>
              </w:rPr>
            </w:pPr>
          </w:p>
        </w:tc>
      </w:tr>
      <w:tr w:rsidR="008209E3" w:rsidRPr="00431F42" w:rsidTr="00463F2A">
        <w:trPr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jc w:val="left"/>
              <w:rPr>
                <w:bCs/>
                <w:lang w:val="es-ES_tradnl"/>
              </w:rPr>
            </w:pPr>
          </w:p>
        </w:tc>
        <w:tc>
          <w:tcPr>
            <w:tcW w:w="4592" w:type="dxa"/>
          </w:tcPr>
          <w:p w:rsidR="008209E3" w:rsidRPr="00431F42" w:rsidRDefault="008209E3" w:rsidP="005D6A26">
            <w:pPr>
              <w:pStyle w:val="Tablehead"/>
              <w:rPr>
                <w:lang w:val="es-ES_tradnl"/>
              </w:rPr>
            </w:pPr>
            <w:r w:rsidRPr="00431F42">
              <w:rPr>
                <w:lang w:val="es-ES_tradnl"/>
              </w:rPr>
              <w:t>Canales con una separación de 25 kHz</w:t>
            </w:r>
            <w:r w:rsidRPr="00431F42">
              <w:rPr>
                <w:lang w:val="es-ES_tradnl"/>
              </w:rPr>
              <w:br/>
              <w:t>Tecnología digital</w:t>
            </w:r>
          </w:p>
        </w:tc>
        <w:tc>
          <w:tcPr>
            <w:tcW w:w="4592" w:type="dxa"/>
          </w:tcPr>
          <w:p w:rsidR="008209E3" w:rsidRPr="00431F42" w:rsidRDefault="008209E3" w:rsidP="005D6A26">
            <w:pPr>
              <w:pStyle w:val="Tablehead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Canales con una separación de 12,5 kHz</w:t>
            </w:r>
            <w:r w:rsidRPr="00431F42">
              <w:rPr>
                <w:lang w:val="es-ES_tradnl"/>
              </w:rPr>
              <w:br/>
              <w:t>Tecnología digital</w:t>
            </w:r>
          </w:p>
        </w:tc>
      </w:tr>
      <w:tr w:rsidR="008209E3" w:rsidRPr="00431F42" w:rsidTr="00463F2A">
        <w:trPr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8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Debe utilizarse únicamente modulación de envolvente constante, titulada 4FSK (modulación por desplazamiento de frecuencia de 4 niveles)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Debe utilizarse únicamente modulación de envolvente constante, titulada 4FSK (modulación por desplazamiento de frecuencia de 4 niveles)</w:t>
            </w:r>
          </w:p>
        </w:tc>
      </w:tr>
      <w:tr w:rsidR="008209E3" w:rsidRPr="00431F42" w:rsidTr="00463F2A">
        <w:trPr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9</w:t>
            </w:r>
          </w:p>
        </w:tc>
        <w:tc>
          <w:tcPr>
            <w:tcW w:w="4592" w:type="dxa"/>
          </w:tcPr>
          <w:p w:rsidR="008209E3" w:rsidRPr="00431F42" w:rsidRDefault="008209E3" w:rsidP="00463F2A">
            <w:pPr>
              <w:pStyle w:val="Tabletext"/>
              <w:rPr>
                <w:lang w:val="es-ES_tradnl"/>
              </w:rPr>
            </w:pPr>
            <w:r w:rsidRPr="00431F42">
              <w:rPr>
                <w:lang w:val="es-ES_tradnl"/>
              </w:rPr>
              <w:t>La desviación de frecuencia se limita a ±3 024 Hz</w:t>
            </w:r>
          </w:p>
        </w:tc>
        <w:tc>
          <w:tcPr>
            <w:tcW w:w="4592" w:type="dxa"/>
          </w:tcPr>
          <w:p w:rsidR="008209E3" w:rsidRPr="00431F42" w:rsidRDefault="008209E3" w:rsidP="00463F2A">
            <w:pPr>
              <w:pStyle w:val="Tabletex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La desviación de frecuencia se limita a ±1 471 Hz</w:t>
            </w:r>
          </w:p>
        </w:tc>
      </w:tr>
      <w:tr w:rsidR="008209E3" w:rsidRPr="00431F42" w:rsidTr="00463F2A">
        <w:trPr>
          <w:jc w:val="center"/>
        </w:trPr>
        <w:tc>
          <w:tcPr>
            <w:tcW w:w="454" w:type="dxa"/>
          </w:tcPr>
          <w:p w:rsidR="008209E3" w:rsidRPr="003222BE" w:rsidRDefault="008209E3" w:rsidP="003222BE">
            <w:pPr>
              <w:pStyle w:val="Tabletext"/>
              <w:jc w:val="left"/>
              <w:rPr>
                <w:bCs/>
                <w:lang w:val="es-ES_tradnl"/>
              </w:rPr>
            </w:pPr>
            <w:r w:rsidRPr="003222BE">
              <w:rPr>
                <w:bCs/>
                <w:lang w:val="es-ES_tradnl"/>
              </w:rPr>
              <w:t>10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Máximo error de frecuencia de transmisión: ±2 ppm</w:t>
            </w:r>
          </w:p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Máximo error de deriva del reloj de tiempo de base: ±2 ppm</w:t>
            </w:r>
          </w:p>
        </w:tc>
        <w:tc>
          <w:tcPr>
            <w:tcW w:w="4592" w:type="dxa"/>
          </w:tcPr>
          <w:p w:rsidR="008209E3" w:rsidRPr="00431F42" w:rsidRDefault="008209E3" w:rsidP="001E46EB">
            <w:pPr>
              <w:pStyle w:val="Tabletext"/>
              <w:jc w:val="left"/>
              <w:rPr>
                <w:lang w:val="es-ES_tradnl"/>
              </w:rPr>
            </w:pPr>
            <w:r w:rsidRPr="00431F42">
              <w:rPr>
                <w:lang w:val="es-ES_tradnl"/>
              </w:rPr>
              <w:t>Máximo error de frecuencia de transmisión: ±1,5 ppm</w:t>
            </w:r>
          </w:p>
          <w:p w:rsidR="008209E3" w:rsidRPr="00431F42" w:rsidRDefault="008209E3" w:rsidP="001E46EB">
            <w:pPr>
              <w:pStyle w:val="Tabletext"/>
              <w:jc w:val="left"/>
              <w:rPr>
                <w:u w:val="double"/>
                <w:lang w:val="es-ES_tradnl"/>
              </w:rPr>
            </w:pPr>
            <w:r w:rsidRPr="00431F42">
              <w:rPr>
                <w:lang w:val="es-ES_tradnl"/>
              </w:rPr>
              <w:t>Máximo error de deriva del reloj de tiempo de base: ±2 ppm</w:t>
            </w:r>
          </w:p>
        </w:tc>
      </w:tr>
    </w:tbl>
    <w:p w:rsidR="00431F42" w:rsidRDefault="00431F42" w:rsidP="00431F42">
      <w:pPr>
        <w:pStyle w:val="Tablefin"/>
      </w:pPr>
    </w:p>
    <w:p w:rsidR="008209E3" w:rsidRPr="00431F42" w:rsidRDefault="008209E3" w:rsidP="008209E3">
      <w:pPr>
        <w:rPr>
          <w:lang w:val="es-ES_tradnl"/>
        </w:rPr>
      </w:pPr>
      <w:r w:rsidRPr="002E6855">
        <w:rPr>
          <w:lang w:val="es-ES_tradnl"/>
        </w:rPr>
        <w:t>11</w:t>
      </w:r>
      <w:r w:rsidRPr="00431F42">
        <w:rPr>
          <w:bCs/>
          <w:lang w:val="es-ES_tradnl"/>
        </w:rPr>
        <w:tab/>
        <w:t>Las señales de telemando, telemedida, y otras señales distintas de las telefónicas como la radiomensajería, deben codificarse para reducir al mínimo la posibilidad de que las señales</w:t>
      </w:r>
      <w:r w:rsidRPr="00431F42">
        <w:rPr>
          <w:lang w:val="es-ES_tradnl"/>
        </w:rPr>
        <w:t xml:space="preserve"> interferentes accionen los dispositivos correspondientes. Las frecuencias especificadas en el §</w:t>
      </w:r>
      <w:r w:rsidR="003222BE">
        <w:rPr>
          <w:lang w:val="es-ES_tradnl"/>
        </w:rPr>
        <w:t> </w:t>
      </w:r>
      <w:r w:rsidRPr="00431F42">
        <w:rPr>
          <w:lang w:val="es-ES_tradnl"/>
        </w:rPr>
        <w:t>15 siguiente para las comunicaciones a bordo pueden ser utilizadas para la explotación en modo símplex en una sola frecuencia o en dos frecuencias.</w:t>
      </w:r>
    </w:p>
    <w:p w:rsidR="008209E3" w:rsidRPr="00431F42" w:rsidRDefault="008209E3" w:rsidP="008209E3">
      <w:pPr>
        <w:rPr>
          <w:lang w:val="es-ES_tradnl"/>
        </w:rPr>
      </w:pPr>
      <w:r w:rsidRPr="002E6855">
        <w:rPr>
          <w:lang w:val="es-ES_tradnl"/>
        </w:rPr>
        <w:t>12</w:t>
      </w:r>
      <w:r w:rsidRPr="00431F42">
        <w:rPr>
          <w:lang w:val="es-ES_tradnl"/>
        </w:rPr>
        <w:tab/>
        <w:t>Cuando se utilizan en modo dúplex, las frecuencias del transmisor de base deben seleccionarse de la gama más baja para lograr un mejor funcionamiento.</w:t>
      </w:r>
    </w:p>
    <w:p w:rsidR="008209E3" w:rsidRPr="00431F42" w:rsidRDefault="008209E3" w:rsidP="008209E3">
      <w:pPr>
        <w:rPr>
          <w:lang w:val="es-ES_tradnl"/>
        </w:rPr>
      </w:pPr>
      <w:r w:rsidRPr="002E6855">
        <w:rPr>
          <w:lang w:val="es-ES_tradnl"/>
        </w:rPr>
        <w:lastRenderedPageBreak/>
        <w:t>13</w:t>
      </w:r>
      <w:r w:rsidRPr="00431F42">
        <w:rPr>
          <w:lang w:val="es-ES_tradnl"/>
        </w:rPr>
        <w:tab/>
        <w:t>En general, si fuera preciso emplear repetidores a bordo de un barco, deben utilizarse las bandas de frecuencias descritas en los números </w:t>
      </w:r>
      <w:r w:rsidRPr="00431F42">
        <w:rPr>
          <w:b/>
          <w:bCs/>
          <w:lang w:val="es-ES_tradnl"/>
        </w:rPr>
        <w:t>5.287</w:t>
      </w:r>
      <w:r w:rsidRPr="00431F42">
        <w:rPr>
          <w:lang w:val="es-ES_tradnl"/>
        </w:rPr>
        <w:t xml:space="preserve"> y </w:t>
      </w:r>
      <w:r w:rsidRPr="00431F42">
        <w:rPr>
          <w:b/>
          <w:bCs/>
          <w:lang w:val="es-ES_tradnl"/>
        </w:rPr>
        <w:t>5.288</w:t>
      </w:r>
      <w:r w:rsidRPr="00431F42">
        <w:rPr>
          <w:lang w:val="es-ES_tradnl"/>
        </w:rPr>
        <w:t xml:space="preserve"> del</w:t>
      </w:r>
      <w:r w:rsidR="00463F2A" w:rsidRPr="00431F42">
        <w:rPr>
          <w:lang w:val="es-ES_tradnl"/>
        </w:rPr>
        <w:t xml:space="preserve"> </w:t>
      </w:r>
      <w:r w:rsidRPr="00431F42">
        <w:rPr>
          <w:lang w:val="es-ES_tradnl"/>
        </w:rPr>
        <w:t>RR. Las disposiciones de frecuencias dúplex detalladas se describen en el §</w:t>
      </w:r>
      <w:r w:rsidR="00463F2A" w:rsidRPr="00431F42">
        <w:rPr>
          <w:lang w:val="es-ES_tradnl"/>
        </w:rPr>
        <w:t> </w:t>
      </w:r>
      <w:r w:rsidRPr="00431F42">
        <w:rPr>
          <w:lang w:val="es-ES_tradnl"/>
        </w:rPr>
        <w:t>15 siguiente.</w:t>
      </w:r>
    </w:p>
    <w:p w:rsidR="008209E3" w:rsidRPr="00431F42" w:rsidRDefault="008209E3" w:rsidP="008209E3">
      <w:pPr>
        <w:rPr>
          <w:lang w:val="es-ES_tradnl"/>
        </w:rPr>
      </w:pPr>
      <w:r w:rsidRPr="002E6855">
        <w:rPr>
          <w:bCs/>
          <w:lang w:val="es-ES_tradnl"/>
        </w:rPr>
        <w:t>14</w:t>
      </w:r>
      <w:r w:rsidRPr="00431F42">
        <w:rPr>
          <w:lang w:val="es-ES_tradnl"/>
        </w:rPr>
        <w:tab/>
        <w:t>En las aguas territoriales, dichas frecuencias deben emplearse con arreglo a lo dispuesto en la normativa nacional.</w:t>
      </w:r>
    </w:p>
    <w:p w:rsidR="008209E3" w:rsidRPr="00431F42" w:rsidRDefault="008209E3" w:rsidP="008209E3">
      <w:pPr>
        <w:pStyle w:val="Headingb"/>
        <w:rPr>
          <w:lang w:val="es-ES_tradnl"/>
        </w:rPr>
      </w:pPr>
      <w:r w:rsidRPr="002E6855">
        <w:rPr>
          <w:b w:val="0"/>
          <w:lang w:val="es-ES_tradnl"/>
        </w:rPr>
        <w:t>15</w:t>
      </w:r>
      <w:r w:rsidRPr="00431F42">
        <w:rPr>
          <w:lang w:val="es-ES_tradnl"/>
        </w:rPr>
        <w:tab/>
        <w:t>Frecuencias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Las bandas de frecuencias especificadas en el número </w:t>
      </w:r>
      <w:r w:rsidRPr="00431F42">
        <w:rPr>
          <w:b/>
          <w:bCs/>
          <w:lang w:val="es-ES_tradnl"/>
        </w:rPr>
        <w:t>5.287</w:t>
      </w:r>
      <w:r w:rsidRPr="00431F42">
        <w:rPr>
          <w:lang w:val="es-ES_tradnl"/>
        </w:rPr>
        <w:t xml:space="preserve"> del RR (sujetas a la reglamentación nacional) se utilizarán con la siguiente disposición:</w:t>
      </w:r>
    </w:p>
    <w:p w:rsidR="008209E3" w:rsidRPr="00431F42" w:rsidRDefault="008209E3" w:rsidP="00C17A31">
      <w:pPr>
        <w:spacing w:before="0"/>
        <w:rPr>
          <w:lang w:val="es-ES_tradnl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93"/>
        <w:gridCol w:w="897"/>
        <w:gridCol w:w="494"/>
        <w:gridCol w:w="1034"/>
        <w:gridCol w:w="509"/>
        <w:gridCol w:w="1140"/>
        <w:gridCol w:w="398"/>
        <w:gridCol w:w="494"/>
        <w:gridCol w:w="950"/>
        <w:gridCol w:w="494"/>
        <w:gridCol w:w="1087"/>
        <w:gridCol w:w="509"/>
        <w:gridCol w:w="1140"/>
      </w:tblGrid>
      <w:tr w:rsidR="00C17A31" w:rsidRPr="00431F42" w:rsidTr="00431F42">
        <w:trPr>
          <w:trHeight w:val="315"/>
          <w:jc w:val="center"/>
        </w:trPr>
        <w:tc>
          <w:tcPr>
            <w:tcW w:w="456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inferior</w:t>
            </w:r>
          </w:p>
        </w:tc>
        <w:tc>
          <w:tcPr>
            <w:tcW w:w="398" w:type="dxa"/>
            <w:shd w:val="clear" w:color="auto" w:fill="auto"/>
            <w:noWrap/>
            <w:vAlign w:val="bottom"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6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superior</w:t>
            </w:r>
          </w:p>
        </w:tc>
      </w:tr>
      <w:tr w:rsidR="00C17A31" w:rsidRPr="00431F42" w:rsidTr="00431F42">
        <w:trPr>
          <w:trHeight w:val="315"/>
          <w:jc w:val="center"/>
        </w:trPr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25 kHz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12,5 kHz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6,25 kHz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25 kHz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Canal 12,5 kHz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 xml:space="preserve">Canal 6,25 kHz </w:t>
            </w:r>
          </w:p>
        </w:tc>
      </w:tr>
      <w:tr w:rsidR="00C17A31" w:rsidRPr="00431F42" w:rsidTr="00431F42">
        <w:trPr>
          <w:trHeight w:val="315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Ch.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MHz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457,525</w:t>
            </w: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102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457,515625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467,525</w:t>
            </w: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202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467,515625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457,5250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111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457,521875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21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467,5250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211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467,521875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112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457,528125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212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467,528125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457,5375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121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457,534375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22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467,5375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221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467,534375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457,550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122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457,540625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467,550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222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467,540625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457,5500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131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457,546875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23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467,5500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231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467,546875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132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457,553125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232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467,553125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457,5625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141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457,559375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24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467,5625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241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467,559375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457,575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142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457,565625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467,575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242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467,565625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457,5750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151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457,571875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467,5750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251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467,571875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152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457,578125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252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467,578125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161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457,584375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261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  <w:r w:rsidRPr="00431F42">
              <w:rPr>
                <w:sz w:val="18"/>
                <w:szCs w:val="18"/>
                <w:lang w:val="es-ES_tradnl"/>
              </w:rPr>
              <w:t>467,584375</w:t>
            </w:r>
          </w:p>
        </w:tc>
      </w:tr>
      <w:tr w:rsidR="00C17A31" w:rsidRPr="00431F42" w:rsidTr="00431F42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A31" w:rsidRPr="00431F42" w:rsidRDefault="00C17A31" w:rsidP="00C17A31">
            <w:pPr>
              <w:pStyle w:val="Tabletext"/>
              <w:rPr>
                <w:sz w:val="18"/>
                <w:szCs w:val="18"/>
                <w:lang w:val="es-ES_tradnl"/>
              </w:rPr>
            </w:pPr>
          </w:p>
        </w:tc>
      </w:tr>
    </w:tbl>
    <w:p w:rsidR="00431F42" w:rsidRDefault="00431F42" w:rsidP="00431F42">
      <w:pPr>
        <w:pStyle w:val="Tablefin"/>
      </w:pPr>
    </w:p>
    <w:p w:rsidR="008209E3" w:rsidRPr="00431F42" w:rsidRDefault="008209E3" w:rsidP="008209E3">
      <w:pPr>
        <w:pStyle w:val="Note"/>
        <w:rPr>
          <w:lang w:val="es-ES_tradnl"/>
        </w:rPr>
      </w:pPr>
      <w:r w:rsidRPr="00431F42">
        <w:rPr>
          <w:lang w:val="es-ES_tradnl"/>
        </w:rPr>
        <w:t>NOTA</w:t>
      </w:r>
      <w:r w:rsidR="00C17A31" w:rsidRPr="00431F42">
        <w:rPr>
          <w:lang w:val="es-ES_tradnl"/>
        </w:rPr>
        <w:t> </w:t>
      </w:r>
      <w:r w:rsidRPr="00431F42">
        <w:rPr>
          <w:lang w:val="es-ES_tradnl"/>
        </w:rPr>
        <w:t>–</w:t>
      </w:r>
      <w:r w:rsidR="00C17A31" w:rsidRPr="00431F42">
        <w:rPr>
          <w:lang w:val="es-ES_tradnl"/>
        </w:rPr>
        <w:t> </w:t>
      </w:r>
      <w:r w:rsidRPr="00431F42">
        <w:rPr>
          <w:lang w:val="es-ES_tradnl"/>
        </w:rPr>
        <w:t>El repetidor debe utilizarse con parejas de canal inferior y canal superior con una separación de frecuencias de exactamente 10</w:t>
      </w:r>
      <w:r w:rsidR="001E46EB" w:rsidRPr="00431F42">
        <w:rPr>
          <w:lang w:val="es-ES_tradnl"/>
        </w:rPr>
        <w:t> </w:t>
      </w:r>
      <w:r w:rsidRPr="00431F42">
        <w:rPr>
          <w:lang w:val="es-ES_tradnl"/>
        </w:rPr>
        <w:t>MHz (por ejemplo,</w:t>
      </w:r>
      <w:bookmarkStart w:id="3" w:name="_GoBack"/>
      <w:bookmarkEnd w:id="3"/>
      <w:r w:rsidRPr="00431F42">
        <w:rPr>
          <w:lang w:val="es-ES_tradnl"/>
        </w:rPr>
        <w:t xml:space="preserve"> Ch. 2 y Ch. 5, Ch. 11 y Ch. 21).</w:t>
      </w:r>
    </w:p>
    <w:p w:rsidR="008209E3" w:rsidRPr="00431F42" w:rsidRDefault="008209E3" w:rsidP="008209E3">
      <w:pPr>
        <w:rPr>
          <w:lang w:val="es-ES_tradnl"/>
        </w:rPr>
      </w:pPr>
      <w:r w:rsidRPr="00431F42">
        <w:rPr>
          <w:lang w:val="es-ES_tradnl"/>
        </w:rPr>
        <w:t>Se trata de la interferencia del sistema digital al sistema analógico existente. Se invita a las administraciones a estudiar las repercusiones de la comunicación analógica, especialmente la que funciona con el canal inferior.</w:t>
      </w:r>
    </w:p>
    <w:p w:rsidR="008209E3" w:rsidRPr="00431F42" w:rsidRDefault="008209E3" w:rsidP="00FE0D30">
      <w:pPr>
        <w:rPr>
          <w:lang w:val="es-ES_tradnl"/>
        </w:rPr>
      </w:pPr>
    </w:p>
    <w:p w:rsidR="008209E3" w:rsidRPr="00431F42" w:rsidRDefault="008209E3" w:rsidP="008209E3">
      <w:pPr>
        <w:jc w:val="center"/>
        <w:rPr>
          <w:lang w:val="es-ES_tradnl"/>
        </w:rPr>
      </w:pPr>
      <w:r w:rsidRPr="00431F42">
        <w:rPr>
          <w:lang w:val="es-ES_tradnl"/>
        </w:rPr>
        <w:t>______________</w:t>
      </w:r>
    </w:p>
    <w:sectPr w:rsidR="008209E3" w:rsidRPr="00431F42" w:rsidSect="0004229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4D65" w:rsidP="00CB1354">
    <w:pPr>
      <w:ind w:right="360" w:firstLine="360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A624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fldSimple w:instr=" DOCPROPERTY &quot;Header&quot; \* MERGEFORMAT ">
      <w:r w:rsidR="00EA6243" w:rsidRPr="00EA6243">
        <w:rPr>
          <w:b/>
          <w:bCs/>
        </w:rPr>
        <w:t xml:space="preserve">Rec. </w:t>
      </w:r>
    </w:fldSimple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EA6243">
      <w:rPr>
        <w:b/>
        <w:bCs/>
        <w:noProof/>
      </w:rPr>
      <w:t>UIT-R  M.1174-4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r>
      <w:tab/>
    </w:r>
    <w:fldSimple w:instr=" DOCPROPERTY &quot;Header&quot; \* MERGEFORMAT ">
      <w:r w:rsidR="00EA6243" w:rsidRPr="00EA624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EA6243">
      <w:rPr>
        <w:b/>
        <w:bCs/>
        <w:noProof/>
      </w:rPr>
      <w:t>UIT-R  M.1174-4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E3" w:rsidRPr="001B395D" w:rsidRDefault="008209E3" w:rsidP="008209E3">
    <w:pPr>
      <w:pStyle w:val="Header"/>
      <w:jc w:val="left"/>
      <w:rPr>
        <w:b/>
        <w:bCs/>
      </w:rPr>
    </w:pP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EA6243">
      <w:rPr>
        <w:rStyle w:val="PageNumber"/>
        <w:b/>
        <w:bCs/>
        <w:noProof/>
      </w:rPr>
      <w:t>2</w:t>
    </w:r>
    <w:r w:rsidRPr="00F32218">
      <w:rPr>
        <w:rStyle w:val="PageNumber"/>
        <w:b/>
        <w:bCs/>
        <w:noProof/>
      </w:rPr>
      <w:fldChar w:fldCharType="end"/>
    </w:r>
    <w:r>
      <w:tab/>
    </w:r>
    <w:r w:rsidR="00B146BA">
      <w:fldChar w:fldCharType="begin"/>
    </w:r>
    <w:r w:rsidR="00B146BA">
      <w:instrText xml:space="preserve"> DOCPROPERTY "Header" \* MERGEFORMAT </w:instrText>
    </w:r>
    <w:r w:rsidR="00B146BA">
      <w:fldChar w:fldCharType="separate"/>
    </w:r>
    <w:r w:rsidR="00EA6243" w:rsidRPr="00EA6243">
      <w:rPr>
        <w:b/>
        <w:bCs/>
      </w:rPr>
      <w:t xml:space="preserve">Rec. </w:t>
    </w:r>
    <w:r w:rsidR="00B146BA"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EA6243">
      <w:rPr>
        <w:b/>
        <w:bCs/>
        <w:noProof/>
      </w:rPr>
      <w:t>UIT-R  M.1174-4</w:t>
    </w:r>
    <w:r w:rsidRPr="001B395D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Pr="001B395D" w:rsidRDefault="00F32218" w:rsidP="00F32218">
    <w:pPr>
      <w:pStyle w:val="Header"/>
      <w:jc w:val="left"/>
      <w:rPr>
        <w:b/>
        <w:bCs/>
      </w:rPr>
    </w:pPr>
    <w:r>
      <w:tab/>
    </w:r>
    <w:fldSimple w:instr=" DOCPROPERTY &quot;Header&quot; \* MERGEFORMAT ">
      <w:r w:rsidR="00EA6243" w:rsidRPr="00EA6243">
        <w:rPr>
          <w:b/>
          <w:bCs/>
        </w:rPr>
        <w:t xml:space="preserve">Rec. </w:t>
      </w:r>
    </w:fldSimple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B146BA">
      <w:rPr>
        <w:b/>
        <w:bCs/>
        <w:noProof/>
      </w:rPr>
      <w:t>UIT-R  M.1174-4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B146BA">
      <w:rPr>
        <w:rStyle w:val="PageNumber"/>
        <w:b/>
        <w:bCs/>
        <w:noProof/>
      </w:rPr>
      <w:t>3</w:t>
    </w:r>
    <w:r w:rsidRPr="00F32218">
      <w:rPr>
        <w:rStyle w:val="PageNumber"/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5654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4A7D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5E90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1CC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E82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141F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B0EB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72DD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DA0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163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0C4DCE"/>
    <w:rsid w:val="0017632B"/>
    <w:rsid w:val="001B26B3"/>
    <w:rsid w:val="001B2F46"/>
    <w:rsid w:val="001B395D"/>
    <w:rsid w:val="001E46EB"/>
    <w:rsid w:val="0021735B"/>
    <w:rsid w:val="002D76C4"/>
    <w:rsid w:val="002E6855"/>
    <w:rsid w:val="003222BE"/>
    <w:rsid w:val="00383195"/>
    <w:rsid w:val="00410F5B"/>
    <w:rsid w:val="00427ED9"/>
    <w:rsid w:val="00431F42"/>
    <w:rsid w:val="00463F2A"/>
    <w:rsid w:val="004E4FBE"/>
    <w:rsid w:val="005418BE"/>
    <w:rsid w:val="00567624"/>
    <w:rsid w:val="00574749"/>
    <w:rsid w:val="00607D68"/>
    <w:rsid w:val="00616F70"/>
    <w:rsid w:val="00624CFA"/>
    <w:rsid w:val="006870AA"/>
    <w:rsid w:val="006F3D6E"/>
    <w:rsid w:val="007172BA"/>
    <w:rsid w:val="0072064A"/>
    <w:rsid w:val="0076082A"/>
    <w:rsid w:val="008209E3"/>
    <w:rsid w:val="00842B0E"/>
    <w:rsid w:val="008C67E6"/>
    <w:rsid w:val="00906075"/>
    <w:rsid w:val="00982F3A"/>
    <w:rsid w:val="00A07AEB"/>
    <w:rsid w:val="00A6617B"/>
    <w:rsid w:val="00A80825"/>
    <w:rsid w:val="00AB0DC8"/>
    <w:rsid w:val="00B146BA"/>
    <w:rsid w:val="00B42F17"/>
    <w:rsid w:val="00B44E24"/>
    <w:rsid w:val="00C17A31"/>
    <w:rsid w:val="00C36A75"/>
    <w:rsid w:val="00C411AF"/>
    <w:rsid w:val="00CB1354"/>
    <w:rsid w:val="00CC7B9E"/>
    <w:rsid w:val="00CF7F63"/>
    <w:rsid w:val="00D131B8"/>
    <w:rsid w:val="00D33FA3"/>
    <w:rsid w:val="00D4362D"/>
    <w:rsid w:val="00DF4176"/>
    <w:rsid w:val="00DF4734"/>
    <w:rsid w:val="00E704B6"/>
    <w:rsid w:val="00EA6243"/>
    <w:rsid w:val="00ED4181"/>
    <w:rsid w:val="00ED6A57"/>
    <w:rsid w:val="00EE743D"/>
    <w:rsid w:val="00F32218"/>
    <w:rsid w:val="00F524E4"/>
    <w:rsid w:val="00F90A3D"/>
    <w:rsid w:val="00F91385"/>
    <w:rsid w:val="00FD7CE8"/>
    <w:rsid w:val="00FE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85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E685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2E685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E685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E685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E6855"/>
    <w:pPr>
      <w:outlineLvl w:val="4"/>
    </w:pPr>
  </w:style>
  <w:style w:type="paragraph" w:styleId="Heading6">
    <w:name w:val="heading 6"/>
    <w:basedOn w:val="Heading4"/>
    <w:next w:val="Normal"/>
    <w:qFormat/>
    <w:rsid w:val="002E685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E6855"/>
    <w:pPr>
      <w:outlineLvl w:val="6"/>
    </w:pPr>
  </w:style>
  <w:style w:type="paragraph" w:styleId="Heading8">
    <w:name w:val="heading 8"/>
    <w:basedOn w:val="Heading6"/>
    <w:next w:val="Normal"/>
    <w:qFormat/>
    <w:rsid w:val="002E6855"/>
    <w:pPr>
      <w:outlineLvl w:val="7"/>
    </w:pPr>
  </w:style>
  <w:style w:type="paragraph" w:styleId="Heading9">
    <w:name w:val="heading 9"/>
    <w:basedOn w:val="Heading6"/>
    <w:next w:val="Normal"/>
    <w:qFormat/>
    <w:rsid w:val="002E685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2E685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E6855"/>
  </w:style>
  <w:style w:type="paragraph" w:styleId="Header">
    <w:name w:val="header"/>
    <w:basedOn w:val="Normal"/>
    <w:link w:val="HeaderChar"/>
    <w:rsid w:val="002E685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2E685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E6855"/>
  </w:style>
  <w:style w:type="paragraph" w:customStyle="1" w:styleId="Headingb">
    <w:name w:val="Heading_b"/>
    <w:basedOn w:val="Heading3"/>
    <w:next w:val="Normal"/>
    <w:rsid w:val="002E685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E685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E6855"/>
  </w:style>
  <w:style w:type="paragraph" w:customStyle="1" w:styleId="enumlev1">
    <w:name w:val="enumlev1"/>
    <w:basedOn w:val="Normal"/>
    <w:rsid w:val="002E6855"/>
    <w:pPr>
      <w:spacing w:before="80"/>
      <w:ind w:left="794" w:hanging="794"/>
    </w:pPr>
  </w:style>
  <w:style w:type="paragraph" w:customStyle="1" w:styleId="enumlev2">
    <w:name w:val="enumlev2"/>
    <w:basedOn w:val="enumlev1"/>
    <w:rsid w:val="002E6855"/>
    <w:pPr>
      <w:ind w:left="1191" w:hanging="397"/>
    </w:pPr>
  </w:style>
  <w:style w:type="paragraph" w:customStyle="1" w:styleId="enumlev3">
    <w:name w:val="enumlev3"/>
    <w:basedOn w:val="enumlev2"/>
    <w:rsid w:val="002E6855"/>
    <w:pPr>
      <w:ind w:left="1588"/>
    </w:pPr>
  </w:style>
  <w:style w:type="paragraph" w:customStyle="1" w:styleId="Normalaftertitle">
    <w:name w:val="Normal_after_title"/>
    <w:basedOn w:val="Normal"/>
    <w:next w:val="Normal"/>
    <w:rsid w:val="002E6855"/>
    <w:pPr>
      <w:spacing w:before="320"/>
    </w:pPr>
  </w:style>
  <w:style w:type="paragraph" w:customStyle="1" w:styleId="Note">
    <w:name w:val="Note"/>
    <w:basedOn w:val="Normal"/>
    <w:rsid w:val="002E685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E685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E6855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E6855"/>
    <w:pPr>
      <w:jc w:val="center"/>
    </w:pPr>
  </w:style>
  <w:style w:type="paragraph" w:customStyle="1" w:styleId="Recdate">
    <w:name w:val="Rec_date"/>
    <w:basedOn w:val="Recref"/>
    <w:next w:val="Normalaftertitle"/>
    <w:rsid w:val="002E6855"/>
    <w:pPr>
      <w:jc w:val="right"/>
    </w:pPr>
  </w:style>
  <w:style w:type="paragraph" w:customStyle="1" w:styleId="AnnexNoTitle">
    <w:name w:val="Annex_NoTitle"/>
    <w:basedOn w:val="Normal"/>
    <w:next w:val="Normalaftertitle"/>
    <w:rsid w:val="002E685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E6855"/>
  </w:style>
  <w:style w:type="paragraph" w:customStyle="1" w:styleId="Tablefin">
    <w:name w:val="Table_fin"/>
    <w:basedOn w:val="Normal"/>
    <w:next w:val="Normal"/>
    <w:rsid w:val="002E685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2E685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E685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E685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2E685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E685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E685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E6855"/>
    <w:pPr>
      <w:ind w:left="794"/>
    </w:pPr>
  </w:style>
  <w:style w:type="paragraph" w:customStyle="1" w:styleId="Figurelegend">
    <w:name w:val="Figure_legend"/>
    <w:basedOn w:val="Normal"/>
    <w:rsid w:val="002E685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2E685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E685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E685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E685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E685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E685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E685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E6855"/>
    <w:rPr>
      <w:b/>
    </w:rPr>
  </w:style>
  <w:style w:type="paragraph" w:customStyle="1" w:styleId="Chaptitle">
    <w:name w:val="Chap_title"/>
    <w:basedOn w:val="Arttitle"/>
    <w:next w:val="Normalaftertitle"/>
    <w:rsid w:val="002E6855"/>
  </w:style>
  <w:style w:type="character" w:styleId="FootnoteReference">
    <w:name w:val="footnote reference"/>
    <w:basedOn w:val="DefaultParagraphFont"/>
    <w:semiHidden/>
    <w:rsid w:val="002E6855"/>
    <w:rPr>
      <w:position w:val="6"/>
      <w:sz w:val="18"/>
    </w:rPr>
  </w:style>
  <w:style w:type="paragraph" w:styleId="FootnoteText">
    <w:name w:val="footnote text"/>
    <w:basedOn w:val="Normal"/>
    <w:semiHidden/>
    <w:rsid w:val="002E6855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E6855"/>
  </w:style>
  <w:style w:type="paragraph" w:styleId="Index2">
    <w:name w:val="index 2"/>
    <w:basedOn w:val="Normal"/>
    <w:next w:val="Normal"/>
    <w:semiHidden/>
    <w:rsid w:val="002E6855"/>
    <w:pPr>
      <w:ind w:left="283"/>
    </w:pPr>
  </w:style>
  <w:style w:type="paragraph" w:styleId="Index3">
    <w:name w:val="index 3"/>
    <w:basedOn w:val="Normal"/>
    <w:next w:val="Normal"/>
    <w:semiHidden/>
    <w:rsid w:val="002E6855"/>
    <w:pPr>
      <w:ind w:left="566"/>
    </w:pPr>
  </w:style>
  <w:style w:type="paragraph" w:styleId="IndexHeading">
    <w:name w:val="index heading"/>
    <w:basedOn w:val="Normal"/>
    <w:next w:val="Index1"/>
    <w:semiHidden/>
    <w:rsid w:val="002E6855"/>
  </w:style>
  <w:style w:type="paragraph" w:customStyle="1" w:styleId="Line">
    <w:name w:val="Line"/>
    <w:basedOn w:val="Normal"/>
    <w:next w:val="Normal"/>
    <w:rsid w:val="002E685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E685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E6855"/>
  </w:style>
  <w:style w:type="paragraph" w:customStyle="1" w:styleId="Partref">
    <w:name w:val="Part_ref"/>
    <w:basedOn w:val="Normal"/>
    <w:next w:val="Normal"/>
    <w:rsid w:val="002E685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E685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E6855"/>
  </w:style>
  <w:style w:type="paragraph" w:customStyle="1" w:styleId="QuestionNo">
    <w:name w:val="Question_No"/>
    <w:basedOn w:val="RecNo"/>
    <w:next w:val="Normal"/>
    <w:rsid w:val="002E6855"/>
  </w:style>
  <w:style w:type="paragraph" w:customStyle="1" w:styleId="Questionref">
    <w:name w:val="Question_ref"/>
    <w:basedOn w:val="Recref"/>
    <w:next w:val="Questiondate"/>
    <w:rsid w:val="002E6855"/>
  </w:style>
  <w:style w:type="paragraph" w:customStyle="1" w:styleId="Questiontitle">
    <w:name w:val="Question_title"/>
    <w:basedOn w:val="Normal"/>
    <w:next w:val="Questionref"/>
    <w:rsid w:val="002E6855"/>
  </w:style>
  <w:style w:type="paragraph" w:customStyle="1" w:styleId="Reftext">
    <w:name w:val="Ref_text"/>
    <w:basedOn w:val="Normal"/>
    <w:rsid w:val="002E685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E685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E6855"/>
  </w:style>
  <w:style w:type="paragraph" w:customStyle="1" w:styleId="RepNo">
    <w:name w:val="Rep_No"/>
    <w:basedOn w:val="RecNo"/>
    <w:next w:val="Reptitle"/>
    <w:rsid w:val="002E6855"/>
  </w:style>
  <w:style w:type="paragraph" w:customStyle="1" w:styleId="Repref">
    <w:name w:val="Rep_ref"/>
    <w:basedOn w:val="Recref"/>
    <w:next w:val="Repdate"/>
    <w:rsid w:val="002E6855"/>
  </w:style>
  <w:style w:type="paragraph" w:customStyle="1" w:styleId="Reptitle">
    <w:name w:val="Rep_title"/>
    <w:basedOn w:val="Rectitle"/>
    <w:next w:val="Repref"/>
    <w:rsid w:val="002E6855"/>
  </w:style>
  <w:style w:type="paragraph" w:customStyle="1" w:styleId="Resdate">
    <w:name w:val="Res_date"/>
    <w:basedOn w:val="Recdate"/>
    <w:next w:val="Normalaftertitle"/>
    <w:rsid w:val="002E6855"/>
  </w:style>
  <w:style w:type="paragraph" w:customStyle="1" w:styleId="ResNo">
    <w:name w:val="Res_No"/>
    <w:basedOn w:val="RecNo"/>
    <w:next w:val="Restitle"/>
    <w:rsid w:val="002E6855"/>
  </w:style>
  <w:style w:type="paragraph" w:customStyle="1" w:styleId="Resref">
    <w:name w:val="Res_ref"/>
    <w:basedOn w:val="Recref"/>
    <w:next w:val="Resdate"/>
    <w:rsid w:val="002E6855"/>
  </w:style>
  <w:style w:type="paragraph" w:customStyle="1" w:styleId="Restitle">
    <w:name w:val="Res_title"/>
    <w:basedOn w:val="Normal"/>
    <w:next w:val="Resref"/>
    <w:rsid w:val="002E685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E6855"/>
  </w:style>
  <w:style w:type="paragraph" w:customStyle="1" w:styleId="Sectiontitle">
    <w:name w:val="Section_title"/>
    <w:basedOn w:val="Normal"/>
    <w:next w:val="Normalaftertitle"/>
    <w:rsid w:val="002E685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E685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2E685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E685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E685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E685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E6855"/>
  </w:style>
  <w:style w:type="paragraph" w:styleId="TOC6">
    <w:name w:val="toc 6"/>
    <w:basedOn w:val="TOC4"/>
    <w:semiHidden/>
    <w:rsid w:val="002E6855"/>
  </w:style>
  <w:style w:type="paragraph" w:styleId="TOC7">
    <w:name w:val="toc 7"/>
    <w:basedOn w:val="TOC4"/>
    <w:semiHidden/>
    <w:rsid w:val="002E6855"/>
  </w:style>
  <w:style w:type="paragraph" w:styleId="TOC8">
    <w:name w:val="toc 8"/>
    <w:basedOn w:val="TOC4"/>
    <w:semiHidden/>
    <w:rsid w:val="002E6855"/>
  </w:style>
  <w:style w:type="paragraph" w:customStyle="1" w:styleId="Rectitle">
    <w:name w:val="Rec_title"/>
    <w:basedOn w:val="Normal"/>
    <w:next w:val="Recref"/>
    <w:rsid w:val="002E6855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E685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E6855"/>
  </w:style>
  <w:style w:type="paragraph" w:customStyle="1" w:styleId="Figuretitle">
    <w:name w:val="Figure_title"/>
    <w:basedOn w:val="Normal"/>
    <w:next w:val="Figure"/>
    <w:rsid w:val="002E685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E685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link w:val="SummaryZchn"/>
    <w:autoRedefine/>
    <w:rsid w:val="002E6855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E6855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2E6855"/>
    <w:pPr>
      <w:ind w:left="-85" w:firstLine="0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SummaryZchn">
    <w:name w:val="Summary Zchn"/>
    <w:basedOn w:val="DefaultParagraphFont"/>
    <w:link w:val="Summary"/>
    <w:rsid w:val="008209E3"/>
    <w:rPr>
      <w:sz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56</TotalTime>
  <Pages>5</Pages>
  <Words>1465</Words>
  <Characters>8571</Characters>
  <Application>Microsoft Office Word</Application>
  <DocSecurity>0</DocSecurity>
  <Lines>295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9925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Martinez Romera, Angel</cp:lastModifiedBy>
  <cp:revision>15</cp:revision>
  <cp:lastPrinted>2019-12-03T13:32:00Z</cp:lastPrinted>
  <dcterms:created xsi:type="dcterms:W3CDTF">2019-12-03T10:34:00Z</dcterms:created>
  <dcterms:modified xsi:type="dcterms:W3CDTF">2019-12-03T13:57:00Z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