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C17" w:rsidRDefault="00975C17" w:rsidP="00975C17">
      <w:bookmarkStart w:id="0" w:name="_GoBack"/>
      <w:bookmarkEnd w:id="0"/>
    </w:p>
    <w:p w:rsidR="00975C17" w:rsidRDefault="00975C17" w:rsidP="00975C17"/>
    <w:p w:rsidR="00975C17" w:rsidRDefault="00975C17" w:rsidP="00975C17"/>
    <w:p w:rsidR="00975C17" w:rsidRDefault="00975C17" w:rsidP="00975C17"/>
    <w:p w:rsidR="00975C17" w:rsidRDefault="00975C17" w:rsidP="00975C17"/>
    <w:p w:rsidR="00975C17" w:rsidRDefault="00975C17" w:rsidP="00975C17"/>
    <w:p w:rsidR="00975C17" w:rsidRDefault="00975C17" w:rsidP="00975C17"/>
    <w:p w:rsidR="001B4A0F" w:rsidRDefault="001B4A0F" w:rsidP="00975C17"/>
    <w:p w:rsidR="001B4A0F" w:rsidRDefault="001B4A0F" w:rsidP="00975C17"/>
    <w:p w:rsidR="001B4A0F" w:rsidRDefault="001B4A0F" w:rsidP="00975C17"/>
    <w:p w:rsidR="00975C17" w:rsidRDefault="00975C17" w:rsidP="00975C17"/>
    <w:tbl>
      <w:tblPr>
        <w:tblW w:w="10089" w:type="dxa"/>
        <w:tblLook w:val="01E0" w:firstRow="1" w:lastRow="1" w:firstColumn="1" w:lastColumn="1" w:noHBand="0" w:noVBand="0"/>
      </w:tblPr>
      <w:tblGrid>
        <w:gridCol w:w="10089"/>
      </w:tblGrid>
      <w:tr w:rsidR="00975C17" w:rsidRPr="00465A7E" w:rsidTr="00F1428D">
        <w:tc>
          <w:tcPr>
            <w:tcW w:w="10089" w:type="dxa"/>
          </w:tcPr>
          <w:p w:rsidR="00975C17" w:rsidRPr="00A07AEB" w:rsidRDefault="00975C17" w:rsidP="00F1428D">
            <w:pPr>
              <w:spacing w:before="380" w:line="280" w:lineRule="exact"/>
              <w:jc w:val="right"/>
              <w:rPr>
                <w:rFonts w:ascii="Tahoma" w:hAnsi="Tahoma" w:cs="Tahoma"/>
                <w:b/>
                <w:bCs/>
                <w:iCs/>
                <w:color w:val="243285"/>
                <w:sz w:val="32"/>
                <w:szCs w:val="32"/>
                <w:lang w:val="en-US"/>
              </w:rPr>
            </w:pPr>
          </w:p>
          <w:p w:rsidR="00975C17" w:rsidRPr="00A07AEB" w:rsidRDefault="00975C17" w:rsidP="00975C1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M.1173-1</w:t>
            </w:r>
          </w:p>
          <w:p w:rsidR="00975C17" w:rsidRPr="00A07AEB" w:rsidRDefault="00975C17" w:rsidP="00975C1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975C17" w:rsidRPr="00975C17" w:rsidTr="00F1428D">
        <w:tc>
          <w:tcPr>
            <w:tcW w:w="10089" w:type="dxa"/>
          </w:tcPr>
          <w:p w:rsidR="00975C17" w:rsidRPr="0010336F" w:rsidRDefault="00975C17" w:rsidP="00F1428D">
            <w:pPr>
              <w:spacing w:before="80" w:line="500" w:lineRule="exact"/>
              <w:jc w:val="right"/>
              <w:rPr>
                <w:rFonts w:ascii="Tahoma" w:hAnsi="Tahoma" w:cs="Tahoma"/>
                <w:b/>
                <w:bCs/>
                <w:iCs/>
                <w:color w:val="243285"/>
                <w:sz w:val="44"/>
                <w:szCs w:val="44"/>
                <w:lang w:val="es-ES_tradnl"/>
              </w:rPr>
            </w:pPr>
          </w:p>
          <w:p w:rsidR="00975C17" w:rsidRDefault="00975C17" w:rsidP="00854543">
            <w:pPr>
              <w:spacing w:before="80" w:line="500" w:lineRule="exact"/>
              <w:jc w:val="right"/>
              <w:rPr>
                <w:rFonts w:ascii="Tahoma" w:hAnsi="Tahoma" w:cs="Tahoma"/>
                <w:b/>
                <w:bCs/>
                <w:color w:val="243285"/>
                <w:sz w:val="44"/>
                <w:szCs w:val="44"/>
                <w:lang w:val="es-ES_tradnl"/>
              </w:rPr>
            </w:pPr>
            <w:r w:rsidRPr="00F63E4C">
              <w:rPr>
                <w:rFonts w:ascii="Tahoma" w:hAnsi="Tahoma" w:cs="Tahoma"/>
                <w:b/>
                <w:bCs/>
                <w:iCs/>
                <w:color w:val="243285"/>
                <w:sz w:val="44"/>
                <w:szCs w:val="44"/>
                <w:lang w:val="es-ES_tradnl"/>
              </w:rPr>
              <w:t>Características técnicas de las radiobalizas d</w:t>
            </w:r>
            <w:r>
              <w:rPr>
                <w:rFonts w:ascii="Tahoma" w:hAnsi="Tahoma" w:cs="Tahoma"/>
                <w:b/>
                <w:bCs/>
                <w:iCs/>
                <w:color w:val="243285"/>
                <w:sz w:val="44"/>
                <w:szCs w:val="44"/>
                <w:lang w:val="es-ES_tradnl"/>
              </w:rPr>
              <w:t xml:space="preserve">e localización de siniestros en </w:t>
            </w:r>
            <w:r w:rsidRPr="00F63E4C">
              <w:rPr>
                <w:rFonts w:ascii="Tahoma" w:hAnsi="Tahoma" w:cs="Tahoma"/>
                <w:b/>
                <w:bCs/>
                <w:iCs/>
                <w:color w:val="243285"/>
                <w:sz w:val="44"/>
                <w:szCs w:val="44"/>
                <w:lang w:val="es-ES_tradnl"/>
              </w:rPr>
              <w:t>ondas</w:t>
            </w:r>
            <w:r w:rsidR="00854543">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métricas que</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utilizan</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llamada</w:t>
            </w:r>
            <w:r w:rsidR="00854543">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selectiva</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digital</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(RLS</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en</w:t>
            </w:r>
            <w:r w:rsidR="00854543">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ondas</w:t>
            </w:r>
            <w:r w:rsidR="00854543">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métricas</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con LLSD)</w:t>
            </w:r>
          </w:p>
          <w:p w:rsidR="00975C17" w:rsidRPr="00A07AEB" w:rsidRDefault="00975C17" w:rsidP="00F1428D">
            <w:pPr>
              <w:spacing w:before="80" w:line="500" w:lineRule="exact"/>
              <w:jc w:val="right"/>
              <w:rPr>
                <w:rFonts w:ascii="Tahoma" w:hAnsi="Tahoma" w:cs="Tahoma"/>
                <w:b/>
                <w:bCs/>
                <w:iCs/>
                <w:color w:val="243285"/>
                <w:sz w:val="44"/>
                <w:szCs w:val="44"/>
                <w:lang w:val="es-ES_tradnl"/>
              </w:rPr>
            </w:pPr>
          </w:p>
        </w:tc>
      </w:tr>
      <w:tr w:rsidR="00975C17" w:rsidRPr="00465A7E" w:rsidTr="00F1428D">
        <w:tc>
          <w:tcPr>
            <w:tcW w:w="10089" w:type="dxa"/>
          </w:tcPr>
          <w:p w:rsidR="00975C17" w:rsidRPr="00A07AEB" w:rsidRDefault="00975C17" w:rsidP="00F1428D">
            <w:pPr>
              <w:spacing w:before="80" w:line="280" w:lineRule="exact"/>
              <w:ind w:right="640"/>
              <w:rPr>
                <w:rFonts w:ascii="Tahoma" w:hAnsi="Tahoma" w:cs="Tahoma"/>
                <w:b/>
                <w:bCs/>
                <w:iCs/>
                <w:color w:val="243285"/>
                <w:sz w:val="32"/>
                <w:szCs w:val="32"/>
                <w:lang w:val="es-ES_tradnl"/>
              </w:rPr>
            </w:pPr>
          </w:p>
          <w:p w:rsidR="00975C17" w:rsidRPr="00A07AEB" w:rsidRDefault="00975C17" w:rsidP="00F1428D">
            <w:pPr>
              <w:spacing w:before="80" w:after="180" w:line="360" w:lineRule="exact"/>
              <w:ind w:right="720"/>
              <w:rPr>
                <w:rFonts w:ascii="Tahoma" w:hAnsi="Tahoma" w:cs="Tahoma"/>
                <w:b/>
                <w:bCs/>
                <w:iCs/>
                <w:color w:val="243285"/>
                <w:sz w:val="36"/>
                <w:szCs w:val="36"/>
                <w:lang w:val="es-ES_tradnl"/>
              </w:rPr>
            </w:pPr>
          </w:p>
          <w:p w:rsidR="00975C17" w:rsidRPr="00A07AEB" w:rsidRDefault="00975C17" w:rsidP="00F1428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75C17" w:rsidRPr="00A07AEB" w:rsidRDefault="00975C17" w:rsidP="00F1428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75C17" w:rsidRPr="0026666F" w:rsidRDefault="00975C17" w:rsidP="00975C17">
      <w:pPr>
        <w:spacing w:before="80"/>
        <w:rPr>
          <w:i/>
          <w:sz w:val="22"/>
          <w:lang w:val="es-ES_tradnl"/>
        </w:rPr>
      </w:pPr>
    </w:p>
    <w:p w:rsidR="00975C17" w:rsidRDefault="00975C17" w:rsidP="00975C17">
      <w:pPr>
        <w:spacing w:before="80"/>
        <w:rPr>
          <w:i/>
          <w:sz w:val="22"/>
          <w:lang w:val="es-ES_tradnl"/>
        </w:rPr>
      </w:pPr>
    </w:p>
    <w:p w:rsidR="001B4A0F" w:rsidRDefault="001B4A0F" w:rsidP="00975C17">
      <w:pPr>
        <w:spacing w:before="80"/>
        <w:rPr>
          <w:i/>
          <w:sz w:val="22"/>
          <w:lang w:val="es-ES_tradnl"/>
        </w:rPr>
      </w:pPr>
    </w:p>
    <w:p w:rsidR="001B4A0F" w:rsidRPr="0026666F" w:rsidRDefault="001B4A0F" w:rsidP="00975C17">
      <w:pPr>
        <w:spacing w:before="80"/>
        <w:rPr>
          <w:i/>
          <w:sz w:val="22"/>
          <w:lang w:val="es-ES_tradnl"/>
        </w:rPr>
      </w:pPr>
    </w:p>
    <w:p w:rsidR="00975C17" w:rsidRPr="0026666F" w:rsidRDefault="00975C17" w:rsidP="00975C17">
      <w:pPr>
        <w:spacing w:before="80"/>
        <w:rPr>
          <w:i/>
          <w:sz w:val="22"/>
          <w:lang w:val="es-ES_tradnl"/>
        </w:rPr>
      </w:pPr>
    </w:p>
    <w:p w:rsidR="00975C17" w:rsidRPr="0026666F" w:rsidRDefault="00975C17" w:rsidP="00975C17">
      <w:pPr>
        <w:pStyle w:val="Equation"/>
        <w:tabs>
          <w:tab w:val="clear" w:pos="4820"/>
          <w:tab w:val="clear" w:pos="9639"/>
          <w:tab w:val="left" w:pos="1191"/>
          <w:tab w:val="left" w:pos="1588"/>
          <w:tab w:val="left" w:pos="1985"/>
        </w:tabs>
        <w:rPr>
          <w:rFonts w:ascii="Palatino Linotype" w:hAnsi="Palatino Linotype"/>
          <w:lang w:val="es-ES_tradnl"/>
        </w:rPr>
        <w:sectPr w:rsidR="00975C17" w:rsidRPr="0026666F">
          <w:headerReference w:type="even" r:id="rId8"/>
          <w:headerReference w:type="default" r:id="rId9"/>
          <w:pgSz w:w="11907" w:h="16840" w:code="9"/>
          <w:pgMar w:top="1089" w:right="1089" w:bottom="284" w:left="1089" w:header="567" w:footer="284" w:gutter="0"/>
          <w:pgNumType w:start="1"/>
          <w:cols w:space="720"/>
        </w:sectPr>
      </w:pPr>
    </w:p>
    <w:p w:rsidR="00975C17" w:rsidRPr="006C718C" w:rsidRDefault="00975C17" w:rsidP="00975C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75C17" w:rsidRPr="006C718C" w:rsidRDefault="00975C17" w:rsidP="00975C1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75C17" w:rsidRPr="006C718C" w:rsidRDefault="00975C17" w:rsidP="00975C1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75C17" w:rsidRPr="00021E8A" w:rsidRDefault="00975C17" w:rsidP="00975C1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75C17" w:rsidRPr="00021E8A" w:rsidRDefault="00975C17" w:rsidP="00975C1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75C17" w:rsidRPr="007C36CA" w:rsidRDefault="00975C17" w:rsidP="00975C17">
      <w:pPr>
        <w:spacing w:before="0"/>
        <w:jc w:val="center"/>
        <w:rPr>
          <w:sz w:val="22"/>
          <w:lang w:val="es-ES_tradnl"/>
        </w:rPr>
      </w:pPr>
    </w:p>
    <w:p w:rsidR="00975C17" w:rsidRPr="007C36CA" w:rsidRDefault="00975C17" w:rsidP="00975C1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75C17" w:rsidRPr="00465A7E" w:rsidTr="00F1428D">
        <w:tc>
          <w:tcPr>
            <w:tcW w:w="9360" w:type="dxa"/>
            <w:gridSpan w:val="2"/>
          </w:tcPr>
          <w:p w:rsidR="00975C17" w:rsidRPr="00021E8A" w:rsidRDefault="00975C17" w:rsidP="00F1428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75C17" w:rsidRPr="00763D08"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975C17" w:rsidRPr="00036EE3" w:rsidTr="00F1428D">
        <w:tc>
          <w:tcPr>
            <w:tcW w:w="1140" w:type="dxa"/>
          </w:tcPr>
          <w:p w:rsidR="00975C17" w:rsidRPr="00036EE3" w:rsidRDefault="00975C17" w:rsidP="00F1428D">
            <w:pPr>
              <w:spacing w:before="180" w:after="100"/>
              <w:ind w:left="57"/>
              <w:rPr>
                <w:b/>
                <w:bCs/>
                <w:sz w:val="20"/>
                <w:lang w:val="en-US"/>
              </w:rPr>
            </w:pPr>
            <w:r w:rsidRPr="00036EE3">
              <w:rPr>
                <w:b/>
                <w:bCs/>
                <w:sz w:val="20"/>
                <w:lang w:val="en-US"/>
              </w:rPr>
              <w:t>Series</w:t>
            </w:r>
          </w:p>
        </w:tc>
        <w:tc>
          <w:tcPr>
            <w:tcW w:w="8220" w:type="dxa"/>
          </w:tcPr>
          <w:p w:rsidR="00975C17" w:rsidRPr="00036EE3"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BO</w:t>
            </w:r>
          </w:p>
        </w:tc>
        <w:tc>
          <w:tcPr>
            <w:tcW w:w="8220" w:type="dxa"/>
          </w:tcPr>
          <w:p w:rsidR="00975C17" w:rsidRPr="00021E8A"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975C17" w:rsidRPr="00465A7E"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BR</w:t>
            </w:r>
          </w:p>
        </w:tc>
        <w:tc>
          <w:tcPr>
            <w:tcW w:w="8220" w:type="dxa"/>
          </w:tcPr>
          <w:p w:rsidR="00975C17" w:rsidRPr="00021E8A"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BS</w:t>
            </w:r>
          </w:p>
        </w:tc>
        <w:tc>
          <w:tcPr>
            <w:tcW w:w="8220" w:type="dxa"/>
          </w:tcPr>
          <w:p w:rsidR="00975C17" w:rsidRPr="00021E8A"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75C17" w:rsidRPr="00ED2695" w:rsidTr="00F1428D">
        <w:tc>
          <w:tcPr>
            <w:tcW w:w="1140" w:type="dxa"/>
            <w:shd w:val="clear" w:color="auto" w:fill="auto"/>
          </w:tcPr>
          <w:p w:rsidR="00975C17" w:rsidRPr="00ED2695" w:rsidRDefault="00975C17" w:rsidP="00F1428D">
            <w:pPr>
              <w:spacing w:before="30" w:after="30"/>
              <w:ind w:left="57"/>
              <w:jc w:val="left"/>
              <w:rPr>
                <w:b/>
                <w:bCs/>
                <w:sz w:val="20"/>
                <w:lang w:val="en-US"/>
              </w:rPr>
            </w:pPr>
            <w:r w:rsidRPr="00ED2695">
              <w:rPr>
                <w:b/>
                <w:bCs/>
                <w:sz w:val="20"/>
                <w:lang w:val="en-US"/>
              </w:rPr>
              <w:t>BT</w:t>
            </w:r>
          </w:p>
        </w:tc>
        <w:tc>
          <w:tcPr>
            <w:tcW w:w="8220" w:type="dxa"/>
            <w:shd w:val="clear" w:color="auto" w:fill="auto"/>
          </w:tcPr>
          <w:p w:rsidR="00975C17" w:rsidRPr="00021E8A"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75C17" w:rsidRPr="00036EE3" w:rsidTr="00F1428D">
        <w:tc>
          <w:tcPr>
            <w:tcW w:w="1140" w:type="dxa"/>
            <w:shd w:val="clear" w:color="auto" w:fill="auto"/>
          </w:tcPr>
          <w:p w:rsidR="00975C17" w:rsidRPr="00036EE3" w:rsidRDefault="00975C17" w:rsidP="00F1428D">
            <w:pPr>
              <w:spacing w:before="30" w:after="30"/>
              <w:ind w:left="57"/>
              <w:jc w:val="left"/>
              <w:rPr>
                <w:b/>
                <w:bCs/>
                <w:sz w:val="20"/>
                <w:lang w:val="fr-CH"/>
              </w:rPr>
            </w:pPr>
            <w:r w:rsidRPr="00036EE3">
              <w:rPr>
                <w:b/>
                <w:bCs/>
                <w:sz w:val="20"/>
                <w:lang w:val="fr-CH"/>
              </w:rPr>
              <w:t>F</w:t>
            </w:r>
          </w:p>
        </w:tc>
        <w:tc>
          <w:tcPr>
            <w:tcW w:w="8220" w:type="dxa"/>
            <w:shd w:val="clear" w:color="auto" w:fill="auto"/>
          </w:tcPr>
          <w:p w:rsidR="00975C17" w:rsidRPr="00021E8A" w:rsidRDefault="00975C17" w:rsidP="00F142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75C17" w:rsidRPr="00465A7E" w:rsidTr="00F1428D">
        <w:tc>
          <w:tcPr>
            <w:tcW w:w="1140" w:type="dxa"/>
            <w:shd w:val="clear" w:color="auto" w:fill="F3F3F3"/>
          </w:tcPr>
          <w:p w:rsidR="00975C17" w:rsidRPr="001240BC" w:rsidRDefault="00975C17" w:rsidP="00F1428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75C17" w:rsidRPr="001240BC" w:rsidRDefault="00975C17" w:rsidP="00F142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975C17" w:rsidRPr="00465A7E" w:rsidTr="00F1428D">
        <w:tc>
          <w:tcPr>
            <w:tcW w:w="1140" w:type="dxa"/>
          </w:tcPr>
          <w:p w:rsidR="00975C17" w:rsidRPr="00036EE3" w:rsidRDefault="00975C17" w:rsidP="00F1428D">
            <w:pPr>
              <w:spacing w:before="30" w:after="30"/>
              <w:ind w:left="57"/>
              <w:jc w:val="left"/>
              <w:rPr>
                <w:b/>
                <w:bCs/>
                <w:sz w:val="20"/>
                <w:lang w:val="fr-CH"/>
              </w:rPr>
            </w:pPr>
            <w:r w:rsidRPr="00036EE3">
              <w:rPr>
                <w:b/>
                <w:bCs/>
                <w:sz w:val="20"/>
                <w:lang w:val="fr-CH"/>
              </w:rPr>
              <w:t>P</w:t>
            </w:r>
          </w:p>
        </w:tc>
        <w:tc>
          <w:tcPr>
            <w:tcW w:w="8220" w:type="dxa"/>
          </w:tcPr>
          <w:p w:rsidR="00975C17" w:rsidRPr="00021E8A" w:rsidRDefault="00975C17" w:rsidP="00F1428D">
            <w:pPr>
              <w:spacing w:before="30" w:after="30"/>
              <w:jc w:val="left"/>
              <w:rPr>
                <w:bCs/>
                <w:sz w:val="20"/>
                <w:lang w:val="es-ES_tradnl"/>
              </w:rPr>
            </w:pPr>
            <w:r w:rsidRPr="00021E8A">
              <w:rPr>
                <w:bCs/>
                <w:sz w:val="20"/>
                <w:lang w:val="es-ES_tradnl"/>
              </w:rPr>
              <w:t>Propagación de las ondas radioeléctricas</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RA</w:t>
            </w:r>
          </w:p>
        </w:tc>
        <w:tc>
          <w:tcPr>
            <w:tcW w:w="8220" w:type="dxa"/>
          </w:tcPr>
          <w:p w:rsidR="00975C17" w:rsidRPr="00021E8A" w:rsidRDefault="00975C17" w:rsidP="00F142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975C17" w:rsidRPr="00465A7E"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RS</w:t>
            </w:r>
          </w:p>
        </w:tc>
        <w:tc>
          <w:tcPr>
            <w:tcW w:w="8220" w:type="dxa"/>
          </w:tcPr>
          <w:p w:rsidR="00975C17" w:rsidRPr="00021E8A" w:rsidRDefault="00975C17" w:rsidP="00F142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S</w:t>
            </w:r>
          </w:p>
        </w:tc>
        <w:tc>
          <w:tcPr>
            <w:tcW w:w="8220" w:type="dxa"/>
          </w:tcPr>
          <w:p w:rsidR="00975C17" w:rsidRPr="00021E8A" w:rsidRDefault="00975C17" w:rsidP="00F1428D">
            <w:pPr>
              <w:spacing w:before="30" w:after="30"/>
              <w:jc w:val="left"/>
              <w:rPr>
                <w:bCs/>
                <w:sz w:val="20"/>
                <w:lang w:val="en-US"/>
              </w:rPr>
            </w:pPr>
            <w:r w:rsidRPr="00021E8A">
              <w:rPr>
                <w:bCs/>
                <w:sz w:val="20"/>
              </w:rPr>
              <w:t>Servicio fijo por satélite</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SA</w:t>
            </w:r>
          </w:p>
        </w:tc>
        <w:tc>
          <w:tcPr>
            <w:tcW w:w="8220" w:type="dxa"/>
          </w:tcPr>
          <w:p w:rsidR="00975C17" w:rsidRPr="00021E8A" w:rsidRDefault="00975C17" w:rsidP="00F1428D">
            <w:pPr>
              <w:spacing w:before="30" w:after="30"/>
              <w:jc w:val="left"/>
              <w:rPr>
                <w:bCs/>
                <w:sz w:val="20"/>
                <w:lang w:val="en-US"/>
              </w:rPr>
            </w:pPr>
            <w:r w:rsidRPr="00021E8A">
              <w:rPr>
                <w:bCs/>
                <w:sz w:val="20"/>
              </w:rPr>
              <w:t>Aplicaciones espaciales y meteorología</w:t>
            </w:r>
          </w:p>
        </w:tc>
      </w:tr>
      <w:tr w:rsidR="00975C17" w:rsidRPr="00465A7E"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SF</w:t>
            </w:r>
          </w:p>
        </w:tc>
        <w:tc>
          <w:tcPr>
            <w:tcW w:w="8220" w:type="dxa"/>
          </w:tcPr>
          <w:p w:rsidR="00975C17" w:rsidRPr="00021E8A" w:rsidRDefault="00975C17" w:rsidP="00F1428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75C17" w:rsidRPr="00036EE3" w:rsidTr="00F1428D">
        <w:tc>
          <w:tcPr>
            <w:tcW w:w="1140" w:type="dxa"/>
            <w:shd w:val="clear" w:color="auto" w:fill="auto"/>
          </w:tcPr>
          <w:p w:rsidR="00975C17" w:rsidRPr="001240BC" w:rsidRDefault="00975C17" w:rsidP="00F1428D">
            <w:pPr>
              <w:spacing w:before="30" w:after="30"/>
              <w:ind w:left="57"/>
              <w:jc w:val="left"/>
              <w:rPr>
                <w:b/>
                <w:bCs/>
                <w:sz w:val="20"/>
                <w:lang w:val="en-US"/>
              </w:rPr>
            </w:pPr>
            <w:r w:rsidRPr="001240BC">
              <w:rPr>
                <w:b/>
                <w:bCs/>
                <w:sz w:val="20"/>
                <w:lang w:val="en-US"/>
              </w:rPr>
              <w:t>SM</w:t>
            </w:r>
          </w:p>
        </w:tc>
        <w:tc>
          <w:tcPr>
            <w:tcW w:w="8220" w:type="dxa"/>
            <w:shd w:val="clear" w:color="auto" w:fill="auto"/>
          </w:tcPr>
          <w:p w:rsidR="00975C17" w:rsidRPr="001240BC" w:rsidRDefault="00975C17" w:rsidP="00F1428D">
            <w:pPr>
              <w:spacing w:before="30" w:after="30"/>
              <w:jc w:val="left"/>
              <w:rPr>
                <w:sz w:val="20"/>
                <w:lang w:val="en-US"/>
              </w:rPr>
            </w:pPr>
            <w:r w:rsidRPr="001240BC">
              <w:rPr>
                <w:sz w:val="20"/>
              </w:rPr>
              <w:t>Gestión del espectro</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SNG</w:t>
            </w:r>
          </w:p>
        </w:tc>
        <w:tc>
          <w:tcPr>
            <w:tcW w:w="8220" w:type="dxa"/>
          </w:tcPr>
          <w:p w:rsidR="00975C17" w:rsidRPr="00021E8A" w:rsidRDefault="00975C17" w:rsidP="00F1428D">
            <w:pPr>
              <w:spacing w:before="30" w:after="30"/>
              <w:jc w:val="left"/>
              <w:rPr>
                <w:bCs/>
                <w:sz w:val="20"/>
                <w:lang w:val="en-US"/>
              </w:rPr>
            </w:pPr>
            <w:r w:rsidRPr="00021E8A">
              <w:rPr>
                <w:bCs/>
                <w:sz w:val="20"/>
              </w:rPr>
              <w:t>Periodismo electrónico por satélite</w:t>
            </w:r>
          </w:p>
        </w:tc>
      </w:tr>
      <w:tr w:rsidR="00975C17" w:rsidRPr="00465A7E"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TF</w:t>
            </w:r>
          </w:p>
        </w:tc>
        <w:tc>
          <w:tcPr>
            <w:tcW w:w="8220" w:type="dxa"/>
          </w:tcPr>
          <w:p w:rsidR="00975C17" w:rsidRPr="00021E8A" w:rsidRDefault="00975C17" w:rsidP="00F1428D">
            <w:pPr>
              <w:spacing w:before="30" w:after="30"/>
              <w:jc w:val="left"/>
              <w:rPr>
                <w:bCs/>
                <w:sz w:val="20"/>
                <w:lang w:val="es-ES_tradnl"/>
              </w:rPr>
            </w:pPr>
            <w:r w:rsidRPr="00021E8A">
              <w:rPr>
                <w:bCs/>
                <w:sz w:val="20"/>
                <w:lang w:val="es-ES_tradnl"/>
              </w:rPr>
              <w:t>Emisiones de frecuencias patrón y señales horarias</w:t>
            </w:r>
          </w:p>
        </w:tc>
      </w:tr>
      <w:tr w:rsidR="00975C17" w:rsidRPr="00036EE3" w:rsidTr="00F1428D">
        <w:tc>
          <w:tcPr>
            <w:tcW w:w="1140" w:type="dxa"/>
          </w:tcPr>
          <w:p w:rsidR="00975C17" w:rsidRPr="00036EE3" w:rsidRDefault="00975C17" w:rsidP="00F1428D">
            <w:pPr>
              <w:spacing w:before="30" w:after="30"/>
              <w:ind w:left="57"/>
              <w:jc w:val="left"/>
              <w:rPr>
                <w:b/>
                <w:bCs/>
                <w:sz w:val="20"/>
                <w:lang w:val="en-US"/>
              </w:rPr>
            </w:pPr>
            <w:r w:rsidRPr="00036EE3">
              <w:rPr>
                <w:b/>
                <w:bCs/>
                <w:sz w:val="20"/>
                <w:lang w:val="en-US"/>
              </w:rPr>
              <w:t>V</w:t>
            </w:r>
          </w:p>
        </w:tc>
        <w:tc>
          <w:tcPr>
            <w:tcW w:w="8220" w:type="dxa"/>
          </w:tcPr>
          <w:p w:rsidR="00975C17" w:rsidRPr="00021E8A" w:rsidRDefault="00975C17" w:rsidP="00F1428D">
            <w:pPr>
              <w:spacing w:before="30" w:after="140"/>
              <w:jc w:val="left"/>
              <w:rPr>
                <w:bCs/>
                <w:sz w:val="20"/>
                <w:lang w:val="en-US"/>
              </w:rPr>
            </w:pPr>
            <w:r w:rsidRPr="00021E8A">
              <w:rPr>
                <w:bCs/>
                <w:sz w:val="20"/>
              </w:rPr>
              <w:t>Vocabulario y cuestiones afines</w:t>
            </w:r>
          </w:p>
        </w:tc>
      </w:tr>
    </w:tbl>
    <w:p w:rsidR="00975C17" w:rsidRPr="00036EE3" w:rsidRDefault="00975C17" w:rsidP="00975C1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75C17" w:rsidTr="00F1428D">
        <w:tc>
          <w:tcPr>
            <w:tcW w:w="720" w:type="dxa"/>
          </w:tcPr>
          <w:p w:rsidR="00975C17" w:rsidRDefault="00975C17" w:rsidP="00F1428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75C17" w:rsidRPr="00465A7E" w:rsidTr="00F1428D">
        <w:tc>
          <w:tcPr>
            <w:tcW w:w="9360" w:type="dxa"/>
          </w:tcPr>
          <w:p w:rsidR="00975C17" w:rsidRPr="00A07AEB" w:rsidRDefault="00975C17" w:rsidP="00F1428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975C17" w:rsidRPr="00763D08" w:rsidRDefault="00975C17" w:rsidP="00975C17">
      <w:pPr>
        <w:spacing w:before="0"/>
        <w:jc w:val="center"/>
        <w:rPr>
          <w:sz w:val="22"/>
          <w:lang w:val="es-ES_tradnl"/>
        </w:rPr>
      </w:pPr>
    </w:p>
    <w:p w:rsidR="00975C17" w:rsidRPr="00763D08" w:rsidRDefault="00975C17" w:rsidP="00975C17">
      <w:pPr>
        <w:spacing w:before="60"/>
        <w:jc w:val="right"/>
        <w:rPr>
          <w:i/>
          <w:iCs/>
          <w:sz w:val="20"/>
          <w:lang w:val="es-ES_tradnl"/>
        </w:rPr>
      </w:pPr>
      <w:r w:rsidRPr="00763D08">
        <w:rPr>
          <w:i/>
          <w:iCs/>
          <w:sz w:val="20"/>
          <w:lang w:val="es-ES_tradnl"/>
        </w:rPr>
        <w:t>Publicación electrónica</w:t>
      </w:r>
    </w:p>
    <w:p w:rsidR="00975C17" w:rsidRPr="00763D08" w:rsidRDefault="00975C17" w:rsidP="00975C17">
      <w:pPr>
        <w:spacing w:before="0" w:after="40"/>
        <w:jc w:val="right"/>
        <w:rPr>
          <w:sz w:val="20"/>
          <w:lang w:val="es-ES_tradnl"/>
        </w:rPr>
      </w:pPr>
      <w:r w:rsidRPr="00763D08">
        <w:rPr>
          <w:sz w:val="20"/>
          <w:lang w:val="es-ES_tradnl"/>
        </w:rPr>
        <w:t>Ginebra, 20</w:t>
      </w:r>
      <w:r>
        <w:rPr>
          <w:sz w:val="20"/>
          <w:lang w:val="es-ES_tradnl"/>
        </w:rPr>
        <w:t>15</w:t>
      </w:r>
    </w:p>
    <w:p w:rsidR="00975C17" w:rsidRPr="00763D08" w:rsidRDefault="00975C17" w:rsidP="00975C17">
      <w:pPr>
        <w:spacing w:before="0"/>
        <w:jc w:val="center"/>
        <w:rPr>
          <w:sz w:val="22"/>
          <w:lang w:val="es-ES_tradnl"/>
        </w:rPr>
      </w:pPr>
    </w:p>
    <w:p w:rsidR="00975C17" w:rsidRPr="00763D08" w:rsidRDefault="00975C17" w:rsidP="00975C1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975C17" w:rsidRPr="006C718C" w:rsidRDefault="00975C17" w:rsidP="00975C1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75C17" w:rsidRPr="006C718C" w:rsidRDefault="00975C17" w:rsidP="00975C17">
      <w:pPr>
        <w:spacing w:before="160"/>
        <w:rPr>
          <w:i/>
          <w:sz w:val="20"/>
          <w:highlight w:val="yellow"/>
          <w:lang w:val="es-ES_tradnl"/>
        </w:rPr>
        <w:sectPr w:rsidR="00975C17"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975C17" w:rsidRPr="0010336F" w:rsidRDefault="00975C17" w:rsidP="00975C1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1173-1</w:t>
      </w:r>
      <w:r w:rsidR="00981CEF">
        <w:rPr>
          <w:rStyle w:val="FootnoteReference"/>
          <w:lang w:val="es-ES_tradnl"/>
        </w:rPr>
        <w:footnoteReference w:customMarkFollows="1" w:id="1"/>
        <w:t>*</w:t>
      </w:r>
    </w:p>
    <w:p w:rsidR="00975C17" w:rsidRPr="00ED6248" w:rsidRDefault="00975C17" w:rsidP="00975C17">
      <w:pPr>
        <w:pStyle w:val="Rectitle"/>
        <w:rPr>
          <w:lang w:val="es-ES_tradnl"/>
        </w:rPr>
      </w:pPr>
      <w:r w:rsidRPr="00ED6248">
        <w:rPr>
          <w:lang w:val="es-ES_tradnl"/>
        </w:rPr>
        <w:t>Características técnicas de los transmisores de banda lateral única utilizados para la radiotelefonía en el servicio móvil marítimo, en las bandas</w:t>
      </w:r>
      <w:r>
        <w:rPr>
          <w:lang w:val="es-ES_tradnl"/>
        </w:rPr>
        <w:br/>
      </w:r>
      <w:r w:rsidRPr="00ED6248">
        <w:rPr>
          <w:lang w:val="es-ES_tradnl"/>
        </w:rPr>
        <w:t>comprendidas entre 1 606,5 kHz (1 605 kHz en la Región 2) y</w:t>
      </w:r>
      <w:r>
        <w:rPr>
          <w:lang w:val="es-ES_tradnl"/>
        </w:rPr>
        <w:br/>
      </w:r>
      <w:r w:rsidRPr="00ED6248">
        <w:rPr>
          <w:lang w:val="es-ES_tradnl"/>
        </w:rPr>
        <w:t>4 000 kHz y entre 4 000 kHz y 27 500 kHz</w:t>
      </w:r>
    </w:p>
    <w:p w:rsidR="00975C17" w:rsidRPr="00ED6248" w:rsidRDefault="00975C17" w:rsidP="00975C17">
      <w:pPr>
        <w:pStyle w:val="Blanc"/>
      </w:pPr>
    </w:p>
    <w:p w:rsidR="00975C17" w:rsidRPr="00ED6248" w:rsidRDefault="00975C17" w:rsidP="00975C17">
      <w:pPr>
        <w:pStyle w:val="Recdate"/>
        <w:rPr>
          <w:lang w:val="es-ES_tradnl"/>
        </w:rPr>
      </w:pPr>
      <w:r w:rsidRPr="00ED6248">
        <w:rPr>
          <w:lang w:val="es-ES_tradnl"/>
        </w:rPr>
        <w:t>(1995-2012)</w:t>
      </w:r>
    </w:p>
    <w:p w:rsidR="00975C17" w:rsidRPr="00ED6248" w:rsidRDefault="00975C17" w:rsidP="00975C17">
      <w:pPr>
        <w:pStyle w:val="Blanc"/>
        <w:rPr>
          <w:lang w:val="es-ES_tradnl"/>
        </w:rPr>
      </w:pPr>
    </w:p>
    <w:p w:rsidR="00975C17" w:rsidRPr="007B580E" w:rsidRDefault="00975C17" w:rsidP="00975C17">
      <w:pPr>
        <w:pStyle w:val="HeadingSum"/>
      </w:pPr>
      <w:r w:rsidRPr="007B580E">
        <w:t>Cometido</w:t>
      </w:r>
    </w:p>
    <w:p w:rsidR="007B580E" w:rsidRDefault="007B580E" w:rsidP="007B580E">
      <w:pPr>
        <w:pStyle w:val="Summary"/>
      </w:pPr>
      <w:r w:rsidRPr="00ED6248">
        <w:rPr>
          <w:sz w:val="20"/>
          <w:lang w:eastAsia="zh-CN"/>
        </w:rPr>
        <w:t>En esta Recomendación se describen las características técnicas de los transmisores de banda lateral única utilizados para la radiotelefonía en el servicio móvil marítimo en ondas hectométricas y decamétricas.</w:t>
      </w:r>
    </w:p>
    <w:p w:rsidR="00975C17" w:rsidRPr="00ED6248" w:rsidRDefault="00975C17" w:rsidP="00975C17">
      <w:pPr>
        <w:spacing w:before="136"/>
        <w:rPr>
          <w:sz w:val="20"/>
          <w:lang w:val="es-ES_tradnl" w:eastAsia="zh-CN"/>
        </w:rPr>
      </w:pPr>
      <w:r w:rsidRPr="00ED6248">
        <w:rPr>
          <w:sz w:val="20"/>
          <w:lang w:val="es-ES_tradnl" w:eastAsia="zh-CN"/>
        </w:rPr>
        <w:t>La Asamblea de Radiocomunicaciones de la UIT,</w:t>
      </w:r>
    </w:p>
    <w:p w:rsidR="00975C17" w:rsidRPr="00ED6248" w:rsidRDefault="00975C17" w:rsidP="007B580E">
      <w:pPr>
        <w:pStyle w:val="Call"/>
        <w:rPr>
          <w:lang w:val="es-ES_tradnl" w:eastAsia="zh-CN"/>
        </w:rPr>
      </w:pPr>
      <w:r w:rsidRPr="00ED6248">
        <w:rPr>
          <w:lang w:val="es-ES_tradnl" w:eastAsia="zh-CN"/>
        </w:rPr>
        <w:t>considerando</w:t>
      </w:r>
    </w:p>
    <w:p w:rsidR="00975C17" w:rsidRPr="007B580E" w:rsidRDefault="00975C17" w:rsidP="007B580E">
      <w:pPr>
        <w:spacing w:before="136"/>
        <w:rPr>
          <w:lang w:val="es-ES_tradnl"/>
        </w:rPr>
      </w:pPr>
      <w:r w:rsidRPr="007B580E">
        <w:rPr>
          <w:i/>
          <w:iCs/>
          <w:lang w:val="es-ES_tradnl"/>
        </w:rPr>
        <w:t>a)</w:t>
      </w:r>
      <w:r w:rsidRPr="007B580E">
        <w:rPr>
          <w:lang w:val="es-ES_tradnl"/>
        </w:rPr>
        <w:tab/>
        <w:t>que es necesario describir las características técnicas de los transmisores de banda lateral única en las bandas comprendidas entre 1</w:t>
      </w:r>
      <w:r w:rsidR="007B580E" w:rsidRPr="007B580E">
        <w:rPr>
          <w:lang w:val="es-ES_tradnl"/>
        </w:rPr>
        <w:t> </w:t>
      </w:r>
      <w:r w:rsidRPr="007B580E">
        <w:rPr>
          <w:lang w:val="es-ES_tradnl"/>
        </w:rPr>
        <w:t>606,5 kHz (1</w:t>
      </w:r>
      <w:r w:rsidR="007B580E">
        <w:rPr>
          <w:lang w:val="es-ES_tradnl"/>
        </w:rPr>
        <w:t> </w:t>
      </w:r>
      <w:r w:rsidRPr="007B580E">
        <w:rPr>
          <w:lang w:val="es-ES_tradnl"/>
        </w:rPr>
        <w:t>605 kHz en la Región 2) y 4 000 kHz y entre 4 000 kHz y 27 500 kHz,</w:t>
      </w:r>
    </w:p>
    <w:p w:rsidR="00975C17" w:rsidRPr="00ED6248" w:rsidRDefault="00975C17" w:rsidP="007B580E">
      <w:pPr>
        <w:pStyle w:val="Call"/>
        <w:rPr>
          <w:lang w:val="es-ES_tradnl" w:eastAsia="zh-CN"/>
        </w:rPr>
      </w:pPr>
      <w:r w:rsidRPr="00ED6248">
        <w:rPr>
          <w:lang w:val="es-ES_tradnl" w:eastAsia="zh-CN"/>
        </w:rPr>
        <w:t>recomienda</w:t>
      </w:r>
    </w:p>
    <w:p w:rsidR="00975C17" w:rsidRDefault="00975C17" w:rsidP="007B580E">
      <w:pPr>
        <w:rPr>
          <w:lang w:val="es-ES_tradnl" w:eastAsia="zh-CN"/>
        </w:rPr>
      </w:pPr>
      <w:r w:rsidRPr="00ED6248">
        <w:rPr>
          <w:b/>
          <w:lang w:val="es-ES_tradnl" w:eastAsia="zh-CN"/>
        </w:rPr>
        <w:t>1</w:t>
      </w:r>
      <w:r w:rsidRPr="00ED6248">
        <w:rPr>
          <w:lang w:val="es-ES_tradnl" w:eastAsia="zh-CN"/>
        </w:rPr>
        <w:tab/>
        <w:t>que los transmisores de banda lateral única utilizados para la radiotelefonía en el servicio móvil marítimo, en las bandas comprendidas entre 1</w:t>
      </w:r>
      <w:r w:rsidR="007B580E">
        <w:rPr>
          <w:lang w:val="es-ES_tradnl" w:eastAsia="zh-CN"/>
        </w:rPr>
        <w:t> </w:t>
      </w:r>
      <w:r w:rsidRPr="00ED6248">
        <w:rPr>
          <w:lang w:val="es-ES_tradnl" w:eastAsia="zh-CN"/>
        </w:rPr>
        <w:t>606,5 kHz (1</w:t>
      </w:r>
      <w:r w:rsidR="007B580E">
        <w:rPr>
          <w:lang w:val="es-ES_tradnl" w:eastAsia="zh-CN"/>
        </w:rPr>
        <w:t> </w:t>
      </w:r>
      <w:r w:rsidRPr="00ED6248">
        <w:rPr>
          <w:lang w:val="es-ES_tradnl" w:eastAsia="zh-CN"/>
        </w:rPr>
        <w:t>605 kHz en la Región 2) y 4</w:t>
      </w:r>
      <w:r w:rsidR="007B580E">
        <w:rPr>
          <w:lang w:val="es-ES_tradnl" w:eastAsia="zh-CN"/>
        </w:rPr>
        <w:t> </w:t>
      </w:r>
      <w:r w:rsidRPr="00ED6248">
        <w:rPr>
          <w:lang w:val="es-ES_tradnl" w:eastAsia="zh-CN"/>
        </w:rPr>
        <w:t xml:space="preserve">000 kHz y entre </w:t>
      </w:r>
      <w:r w:rsidRPr="007B580E">
        <w:rPr>
          <w:lang w:val="es-ES_tradnl"/>
        </w:rPr>
        <w:t>4</w:t>
      </w:r>
      <w:r w:rsidR="007B580E" w:rsidRPr="007B580E">
        <w:rPr>
          <w:lang w:val="es-ES_tradnl"/>
        </w:rPr>
        <w:t> </w:t>
      </w:r>
      <w:r w:rsidRPr="007B580E">
        <w:rPr>
          <w:lang w:val="es-ES_tradnl"/>
        </w:rPr>
        <w:t>000</w:t>
      </w:r>
      <w:r w:rsidRPr="00ED6248">
        <w:rPr>
          <w:lang w:val="es-ES_tradnl" w:eastAsia="zh-CN"/>
        </w:rPr>
        <w:t> kHz y 27</w:t>
      </w:r>
      <w:r w:rsidR="007B580E">
        <w:rPr>
          <w:lang w:val="es-ES_tradnl" w:eastAsia="zh-CN"/>
        </w:rPr>
        <w:t> </w:t>
      </w:r>
      <w:r w:rsidRPr="00ED6248">
        <w:rPr>
          <w:lang w:val="es-ES_tradnl" w:eastAsia="zh-CN"/>
        </w:rPr>
        <w:t>500 kHz se diseñen para cumplir las características técnicas indicadas en el Anexo 1.</w:t>
      </w:r>
    </w:p>
    <w:p w:rsidR="004B2B64" w:rsidRDefault="004B2B64" w:rsidP="007B580E">
      <w:pPr>
        <w:rPr>
          <w:lang w:val="es-ES_tradnl" w:eastAsia="zh-CN"/>
        </w:rPr>
      </w:pPr>
    </w:p>
    <w:p w:rsidR="004B2B64" w:rsidRPr="00ED6248" w:rsidRDefault="004B2B64" w:rsidP="001B4A0F">
      <w:pPr>
        <w:spacing w:before="0"/>
        <w:rPr>
          <w:lang w:val="es-ES_tradnl" w:eastAsia="zh-CN"/>
        </w:rPr>
      </w:pPr>
    </w:p>
    <w:p w:rsidR="00975C17" w:rsidRDefault="00981CEF" w:rsidP="00981CEF">
      <w:pPr>
        <w:pStyle w:val="AnnexNoTitle"/>
        <w:rPr>
          <w:bCs/>
          <w:szCs w:val="24"/>
          <w:lang w:val="es-ES_tradnl" w:eastAsia="zh-CN"/>
        </w:rPr>
      </w:pPr>
      <w:r w:rsidRPr="00ED6248">
        <w:rPr>
          <w:lang w:val="es-ES_tradnl" w:eastAsia="zh-CN"/>
        </w:rPr>
        <w:t xml:space="preserve">Anexo </w:t>
      </w:r>
      <w:r w:rsidR="00975C17" w:rsidRPr="00ED6248">
        <w:rPr>
          <w:lang w:val="es-ES_tradnl" w:eastAsia="zh-CN"/>
        </w:rPr>
        <w:t>1</w:t>
      </w:r>
      <w:r>
        <w:rPr>
          <w:lang w:val="es-ES_tradnl" w:eastAsia="zh-CN"/>
        </w:rPr>
        <w:br/>
      </w:r>
      <w:r>
        <w:rPr>
          <w:lang w:val="es-ES_tradnl" w:eastAsia="zh-CN"/>
        </w:rPr>
        <w:br/>
      </w:r>
      <w:r w:rsidRPr="00ED6248">
        <w:rPr>
          <w:bCs/>
          <w:szCs w:val="24"/>
          <w:lang w:val="es-ES_tradnl" w:eastAsia="zh-CN"/>
        </w:rPr>
        <w:t>Características técnicas de los transmisores de banda lateral única</w:t>
      </w:r>
      <w:r>
        <w:rPr>
          <w:bCs/>
          <w:szCs w:val="24"/>
          <w:lang w:val="es-ES_tradnl" w:eastAsia="zh-CN"/>
        </w:rPr>
        <w:br/>
      </w:r>
      <w:r w:rsidRPr="00ED6248">
        <w:rPr>
          <w:bCs/>
          <w:szCs w:val="24"/>
          <w:lang w:val="es-ES_tradnl" w:eastAsia="zh-CN"/>
        </w:rPr>
        <w:t>utilizados para</w:t>
      </w:r>
      <w:r>
        <w:rPr>
          <w:bCs/>
          <w:szCs w:val="24"/>
          <w:lang w:val="es-ES_tradnl" w:eastAsia="zh-CN"/>
        </w:rPr>
        <w:t xml:space="preserve"> </w:t>
      </w:r>
      <w:r w:rsidRPr="00ED6248">
        <w:rPr>
          <w:bCs/>
          <w:szCs w:val="24"/>
          <w:lang w:val="es-ES_tradnl" w:eastAsia="zh-CN"/>
        </w:rPr>
        <w:t>la radiotelefonía en el servicio móvil marítimo,</w:t>
      </w:r>
      <w:r>
        <w:rPr>
          <w:bCs/>
          <w:szCs w:val="24"/>
          <w:lang w:val="es-ES_tradnl" w:eastAsia="zh-CN"/>
        </w:rPr>
        <w:br/>
      </w:r>
      <w:r w:rsidRPr="00ED6248">
        <w:rPr>
          <w:bCs/>
          <w:szCs w:val="24"/>
          <w:lang w:val="es-ES_tradnl" w:eastAsia="zh-CN"/>
        </w:rPr>
        <w:t>en las bandas comprendidas</w:t>
      </w:r>
      <w:r>
        <w:rPr>
          <w:bCs/>
          <w:szCs w:val="24"/>
          <w:lang w:val="es-ES_tradnl" w:eastAsia="zh-CN"/>
        </w:rPr>
        <w:t xml:space="preserve"> </w:t>
      </w:r>
      <w:r w:rsidRPr="00ED6248">
        <w:rPr>
          <w:bCs/>
          <w:szCs w:val="24"/>
          <w:lang w:val="es-ES_tradnl" w:eastAsia="zh-CN"/>
        </w:rPr>
        <w:t xml:space="preserve">entre </w:t>
      </w:r>
      <w:r w:rsidRPr="00981CEF">
        <w:rPr>
          <w:lang w:val="es-ES_tradnl"/>
        </w:rPr>
        <w:t>1 606</w:t>
      </w:r>
      <w:r w:rsidRPr="00ED6248">
        <w:rPr>
          <w:bCs/>
          <w:szCs w:val="24"/>
          <w:lang w:val="es-ES_tradnl" w:eastAsia="zh-CN"/>
        </w:rPr>
        <w:t>,5 kHz</w:t>
      </w:r>
      <w:r>
        <w:rPr>
          <w:bCs/>
          <w:szCs w:val="24"/>
          <w:lang w:val="es-ES_tradnl" w:eastAsia="zh-CN"/>
        </w:rPr>
        <w:br/>
      </w:r>
      <w:r w:rsidRPr="00ED6248">
        <w:rPr>
          <w:bCs/>
          <w:szCs w:val="24"/>
          <w:lang w:val="es-ES_tradnl" w:eastAsia="zh-CN"/>
        </w:rPr>
        <w:t>(</w:t>
      </w:r>
      <w:r w:rsidRPr="00981CEF">
        <w:rPr>
          <w:lang w:val="es-ES_tradnl"/>
        </w:rPr>
        <w:t>1 605</w:t>
      </w:r>
      <w:r w:rsidRPr="00ED6248">
        <w:rPr>
          <w:bCs/>
          <w:szCs w:val="24"/>
          <w:lang w:val="es-ES_tradnl" w:eastAsia="zh-CN"/>
        </w:rPr>
        <w:t xml:space="preserve"> kHz en la Región 2) y </w:t>
      </w:r>
      <w:r w:rsidRPr="00981CEF">
        <w:rPr>
          <w:lang w:val="es-ES_tradnl"/>
        </w:rPr>
        <w:t>4 000</w:t>
      </w:r>
      <w:r w:rsidRPr="00ED6248">
        <w:rPr>
          <w:bCs/>
          <w:szCs w:val="24"/>
          <w:lang w:val="es-ES_tradnl" w:eastAsia="zh-CN"/>
        </w:rPr>
        <w:t xml:space="preserve"> kHz</w:t>
      </w:r>
      <w:r w:rsidRPr="00ED6248">
        <w:rPr>
          <w:bCs/>
          <w:szCs w:val="24"/>
          <w:lang w:val="es-ES_tradnl" w:eastAsia="zh-CN"/>
        </w:rPr>
        <w:br/>
        <w:t xml:space="preserve">y entre </w:t>
      </w:r>
      <w:r w:rsidRPr="00981CEF">
        <w:rPr>
          <w:lang w:val="es-ES_tradnl"/>
        </w:rPr>
        <w:t>4 000</w:t>
      </w:r>
      <w:r w:rsidRPr="00ED6248">
        <w:rPr>
          <w:bCs/>
          <w:szCs w:val="24"/>
          <w:lang w:val="es-ES_tradnl" w:eastAsia="zh-CN"/>
        </w:rPr>
        <w:t xml:space="preserve"> kHz y </w:t>
      </w:r>
      <w:r w:rsidRPr="00981CEF">
        <w:rPr>
          <w:lang w:val="es-ES_tradnl"/>
        </w:rPr>
        <w:t>27 500</w:t>
      </w:r>
      <w:r w:rsidRPr="00ED6248">
        <w:rPr>
          <w:bCs/>
          <w:szCs w:val="24"/>
          <w:lang w:val="es-ES_tradnl" w:eastAsia="zh-CN"/>
        </w:rPr>
        <w:t xml:space="preserve"> kHz</w:t>
      </w:r>
    </w:p>
    <w:p w:rsidR="001B4A0F" w:rsidRPr="001B4A0F" w:rsidRDefault="001B4A0F" w:rsidP="001B4A0F">
      <w:pPr>
        <w:pStyle w:val="Normalaftertitle"/>
        <w:rPr>
          <w:lang w:val="es-ES_tradnl" w:eastAsia="zh-CN"/>
        </w:rPr>
      </w:pPr>
      <w:r w:rsidRPr="00ED6248">
        <w:rPr>
          <w:b/>
          <w:lang w:val="es-ES_tradnl" w:eastAsia="zh-CN"/>
        </w:rPr>
        <w:t>1</w:t>
      </w:r>
      <w:r w:rsidRPr="00ED6248">
        <w:rPr>
          <w:lang w:val="es-ES_tradnl" w:eastAsia="zh-CN"/>
        </w:rPr>
        <w:tab/>
        <w:t>Potencia de la portadora:</w:t>
      </w:r>
    </w:p>
    <w:p w:rsidR="00975C17" w:rsidRPr="00ED6248" w:rsidRDefault="00975C17" w:rsidP="004B2B64">
      <w:pPr>
        <w:pStyle w:val="enumlev1"/>
        <w:rPr>
          <w:lang w:val="es-ES_tradnl" w:eastAsia="zh-CN"/>
        </w:rPr>
      </w:pPr>
      <w:r w:rsidRPr="00ED6248">
        <w:rPr>
          <w:lang w:val="es-ES_tradnl" w:eastAsia="zh-CN"/>
        </w:rPr>
        <w:tab/>
        <w:t>Para las emisiones de clase J3E, la potencia de la portadora será por lo menos de 40</w:t>
      </w:r>
      <w:r w:rsidR="004B2B64">
        <w:rPr>
          <w:lang w:val="es-ES_tradnl" w:eastAsia="zh-CN"/>
        </w:rPr>
        <w:t> </w:t>
      </w:r>
      <w:r w:rsidRPr="00ED6248">
        <w:rPr>
          <w:lang w:val="es-ES_tradnl" w:eastAsia="zh-CN"/>
        </w:rPr>
        <w:t>dB inferior a la potencia en la cresta de la envolvente de la emisión.</w:t>
      </w:r>
    </w:p>
    <w:p w:rsidR="00975C17" w:rsidRPr="00ED6248" w:rsidRDefault="00975C17" w:rsidP="004B2B64">
      <w:pPr>
        <w:pStyle w:val="enumlev1"/>
        <w:rPr>
          <w:lang w:val="es-ES_tradnl" w:eastAsia="zh-CN"/>
        </w:rPr>
      </w:pPr>
      <w:r w:rsidRPr="00ED6248">
        <w:rPr>
          <w:b/>
          <w:lang w:val="es-ES_tradnl" w:eastAsia="zh-CN"/>
        </w:rPr>
        <w:t>2</w:t>
      </w:r>
      <w:r w:rsidRPr="00ED6248">
        <w:rPr>
          <w:lang w:val="es-ES_tradnl" w:eastAsia="zh-CN"/>
        </w:rPr>
        <w:tab/>
        <w:t>Las estaciones costeras y las de barco transmitirán en la banda lateral superior solamente.</w:t>
      </w:r>
    </w:p>
    <w:p w:rsidR="00975C17" w:rsidRPr="00ED6248" w:rsidRDefault="00975C17" w:rsidP="008B0B54">
      <w:pPr>
        <w:pStyle w:val="enumlev1"/>
        <w:rPr>
          <w:lang w:val="es-ES_tradnl" w:eastAsia="zh-CN"/>
        </w:rPr>
      </w:pPr>
      <w:r w:rsidRPr="00ED6248">
        <w:rPr>
          <w:b/>
          <w:lang w:val="es-ES_tradnl" w:eastAsia="zh-CN"/>
        </w:rPr>
        <w:t>3</w:t>
      </w:r>
      <w:r w:rsidRPr="00ED6248">
        <w:rPr>
          <w:lang w:val="es-ES_tradnl" w:eastAsia="zh-CN"/>
        </w:rPr>
        <w:tab/>
        <w:t>La banda de audiofrecuencia transmitida debe extenderse de 350</w:t>
      </w:r>
      <w:r w:rsidR="008B0B54">
        <w:rPr>
          <w:lang w:val="es-ES_tradnl" w:eastAsia="zh-CN"/>
        </w:rPr>
        <w:t> </w:t>
      </w:r>
      <w:r w:rsidRPr="00ED6248">
        <w:rPr>
          <w:lang w:val="es-ES_tradnl" w:eastAsia="zh-CN"/>
        </w:rPr>
        <w:t>Hz a 2</w:t>
      </w:r>
      <w:r w:rsidR="004B2B64">
        <w:rPr>
          <w:lang w:val="es-ES_tradnl" w:eastAsia="zh-CN"/>
        </w:rPr>
        <w:t> </w:t>
      </w:r>
      <w:r w:rsidRPr="00ED6248">
        <w:rPr>
          <w:lang w:val="es-ES_tradnl" w:eastAsia="zh-CN"/>
        </w:rPr>
        <w:t>700</w:t>
      </w:r>
      <w:r w:rsidR="008B0B54">
        <w:rPr>
          <w:lang w:val="es-ES_tradnl" w:eastAsia="zh-CN"/>
        </w:rPr>
        <w:t> </w:t>
      </w:r>
      <w:r w:rsidRPr="00ED6248">
        <w:rPr>
          <w:lang w:val="es-ES_tradnl" w:eastAsia="zh-CN"/>
        </w:rPr>
        <w:t>Hz y la variación de amplitud en función de la frecuencia no será superior a 6 dB.</w:t>
      </w:r>
    </w:p>
    <w:p w:rsidR="00975C17" w:rsidRPr="00ED6248" w:rsidRDefault="00975C17" w:rsidP="004B2B64">
      <w:pPr>
        <w:pStyle w:val="enumlev1"/>
        <w:rPr>
          <w:lang w:val="es-ES_tradnl" w:eastAsia="zh-CN"/>
        </w:rPr>
      </w:pPr>
      <w:r w:rsidRPr="00ED6248">
        <w:rPr>
          <w:b/>
          <w:lang w:val="es-ES_tradnl" w:eastAsia="zh-CN"/>
        </w:rPr>
        <w:lastRenderedPageBreak/>
        <w:t>4</w:t>
      </w:r>
      <w:r w:rsidRPr="00ED6248">
        <w:rPr>
          <w:lang w:val="es-ES_tradnl" w:eastAsia="zh-CN"/>
        </w:rPr>
        <w:tab/>
        <w:t>La frecuencia de la portadora de los transmisores se mantendrá dentro de las tolerancias especificadas en el Apéndice 2 del Reglamento de Radiocomunicaciones.</w:t>
      </w:r>
    </w:p>
    <w:p w:rsidR="00975C17" w:rsidRPr="00ED6248" w:rsidRDefault="00975C17" w:rsidP="004B2B64">
      <w:pPr>
        <w:pStyle w:val="enumlev1"/>
        <w:rPr>
          <w:lang w:val="es-ES_tradnl" w:eastAsia="zh-CN"/>
        </w:rPr>
      </w:pPr>
      <w:r w:rsidRPr="00ED6248">
        <w:rPr>
          <w:b/>
          <w:lang w:val="es-ES_tradnl" w:eastAsia="zh-CN"/>
        </w:rPr>
        <w:t>5</w:t>
      </w:r>
      <w:r w:rsidRPr="00ED6248">
        <w:rPr>
          <w:lang w:val="es-ES_tradnl" w:eastAsia="zh-CN"/>
        </w:rPr>
        <w:tab/>
        <w:t>La modulación de frecuencia no deseada de la onda portadora debe ser lo suficientemente reducida para no crear distorsiones perjudiciales.</w:t>
      </w:r>
    </w:p>
    <w:p w:rsidR="00975C17" w:rsidRPr="00ED6248" w:rsidRDefault="00975C17" w:rsidP="00E8532B">
      <w:pPr>
        <w:pStyle w:val="enumlev1"/>
        <w:rPr>
          <w:lang w:val="es-ES_tradnl" w:eastAsia="zh-CN"/>
        </w:rPr>
      </w:pPr>
      <w:r w:rsidRPr="00ED6248">
        <w:rPr>
          <w:b/>
          <w:lang w:val="es-ES_tradnl" w:eastAsia="zh-CN"/>
        </w:rPr>
        <w:t>6</w:t>
      </w:r>
      <w:r w:rsidRPr="00ED6248">
        <w:rPr>
          <w:lang w:val="es-ES_tradnl" w:eastAsia="zh-CN"/>
        </w:rPr>
        <w:tab/>
        <w:t>Cuando se utilicen emisiones de clase H3E o J3E, la potencia de toda emisión no deseada aplicada a la línea de alimentación de la antena en toda frecuencia debe mantenerse, cuando el transmisor funcione con su potencia en la cresta de la envolvente, dentro de los límites que se indican en</w:t>
      </w:r>
      <w:r w:rsidR="00E8532B">
        <w:rPr>
          <w:lang w:val="es-ES_tradnl" w:eastAsia="zh-CN"/>
        </w:rPr>
        <w:t xml:space="preserve"> el </w:t>
      </w:r>
      <w:r w:rsidRPr="00ED6248">
        <w:rPr>
          <w:lang w:val="es-ES_tradnl" w:eastAsia="zh-CN"/>
        </w:rPr>
        <w:t>Cuadro siguiente:</w:t>
      </w:r>
    </w:p>
    <w:p w:rsidR="00975C17" w:rsidRPr="00ED6248" w:rsidRDefault="00975C17" w:rsidP="00564F19">
      <w:pPr>
        <w:rPr>
          <w:lang w:val="es-ES_tradnl" w:eastAsia="zh-CN"/>
        </w:rPr>
      </w:pPr>
    </w:p>
    <w:tbl>
      <w:tblPr>
        <w:tblW w:w="0" w:type="auto"/>
        <w:jc w:val="center"/>
        <w:tblLayout w:type="fixed"/>
        <w:tblLook w:val="0000" w:firstRow="0" w:lastRow="0" w:firstColumn="0" w:lastColumn="0" w:noHBand="0" w:noVBand="0"/>
      </w:tblPr>
      <w:tblGrid>
        <w:gridCol w:w="3969"/>
        <w:gridCol w:w="3969"/>
      </w:tblGrid>
      <w:tr w:rsidR="00975C17" w:rsidRPr="00975C17" w:rsidTr="00564F19">
        <w:trPr>
          <w:cantSplit/>
          <w:jc w:val="center"/>
        </w:trPr>
        <w:tc>
          <w:tcPr>
            <w:tcW w:w="3969" w:type="dxa"/>
            <w:tcBorders>
              <w:top w:val="single" w:sz="6" w:space="0" w:color="auto"/>
              <w:left w:val="single" w:sz="6" w:space="0" w:color="auto"/>
              <w:bottom w:val="single" w:sz="6" w:space="0" w:color="auto"/>
            </w:tcBorders>
            <w:vAlign w:val="center"/>
          </w:tcPr>
          <w:p w:rsidR="00975C17" w:rsidRPr="00ED6248" w:rsidRDefault="00975C17" w:rsidP="005A63D3">
            <w:pPr>
              <w:pStyle w:val="Tablehead"/>
              <w:rPr>
                <w:lang w:val="es-ES_tradnl" w:eastAsia="zh-CN"/>
              </w:rPr>
            </w:pPr>
            <w:r w:rsidRPr="00ED6248">
              <w:rPr>
                <w:lang w:val="es-ES_tradnl" w:eastAsia="zh-CN"/>
              </w:rPr>
              <w:t xml:space="preserve">Diferencia </w:t>
            </w:r>
            <w:r w:rsidR="004B2B64">
              <w:rPr>
                <w:rFonts w:asciiTheme="majorBidi" w:hAnsiTheme="majorBidi" w:cstheme="majorBidi"/>
                <w:sz w:val="20"/>
              </w:rPr>
              <w:sym w:font="Symbol" w:char="F044"/>
            </w:r>
            <w:r w:rsidRPr="00ED6248">
              <w:rPr>
                <w:lang w:val="es-ES_tradnl" w:eastAsia="zh-CN"/>
              </w:rPr>
              <w:t xml:space="preserve"> entre la frecuencia</w:t>
            </w:r>
            <w:r w:rsidRPr="00ED6248">
              <w:rPr>
                <w:lang w:val="es-ES_tradnl" w:eastAsia="zh-CN"/>
              </w:rPr>
              <w:br/>
              <w:t>de la emisión no deseada</w:t>
            </w:r>
            <w:r w:rsidRPr="00ED6248">
              <w:rPr>
                <w:position w:val="6"/>
                <w:sz w:val="14"/>
                <w:lang w:val="es-ES_tradnl" w:eastAsia="zh-CN"/>
              </w:rPr>
              <w:br/>
            </w:r>
            <w:r w:rsidRPr="00ED6248">
              <w:rPr>
                <w:lang w:val="es-ES_tradnl" w:eastAsia="zh-CN"/>
              </w:rPr>
              <w:t>y la frecuencia asignada</w:t>
            </w:r>
            <w:r w:rsidRPr="00ED6248">
              <w:rPr>
                <w:position w:val="6"/>
                <w:sz w:val="12"/>
                <w:lang w:val="es-ES_tradnl" w:eastAsia="zh-CN"/>
              </w:rPr>
              <w:br/>
            </w:r>
            <w:r w:rsidRPr="00ED6248">
              <w:rPr>
                <w:lang w:val="es-ES_tradnl" w:eastAsia="zh-CN"/>
              </w:rPr>
              <w:t>(kHz)</w:t>
            </w:r>
          </w:p>
        </w:tc>
        <w:tc>
          <w:tcPr>
            <w:tcW w:w="3969" w:type="dxa"/>
            <w:tcBorders>
              <w:top w:val="single" w:sz="6" w:space="0" w:color="auto"/>
              <w:left w:val="single" w:sz="6" w:space="0" w:color="auto"/>
              <w:bottom w:val="single" w:sz="6" w:space="0" w:color="auto"/>
              <w:right w:val="single" w:sz="6" w:space="0" w:color="auto"/>
            </w:tcBorders>
            <w:vAlign w:val="center"/>
          </w:tcPr>
          <w:p w:rsidR="00975C17" w:rsidRPr="00ED6248" w:rsidRDefault="00975C17" w:rsidP="005A63D3">
            <w:pPr>
              <w:pStyle w:val="Tablehead"/>
              <w:rPr>
                <w:lang w:val="es-ES_tradnl" w:eastAsia="zh-CN"/>
              </w:rPr>
            </w:pPr>
            <w:r w:rsidRPr="00ED6248">
              <w:rPr>
                <w:lang w:val="es-ES_tradnl" w:eastAsia="zh-CN"/>
              </w:rPr>
              <w:t>Atenuación mínima respecto</w:t>
            </w:r>
            <w:r w:rsidR="005A63D3">
              <w:rPr>
                <w:lang w:val="es-ES_tradnl" w:eastAsia="zh-CN"/>
              </w:rPr>
              <w:br/>
            </w:r>
            <w:r w:rsidRPr="00ED6248">
              <w:rPr>
                <w:lang w:val="es-ES_tradnl" w:eastAsia="zh-CN"/>
              </w:rPr>
              <w:t>a la potencia</w:t>
            </w:r>
            <w:r w:rsidR="005A63D3">
              <w:rPr>
                <w:lang w:val="es-ES_tradnl" w:eastAsia="zh-CN"/>
              </w:rPr>
              <w:t xml:space="preserve"> </w:t>
            </w:r>
            <w:r w:rsidRPr="00ED6248">
              <w:rPr>
                <w:lang w:val="es-ES_tradnl" w:eastAsia="zh-CN"/>
              </w:rPr>
              <w:t>en la cresta</w:t>
            </w:r>
            <w:r w:rsidR="005A63D3">
              <w:rPr>
                <w:lang w:val="es-ES_tradnl" w:eastAsia="zh-CN"/>
              </w:rPr>
              <w:br/>
            </w:r>
            <w:r w:rsidRPr="00ED6248">
              <w:rPr>
                <w:lang w:val="es-ES_tradnl" w:eastAsia="zh-CN"/>
              </w:rPr>
              <w:t>de la envolvente</w:t>
            </w:r>
          </w:p>
        </w:tc>
      </w:tr>
      <w:tr w:rsidR="00975C17" w:rsidRPr="00ED6248" w:rsidTr="00564F19">
        <w:trPr>
          <w:cantSplit/>
          <w:jc w:val="center"/>
        </w:trPr>
        <w:tc>
          <w:tcPr>
            <w:tcW w:w="3969" w:type="dxa"/>
            <w:tcBorders>
              <w:top w:val="single" w:sz="6" w:space="0" w:color="auto"/>
              <w:left w:val="single" w:sz="6" w:space="0" w:color="auto"/>
            </w:tcBorders>
          </w:tcPr>
          <w:p w:rsidR="00975C17" w:rsidRPr="00ED6248" w:rsidRDefault="00975C17" w:rsidP="009B5376">
            <w:pPr>
              <w:pStyle w:val="Tabletext"/>
              <w:jc w:val="center"/>
              <w:rPr>
                <w:lang w:val="es-ES_tradnl" w:eastAsia="zh-CN"/>
              </w:rPr>
            </w:pPr>
            <w:r w:rsidRPr="00ED6248">
              <w:rPr>
                <w:lang w:val="es-ES_tradnl" w:eastAsia="zh-CN"/>
              </w:rPr>
              <w:t>1,5</w:t>
            </w:r>
            <w:r w:rsidR="004B2B64">
              <w:rPr>
                <w:lang w:val="es-ES_tradnl" w:eastAsia="zh-CN"/>
              </w:rPr>
              <w:t>  </w:t>
            </w:r>
            <w:r w:rsidRPr="00ED6248">
              <w:rPr>
                <w:rFonts w:ascii="Symbol" w:hAnsi="Symbol"/>
                <w:lang w:val="es-ES_tradnl" w:eastAsia="zh-CN"/>
              </w:rPr>
              <w:t></w:t>
            </w:r>
            <w:r w:rsidR="004B2B64">
              <w:rPr>
                <w:lang w:val="es-ES_tradnl" w:eastAsia="zh-CN"/>
              </w:rPr>
              <w:t>  </w:t>
            </w:r>
            <w:r w:rsidR="004B2B64">
              <w:rPr>
                <w:rFonts w:asciiTheme="majorBidi" w:hAnsiTheme="majorBidi" w:cstheme="majorBidi"/>
                <w:sz w:val="20"/>
              </w:rPr>
              <w:sym w:font="Symbol" w:char="F044"/>
            </w:r>
            <w:r w:rsidR="004B2B64">
              <w:rPr>
                <w:lang w:val="es-ES_tradnl" w:eastAsia="zh-CN"/>
              </w:rPr>
              <w:t>  </w:t>
            </w:r>
            <w:r w:rsidR="009B5376">
              <w:rPr>
                <w:lang w:val="es-ES_tradnl" w:eastAsia="zh-CN"/>
              </w:rPr>
              <w:t>≤</w:t>
            </w:r>
            <w:r w:rsidR="004B2B64">
              <w:rPr>
                <w:lang w:val="es-ES_tradnl" w:eastAsia="zh-CN"/>
              </w:rPr>
              <w:t>  </w:t>
            </w:r>
            <w:r w:rsidRPr="00ED6248">
              <w:rPr>
                <w:lang w:val="es-ES_tradnl" w:eastAsia="zh-CN"/>
              </w:rPr>
              <w:t>4,5</w:t>
            </w:r>
          </w:p>
        </w:tc>
        <w:tc>
          <w:tcPr>
            <w:tcW w:w="3969" w:type="dxa"/>
            <w:tcBorders>
              <w:top w:val="single" w:sz="6" w:space="0" w:color="auto"/>
              <w:left w:val="single" w:sz="6" w:space="0" w:color="auto"/>
              <w:right w:val="single" w:sz="6" w:space="0" w:color="auto"/>
            </w:tcBorders>
          </w:tcPr>
          <w:p w:rsidR="00975C17" w:rsidRPr="00ED6248" w:rsidRDefault="00975C17" w:rsidP="004B2B64">
            <w:pPr>
              <w:pStyle w:val="Tabletext"/>
              <w:jc w:val="center"/>
              <w:rPr>
                <w:lang w:val="es-ES_tradnl" w:eastAsia="zh-CN"/>
              </w:rPr>
            </w:pPr>
            <w:r w:rsidRPr="00ED6248">
              <w:rPr>
                <w:lang w:val="es-ES_tradnl" w:eastAsia="zh-CN"/>
              </w:rPr>
              <w:t>31 dB</w:t>
            </w:r>
          </w:p>
        </w:tc>
      </w:tr>
      <w:tr w:rsidR="00975C17" w:rsidRPr="00ED6248" w:rsidTr="00564F19">
        <w:trPr>
          <w:cantSplit/>
          <w:jc w:val="center"/>
        </w:trPr>
        <w:tc>
          <w:tcPr>
            <w:tcW w:w="3969" w:type="dxa"/>
            <w:tcBorders>
              <w:left w:val="single" w:sz="6" w:space="0" w:color="auto"/>
            </w:tcBorders>
          </w:tcPr>
          <w:p w:rsidR="00975C17" w:rsidRPr="00ED6248" w:rsidRDefault="00975C17" w:rsidP="004B2B64">
            <w:pPr>
              <w:pStyle w:val="Tabletext"/>
              <w:jc w:val="center"/>
              <w:rPr>
                <w:lang w:val="es-ES_tradnl" w:eastAsia="zh-CN"/>
              </w:rPr>
            </w:pPr>
            <w:r w:rsidRPr="00ED6248">
              <w:rPr>
                <w:lang w:val="es-ES_tradnl" w:eastAsia="zh-CN"/>
              </w:rPr>
              <w:t>4,5</w:t>
            </w:r>
            <w:r w:rsidR="004B2B64">
              <w:rPr>
                <w:lang w:val="es-ES_tradnl" w:eastAsia="zh-CN"/>
              </w:rPr>
              <w:t>  </w:t>
            </w:r>
            <w:r w:rsidRPr="00ED6248">
              <w:rPr>
                <w:rFonts w:ascii="Symbol" w:hAnsi="Symbol"/>
                <w:lang w:val="es-ES_tradnl" w:eastAsia="zh-CN"/>
              </w:rPr>
              <w:t></w:t>
            </w:r>
            <w:r w:rsidR="004B2B64">
              <w:rPr>
                <w:lang w:val="es-ES_tradnl" w:eastAsia="zh-CN"/>
              </w:rPr>
              <w:t>  </w:t>
            </w:r>
            <w:r w:rsidR="004B2B64">
              <w:rPr>
                <w:rFonts w:asciiTheme="majorBidi" w:hAnsiTheme="majorBidi" w:cstheme="majorBidi"/>
                <w:sz w:val="20"/>
              </w:rPr>
              <w:sym w:font="Symbol" w:char="F044"/>
            </w:r>
            <w:r w:rsidR="004B2B64">
              <w:rPr>
                <w:rFonts w:asciiTheme="majorBidi" w:hAnsiTheme="majorBidi" w:cstheme="majorBidi"/>
                <w:sz w:val="20"/>
              </w:rPr>
              <w:t>  </w:t>
            </w:r>
            <w:r w:rsidR="009B5376">
              <w:rPr>
                <w:lang w:val="es-ES_tradnl" w:eastAsia="zh-CN"/>
              </w:rPr>
              <w:t>≤</w:t>
            </w:r>
            <w:r w:rsidR="004B2B64">
              <w:rPr>
                <w:lang w:val="es-ES_tradnl" w:eastAsia="zh-CN"/>
              </w:rPr>
              <w:t>  </w:t>
            </w:r>
            <w:r w:rsidRPr="00ED6248">
              <w:rPr>
                <w:lang w:val="es-ES_tradnl" w:eastAsia="zh-CN"/>
              </w:rPr>
              <w:t>7,5</w:t>
            </w:r>
          </w:p>
        </w:tc>
        <w:tc>
          <w:tcPr>
            <w:tcW w:w="3969" w:type="dxa"/>
            <w:tcBorders>
              <w:left w:val="single" w:sz="6" w:space="0" w:color="auto"/>
              <w:right w:val="single" w:sz="6" w:space="0" w:color="auto"/>
            </w:tcBorders>
          </w:tcPr>
          <w:p w:rsidR="00975C17" w:rsidRPr="00ED6248" w:rsidRDefault="00975C17" w:rsidP="004B2B64">
            <w:pPr>
              <w:pStyle w:val="Tabletext"/>
              <w:jc w:val="center"/>
              <w:rPr>
                <w:lang w:val="es-ES_tradnl" w:eastAsia="zh-CN"/>
              </w:rPr>
            </w:pPr>
            <w:r w:rsidRPr="00ED6248">
              <w:rPr>
                <w:lang w:val="es-ES_tradnl" w:eastAsia="zh-CN"/>
              </w:rPr>
              <w:t>38 dB</w:t>
            </w:r>
          </w:p>
        </w:tc>
      </w:tr>
      <w:tr w:rsidR="00975C17" w:rsidRPr="00975C17" w:rsidTr="00564F19">
        <w:trPr>
          <w:cantSplit/>
          <w:jc w:val="center"/>
        </w:trPr>
        <w:tc>
          <w:tcPr>
            <w:tcW w:w="3969" w:type="dxa"/>
            <w:tcBorders>
              <w:left w:val="single" w:sz="6" w:space="0" w:color="auto"/>
              <w:bottom w:val="single" w:sz="6" w:space="0" w:color="auto"/>
            </w:tcBorders>
          </w:tcPr>
          <w:p w:rsidR="00975C17" w:rsidRPr="00ED6248" w:rsidRDefault="00975C17" w:rsidP="004B2B64">
            <w:pPr>
              <w:pStyle w:val="Tabletext"/>
              <w:jc w:val="center"/>
              <w:rPr>
                <w:lang w:val="es-ES_tradnl" w:eastAsia="zh-CN"/>
              </w:rPr>
            </w:pPr>
            <w:r w:rsidRPr="00ED6248">
              <w:rPr>
                <w:lang w:val="es-ES_tradnl" w:eastAsia="zh-CN"/>
              </w:rPr>
              <w:t>7,5</w:t>
            </w:r>
            <w:r w:rsidR="004B2B64">
              <w:rPr>
                <w:lang w:val="es-ES_tradnl" w:eastAsia="zh-CN"/>
              </w:rPr>
              <w:t>  &lt;  </w:t>
            </w:r>
            <w:r w:rsidR="004B2B64">
              <w:rPr>
                <w:rFonts w:asciiTheme="majorBidi" w:hAnsiTheme="majorBidi" w:cstheme="majorBidi"/>
                <w:sz w:val="20"/>
              </w:rPr>
              <w:sym w:font="Symbol" w:char="F044"/>
            </w:r>
          </w:p>
        </w:tc>
        <w:tc>
          <w:tcPr>
            <w:tcW w:w="3969" w:type="dxa"/>
            <w:tcBorders>
              <w:left w:val="single" w:sz="6" w:space="0" w:color="auto"/>
              <w:bottom w:val="single" w:sz="6" w:space="0" w:color="auto"/>
              <w:right w:val="single" w:sz="6" w:space="0" w:color="auto"/>
            </w:tcBorders>
          </w:tcPr>
          <w:p w:rsidR="00975C17" w:rsidRPr="00ED6248" w:rsidRDefault="00975C17" w:rsidP="004B2B64">
            <w:pPr>
              <w:pStyle w:val="Tabletext"/>
              <w:jc w:val="center"/>
              <w:rPr>
                <w:lang w:val="es-ES_tradnl" w:eastAsia="zh-CN"/>
              </w:rPr>
            </w:pPr>
            <w:r w:rsidRPr="00ED6248">
              <w:rPr>
                <w:lang w:val="es-ES_tradnl" w:eastAsia="zh-CN"/>
              </w:rPr>
              <w:t>43 dB sin que la potencia de la emisión</w:t>
            </w:r>
            <w:r w:rsidRPr="00ED6248">
              <w:rPr>
                <w:lang w:val="es-ES_tradnl" w:eastAsia="zh-CN"/>
              </w:rPr>
              <w:br/>
              <w:t>no deseada supere los 50 mW</w:t>
            </w:r>
          </w:p>
        </w:tc>
      </w:tr>
    </w:tbl>
    <w:p w:rsidR="00975C17" w:rsidRPr="004B2B64" w:rsidRDefault="00975C17" w:rsidP="004B2B64">
      <w:pPr>
        <w:pStyle w:val="Tablefin"/>
        <w:rPr>
          <w:lang w:val="es-ES_tradnl" w:eastAsia="zh-CN"/>
        </w:rPr>
      </w:pPr>
    </w:p>
    <w:p w:rsidR="00975C17" w:rsidRPr="00ED6248" w:rsidRDefault="00975C17" w:rsidP="00847477">
      <w:pPr>
        <w:rPr>
          <w:lang w:val="es-ES_tradnl" w:eastAsia="zh-CN"/>
        </w:rPr>
      </w:pPr>
      <w:r w:rsidRPr="00ED6248">
        <w:rPr>
          <w:lang w:val="es-ES_tradnl" w:eastAsia="zh-CN"/>
        </w:rPr>
        <w:t>En lo que se refiere a las emisiones fuera de banda y a las emisiones no esenciales</w:t>
      </w:r>
      <w:r w:rsidRPr="00ED6248">
        <w:rPr>
          <w:rFonts w:ascii="Tms Rmn" w:hAnsi="Tms Rmn"/>
          <w:sz w:val="12"/>
          <w:lang w:val="es-ES_tradnl" w:eastAsia="zh-CN"/>
        </w:rPr>
        <w:t> </w:t>
      </w:r>
      <w:r w:rsidRPr="00ED6248">
        <w:rPr>
          <w:lang w:val="es-ES_tradnl" w:eastAsia="zh-CN"/>
        </w:rPr>
        <w:t>que resultan del proceso de modulación, pero que no entran en el espectro de las emisiones fuera de banda</w:t>
      </w:r>
      <w:r w:rsidRPr="00ED6248">
        <w:rPr>
          <w:rFonts w:ascii="Tms Rmn" w:hAnsi="Tms Rmn"/>
          <w:sz w:val="12"/>
          <w:lang w:val="es-ES_tradnl" w:eastAsia="zh-CN"/>
        </w:rPr>
        <w:t> </w:t>
      </w:r>
      <w:r w:rsidRPr="00ED6248">
        <w:rPr>
          <w:lang w:val="es-ES_tradnl" w:eastAsia="zh-CN"/>
        </w:rPr>
        <w:t>cuando se quiera comprobar si una transmisión con onda portadora suprimida satisface estas condiciones, podrá aplicarse a la entrada del transmisor una señal constituida por dos audiofrecuencias suficientemente alejadas entre sí para que todos los productos de intermodulación aparezcan en frecuencias que disten como mínimo 1,5 kHz de la frecuencia asignada.</w:t>
      </w:r>
    </w:p>
    <w:p w:rsidR="00975C17" w:rsidRDefault="00975C17" w:rsidP="00975C17">
      <w:pPr>
        <w:rPr>
          <w:lang w:val="es-ES_tradnl"/>
        </w:rPr>
      </w:pPr>
    </w:p>
    <w:p w:rsidR="00975C17" w:rsidRPr="004B2B64" w:rsidRDefault="00975C17" w:rsidP="00564F19">
      <w:pPr>
        <w:rPr>
          <w:lang w:val="es-ES_tradnl"/>
        </w:rPr>
      </w:pPr>
    </w:p>
    <w:p w:rsidR="00975C17" w:rsidRDefault="00975C17">
      <w:pPr>
        <w:jc w:val="center"/>
      </w:pPr>
      <w:r>
        <w:t>______________</w:t>
      </w:r>
    </w:p>
    <w:p w:rsidR="00A6617B" w:rsidRPr="00975C17" w:rsidRDefault="00A6617B" w:rsidP="00975C17">
      <w:pPr>
        <w:rPr>
          <w:lang w:val="es-ES_tradnl"/>
        </w:rPr>
      </w:pPr>
    </w:p>
    <w:sectPr w:rsidR="00A6617B" w:rsidRPr="00975C17" w:rsidSect="00975C1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C17" w:rsidRDefault="00975C17">
      <w:r>
        <w:separator/>
      </w:r>
    </w:p>
  </w:endnote>
  <w:endnote w:type="continuationSeparator" w:id="0">
    <w:p w:rsidR="00975C17" w:rsidRDefault="0097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C17" w:rsidRDefault="00975C17">
      <w:r>
        <w:separator/>
      </w:r>
    </w:p>
  </w:footnote>
  <w:footnote w:type="continuationSeparator" w:id="0">
    <w:p w:rsidR="00975C17" w:rsidRDefault="00975C17">
      <w:r>
        <w:continuationSeparator/>
      </w:r>
    </w:p>
  </w:footnote>
  <w:footnote w:id="1">
    <w:p w:rsidR="00981CEF" w:rsidRPr="00981CEF" w:rsidRDefault="00981CEF">
      <w:pPr>
        <w:pStyle w:val="FootnoteText"/>
        <w:rPr>
          <w:lang w:val="es-ES_tradnl"/>
        </w:rPr>
      </w:pPr>
      <w:r w:rsidRPr="00981CEF">
        <w:rPr>
          <w:rStyle w:val="FootnoteReference"/>
          <w:lang w:val="es-ES_tradnl"/>
        </w:rPr>
        <w:t>*</w:t>
      </w:r>
      <w:r w:rsidRPr="00981CEF">
        <w:rPr>
          <w:lang w:val="es-ES_tradnl"/>
        </w:rPr>
        <w:t xml:space="preserve"> </w:t>
      </w:r>
      <w:r>
        <w:rPr>
          <w:lang w:val="es-ES_tradnl"/>
        </w:rPr>
        <w:tab/>
      </w:r>
      <w:r w:rsidRPr="00FB5C0A">
        <w:rPr>
          <w:sz w:val="20"/>
          <w:lang w:val="es-ES"/>
        </w:rPr>
        <w:t>Esta Recomendación debe señalarse a la atención de la Organización Marítima Internacional (OMI), la Comisión Electrotécnica Internacional (CEI) y el Comité Internacional Radiomarítimo (CIRM).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17" w:rsidRDefault="00975C1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17" w:rsidRDefault="00975C17" w:rsidP="00CB1354">
    <w:pPr>
      <w:ind w:right="360" w:firstLine="360"/>
    </w:pPr>
    <w:r>
      <w:rPr>
        <w:noProof/>
        <w:lang w:val="es-ES_tradnl" w:eastAsia="zh-CN"/>
      </w:rPr>
      <w:drawing>
        <wp:anchor distT="0" distB="0" distL="114300" distR="114300" simplePos="0" relativeHeight="251658240" behindDoc="0" locked="0" layoutInCell="1" allowOverlap="1" wp14:anchorId="2A5D36A9" wp14:editId="5506B71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7DAA5141" wp14:editId="09FC266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17" w:rsidRDefault="00975C1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52261">
      <w:rPr>
        <w:rStyle w:val="PageNumber"/>
        <w:b/>
        <w:bCs/>
        <w:noProof/>
      </w:rPr>
      <w:t>ii</w:t>
    </w:r>
    <w:r>
      <w:rPr>
        <w:rStyle w:val="PageNumber"/>
        <w:b/>
        <w:bCs/>
      </w:rPr>
      <w:fldChar w:fldCharType="end"/>
    </w:r>
    <w:r>
      <w:tab/>
    </w:r>
    <w:fldSimple w:instr=" DOCPROPERTY &quot;Header&quot; \* MERGEFORMAT ">
      <w:r w:rsidR="00952261" w:rsidRPr="0095226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52261">
      <w:rPr>
        <w:b/>
        <w:bCs/>
        <w:noProof/>
      </w:rPr>
      <w:t>UIT-R  M.1173-1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17" w:rsidRDefault="00975C17">
    <w:r>
      <w:tab/>
    </w:r>
    <w:fldSimple w:instr=" DOCPROPERTY &quot;Header&quot; \* MERGEFORMAT ">
      <w:r w:rsidR="00952261" w:rsidRPr="009522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52261">
      <w:rPr>
        <w:b/>
        <w:bCs/>
        <w:noProof/>
      </w:rPr>
      <w:t>UIT-R  M.1173-1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5226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52261" w:rsidRPr="0095226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52261">
      <w:rPr>
        <w:b/>
        <w:bCs/>
        <w:noProof/>
      </w:rPr>
      <w:t>UIT-R  M.1173-1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52261" w:rsidRPr="009522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52261">
      <w:rPr>
        <w:b/>
        <w:bCs/>
        <w:noProof/>
      </w:rPr>
      <w:t>UIT-R  M.1173-1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226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D442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9AAA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18BD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D0C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9013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CC63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8A2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B641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EE2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72D2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C17"/>
    <w:rsid w:val="001B4A0F"/>
    <w:rsid w:val="00217EBF"/>
    <w:rsid w:val="00242AEE"/>
    <w:rsid w:val="002D76C4"/>
    <w:rsid w:val="004B2B64"/>
    <w:rsid w:val="0052529D"/>
    <w:rsid w:val="00564F19"/>
    <w:rsid w:val="005A63D3"/>
    <w:rsid w:val="00607D68"/>
    <w:rsid w:val="007413AA"/>
    <w:rsid w:val="007468DA"/>
    <w:rsid w:val="007B580E"/>
    <w:rsid w:val="00847477"/>
    <w:rsid w:val="00854543"/>
    <w:rsid w:val="008B0B54"/>
    <w:rsid w:val="00952261"/>
    <w:rsid w:val="00975C17"/>
    <w:rsid w:val="00981CEF"/>
    <w:rsid w:val="009B5376"/>
    <w:rsid w:val="009E00A8"/>
    <w:rsid w:val="00A6617B"/>
    <w:rsid w:val="00AB0DC8"/>
    <w:rsid w:val="00B44E24"/>
    <w:rsid w:val="00DF4176"/>
    <w:rsid w:val="00E853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46A25FB-86C8-4879-B01C-6A29B417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C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75C17"/>
    <w:rPr>
      <w:color w:val="0000FF"/>
      <w:u w:val="single"/>
    </w:rPr>
  </w:style>
  <w:style w:type="character" w:customStyle="1" w:styleId="TableheadChar">
    <w:name w:val="Table_head Char"/>
    <w:basedOn w:val="DefaultParagraphFont"/>
    <w:link w:val="Tablehead"/>
    <w:locked/>
    <w:rsid w:val="00975C17"/>
    <w:rPr>
      <w:b/>
      <w:sz w:val="22"/>
      <w:lang w:val="fr-FR" w:eastAsia="en-US"/>
    </w:rPr>
  </w:style>
  <w:style w:type="character" w:customStyle="1" w:styleId="TabletextChar">
    <w:name w:val="Table_text Char"/>
    <w:basedOn w:val="DefaultParagraphFont"/>
    <w:link w:val="Tabletext"/>
    <w:locked/>
    <w:rsid w:val="00975C17"/>
    <w:rPr>
      <w:sz w:val="22"/>
      <w:lang w:val="fr-FR" w:eastAsia="en-US"/>
    </w:rPr>
  </w:style>
  <w:style w:type="character" w:customStyle="1" w:styleId="Heading1Char">
    <w:name w:val="Heading 1 Char"/>
    <w:basedOn w:val="DefaultParagraphFont"/>
    <w:link w:val="Heading1"/>
    <w:rsid w:val="00975C17"/>
    <w:rPr>
      <w:b/>
      <w:sz w:val="24"/>
      <w:lang w:val="fr-FR" w:eastAsia="en-US"/>
    </w:rPr>
  </w:style>
  <w:style w:type="character" w:customStyle="1" w:styleId="FooterChar">
    <w:name w:val="Footer Char"/>
    <w:link w:val="Footer"/>
    <w:rsid w:val="00975C17"/>
    <w:rPr>
      <w:noProof/>
      <w:sz w:val="18"/>
      <w:lang w:val="fr-FR" w:eastAsia="en-US"/>
    </w:rPr>
  </w:style>
  <w:style w:type="character" w:customStyle="1" w:styleId="HeaderChar">
    <w:name w:val="Header Char"/>
    <w:basedOn w:val="DefaultParagraphFont"/>
    <w:link w:val="Header"/>
    <w:rsid w:val="00975C1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462DC-C3FC-408B-B2EA-115B4901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TotalTime>
  <Pages>4</Pages>
  <Words>1091</Words>
  <Characters>5095</Characters>
  <Application>Microsoft Office Word</Application>
  <DocSecurity>0</DocSecurity>
  <Lines>159</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12</cp:revision>
  <cp:lastPrinted>2015-06-23T08:49:00Z</cp:lastPrinted>
  <dcterms:created xsi:type="dcterms:W3CDTF">2015-06-23T07:54:00Z</dcterms:created>
  <dcterms:modified xsi:type="dcterms:W3CDTF">2015-06-23T08:55:00Z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