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674" w:rsidRDefault="00FE0674" w:rsidP="00FE0674"/>
    <w:p w:rsidR="00FE0674" w:rsidRDefault="00FE0674" w:rsidP="00FE0674"/>
    <w:p w:rsidR="00FE0674" w:rsidRDefault="00FE0674" w:rsidP="00FE0674"/>
    <w:p w:rsidR="00FE0674" w:rsidRDefault="00FE0674" w:rsidP="00FE0674"/>
    <w:p w:rsidR="00FE0674" w:rsidRDefault="00FE0674" w:rsidP="00FE0674"/>
    <w:p w:rsidR="00FE0674" w:rsidRDefault="00FE0674" w:rsidP="00FE0674"/>
    <w:p w:rsidR="00FE0674" w:rsidRDefault="00FE0674" w:rsidP="00FE0674"/>
    <w:p w:rsidR="00FE0674" w:rsidRDefault="00FE0674" w:rsidP="00FE0674"/>
    <w:p w:rsidR="00FE0674" w:rsidRDefault="00FE0674" w:rsidP="00FE0674"/>
    <w:p w:rsidR="00FE0674" w:rsidRDefault="00FE0674" w:rsidP="00FE0674"/>
    <w:p w:rsidR="00FE0674" w:rsidRDefault="00FE0674" w:rsidP="00FE0674"/>
    <w:p w:rsidR="00FE0674" w:rsidRDefault="00FE0674" w:rsidP="00FE0674"/>
    <w:tbl>
      <w:tblPr>
        <w:tblW w:w="10089" w:type="dxa"/>
        <w:tblLook w:val="01E0"/>
      </w:tblPr>
      <w:tblGrid>
        <w:gridCol w:w="10089"/>
      </w:tblGrid>
      <w:tr w:rsidR="00FE0674" w:rsidRPr="004F65E4" w:rsidTr="00AD1722">
        <w:tc>
          <w:tcPr>
            <w:tcW w:w="10089" w:type="dxa"/>
          </w:tcPr>
          <w:p w:rsidR="00FE0674" w:rsidRPr="001511A6" w:rsidRDefault="00FE0674" w:rsidP="00AD1722">
            <w:pPr>
              <w:spacing w:before="380" w:line="280" w:lineRule="exact"/>
              <w:jc w:val="right"/>
              <w:rPr>
                <w:rFonts w:ascii="Tahoma" w:hAnsi="Tahoma" w:cs="Tahoma"/>
                <w:b/>
                <w:bCs/>
                <w:iCs/>
                <w:color w:val="243285"/>
                <w:sz w:val="32"/>
                <w:szCs w:val="32"/>
                <w:lang w:val="en-US"/>
              </w:rPr>
            </w:pPr>
          </w:p>
          <w:p w:rsidR="00FE0674" w:rsidRPr="004F65E4" w:rsidRDefault="00FE0674" w:rsidP="00AD172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1043-2</w:t>
            </w:r>
          </w:p>
          <w:p w:rsidR="00FE0674" w:rsidRPr="004F65E4" w:rsidRDefault="00FE0674" w:rsidP="00AD172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06</w:t>
            </w:r>
            <w:r w:rsidRPr="004F65E4">
              <w:rPr>
                <w:rFonts w:ascii="Tahoma" w:hAnsi="Tahoma" w:cs="Tahoma"/>
                <w:b/>
                <w:bCs/>
                <w:iCs/>
                <w:color w:val="243285"/>
                <w:szCs w:val="24"/>
              </w:rPr>
              <w:t>/</w:t>
            </w:r>
            <w:r>
              <w:rPr>
                <w:rFonts w:ascii="Tahoma" w:hAnsi="Tahoma" w:cs="Tahoma"/>
                <w:b/>
                <w:bCs/>
                <w:iCs/>
                <w:color w:val="243285"/>
                <w:szCs w:val="24"/>
              </w:rPr>
              <w:t>2003</w:t>
            </w:r>
            <w:r w:rsidRPr="004F65E4">
              <w:rPr>
                <w:rFonts w:ascii="Tahoma" w:hAnsi="Tahoma" w:cs="Tahoma"/>
                <w:b/>
                <w:bCs/>
                <w:iCs/>
                <w:color w:val="243285"/>
                <w:szCs w:val="24"/>
              </w:rPr>
              <w:t>)</w:t>
            </w:r>
          </w:p>
        </w:tc>
      </w:tr>
      <w:tr w:rsidR="00FE0674" w:rsidRPr="001511A6" w:rsidTr="00AD1722">
        <w:tc>
          <w:tcPr>
            <w:tcW w:w="10089" w:type="dxa"/>
          </w:tcPr>
          <w:p w:rsidR="00FE0674" w:rsidRPr="004F65E4" w:rsidRDefault="00FE0674" w:rsidP="00AD1722">
            <w:pPr>
              <w:spacing w:before="80" w:line="500" w:lineRule="exact"/>
              <w:jc w:val="right"/>
              <w:rPr>
                <w:rFonts w:ascii="Tahoma" w:hAnsi="Tahoma" w:cs="Tahoma"/>
                <w:b/>
                <w:bCs/>
                <w:iCs/>
                <w:color w:val="243285"/>
                <w:sz w:val="44"/>
                <w:szCs w:val="44"/>
              </w:rPr>
            </w:pPr>
          </w:p>
          <w:p w:rsidR="00FE0674" w:rsidRPr="001511A6" w:rsidRDefault="00FE0674" w:rsidP="00AD1722">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Use of the amateur and amateur-satellite services in developing countries</w:t>
            </w:r>
          </w:p>
          <w:p w:rsidR="00FE0674" w:rsidRPr="001511A6" w:rsidRDefault="00FE0674" w:rsidP="00AD1722">
            <w:pPr>
              <w:spacing w:before="80" w:line="500" w:lineRule="exact"/>
              <w:jc w:val="right"/>
              <w:rPr>
                <w:rFonts w:ascii="Tahoma" w:hAnsi="Tahoma" w:cs="Tahoma"/>
                <w:b/>
                <w:bCs/>
                <w:iCs/>
                <w:color w:val="243285"/>
                <w:sz w:val="40"/>
                <w:szCs w:val="40"/>
                <w:lang w:val="en-US"/>
              </w:rPr>
            </w:pPr>
          </w:p>
        </w:tc>
      </w:tr>
      <w:tr w:rsidR="00FE0674" w:rsidTr="00AD1722">
        <w:tc>
          <w:tcPr>
            <w:tcW w:w="10089" w:type="dxa"/>
          </w:tcPr>
          <w:p w:rsidR="00FE0674" w:rsidRDefault="00FE0674" w:rsidP="00AD1722">
            <w:pPr>
              <w:spacing w:before="80" w:line="280" w:lineRule="exact"/>
              <w:ind w:right="640"/>
              <w:rPr>
                <w:rFonts w:ascii="Tahoma" w:hAnsi="Tahoma" w:cs="Tahoma"/>
                <w:b/>
                <w:bCs/>
                <w:iCs/>
                <w:color w:val="243285"/>
                <w:sz w:val="32"/>
                <w:szCs w:val="32"/>
                <w:lang w:val="es-ES_tradnl"/>
              </w:rPr>
            </w:pPr>
          </w:p>
          <w:p w:rsidR="00FE0674" w:rsidRDefault="00FE0674" w:rsidP="00AD1722">
            <w:pPr>
              <w:spacing w:before="80" w:after="180" w:line="360" w:lineRule="exact"/>
              <w:ind w:right="720"/>
              <w:rPr>
                <w:rFonts w:ascii="Tahoma" w:hAnsi="Tahoma" w:cs="Tahoma"/>
                <w:b/>
                <w:bCs/>
                <w:iCs/>
                <w:color w:val="243285"/>
                <w:sz w:val="36"/>
                <w:szCs w:val="36"/>
                <w:lang w:val="es-ES_tradnl"/>
              </w:rPr>
            </w:pPr>
          </w:p>
          <w:p w:rsidR="00FE0674" w:rsidRPr="001511A6" w:rsidRDefault="00FE0674" w:rsidP="00AD172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FE0674" w:rsidRDefault="00FE0674" w:rsidP="00AD1722">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0674" w:rsidRPr="0041667C" w:rsidRDefault="00FE0674" w:rsidP="00AD1722">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FE0674" w:rsidRDefault="00FE0674" w:rsidP="00FE0674">
      <w:pPr>
        <w:spacing w:before="80"/>
        <w:rPr>
          <w:i/>
          <w:sz w:val="22"/>
          <w:lang w:val="en-US"/>
        </w:rPr>
      </w:pPr>
    </w:p>
    <w:p w:rsidR="00FE0674" w:rsidRDefault="00FE0674" w:rsidP="00FE0674">
      <w:pPr>
        <w:spacing w:before="80"/>
        <w:rPr>
          <w:i/>
          <w:sz w:val="22"/>
          <w:lang w:val="en-US"/>
        </w:rPr>
      </w:pPr>
    </w:p>
    <w:p w:rsidR="00FE0674" w:rsidRDefault="00FE0674" w:rsidP="00FE0674">
      <w:pPr>
        <w:spacing w:before="80"/>
        <w:rPr>
          <w:i/>
          <w:sz w:val="22"/>
          <w:lang w:val="en-US"/>
        </w:rPr>
      </w:pPr>
    </w:p>
    <w:p w:rsidR="00FE0674" w:rsidRDefault="00FE0674" w:rsidP="00FE0674">
      <w:pPr>
        <w:spacing w:before="80"/>
        <w:rPr>
          <w:i/>
          <w:sz w:val="22"/>
          <w:lang w:val="en-US"/>
        </w:rPr>
      </w:pPr>
    </w:p>
    <w:p w:rsidR="00FE0674" w:rsidRDefault="00FE0674" w:rsidP="00FE0674">
      <w:pPr>
        <w:spacing w:before="80"/>
        <w:rPr>
          <w:i/>
          <w:sz w:val="22"/>
          <w:lang w:val="en-US"/>
        </w:rPr>
      </w:pPr>
    </w:p>
    <w:p w:rsidR="00FE0674" w:rsidRDefault="00FE0674" w:rsidP="00FE0674">
      <w:pPr>
        <w:spacing w:before="80"/>
        <w:rPr>
          <w:i/>
          <w:sz w:val="22"/>
          <w:lang w:val="en-US"/>
        </w:rPr>
      </w:pPr>
    </w:p>
    <w:p w:rsidR="00FE0674" w:rsidRDefault="00FE0674" w:rsidP="00FE0674">
      <w:pPr>
        <w:pStyle w:val="Equation"/>
        <w:tabs>
          <w:tab w:val="clear" w:pos="4820"/>
          <w:tab w:val="clear" w:pos="9639"/>
          <w:tab w:val="left" w:pos="1191"/>
          <w:tab w:val="left" w:pos="1588"/>
          <w:tab w:val="left" w:pos="1985"/>
        </w:tabs>
        <w:rPr>
          <w:rFonts w:ascii="Palatino Linotype" w:hAnsi="Palatino Linotype"/>
          <w:lang w:val="en-US"/>
        </w:rPr>
        <w:sectPr w:rsidR="00FE0674">
          <w:headerReference w:type="even" r:id="rId7"/>
          <w:headerReference w:type="default" r:id="rId8"/>
          <w:pgSz w:w="11907" w:h="16840" w:code="9"/>
          <w:pgMar w:top="1089" w:right="1089" w:bottom="284" w:left="1089" w:header="567" w:footer="284" w:gutter="0"/>
          <w:pgNumType w:start="1"/>
          <w:cols w:space="720"/>
        </w:sectPr>
      </w:pPr>
    </w:p>
    <w:p w:rsidR="00FE0674" w:rsidRPr="00586EF8" w:rsidRDefault="00FE0674" w:rsidP="00FE06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FE0674" w:rsidRDefault="00FE0674" w:rsidP="00FE067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E0674" w:rsidRDefault="00FE0674" w:rsidP="00FE067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E0674" w:rsidRPr="00B714F3" w:rsidRDefault="00FE0674" w:rsidP="00FE0674">
      <w:pPr>
        <w:pStyle w:val="Heading1"/>
        <w:spacing w:before="680"/>
        <w:jc w:val="center"/>
        <w:rPr>
          <w:szCs w:val="24"/>
          <w:lang w:val="en-US"/>
        </w:rPr>
      </w:pPr>
      <w:r w:rsidRPr="00B714F3">
        <w:rPr>
          <w:szCs w:val="24"/>
          <w:lang w:val="en-US"/>
        </w:rPr>
        <w:t>Policy on Intellectual Property Right (IPR)</w:t>
      </w:r>
    </w:p>
    <w:p w:rsidR="00FE0674" w:rsidRPr="00B714F3" w:rsidRDefault="00FE0674" w:rsidP="00FE067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E0674" w:rsidRDefault="00FE0674" w:rsidP="00FE0674">
      <w:pPr>
        <w:jc w:val="center"/>
        <w:rPr>
          <w:sz w:val="22"/>
          <w:lang w:val="en-US"/>
        </w:rPr>
      </w:pPr>
    </w:p>
    <w:p w:rsidR="00FE0674" w:rsidRDefault="00FE0674" w:rsidP="00FE067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E0674" w:rsidTr="00AD1722">
        <w:tc>
          <w:tcPr>
            <w:tcW w:w="9360" w:type="dxa"/>
            <w:gridSpan w:val="2"/>
          </w:tcPr>
          <w:p w:rsidR="00FE0674" w:rsidRPr="00036EE3" w:rsidRDefault="00FE0674" w:rsidP="00AD172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E0674" w:rsidRPr="00036EE3" w:rsidRDefault="00FE067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FE0674" w:rsidRPr="00036EE3" w:rsidTr="00AD1722">
        <w:tc>
          <w:tcPr>
            <w:tcW w:w="1140" w:type="dxa"/>
          </w:tcPr>
          <w:p w:rsidR="00FE0674" w:rsidRPr="00036EE3" w:rsidRDefault="00FE0674" w:rsidP="00AD1722">
            <w:pPr>
              <w:spacing w:before="200" w:after="100"/>
              <w:ind w:left="57"/>
              <w:rPr>
                <w:b/>
                <w:bCs/>
                <w:sz w:val="20"/>
                <w:lang w:val="en-US"/>
              </w:rPr>
            </w:pPr>
            <w:r w:rsidRPr="00036EE3">
              <w:rPr>
                <w:b/>
                <w:bCs/>
                <w:sz w:val="20"/>
                <w:lang w:val="en-US"/>
              </w:rPr>
              <w:t>Series</w:t>
            </w:r>
          </w:p>
        </w:tc>
        <w:tc>
          <w:tcPr>
            <w:tcW w:w="8220" w:type="dxa"/>
          </w:tcPr>
          <w:p w:rsidR="00FE0674" w:rsidRPr="00036EE3" w:rsidRDefault="00FE067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E0674" w:rsidRPr="00036EE3" w:rsidTr="00AD1722">
        <w:tc>
          <w:tcPr>
            <w:tcW w:w="1140" w:type="dxa"/>
          </w:tcPr>
          <w:p w:rsidR="00FE0674" w:rsidRPr="00036EE3" w:rsidRDefault="00FE0674" w:rsidP="00AD1722">
            <w:pPr>
              <w:spacing w:before="30" w:after="30"/>
              <w:ind w:left="57"/>
              <w:jc w:val="left"/>
              <w:rPr>
                <w:b/>
                <w:bCs/>
                <w:sz w:val="20"/>
                <w:lang w:val="en-US"/>
              </w:rPr>
            </w:pPr>
            <w:r w:rsidRPr="00036EE3">
              <w:rPr>
                <w:b/>
                <w:bCs/>
                <w:sz w:val="20"/>
                <w:lang w:val="en-US"/>
              </w:rPr>
              <w:t>BO</w:t>
            </w:r>
          </w:p>
        </w:tc>
        <w:tc>
          <w:tcPr>
            <w:tcW w:w="8220" w:type="dxa"/>
          </w:tcPr>
          <w:p w:rsidR="00FE0674" w:rsidRPr="00036EE3" w:rsidRDefault="00FE067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E0674" w:rsidRPr="00036EE3" w:rsidTr="00AD1722">
        <w:tc>
          <w:tcPr>
            <w:tcW w:w="1140" w:type="dxa"/>
            <w:tcBorders>
              <w:bottom w:val="nil"/>
            </w:tcBorders>
          </w:tcPr>
          <w:p w:rsidR="00FE0674" w:rsidRPr="00036EE3" w:rsidRDefault="00FE0674" w:rsidP="00AD1722">
            <w:pPr>
              <w:spacing w:before="30" w:after="30"/>
              <w:ind w:left="57"/>
              <w:jc w:val="left"/>
              <w:rPr>
                <w:b/>
                <w:bCs/>
                <w:sz w:val="20"/>
                <w:lang w:val="en-US"/>
              </w:rPr>
            </w:pPr>
            <w:r w:rsidRPr="00036EE3">
              <w:rPr>
                <w:b/>
                <w:bCs/>
                <w:sz w:val="20"/>
                <w:lang w:val="en-US"/>
              </w:rPr>
              <w:t>BR</w:t>
            </w:r>
          </w:p>
        </w:tc>
        <w:tc>
          <w:tcPr>
            <w:tcW w:w="8220" w:type="dxa"/>
            <w:tcBorders>
              <w:bottom w:val="nil"/>
            </w:tcBorders>
          </w:tcPr>
          <w:p w:rsidR="00FE0674" w:rsidRPr="00036EE3" w:rsidRDefault="00FE067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E0674" w:rsidRPr="00036EE3" w:rsidTr="00AD1722">
        <w:tc>
          <w:tcPr>
            <w:tcW w:w="1140" w:type="dxa"/>
            <w:tcBorders>
              <w:top w:val="nil"/>
              <w:bottom w:val="nil"/>
            </w:tcBorders>
            <w:shd w:val="clear" w:color="auto" w:fill="auto"/>
          </w:tcPr>
          <w:p w:rsidR="00FE0674" w:rsidRPr="007D224F" w:rsidRDefault="00FE0674" w:rsidP="00AD172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FE0674" w:rsidRPr="007D224F" w:rsidRDefault="00FE067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FE0674" w:rsidRPr="00ED2695" w:rsidTr="00AD1722">
        <w:tc>
          <w:tcPr>
            <w:tcW w:w="1140" w:type="dxa"/>
            <w:tcBorders>
              <w:top w:val="nil"/>
              <w:bottom w:val="nil"/>
            </w:tcBorders>
            <w:shd w:val="clear" w:color="auto" w:fill="auto"/>
          </w:tcPr>
          <w:p w:rsidR="00FE0674" w:rsidRPr="00ED2695" w:rsidRDefault="00FE0674" w:rsidP="00AD172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E0674" w:rsidRPr="00ED2695" w:rsidRDefault="00FE067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E0674" w:rsidRPr="007D224F" w:rsidTr="00AD1722">
        <w:tc>
          <w:tcPr>
            <w:tcW w:w="1140" w:type="dxa"/>
            <w:tcBorders>
              <w:top w:val="nil"/>
              <w:bottom w:val="nil"/>
            </w:tcBorders>
            <w:shd w:val="clear" w:color="auto" w:fill="auto"/>
          </w:tcPr>
          <w:p w:rsidR="00FE0674" w:rsidRPr="0041667C" w:rsidRDefault="00FE0674" w:rsidP="00AD1722">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FE0674" w:rsidRPr="0041667C" w:rsidRDefault="00FE0674"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FE0674" w:rsidRPr="0041667C" w:rsidTr="00AD1722">
        <w:tc>
          <w:tcPr>
            <w:tcW w:w="1140" w:type="dxa"/>
            <w:tcBorders>
              <w:top w:val="nil"/>
              <w:bottom w:val="nil"/>
            </w:tcBorders>
            <w:shd w:val="clear" w:color="auto" w:fill="F3F3F3"/>
          </w:tcPr>
          <w:p w:rsidR="00FE0674" w:rsidRPr="0041667C" w:rsidRDefault="00FE0674" w:rsidP="00AD1722">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FE0674" w:rsidRPr="0041667C" w:rsidRDefault="00FE067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FE0674" w:rsidRPr="00036EE3" w:rsidTr="00AD1722">
        <w:tc>
          <w:tcPr>
            <w:tcW w:w="1140" w:type="dxa"/>
            <w:tcBorders>
              <w:top w:val="nil"/>
            </w:tcBorders>
          </w:tcPr>
          <w:p w:rsidR="00FE0674" w:rsidRPr="00036EE3" w:rsidRDefault="00FE0674" w:rsidP="00AD1722">
            <w:pPr>
              <w:spacing w:before="30" w:after="30"/>
              <w:ind w:left="57"/>
              <w:jc w:val="left"/>
              <w:rPr>
                <w:b/>
                <w:bCs/>
                <w:sz w:val="20"/>
                <w:lang w:val="fr-CH"/>
              </w:rPr>
            </w:pPr>
            <w:r w:rsidRPr="00036EE3">
              <w:rPr>
                <w:b/>
                <w:bCs/>
                <w:sz w:val="20"/>
                <w:lang w:val="fr-CH"/>
              </w:rPr>
              <w:t>P</w:t>
            </w:r>
          </w:p>
        </w:tc>
        <w:tc>
          <w:tcPr>
            <w:tcW w:w="8220" w:type="dxa"/>
            <w:tcBorders>
              <w:top w:val="nil"/>
            </w:tcBorders>
          </w:tcPr>
          <w:p w:rsidR="00FE0674" w:rsidRPr="00036EE3" w:rsidRDefault="00FE0674" w:rsidP="00AD1722">
            <w:pPr>
              <w:spacing w:before="30" w:after="30"/>
              <w:jc w:val="left"/>
              <w:rPr>
                <w:sz w:val="20"/>
                <w:lang w:val="fr-CH"/>
              </w:rPr>
            </w:pPr>
            <w:r w:rsidRPr="00036EE3">
              <w:rPr>
                <w:sz w:val="20"/>
                <w:lang w:val="fr-CH"/>
              </w:rPr>
              <w:t>Radiowave propagation</w:t>
            </w:r>
          </w:p>
        </w:tc>
      </w:tr>
      <w:tr w:rsidR="00FE0674" w:rsidRPr="00036EE3" w:rsidTr="00AD1722">
        <w:tc>
          <w:tcPr>
            <w:tcW w:w="1140" w:type="dxa"/>
          </w:tcPr>
          <w:p w:rsidR="00FE0674" w:rsidRPr="00036EE3" w:rsidRDefault="00FE0674" w:rsidP="00AD1722">
            <w:pPr>
              <w:spacing w:before="30" w:after="30"/>
              <w:ind w:left="57"/>
              <w:jc w:val="left"/>
              <w:rPr>
                <w:b/>
                <w:bCs/>
                <w:sz w:val="20"/>
                <w:lang w:val="en-US"/>
              </w:rPr>
            </w:pPr>
            <w:r w:rsidRPr="00036EE3">
              <w:rPr>
                <w:b/>
                <w:bCs/>
                <w:sz w:val="20"/>
                <w:lang w:val="en-US"/>
              </w:rPr>
              <w:t>RA</w:t>
            </w:r>
          </w:p>
        </w:tc>
        <w:tc>
          <w:tcPr>
            <w:tcW w:w="8220" w:type="dxa"/>
          </w:tcPr>
          <w:p w:rsidR="00FE0674" w:rsidRPr="00036EE3" w:rsidRDefault="00FE0674"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E0674" w:rsidRPr="00036EE3" w:rsidTr="00AD1722">
        <w:tc>
          <w:tcPr>
            <w:tcW w:w="1140" w:type="dxa"/>
          </w:tcPr>
          <w:p w:rsidR="00FE0674" w:rsidRPr="00036EE3" w:rsidRDefault="00FE0674" w:rsidP="00AD1722">
            <w:pPr>
              <w:spacing w:before="30" w:after="30"/>
              <w:ind w:left="57"/>
              <w:jc w:val="left"/>
              <w:rPr>
                <w:b/>
                <w:bCs/>
                <w:sz w:val="20"/>
                <w:lang w:val="en-US"/>
              </w:rPr>
            </w:pPr>
            <w:r w:rsidRPr="00036EE3">
              <w:rPr>
                <w:b/>
                <w:bCs/>
                <w:sz w:val="20"/>
                <w:lang w:val="en-US"/>
              </w:rPr>
              <w:t>RS</w:t>
            </w:r>
          </w:p>
        </w:tc>
        <w:tc>
          <w:tcPr>
            <w:tcW w:w="8220" w:type="dxa"/>
          </w:tcPr>
          <w:p w:rsidR="00FE0674" w:rsidRPr="00036EE3" w:rsidRDefault="00FE0674"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E0674" w:rsidRPr="00036EE3" w:rsidTr="00AD1722">
        <w:tc>
          <w:tcPr>
            <w:tcW w:w="1140" w:type="dxa"/>
          </w:tcPr>
          <w:p w:rsidR="00FE0674" w:rsidRPr="00036EE3" w:rsidRDefault="00FE0674" w:rsidP="00AD1722">
            <w:pPr>
              <w:spacing w:before="30" w:after="30"/>
              <w:ind w:left="57"/>
              <w:jc w:val="left"/>
              <w:rPr>
                <w:b/>
                <w:bCs/>
                <w:sz w:val="20"/>
                <w:lang w:val="en-US"/>
              </w:rPr>
            </w:pPr>
            <w:r w:rsidRPr="00036EE3">
              <w:rPr>
                <w:b/>
                <w:bCs/>
                <w:sz w:val="20"/>
                <w:lang w:val="en-US"/>
              </w:rPr>
              <w:t>S</w:t>
            </w:r>
          </w:p>
        </w:tc>
        <w:tc>
          <w:tcPr>
            <w:tcW w:w="8220" w:type="dxa"/>
          </w:tcPr>
          <w:p w:rsidR="00FE0674" w:rsidRPr="00036EE3" w:rsidRDefault="00FE0674" w:rsidP="00AD1722">
            <w:pPr>
              <w:spacing w:before="30" w:after="30"/>
              <w:jc w:val="left"/>
              <w:rPr>
                <w:sz w:val="20"/>
                <w:lang w:val="en-US"/>
              </w:rPr>
            </w:pPr>
            <w:r w:rsidRPr="00036EE3">
              <w:rPr>
                <w:sz w:val="20"/>
                <w:lang w:val="en-US"/>
              </w:rPr>
              <w:t>Fixed-satellite service</w:t>
            </w:r>
          </w:p>
        </w:tc>
      </w:tr>
      <w:tr w:rsidR="00FE0674" w:rsidRPr="00036EE3" w:rsidTr="00AD1722">
        <w:tc>
          <w:tcPr>
            <w:tcW w:w="1140" w:type="dxa"/>
          </w:tcPr>
          <w:p w:rsidR="00FE0674" w:rsidRPr="00036EE3" w:rsidRDefault="00FE0674" w:rsidP="00AD1722">
            <w:pPr>
              <w:spacing w:before="30" w:after="30"/>
              <w:ind w:left="57"/>
              <w:jc w:val="left"/>
              <w:rPr>
                <w:b/>
                <w:bCs/>
                <w:sz w:val="20"/>
                <w:lang w:val="en-US"/>
              </w:rPr>
            </w:pPr>
            <w:r w:rsidRPr="00036EE3">
              <w:rPr>
                <w:b/>
                <w:bCs/>
                <w:sz w:val="20"/>
                <w:lang w:val="en-US"/>
              </w:rPr>
              <w:t>SA</w:t>
            </w:r>
          </w:p>
        </w:tc>
        <w:tc>
          <w:tcPr>
            <w:tcW w:w="8220" w:type="dxa"/>
          </w:tcPr>
          <w:p w:rsidR="00FE0674" w:rsidRPr="00036EE3" w:rsidRDefault="00FE0674" w:rsidP="00AD1722">
            <w:pPr>
              <w:spacing w:before="30" w:after="30"/>
              <w:jc w:val="left"/>
              <w:rPr>
                <w:sz w:val="20"/>
                <w:lang w:val="en-US"/>
              </w:rPr>
            </w:pPr>
            <w:r w:rsidRPr="00036EE3">
              <w:rPr>
                <w:sz w:val="20"/>
                <w:lang w:val="en-US"/>
              </w:rPr>
              <w:t>Space applications and meteorology</w:t>
            </w:r>
          </w:p>
        </w:tc>
      </w:tr>
      <w:tr w:rsidR="00FE0674" w:rsidRPr="00036EE3" w:rsidTr="00AD1722">
        <w:tc>
          <w:tcPr>
            <w:tcW w:w="1140" w:type="dxa"/>
            <w:tcBorders>
              <w:bottom w:val="nil"/>
            </w:tcBorders>
          </w:tcPr>
          <w:p w:rsidR="00FE0674" w:rsidRPr="00036EE3" w:rsidRDefault="00FE0674" w:rsidP="00AD1722">
            <w:pPr>
              <w:spacing w:before="30" w:after="30"/>
              <w:ind w:left="57"/>
              <w:jc w:val="left"/>
              <w:rPr>
                <w:b/>
                <w:bCs/>
                <w:sz w:val="20"/>
                <w:lang w:val="en-US"/>
              </w:rPr>
            </w:pPr>
            <w:r w:rsidRPr="00036EE3">
              <w:rPr>
                <w:b/>
                <w:bCs/>
                <w:sz w:val="20"/>
                <w:lang w:val="en-US"/>
              </w:rPr>
              <w:t>SF</w:t>
            </w:r>
          </w:p>
        </w:tc>
        <w:tc>
          <w:tcPr>
            <w:tcW w:w="8220" w:type="dxa"/>
            <w:tcBorders>
              <w:bottom w:val="nil"/>
            </w:tcBorders>
          </w:tcPr>
          <w:p w:rsidR="00FE0674" w:rsidRPr="00036EE3" w:rsidRDefault="00FE0674" w:rsidP="00AD1722">
            <w:pPr>
              <w:spacing w:before="30" w:after="30"/>
              <w:jc w:val="left"/>
              <w:rPr>
                <w:sz w:val="20"/>
                <w:lang w:val="en-US"/>
              </w:rPr>
            </w:pPr>
            <w:r w:rsidRPr="00036EE3">
              <w:rPr>
                <w:sz w:val="20"/>
                <w:lang w:val="en-US"/>
              </w:rPr>
              <w:t>Frequency sharing and coordination between fixed-satellite and fixed service systems</w:t>
            </w:r>
          </w:p>
        </w:tc>
      </w:tr>
      <w:tr w:rsidR="00FE0674" w:rsidRPr="00036EE3" w:rsidTr="00AD1722">
        <w:tc>
          <w:tcPr>
            <w:tcW w:w="1140" w:type="dxa"/>
            <w:tcBorders>
              <w:top w:val="nil"/>
              <w:bottom w:val="nil"/>
            </w:tcBorders>
            <w:shd w:val="clear" w:color="auto" w:fill="auto"/>
          </w:tcPr>
          <w:p w:rsidR="00FE0674" w:rsidRPr="000A4386" w:rsidRDefault="00FE0674" w:rsidP="00AD172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FE0674" w:rsidRPr="000A4386" w:rsidRDefault="00FE0674" w:rsidP="00AD1722">
            <w:pPr>
              <w:spacing w:before="30" w:after="30"/>
              <w:jc w:val="left"/>
              <w:rPr>
                <w:sz w:val="20"/>
                <w:lang w:val="en-US"/>
              </w:rPr>
            </w:pPr>
            <w:r w:rsidRPr="000A4386">
              <w:rPr>
                <w:sz w:val="20"/>
                <w:lang w:val="en-US"/>
              </w:rPr>
              <w:t>Spectrum management</w:t>
            </w:r>
          </w:p>
        </w:tc>
      </w:tr>
      <w:tr w:rsidR="00FE0674" w:rsidRPr="00036EE3" w:rsidTr="00AD1722">
        <w:tc>
          <w:tcPr>
            <w:tcW w:w="1140" w:type="dxa"/>
            <w:tcBorders>
              <w:top w:val="nil"/>
            </w:tcBorders>
          </w:tcPr>
          <w:p w:rsidR="00FE0674" w:rsidRPr="00036EE3" w:rsidRDefault="00FE0674" w:rsidP="00AD1722">
            <w:pPr>
              <w:spacing w:before="30" w:after="30"/>
              <w:ind w:left="57"/>
              <w:jc w:val="left"/>
              <w:rPr>
                <w:b/>
                <w:bCs/>
                <w:sz w:val="20"/>
                <w:lang w:val="en-US"/>
              </w:rPr>
            </w:pPr>
            <w:r w:rsidRPr="00036EE3">
              <w:rPr>
                <w:b/>
                <w:bCs/>
                <w:sz w:val="20"/>
                <w:lang w:val="en-US"/>
              </w:rPr>
              <w:t>SNG</w:t>
            </w:r>
          </w:p>
        </w:tc>
        <w:tc>
          <w:tcPr>
            <w:tcW w:w="8220" w:type="dxa"/>
            <w:tcBorders>
              <w:top w:val="nil"/>
            </w:tcBorders>
          </w:tcPr>
          <w:p w:rsidR="00FE0674" w:rsidRPr="00036EE3" w:rsidRDefault="00FE0674" w:rsidP="00AD1722">
            <w:pPr>
              <w:spacing w:before="30" w:after="30"/>
              <w:jc w:val="left"/>
              <w:rPr>
                <w:sz w:val="20"/>
                <w:lang w:val="en-US"/>
              </w:rPr>
            </w:pPr>
            <w:r w:rsidRPr="00036EE3">
              <w:rPr>
                <w:sz w:val="20"/>
                <w:lang w:val="en-US"/>
              </w:rPr>
              <w:t>Satellite news gathering</w:t>
            </w:r>
          </w:p>
        </w:tc>
      </w:tr>
      <w:tr w:rsidR="00FE0674" w:rsidRPr="00036EE3" w:rsidTr="00AD1722">
        <w:tc>
          <w:tcPr>
            <w:tcW w:w="1140" w:type="dxa"/>
          </w:tcPr>
          <w:p w:rsidR="00FE0674" w:rsidRPr="00036EE3" w:rsidRDefault="00FE0674" w:rsidP="00AD1722">
            <w:pPr>
              <w:spacing w:before="30" w:after="30"/>
              <w:ind w:left="57"/>
              <w:jc w:val="left"/>
              <w:rPr>
                <w:b/>
                <w:bCs/>
                <w:sz w:val="20"/>
                <w:lang w:val="en-US"/>
              </w:rPr>
            </w:pPr>
            <w:r w:rsidRPr="00036EE3">
              <w:rPr>
                <w:b/>
                <w:bCs/>
                <w:sz w:val="20"/>
                <w:lang w:val="en-US"/>
              </w:rPr>
              <w:t>TF</w:t>
            </w:r>
          </w:p>
        </w:tc>
        <w:tc>
          <w:tcPr>
            <w:tcW w:w="8220" w:type="dxa"/>
          </w:tcPr>
          <w:p w:rsidR="00FE0674" w:rsidRPr="00036EE3" w:rsidRDefault="00FE0674" w:rsidP="00AD1722">
            <w:pPr>
              <w:spacing w:before="30" w:after="30"/>
              <w:jc w:val="left"/>
              <w:rPr>
                <w:sz w:val="20"/>
                <w:lang w:val="en-US"/>
              </w:rPr>
            </w:pPr>
            <w:r w:rsidRPr="00036EE3">
              <w:rPr>
                <w:sz w:val="20"/>
                <w:lang w:val="en-US"/>
              </w:rPr>
              <w:t>Time signals and frequency standards emissions</w:t>
            </w:r>
          </w:p>
        </w:tc>
      </w:tr>
      <w:tr w:rsidR="00FE0674" w:rsidRPr="00036EE3" w:rsidTr="00AD1722">
        <w:tc>
          <w:tcPr>
            <w:tcW w:w="1140" w:type="dxa"/>
          </w:tcPr>
          <w:p w:rsidR="00FE0674" w:rsidRPr="00036EE3" w:rsidRDefault="00FE0674" w:rsidP="00AD1722">
            <w:pPr>
              <w:spacing w:before="30" w:after="30"/>
              <w:ind w:left="57"/>
              <w:jc w:val="left"/>
              <w:rPr>
                <w:b/>
                <w:bCs/>
                <w:sz w:val="20"/>
                <w:lang w:val="en-US"/>
              </w:rPr>
            </w:pPr>
            <w:r w:rsidRPr="00036EE3">
              <w:rPr>
                <w:b/>
                <w:bCs/>
                <w:sz w:val="20"/>
                <w:lang w:val="en-US"/>
              </w:rPr>
              <w:t>V</w:t>
            </w:r>
          </w:p>
        </w:tc>
        <w:tc>
          <w:tcPr>
            <w:tcW w:w="8220" w:type="dxa"/>
          </w:tcPr>
          <w:p w:rsidR="00FE0674" w:rsidRPr="00036EE3" w:rsidRDefault="00FE0674" w:rsidP="00AD1722">
            <w:pPr>
              <w:spacing w:before="30" w:after="180"/>
              <w:jc w:val="left"/>
              <w:rPr>
                <w:sz w:val="20"/>
                <w:lang w:val="en-US"/>
              </w:rPr>
            </w:pPr>
            <w:r w:rsidRPr="00036EE3">
              <w:rPr>
                <w:sz w:val="20"/>
                <w:lang w:val="en-US"/>
              </w:rPr>
              <w:t>Vocabulary and related subjects</w:t>
            </w:r>
          </w:p>
        </w:tc>
      </w:tr>
    </w:tbl>
    <w:p w:rsidR="00FE0674" w:rsidRPr="00036EE3" w:rsidRDefault="00FE0674" w:rsidP="00FE0674">
      <w:pPr>
        <w:spacing w:before="30" w:after="30"/>
        <w:jc w:val="center"/>
        <w:rPr>
          <w:sz w:val="20"/>
          <w:lang w:val="en-US"/>
        </w:rPr>
      </w:pPr>
    </w:p>
    <w:tbl>
      <w:tblPr>
        <w:tblpPr w:leftFromText="180" w:rightFromText="180" w:vertAnchor="text" w:tblpX="-5771" w:tblpY="-4031"/>
        <w:tblW w:w="0" w:type="auto"/>
        <w:tblLook w:val="0000"/>
      </w:tblPr>
      <w:tblGrid>
        <w:gridCol w:w="720"/>
      </w:tblGrid>
      <w:tr w:rsidR="00FE0674" w:rsidTr="00AD1722">
        <w:tc>
          <w:tcPr>
            <w:tcW w:w="720" w:type="dxa"/>
          </w:tcPr>
          <w:p w:rsidR="00FE0674" w:rsidRDefault="00FE0674" w:rsidP="00AD1722">
            <w:pPr>
              <w:jc w:val="center"/>
              <w:rPr>
                <w:sz w:val="22"/>
                <w:lang w:val="en-US"/>
              </w:rPr>
            </w:pPr>
          </w:p>
        </w:tc>
      </w:tr>
    </w:tbl>
    <w:p w:rsidR="00FE0674" w:rsidRPr="00036EE3" w:rsidRDefault="00FE0674" w:rsidP="00FE067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E0674" w:rsidTr="00AD1722">
        <w:tc>
          <w:tcPr>
            <w:tcW w:w="9360" w:type="dxa"/>
          </w:tcPr>
          <w:p w:rsidR="00FE0674" w:rsidRPr="002F5199" w:rsidRDefault="00FE0674" w:rsidP="00AD172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E0674" w:rsidRDefault="00FE0674" w:rsidP="00FE0674">
      <w:pPr>
        <w:spacing w:before="0"/>
        <w:jc w:val="center"/>
        <w:rPr>
          <w:sz w:val="22"/>
          <w:lang w:val="en-US"/>
        </w:rPr>
      </w:pPr>
    </w:p>
    <w:p w:rsidR="00FE0674" w:rsidRDefault="00FE0674" w:rsidP="00FE0674">
      <w:pPr>
        <w:spacing w:before="0"/>
        <w:jc w:val="center"/>
        <w:rPr>
          <w:sz w:val="22"/>
          <w:lang w:val="en-US"/>
        </w:rPr>
      </w:pPr>
    </w:p>
    <w:p w:rsidR="00FE0674" w:rsidRPr="002F5199" w:rsidRDefault="00FE0674" w:rsidP="00FE0674">
      <w:pPr>
        <w:spacing w:before="0"/>
        <w:jc w:val="right"/>
        <w:rPr>
          <w:i/>
          <w:iCs/>
          <w:sz w:val="20"/>
          <w:lang w:val="en-US"/>
        </w:rPr>
      </w:pPr>
      <w:r w:rsidRPr="002F5199">
        <w:rPr>
          <w:i/>
          <w:iCs/>
          <w:sz w:val="20"/>
          <w:lang w:val="en-US"/>
        </w:rPr>
        <w:t>Electronic Publication</w:t>
      </w:r>
    </w:p>
    <w:p w:rsidR="00FE0674" w:rsidRPr="002F5199" w:rsidRDefault="00FE0674" w:rsidP="00FE067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10</w:t>
      </w:r>
    </w:p>
    <w:p w:rsidR="00FE0674" w:rsidRDefault="00FE0674" w:rsidP="00FE0674">
      <w:pPr>
        <w:jc w:val="center"/>
        <w:rPr>
          <w:sz w:val="22"/>
          <w:lang w:val="en-US"/>
        </w:rPr>
      </w:pPr>
    </w:p>
    <w:p w:rsidR="00FE0674" w:rsidRPr="00470E28" w:rsidRDefault="00FE0674" w:rsidP="00FE067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10</w:t>
      </w:r>
    </w:p>
    <w:p w:rsidR="00FE0674" w:rsidRPr="00470E28" w:rsidRDefault="00FE0674" w:rsidP="00FE067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E0674" w:rsidRDefault="00FE0674" w:rsidP="00FE0674">
      <w:pPr>
        <w:spacing w:before="160"/>
        <w:rPr>
          <w:i/>
          <w:sz w:val="20"/>
          <w:lang w:val="en-US"/>
        </w:rPr>
        <w:sectPr w:rsidR="00FE0674"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C343F5" w:rsidRDefault="00C343F5">
      <w:pPr>
        <w:pStyle w:val="RecNo"/>
      </w:pPr>
      <w:r>
        <w:lastRenderedPageBreak/>
        <w:t xml:space="preserve">RECOMMENDATION  </w:t>
      </w:r>
      <w:r>
        <w:rPr>
          <w:rStyle w:val="href"/>
        </w:rPr>
        <w:t>ITU-R  M.1043-2</w:t>
      </w:r>
      <w:r w:rsidR="00CC45D2">
        <w:rPr>
          <w:rStyle w:val="FootnoteReference"/>
        </w:rPr>
        <w:footnoteReference w:customMarkFollows="1" w:id="1"/>
        <w:t>*</w:t>
      </w:r>
    </w:p>
    <w:p w:rsidR="00C343F5" w:rsidRDefault="00C343F5">
      <w:pPr>
        <w:pStyle w:val="Rectitle"/>
        <w:rPr>
          <w:lang w:val="en-US"/>
        </w:rPr>
      </w:pPr>
      <w:r>
        <w:rPr>
          <w:lang w:val="en-US"/>
        </w:rPr>
        <w:t>Use of the amateur and amateur-satellite services</w:t>
      </w:r>
      <w:r>
        <w:rPr>
          <w:lang w:val="en-US"/>
        </w:rPr>
        <w:br/>
        <w:t>in developing countries</w:t>
      </w:r>
    </w:p>
    <w:p w:rsidR="00C343F5" w:rsidRDefault="00C343F5">
      <w:pPr>
        <w:pStyle w:val="Recref"/>
        <w:spacing w:before="240"/>
      </w:pPr>
      <w:r>
        <w:t>(Question ITU-R 48/8)</w:t>
      </w:r>
    </w:p>
    <w:p w:rsidR="00C343F5" w:rsidRDefault="00C343F5">
      <w:pPr>
        <w:pStyle w:val="Recdate"/>
        <w:rPr>
          <w:lang w:val="en-US"/>
        </w:rPr>
      </w:pPr>
      <w:r>
        <w:rPr>
          <w:lang w:val="en-US"/>
        </w:rPr>
        <w:t>(1994-1998-2003)</w:t>
      </w:r>
    </w:p>
    <w:p w:rsidR="003B7CFB" w:rsidRPr="003B7CFB" w:rsidRDefault="003B7CFB" w:rsidP="003B7CFB">
      <w:pPr>
        <w:pStyle w:val="HeadingSum"/>
        <w:rPr>
          <w:lang w:val="en-US"/>
        </w:rPr>
      </w:pPr>
      <w:r w:rsidRPr="003B7CFB">
        <w:rPr>
          <w:lang w:val="en-US"/>
        </w:rPr>
        <w:t>Scope</w:t>
      </w:r>
    </w:p>
    <w:p w:rsidR="003B7CFB" w:rsidRPr="003B7CFB" w:rsidRDefault="003B7CFB" w:rsidP="001548A5">
      <w:pPr>
        <w:pStyle w:val="Summary"/>
        <w:rPr>
          <w:lang w:val="en-US"/>
        </w:rPr>
      </w:pPr>
      <w:r w:rsidRPr="003B7CFB">
        <w:rPr>
          <w:lang w:val="en-US"/>
        </w:rPr>
        <w:t xml:space="preserve">This Recommendation encourages administrations to facilitate the amateur and amateur-satellite services to include developing operator skills, training of technicians, and deployment of amateur stations in rural areas and in emergency situations. </w:t>
      </w:r>
      <w:r>
        <w:rPr>
          <w:lang w:val="en-US"/>
        </w:rPr>
        <w:t>It encourages the use of volunteers and to accommodate the particular needs of developing countries.</w:t>
      </w:r>
      <w:r w:rsidR="00F23EDC">
        <w:rPr>
          <w:rStyle w:val="FootnoteReference"/>
          <w:lang w:val="en-US"/>
        </w:rPr>
        <w:footnoteReference w:id="2"/>
      </w:r>
    </w:p>
    <w:p w:rsidR="00C343F5" w:rsidRDefault="00C343F5">
      <w:pPr>
        <w:pStyle w:val="Normalaftertitle"/>
      </w:pPr>
      <w:r w:rsidRPr="003B7CFB">
        <w:rPr>
          <w:lang w:val="en-US"/>
        </w:rPr>
        <w:t xml:space="preserve">The ITU </w:t>
      </w:r>
      <w:r>
        <w:t>Radiocommunication Assembly,</w:t>
      </w:r>
    </w:p>
    <w:p w:rsidR="00C343F5" w:rsidRDefault="00C343F5">
      <w:pPr>
        <w:pStyle w:val="Call"/>
      </w:pPr>
      <w:r>
        <w:t>considering</w:t>
      </w:r>
    </w:p>
    <w:p w:rsidR="00C343F5" w:rsidRDefault="00C343F5">
      <w:pPr>
        <w:rPr>
          <w:lang w:val="en-US"/>
        </w:rPr>
      </w:pPr>
      <w:r>
        <w:rPr>
          <w:lang w:val="en-US"/>
        </w:rPr>
        <w:t>a)</w:t>
      </w:r>
      <w:r>
        <w:rPr>
          <w:lang w:val="en-US"/>
        </w:rPr>
        <w:tab/>
        <w:t>that in developing countries there is an urgent need for experienced radiocommunications operators and technicians;</w:t>
      </w:r>
    </w:p>
    <w:p w:rsidR="00C343F5" w:rsidRDefault="00C343F5">
      <w:pPr>
        <w:rPr>
          <w:lang w:val="en-US"/>
        </w:rPr>
      </w:pPr>
      <w:r>
        <w:rPr>
          <w:lang w:val="en-US"/>
        </w:rPr>
        <w:t>b)</w:t>
      </w:r>
      <w:r>
        <w:rPr>
          <w:lang w:val="en-US"/>
        </w:rPr>
        <w:tab/>
        <w:t>that there is a need for radio stations in rural and remote areas for use during natural disasters;</w:t>
      </w:r>
    </w:p>
    <w:p w:rsidR="00C343F5" w:rsidRDefault="00C343F5">
      <w:pPr>
        <w:rPr>
          <w:lang w:val="en-US"/>
        </w:rPr>
      </w:pPr>
      <w:r>
        <w:rPr>
          <w:lang w:val="en-US"/>
        </w:rPr>
        <w:t>c)</w:t>
      </w:r>
      <w:r>
        <w:rPr>
          <w:lang w:val="en-US"/>
        </w:rPr>
        <w:tab/>
        <w:t>that the amateur and amateur-satellite services have the potential to contribute to meeting these needs;</w:t>
      </w:r>
    </w:p>
    <w:p w:rsidR="00C343F5" w:rsidRDefault="00C343F5">
      <w:pPr>
        <w:rPr>
          <w:lang w:val="en-US"/>
        </w:rPr>
      </w:pPr>
      <w:r>
        <w:rPr>
          <w:lang w:val="en-US"/>
        </w:rPr>
        <w:t>d)</w:t>
      </w:r>
      <w:r>
        <w:rPr>
          <w:lang w:val="en-US"/>
        </w:rPr>
        <w:tab/>
        <w:t>that, in particular, these services offer the opportunity for obtaining interactive training and experience;</w:t>
      </w:r>
    </w:p>
    <w:p w:rsidR="00C343F5" w:rsidRDefault="00C343F5">
      <w:pPr>
        <w:rPr>
          <w:lang w:val="en-US"/>
        </w:rPr>
      </w:pPr>
      <w:r>
        <w:rPr>
          <w:lang w:val="en-US"/>
        </w:rPr>
        <w:t>e)</w:t>
      </w:r>
      <w:r>
        <w:rPr>
          <w:lang w:val="en-US"/>
        </w:rPr>
        <w:tab/>
        <w:t>Resolution 15 of WARC-79,</w:t>
      </w:r>
    </w:p>
    <w:p w:rsidR="00C343F5" w:rsidRDefault="00C343F5">
      <w:pPr>
        <w:pStyle w:val="Call"/>
        <w:rPr>
          <w:lang w:val="en-US"/>
        </w:rPr>
      </w:pPr>
      <w:r>
        <w:rPr>
          <w:lang w:val="en-US"/>
        </w:rPr>
        <w:t>recommends</w:t>
      </w:r>
    </w:p>
    <w:p w:rsidR="00C343F5" w:rsidRDefault="00C343F5">
      <w:pPr>
        <w:rPr>
          <w:lang w:val="en-US"/>
        </w:rPr>
      </w:pPr>
      <w:r>
        <w:rPr>
          <w:b/>
          <w:lang w:val="en-US"/>
        </w:rPr>
        <w:t>1</w:t>
      </w:r>
      <w:r>
        <w:rPr>
          <w:lang w:val="en-US"/>
        </w:rPr>
        <w:tab/>
        <w:t>that administrations encourage and facilitate the amateur and amateur-satellite services to:</w:t>
      </w:r>
    </w:p>
    <w:p w:rsidR="00C343F5" w:rsidRDefault="00C343F5">
      <w:pPr>
        <w:rPr>
          <w:lang w:val="en-US"/>
        </w:rPr>
      </w:pPr>
      <w:r>
        <w:rPr>
          <w:b/>
          <w:lang w:val="en-US"/>
        </w:rPr>
        <w:t>1.1</w:t>
      </w:r>
      <w:r>
        <w:rPr>
          <w:b/>
          <w:lang w:val="en-US"/>
        </w:rPr>
        <w:tab/>
      </w:r>
      <w:r>
        <w:rPr>
          <w:lang w:val="en-US"/>
        </w:rPr>
        <w:t>develop radio operator skills;</w:t>
      </w:r>
    </w:p>
    <w:p w:rsidR="00C343F5" w:rsidRDefault="00C343F5">
      <w:pPr>
        <w:rPr>
          <w:lang w:val="en-US"/>
        </w:rPr>
      </w:pPr>
      <w:r>
        <w:rPr>
          <w:b/>
          <w:lang w:val="en-US"/>
        </w:rPr>
        <w:t>1.2</w:t>
      </w:r>
      <w:r>
        <w:rPr>
          <w:b/>
          <w:lang w:val="en-US"/>
        </w:rPr>
        <w:tab/>
      </w:r>
      <w:r>
        <w:rPr>
          <w:lang w:val="en-US"/>
        </w:rPr>
        <w:t>train engineers and technicians to design, construct and maintain radio equipment and systems;</w:t>
      </w:r>
    </w:p>
    <w:p w:rsidR="00C343F5" w:rsidRDefault="00C343F5">
      <w:pPr>
        <w:rPr>
          <w:lang w:val="en-US"/>
        </w:rPr>
      </w:pPr>
      <w:r>
        <w:rPr>
          <w:b/>
          <w:lang w:val="en-US"/>
        </w:rPr>
        <w:t>1.3</w:t>
      </w:r>
      <w:r>
        <w:rPr>
          <w:b/>
          <w:lang w:val="en-US"/>
        </w:rPr>
        <w:tab/>
      </w:r>
      <w:r>
        <w:rPr>
          <w:lang w:val="en-US"/>
        </w:rPr>
        <w:t>assist in forming groups capable of providing local support;</w:t>
      </w:r>
    </w:p>
    <w:p w:rsidR="00C343F5" w:rsidRDefault="00C343F5">
      <w:pPr>
        <w:rPr>
          <w:lang w:val="en-US"/>
        </w:rPr>
      </w:pPr>
      <w:r>
        <w:rPr>
          <w:b/>
          <w:lang w:val="en-US"/>
        </w:rPr>
        <w:t>1.4</w:t>
      </w:r>
      <w:r>
        <w:rPr>
          <w:b/>
          <w:lang w:val="en-US"/>
        </w:rPr>
        <w:tab/>
      </w:r>
      <w:r>
        <w:rPr>
          <w:lang w:val="en-US"/>
        </w:rPr>
        <w:t>exchange technical and operational information;</w:t>
      </w:r>
    </w:p>
    <w:p w:rsidR="00C343F5" w:rsidRDefault="00C343F5">
      <w:pPr>
        <w:rPr>
          <w:lang w:val="en-US"/>
        </w:rPr>
      </w:pPr>
      <w:r>
        <w:rPr>
          <w:b/>
          <w:lang w:val="en-US"/>
        </w:rPr>
        <w:t>1.5</w:t>
      </w:r>
      <w:r>
        <w:rPr>
          <w:b/>
          <w:lang w:val="en-US"/>
        </w:rPr>
        <w:tab/>
      </w:r>
      <w:r>
        <w:rPr>
          <w:lang w:val="en-US"/>
        </w:rPr>
        <w:t>experiment with new technology;</w:t>
      </w:r>
    </w:p>
    <w:p w:rsidR="00C343F5" w:rsidRDefault="00C343F5">
      <w:pPr>
        <w:rPr>
          <w:lang w:val="en-US"/>
        </w:rPr>
      </w:pPr>
      <w:r>
        <w:rPr>
          <w:b/>
          <w:lang w:val="en-US"/>
        </w:rPr>
        <w:t>1.6</w:t>
      </w:r>
      <w:r>
        <w:rPr>
          <w:b/>
          <w:lang w:val="en-US"/>
        </w:rPr>
        <w:tab/>
      </w:r>
      <w:r>
        <w:rPr>
          <w:lang w:val="en-US"/>
        </w:rPr>
        <w:t>establish stations in rural and remote areas;</w:t>
      </w:r>
    </w:p>
    <w:p w:rsidR="00C343F5" w:rsidRDefault="00C343F5">
      <w:pPr>
        <w:rPr>
          <w:lang w:val="en-US"/>
        </w:rPr>
      </w:pPr>
      <w:r>
        <w:rPr>
          <w:b/>
          <w:lang w:val="en-US"/>
        </w:rPr>
        <w:t>1.7</w:t>
      </w:r>
      <w:r>
        <w:rPr>
          <w:lang w:val="en-US"/>
        </w:rPr>
        <w:tab/>
        <w:t>give special consideration to youth programmes;</w:t>
      </w:r>
    </w:p>
    <w:p w:rsidR="00C343F5" w:rsidRDefault="00C343F5">
      <w:pPr>
        <w:rPr>
          <w:lang w:val="en-US"/>
        </w:rPr>
      </w:pPr>
      <w:r>
        <w:rPr>
          <w:b/>
          <w:lang w:val="en-US"/>
        </w:rPr>
        <w:lastRenderedPageBreak/>
        <w:t>2</w:t>
      </w:r>
      <w:r>
        <w:rPr>
          <w:b/>
          <w:lang w:val="en-US"/>
        </w:rPr>
        <w:tab/>
      </w:r>
      <w:r>
        <w:rPr>
          <w:lang w:val="en-US"/>
        </w:rPr>
        <w:t>that administrations facilitate the rapid deployment and effective use of telecommunication resources for disaster mitigation and for disaster relief operations by alleviating and, where possible, removing barriers and strengthening transborder cooperation between States;</w:t>
      </w:r>
    </w:p>
    <w:p w:rsidR="00C343F5" w:rsidRDefault="00C343F5">
      <w:pPr>
        <w:rPr>
          <w:lang w:val="en-US"/>
        </w:rPr>
      </w:pPr>
      <w:r>
        <w:rPr>
          <w:b/>
          <w:lang w:val="en-US"/>
        </w:rPr>
        <w:t>3</w:t>
      </w:r>
      <w:r>
        <w:rPr>
          <w:lang w:val="en-US"/>
        </w:rPr>
        <w:tab/>
        <w:t>that administrations use volunteers, where possible, to facilitate development of the amateur services;</w:t>
      </w:r>
    </w:p>
    <w:p w:rsidR="00C343F5" w:rsidRDefault="00C343F5">
      <w:pPr>
        <w:rPr>
          <w:lang w:val="en-US"/>
        </w:rPr>
      </w:pPr>
      <w:r>
        <w:rPr>
          <w:b/>
          <w:lang w:val="en-US"/>
        </w:rPr>
        <w:t>4</w:t>
      </w:r>
      <w:r>
        <w:rPr>
          <w:lang w:val="en-US"/>
        </w:rPr>
        <w:tab/>
        <w:t>that, to accommodate the particular needs of developing countries, radio systems be developed with the following characteristics:</w:t>
      </w:r>
    </w:p>
    <w:p w:rsidR="00C343F5" w:rsidRDefault="00C343F5">
      <w:pPr>
        <w:rPr>
          <w:lang w:val="en-US"/>
        </w:rPr>
      </w:pPr>
      <w:r>
        <w:rPr>
          <w:b/>
          <w:lang w:val="en-US"/>
        </w:rPr>
        <w:t>4.1</w:t>
      </w:r>
      <w:r>
        <w:rPr>
          <w:b/>
          <w:lang w:val="en-US"/>
        </w:rPr>
        <w:tab/>
      </w:r>
      <w:r>
        <w:rPr>
          <w:lang w:val="en-US"/>
        </w:rPr>
        <w:t>minimum investment;</w:t>
      </w:r>
    </w:p>
    <w:p w:rsidR="00C343F5" w:rsidRDefault="00C343F5">
      <w:pPr>
        <w:rPr>
          <w:lang w:val="en-US"/>
        </w:rPr>
      </w:pPr>
      <w:r>
        <w:rPr>
          <w:b/>
          <w:lang w:val="en-US"/>
        </w:rPr>
        <w:t>4.2</w:t>
      </w:r>
      <w:r>
        <w:rPr>
          <w:b/>
          <w:lang w:val="en-US"/>
        </w:rPr>
        <w:tab/>
      </w:r>
      <w:r>
        <w:rPr>
          <w:lang w:val="en-US"/>
        </w:rPr>
        <w:t>capable of adapting to a variety of transportation and operational environments, e.g., vibration and shock, temperature and humidity extremes, dust, and a range of power sources;</w:t>
      </w:r>
    </w:p>
    <w:p w:rsidR="00C343F5" w:rsidRDefault="00C343F5">
      <w:r>
        <w:rPr>
          <w:b/>
        </w:rPr>
        <w:t>4.3</w:t>
      </w:r>
      <w:r>
        <w:rPr>
          <w:b/>
        </w:rPr>
        <w:tab/>
      </w:r>
      <w:r>
        <w:t>sufficient flexibility to accommodate different communications distances, propagation conditions and electromagnetic environments;</w:t>
      </w:r>
    </w:p>
    <w:p w:rsidR="00C343F5" w:rsidRDefault="00C343F5">
      <w:pPr>
        <w:rPr>
          <w:lang w:val="en-US"/>
        </w:rPr>
      </w:pPr>
      <w:r>
        <w:rPr>
          <w:b/>
          <w:bCs/>
          <w:lang w:val="en-US"/>
        </w:rPr>
        <w:t>4.4</w:t>
      </w:r>
      <w:r>
        <w:rPr>
          <w:b/>
          <w:bCs/>
          <w:lang w:val="en-US"/>
        </w:rPr>
        <w:tab/>
      </w:r>
      <w:r>
        <w:rPr>
          <w:lang w:val="en-US"/>
        </w:rPr>
        <w:t>ease of maintenance.</w:t>
      </w:r>
    </w:p>
    <w:p w:rsidR="00C343F5" w:rsidRDefault="00C343F5">
      <w:pPr>
        <w:rPr>
          <w:lang w:val="en-US"/>
        </w:rPr>
      </w:pPr>
    </w:p>
    <w:p w:rsidR="00C343F5" w:rsidRDefault="00C343F5">
      <w:pPr>
        <w:pStyle w:val="Line"/>
      </w:pPr>
    </w:p>
    <w:p w:rsidR="00C343F5" w:rsidRDefault="00C343F5">
      <w:pPr>
        <w:rPr>
          <w:lang w:val="en-GB"/>
        </w:rPr>
      </w:pPr>
    </w:p>
    <w:sectPr w:rsidR="00C343F5" w:rsidSect="00FE0674">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5D2" w:rsidRDefault="00CC45D2">
      <w:r>
        <w:separator/>
      </w:r>
    </w:p>
  </w:endnote>
  <w:endnote w:type="continuationSeparator" w:id="0">
    <w:p w:rsidR="00CC45D2" w:rsidRDefault="00CC45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5D2" w:rsidRDefault="00CC45D2">
      <w:r>
        <w:separator/>
      </w:r>
    </w:p>
  </w:footnote>
  <w:footnote w:type="continuationSeparator" w:id="0">
    <w:p w:rsidR="00CC45D2" w:rsidRDefault="00CC45D2">
      <w:r>
        <w:continuationSeparator/>
      </w:r>
    </w:p>
  </w:footnote>
  <w:footnote w:id="1">
    <w:p w:rsidR="00CC45D2" w:rsidRPr="00CC45D2" w:rsidRDefault="00CC45D2" w:rsidP="00CC45D2">
      <w:pPr>
        <w:pStyle w:val="FootnoteText"/>
        <w:rPr>
          <w:lang w:val="en-US"/>
        </w:rPr>
      </w:pPr>
      <w:r w:rsidRPr="00CC45D2">
        <w:rPr>
          <w:rStyle w:val="FootnoteReference"/>
          <w:lang w:val="en-US"/>
        </w:rPr>
        <w:t>*</w:t>
      </w:r>
      <w:r w:rsidRPr="00CC45D2">
        <w:rPr>
          <w:lang w:val="en-US"/>
        </w:rPr>
        <w:t xml:space="preserve"> </w:t>
      </w:r>
      <w:r>
        <w:rPr>
          <w:lang w:val="en-US"/>
        </w:rPr>
        <w:tab/>
      </w:r>
      <w:r w:rsidRPr="006B6F68">
        <w:rPr>
          <w:lang w:val="en-US"/>
        </w:rPr>
        <w:t>Radiocommunication Study Group 5 made editorial amendments to this Recommendation in 2008 in accordance with Resolution ITU-R 44.</w:t>
      </w:r>
    </w:p>
  </w:footnote>
  <w:footnote w:id="2">
    <w:p w:rsidR="00CC45D2" w:rsidRPr="00F23EDC" w:rsidRDefault="00CC45D2" w:rsidP="00883F3B">
      <w:pPr>
        <w:pStyle w:val="FootnoteText"/>
        <w:rPr>
          <w:lang w:val="en-US"/>
        </w:rPr>
      </w:pPr>
      <w:r>
        <w:rPr>
          <w:rStyle w:val="FootnoteReference"/>
        </w:rPr>
        <w:footnoteRef/>
      </w:r>
      <w:r w:rsidRPr="00F23EDC">
        <w:rPr>
          <w:lang w:val="en-US"/>
        </w:rPr>
        <w:t xml:space="preserve"> </w:t>
      </w:r>
      <w:r>
        <w:rPr>
          <w:lang w:val="en-US"/>
        </w:rPr>
        <w:tab/>
        <w:t xml:space="preserve">See also Recommendation ITU-D 13.1 </w:t>
      </w:r>
      <w:r w:rsidRPr="00F23EDC">
        <w:rPr>
          <w:lang w:val="en-US"/>
        </w:rPr>
        <w:t>–</w:t>
      </w:r>
      <w:r>
        <w:rPr>
          <w:lang w:val="en-US"/>
        </w:rPr>
        <w:t xml:space="preserve"> Effective utilization of the amateur services in disaster mitigation and relief operations.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674" w:rsidRDefault="00FE067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674" w:rsidRDefault="00FE0674" w:rsidP="00B033C8">
    <w:pPr>
      <w:pStyle w:val="Header"/>
      <w:ind w:right="360" w:firstLine="360"/>
    </w:pPr>
    <w:r>
      <w:rPr>
        <w:noProof/>
        <w:lang w:val="en-US" w:eastAsia="zh-CN"/>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6"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674" w:rsidRPr="00FC42AF" w:rsidRDefault="00FE067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Pr="00C9746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M.1043-2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674" w:rsidRDefault="00FE0674">
    <w:pPr>
      <w:pStyle w:val="Header"/>
    </w:pPr>
    <w:r>
      <w:tab/>
    </w:r>
    <w:fldSimple w:instr=" DOCPROPERTY &quot;Header&quot; \* MERGEFORMAT ">
      <w:r w:rsidRPr="00C9746D">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6BA" w:rsidRPr="000946BA" w:rsidRDefault="000946BA" w:rsidP="000946BA">
    <w:pPr>
      <w:pStyle w:val="Header"/>
      <w:rPr>
        <w:b/>
        <w:bCs/>
        <w:lang w:val="en-US"/>
      </w:rPr>
    </w:pPr>
    <w:r>
      <w:rPr>
        <w:b/>
        <w:bCs/>
        <w:lang w:val="en-US"/>
      </w:rPr>
      <w:tab/>
      <w:t xml:space="preserve">Rec.  ITU-R </w:t>
    </w:r>
    <w:r w:rsidR="001548A5">
      <w:rPr>
        <w:b/>
        <w:bCs/>
        <w:lang w:val="en-US"/>
      </w:rPr>
      <w:t xml:space="preserve"> </w:t>
    </w:r>
    <w:r>
      <w:rPr>
        <w:b/>
        <w:bCs/>
        <w:lang w:val="en-US"/>
      </w:rPr>
      <w:t>M.1043-2</w:t>
    </w:r>
    <w:r>
      <w:rPr>
        <w:b/>
        <w:bCs/>
        <w:lang w:val="en-US"/>
      </w:rPr>
      <w:tab/>
    </w:r>
    <w:r w:rsidRPr="000946BA">
      <w:rPr>
        <w:rStyle w:val="PageNumber"/>
        <w:b/>
        <w:bCs/>
      </w:rPr>
      <w:fldChar w:fldCharType="begin"/>
    </w:r>
    <w:r w:rsidRPr="000946BA">
      <w:rPr>
        <w:rStyle w:val="PageNumber"/>
        <w:b/>
        <w:bCs/>
      </w:rPr>
      <w:instrText xml:space="preserve"> PAGE </w:instrText>
    </w:r>
    <w:r w:rsidRPr="000946BA">
      <w:rPr>
        <w:rStyle w:val="PageNumber"/>
        <w:b/>
        <w:bCs/>
      </w:rPr>
      <w:fldChar w:fldCharType="separate"/>
    </w:r>
    <w:r w:rsidR="00FE0674">
      <w:rPr>
        <w:rStyle w:val="PageNumber"/>
        <w:b/>
        <w:bCs/>
        <w:noProof/>
      </w:rPr>
      <w:t>2</w:t>
    </w:r>
    <w:r w:rsidRPr="000946BA">
      <w:rPr>
        <w:rStyle w:val="PageNumbe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5D2" w:rsidRPr="000946BA" w:rsidRDefault="000946BA" w:rsidP="000946BA">
    <w:pPr>
      <w:pStyle w:val="Header"/>
      <w:rPr>
        <w:b/>
        <w:bCs/>
        <w:lang w:val="en-US"/>
      </w:rPr>
    </w:pPr>
    <w:r>
      <w:rPr>
        <w:b/>
        <w:bCs/>
        <w:lang w:val="en-US"/>
      </w:rPr>
      <w:tab/>
      <w:t xml:space="preserve">Rec.  ITU-R </w:t>
    </w:r>
    <w:r w:rsidR="001548A5">
      <w:rPr>
        <w:b/>
        <w:bCs/>
        <w:lang w:val="en-US"/>
      </w:rPr>
      <w:t xml:space="preserve"> </w:t>
    </w:r>
    <w:r>
      <w:rPr>
        <w:b/>
        <w:bCs/>
        <w:lang w:val="en-US"/>
      </w:rPr>
      <w:t>M.1043-2</w:t>
    </w:r>
    <w:r>
      <w:rPr>
        <w:b/>
        <w:bCs/>
        <w:lang w:val="en-US"/>
      </w:rPr>
      <w:tab/>
    </w:r>
    <w:r w:rsidRPr="000946BA">
      <w:rPr>
        <w:rStyle w:val="PageNumber"/>
        <w:b/>
        <w:bCs/>
      </w:rPr>
      <w:fldChar w:fldCharType="begin"/>
    </w:r>
    <w:r w:rsidRPr="000946BA">
      <w:rPr>
        <w:rStyle w:val="PageNumber"/>
        <w:b/>
        <w:bCs/>
      </w:rPr>
      <w:instrText xml:space="preserve"> PAGE </w:instrText>
    </w:r>
    <w:r w:rsidRPr="000946BA">
      <w:rPr>
        <w:rStyle w:val="PageNumber"/>
        <w:b/>
        <w:bCs/>
      </w:rPr>
      <w:fldChar w:fldCharType="separate"/>
    </w:r>
    <w:r w:rsidR="00FE0674">
      <w:rPr>
        <w:rStyle w:val="PageNumber"/>
        <w:b/>
        <w:bCs/>
        <w:noProof/>
      </w:rPr>
      <w:t>1</w:t>
    </w:r>
    <w:r w:rsidRPr="000946B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proofState w:grammar="clean"/>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C343F5"/>
    <w:rsid w:val="000946BA"/>
    <w:rsid w:val="001548A5"/>
    <w:rsid w:val="003B7CFB"/>
    <w:rsid w:val="00883F3B"/>
    <w:rsid w:val="00C343F5"/>
    <w:rsid w:val="00CC45D2"/>
    <w:rsid w:val="00F23EDC"/>
    <w:rsid w:val="00FE067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0"/>
      <w:jc w:val="center"/>
    </w:pPr>
    <w:rPr>
      <w:sz w:val="28"/>
    </w:rPr>
  </w:style>
  <w:style w:type="paragraph" w:customStyle="1" w:styleId="HeadingSum">
    <w:name w:val="Heading_Sum"/>
    <w:basedOn w:val="Headingb"/>
    <w:next w:val="Normal"/>
    <w:rsid w:val="003B7CFB"/>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284"/>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Lines/>
      <w:spacing w:before="480" w:after="240"/>
      <w:jc w:val="center"/>
    </w:pPr>
    <w:rPr>
      <w:cap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Normal"/>
  </w:style>
  <w:style w:type="paragraph" w:customStyle="1" w:styleId="Repref">
    <w:name w:val="Rep_ref"/>
    <w:basedOn w:val="Recref"/>
    <w:next w:val="Repdate"/>
  </w:style>
  <w:style w:type="paragraph" w:customStyle="1" w:styleId="Reptitle">
    <w:name w:val="Rep_title"/>
    <w:basedOn w:val="Normal"/>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rsid w:val="003B7CFB"/>
    <w:pPr>
      <w:spacing w:after="480"/>
    </w:pPr>
    <w:rPr>
      <w:sz w:val="22"/>
      <w:lang w:val="es-ES_tradnl"/>
    </w:rPr>
  </w:style>
  <w:style w:type="character" w:styleId="Hyperlink">
    <w:name w:val="Hyperlink"/>
    <w:basedOn w:val="DefaultParagraphFont"/>
    <w:rsid w:val="00FE067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0</TotalTime>
  <Pages>4</Pages>
  <Words>708</Words>
  <Characters>4040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RECOMMENDATION  ITU-R  M.1043-2 - Use of the amateur and amateur-satellite services in developing countries</vt:lpstr>
    </vt:vector>
  </TitlesOfParts>
  <Manager>CP 3349</Manager>
  <Company>ITU</Company>
  <LinksUpToDate>false</LinksUpToDate>
  <CharactersWithSpaces>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M.1043-2 - Use of the amateur and amateur-satellite services in developing countries</dc:title>
  <dc:subject>M Series = Mobile, radiodetermination, amateur and related satellite services</dc:subject>
  <dc:creator>ITU Radiocommunication Bureau (BR)</dc:creator>
  <cp:keywords>M,1043-2 Folios: 1-2</cp:keywords>
  <dc:description>Saisie + récup:  22.07.03/LS_x000d_
Corr:   08.08.03/LS</dc:description>
  <cp:lastModifiedBy>santosbo</cp:lastModifiedBy>
  <cp:revision>2</cp:revision>
  <cp:lastPrinted>2003-08-08T09:13:00Z</cp:lastPrinted>
  <dcterms:created xsi:type="dcterms:W3CDTF">2010-07-13T09:47:00Z</dcterms:created>
  <dcterms:modified xsi:type="dcterms:W3CDTF">2010-07-13T09:47:00Z</dcterms:modified>
  <cp:category>Template:  BR_Rec_2002.dot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ies>
</file>