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43A8" w14:textId="77777777" w:rsidR="00476035" w:rsidRDefault="00476035" w:rsidP="00476035"/>
    <w:p w14:paraId="0B8D6837" w14:textId="77777777" w:rsidR="00476035" w:rsidRDefault="00476035" w:rsidP="00476035">
      <w:pPr>
        <w:tabs>
          <w:tab w:val="clear" w:pos="794"/>
          <w:tab w:val="clear" w:pos="1191"/>
          <w:tab w:val="clear" w:pos="1588"/>
          <w:tab w:val="clear" w:pos="1985"/>
        </w:tabs>
      </w:pPr>
    </w:p>
    <w:p w14:paraId="4AE3B3D6" w14:textId="3A7D6EE7" w:rsidR="00476035" w:rsidRPr="003D386D" w:rsidRDefault="00476035" w:rsidP="00476035">
      <w:pPr>
        <w:pStyle w:val="CoverNumber"/>
        <w:rPr>
          <w:lang w:val="en-GB"/>
        </w:rPr>
      </w:pPr>
      <w:bookmarkStart w:id="0" w:name="_Toc224135053"/>
      <w:r w:rsidRPr="003D386D">
        <w:rPr>
          <w:lang w:val="en-GB"/>
        </w:rPr>
        <w:t>Recommendation ITU-R M.1036-8</w:t>
      </w:r>
      <w:bookmarkEnd w:id="0"/>
    </w:p>
    <w:p w14:paraId="1C76F8E1" w14:textId="7D72BE5E" w:rsidR="00476035" w:rsidRPr="00476035" w:rsidRDefault="00476035" w:rsidP="00476035">
      <w:pPr>
        <w:pStyle w:val="CoverDate"/>
        <w:rPr>
          <w:lang w:val="en-GB"/>
        </w:rPr>
      </w:pPr>
      <w:r w:rsidRPr="00476035">
        <w:rPr>
          <w:lang w:val="en-GB"/>
        </w:rPr>
        <w:t>(02/2026)</w:t>
      </w:r>
    </w:p>
    <w:p w14:paraId="1B3684F1" w14:textId="77777777" w:rsidR="00476035" w:rsidRPr="004A6FEB" w:rsidRDefault="00476035" w:rsidP="00476035">
      <w:pPr>
        <w:pStyle w:val="CoverSeries"/>
      </w:pPr>
      <w:r>
        <w:t>M</w:t>
      </w:r>
      <w:r w:rsidRPr="00A86DD2">
        <w:t xml:space="preserve"> </w:t>
      </w:r>
      <w:r w:rsidRPr="004A6FEB">
        <w:t>Series:</w:t>
      </w:r>
      <w:r w:rsidRPr="00A86DD2">
        <w:t xml:space="preserve"> </w:t>
      </w:r>
      <w:r w:rsidRPr="00BF449B">
        <w:rPr>
          <w:lang w:val="en-GB"/>
        </w:rPr>
        <w:t>Mobile, radiodetermination, amateur</w:t>
      </w:r>
      <w:r w:rsidRPr="00BF449B">
        <w:rPr>
          <w:lang w:val="en-GB"/>
        </w:rPr>
        <w:br/>
        <w:t>and related satellite services</w:t>
      </w:r>
    </w:p>
    <w:p w14:paraId="1596C3AE" w14:textId="22934FEE" w:rsidR="00476035" w:rsidRPr="004A6FEB" w:rsidRDefault="00476035" w:rsidP="00476035">
      <w:pPr>
        <w:pStyle w:val="CoverTitle"/>
      </w:pPr>
      <w:r w:rsidRPr="006F238A">
        <w:rPr>
          <w:lang w:val="en-GB"/>
        </w:rPr>
        <w:t>Frequency arrangements for implementation of the terrestrial component of International Mobile Telecommunications in the bands identified for IMT in the Radio Regulations</w:t>
      </w:r>
    </w:p>
    <w:p w14:paraId="53DDB18B" w14:textId="77777777" w:rsidR="00476035" w:rsidRPr="005373E0" w:rsidRDefault="00476035" w:rsidP="00476035">
      <w:pPr>
        <w:rPr>
          <w:lang w:val="en-US"/>
        </w:rPr>
      </w:pPr>
    </w:p>
    <w:p w14:paraId="7AF0F856" w14:textId="77777777" w:rsidR="00476035" w:rsidRPr="005373E0" w:rsidRDefault="00476035" w:rsidP="00476035"/>
    <w:p w14:paraId="0973E917" w14:textId="77777777" w:rsidR="00476035" w:rsidRPr="005373E0" w:rsidRDefault="00476035" w:rsidP="00476035">
      <w:pPr>
        <w:sectPr w:rsidR="00476035" w:rsidRPr="005373E0" w:rsidSect="00476035">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3EC1D5EC" w14:textId="77777777" w:rsidR="00476035" w:rsidRPr="00586EF8" w:rsidRDefault="00476035" w:rsidP="0047603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2D388BE9" w14:textId="77777777" w:rsidR="00476035" w:rsidRDefault="00476035" w:rsidP="00476035">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6D5C46EE" w14:textId="77777777" w:rsidR="00476035" w:rsidRDefault="00476035" w:rsidP="00476035">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0819F7C6" w14:textId="77777777" w:rsidR="00476035" w:rsidRPr="00B714F3" w:rsidRDefault="00476035" w:rsidP="00476035">
      <w:pPr>
        <w:pStyle w:val="Heading1"/>
        <w:spacing w:before="680"/>
        <w:jc w:val="center"/>
        <w:rPr>
          <w:szCs w:val="24"/>
          <w:lang w:val="en-US"/>
        </w:rPr>
      </w:pPr>
      <w:bookmarkStart w:id="2" w:name="_Toc224135054"/>
      <w:r w:rsidRPr="00B714F3">
        <w:rPr>
          <w:szCs w:val="24"/>
          <w:lang w:val="en-US"/>
        </w:rPr>
        <w:t>INTELLECTUAL PROPERTY RIGHT</w:t>
      </w:r>
      <w:r>
        <w:rPr>
          <w:szCs w:val="24"/>
          <w:lang w:val="en-US"/>
        </w:rPr>
        <w:t>S</w:t>
      </w:r>
      <w:bookmarkEnd w:id="2"/>
    </w:p>
    <w:p w14:paraId="67431C34" w14:textId="77777777" w:rsidR="00476035" w:rsidRPr="00FE1B04" w:rsidRDefault="00476035" w:rsidP="00476035">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149DD65A" w14:textId="77777777" w:rsidR="00476035" w:rsidRDefault="00476035" w:rsidP="00476035">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0" w:history="1">
        <w:r w:rsidRPr="00FE1B04">
          <w:rPr>
            <w:color w:val="0000FF"/>
            <w:sz w:val="20"/>
            <w:u w:val="single"/>
            <w:lang w:val="en-US"/>
          </w:rPr>
          <w:t>https://www.itu.int/en/ITU-R/study-groups/Pages/itu-r-patent-information.aspx</w:t>
        </w:r>
      </w:hyperlink>
      <w:r w:rsidRPr="00B714F3">
        <w:rPr>
          <w:sz w:val="20"/>
          <w:lang w:val="en-US"/>
        </w:rPr>
        <w:t>.</w:t>
      </w:r>
    </w:p>
    <w:p w14:paraId="0634FDE9" w14:textId="77777777" w:rsidR="00476035" w:rsidRDefault="00476035" w:rsidP="00476035">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476035" w:rsidRPr="00576D47" w14:paraId="62260D0A" w14:textId="77777777" w:rsidTr="00FD61B7">
        <w:tc>
          <w:tcPr>
            <w:tcW w:w="9360" w:type="dxa"/>
            <w:gridSpan w:val="2"/>
          </w:tcPr>
          <w:p w14:paraId="39FD8480" w14:textId="77777777" w:rsidR="00476035" w:rsidRPr="00036EE3" w:rsidRDefault="00476035" w:rsidP="00FD61B7">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4DD0E676" w14:textId="77777777" w:rsidR="00476035" w:rsidRPr="00036EE3"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Pr="00590EE8">
                <w:rPr>
                  <w:rStyle w:val="Hyperlink"/>
                  <w:b w:val="0"/>
                  <w:sz w:val="18"/>
                  <w:szCs w:val="18"/>
                  <w:lang w:val="en-US"/>
                </w:rPr>
                <w:t>https://www.itu.int/publ/R-REC/en</w:t>
              </w:r>
            </w:hyperlink>
            <w:r w:rsidRPr="00CE0A43">
              <w:rPr>
                <w:b w:val="0"/>
                <w:sz w:val="18"/>
                <w:szCs w:val="18"/>
                <w:lang w:val="en-US"/>
              </w:rPr>
              <w:t>)</w:t>
            </w:r>
          </w:p>
        </w:tc>
      </w:tr>
      <w:tr w:rsidR="00476035" w:rsidRPr="00036EE3" w14:paraId="0C63AAFB" w14:textId="77777777" w:rsidTr="00FD61B7">
        <w:tc>
          <w:tcPr>
            <w:tcW w:w="1140" w:type="dxa"/>
            <w:tcBorders>
              <w:bottom w:val="nil"/>
            </w:tcBorders>
            <w:vAlign w:val="bottom"/>
          </w:tcPr>
          <w:p w14:paraId="68CF201B" w14:textId="77777777" w:rsidR="00476035" w:rsidRPr="00036EE3" w:rsidRDefault="00476035" w:rsidP="00FD61B7">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6D0FA617" w14:textId="77777777" w:rsidR="00476035" w:rsidRPr="00036EE3"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476035" w:rsidRPr="00F92A40" w14:paraId="24D8E5E4" w14:textId="77777777" w:rsidTr="00FD61B7">
        <w:tc>
          <w:tcPr>
            <w:tcW w:w="1140" w:type="dxa"/>
            <w:tcBorders>
              <w:top w:val="nil"/>
              <w:bottom w:val="nil"/>
            </w:tcBorders>
          </w:tcPr>
          <w:p w14:paraId="66A324F1" w14:textId="77777777" w:rsidR="00476035" w:rsidRPr="00F92A40" w:rsidRDefault="00476035" w:rsidP="00FD61B7">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1BCD0F83" w14:textId="77777777" w:rsidR="00476035" w:rsidRPr="00F92A40"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476035" w:rsidRPr="00576D47" w14:paraId="3D5E1CA2" w14:textId="77777777" w:rsidTr="00FD61B7">
        <w:tc>
          <w:tcPr>
            <w:tcW w:w="1140" w:type="dxa"/>
            <w:tcBorders>
              <w:top w:val="nil"/>
            </w:tcBorders>
            <w:shd w:val="clear" w:color="auto" w:fill="FFFFFF" w:themeFill="background1"/>
          </w:tcPr>
          <w:p w14:paraId="2FF81261" w14:textId="77777777" w:rsidR="00476035" w:rsidRPr="00B51DD9" w:rsidRDefault="00476035" w:rsidP="00FD61B7">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5AE5CFB4" w14:textId="77777777" w:rsidR="00476035" w:rsidRPr="00B51DD9"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476035" w:rsidRPr="00036EE3" w14:paraId="3EA41F61" w14:textId="77777777" w:rsidTr="00FD61B7">
        <w:tc>
          <w:tcPr>
            <w:tcW w:w="1140" w:type="dxa"/>
          </w:tcPr>
          <w:p w14:paraId="5E7D506F" w14:textId="77777777" w:rsidR="00476035" w:rsidRPr="00036EE3" w:rsidRDefault="00476035" w:rsidP="00FD61B7">
            <w:pPr>
              <w:spacing w:before="30" w:after="30"/>
              <w:ind w:left="57"/>
              <w:jc w:val="left"/>
              <w:rPr>
                <w:b/>
                <w:bCs/>
                <w:sz w:val="20"/>
                <w:lang w:val="en-US"/>
              </w:rPr>
            </w:pPr>
            <w:r w:rsidRPr="00036EE3">
              <w:rPr>
                <w:b/>
                <w:bCs/>
                <w:sz w:val="20"/>
                <w:lang w:val="en-US"/>
              </w:rPr>
              <w:t>BS</w:t>
            </w:r>
          </w:p>
        </w:tc>
        <w:tc>
          <w:tcPr>
            <w:tcW w:w="8220" w:type="dxa"/>
          </w:tcPr>
          <w:p w14:paraId="0883AD83" w14:textId="77777777" w:rsidR="00476035" w:rsidRPr="00036EE3"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476035" w:rsidRPr="00ED2695" w14:paraId="10F50231" w14:textId="77777777" w:rsidTr="00FD61B7">
        <w:tc>
          <w:tcPr>
            <w:tcW w:w="1140" w:type="dxa"/>
          </w:tcPr>
          <w:p w14:paraId="3954AD32" w14:textId="77777777" w:rsidR="00476035" w:rsidRPr="00ED2695" w:rsidRDefault="00476035" w:rsidP="00FD61B7">
            <w:pPr>
              <w:spacing w:before="30" w:after="30"/>
              <w:ind w:left="57"/>
              <w:jc w:val="left"/>
              <w:rPr>
                <w:b/>
                <w:bCs/>
                <w:sz w:val="20"/>
                <w:lang w:val="en-US"/>
              </w:rPr>
            </w:pPr>
            <w:r w:rsidRPr="00ED2695">
              <w:rPr>
                <w:b/>
                <w:bCs/>
                <w:sz w:val="20"/>
                <w:lang w:val="en-US"/>
              </w:rPr>
              <w:t>BT</w:t>
            </w:r>
          </w:p>
        </w:tc>
        <w:tc>
          <w:tcPr>
            <w:tcW w:w="8220" w:type="dxa"/>
          </w:tcPr>
          <w:p w14:paraId="008532A8" w14:textId="77777777" w:rsidR="00476035" w:rsidRPr="00ED2695"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476035" w:rsidRPr="00036EE3" w14:paraId="6FF475C7" w14:textId="77777777" w:rsidTr="00FD61B7">
        <w:tc>
          <w:tcPr>
            <w:tcW w:w="1140" w:type="dxa"/>
          </w:tcPr>
          <w:p w14:paraId="2261DD42" w14:textId="77777777" w:rsidR="00476035" w:rsidRPr="00036EE3" w:rsidRDefault="00476035" w:rsidP="00FD61B7">
            <w:pPr>
              <w:spacing w:before="30" w:after="30"/>
              <w:ind w:left="57"/>
              <w:jc w:val="left"/>
              <w:rPr>
                <w:b/>
                <w:bCs/>
                <w:sz w:val="20"/>
                <w:lang w:val="fr-CH"/>
              </w:rPr>
            </w:pPr>
            <w:r w:rsidRPr="00036EE3">
              <w:rPr>
                <w:b/>
                <w:bCs/>
                <w:sz w:val="20"/>
                <w:lang w:val="fr-CH"/>
              </w:rPr>
              <w:t>F</w:t>
            </w:r>
          </w:p>
        </w:tc>
        <w:tc>
          <w:tcPr>
            <w:tcW w:w="8220" w:type="dxa"/>
          </w:tcPr>
          <w:p w14:paraId="1F71E896" w14:textId="77777777" w:rsidR="00476035" w:rsidRPr="00036EE3" w:rsidRDefault="00476035" w:rsidP="00FD61B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476035" w:rsidRPr="00036EE3" w14:paraId="1547F0E0" w14:textId="77777777" w:rsidTr="00FD61B7">
        <w:tc>
          <w:tcPr>
            <w:tcW w:w="1140" w:type="dxa"/>
            <w:shd w:val="clear" w:color="auto" w:fill="F2F2F2" w:themeFill="background1" w:themeFillShade="F2"/>
          </w:tcPr>
          <w:p w14:paraId="10574D18" w14:textId="77777777" w:rsidR="00476035" w:rsidRPr="00B51DD9" w:rsidRDefault="00476035" w:rsidP="00E678A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ind w:left="57"/>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00353BE8" w14:textId="77777777" w:rsidR="00476035" w:rsidRPr="00B51DD9" w:rsidRDefault="00476035" w:rsidP="00FD61B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476035" w:rsidRPr="00036EE3" w14:paraId="7627C7F6" w14:textId="77777777" w:rsidTr="00FD61B7">
        <w:tc>
          <w:tcPr>
            <w:tcW w:w="1140" w:type="dxa"/>
          </w:tcPr>
          <w:p w14:paraId="03F080B2" w14:textId="77777777" w:rsidR="00476035" w:rsidRPr="00036EE3" w:rsidRDefault="00476035" w:rsidP="00FD61B7">
            <w:pPr>
              <w:spacing w:before="30" w:after="30"/>
              <w:ind w:left="57"/>
              <w:jc w:val="left"/>
              <w:rPr>
                <w:b/>
                <w:bCs/>
                <w:sz w:val="20"/>
                <w:lang w:val="fr-CH"/>
              </w:rPr>
            </w:pPr>
            <w:r w:rsidRPr="00036EE3">
              <w:rPr>
                <w:b/>
                <w:bCs/>
                <w:sz w:val="20"/>
                <w:lang w:val="fr-CH"/>
              </w:rPr>
              <w:t>P</w:t>
            </w:r>
          </w:p>
        </w:tc>
        <w:tc>
          <w:tcPr>
            <w:tcW w:w="8220" w:type="dxa"/>
          </w:tcPr>
          <w:p w14:paraId="3C85DACD" w14:textId="77777777" w:rsidR="00476035" w:rsidRPr="00036EE3" w:rsidRDefault="00476035" w:rsidP="00FD61B7">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476035" w:rsidRPr="00036EE3" w14:paraId="609C7198" w14:textId="77777777" w:rsidTr="00FD61B7">
        <w:tc>
          <w:tcPr>
            <w:tcW w:w="1140" w:type="dxa"/>
          </w:tcPr>
          <w:p w14:paraId="6F2F2472" w14:textId="77777777" w:rsidR="00476035" w:rsidRPr="00036EE3" w:rsidRDefault="00476035" w:rsidP="00FD61B7">
            <w:pPr>
              <w:spacing w:before="30" w:after="30"/>
              <w:ind w:left="57"/>
              <w:jc w:val="left"/>
              <w:rPr>
                <w:b/>
                <w:bCs/>
                <w:sz w:val="20"/>
                <w:lang w:val="en-US"/>
              </w:rPr>
            </w:pPr>
            <w:r w:rsidRPr="00036EE3">
              <w:rPr>
                <w:b/>
                <w:bCs/>
                <w:sz w:val="20"/>
                <w:lang w:val="en-US"/>
              </w:rPr>
              <w:t>RA</w:t>
            </w:r>
          </w:p>
        </w:tc>
        <w:tc>
          <w:tcPr>
            <w:tcW w:w="8220" w:type="dxa"/>
          </w:tcPr>
          <w:p w14:paraId="7E9621D2" w14:textId="77777777" w:rsidR="00476035" w:rsidRPr="00036EE3" w:rsidRDefault="00476035" w:rsidP="00FD61B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476035" w:rsidRPr="00036EE3" w14:paraId="76A6168E" w14:textId="77777777" w:rsidTr="00FD61B7">
        <w:tc>
          <w:tcPr>
            <w:tcW w:w="1140" w:type="dxa"/>
          </w:tcPr>
          <w:p w14:paraId="6CBEBB3E" w14:textId="77777777" w:rsidR="00476035" w:rsidRPr="00036EE3" w:rsidRDefault="00476035" w:rsidP="00FD61B7">
            <w:pPr>
              <w:spacing w:before="30" w:after="30"/>
              <w:ind w:left="57"/>
              <w:jc w:val="left"/>
              <w:rPr>
                <w:b/>
                <w:bCs/>
                <w:sz w:val="20"/>
                <w:lang w:val="en-US"/>
              </w:rPr>
            </w:pPr>
            <w:r w:rsidRPr="00036EE3">
              <w:rPr>
                <w:b/>
                <w:bCs/>
                <w:sz w:val="20"/>
                <w:lang w:val="en-US"/>
              </w:rPr>
              <w:t>RS</w:t>
            </w:r>
          </w:p>
        </w:tc>
        <w:tc>
          <w:tcPr>
            <w:tcW w:w="8220" w:type="dxa"/>
          </w:tcPr>
          <w:p w14:paraId="6C22305B" w14:textId="77777777" w:rsidR="00476035" w:rsidRPr="00036EE3" w:rsidRDefault="00476035" w:rsidP="00FD61B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476035" w:rsidRPr="00036EE3" w14:paraId="6A180697" w14:textId="77777777" w:rsidTr="00FD61B7">
        <w:tc>
          <w:tcPr>
            <w:tcW w:w="1140" w:type="dxa"/>
          </w:tcPr>
          <w:p w14:paraId="5CBC3D65" w14:textId="77777777" w:rsidR="00476035" w:rsidRPr="00036EE3" w:rsidRDefault="00476035" w:rsidP="00FD61B7">
            <w:pPr>
              <w:spacing w:before="30" w:after="30"/>
              <w:ind w:left="57"/>
              <w:jc w:val="left"/>
              <w:rPr>
                <w:b/>
                <w:bCs/>
                <w:sz w:val="20"/>
                <w:lang w:val="en-US"/>
              </w:rPr>
            </w:pPr>
            <w:r w:rsidRPr="00036EE3">
              <w:rPr>
                <w:b/>
                <w:bCs/>
                <w:sz w:val="20"/>
                <w:lang w:val="en-US"/>
              </w:rPr>
              <w:t>S</w:t>
            </w:r>
          </w:p>
        </w:tc>
        <w:tc>
          <w:tcPr>
            <w:tcW w:w="8220" w:type="dxa"/>
          </w:tcPr>
          <w:p w14:paraId="3C8C369D" w14:textId="77777777" w:rsidR="00476035" w:rsidRPr="00036EE3" w:rsidRDefault="00476035" w:rsidP="00FD61B7">
            <w:pPr>
              <w:spacing w:before="30" w:after="30"/>
              <w:jc w:val="left"/>
              <w:rPr>
                <w:sz w:val="20"/>
                <w:lang w:val="en-US"/>
              </w:rPr>
            </w:pPr>
            <w:r w:rsidRPr="00036EE3">
              <w:rPr>
                <w:sz w:val="20"/>
                <w:lang w:val="en-US"/>
              </w:rPr>
              <w:t>Fixed-satellite service</w:t>
            </w:r>
          </w:p>
        </w:tc>
      </w:tr>
      <w:tr w:rsidR="00476035" w:rsidRPr="00036EE3" w14:paraId="0E187ADD" w14:textId="77777777" w:rsidTr="00FD61B7">
        <w:tc>
          <w:tcPr>
            <w:tcW w:w="1140" w:type="dxa"/>
          </w:tcPr>
          <w:p w14:paraId="36C1BBBA" w14:textId="77777777" w:rsidR="00476035" w:rsidRPr="00036EE3" w:rsidRDefault="00476035" w:rsidP="00FD61B7">
            <w:pPr>
              <w:spacing w:before="30" w:after="30"/>
              <w:ind w:left="57"/>
              <w:jc w:val="left"/>
              <w:rPr>
                <w:b/>
                <w:bCs/>
                <w:sz w:val="20"/>
                <w:lang w:val="en-US"/>
              </w:rPr>
            </w:pPr>
            <w:r w:rsidRPr="00036EE3">
              <w:rPr>
                <w:b/>
                <w:bCs/>
                <w:sz w:val="20"/>
                <w:lang w:val="en-US"/>
              </w:rPr>
              <w:t>SA</w:t>
            </w:r>
          </w:p>
        </w:tc>
        <w:tc>
          <w:tcPr>
            <w:tcW w:w="8220" w:type="dxa"/>
          </w:tcPr>
          <w:p w14:paraId="414BA57D" w14:textId="77777777" w:rsidR="00476035" w:rsidRPr="00036EE3" w:rsidRDefault="00476035" w:rsidP="00FD61B7">
            <w:pPr>
              <w:spacing w:before="30" w:after="30"/>
              <w:jc w:val="left"/>
              <w:rPr>
                <w:sz w:val="20"/>
                <w:lang w:val="en-US"/>
              </w:rPr>
            </w:pPr>
            <w:r w:rsidRPr="00036EE3">
              <w:rPr>
                <w:sz w:val="20"/>
                <w:lang w:val="en-US"/>
              </w:rPr>
              <w:t>Space applications and meteorology</w:t>
            </w:r>
          </w:p>
        </w:tc>
      </w:tr>
      <w:tr w:rsidR="00476035" w:rsidRPr="00576D47" w14:paraId="76FA3C07" w14:textId="77777777" w:rsidTr="00FD61B7">
        <w:tc>
          <w:tcPr>
            <w:tcW w:w="1140" w:type="dxa"/>
            <w:tcBorders>
              <w:bottom w:val="nil"/>
            </w:tcBorders>
          </w:tcPr>
          <w:p w14:paraId="5C2E2A94" w14:textId="77777777" w:rsidR="00476035" w:rsidRPr="00036EE3" w:rsidRDefault="00476035" w:rsidP="00FD61B7">
            <w:pPr>
              <w:spacing w:before="30" w:after="30"/>
              <w:ind w:left="57"/>
              <w:jc w:val="left"/>
              <w:rPr>
                <w:b/>
                <w:bCs/>
                <w:sz w:val="20"/>
                <w:lang w:val="en-US"/>
              </w:rPr>
            </w:pPr>
            <w:r w:rsidRPr="00036EE3">
              <w:rPr>
                <w:b/>
                <w:bCs/>
                <w:sz w:val="20"/>
                <w:lang w:val="en-US"/>
              </w:rPr>
              <w:t>SF</w:t>
            </w:r>
          </w:p>
        </w:tc>
        <w:tc>
          <w:tcPr>
            <w:tcW w:w="8220" w:type="dxa"/>
            <w:tcBorders>
              <w:bottom w:val="nil"/>
            </w:tcBorders>
          </w:tcPr>
          <w:p w14:paraId="722455BE" w14:textId="77777777" w:rsidR="00476035" w:rsidRPr="00036EE3" w:rsidRDefault="00476035" w:rsidP="00FD61B7">
            <w:pPr>
              <w:spacing w:before="30" w:after="30"/>
              <w:jc w:val="left"/>
              <w:rPr>
                <w:sz w:val="20"/>
                <w:lang w:val="en-US"/>
              </w:rPr>
            </w:pPr>
            <w:r w:rsidRPr="00036EE3">
              <w:rPr>
                <w:sz w:val="20"/>
                <w:lang w:val="en-US"/>
              </w:rPr>
              <w:t>Frequency sharing and coordination between fixed-satellite and fixed service systems</w:t>
            </w:r>
          </w:p>
        </w:tc>
      </w:tr>
      <w:tr w:rsidR="00476035" w:rsidRPr="00036EE3" w14:paraId="243CECF7" w14:textId="77777777" w:rsidTr="00FD61B7">
        <w:tc>
          <w:tcPr>
            <w:tcW w:w="1140" w:type="dxa"/>
            <w:tcBorders>
              <w:top w:val="nil"/>
              <w:bottom w:val="nil"/>
            </w:tcBorders>
          </w:tcPr>
          <w:p w14:paraId="78DDC8DB" w14:textId="77777777" w:rsidR="00476035" w:rsidRPr="001B164E" w:rsidRDefault="00476035" w:rsidP="00FD61B7">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6F6F848C" w14:textId="77777777" w:rsidR="00476035" w:rsidRPr="001B164E" w:rsidRDefault="00476035" w:rsidP="00FD61B7">
            <w:pPr>
              <w:spacing w:before="30" w:after="30"/>
              <w:jc w:val="left"/>
              <w:rPr>
                <w:rFonts w:hAnsi="Times New Roman Bold"/>
                <w:sz w:val="20"/>
                <w:lang w:val="en-US"/>
              </w:rPr>
            </w:pPr>
            <w:r w:rsidRPr="001B164E">
              <w:rPr>
                <w:rFonts w:hAnsi="Times New Roman Bold"/>
                <w:sz w:val="20"/>
                <w:lang w:val="en-US"/>
              </w:rPr>
              <w:t>Spectrum management</w:t>
            </w:r>
          </w:p>
        </w:tc>
      </w:tr>
      <w:tr w:rsidR="00476035" w:rsidRPr="00036EE3" w14:paraId="02400B21" w14:textId="77777777" w:rsidTr="00FD61B7">
        <w:tc>
          <w:tcPr>
            <w:tcW w:w="1140" w:type="dxa"/>
            <w:tcBorders>
              <w:top w:val="nil"/>
            </w:tcBorders>
          </w:tcPr>
          <w:p w14:paraId="505B8E2E" w14:textId="77777777" w:rsidR="00476035" w:rsidRPr="00036EE3" w:rsidRDefault="00476035" w:rsidP="00FD61B7">
            <w:pPr>
              <w:spacing w:before="30" w:after="30"/>
              <w:ind w:left="57"/>
              <w:jc w:val="left"/>
              <w:rPr>
                <w:b/>
                <w:bCs/>
                <w:sz w:val="20"/>
                <w:lang w:val="en-US"/>
              </w:rPr>
            </w:pPr>
            <w:r w:rsidRPr="00036EE3">
              <w:rPr>
                <w:b/>
                <w:bCs/>
                <w:sz w:val="20"/>
                <w:lang w:val="en-US"/>
              </w:rPr>
              <w:t>SNG</w:t>
            </w:r>
          </w:p>
        </w:tc>
        <w:tc>
          <w:tcPr>
            <w:tcW w:w="8220" w:type="dxa"/>
            <w:tcBorders>
              <w:top w:val="nil"/>
            </w:tcBorders>
          </w:tcPr>
          <w:p w14:paraId="636A5B5E" w14:textId="77777777" w:rsidR="00476035" w:rsidRPr="00036EE3" w:rsidRDefault="00476035" w:rsidP="00FD61B7">
            <w:pPr>
              <w:spacing w:before="30" w:after="30"/>
              <w:jc w:val="left"/>
              <w:rPr>
                <w:sz w:val="20"/>
                <w:lang w:val="en-US"/>
              </w:rPr>
            </w:pPr>
            <w:r w:rsidRPr="00036EE3">
              <w:rPr>
                <w:sz w:val="20"/>
                <w:lang w:val="en-US"/>
              </w:rPr>
              <w:t>Satellite news gathering</w:t>
            </w:r>
          </w:p>
        </w:tc>
      </w:tr>
      <w:tr w:rsidR="00476035" w:rsidRPr="00576D47" w14:paraId="7D74B664" w14:textId="77777777" w:rsidTr="00FD61B7">
        <w:tc>
          <w:tcPr>
            <w:tcW w:w="1140" w:type="dxa"/>
          </w:tcPr>
          <w:p w14:paraId="6DF7ACA1" w14:textId="77777777" w:rsidR="00476035" w:rsidRPr="00036EE3" w:rsidRDefault="00476035" w:rsidP="00FD61B7">
            <w:pPr>
              <w:spacing w:before="30" w:after="30"/>
              <w:ind w:left="57"/>
              <w:jc w:val="left"/>
              <w:rPr>
                <w:b/>
                <w:bCs/>
                <w:sz w:val="20"/>
                <w:lang w:val="en-US"/>
              </w:rPr>
            </w:pPr>
            <w:r w:rsidRPr="00036EE3">
              <w:rPr>
                <w:b/>
                <w:bCs/>
                <w:sz w:val="20"/>
                <w:lang w:val="en-US"/>
              </w:rPr>
              <w:t>TF</w:t>
            </w:r>
          </w:p>
        </w:tc>
        <w:tc>
          <w:tcPr>
            <w:tcW w:w="8220" w:type="dxa"/>
          </w:tcPr>
          <w:p w14:paraId="51A68CCF" w14:textId="77777777" w:rsidR="00476035" w:rsidRPr="00036EE3" w:rsidRDefault="00476035" w:rsidP="00FD61B7">
            <w:pPr>
              <w:spacing w:before="30" w:after="30"/>
              <w:jc w:val="left"/>
              <w:rPr>
                <w:sz w:val="20"/>
                <w:lang w:val="en-US"/>
              </w:rPr>
            </w:pPr>
            <w:r w:rsidRPr="00036EE3">
              <w:rPr>
                <w:sz w:val="20"/>
                <w:lang w:val="en-US"/>
              </w:rPr>
              <w:t>Time signals and frequency standards emissions</w:t>
            </w:r>
          </w:p>
        </w:tc>
      </w:tr>
      <w:tr w:rsidR="00476035" w:rsidRPr="00036EE3" w14:paraId="50574639" w14:textId="77777777" w:rsidTr="00FD61B7">
        <w:tc>
          <w:tcPr>
            <w:tcW w:w="1140" w:type="dxa"/>
          </w:tcPr>
          <w:p w14:paraId="01860854" w14:textId="77777777" w:rsidR="00476035" w:rsidRPr="00036EE3" w:rsidRDefault="00476035" w:rsidP="00FD61B7">
            <w:pPr>
              <w:spacing w:before="30" w:after="30"/>
              <w:ind w:left="57"/>
              <w:jc w:val="left"/>
              <w:rPr>
                <w:b/>
                <w:bCs/>
                <w:sz w:val="20"/>
                <w:lang w:val="en-US"/>
              </w:rPr>
            </w:pPr>
            <w:r w:rsidRPr="00036EE3">
              <w:rPr>
                <w:b/>
                <w:bCs/>
                <w:sz w:val="20"/>
                <w:lang w:val="en-US"/>
              </w:rPr>
              <w:t>V</w:t>
            </w:r>
          </w:p>
        </w:tc>
        <w:tc>
          <w:tcPr>
            <w:tcW w:w="8220" w:type="dxa"/>
          </w:tcPr>
          <w:p w14:paraId="0DFA2482" w14:textId="77777777" w:rsidR="00476035" w:rsidRPr="00036EE3" w:rsidRDefault="00476035" w:rsidP="00FD61B7">
            <w:pPr>
              <w:spacing w:before="30" w:after="180"/>
              <w:jc w:val="left"/>
              <w:rPr>
                <w:sz w:val="20"/>
                <w:lang w:val="en-US"/>
              </w:rPr>
            </w:pPr>
            <w:r w:rsidRPr="00036EE3">
              <w:rPr>
                <w:sz w:val="20"/>
                <w:lang w:val="en-US"/>
              </w:rPr>
              <w:t>Vocabulary and related subjects</w:t>
            </w:r>
          </w:p>
        </w:tc>
      </w:tr>
    </w:tbl>
    <w:p w14:paraId="3F2DEA7C" w14:textId="77777777" w:rsidR="00476035" w:rsidRPr="00036EE3" w:rsidRDefault="00476035" w:rsidP="00476035">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76035" w:rsidRPr="00576D47" w14:paraId="3896D0CC" w14:textId="77777777" w:rsidTr="00FD61B7">
        <w:tc>
          <w:tcPr>
            <w:tcW w:w="9360" w:type="dxa"/>
          </w:tcPr>
          <w:p w14:paraId="5F897D3F" w14:textId="77777777" w:rsidR="00476035" w:rsidRPr="002F5199" w:rsidRDefault="00476035" w:rsidP="00FD61B7">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0CD50611" w14:textId="77777777" w:rsidR="00476035" w:rsidRDefault="00476035" w:rsidP="00476035">
      <w:pPr>
        <w:spacing w:before="0"/>
        <w:jc w:val="center"/>
        <w:rPr>
          <w:sz w:val="22"/>
          <w:lang w:val="en-US"/>
        </w:rPr>
      </w:pPr>
    </w:p>
    <w:p w14:paraId="6356797D" w14:textId="77777777" w:rsidR="00476035" w:rsidRPr="002F5199" w:rsidRDefault="00476035" w:rsidP="00476035">
      <w:pPr>
        <w:spacing w:before="0"/>
        <w:jc w:val="right"/>
        <w:rPr>
          <w:i/>
          <w:iCs/>
          <w:sz w:val="20"/>
          <w:lang w:val="en-US"/>
        </w:rPr>
      </w:pPr>
      <w:r w:rsidRPr="002F5199">
        <w:rPr>
          <w:i/>
          <w:iCs/>
          <w:sz w:val="20"/>
          <w:lang w:val="en-US"/>
        </w:rPr>
        <w:t>Electronic Publication</w:t>
      </w:r>
    </w:p>
    <w:p w14:paraId="077F9CE9" w14:textId="77777777" w:rsidR="00476035" w:rsidRPr="002F5199" w:rsidRDefault="00476035" w:rsidP="00476035">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Pr>
          <w:sz w:val="20"/>
          <w:lang w:val="en-US"/>
        </w:rPr>
        <w:t>26</w:t>
      </w:r>
    </w:p>
    <w:p w14:paraId="45B34AB8" w14:textId="77777777" w:rsidR="00476035" w:rsidRPr="00470E28" w:rsidRDefault="00476035" w:rsidP="00476035">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Pr>
          <w:sz w:val="20"/>
          <w:lang w:val="en-US"/>
        </w:rPr>
        <w:t>26</w:t>
      </w:r>
    </w:p>
    <w:p w14:paraId="0A4657E7" w14:textId="77777777" w:rsidR="00476035" w:rsidRPr="00470E28" w:rsidRDefault="00476035" w:rsidP="00476035">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47A6F157" w14:textId="77777777" w:rsidR="00476035" w:rsidRDefault="00476035" w:rsidP="00476035">
      <w:pPr>
        <w:spacing w:before="160"/>
        <w:rPr>
          <w:i/>
          <w:sz w:val="20"/>
          <w:lang w:val="en-US"/>
        </w:rPr>
        <w:sectPr w:rsidR="00476035" w:rsidSect="00476035">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6A8567D3" w14:textId="2FD3555A" w:rsidR="00476035" w:rsidRPr="00B874C6" w:rsidRDefault="00476035" w:rsidP="00476035">
      <w:pPr>
        <w:pStyle w:val="RecNo"/>
        <w:rPr>
          <w:lang w:val="en-US"/>
        </w:rPr>
      </w:pPr>
      <w:bookmarkStart w:id="4" w:name="irecnoe"/>
      <w:bookmarkEnd w:id="4"/>
      <w:proofErr w:type="gramStart"/>
      <w:r w:rsidRPr="00447F23">
        <w:lastRenderedPageBreak/>
        <w:t>RECOMMENDATION</w:t>
      </w:r>
      <w:r w:rsidRPr="00BF487A">
        <w:t xml:space="preserve">  </w:t>
      </w:r>
      <w:r w:rsidRPr="00BF487A">
        <w:rPr>
          <w:rStyle w:val="href"/>
          <w:lang w:val="en-US"/>
        </w:rPr>
        <w:t>ITU</w:t>
      </w:r>
      <w:proofErr w:type="gramEnd"/>
      <w:r w:rsidRPr="00BF487A">
        <w:rPr>
          <w:rStyle w:val="href"/>
          <w:lang w:val="en-US"/>
        </w:rPr>
        <w:t>-</w:t>
      </w:r>
      <w:proofErr w:type="gramStart"/>
      <w:r w:rsidRPr="00BF487A">
        <w:rPr>
          <w:rStyle w:val="href"/>
          <w:lang w:val="en-US"/>
        </w:rPr>
        <w:t xml:space="preserve">R  </w:t>
      </w:r>
      <w:r>
        <w:rPr>
          <w:rStyle w:val="href"/>
          <w:lang w:val="en-US"/>
        </w:rPr>
        <w:t>M</w:t>
      </w:r>
      <w:r w:rsidRPr="00BF487A">
        <w:rPr>
          <w:rStyle w:val="href"/>
          <w:lang w:val="en-US"/>
        </w:rPr>
        <w:t>.</w:t>
      </w:r>
      <w:r>
        <w:rPr>
          <w:rStyle w:val="href"/>
          <w:lang w:val="en-US"/>
        </w:rPr>
        <w:t>1036</w:t>
      </w:r>
      <w:proofErr w:type="gramEnd"/>
      <w:r>
        <w:rPr>
          <w:rStyle w:val="href"/>
          <w:lang w:val="en-US"/>
        </w:rPr>
        <w:t>-8</w:t>
      </w:r>
    </w:p>
    <w:p w14:paraId="1AED05F6" w14:textId="4383AA6D" w:rsidR="00476035" w:rsidRDefault="00476035" w:rsidP="00476035">
      <w:pPr>
        <w:pStyle w:val="Rectitle"/>
      </w:pPr>
      <w:r w:rsidRPr="006F238A">
        <w:t>Frequency arrangements for implementation of the terrestrial component of International Mobile Telecommunications in the bands identified for IMT in the Radio Regulations</w:t>
      </w:r>
    </w:p>
    <w:p w14:paraId="5704F369" w14:textId="2FF3CF1A" w:rsidR="00476035" w:rsidRPr="007F453D" w:rsidRDefault="00476035" w:rsidP="00476035">
      <w:pPr>
        <w:pStyle w:val="Recref"/>
        <w:rPr>
          <w:rFonts w:eastAsia="SimSun"/>
          <w:lang w:eastAsia="zh-CN"/>
        </w:rPr>
      </w:pPr>
      <w:r w:rsidRPr="007F453D">
        <w:rPr>
          <w:rFonts w:eastAsia="SimSun"/>
          <w:lang w:eastAsia="zh-CN"/>
        </w:rPr>
        <w:t xml:space="preserve">(Question </w:t>
      </w:r>
      <w:hyperlink r:id="rId14" w:history="1">
        <w:r w:rsidRPr="003D386D">
          <w:rPr>
            <w:rStyle w:val="Hyperlink"/>
            <w:rFonts w:eastAsia="SimSun"/>
            <w:color w:val="auto"/>
            <w:u w:val="none"/>
            <w:lang w:eastAsia="zh-CN"/>
          </w:rPr>
          <w:t>ITU-R 229-6/5</w:t>
        </w:r>
      </w:hyperlink>
      <w:r w:rsidRPr="007F453D">
        <w:rPr>
          <w:rFonts w:eastAsia="SimSun"/>
          <w:lang w:eastAsia="zh-CN"/>
        </w:rPr>
        <w:t>)</w:t>
      </w:r>
    </w:p>
    <w:p w14:paraId="73FAD9D5" w14:textId="77777777" w:rsidR="00476035" w:rsidRPr="007F453D" w:rsidRDefault="00476035" w:rsidP="00476035">
      <w:pPr>
        <w:pStyle w:val="Recdate"/>
        <w:rPr>
          <w:rFonts w:eastAsia="SimSun"/>
        </w:rPr>
      </w:pPr>
      <w:r w:rsidRPr="007F453D">
        <w:rPr>
          <w:rFonts w:eastAsia="SimSun"/>
        </w:rPr>
        <w:t>(1994-1999-2003-2007-2012-2015-2019-2023</w:t>
      </w:r>
      <w:r>
        <w:rPr>
          <w:rFonts w:eastAsia="SimSun"/>
        </w:rPr>
        <w:t>-2026</w:t>
      </w:r>
      <w:r w:rsidRPr="007F453D">
        <w:rPr>
          <w:rFonts w:eastAsia="SimSun"/>
        </w:rPr>
        <w:t>)</w:t>
      </w:r>
    </w:p>
    <w:p w14:paraId="7983C6A6" w14:textId="77777777" w:rsidR="00476035" w:rsidRPr="007F453D" w:rsidRDefault="00476035" w:rsidP="00476035">
      <w:pPr>
        <w:pStyle w:val="HeadingSum"/>
        <w:rPr>
          <w:lang w:val="en-GB"/>
        </w:rPr>
      </w:pPr>
      <w:r w:rsidRPr="007F453D">
        <w:rPr>
          <w:lang w:val="en-GB"/>
        </w:rPr>
        <w:t>Scope</w:t>
      </w:r>
    </w:p>
    <w:p w14:paraId="4F68BB53" w14:textId="1AFB559C" w:rsidR="00476035" w:rsidRPr="008D3074" w:rsidRDefault="00476035" w:rsidP="00B521BE">
      <w:pPr>
        <w:pStyle w:val="Summary"/>
        <w:spacing w:after="0"/>
        <w:rPr>
          <w:lang w:val="en-GB"/>
        </w:rPr>
      </w:pPr>
      <w:r w:rsidRPr="008D3074">
        <w:rPr>
          <w:lang w:val="en-GB"/>
        </w:rPr>
        <w:t xml:space="preserve">This Recommendation provides guidance on the selection of transmitting and receiving frequency arrangements for the terrestrial component of </w:t>
      </w:r>
      <w:r w:rsidR="003D386D" w:rsidRPr="003D386D">
        <w:rPr>
          <w:lang w:val="en-GB"/>
        </w:rPr>
        <w:t>International Mobile Telecommunications (</w:t>
      </w:r>
      <w:r w:rsidRPr="008D3074">
        <w:rPr>
          <w:lang w:val="en-GB"/>
        </w:rPr>
        <w:t>IMT</w:t>
      </w:r>
      <w:r w:rsidR="003D386D">
        <w:rPr>
          <w:lang w:val="en-GB"/>
        </w:rPr>
        <w:t>)</w:t>
      </w:r>
      <w:r>
        <w:rPr>
          <w:rStyle w:val="FootnoteReference"/>
          <w:lang w:val="en-GB"/>
        </w:rPr>
        <w:footnoteReference w:id="1"/>
      </w:r>
      <w:r w:rsidRPr="008D3074">
        <w:rPr>
          <w:lang w:val="en-GB"/>
        </w:rPr>
        <w:t xml:space="preserve"> systems as well as the arrangements themselves, with a view to assisting administrations on spectrum-related technical issues relevant to the implementation and use of the terrestrial component of IMT in the bands identified in the Radio Regulations (RR)</w:t>
      </w:r>
      <w:r>
        <w:rPr>
          <w:rStyle w:val="FootnoteReference"/>
          <w:lang w:val="en-GB"/>
        </w:rPr>
        <w:footnoteReference w:id="2"/>
      </w:r>
      <w:r w:rsidRPr="008D3074">
        <w:rPr>
          <w:lang w:val="en-GB"/>
        </w:rPr>
        <w:t>.</w:t>
      </w:r>
    </w:p>
    <w:p w14:paraId="7FE74414" w14:textId="77777777" w:rsidR="00476035" w:rsidRPr="008D3074" w:rsidRDefault="00476035" w:rsidP="00B521BE">
      <w:pPr>
        <w:pStyle w:val="Summary"/>
        <w:spacing w:after="0"/>
        <w:rPr>
          <w:lang w:val="en-GB"/>
        </w:rPr>
      </w:pPr>
      <w:r w:rsidRPr="008D3074">
        <w:rPr>
          <w:lang w:val="en-GB"/>
        </w:rPr>
        <w:t>The frequency arrangements are recommended from the point of view of enabling the most effective and efficient use of the spectrum to deliver IMT services – while minimizing the impact on other systems or services in these bands – and facilitating the growth of IMT systems.</w:t>
      </w:r>
    </w:p>
    <w:p w14:paraId="662BA6CE" w14:textId="77777777" w:rsidR="00476035" w:rsidRPr="008D3074" w:rsidRDefault="00476035" w:rsidP="00476035">
      <w:pPr>
        <w:pStyle w:val="Summary"/>
        <w:rPr>
          <w:lang w:val="en-GB"/>
        </w:rPr>
      </w:pPr>
      <w:r w:rsidRPr="008D3074">
        <w:rPr>
          <w:lang w:val="en-GB"/>
        </w:rPr>
        <w:t xml:space="preserve">This Recommendation is complemented by other ITU-R Recommendations and Reports on IMT that provide additional details on </w:t>
      </w:r>
      <w:proofErr w:type="gramStart"/>
      <w:r w:rsidRPr="008D3074">
        <w:rPr>
          <w:lang w:val="en-GB"/>
        </w:rPr>
        <w:t>a number of</w:t>
      </w:r>
      <w:proofErr w:type="gramEnd"/>
      <w:r w:rsidRPr="008D3074">
        <w:rPr>
          <w:lang w:val="en-GB"/>
        </w:rPr>
        <w:t xml:space="preserve"> aspects including unwanted emission characteristics for the bands addressed in this Recommendation and radio interface specifications.</w:t>
      </w:r>
    </w:p>
    <w:p w14:paraId="33AB0A46" w14:textId="77777777" w:rsidR="00476035" w:rsidRPr="007F453D" w:rsidRDefault="00476035" w:rsidP="00476035">
      <w:pPr>
        <w:pStyle w:val="Headingb"/>
      </w:pPr>
      <w:r w:rsidRPr="007F453D">
        <w:t>Keywords</w:t>
      </w:r>
    </w:p>
    <w:p w14:paraId="43B5E650" w14:textId="77777777" w:rsidR="00476035" w:rsidRPr="007F453D" w:rsidRDefault="00476035" w:rsidP="00476035">
      <w:pPr>
        <w:rPr>
          <w:rFonts w:eastAsia="Batang"/>
          <w:b/>
          <w:i/>
        </w:rPr>
      </w:pPr>
      <w:r w:rsidRPr="007F453D">
        <w:rPr>
          <w:rFonts w:eastAsia="Batang"/>
        </w:rPr>
        <w:t>IMT, frequency arrangements, terrestrial component of IMT</w:t>
      </w:r>
    </w:p>
    <w:p w14:paraId="34515E75" w14:textId="77777777" w:rsidR="00476035" w:rsidRPr="007F453D" w:rsidRDefault="00476035" w:rsidP="00476035">
      <w:pPr>
        <w:pStyle w:val="Normalaftertitle"/>
      </w:pPr>
      <w:r w:rsidRPr="007F453D">
        <w:t>The ITU Radiocommunication Assembly,</w:t>
      </w:r>
    </w:p>
    <w:p w14:paraId="30A18EB7" w14:textId="77777777" w:rsidR="00476035" w:rsidRPr="007F453D" w:rsidRDefault="00476035" w:rsidP="00476035">
      <w:pPr>
        <w:pStyle w:val="Call"/>
      </w:pPr>
      <w:r w:rsidRPr="007F453D">
        <w:t>considering</w:t>
      </w:r>
    </w:p>
    <w:p w14:paraId="40ECBEA6" w14:textId="77777777" w:rsidR="00476035" w:rsidRPr="007F453D" w:rsidRDefault="00476035" w:rsidP="00476035">
      <w:r w:rsidRPr="007F453D">
        <w:rPr>
          <w:i/>
          <w:iCs/>
        </w:rPr>
        <w:t>a)</w:t>
      </w:r>
      <w:r w:rsidRPr="007F453D">
        <w:tab/>
        <w:t xml:space="preserve">that the ITU is the internationally recognized organization that has sole responsibility, in conformity with the ITU Constitution, Convention, and the Radio Regulations, to define and to recommend the standards and globally harmonized frequency arrangements for IMT systems, with the collaboration of other relevant </w:t>
      </w:r>
      <w:proofErr w:type="gramStart"/>
      <w:r w:rsidRPr="007F453D">
        <w:t>organizations;</w:t>
      </w:r>
      <w:proofErr w:type="gramEnd"/>
    </w:p>
    <w:p w14:paraId="555ABAAC" w14:textId="77777777" w:rsidR="00476035" w:rsidRPr="007F453D" w:rsidRDefault="00476035" w:rsidP="00B521BE">
      <w:r w:rsidRPr="007F453D">
        <w:rPr>
          <w:i/>
          <w:iCs/>
        </w:rPr>
        <w:t>b)</w:t>
      </w:r>
      <w:r w:rsidRPr="007F453D">
        <w:tab/>
        <w:t>that globally harmonized spectrum and globally harmonized frequency arrangements for IMT are desirable to reduce the overall cost of IMT networks and terminals by providing economies of scale, facilitating deployment and cross</w:t>
      </w:r>
      <w:r w:rsidRPr="007F453D">
        <w:noBreakHyphen/>
        <w:t xml:space="preserve">border </w:t>
      </w:r>
      <w:proofErr w:type="gramStart"/>
      <w:r w:rsidRPr="007F453D">
        <w:t>coordination;</w:t>
      </w:r>
      <w:proofErr w:type="gramEnd"/>
    </w:p>
    <w:p w14:paraId="14B8468F" w14:textId="77777777" w:rsidR="00476035" w:rsidRPr="007F453D" w:rsidRDefault="00476035" w:rsidP="00476035">
      <w:r w:rsidRPr="007F453D">
        <w:rPr>
          <w:i/>
        </w:rPr>
        <w:t>c)</w:t>
      </w:r>
      <w:r w:rsidRPr="007F453D">
        <w:tab/>
        <w:t xml:space="preserve">that the use of the bands identified for IMT may not be harmonized globally due to different uses by other services in some </w:t>
      </w:r>
      <w:proofErr w:type="gramStart"/>
      <w:r w:rsidRPr="007F453D">
        <w:t>countries;</w:t>
      </w:r>
      <w:proofErr w:type="gramEnd"/>
    </w:p>
    <w:p w14:paraId="7C7788E7" w14:textId="77777777" w:rsidR="00476035" w:rsidRPr="007F453D" w:rsidRDefault="00476035" w:rsidP="00476035">
      <w:r w:rsidRPr="007F453D">
        <w:rPr>
          <w:i/>
          <w:iCs/>
        </w:rPr>
        <w:t>d)</w:t>
      </w:r>
      <w:r w:rsidRPr="007F453D">
        <w:tab/>
        <w:t>that a common base and/or mobile transmit band would facilitate the development of terminal equipment for global roaming. A common base transmit band</w:t>
      </w:r>
      <w:proofErr w:type="gramStart"/>
      <w:r w:rsidRPr="007F453D">
        <w:t>, in particular, provides</w:t>
      </w:r>
      <w:proofErr w:type="gramEnd"/>
      <w:r w:rsidRPr="007F453D">
        <w:t xml:space="preserve"> the possibility to broadcast to roaming users all information necessary to establish a </w:t>
      </w:r>
      <w:proofErr w:type="gramStart"/>
      <w:r w:rsidRPr="007F453D">
        <w:t>call;</w:t>
      </w:r>
      <w:proofErr w:type="gramEnd"/>
    </w:p>
    <w:p w14:paraId="10CC0586" w14:textId="77777777" w:rsidR="00476035" w:rsidRPr="007F453D" w:rsidRDefault="00476035" w:rsidP="00476035">
      <w:r w:rsidRPr="007F453D">
        <w:rPr>
          <w:rFonts w:eastAsia="SimSun"/>
          <w:i/>
          <w:iCs/>
        </w:rPr>
        <w:lastRenderedPageBreak/>
        <w:t>e</w:t>
      </w:r>
      <w:r w:rsidRPr="007F453D">
        <w:rPr>
          <w:i/>
          <w:iCs/>
        </w:rPr>
        <w:t>)</w:t>
      </w:r>
      <w:r w:rsidRPr="007F453D">
        <w:tab/>
        <w:t xml:space="preserve">that </w:t>
      </w:r>
      <w:proofErr w:type="spellStart"/>
      <w:r w:rsidRPr="007F453D">
        <w:t>guardbands</w:t>
      </w:r>
      <w:proofErr w:type="spellEnd"/>
      <w:r w:rsidRPr="007F453D">
        <w:t xml:space="preserve"> for IMT systems should be minimized to avoid wasting of spectrum </w:t>
      </w:r>
      <w:proofErr w:type="gramStart"/>
      <w:r w:rsidRPr="007F453D">
        <w:t>taking into account</w:t>
      </w:r>
      <w:proofErr w:type="gramEnd"/>
      <w:r w:rsidRPr="007F453D">
        <w:t xml:space="preserve"> the coexistence with other services and </w:t>
      </w:r>
      <w:proofErr w:type="gramStart"/>
      <w:r w:rsidRPr="007F453D">
        <w:t>applications;</w:t>
      </w:r>
      <w:proofErr w:type="gramEnd"/>
    </w:p>
    <w:p w14:paraId="7DFCA60A" w14:textId="77777777" w:rsidR="00476035" w:rsidRPr="007F453D" w:rsidRDefault="00476035" w:rsidP="00476035">
      <w:pPr>
        <w:rPr>
          <w:rFonts w:eastAsia="SimSun"/>
        </w:rPr>
      </w:pPr>
      <w:r w:rsidRPr="007F453D">
        <w:rPr>
          <w:rFonts w:eastAsia="SimSun"/>
          <w:i/>
          <w:iCs/>
        </w:rPr>
        <w:t>f</w:t>
      </w:r>
      <w:r w:rsidRPr="007F453D">
        <w:rPr>
          <w:i/>
          <w:iCs/>
        </w:rPr>
        <w:t>)</w:t>
      </w:r>
      <w:r w:rsidRPr="007F453D">
        <w:rPr>
          <w:rFonts w:eastAsia="SimSun"/>
        </w:rPr>
        <w:tab/>
        <w:t>that individual subscriber traffic and capacity dimensioning in IMT systems is expected to be dynamically asymmetric where the direction of asymmetry can vary rapidly within short (</w:t>
      </w:r>
      <w:proofErr w:type="spellStart"/>
      <w:r w:rsidRPr="007F453D">
        <w:rPr>
          <w:rFonts w:eastAsia="SimSun"/>
        </w:rPr>
        <w:t>ms</w:t>
      </w:r>
      <w:proofErr w:type="spellEnd"/>
      <w:r w:rsidRPr="007F453D">
        <w:rPr>
          <w:rFonts w:eastAsia="SimSun"/>
        </w:rPr>
        <w:t>) time</w:t>
      </w:r>
      <w:r w:rsidRPr="007F453D">
        <w:rPr>
          <w:rFonts w:eastAsia="SimSun"/>
        </w:rPr>
        <w:noBreakHyphen/>
        <w:t>frames, while IMT network traffic may vary in asymmetry over the longer term (see Annex</w:t>
      </w:r>
      <w:proofErr w:type="gramStart"/>
      <w:r w:rsidRPr="007F453D">
        <w:rPr>
          <w:rFonts w:eastAsia="SimSun"/>
        </w:rPr>
        <w:t>);</w:t>
      </w:r>
      <w:proofErr w:type="gramEnd"/>
    </w:p>
    <w:p w14:paraId="607ACEF5" w14:textId="77777777" w:rsidR="00476035" w:rsidRPr="007F453D" w:rsidRDefault="00476035" w:rsidP="00476035">
      <w:r w:rsidRPr="007F453D">
        <w:rPr>
          <w:rFonts w:eastAsia="SimSun"/>
          <w:i/>
          <w:iCs/>
        </w:rPr>
        <w:t>g</w:t>
      </w:r>
      <w:r w:rsidRPr="007F453D">
        <w:rPr>
          <w:i/>
          <w:iCs/>
        </w:rPr>
        <w:t>)</w:t>
      </w:r>
      <w:r w:rsidRPr="007F453D">
        <w:tab/>
        <w:t xml:space="preserve">that </w:t>
      </w:r>
      <w:proofErr w:type="gramStart"/>
      <w:r w:rsidRPr="007F453D">
        <w:t>a number of</w:t>
      </w:r>
      <w:proofErr w:type="gramEnd"/>
      <w:r w:rsidRPr="007F453D">
        <w:t xml:space="preserve"> ITU-R Reports are available that can assist in determining means to facilitate coexistence and compatibility between systems in other services and the terrestrial components of IMT as shown in Attachment 3 </w:t>
      </w:r>
      <w:r w:rsidRPr="007F453D">
        <w:rPr>
          <w:rFonts w:eastAsia="SimSun"/>
        </w:rPr>
        <w:t xml:space="preserve">to the </w:t>
      </w:r>
      <w:proofErr w:type="gramStart"/>
      <w:r w:rsidRPr="007F453D">
        <w:rPr>
          <w:rFonts w:eastAsia="SimSun"/>
        </w:rPr>
        <w:t>Annex</w:t>
      </w:r>
      <w:r w:rsidRPr="007F453D">
        <w:t>;</w:t>
      </w:r>
      <w:proofErr w:type="gramEnd"/>
    </w:p>
    <w:p w14:paraId="62627A9F" w14:textId="77777777" w:rsidR="00476035" w:rsidRPr="007F453D" w:rsidRDefault="00476035" w:rsidP="00476035">
      <w:r w:rsidRPr="007F453D">
        <w:rPr>
          <w:i/>
        </w:rPr>
        <w:t>h)</w:t>
      </w:r>
      <w:r w:rsidRPr="007F453D">
        <w:rPr>
          <w:i/>
        </w:rPr>
        <w:tab/>
      </w:r>
      <w:r w:rsidRPr="007F453D">
        <w:rPr>
          <w:iCs/>
        </w:rPr>
        <w:t>that</w:t>
      </w:r>
      <w:r w:rsidRPr="007F453D">
        <w:rPr>
          <w:i/>
        </w:rPr>
        <w:t xml:space="preserve"> </w:t>
      </w:r>
      <w:r w:rsidRPr="007F453D">
        <w:t>the capabilities of IMT systems are being continuously enhanced in line with user needs and technology trends,</w:t>
      </w:r>
    </w:p>
    <w:p w14:paraId="77071BFF" w14:textId="77777777" w:rsidR="00476035" w:rsidRPr="007F453D" w:rsidRDefault="00476035" w:rsidP="00476035">
      <w:pPr>
        <w:pStyle w:val="Call"/>
      </w:pPr>
      <w:r w:rsidRPr="007F453D">
        <w:t>considering further</w:t>
      </w:r>
    </w:p>
    <w:p w14:paraId="66C9F79A" w14:textId="77777777" w:rsidR="00476035" w:rsidRPr="00C50DFB" w:rsidRDefault="00476035" w:rsidP="00476035">
      <w:pPr>
        <w:suppressAutoHyphens/>
      </w:pPr>
      <w:r w:rsidRPr="00C50DFB">
        <w:rPr>
          <w:rFonts w:eastAsia="SimSun"/>
          <w:i/>
          <w:iCs/>
        </w:rPr>
        <w:t>a)</w:t>
      </w:r>
      <w:r w:rsidRPr="00C50DFB">
        <w:rPr>
          <w:rFonts w:eastAsia="SimSun"/>
        </w:rPr>
        <w:tab/>
      </w:r>
      <w:r w:rsidRPr="00C50DFB">
        <w:t xml:space="preserve">that the IMT-2000 radio interfaces are detailed in Recommendation </w:t>
      </w:r>
      <w:r w:rsidRPr="00C50DFB">
        <w:rPr>
          <w:rStyle w:val="Hyperlink"/>
          <w:color w:val="auto"/>
          <w:u w:val="none"/>
        </w:rPr>
        <w:t xml:space="preserve">ITU-R </w:t>
      </w:r>
      <w:hyperlink r:id="rId15" w:history="1">
        <w:r w:rsidRPr="00C50DFB">
          <w:rPr>
            <w:rStyle w:val="Hyperlink"/>
            <w:color w:val="auto"/>
            <w:u w:val="none"/>
          </w:rPr>
          <w:t>M.1457</w:t>
        </w:r>
      </w:hyperlink>
      <w:r w:rsidRPr="00C50DFB">
        <w:rPr>
          <w:lang w:eastAsia="ja-JP"/>
        </w:rPr>
        <w:t xml:space="preserve"> and currently include two modes of operation </w:t>
      </w:r>
      <w:r w:rsidRPr="00C50DFB">
        <w:t>– frequency division duplex (FDD) and time division duplex (TDD);</w:t>
      </w:r>
    </w:p>
    <w:p w14:paraId="6D2CB36C" w14:textId="61FFE653" w:rsidR="00476035" w:rsidRPr="00C50DFB" w:rsidRDefault="00476035" w:rsidP="00476035">
      <w:pPr>
        <w:suppressAutoHyphens/>
      </w:pPr>
      <w:r w:rsidRPr="00C50DFB">
        <w:rPr>
          <w:rFonts w:eastAsia="SimSun"/>
          <w:i/>
          <w:iCs/>
        </w:rPr>
        <w:t>b)</w:t>
      </w:r>
      <w:r w:rsidRPr="00C50DFB">
        <w:rPr>
          <w:rFonts w:eastAsia="SimSun"/>
          <w:i/>
          <w:iCs/>
        </w:rPr>
        <w:tab/>
      </w:r>
      <w:r w:rsidRPr="00C50DFB">
        <w:t xml:space="preserve">that the IMT-Advanced radio interfaces are detailed in Recommendation </w:t>
      </w:r>
      <w:hyperlink r:id="rId16" w:history="1">
        <w:r w:rsidR="00832E1A">
          <w:rPr>
            <w:rStyle w:val="Hyperlink"/>
            <w:color w:val="auto"/>
            <w:u w:val="none"/>
          </w:rPr>
          <w:t>ITU-R M</w:t>
        </w:r>
        <w:r w:rsidR="00832E1A" w:rsidRPr="007B5747">
          <w:rPr>
            <w:rStyle w:val="Hyperlink"/>
            <w:color w:val="auto"/>
            <w:u w:val="none"/>
          </w:rPr>
          <w:t>.2012</w:t>
        </w:r>
      </w:hyperlink>
      <w:r w:rsidRPr="00C50DFB">
        <w:t xml:space="preserve"> and include both FDD and TDD </w:t>
      </w:r>
      <w:proofErr w:type="gramStart"/>
      <w:r w:rsidRPr="00C50DFB">
        <w:t>modes;</w:t>
      </w:r>
      <w:proofErr w:type="gramEnd"/>
    </w:p>
    <w:p w14:paraId="66EC2653" w14:textId="77777777" w:rsidR="00476035" w:rsidRPr="00C50DFB" w:rsidRDefault="00476035" w:rsidP="00476035">
      <w:r w:rsidRPr="00C50DFB">
        <w:rPr>
          <w:rFonts w:eastAsia="SimSun"/>
          <w:i/>
          <w:iCs/>
        </w:rPr>
        <w:t>c)</w:t>
      </w:r>
      <w:r w:rsidRPr="00C50DFB">
        <w:rPr>
          <w:rFonts w:eastAsia="SimSun"/>
          <w:i/>
          <w:iCs/>
        </w:rPr>
        <w:tab/>
      </w:r>
      <w:r w:rsidRPr="00C50DFB">
        <w:t xml:space="preserve">that the IMT-2020 radio interfaces are detailed in Recommendation </w:t>
      </w:r>
      <w:hyperlink r:id="rId17" w:history="1">
        <w:r w:rsidRPr="00C50DFB">
          <w:rPr>
            <w:rStyle w:val="Hyperlink"/>
            <w:color w:val="auto"/>
            <w:u w:val="none"/>
          </w:rPr>
          <w:t>ITU-R M.2150</w:t>
        </w:r>
      </w:hyperlink>
      <w:r w:rsidRPr="00C50DFB">
        <w:t xml:space="preserve"> and include both FDD and TDD </w:t>
      </w:r>
      <w:proofErr w:type="gramStart"/>
      <w:r w:rsidRPr="00C50DFB">
        <w:t>modes;</w:t>
      </w:r>
      <w:proofErr w:type="gramEnd"/>
    </w:p>
    <w:p w14:paraId="0C87342B" w14:textId="77777777" w:rsidR="00476035" w:rsidRPr="00C50DFB" w:rsidRDefault="00476035" w:rsidP="00476035">
      <w:pPr>
        <w:rPr>
          <w:rFonts w:eastAsia="SimSun"/>
        </w:rPr>
      </w:pPr>
      <w:r w:rsidRPr="00C50DFB">
        <w:rPr>
          <w:rFonts w:eastAsia="SimSun"/>
          <w:i/>
          <w:iCs/>
        </w:rPr>
        <w:t>d)</w:t>
      </w:r>
      <w:r w:rsidRPr="00C50DFB">
        <w:rPr>
          <w:rFonts w:eastAsia="SimSun"/>
          <w:i/>
          <w:iCs/>
        </w:rPr>
        <w:tab/>
      </w:r>
      <w:r w:rsidRPr="00C50DFB">
        <w:rPr>
          <w:rFonts w:eastAsia="SimSun"/>
        </w:rPr>
        <w:t xml:space="preserve">that IMT </w:t>
      </w:r>
      <w:r w:rsidRPr="00C50DFB">
        <w:rPr>
          <w:lang w:eastAsia="ja-JP"/>
        </w:rPr>
        <w:t xml:space="preserve">technologies could support </w:t>
      </w:r>
      <w:r w:rsidRPr="00C50DFB">
        <w:rPr>
          <w:rFonts w:eastAsia="SimSun"/>
        </w:rPr>
        <w:t>various applications (e.g. PPDR, MTC/IoT/M2M, ITS). S</w:t>
      </w:r>
      <w:r w:rsidRPr="00C50DFB">
        <w:rPr>
          <w:lang w:eastAsia="ja-JP"/>
        </w:rPr>
        <w:t>pecific</w:t>
      </w:r>
      <w:r w:rsidRPr="00C50DFB">
        <w:rPr>
          <w:rFonts w:eastAsia="SimSun"/>
        </w:rPr>
        <w:t xml:space="preserve"> frequency arrangements for those applications may be addressed in other Reports and or Recommendations,</w:t>
      </w:r>
    </w:p>
    <w:p w14:paraId="39E90C52" w14:textId="77777777" w:rsidR="00476035" w:rsidRPr="007F453D" w:rsidRDefault="00476035" w:rsidP="00476035">
      <w:pPr>
        <w:pStyle w:val="Call"/>
      </w:pPr>
      <w:r w:rsidRPr="007F453D">
        <w:t>recognizing</w:t>
      </w:r>
    </w:p>
    <w:p w14:paraId="3C8A7032" w14:textId="77777777" w:rsidR="00476035" w:rsidRPr="007F453D" w:rsidRDefault="00476035" w:rsidP="00476035">
      <w:r w:rsidRPr="007F453D">
        <w:rPr>
          <w:i/>
        </w:rPr>
        <w:t>a)</w:t>
      </w:r>
      <w:r w:rsidRPr="007F453D">
        <w:rPr>
          <w:i/>
        </w:rPr>
        <w:tab/>
      </w:r>
      <w:r w:rsidRPr="007F453D">
        <w:rPr>
          <w:iCs/>
        </w:rPr>
        <w:t xml:space="preserve">that </w:t>
      </w:r>
      <w:r w:rsidRPr="007F453D">
        <w:t xml:space="preserve">No. 92 of the ITU Constitution stipulates that </w:t>
      </w:r>
      <w:r w:rsidRPr="007F453D">
        <w:rPr>
          <w:bCs/>
        </w:rPr>
        <w:t>“T</w:t>
      </w:r>
      <w:r w:rsidRPr="007F453D">
        <w:t>he decisions of a World Radiocommunication Conference, of a Radiocommunication Assembly and of a Regional Radiocommunication Conference shall in all circumstances be in conformity with this Constitution and the Convention. The decisions of a Radiocommunication Assembly or of a Regional Radiocommunication Conference shall also in all circumstances be in conformity with the Radio Regulations</w:t>
      </w:r>
      <w:proofErr w:type="gramStart"/>
      <w:r w:rsidRPr="007F453D">
        <w:t>”;</w:t>
      </w:r>
      <w:proofErr w:type="gramEnd"/>
    </w:p>
    <w:p w14:paraId="25FEEFCE" w14:textId="77777777" w:rsidR="00476035" w:rsidRPr="007F453D" w:rsidRDefault="00476035" w:rsidP="00476035">
      <w:bookmarkStart w:id="5" w:name="_Hlk117019602"/>
      <w:r w:rsidRPr="007F453D">
        <w:rPr>
          <w:i/>
        </w:rPr>
        <w:t>b)</w:t>
      </w:r>
      <w:r w:rsidRPr="007F453D">
        <w:rPr>
          <w:i/>
        </w:rPr>
        <w:tab/>
      </w:r>
      <w:r w:rsidRPr="007F453D">
        <w:t xml:space="preserve">that frequency allocation and associated footnotes in force are contained in Article </w:t>
      </w:r>
      <w:r w:rsidRPr="007F453D">
        <w:rPr>
          <w:b/>
          <w:bCs/>
        </w:rPr>
        <w:t>5</w:t>
      </w:r>
      <w:r w:rsidRPr="007F453D">
        <w:t xml:space="preserve"> of the RR. See also Attachment 1 </w:t>
      </w:r>
      <w:r w:rsidRPr="007F453D">
        <w:rPr>
          <w:rFonts w:eastAsia="SimSun"/>
        </w:rPr>
        <w:t>to the Annex,</w:t>
      </w:r>
      <w:r w:rsidRPr="007F453D">
        <w:t xml:space="preserve"> which summarizes the frequency bands and associated footnotes identifying the bands for </w:t>
      </w:r>
      <w:proofErr w:type="gramStart"/>
      <w:r w:rsidRPr="007F453D">
        <w:t>IMT;</w:t>
      </w:r>
      <w:proofErr w:type="gramEnd"/>
    </w:p>
    <w:bookmarkEnd w:id="5"/>
    <w:p w14:paraId="404269CF" w14:textId="5E3240E0" w:rsidR="00476035" w:rsidRPr="006811FB" w:rsidRDefault="00476035" w:rsidP="00476035">
      <w:r w:rsidRPr="000660A3">
        <w:rPr>
          <w:i/>
        </w:rPr>
        <w:t>c)</w:t>
      </w:r>
      <w:r w:rsidRPr="000660A3">
        <w:rPr>
          <w:i/>
        </w:rPr>
        <w:tab/>
      </w:r>
      <w:r w:rsidRPr="000660A3">
        <w:t xml:space="preserve">that key features of IMT-2000, IMT-Advanced, IMT-2020 and IMT-2030 are contained in </w:t>
      </w:r>
      <w:r w:rsidRPr="006811FB">
        <w:t xml:space="preserve">Recommendations </w:t>
      </w:r>
      <w:hyperlink r:id="rId18" w:history="1">
        <w:r w:rsidR="00832E1A">
          <w:rPr>
            <w:rStyle w:val="Hyperlink"/>
            <w:color w:val="auto"/>
            <w:u w:val="none"/>
          </w:rPr>
          <w:t>ITU-R M.1645</w:t>
        </w:r>
      </w:hyperlink>
      <w:r w:rsidRPr="006811FB">
        <w:t xml:space="preserve">, </w:t>
      </w:r>
      <w:hyperlink r:id="rId19" w:history="1">
        <w:r w:rsidR="00832E1A">
          <w:rPr>
            <w:rStyle w:val="Hyperlink"/>
            <w:color w:val="auto"/>
            <w:u w:val="none"/>
          </w:rPr>
          <w:t>ITU-R M</w:t>
        </w:r>
        <w:r w:rsidR="00832E1A" w:rsidRPr="007B5747">
          <w:rPr>
            <w:rStyle w:val="Hyperlink"/>
            <w:color w:val="auto"/>
            <w:u w:val="none"/>
          </w:rPr>
          <w:t>.1822</w:t>
        </w:r>
      </w:hyperlink>
      <w:r w:rsidRPr="006811FB">
        <w:rPr>
          <w:lang w:eastAsia="ja-JP"/>
        </w:rPr>
        <w:t>,</w:t>
      </w:r>
      <w:r w:rsidRPr="006811FB">
        <w:t xml:space="preserve"> </w:t>
      </w:r>
      <w:hyperlink r:id="rId20" w:history="1">
        <w:r w:rsidR="00832E1A">
          <w:rPr>
            <w:rStyle w:val="Hyperlink"/>
            <w:color w:val="auto"/>
            <w:u w:val="none"/>
          </w:rPr>
          <w:t>ITU-R M</w:t>
        </w:r>
        <w:r w:rsidR="00832E1A" w:rsidRPr="007B5747">
          <w:rPr>
            <w:rStyle w:val="Hyperlink"/>
            <w:color w:val="auto"/>
            <w:u w:val="none"/>
          </w:rPr>
          <w:t>.2083</w:t>
        </w:r>
      </w:hyperlink>
      <w:r w:rsidRPr="006811FB">
        <w:t xml:space="preserve"> and ITU-R M.2160;</w:t>
      </w:r>
    </w:p>
    <w:p w14:paraId="4EE1F7F9" w14:textId="77777777" w:rsidR="00476035" w:rsidRPr="000660A3" w:rsidRDefault="00476035" w:rsidP="00476035">
      <w:r w:rsidRPr="000660A3">
        <w:rPr>
          <w:i/>
        </w:rPr>
        <w:t>d)</w:t>
      </w:r>
      <w:r w:rsidRPr="000660A3">
        <w:tab/>
        <w:t>that implementation of IMT in the frequency bands 1 885</w:t>
      </w:r>
      <w:r w:rsidRPr="000660A3">
        <w:noBreakHyphen/>
        <w:t xml:space="preserve">2 025 MHz and 2 110-2 200 MHz is addressed in Resolution </w:t>
      </w:r>
      <w:r w:rsidRPr="000660A3">
        <w:rPr>
          <w:b/>
          <w:bCs/>
        </w:rPr>
        <w:t>212 (Rev.WRC-23)</w:t>
      </w:r>
      <w:r w:rsidRPr="000660A3">
        <w:t>, which notes among other aspects that the availability of the satellite component of IMT in the bands 1 980-2 010 MHz and 2 170-2 200 MHz simultaneously with the terrestrial component of IMT in the bands identified in RR No. </w:t>
      </w:r>
      <w:r w:rsidRPr="000660A3">
        <w:rPr>
          <w:b/>
          <w:bCs/>
        </w:rPr>
        <w:t>5.388</w:t>
      </w:r>
      <w:r w:rsidRPr="000660A3">
        <w:t xml:space="preserve"> would improve the overall use of IMT;</w:t>
      </w:r>
    </w:p>
    <w:p w14:paraId="4DF2FA20" w14:textId="77777777" w:rsidR="00476035" w:rsidRPr="000660A3" w:rsidRDefault="00476035" w:rsidP="006811FB">
      <w:r w:rsidRPr="000660A3">
        <w:rPr>
          <w:i/>
          <w:iCs/>
        </w:rPr>
        <w:t>e)</w:t>
      </w:r>
      <w:r w:rsidRPr="000660A3">
        <w:rPr>
          <w:i/>
          <w:iCs/>
        </w:rPr>
        <w:tab/>
      </w:r>
      <w:r w:rsidRPr="000660A3">
        <w:t xml:space="preserve">that Resolution </w:t>
      </w:r>
      <w:r w:rsidRPr="000660A3">
        <w:rPr>
          <w:b/>
          <w:bCs/>
        </w:rPr>
        <w:t>235 (Rev.WRC-23)</w:t>
      </w:r>
      <w:r w:rsidRPr="000660A3">
        <w:t xml:space="preserve"> resolves to invite ITU-R to review the spectrum use and study the spectrum needs of existing services within the frequency band 470-694 MHz or parts thereof for some countries in Region 1, and to consider possible regulatory actions in the frequency bands 608-614 MHz and 614-694 MHz for some countries in Region 1, at WRC-31, as appropriate;</w:t>
      </w:r>
    </w:p>
    <w:p w14:paraId="7D728253" w14:textId="77777777" w:rsidR="00476035" w:rsidRPr="000660A3" w:rsidRDefault="00476035" w:rsidP="00476035">
      <w:pPr>
        <w:rPr>
          <w:b/>
          <w:lang w:eastAsia="ja-JP"/>
        </w:rPr>
      </w:pPr>
      <w:r w:rsidRPr="000660A3">
        <w:rPr>
          <w:i/>
          <w:lang w:eastAsia="ja-JP"/>
        </w:rPr>
        <w:lastRenderedPageBreak/>
        <w:t>f)</w:t>
      </w:r>
      <w:r w:rsidRPr="000660A3">
        <w:rPr>
          <w:i/>
          <w:lang w:eastAsia="ja-JP"/>
        </w:rPr>
        <w:tab/>
      </w:r>
      <w:r w:rsidRPr="000660A3">
        <w:rPr>
          <w:lang w:eastAsia="ja-JP"/>
        </w:rPr>
        <w:t xml:space="preserve">that, in the frequency band 1 427-1 452 MHz, mitigation measures (e.g. filters, </w:t>
      </w:r>
      <w:proofErr w:type="spellStart"/>
      <w:r w:rsidRPr="000660A3">
        <w:rPr>
          <w:lang w:eastAsia="ja-JP"/>
        </w:rPr>
        <w:t>guardbands</w:t>
      </w:r>
      <w:proofErr w:type="spellEnd"/>
      <w:r w:rsidRPr="000660A3">
        <w:rPr>
          <w:lang w:eastAsia="ja-JP"/>
        </w:rPr>
        <w:t xml:space="preserve">, etc.) may be necessary </w:t>
      </w:r>
      <w:proofErr w:type="gramStart"/>
      <w:r w:rsidRPr="000660A3">
        <w:rPr>
          <w:lang w:eastAsia="ja-JP"/>
        </w:rPr>
        <w:t>in order to</w:t>
      </w:r>
      <w:proofErr w:type="gramEnd"/>
      <w:r w:rsidRPr="000660A3">
        <w:rPr>
          <w:lang w:eastAsia="ja-JP"/>
        </w:rPr>
        <w:t xml:space="preserve"> meet the limits of unwanted emission applicable to IMT stations in the mobile service specified in Table 1 of Resolution </w:t>
      </w:r>
      <w:r w:rsidRPr="000660A3">
        <w:rPr>
          <w:b/>
          <w:lang w:eastAsia="ja-JP"/>
        </w:rPr>
        <w:t>750 (Rev.WRC-19</w:t>
      </w:r>
      <w:proofErr w:type="gramStart"/>
      <w:r w:rsidRPr="000660A3">
        <w:rPr>
          <w:b/>
          <w:lang w:eastAsia="ja-JP"/>
        </w:rPr>
        <w:t>)</w:t>
      </w:r>
      <w:r w:rsidRPr="000660A3">
        <w:rPr>
          <w:lang w:eastAsia="ja-JP"/>
        </w:rPr>
        <w:t>;</w:t>
      </w:r>
      <w:proofErr w:type="gramEnd"/>
    </w:p>
    <w:p w14:paraId="2CFEAF27" w14:textId="77777777" w:rsidR="00476035" w:rsidRPr="000660A3" w:rsidRDefault="00476035" w:rsidP="00476035">
      <w:pPr>
        <w:rPr>
          <w:bCs/>
          <w:lang w:eastAsia="ja-JP"/>
        </w:rPr>
      </w:pPr>
      <w:r w:rsidRPr="000660A3">
        <w:rPr>
          <w:bCs/>
          <w:i/>
          <w:lang w:eastAsia="ja-JP"/>
        </w:rPr>
        <w:t>g)</w:t>
      </w:r>
      <w:r w:rsidRPr="000660A3">
        <w:rPr>
          <w:bCs/>
          <w:i/>
          <w:lang w:eastAsia="ja-JP"/>
        </w:rPr>
        <w:tab/>
      </w:r>
      <w:r w:rsidRPr="000660A3">
        <w:rPr>
          <w:bCs/>
          <w:lang w:eastAsia="ja-JP"/>
        </w:rPr>
        <w:t xml:space="preserve">that Resolution </w:t>
      </w:r>
      <w:r w:rsidRPr="000660A3">
        <w:rPr>
          <w:b/>
          <w:bCs/>
          <w:lang w:eastAsia="ja-JP"/>
        </w:rPr>
        <w:t>225 (Rev.</w:t>
      </w:r>
      <w:r w:rsidRPr="000660A3">
        <w:rPr>
          <w:b/>
          <w:bCs/>
        </w:rPr>
        <w:t>WRC-23</w:t>
      </w:r>
      <w:r w:rsidRPr="000660A3">
        <w:rPr>
          <w:b/>
          <w:bCs/>
          <w:lang w:eastAsia="ja-JP"/>
        </w:rPr>
        <w:t>)</w:t>
      </w:r>
      <w:r w:rsidRPr="000660A3">
        <w:rPr>
          <w:bCs/>
          <w:lang w:eastAsia="ja-JP"/>
        </w:rPr>
        <w:t xml:space="preserve"> invites ITU-R to study the sharing and coordination issues in the bands 2 500-2 520 MHz and 2 670-2 690 MHz as identified for IMT in RR No. </w:t>
      </w:r>
      <w:r w:rsidRPr="000660A3">
        <w:rPr>
          <w:b/>
          <w:bCs/>
          <w:lang w:eastAsia="ja-JP"/>
        </w:rPr>
        <w:t>5.384A</w:t>
      </w:r>
      <w:r w:rsidRPr="000660A3">
        <w:rPr>
          <w:bCs/>
          <w:lang w:eastAsia="ja-JP"/>
        </w:rPr>
        <w:t xml:space="preserve"> and allocated to the mobile-satellite service in Region </w:t>
      </w:r>
      <w:proofErr w:type="gramStart"/>
      <w:r w:rsidRPr="000660A3">
        <w:rPr>
          <w:bCs/>
          <w:lang w:eastAsia="ja-JP"/>
        </w:rPr>
        <w:t>3;</w:t>
      </w:r>
      <w:proofErr w:type="gramEnd"/>
    </w:p>
    <w:p w14:paraId="41922E87" w14:textId="77777777" w:rsidR="00476035" w:rsidRPr="000660A3" w:rsidRDefault="00476035" w:rsidP="00476035">
      <w:r w:rsidRPr="000660A3">
        <w:rPr>
          <w:i/>
          <w:iCs/>
        </w:rPr>
        <w:t>h)</w:t>
      </w:r>
      <w:r w:rsidRPr="000660A3">
        <w:tab/>
        <w:t xml:space="preserve">that for IMT in the frequency band 24.25-27.5 GHz Resolution </w:t>
      </w:r>
      <w:r w:rsidRPr="000660A3">
        <w:rPr>
          <w:b/>
          <w:bCs/>
        </w:rPr>
        <w:t>242 (Rev.WRC-23)</w:t>
      </w:r>
      <w:r w:rsidRPr="000660A3">
        <w:t xml:space="preserve"> encourages administrations to consider additional mitigation techniques beyond the limits specified in Resolution </w:t>
      </w:r>
      <w:r w:rsidRPr="000660A3">
        <w:rPr>
          <w:b/>
          <w:bCs/>
        </w:rPr>
        <w:t>750 (Rev.WRC-19)</w:t>
      </w:r>
      <w:r w:rsidRPr="000660A3">
        <w:t xml:space="preserve"> for the future development of Earth exploration satellite service (EESS) (passive) in the frequency band 23.6-24 </w:t>
      </w:r>
      <w:proofErr w:type="gramStart"/>
      <w:r w:rsidRPr="000660A3">
        <w:t>GHz;</w:t>
      </w:r>
      <w:proofErr w:type="gramEnd"/>
    </w:p>
    <w:p w14:paraId="200FD633" w14:textId="77777777" w:rsidR="00476035" w:rsidRPr="000660A3" w:rsidRDefault="00476035" w:rsidP="00476035">
      <w:proofErr w:type="spellStart"/>
      <w:r w:rsidRPr="000660A3">
        <w:rPr>
          <w:i/>
          <w:iCs/>
        </w:rPr>
        <w:t>i</w:t>
      </w:r>
      <w:proofErr w:type="spellEnd"/>
      <w:r w:rsidRPr="000660A3">
        <w:t>)</w:t>
      </w:r>
      <w:r w:rsidRPr="000660A3">
        <w:tab/>
        <w:t xml:space="preserve">that </w:t>
      </w:r>
      <w:proofErr w:type="gramStart"/>
      <w:r w:rsidRPr="000660A3">
        <w:t>in order to</w:t>
      </w:r>
      <w:proofErr w:type="gramEnd"/>
      <w:r w:rsidRPr="000660A3">
        <w:t xml:space="preserve"> protect the EESS (passive) in the frequency band 36-37 GHz, the unwanted emissions of IMT stations operating in the frequency band 37-40.5 GHz are specified in Resolution </w:t>
      </w:r>
      <w:r w:rsidRPr="000660A3">
        <w:rPr>
          <w:b/>
          <w:bCs/>
        </w:rPr>
        <w:t>243 (Rev.WRC-23</w:t>
      </w:r>
      <w:proofErr w:type="gramStart"/>
      <w:r w:rsidRPr="000660A3">
        <w:rPr>
          <w:b/>
          <w:bCs/>
        </w:rPr>
        <w:t>)</w:t>
      </w:r>
      <w:r w:rsidRPr="000660A3">
        <w:t>;</w:t>
      </w:r>
      <w:proofErr w:type="gramEnd"/>
    </w:p>
    <w:p w14:paraId="1A991E3F" w14:textId="77777777" w:rsidR="00476035" w:rsidRPr="000660A3" w:rsidRDefault="00476035" w:rsidP="00476035">
      <w:pPr>
        <w:rPr>
          <w:bCs/>
          <w:lang w:eastAsia="ja-JP"/>
        </w:rPr>
      </w:pPr>
      <w:r w:rsidRPr="000660A3">
        <w:rPr>
          <w:bCs/>
          <w:i/>
          <w:lang w:eastAsia="ja-JP"/>
        </w:rPr>
        <w:t>j)</w:t>
      </w:r>
      <w:r w:rsidRPr="000660A3">
        <w:rPr>
          <w:bCs/>
          <w:i/>
          <w:lang w:eastAsia="ja-JP"/>
        </w:rPr>
        <w:tab/>
      </w:r>
      <w:r w:rsidRPr="000660A3">
        <w:rPr>
          <w:bCs/>
          <w:lang w:eastAsia="ja-JP"/>
        </w:rPr>
        <w:t xml:space="preserve">that Resolution </w:t>
      </w:r>
      <w:r w:rsidRPr="000660A3">
        <w:rPr>
          <w:b/>
          <w:lang w:eastAsia="ja-JP"/>
        </w:rPr>
        <w:t>220</w:t>
      </w:r>
      <w:r w:rsidRPr="000660A3">
        <w:rPr>
          <w:b/>
          <w:bCs/>
          <w:lang w:eastAsia="ja-JP"/>
        </w:rPr>
        <w:t xml:space="preserve"> (WRC-23)</w:t>
      </w:r>
      <w:r w:rsidRPr="000660A3">
        <w:rPr>
          <w:bCs/>
          <w:lang w:eastAsia="ja-JP"/>
        </w:rPr>
        <w:t xml:space="preserve"> </w:t>
      </w:r>
      <w:r w:rsidRPr="000660A3">
        <w:t>provides conditions for the use of IMT within the frequency band 6 425-7 125 MHz including measures for coexistence with other services referred to in the Resolution,</w:t>
      </w:r>
    </w:p>
    <w:p w14:paraId="7F2A27CE" w14:textId="77777777" w:rsidR="00476035" w:rsidRPr="00C50DFB" w:rsidRDefault="00476035" w:rsidP="00476035">
      <w:pPr>
        <w:pStyle w:val="Call"/>
      </w:pPr>
      <w:r w:rsidRPr="00C50DFB">
        <w:t>noting</w:t>
      </w:r>
    </w:p>
    <w:p w14:paraId="0F4610A3" w14:textId="77777777" w:rsidR="00476035" w:rsidRPr="00C50DFB" w:rsidRDefault="00476035" w:rsidP="00476035">
      <w:r w:rsidRPr="00C50DFB">
        <w:rPr>
          <w:i/>
        </w:rPr>
        <w:t>a)</w:t>
      </w:r>
      <w:r w:rsidRPr="00C50DFB">
        <w:tab/>
        <w:t xml:space="preserve">that Attachments 2 through 3 </w:t>
      </w:r>
      <w:r w:rsidRPr="00C50DFB">
        <w:rPr>
          <w:rFonts w:eastAsia="SimSun"/>
        </w:rPr>
        <w:t xml:space="preserve">to the Annex </w:t>
      </w:r>
      <w:r w:rsidRPr="00C50DFB">
        <w:t xml:space="preserve">provide information on specific vocabulary and terms utilized in this Recommendation and a listing of related Recommendations and </w:t>
      </w:r>
      <w:proofErr w:type="gramStart"/>
      <w:r w:rsidRPr="00C50DFB">
        <w:t>Reports;</w:t>
      </w:r>
      <w:proofErr w:type="gramEnd"/>
    </w:p>
    <w:p w14:paraId="0DF8E801" w14:textId="77777777" w:rsidR="00476035" w:rsidRPr="00C50DFB" w:rsidRDefault="00476035" w:rsidP="00476035">
      <w:r w:rsidRPr="00C50DFB">
        <w:rPr>
          <w:i/>
        </w:rPr>
        <w:t>b)</w:t>
      </w:r>
      <w:r w:rsidRPr="00C50DFB">
        <w:tab/>
        <w:t>that consideration should be taken by neighbouring countries that are implementing different services (e.g. IMT system and other services/applications), considering technical and operational measures to facilitate coexistence in such cases. See Attachment 3 to the Annex,</w:t>
      </w:r>
    </w:p>
    <w:p w14:paraId="20E916FA" w14:textId="77777777" w:rsidR="00476035" w:rsidRPr="00C50DFB" w:rsidRDefault="00476035" w:rsidP="00476035">
      <w:pPr>
        <w:pStyle w:val="Call"/>
        <w:rPr>
          <w:iCs/>
        </w:rPr>
      </w:pPr>
      <w:r w:rsidRPr="00C50DFB">
        <w:t>noting</w:t>
      </w:r>
      <w:r w:rsidRPr="00C50DFB">
        <w:rPr>
          <w:iCs/>
        </w:rPr>
        <w:t xml:space="preserve"> </w:t>
      </w:r>
      <w:r w:rsidRPr="00C50DFB">
        <w:t>further</w:t>
      </w:r>
    </w:p>
    <w:p w14:paraId="29233988" w14:textId="62F2FA8E" w:rsidR="00476035" w:rsidRPr="007F453D" w:rsidRDefault="00476035" w:rsidP="00476035">
      <w:pPr>
        <w:rPr>
          <w:rFonts w:eastAsia="SimSun"/>
          <w:i/>
          <w:iCs/>
        </w:rPr>
      </w:pPr>
      <w:r w:rsidRPr="00C50DFB">
        <w:rPr>
          <w:rFonts w:eastAsia="SimSun"/>
          <w:i/>
          <w:iCs/>
        </w:rPr>
        <w:t>a)</w:t>
      </w:r>
      <w:r w:rsidRPr="00C50DFB">
        <w:tab/>
      </w:r>
      <w:r w:rsidRPr="00C50DFB">
        <w:rPr>
          <w:rFonts w:eastAsia="SimSun"/>
        </w:rPr>
        <w:t xml:space="preserve">that the detailed specifications in Recommendations </w:t>
      </w:r>
      <w:r w:rsidRPr="00C50DFB">
        <w:rPr>
          <w:rStyle w:val="Hyperlink"/>
          <w:color w:val="auto"/>
          <w:u w:val="none"/>
        </w:rPr>
        <w:t xml:space="preserve">ITU-R </w:t>
      </w:r>
      <w:hyperlink r:id="rId21" w:history="1">
        <w:r w:rsidRPr="00C50DFB">
          <w:rPr>
            <w:rStyle w:val="Hyperlink"/>
            <w:color w:val="auto"/>
            <w:u w:val="none"/>
          </w:rPr>
          <w:t>M.1457</w:t>
        </w:r>
      </w:hyperlink>
      <w:r w:rsidRPr="00C50DFB">
        <w:rPr>
          <w:rFonts w:eastAsia="SimSun"/>
        </w:rPr>
        <w:t xml:space="preserve">, </w:t>
      </w:r>
      <w:hyperlink r:id="rId22" w:history="1">
        <w:r w:rsidR="00832E1A">
          <w:rPr>
            <w:rStyle w:val="Hyperlink"/>
            <w:color w:val="auto"/>
            <w:u w:val="none"/>
          </w:rPr>
          <w:t>ITU-R M</w:t>
        </w:r>
        <w:r w:rsidR="00832E1A" w:rsidRPr="007B5747">
          <w:rPr>
            <w:rStyle w:val="Hyperlink"/>
            <w:color w:val="auto"/>
            <w:u w:val="none"/>
          </w:rPr>
          <w:t>.2012</w:t>
        </w:r>
      </w:hyperlink>
      <w:r w:rsidRPr="00C50DFB">
        <w:rPr>
          <w:rFonts w:eastAsia="SimSun"/>
        </w:rPr>
        <w:t xml:space="preserve"> and </w:t>
      </w:r>
      <w:hyperlink r:id="rId23" w:history="1">
        <w:r w:rsidRPr="00C50DFB">
          <w:rPr>
            <w:rStyle w:val="Hyperlink"/>
            <w:color w:val="auto"/>
            <w:u w:val="none"/>
          </w:rPr>
          <w:t>ITU-R M.2150</w:t>
        </w:r>
      </w:hyperlink>
      <w:r w:rsidRPr="00C50DFB">
        <w:rPr>
          <w:rFonts w:eastAsia="SimSun"/>
        </w:rPr>
        <w:t xml:space="preserve"> might include technical details that could be interpreted as “frequency arrangements </w:t>
      </w:r>
      <w:r w:rsidRPr="007F453D">
        <w:rPr>
          <w:rFonts w:eastAsia="SimSun"/>
        </w:rPr>
        <w:t>for implementation of the terrestrial component of International Mobile Telecommunications”;</w:t>
      </w:r>
    </w:p>
    <w:p w14:paraId="4762DF89" w14:textId="77777777" w:rsidR="00476035" w:rsidRPr="007F453D" w:rsidRDefault="00476035" w:rsidP="00476035">
      <w:pPr>
        <w:suppressAutoHyphens/>
        <w:rPr>
          <w:rFonts w:eastAsia="SimSun"/>
          <w:i/>
          <w:iCs/>
        </w:rPr>
      </w:pPr>
      <w:r w:rsidRPr="007F453D">
        <w:rPr>
          <w:rFonts w:eastAsia="SimSun"/>
          <w:i/>
          <w:iCs/>
        </w:rPr>
        <w:t>b)</w:t>
      </w:r>
      <w:r w:rsidRPr="007F453D">
        <w:rPr>
          <w:rFonts w:eastAsia="SimSun"/>
          <w:i/>
          <w:iCs/>
        </w:rPr>
        <w:tab/>
      </w:r>
      <w:r w:rsidRPr="007F453D">
        <w:rPr>
          <w:rFonts w:eastAsia="SimSun"/>
        </w:rPr>
        <w:t xml:space="preserve">that technical details referred to in </w:t>
      </w:r>
      <w:r w:rsidRPr="007F453D">
        <w:rPr>
          <w:rFonts w:eastAsia="SimSun"/>
          <w:i/>
          <w:iCs/>
        </w:rPr>
        <w:t xml:space="preserve">noting further a) </w:t>
      </w:r>
      <w:r w:rsidRPr="007F453D">
        <w:rPr>
          <w:rFonts w:eastAsia="SimSun"/>
        </w:rPr>
        <w:t>above, are understood to be those necessary for “proper design and technical operation of the IMT system, and the establishment of minimum RF characteristics and minimum performance requirements”,</w:t>
      </w:r>
    </w:p>
    <w:p w14:paraId="37266F66" w14:textId="77777777" w:rsidR="00476035" w:rsidRPr="007F453D" w:rsidRDefault="00476035" w:rsidP="00476035">
      <w:pPr>
        <w:pStyle w:val="Call"/>
      </w:pPr>
      <w:r w:rsidRPr="007F453D">
        <w:t>recommends</w:t>
      </w:r>
    </w:p>
    <w:p w14:paraId="588C73B8" w14:textId="77777777" w:rsidR="00476035" w:rsidRDefault="00476035" w:rsidP="00476035">
      <w:r w:rsidRPr="007F453D">
        <w:t>that the frequency arrangements and implementations aspects contained in the Annex should be considered for the deployment of IMT in the bands identified for IMT in the RR.</w:t>
      </w:r>
    </w:p>
    <w:p w14:paraId="1F40479E" w14:textId="77777777" w:rsidR="00476035" w:rsidRDefault="00476035" w:rsidP="00476035"/>
    <w:p w14:paraId="00082FD9" w14:textId="77777777" w:rsidR="00476035" w:rsidRPr="007F453D" w:rsidRDefault="00476035" w:rsidP="00476035"/>
    <w:p w14:paraId="55205B31" w14:textId="77777777" w:rsidR="00476035" w:rsidRDefault="00476035" w:rsidP="00476035">
      <w:pPr>
        <w:tabs>
          <w:tab w:val="clear" w:pos="794"/>
          <w:tab w:val="clear" w:pos="1191"/>
          <w:tab w:val="clear" w:pos="1588"/>
          <w:tab w:val="clear" w:pos="1985"/>
        </w:tabs>
        <w:overflowPunct/>
        <w:autoSpaceDE/>
        <w:autoSpaceDN/>
        <w:adjustRightInd/>
        <w:spacing w:before="0"/>
        <w:jc w:val="left"/>
        <w:textAlignment w:val="auto"/>
        <w:rPr>
          <w:b/>
          <w:sz w:val="28"/>
        </w:rPr>
      </w:pPr>
      <w:r>
        <w:br w:type="page"/>
      </w:r>
    </w:p>
    <w:p w14:paraId="55574BF4" w14:textId="77777777" w:rsidR="00476035" w:rsidRDefault="00476035" w:rsidP="00476035">
      <w:pPr>
        <w:pStyle w:val="AnnexNoTitle"/>
        <w:rPr>
          <w:caps/>
        </w:rPr>
      </w:pPr>
      <w:bookmarkStart w:id="6" w:name="_Toc155106393"/>
      <w:bookmarkStart w:id="7" w:name="_Toc224135055"/>
      <w:r w:rsidRPr="007F453D">
        <w:lastRenderedPageBreak/>
        <w:t>Annex</w:t>
      </w:r>
      <w:r w:rsidRPr="007F453D">
        <w:br/>
      </w:r>
      <w:r w:rsidRPr="007F453D">
        <w:br/>
        <w:t xml:space="preserve">Implementation aspects and frequency arrangements applicable for </w:t>
      </w:r>
      <w:r w:rsidRPr="007F453D">
        <w:rPr>
          <w:caps/>
        </w:rPr>
        <w:t>IMT</w:t>
      </w:r>
      <w:bookmarkEnd w:id="6"/>
      <w:bookmarkEnd w:id="7"/>
    </w:p>
    <w:p w14:paraId="1109BF5D" w14:textId="77777777" w:rsidR="00476035" w:rsidRDefault="00476035" w:rsidP="00476035">
      <w:pPr>
        <w:pStyle w:val="Normalaftertitle"/>
        <w:jc w:val="center"/>
      </w:pPr>
      <w:r>
        <w:t>TABLE OF CONTENTS</w:t>
      </w:r>
    </w:p>
    <w:p w14:paraId="3DFEFF98" w14:textId="77777777" w:rsidR="00476035" w:rsidRDefault="00476035" w:rsidP="00476035">
      <w:pPr>
        <w:pStyle w:val="toc0"/>
        <w:jc w:val="right"/>
      </w:pPr>
      <w:r>
        <w:t>Page</w:t>
      </w:r>
    </w:p>
    <w:p w14:paraId="1A9EE807" w14:textId="751CC922" w:rsidR="00265F96" w:rsidRDefault="00476035" w:rsidP="00C26244">
      <w:pPr>
        <w:pStyle w:val="TOC1"/>
        <w:rPr>
          <w:rFonts w:asciiTheme="minorHAnsi" w:eastAsiaTheme="minorEastAsia" w:hAnsiTheme="minorHAnsi" w:cstheme="minorBidi"/>
          <w:noProof/>
          <w:kern w:val="2"/>
          <w:szCs w:val="24"/>
          <w:lang w:val="en-GB" w:eastAsia="en-GB"/>
          <w14:ligatures w14:val="standardContextual"/>
        </w:rPr>
      </w:pPr>
      <w:r>
        <w:fldChar w:fldCharType="begin"/>
      </w:r>
      <w:r>
        <w:instrText xml:space="preserve"> TOC \o "1-2" \h \z \u </w:instrText>
      </w:r>
      <w:r>
        <w:fldChar w:fldCharType="separate"/>
      </w:r>
      <w:hyperlink w:anchor="_Toc224135056" w:history="1">
        <w:r w:rsidR="00265F96" w:rsidRPr="00156C23">
          <w:rPr>
            <w:rStyle w:val="Hyperlink"/>
            <w:noProof/>
          </w:rPr>
          <w:t>SECTION 1</w:t>
        </w:r>
        <w:r w:rsidR="00265F96">
          <w:rPr>
            <w:rStyle w:val="Hyperlink"/>
            <w:noProof/>
          </w:rPr>
          <w:t xml:space="preserve"> – Implementation aspects applicable to the frequency arrangements</w:t>
        </w:r>
        <w:r w:rsidR="00265F96">
          <w:rPr>
            <w:noProof/>
            <w:webHidden/>
          </w:rPr>
          <w:tab/>
        </w:r>
        <w:r w:rsidR="00265F96">
          <w:rPr>
            <w:noProof/>
            <w:webHidden/>
          </w:rPr>
          <w:tab/>
        </w:r>
        <w:r w:rsidR="00265F96">
          <w:rPr>
            <w:noProof/>
            <w:webHidden/>
          </w:rPr>
          <w:fldChar w:fldCharType="begin"/>
        </w:r>
        <w:r w:rsidR="00265F96">
          <w:rPr>
            <w:noProof/>
            <w:webHidden/>
          </w:rPr>
          <w:instrText xml:space="preserve"> PAGEREF _Toc224135056 \h </w:instrText>
        </w:r>
        <w:r w:rsidR="00265F96">
          <w:rPr>
            <w:noProof/>
            <w:webHidden/>
          </w:rPr>
        </w:r>
        <w:r w:rsidR="00265F96">
          <w:rPr>
            <w:noProof/>
            <w:webHidden/>
          </w:rPr>
          <w:fldChar w:fldCharType="separate"/>
        </w:r>
        <w:r w:rsidR="00C42142">
          <w:rPr>
            <w:noProof/>
            <w:webHidden/>
          </w:rPr>
          <w:t>5</w:t>
        </w:r>
        <w:r w:rsidR="00265F96">
          <w:rPr>
            <w:noProof/>
            <w:webHidden/>
          </w:rPr>
          <w:fldChar w:fldCharType="end"/>
        </w:r>
      </w:hyperlink>
    </w:p>
    <w:p w14:paraId="4E3E83F2" w14:textId="23FE2B1A"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58" w:history="1">
        <w:r w:rsidRPr="00156C23">
          <w:rPr>
            <w:rStyle w:val="Hyperlink"/>
            <w:noProof/>
          </w:rPr>
          <w:t>SECTION 2</w:t>
        </w:r>
        <w:r>
          <w:rPr>
            <w:rStyle w:val="Hyperlink"/>
            <w:noProof/>
          </w:rPr>
          <w:t xml:space="preserve"> – Frequency arrangements in the band 450-470 MHz</w:t>
        </w:r>
        <w:r>
          <w:rPr>
            <w:noProof/>
            <w:webHidden/>
          </w:rPr>
          <w:tab/>
        </w:r>
        <w:r>
          <w:rPr>
            <w:noProof/>
            <w:webHidden/>
          </w:rPr>
          <w:tab/>
        </w:r>
        <w:r>
          <w:rPr>
            <w:noProof/>
            <w:webHidden/>
          </w:rPr>
          <w:fldChar w:fldCharType="begin"/>
        </w:r>
        <w:r>
          <w:rPr>
            <w:noProof/>
            <w:webHidden/>
          </w:rPr>
          <w:instrText xml:space="preserve"> PAGEREF _Toc224135058 \h </w:instrText>
        </w:r>
        <w:r>
          <w:rPr>
            <w:noProof/>
            <w:webHidden/>
          </w:rPr>
        </w:r>
        <w:r>
          <w:rPr>
            <w:noProof/>
            <w:webHidden/>
          </w:rPr>
          <w:fldChar w:fldCharType="separate"/>
        </w:r>
        <w:r w:rsidR="00C42142">
          <w:rPr>
            <w:noProof/>
            <w:webHidden/>
          </w:rPr>
          <w:t>8</w:t>
        </w:r>
        <w:r>
          <w:rPr>
            <w:noProof/>
            <w:webHidden/>
          </w:rPr>
          <w:fldChar w:fldCharType="end"/>
        </w:r>
      </w:hyperlink>
    </w:p>
    <w:p w14:paraId="1C11FFA5" w14:textId="65103F27"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60" w:history="1">
        <w:r w:rsidRPr="00156C23">
          <w:rPr>
            <w:rStyle w:val="Hyperlink"/>
            <w:noProof/>
          </w:rPr>
          <w:t>SECTION 3</w:t>
        </w:r>
        <w:r>
          <w:rPr>
            <w:rStyle w:val="Hyperlink"/>
            <w:noProof/>
          </w:rPr>
          <w:t xml:space="preserve"> – Frequency arrangements in the 470-960 MHz frequency range</w:t>
        </w:r>
        <w:r>
          <w:rPr>
            <w:noProof/>
            <w:webHidden/>
          </w:rPr>
          <w:tab/>
        </w:r>
        <w:r>
          <w:rPr>
            <w:noProof/>
            <w:webHidden/>
          </w:rPr>
          <w:tab/>
        </w:r>
        <w:r>
          <w:rPr>
            <w:noProof/>
            <w:webHidden/>
          </w:rPr>
          <w:fldChar w:fldCharType="begin"/>
        </w:r>
        <w:r>
          <w:rPr>
            <w:noProof/>
            <w:webHidden/>
          </w:rPr>
          <w:instrText xml:space="preserve"> PAGEREF _Toc224135060 \h </w:instrText>
        </w:r>
        <w:r>
          <w:rPr>
            <w:noProof/>
            <w:webHidden/>
          </w:rPr>
        </w:r>
        <w:r>
          <w:rPr>
            <w:noProof/>
            <w:webHidden/>
          </w:rPr>
          <w:fldChar w:fldCharType="separate"/>
        </w:r>
        <w:r w:rsidR="00C42142">
          <w:rPr>
            <w:noProof/>
            <w:webHidden/>
          </w:rPr>
          <w:t>9</w:t>
        </w:r>
        <w:r>
          <w:rPr>
            <w:noProof/>
            <w:webHidden/>
          </w:rPr>
          <w:fldChar w:fldCharType="end"/>
        </w:r>
      </w:hyperlink>
    </w:p>
    <w:p w14:paraId="1DE540E7" w14:textId="1439F4DA"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62" w:history="1">
        <w:r w:rsidRPr="00156C23">
          <w:rPr>
            <w:rStyle w:val="Hyperlink"/>
            <w:noProof/>
          </w:rPr>
          <w:t>SECTION 4</w:t>
        </w:r>
        <w:r>
          <w:rPr>
            <w:rStyle w:val="Hyperlink"/>
            <w:noProof/>
          </w:rPr>
          <w:t xml:space="preserve"> – Frequency arrangements in the band 1 427-1 518 MHz</w:t>
        </w:r>
        <w:r>
          <w:rPr>
            <w:noProof/>
            <w:webHidden/>
          </w:rPr>
          <w:tab/>
        </w:r>
        <w:r>
          <w:rPr>
            <w:noProof/>
            <w:webHidden/>
          </w:rPr>
          <w:tab/>
        </w:r>
        <w:r>
          <w:rPr>
            <w:noProof/>
            <w:webHidden/>
          </w:rPr>
          <w:fldChar w:fldCharType="begin"/>
        </w:r>
        <w:r>
          <w:rPr>
            <w:noProof/>
            <w:webHidden/>
          </w:rPr>
          <w:instrText xml:space="preserve"> PAGEREF _Toc224135062 \h </w:instrText>
        </w:r>
        <w:r>
          <w:rPr>
            <w:noProof/>
            <w:webHidden/>
          </w:rPr>
        </w:r>
        <w:r>
          <w:rPr>
            <w:noProof/>
            <w:webHidden/>
          </w:rPr>
          <w:fldChar w:fldCharType="separate"/>
        </w:r>
        <w:r w:rsidR="00C42142">
          <w:rPr>
            <w:noProof/>
            <w:webHidden/>
          </w:rPr>
          <w:t>12</w:t>
        </w:r>
        <w:r>
          <w:rPr>
            <w:noProof/>
            <w:webHidden/>
          </w:rPr>
          <w:fldChar w:fldCharType="end"/>
        </w:r>
      </w:hyperlink>
    </w:p>
    <w:p w14:paraId="7CDC06FA" w14:textId="70F1C759"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64" w:history="1">
        <w:r w:rsidRPr="00156C23">
          <w:rPr>
            <w:rStyle w:val="Hyperlink"/>
            <w:noProof/>
          </w:rPr>
          <w:t>SECTION 5</w:t>
        </w:r>
        <w:r>
          <w:rPr>
            <w:rStyle w:val="Hyperlink"/>
            <w:noProof/>
          </w:rPr>
          <w:t xml:space="preserve"> – Frequency arrangements in the band 1 710-2 200 MHz</w:t>
        </w:r>
        <w:r>
          <w:rPr>
            <w:noProof/>
            <w:webHidden/>
          </w:rPr>
          <w:tab/>
        </w:r>
        <w:r>
          <w:rPr>
            <w:noProof/>
            <w:webHidden/>
          </w:rPr>
          <w:tab/>
        </w:r>
        <w:r>
          <w:rPr>
            <w:noProof/>
            <w:webHidden/>
          </w:rPr>
          <w:fldChar w:fldCharType="begin"/>
        </w:r>
        <w:r>
          <w:rPr>
            <w:noProof/>
            <w:webHidden/>
          </w:rPr>
          <w:instrText xml:space="preserve"> PAGEREF _Toc224135064 \h </w:instrText>
        </w:r>
        <w:r>
          <w:rPr>
            <w:noProof/>
            <w:webHidden/>
          </w:rPr>
        </w:r>
        <w:r>
          <w:rPr>
            <w:noProof/>
            <w:webHidden/>
          </w:rPr>
          <w:fldChar w:fldCharType="separate"/>
        </w:r>
        <w:r w:rsidR="00C42142">
          <w:rPr>
            <w:noProof/>
            <w:webHidden/>
          </w:rPr>
          <w:t>13</w:t>
        </w:r>
        <w:r>
          <w:rPr>
            <w:noProof/>
            <w:webHidden/>
          </w:rPr>
          <w:fldChar w:fldCharType="end"/>
        </w:r>
      </w:hyperlink>
    </w:p>
    <w:p w14:paraId="6DAEA3C0" w14:textId="7FF25C12"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66" w:history="1">
        <w:r w:rsidRPr="00156C23">
          <w:rPr>
            <w:rStyle w:val="Hyperlink"/>
            <w:noProof/>
          </w:rPr>
          <w:t>SECTION 6</w:t>
        </w:r>
        <w:r>
          <w:rPr>
            <w:rStyle w:val="Hyperlink"/>
            <w:noProof/>
          </w:rPr>
          <w:t xml:space="preserve"> – Frequency arrangements in the band 2 300-2 400 MHz</w:t>
        </w:r>
        <w:r>
          <w:rPr>
            <w:noProof/>
            <w:webHidden/>
          </w:rPr>
          <w:tab/>
        </w:r>
        <w:r>
          <w:rPr>
            <w:noProof/>
            <w:webHidden/>
          </w:rPr>
          <w:tab/>
        </w:r>
        <w:r>
          <w:rPr>
            <w:noProof/>
            <w:webHidden/>
          </w:rPr>
          <w:fldChar w:fldCharType="begin"/>
        </w:r>
        <w:r>
          <w:rPr>
            <w:noProof/>
            <w:webHidden/>
          </w:rPr>
          <w:instrText xml:space="preserve"> PAGEREF _Toc224135066 \h </w:instrText>
        </w:r>
        <w:r>
          <w:rPr>
            <w:noProof/>
            <w:webHidden/>
          </w:rPr>
        </w:r>
        <w:r>
          <w:rPr>
            <w:noProof/>
            <w:webHidden/>
          </w:rPr>
          <w:fldChar w:fldCharType="separate"/>
        </w:r>
        <w:r w:rsidR="00C42142">
          <w:rPr>
            <w:noProof/>
            <w:webHidden/>
          </w:rPr>
          <w:t>15</w:t>
        </w:r>
        <w:r>
          <w:rPr>
            <w:noProof/>
            <w:webHidden/>
          </w:rPr>
          <w:fldChar w:fldCharType="end"/>
        </w:r>
      </w:hyperlink>
    </w:p>
    <w:p w14:paraId="555616DE" w14:textId="4CEC406C"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68" w:history="1">
        <w:r w:rsidRPr="00156C23">
          <w:rPr>
            <w:rStyle w:val="Hyperlink"/>
            <w:noProof/>
          </w:rPr>
          <w:t>SECTION 7</w:t>
        </w:r>
        <w:r>
          <w:rPr>
            <w:rStyle w:val="Hyperlink"/>
            <w:noProof/>
          </w:rPr>
          <w:t xml:space="preserve"> – Frequency arrangements in the band 2 500-2 690 MHz</w:t>
        </w:r>
        <w:r>
          <w:rPr>
            <w:noProof/>
            <w:webHidden/>
          </w:rPr>
          <w:tab/>
        </w:r>
        <w:r>
          <w:rPr>
            <w:noProof/>
            <w:webHidden/>
          </w:rPr>
          <w:tab/>
        </w:r>
        <w:r>
          <w:rPr>
            <w:noProof/>
            <w:webHidden/>
          </w:rPr>
          <w:fldChar w:fldCharType="begin"/>
        </w:r>
        <w:r>
          <w:rPr>
            <w:noProof/>
            <w:webHidden/>
          </w:rPr>
          <w:instrText xml:space="preserve"> PAGEREF _Toc224135068 \h </w:instrText>
        </w:r>
        <w:r>
          <w:rPr>
            <w:noProof/>
            <w:webHidden/>
          </w:rPr>
        </w:r>
        <w:r>
          <w:rPr>
            <w:noProof/>
            <w:webHidden/>
          </w:rPr>
          <w:fldChar w:fldCharType="separate"/>
        </w:r>
        <w:r w:rsidR="00C42142">
          <w:rPr>
            <w:noProof/>
            <w:webHidden/>
          </w:rPr>
          <w:t>16</w:t>
        </w:r>
        <w:r>
          <w:rPr>
            <w:noProof/>
            <w:webHidden/>
          </w:rPr>
          <w:fldChar w:fldCharType="end"/>
        </w:r>
      </w:hyperlink>
    </w:p>
    <w:p w14:paraId="4E1542F7" w14:textId="5303E2D8"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70" w:history="1">
        <w:r w:rsidRPr="00156C23">
          <w:rPr>
            <w:rStyle w:val="Hyperlink"/>
            <w:noProof/>
          </w:rPr>
          <w:t>SECTION 8</w:t>
        </w:r>
        <w:r>
          <w:rPr>
            <w:rStyle w:val="Hyperlink"/>
            <w:noProof/>
          </w:rPr>
          <w:t xml:space="preserve"> – Frequency arrangements in the 3 300-3 800 MHz frequncy range</w:t>
        </w:r>
        <w:r>
          <w:rPr>
            <w:noProof/>
            <w:webHidden/>
          </w:rPr>
          <w:tab/>
        </w:r>
        <w:r>
          <w:rPr>
            <w:noProof/>
            <w:webHidden/>
          </w:rPr>
          <w:tab/>
        </w:r>
        <w:r>
          <w:rPr>
            <w:noProof/>
            <w:webHidden/>
          </w:rPr>
          <w:fldChar w:fldCharType="begin"/>
        </w:r>
        <w:r>
          <w:rPr>
            <w:noProof/>
            <w:webHidden/>
          </w:rPr>
          <w:instrText xml:space="preserve"> PAGEREF _Toc224135070 \h </w:instrText>
        </w:r>
        <w:r>
          <w:rPr>
            <w:noProof/>
            <w:webHidden/>
          </w:rPr>
        </w:r>
        <w:r>
          <w:rPr>
            <w:noProof/>
            <w:webHidden/>
          </w:rPr>
          <w:fldChar w:fldCharType="separate"/>
        </w:r>
        <w:r w:rsidR="00C42142">
          <w:rPr>
            <w:noProof/>
            <w:webHidden/>
          </w:rPr>
          <w:t>17</w:t>
        </w:r>
        <w:r>
          <w:rPr>
            <w:noProof/>
            <w:webHidden/>
          </w:rPr>
          <w:fldChar w:fldCharType="end"/>
        </w:r>
      </w:hyperlink>
    </w:p>
    <w:p w14:paraId="250804B7" w14:textId="5AB3D2C2"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72" w:history="1">
        <w:r w:rsidRPr="00156C23">
          <w:rPr>
            <w:rStyle w:val="Hyperlink"/>
            <w:noProof/>
          </w:rPr>
          <w:t>SECTION 9</w:t>
        </w:r>
        <w:r>
          <w:rPr>
            <w:rStyle w:val="Hyperlink"/>
            <w:noProof/>
          </w:rPr>
          <w:t xml:space="preserve"> – Frequency arrangements in the band 4 800-4 900 MHz</w:t>
        </w:r>
        <w:r>
          <w:rPr>
            <w:noProof/>
            <w:webHidden/>
          </w:rPr>
          <w:tab/>
        </w:r>
        <w:r>
          <w:rPr>
            <w:noProof/>
            <w:webHidden/>
          </w:rPr>
          <w:tab/>
        </w:r>
        <w:r>
          <w:rPr>
            <w:noProof/>
            <w:webHidden/>
          </w:rPr>
          <w:fldChar w:fldCharType="begin"/>
        </w:r>
        <w:r>
          <w:rPr>
            <w:noProof/>
            <w:webHidden/>
          </w:rPr>
          <w:instrText xml:space="preserve"> PAGEREF _Toc224135072 \h </w:instrText>
        </w:r>
        <w:r>
          <w:rPr>
            <w:noProof/>
            <w:webHidden/>
          </w:rPr>
        </w:r>
        <w:r>
          <w:rPr>
            <w:noProof/>
            <w:webHidden/>
          </w:rPr>
          <w:fldChar w:fldCharType="separate"/>
        </w:r>
        <w:r w:rsidR="00C42142">
          <w:rPr>
            <w:noProof/>
            <w:webHidden/>
          </w:rPr>
          <w:t>18</w:t>
        </w:r>
        <w:r>
          <w:rPr>
            <w:noProof/>
            <w:webHidden/>
          </w:rPr>
          <w:fldChar w:fldCharType="end"/>
        </w:r>
      </w:hyperlink>
    </w:p>
    <w:p w14:paraId="6CFED1BA" w14:textId="5B5E9E89"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74" w:history="1">
        <w:r w:rsidRPr="00156C23">
          <w:rPr>
            <w:rStyle w:val="Hyperlink"/>
            <w:noProof/>
            <w:lang w:eastAsia="zh-CN"/>
          </w:rPr>
          <w:t>SECTION 10</w:t>
        </w:r>
        <w:r>
          <w:rPr>
            <w:rStyle w:val="Hyperlink"/>
            <w:noProof/>
            <w:lang w:eastAsia="zh-CN"/>
          </w:rPr>
          <w:t xml:space="preserve"> – Frequency arrangements in the 6 425-7 125 MHz frequency range</w:t>
        </w:r>
        <w:r>
          <w:rPr>
            <w:noProof/>
            <w:webHidden/>
          </w:rPr>
          <w:tab/>
        </w:r>
        <w:r>
          <w:rPr>
            <w:noProof/>
            <w:webHidden/>
          </w:rPr>
          <w:tab/>
        </w:r>
        <w:r>
          <w:rPr>
            <w:noProof/>
            <w:webHidden/>
          </w:rPr>
          <w:fldChar w:fldCharType="begin"/>
        </w:r>
        <w:r>
          <w:rPr>
            <w:noProof/>
            <w:webHidden/>
          </w:rPr>
          <w:instrText xml:space="preserve"> PAGEREF _Toc224135074 \h </w:instrText>
        </w:r>
        <w:r>
          <w:rPr>
            <w:noProof/>
            <w:webHidden/>
          </w:rPr>
        </w:r>
        <w:r>
          <w:rPr>
            <w:noProof/>
            <w:webHidden/>
          </w:rPr>
          <w:fldChar w:fldCharType="separate"/>
        </w:r>
        <w:r w:rsidR="00C42142">
          <w:rPr>
            <w:noProof/>
            <w:webHidden/>
          </w:rPr>
          <w:t>19</w:t>
        </w:r>
        <w:r>
          <w:rPr>
            <w:noProof/>
            <w:webHidden/>
          </w:rPr>
          <w:fldChar w:fldCharType="end"/>
        </w:r>
      </w:hyperlink>
    </w:p>
    <w:p w14:paraId="2ACD9883" w14:textId="6413636C"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76" w:history="1">
        <w:r w:rsidRPr="00156C23">
          <w:rPr>
            <w:rStyle w:val="Hyperlink"/>
            <w:noProof/>
            <w:lang w:eastAsia="zh-CN"/>
          </w:rPr>
          <w:t>SECTION 11</w:t>
        </w:r>
        <w:r>
          <w:rPr>
            <w:rStyle w:val="Hyperlink"/>
            <w:noProof/>
            <w:lang w:eastAsia="zh-CN"/>
          </w:rPr>
          <w:t xml:space="preserve"> – Frequency arrangements in the 10-10.5 GHz frequency range</w:t>
        </w:r>
        <w:r>
          <w:rPr>
            <w:noProof/>
            <w:webHidden/>
          </w:rPr>
          <w:tab/>
        </w:r>
        <w:r>
          <w:rPr>
            <w:noProof/>
            <w:webHidden/>
          </w:rPr>
          <w:tab/>
        </w:r>
        <w:r>
          <w:rPr>
            <w:noProof/>
            <w:webHidden/>
          </w:rPr>
          <w:fldChar w:fldCharType="begin"/>
        </w:r>
        <w:r>
          <w:rPr>
            <w:noProof/>
            <w:webHidden/>
          </w:rPr>
          <w:instrText xml:space="preserve"> PAGEREF _Toc224135076 \h </w:instrText>
        </w:r>
        <w:r>
          <w:rPr>
            <w:noProof/>
            <w:webHidden/>
          </w:rPr>
        </w:r>
        <w:r>
          <w:rPr>
            <w:noProof/>
            <w:webHidden/>
          </w:rPr>
          <w:fldChar w:fldCharType="separate"/>
        </w:r>
        <w:r w:rsidR="00C42142">
          <w:rPr>
            <w:noProof/>
            <w:webHidden/>
          </w:rPr>
          <w:t>20</w:t>
        </w:r>
        <w:r>
          <w:rPr>
            <w:noProof/>
            <w:webHidden/>
          </w:rPr>
          <w:fldChar w:fldCharType="end"/>
        </w:r>
      </w:hyperlink>
    </w:p>
    <w:p w14:paraId="12DF0B02" w14:textId="0478481F"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78" w:history="1">
        <w:r w:rsidRPr="00156C23">
          <w:rPr>
            <w:rStyle w:val="Hyperlink"/>
            <w:noProof/>
          </w:rPr>
          <w:t>SECTION 12</w:t>
        </w:r>
        <w:r>
          <w:rPr>
            <w:rStyle w:val="Hyperlink"/>
            <w:noProof/>
          </w:rPr>
          <w:t xml:space="preserve"> – Frequency arrangements in the band 24.25-27.5 GHz</w:t>
        </w:r>
        <w:r>
          <w:rPr>
            <w:noProof/>
            <w:webHidden/>
          </w:rPr>
          <w:tab/>
        </w:r>
        <w:r>
          <w:rPr>
            <w:noProof/>
            <w:webHidden/>
          </w:rPr>
          <w:tab/>
        </w:r>
        <w:r>
          <w:rPr>
            <w:noProof/>
            <w:webHidden/>
          </w:rPr>
          <w:fldChar w:fldCharType="begin"/>
        </w:r>
        <w:r>
          <w:rPr>
            <w:noProof/>
            <w:webHidden/>
          </w:rPr>
          <w:instrText xml:space="preserve"> PAGEREF _Toc224135078 \h </w:instrText>
        </w:r>
        <w:r>
          <w:rPr>
            <w:noProof/>
            <w:webHidden/>
          </w:rPr>
        </w:r>
        <w:r>
          <w:rPr>
            <w:noProof/>
            <w:webHidden/>
          </w:rPr>
          <w:fldChar w:fldCharType="separate"/>
        </w:r>
        <w:r w:rsidR="00C42142">
          <w:rPr>
            <w:noProof/>
            <w:webHidden/>
          </w:rPr>
          <w:t>21</w:t>
        </w:r>
        <w:r>
          <w:rPr>
            <w:noProof/>
            <w:webHidden/>
          </w:rPr>
          <w:fldChar w:fldCharType="end"/>
        </w:r>
      </w:hyperlink>
    </w:p>
    <w:p w14:paraId="115679AC" w14:textId="0AD107D4"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0" w:history="1">
        <w:r w:rsidRPr="00156C23">
          <w:rPr>
            <w:rStyle w:val="Hyperlink"/>
            <w:noProof/>
          </w:rPr>
          <w:t>SECTION 13</w:t>
        </w:r>
        <w:r>
          <w:rPr>
            <w:rStyle w:val="Hyperlink"/>
            <w:noProof/>
          </w:rPr>
          <w:t xml:space="preserve"> – Frequency arrangements in the band 37-43.5 GHz</w:t>
        </w:r>
        <w:r>
          <w:rPr>
            <w:noProof/>
            <w:webHidden/>
          </w:rPr>
          <w:tab/>
        </w:r>
        <w:r>
          <w:rPr>
            <w:noProof/>
            <w:webHidden/>
          </w:rPr>
          <w:tab/>
        </w:r>
        <w:r>
          <w:rPr>
            <w:noProof/>
            <w:webHidden/>
          </w:rPr>
          <w:fldChar w:fldCharType="begin"/>
        </w:r>
        <w:r>
          <w:rPr>
            <w:noProof/>
            <w:webHidden/>
          </w:rPr>
          <w:instrText xml:space="preserve"> PAGEREF _Toc224135080 \h </w:instrText>
        </w:r>
        <w:r>
          <w:rPr>
            <w:noProof/>
            <w:webHidden/>
          </w:rPr>
        </w:r>
        <w:r>
          <w:rPr>
            <w:noProof/>
            <w:webHidden/>
          </w:rPr>
          <w:fldChar w:fldCharType="separate"/>
        </w:r>
        <w:r w:rsidR="00C42142">
          <w:rPr>
            <w:noProof/>
            <w:webHidden/>
          </w:rPr>
          <w:t>22</w:t>
        </w:r>
        <w:r>
          <w:rPr>
            <w:noProof/>
            <w:webHidden/>
          </w:rPr>
          <w:fldChar w:fldCharType="end"/>
        </w:r>
      </w:hyperlink>
    </w:p>
    <w:p w14:paraId="6C4FA306" w14:textId="1CBCF1D2"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2" w:history="1">
        <w:r w:rsidRPr="00156C23">
          <w:rPr>
            <w:rStyle w:val="Hyperlink"/>
            <w:noProof/>
          </w:rPr>
          <w:t>SECTION 14</w:t>
        </w:r>
        <w:r>
          <w:rPr>
            <w:rStyle w:val="Hyperlink"/>
            <w:noProof/>
          </w:rPr>
          <w:t xml:space="preserve"> – Frequency arrangements in the band 45.5-47 GHz</w:t>
        </w:r>
        <w:r>
          <w:rPr>
            <w:noProof/>
            <w:webHidden/>
          </w:rPr>
          <w:tab/>
        </w:r>
        <w:r>
          <w:rPr>
            <w:noProof/>
            <w:webHidden/>
          </w:rPr>
          <w:tab/>
        </w:r>
        <w:r>
          <w:rPr>
            <w:noProof/>
            <w:webHidden/>
          </w:rPr>
          <w:fldChar w:fldCharType="begin"/>
        </w:r>
        <w:r>
          <w:rPr>
            <w:noProof/>
            <w:webHidden/>
          </w:rPr>
          <w:instrText xml:space="preserve"> PAGEREF _Toc224135082 \h </w:instrText>
        </w:r>
        <w:r>
          <w:rPr>
            <w:noProof/>
            <w:webHidden/>
          </w:rPr>
        </w:r>
        <w:r>
          <w:rPr>
            <w:noProof/>
            <w:webHidden/>
          </w:rPr>
          <w:fldChar w:fldCharType="separate"/>
        </w:r>
        <w:r w:rsidR="00C42142">
          <w:rPr>
            <w:noProof/>
            <w:webHidden/>
          </w:rPr>
          <w:t>23</w:t>
        </w:r>
        <w:r>
          <w:rPr>
            <w:noProof/>
            <w:webHidden/>
          </w:rPr>
          <w:fldChar w:fldCharType="end"/>
        </w:r>
      </w:hyperlink>
    </w:p>
    <w:p w14:paraId="70A5FBBB" w14:textId="6681E180"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4" w:history="1">
        <w:r w:rsidRPr="00156C23">
          <w:rPr>
            <w:rStyle w:val="Hyperlink"/>
            <w:noProof/>
          </w:rPr>
          <w:t>SECTION 15</w:t>
        </w:r>
        <w:r>
          <w:rPr>
            <w:rStyle w:val="Hyperlink"/>
            <w:noProof/>
          </w:rPr>
          <w:t xml:space="preserve"> – Frequency arrangements in the band 47.2-48.2 GHz</w:t>
        </w:r>
        <w:r>
          <w:rPr>
            <w:noProof/>
            <w:webHidden/>
          </w:rPr>
          <w:tab/>
        </w:r>
        <w:r>
          <w:rPr>
            <w:noProof/>
            <w:webHidden/>
          </w:rPr>
          <w:tab/>
        </w:r>
        <w:r>
          <w:rPr>
            <w:noProof/>
            <w:webHidden/>
          </w:rPr>
          <w:fldChar w:fldCharType="begin"/>
        </w:r>
        <w:r>
          <w:rPr>
            <w:noProof/>
            <w:webHidden/>
          </w:rPr>
          <w:instrText xml:space="preserve"> PAGEREF _Toc224135084 \h </w:instrText>
        </w:r>
        <w:r>
          <w:rPr>
            <w:noProof/>
            <w:webHidden/>
          </w:rPr>
        </w:r>
        <w:r>
          <w:rPr>
            <w:noProof/>
            <w:webHidden/>
          </w:rPr>
          <w:fldChar w:fldCharType="separate"/>
        </w:r>
        <w:r w:rsidR="00C42142">
          <w:rPr>
            <w:noProof/>
            <w:webHidden/>
          </w:rPr>
          <w:t>24</w:t>
        </w:r>
        <w:r>
          <w:rPr>
            <w:noProof/>
            <w:webHidden/>
          </w:rPr>
          <w:fldChar w:fldCharType="end"/>
        </w:r>
      </w:hyperlink>
    </w:p>
    <w:p w14:paraId="4E90134A" w14:textId="79FCD2FC"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6" w:history="1">
        <w:r w:rsidRPr="00156C23">
          <w:rPr>
            <w:rStyle w:val="Hyperlink"/>
            <w:noProof/>
          </w:rPr>
          <w:t>SECTION 16</w:t>
        </w:r>
        <w:r>
          <w:rPr>
            <w:rStyle w:val="Hyperlink"/>
            <w:noProof/>
          </w:rPr>
          <w:t xml:space="preserve"> – Frequency arrangements in the band 66-71 GHz</w:t>
        </w:r>
        <w:r>
          <w:rPr>
            <w:noProof/>
            <w:webHidden/>
          </w:rPr>
          <w:tab/>
        </w:r>
        <w:r>
          <w:rPr>
            <w:noProof/>
            <w:webHidden/>
          </w:rPr>
          <w:tab/>
        </w:r>
        <w:r>
          <w:rPr>
            <w:noProof/>
            <w:webHidden/>
          </w:rPr>
          <w:fldChar w:fldCharType="begin"/>
        </w:r>
        <w:r>
          <w:rPr>
            <w:noProof/>
            <w:webHidden/>
          </w:rPr>
          <w:instrText xml:space="preserve"> PAGEREF _Toc224135086 \h </w:instrText>
        </w:r>
        <w:r>
          <w:rPr>
            <w:noProof/>
            <w:webHidden/>
          </w:rPr>
        </w:r>
        <w:r>
          <w:rPr>
            <w:noProof/>
            <w:webHidden/>
          </w:rPr>
          <w:fldChar w:fldCharType="separate"/>
        </w:r>
        <w:r w:rsidR="00C42142">
          <w:rPr>
            <w:noProof/>
            <w:webHidden/>
          </w:rPr>
          <w:t>25</w:t>
        </w:r>
        <w:r>
          <w:rPr>
            <w:noProof/>
            <w:webHidden/>
          </w:rPr>
          <w:fldChar w:fldCharType="end"/>
        </w:r>
      </w:hyperlink>
    </w:p>
    <w:p w14:paraId="3CDCAC25" w14:textId="1EA4D821"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8" w:history="1">
        <w:r w:rsidRPr="00156C23">
          <w:rPr>
            <w:rStyle w:val="Hyperlink"/>
            <w:noProof/>
          </w:rPr>
          <w:t>Attachment 1 to the Annex</w:t>
        </w:r>
        <w:r>
          <w:rPr>
            <w:noProof/>
            <w:webHidden/>
          </w:rPr>
          <w:tab/>
        </w:r>
        <w:r>
          <w:rPr>
            <w:noProof/>
            <w:webHidden/>
          </w:rPr>
          <w:tab/>
        </w:r>
        <w:r>
          <w:rPr>
            <w:noProof/>
            <w:webHidden/>
          </w:rPr>
          <w:fldChar w:fldCharType="begin"/>
        </w:r>
        <w:r>
          <w:rPr>
            <w:noProof/>
            <w:webHidden/>
          </w:rPr>
          <w:instrText xml:space="preserve"> PAGEREF _Toc224135088 \h </w:instrText>
        </w:r>
        <w:r>
          <w:rPr>
            <w:noProof/>
            <w:webHidden/>
          </w:rPr>
        </w:r>
        <w:r>
          <w:rPr>
            <w:noProof/>
            <w:webHidden/>
          </w:rPr>
          <w:fldChar w:fldCharType="separate"/>
        </w:r>
        <w:r w:rsidR="00C42142">
          <w:rPr>
            <w:noProof/>
            <w:webHidden/>
          </w:rPr>
          <w:t>26</w:t>
        </w:r>
        <w:r>
          <w:rPr>
            <w:noProof/>
            <w:webHidden/>
          </w:rPr>
          <w:fldChar w:fldCharType="end"/>
        </w:r>
      </w:hyperlink>
    </w:p>
    <w:p w14:paraId="78C4D25E" w14:textId="79BD31F8"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89" w:history="1">
        <w:r w:rsidRPr="00156C23">
          <w:rPr>
            <w:rStyle w:val="Hyperlink"/>
            <w:noProof/>
          </w:rPr>
          <w:t>Attachment 2 to the Annex  Vocabulary of terms</w:t>
        </w:r>
        <w:r>
          <w:rPr>
            <w:noProof/>
            <w:webHidden/>
          </w:rPr>
          <w:tab/>
        </w:r>
        <w:r>
          <w:rPr>
            <w:noProof/>
            <w:webHidden/>
          </w:rPr>
          <w:tab/>
        </w:r>
        <w:r>
          <w:rPr>
            <w:noProof/>
            <w:webHidden/>
          </w:rPr>
          <w:fldChar w:fldCharType="begin"/>
        </w:r>
        <w:r>
          <w:rPr>
            <w:noProof/>
            <w:webHidden/>
          </w:rPr>
          <w:instrText xml:space="preserve"> PAGEREF _Toc224135089 \h </w:instrText>
        </w:r>
        <w:r>
          <w:rPr>
            <w:noProof/>
            <w:webHidden/>
          </w:rPr>
        </w:r>
        <w:r>
          <w:rPr>
            <w:noProof/>
            <w:webHidden/>
          </w:rPr>
          <w:fldChar w:fldCharType="separate"/>
        </w:r>
        <w:r w:rsidR="00C42142">
          <w:rPr>
            <w:noProof/>
            <w:webHidden/>
          </w:rPr>
          <w:t>27</w:t>
        </w:r>
        <w:r>
          <w:rPr>
            <w:noProof/>
            <w:webHidden/>
          </w:rPr>
          <w:fldChar w:fldCharType="end"/>
        </w:r>
      </w:hyperlink>
    </w:p>
    <w:p w14:paraId="31C75291" w14:textId="3E96C3C1" w:rsidR="00265F96" w:rsidRDefault="00265F96">
      <w:pPr>
        <w:pStyle w:val="TOC1"/>
        <w:rPr>
          <w:rFonts w:asciiTheme="minorHAnsi" w:eastAsiaTheme="minorEastAsia" w:hAnsiTheme="minorHAnsi" w:cstheme="minorBidi"/>
          <w:noProof/>
          <w:kern w:val="2"/>
          <w:szCs w:val="24"/>
          <w:lang w:val="en-GB" w:eastAsia="en-GB"/>
          <w14:ligatures w14:val="standardContextual"/>
        </w:rPr>
      </w:pPr>
      <w:hyperlink w:anchor="_Toc224135090" w:history="1">
        <w:r w:rsidRPr="00156C23">
          <w:rPr>
            <w:rStyle w:val="Hyperlink"/>
            <w:noProof/>
          </w:rPr>
          <w:t>Attachment 3 to the Annex  Related Recommendations and Reports</w:t>
        </w:r>
        <w:r>
          <w:rPr>
            <w:noProof/>
            <w:webHidden/>
          </w:rPr>
          <w:tab/>
        </w:r>
        <w:r>
          <w:rPr>
            <w:noProof/>
            <w:webHidden/>
          </w:rPr>
          <w:tab/>
        </w:r>
        <w:r>
          <w:rPr>
            <w:noProof/>
            <w:webHidden/>
          </w:rPr>
          <w:fldChar w:fldCharType="begin"/>
        </w:r>
        <w:r>
          <w:rPr>
            <w:noProof/>
            <w:webHidden/>
          </w:rPr>
          <w:instrText xml:space="preserve"> PAGEREF _Toc224135090 \h </w:instrText>
        </w:r>
        <w:r>
          <w:rPr>
            <w:noProof/>
            <w:webHidden/>
          </w:rPr>
        </w:r>
        <w:r>
          <w:rPr>
            <w:noProof/>
            <w:webHidden/>
          </w:rPr>
          <w:fldChar w:fldCharType="separate"/>
        </w:r>
        <w:r w:rsidR="00C42142">
          <w:rPr>
            <w:noProof/>
            <w:webHidden/>
          </w:rPr>
          <w:t>27</w:t>
        </w:r>
        <w:r>
          <w:rPr>
            <w:noProof/>
            <w:webHidden/>
          </w:rPr>
          <w:fldChar w:fldCharType="end"/>
        </w:r>
      </w:hyperlink>
    </w:p>
    <w:p w14:paraId="1F01EEF5" w14:textId="46B7463D" w:rsidR="00476035" w:rsidRPr="005B03A7" w:rsidRDefault="00476035" w:rsidP="00476035">
      <w:r>
        <w:fldChar w:fldCharType="end"/>
      </w:r>
    </w:p>
    <w:p w14:paraId="28390040" w14:textId="77777777" w:rsidR="00476035" w:rsidRDefault="00476035" w:rsidP="00476035">
      <w:pPr>
        <w:tabs>
          <w:tab w:val="clear" w:pos="794"/>
          <w:tab w:val="clear" w:pos="1191"/>
          <w:tab w:val="clear" w:pos="1588"/>
          <w:tab w:val="clear" w:pos="1985"/>
        </w:tabs>
        <w:overflowPunct/>
        <w:autoSpaceDE/>
        <w:autoSpaceDN/>
        <w:adjustRightInd/>
        <w:spacing w:before="0"/>
        <w:jc w:val="left"/>
        <w:textAlignment w:val="auto"/>
        <w:rPr>
          <w:sz w:val="28"/>
          <w:szCs w:val="28"/>
        </w:rPr>
      </w:pPr>
      <w:r>
        <w:rPr>
          <w:sz w:val="28"/>
          <w:szCs w:val="28"/>
        </w:rPr>
        <w:br w:type="page"/>
      </w:r>
    </w:p>
    <w:p w14:paraId="2DCB6986" w14:textId="77777777" w:rsidR="00476035" w:rsidRPr="00C50DFB" w:rsidRDefault="00476035" w:rsidP="00476035">
      <w:pPr>
        <w:pStyle w:val="StyleSectionNo14ptCenteredBefore24pt"/>
      </w:pPr>
      <w:bookmarkStart w:id="8" w:name="_Toc224135056"/>
      <w:r w:rsidRPr="00C50DFB">
        <w:lastRenderedPageBreak/>
        <w:t>SECTION 1</w:t>
      </w:r>
      <w:bookmarkEnd w:id="8"/>
    </w:p>
    <w:p w14:paraId="6F9BFE16" w14:textId="77777777" w:rsidR="00476035" w:rsidRPr="007F453D" w:rsidRDefault="00476035" w:rsidP="00476035">
      <w:pPr>
        <w:pStyle w:val="Sectiontitle"/>
        <w:rPr>
          <w:lang w:eastAsia="zh-CN"/>
        </w:rPr>
      </w:pPr>
      <w:bookmarkStart w:id="9" w:name="_Toc224135057"/>
      <w:r w:rsidRPr="007F453D">
        <w:t>Implementation aspects applicable to the frequency arrangements</w:t>
      </w:r>
      <w:bookmarkEnd w:id="9"/>
      <w:r w:rsidRPr="007F453D">
        <w:t xml:space="preserve"> </w:t>
      </w:r>
    </w:p>
    <w:p w14:paraId="4E6F8BFA" w14:textId="77777777" w:rsidR="00476035" w:rsidRPr="007F453D" w:rsidRDefault="00476035" w:rsidP="00476035">
      <w:pPr>
        <w:pStyle w:val="Normalaftertitle"/>
        <w:rPr>
          <w:i/>
        </w:rPr>
      </w:pPr>
      <w:r w:rsidRPr="007F453D">
        <w:t>Frequency arrangements in the sections below should be considered as harmonized arrangements</w:t>
      </w:r>
      <w:r w:rsidRPr="007F453D">
        <w:rPr>
          <w:rFonts w:eastAsia="SimSun"/>
        </w:rPr>
        <w:t xml:space="preserve"> for implementation and deployment of the terrestrial component of International Mobile Telecommunications</w:t>
      </w:r>
      <w:r w:rsidRPr="007F453D">
        <w:t xml:space="preserve"> with due account of </w:t>
      </w:r>
      <w:r w:rsidRPr="007F453D">
        <w:rPr>
          <w:i/>
        </w:rPr>
        <w:t>noting further a)</w:t>
      </w:r>
      <w:r w:rsidRPr="007F453D">
        <w:t xml:space="preserve"> and </w:t>
      </w:r>
      <w:r w:rsidRPr="007F453D">
        <w:rPr>
          <w:i/>
        </w:rPr>
        <w:t>noting further b</w:t>
      </w:r>
      <w:r w:rsidRPr="007F453D">
        <w:rPr>
          <w:rFonts w:eastAsia="SimSun"/>
          <w:i/>
        </w:rPr>
        <w:t>)</w:t>
      </w:r>
      <w:r w:rsidRPr="007F453D">
        <w:rPr>
          <w:rFonts w:eastAsia="SimSun"/>
        </w:rPr>
        <w:t>.</w:t>
      </w:r>
      <w:r w:rsidRPr="007F453D">
        <w:t xml:space="preserve"> The order of the frequency arrangements within each Section does not imply any priority. Administrations may implement any of the recommended frequency arrangements to suit their national conditions </w:t>
      </w:r>
      <w:proofErr w:type="gramStart"/>
      <w:r w:rsidRPr="007F453D">
        <w:t>taking into account</w:t>
      </w:r>
      <w:proofErr w:type="gramEnd"/>
      <w:r w:rsidRPr="007F453D">
        <w:t xml:space="preserve"> the relevant provisions of the RR. Administrations may implement all or part of each frequency arrangement.</w:t>
      </w:r>
    </w:p>
    <w:p w14:paraId="2859C492" w14:textId="5D1D8CEF" w:rsidR="00476035" w:rsidRPr="007F453D" w:rsidRDefault="00476035" w:rsidP="00476035">
      <w:r w:rsidRPr="007F453D">
        <w:rPr>
          <w:lang w:eastAsia="zh-CN"/>
        </w:rPr>
        <w:t>It is noted that Administrations may implement other frequency arrangements (for example, arrangements which include different duplex schemes, different FDD/TDD boundaries) to fulfil their requirements. T</w:t>
      </w:r>
      <w:r w:rsidRPr="007F453D">
        <w:t>hese administrations should consider geographical neighbouring and regional deployments as well as matters related to achieving economies of scale, facilitating roaming, and measures to minimize interference.</w:t>
      </w:r>
    </w:p>
    <w:p w14:paraId="16D6EB36" w14:textId="77777777" w:rsidR="00476035" w:rsidRPr="007F453D" w:rsidRDefault="00476035" w:rsidP="00476035">
      <w:r w:rsidRPr="007F453D">
        <w:t xml:space="preserve">Administrations should </w:t>
      </w:r>
      <w:proofErr w:type="gramStart"/>
      <w:r w:rsidRPr="007F453D">
        <w:t>take into account</w:t>
      </w:r>
      <w:proofErr w:type="gramEnd"/>
      <w:r w:rsidRPr="007F453D">
        <w:t xml:space="preserve"> the fact that some of the different frequency arrangements in the same band have an overlap of base station transmitter and mobile station transmitter bands. Interference problems may result if different frequency arrangements with such overlaps are implemented by neighbouring administrations.</w:t>
      </w:r>
    </w:p>
    <w:p w14:paraId="4E0A25BF" w14:textId="77777777" w:rsidR="00476035" w:rsidRPr="007F453D" w:rsidRDefault="00476035" w:rsidP="00476035">
      <w:pPr>
        <w:rPr>
          <w:lang w:eastAsia="zh-CN"/>
        </w:rPr>
      </w:pPr>
      <w:r w:rsidRPr="007F453D">
        <w:t>Sections 1 to 1</w:t>
      </w:r>
      <w:r>
        <w:t>6</w:t>
      </w:r>
      <w:r w:rsidRPr="007F453D">
        <w:t xml:space="preserve"> in the Annex are parts of this </w:t>
      </w:r>
      <w:proofErr w:type="gramStart"/>
      <w:r w:rsidRPr="007F453D">
        <w:t>Recommendation, and</w:t>
      </w:r>
      <w:proofErr w:type="gramEnd"/>
      <w:r w:rsidRPr="007F453D">
        <w:t xml:space="preserve"> should be considered in their entirety when implementing frequency arrangements as appropriate.</w:t>
      </w:r>
    </w:p>
    <w:p w14:paraId="7656F3E3" w14:textId="77777777" w:rsidR="00476035" w:rsidRPr="007F453D" w:rsidRDefault="00476035" w:rsidP="00476035">
      <w:pPr>
        <w:pStyle w:val="Headingb"/>
      </w:pPr>
      <w:bookmarkStart w:id="10" w:name="_Toc283976894"/>
      <w:r w:rsidRPr="007F453D">
        <w:t>Traffic asymmetry implications</w:t>
      </w:r>
      <w:bookmarkEnd w:id="10"/>
    </w:p>
    <w:p w14:paraId="00D75410" w14:textId="17513939" w:rsidR="00476035" w:rsidRPr="00C50DFB" w:rsidRDefault="00476035" w:rsidP="00476035">
      <w:r w:rsidRPr="007F453D">
        <w:t xml:space="preserve">It is recommended that administrations and operators consider asymmetric traffic requirements when assigning spectrum or implementing systems. Applications supported by IMT may have various </w:t>
      </w:r>
      <w:r w:rsidRPr="00C50DFB">
        <w:t xml:space="preserve">degrees of asymmetry. Report </w:t>
      </w:r>
      <w:hyperlink r:id="rId24" w:history="1">
        <w:r w:rsidR="003A08E0">
          <w:rPr>
            <w:rStyle w:val="Hyperlink"/>
            <w:color w:val="auto"/>
            <w:u w:val="none"/>
          </w:rPr>
          <w:t>ITU-R M</w:t>
        </w:r>
        <w:r w:rsidR="003A08E0" w:rsidRPr="007B5747">
          <w:rPr>
            <w:rStyle w:val="Hyperlink"/>
            <w:color w:val="auto"/>
            <w:u w:val="none"/>
          </w:rPr>
          <w:t>.2072</w:t>
        </w:r>
      </w:hyperlink>
      <w:r w:rsidRPr="00C50DFB">
        <w:t xml:space="preserve"> describes not only download dominant applications such as e-newspaper, but also upload dominant applications such as observation (network-camera) and upload file transfer. Also, the degree of asymmetry of other applications such as high-quality video telephony, mobile multicasting, and videoconference depends on their requirements.</w:t>
      </w:r>
    </w:p>
    <w:p w14:paraId="5FC0A262" w14:textId="76BB675B" w:rsidR="00476035" w:rsidRPr="00C50DFB" w:rsidRDefault="00476035" w:rsidP="00476035">
      <w:r w:rsidRPr="00C50DFB">
        <w:t xml:space="preserve">In this context, asymmetry means that the basic amount of traffic may differ between the uplink and the downlink direction. As a possible consequence, the </w:t>
      </w:r>
      <w:proofErr w:type="gramStart"/>
      <w:r w:rsidRPr="00C50DFB">
        <w:t>amount</w:t>
      </w:r>
      <w:proofErr w:type="gramEnd"/>
      <w:r w:rsidRPr="00C50DFB">
        <w:t xml:space="preserve"> of resources needed for the downlink may differ from that of the uplink. Estimates for a mix of traffic are described in Report ITU-R M.2023, Report </w:t>
      </w:r>
      <w:hyperlink r:id="rId25" w:history="1">
        <w:r w:rsidR="003A08E0">
          <w:rPr>
            <w:rStyle w:val="Hyperlink"/>
            <w:color w:val="auto"/>
            <w:u w:val="none"/>
          </w:rPr>
          <w:t>ITU-R M</w:t>
        </w:r>
        <w:r w:rsidR="003A08E0" w:rsidRPr="007B5747">
          <w:rPr>
            <w:rStyle w:val="Hyperlink"/>
            <w:color w:val="auto"/>
            <w:u w:val="none"/>
          </w:rPr>
          <w:t>.2078</w:t>
        </w:r>
      </w:hyperlink>
      <w:r w:rsidRPr="00C50DFB">
        <w:t xml:space="preserve"> and Recommendation </w:t>
      </w:r>
      <w:hyperlink r:id="rId26" w:history="1">
        <w:r w:rsidR="00832E1A">
          <w:rPr>
            <w:rStyle w:val="Hyperlink"/>
            <w:color w:val="auto"/>
            <w:u w:val="none"/>
          </w:rPr>
          <w:t>ITU-R M</w:t>
        </w:r>
        <w:r w:rsidRPr="00C50DFB">
          <w:rPr>
            <w:rStyle w:val="Hyperlink"/>
            <w:color w:val="auto"/>
            <w:u w:val="none"/>
          </w:rPr>
          <w:t>.1822</w:t>
        </w:r>
      </w:hyperlink>
      <w:r w:rsidRPr="00C50DFB">
        <w:t>. Suitable techniques to support asymmetric traffic are described in Report</w:t>
      </w:r>
      <w:r w:rsidRPr="00C50DFB">
        <w:rPr>
          <w:rStyle w:val="Hyperlink"/>
          <w:color w:val="auto"/>
          <w:u w:val="none"/>
        </w:rPr>
        <w:t xml:space="preserve"> </w:t>
      </w:r>
      <w:hyperlink r:id="rId27" w:history="1">
        <w:r w:rsidR="00832E1A">
          <w:rPr>
            <w:rStyle w:val="Hyperlink"/>
            <w:color w:val="auto"/>
            <w:u w:val="none"/>
          </w:rPr>
          <w:t>ITU-R M</w:t>
        </w:r>
        <w:r w:rsidRPr="00C50DFB">
          <w:rPr>
            <w:rStyle w:val="Hyperlink"/>
            <w:color w:val="auto"/>
            <w:u w:val="none"/>
          </w:rPr>
          <w:t>.2038</w:t>
        </w:r>
      </w:hyperlink>
      <w:r w:rsidRPr="00C50DFB">
        <w:t>.</w:t>
      </w:r>
    </w:p>
    <w:p w14:paraId="7C2268C2" w14:textId="77777777" w:rsidR="00476035" w:rsidRPr="007F453D" w:rsidRDefault="00476035" w:rsidP="00476035">
      <w:r w:rsidRPr="007F453D">
        <w:t>It is noted that traffic asymmetry can be accommodated by a variety of techniques including flexible timeslot allocation, different modulation formats, and different coding schemes for the uplink and downlink. With equal FDD pairing for uplink and downlink, downlink-only paired with an external FDD uplink, or TDD, varying degrees of traffic asymmetry can be accommodated.</w:t>
      </w:r>
    </w:p>
    <w:p w14:paraId="4F19DA01" w14:textId="77777777" w:rsidR="00476035" w:rsidRPr="007F453D" w:rsidRDefault="00476035" w:rsidP="00476035">
      <w:pPr>
        <w:pStyle w:val="Headingb"/>
      </w:pPr>
      <w:bookmarkStart w:id="11" w:name="_Toc283976895"/>
      <w:r w:rsidRPr="007F453D">
        <w:t>Segmentation of the spectrum</w:t>
      </w:r>
      <w:bookmarkEnd w:id="11"/>
    </w:p>
    <w:p w14:paraId="2DCD3833" w14:textId="77777777" w:rsidR="00476035" w:rsidRPr="007F453D" w:rsidRDefault="00476035" w:rsidP="00476035">
      <w:r w:rsidRPr="007F453D">
        <w:t>It is recommended that the frequency arrangements not be segmented for different IMT radio interfaces or services except where necessary for technical and regulatory reasons.</w:t>
      </w:r>
    </w:p>
    <w:p w14:paraId="34F1BC38" w14:textId="77777777" w:rsidR="00476035" w:rsidRPr="007F453D" w:rsidRDefault="00476035" w:rsidP="00476035">
      <w:pPr>
        <w:rPr>
          <w:lang w:eastAsia="zh-CN"/>
        </w:rPr>
      </w:pPr>
      <w:r w:rsidRPr="007F453D">
        <w:t>It is recommended that the frequency arrangements should, to maintain flexibility of deployment, be available for use in either FDD mode, TDD mode, or both, and should not, ideally, be segmented between FDD and TDD modes in paired spectrum except where necessary for technical and regulatory reasons.</w:t>
      </w:r>
    </w:p>
    <w:p w14:paraId="38CE72F5" w14:textId="77777777" w:rsidR="00476035" w:rsidRPr="007F453D" w:rsidRDefault="00476035" w:rsidP="00476035">
      <w:pPr>
        <w:pStyle w:val="Headingb"/>
      </w:pPr>
      <w:r w:rsidRPr="007F453D">
        <w:lastRenderedPageBreak/>
        <w:t>Duplex arrangement and separation</w:t>
      </w:r>
    </w:p>
    <w:p w14:paraId="631CE6D6" w14:textId="77777777" w:rsidR="00476035" w:rsidRPr="007F453D" w:rsidRDefault="00476035" w:rsidP="00476035">
      <w:r w:rsidRPr="007F453D">
        <w:t>IMT systems operating in FDD mode could operate using the conventional duplex direction: mobile terminals transmit at the lower frequencies and base stations transmit at the higher frequencies. This is because the system performance is generally constrained by the uplink link budget due to the limited transmit power of terminals.</w:t>
      </w:r>
    </w:p>
    <w:p w14:paraId="66D084AB" w14:textId="77777777" w:rsidR="00476035" w:rsidRPr="007F453D" w:rsidRDefault="00476035" w:rsidP="00476035">
      <w:proofErr w:type="gramStart"/>
      <w:r w:rsidRPr="007F453D">
        <w:t>In order to</w:t>
      </w:r>
      <w:proofErr w:type="gramEnd"/>
      <w:r w:rsidRPr="007F453D">
        <w:t xml:space="preserve"> facilitate coexistence with adjacent services, in some instances it may be desirable to reverse the duplex direction, with the mobile terminal transmit within the upper band and base station transmit within the lower band. These cases are specified in the applicable sections.</w:t>
      </w:r>
    </w:p>
    <w:p w14:paraId="687E87A9" w14:textId="77777777" w:rsidR="00476035" w:rsidRPr="007F453D" w:rsidRDefault="00476035" w:rsidP="00476035">
      <w:r w:rsidRPr="007F453D">
        <w:t>It is recommended that for administrations wishing to implement only part of an IMT frequency arrangement, the channel pairing should be consistent with the duplex frequency separations of the full frequency arrangement.</w:t>
      </w:r>
    </w:p>
    <w:p w14:paraId="59273BAE" w14:textId="77777777" w:rsidR="00476035" w:rsidRPr="007F453D" w:rsidRDefault="00476035" w:rsidP="00476035">
      <w:pPr>
        <w:pStyle w:val="Headingb"/>
      </w:pPr>
      <w:bookmarkStart w:id="12" w:name="_Toc283976897"/>
      <w:r w:rsidRPr="007F453D">
        <w:t>Dual duplexer</w:t>
      </w:r>
      <w:bookmarkEnd w:id="12"/>
    </w:p>
    <w:p w14:paraId="51296185" w14:textId="77777777" w:rsidR="00476035" w:rsidRPr="007F453D" w:rsidRDefault="00476035" w:rsidP="00476035">
      <w:pPr>
        <w:tabs>
          <w:tab w:val="left" w:pos="2608"/>
          <w:tab w:val="left" w:pos="3345"/>
        </w:tabs>
      </w:pPr>
      <w:r w:rsidRPr="007F453D">
        <w:t>The duplex separation, the duplexer bandwidth, and the centre gap in an FDD frequency arrangement influence the duplexer performance:</w:t>
      </w:r>
    </w:p>
    <w:p w14:paraId="3B8F06F4" w14:textId="77777777" w:rsidR="00476035" w:rsidRPr="007F453D" w:rsidRDefault="00476035" w:rsidP="00476035">
      <w:pPr>
        <w:pStyle w:val="enumlev1"/>
      </w:pPr>
      <w:r w:rsidRPr="007F453D">
        <w:t>–</w:t>
      </w:r>
      <w:r w:rsidRPr="007F453D">
        <w:tab/>
        <w:t>larger duplex separation brings better isolation performance between downlink and uplink (i.e. less self-desensitization</w:t>
      </w:r>
      <w:proofErr w:type="gramStart"/>
      <w:r w:rsidRPr="007F453D">
        <w:t>);</w:t>
      </w:r>
      <w:proofErr w:type="gramEnd"/>
    </w:p>
    <w:p w14:paraId="790A9E19" w14:textId="77777777" w:rsidR="00476035" w:rsidRPr="007F453D" w:rsidRDefault="00476035" w:rsidP="00476035">
      <w:pPr>
        <w:pStyle w:val="enumlev1"/>
      </w:pPr>
      <w:r w:rsidRPr="007F453D">
        <w:t>–</w:t>
      </w:r>
      <w:r w:rsidRPr="007F453D">
        <w:tab/>
        <w:t xml:space="preserve">larger duplexer bandwidth reduces the overall duplexer performance, resulting in both worse self-desensitization and higher interference from MS to MS or BS to </w:t>
      </w:r>
      <w:proofErr w:type="gramStart"/>
      <w:r w:rsidRPr="007F453D">
        <w:t>BS;</w:t>
      </w:r>
      <w:proofErr w:type="gramEnd"/>
    </w:p>
    <w:p w14:paraId="27600EA8" w14:textId="77777777" w:rsidR="00476035" w:rsidRPr="007F453D" w:rsidRDefault="00476035" w:rsidP="00476035">
      <w:pPr>
        <w:pStyle w:val="enumlev1"/>
      </w:pPr>
      <w:r w:rsidRPr="007F453D">
        <w:t>–</w:t>
      </w:r>
      <w:r w:rsidRPr="007F453D">
        <w:tab/>
        <w:t>smaller centre gap may lead to higher interference from MS to MS or BS to BS.</w:t>
      </w:r>
    </w:p>
    <w:p w14:paraId="2B1F1A53" w14:textId="42FD866F" w:rsidR="00476035" w:rsidRPr="007F453D" w:rsidRDefault="00476035" w:rsidP="00476035">
      <w:r w:rsidRPr="007F453D">
        <w:t>One way to reduce the duplexer’s bandwidth in an FDD system, while keeping a larger duplex separation and total bandwidth, is to use a dual duplexer. From an implementation point of view, a dual duplexer arrangement can be implemented according to Fig. 1.</w:t>
      </w:r>
    </w:p>
    <w:p w14:paraId="6341AD14" w14:textId="77777777" w:rsidR="00476035" w:rsidRPr="007F453D" w:rsidRDefault="00476035" w:rsidP="00476035">
      <w:pPr>
        <w:pStyle w:val="FigureNo"/>
        <w:rPr>
          <w:lang w:eastAsia="zh-CN"/>
        </w:rPr>
      </w:pPr>
      <w:r w:rsidRPr="007F453D">
        <w:rPr>
          <w:lang w:eastAsia="zh-CN"/>
        </w:rPr>
        <w:t>Figure 1</w:t>
      </w:r>
    </w:p>
    <w:p w14:paraId="6999CAAE" w14:textId="77777777" w:rsidR="00476035" w:rsidRPr="007F453D" w:rsidRDefault="00476035" w:rsidP="00476035">
      <w:pPr>
        <w:pStyle w:val="Figuretitle"/>
      </w:pPr>
      <w:r w:rsidRPr="007F453D">
        <w:t>Duplexer arrangements in an FDD frequency arrangement</w:t>
      </w:r>
    </w:p>
    <w:p w14:paraId="4C015D10" w14:textId="77777777" w:rsidR="00476035" w:rsidRPr="007F453D" w:rsidRDefault="00476035" w:rsidP="00476035">
      <w:pPr>
        <w:pStyle w:val="Figure"/>
      </w:pPr>
      <w:r w:rsidRPr="007F453D">
        <w:rPr>
          <w:noProof/>
          <w:lang w:eastAsia="en-GB"/>
        </w:rPr>
        <w:drawing>
          <wp:inline distT="0" distB="0" distL="0" distR="0" wp14:anchorId="5EF46F63" wp14:editId="0F35AA18">
            <wp:extent cx="5032258" cy="2112268"/>
            <wp:effectExtent l="0" t="0" r="0" b="2540"/>
            <wp:docPr id="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32258" cy="2112268"/>
                    </a:xfrm>
                    <a:prstGeom prst="rect">
                      <a:avLst/>
                    </a:prstGeom>
                  </pic:spPr>
                </pic:pic>
              </a:graphicData>
            </a:graphic>
          </wp:inline>
        </w:drawing>
      </w:r>
    </w:p>
    <w:p w14:paraId="6B5BFF35" w14:textId="77777777" w:rsidR="00476035" w:rsidRPr="007F453D" w:rsidRDefault="00476035" w:rsidP="00476035">
      <w:pPr>
        <w:pStyle w:val="Normalaftertitle"/>
        <w:rPr>
          <w:lang w:eastAsia="ja-JP"/>
        </w:rPr>
      </w:pPr>
      <w:r w:rsidRPr="007F453D">
        <w:t>A fixed overlap between duplex arrangement #1 and #2 enables the use of common equipment to meet the operational requirements of deployments. The size of the overlap is likely to be the same for all implementations, and it would be decided in accordance with filter design when establishing the band plan.</w:t>
      </w:r>
    </w:p>
    <w:p w14:paraId="435A90A3" w14:textId="77777777" w:rsidR="00476035" w:rsidRPr="007F453D" w:rsidRDefault="00476035" w:rsidP="00476035">
      <w:r w:rsidRPr="007F453D">
        <w:t>Due to the two adjacent duplex arrangements, the gap between downlink (DL) and uplink (UL) blocks can be made smaller than the duplex gap in a single duplexer FDD arrangement. Such two</w:t>
      </w:r>
      <w:r w:rsidRPr="007F453D">
        <w:noBreakHyphen/>
        <w:t>duplexer arrangement can be implemented by standard filter technology. This would minimize the cost and complexity of equipment.</w:t>
      </w:r>
    </w:p>
    <w:p w14:paraId="046B84C6" w14:textId="77777777" w:rsidR="00476035" w:rsidRPr="007F453D" w:rsidRDefault="00476035" w:rsidP="00476035">
      <w:pPr>
        <w:tabs>
          <w:tab w:val="left" w:pos="7635"/>
        </w:tabs>
      </w:pPr>
      <w:r w:rsidRPr="007F453D">
        <w:lastRenderedPageBreak/>
        <w:t>However, the small gap between UL and DL blocks will put additional filtering requirements on the terminals to avoid MS-MS interference. The BS-BS interference can be handled by additional filtering using conventional technologies.</w:t>
      </w:r>
    </w:p>
    <w:p w14:paraId="2BD16551" w14:textId="77777777" w:rsidR="00476035" w:rsidRPr="007F453D" w:rsidRDefault="00476035" w:rsidP="00476035">
      <w:pPr>
        <w:pStyle w:val="Headingb"/>
      </w:pPr>
      <w:r w:rsidRPr="007F453D">
        <w:t>Unwanted emission and compatibility with other services</w:t>
      </w:r>
    </w:p>
    <w:p w14:paraId="1B288F8C" w14:textId="3215D743" w:rsidR="00476035" w:rsidRPr="00C50DFB" w:rsidRDefault="00476035" w:rsidP="00476035">
      <w:r w:rsidRPr="00C50DFB">
        <w:t xml:space="preserve">Frequency aspects and unwanted emission parameters are contained in Recommendations </w:t>
      </w:r>
      <w:r w:rsidRPr="00C50DFB">
        <w:rPr>
          <w:rStyle w:val="Hyperlink"/>
          <w:color w:val="auto"/>
          <w:u w:val="none"/>
        </w:rPr>
        <w:t xml:space="preserve">ITU-R </w:t>
      </w:r>
      <w:hyperlink r:id="rId29" w:history="1">
        <w:r w:rsidRPr="00C50DFB">
          <w:rPr>
            <w:rStyle w:val="Hyperlink"/>
            <w:color w:val="auto"/>
            <w:u w:val="none"/>
          </w:rPr>
          <w:t>M.1580</w:t>
        </w:r>
      </w:hyperlink>
      <w:r w:rsidRPr="00C50DFB">
        <w:t xml:space="preserve">, </w:t>
      </w:r>
      <w:r w:rsidRPr="00C50DFB">
        <w:rPr>
          <w:rStyle w:val="Hyperlink"/>
          <w:color w:val="auto"/>
          <w:u w:val="none"/>
        </w:rPr>
        <w:t xml:space="preserve">ITU-R </w:t>
      </w:r>
      <w:hyperlink r:id="rId30" w:history="1">
        <w:r w:rsidRPr="00C50DFB">
          <w:rPr>
            <w:rStyle w:val="Hyperlink"/>
            <w:color w:val="auto"/>
            <w:u w:val="none"/>
          </w:rPr>
          <w:t>M.1581</w:t>
        </w:r>
      </w:hyperlink>
      <w:r w:rsidRPr="00C50DFB">
        <w:t xml:space="preserve">, </w:t>
      </w:r>
      <w:hyperlink r:id="rId31" w:history="1">
        <w:r w:rsidR="00832E1A">
          <w:rPr>
            <w:rStyle w:val="Hyperlink"/>
            <w:color w:val="auto"/>
            <w:u w:val="none"/>
          </w:rPr>
          <w:t>ITU-R M</w:t>
        </w:r>
        <w:r w:rsidR="00832E1A" w:rsidRPr="007B5747">
          <w:rPr>
            <w:rStyle w:val="Hyperlink"/>
            <w:color w:val="auto"/>
            <w:u w:val="none"/>
          </w:rPr>
          <w:t>.2070</w:t>
        </w:r>
      </w:hyperlink>
      <w:r w:rsidRPr="00C50DFB">
        <w:t xml:space="preserve"> and </w:t>
      </w:r>
      <w:hyperlink r:id="rId32" w:history="1">
        <w:r w:rsidR="00832E1A">
          <w:rPr>
            <w:rStyle w:val="Hyperlink"/>
            <w:color w:val="auto"/>
            <w:u w:val="none"/>
          </w:rPr>
          <w:t>ITU-R M</w:t>
        </w:r>
        <w:r w:rsidR="00832E1A" w:rsidRPr="007B5747">
          <w:rPr>
            <w:rStyle w:val="Hyperlink"/>
            <w:color w:val="auto"/>
            <w:u w:val="none"/>
          </w:rPr>
          <w:t>.2071</w:t>
        </w:r>
      </w:hyperlink>
      <w:r w:rsidRPr="00C50DFB">
        <w:t>.</w:t>
      </w:r>
    </w:p>
    <w:p w14:paraId="7E17AD65" w14:textId="77777777" w:rsidR="00476035" w:rsidRPr="007F453D" w:rsidRDefault="00476035" w:rsidP="00476035">
      <w:bookmarkStart w:id="13" w:name="_Toc283976898"/>
      <w:r w:rsidRPr="007F453D">
        <w:t>Limits on the maximum unwanted emission characteristics according to the relevant WRC Resolutions and ITU-R Recommendations are necessary to protect other radio systems including those in adjacent bands and to help establish the coexistence between different technologies for the bands addressed in this Recommendation.</w:t>
      </w:r>
      <w:bookmarkEnd w:id="13"/>
    </w:p>
    <w:p w14:paraId="6D63FD17" w14:textId="77777777" w:rsidR="00476035" w:rsidRDefault="00476035" w:rsidP="00476035">
      <w:pPr>
        <w:rPr>
          <w:szCs w:val="24"/>
        </w:rPr>
      </w:pPr>
      <w:r w:rsidRPr="007F453D">
        <w:rPr>
          <w:szCs w:val="24"/>
        </w:rPr>
        <w:t xml:space="preserve">As a technique to further improve compatibility with, and mitigate the risk of any potential </w:t>
      </w:r>
      <w:r w:rsidRPr="007F453D">
        <w:rPr>
          <w:spacing w:val="-2"/>
          <w:szCs w:val="24"/>
        </w:rPr>
        <w:t>interference into, space receivers in the frequency bands 24.35-27.5 GHz, 40-43.5 GHz, 45.5-47 GHz,</w:t>
      </w:r>
      <w:r w:rsidRPr="007F453D">
        <w:rPr>
          <w:szCs w:val="24"/>
        </w:rPr>
        <w:t xml:space="preserve"> 47.2-48.2 GHz and 66-71 GHz, administrations may consider selection of channel bandwidths for IMT stations with the minimum power spectral density.</w:t>
      </w:r>
    </w:p>
    <w:p w14:paraId="2FF14FDF" w14:textId="77777777" w:rsidR="00476035" w:rsidRDefault="00476035" w:rsidP="00476035">
      <w:pPr>
        <w:tabs>
          <w:tab w:val="clear" w:pos="794"/>
          <w:tab w:val="clear" w:pos="1191"/>
          <w:tab w:val="clear" w:pos="1588"/>
          <w:tab w:val="clear" w:pos="1985"/>
        </w:tabs>
        <w:overflowPunct/>
        <w:autoSpaceDE/>
        <w:autoSpaceDN/>
        <w:adjustRightInd/>
        <w:spacing w:before="0"/>
        <w:jc w:val="left"/>
        <w:textAlignment w:val="auto"/>
        <w:rPr>
          <w:sz w:val="28"/>
          <w:szCs w:val="28"/>
        </w:rPr>
      </w:pPr>
      <w:r>
        <w:rPr>
          <w:sz w:val="28"/>
          <w:szCs w:val="28"/>
        </w:rPr>
        <w:br w:type="page"/>
      </w:r>
    </w:p>
    <w:p w14:paraId="5791E2DF" w14:textId="77777777" w:rsidR="00476035" w:rsidRPr="00C50DFB" w:rsidRDefault="00476035" w:rsidP="00476035">
      <w:pPr>
        <w:pStyle w:val="StyleSectionNo14ptCenteredBefore24pt"/>
      </w:pPr>
      <w:bookmarkStart w:id="14" w:name="_Toc224135058"/>
      <w:r w:rsidRPr="00C50DFB">
        <w:lastRenderedPageBreak/>
        <w:t>SECTION 2</w:t>
      </w:r>
      <w:bookmarkEnd w:id="14"/>
    </w:p>
    <w:p w14:paraId="12B95C15" w14:textId="77777777" w:rsidR="00476035" w:rsidRPr="007F453D" w:rsidRDefault="00476035" w:rsidP="00476035">
      <w:pPr>
        <w:pStyle w:val="Sectiontitle"/>
        <w:rPr>
          <w:caps/>
        </w:rPr>
      </w:pPr>
      <w:bookmarkStart w:id="15" w:name="_Toc224135059"/>
      <w:r w:rsidRPr="007F453D">
        <w:t xml:space="preserve">Frequency arrangements in the band </w:t>
      </w:r>
      <w:r w:rsidRPr="007F453D">
        <w:rPr>
          <w:caps/>
        </w:rPr>
        <w:t>450-</w:t>
      </w:r>
      <w:r w:rsidRPr="007F453D">
        <w:t>470</w:t>
      </w:r>
      <w:r w:rsidRPr="007F453D">
        <w:rPr>
          <w:caps/>
        </w:rPr>
        <w:t xml:space="preserve"> MH</w:t>
      </w:r>
      <w:r w:rsidRPr="007F453D">
        <w:t>z</w:t>
      </w:r>
      <w:bookmarkEnd w:id="15"/>
    </w:p>
    <w:p w14:paraId="6C0E47A6" w14:textId="77777777" w:rsidR="00476035" w:rsidRPr="007F453D" w:rsidRDefault="00476035" w:rsidP="00476035">
      <w:pPr>
        <w:pStyle w:val="Normalaftertitle"/>
      </w:pPr>
      <w:r w:rsidRPr="007F453D">
        <w:t>The recommended frequency arrangements for implementation of IMT in the band 450-470 MHz are summarized in Table 1 and in Fig. 2, noting the implementation aspects in Section 1 above.</w:t>
      </w:r>
    </w:p>
    <w:p w14:paraId="7ADFAA15" w14:textId="77777777" w:rsidR="00476035" w:rsidRPr="007F453D" w:rsidRDefault="00476035" w:rsidP="00476035">
      <w:pPr>
        <w:pStyle w:val="TableNo"/>
        <w:rPr>
          <w:lang w:eastAsia="zh-CN"/>
        </w:rPr>
      </w:pPr>
      <w:r w:rsidRPr="007F453D">
        <w:t>TABLE 1</w:t>
      </w:r>
    </w:p>
    <w:p w14:paraId="718CCE5A" w14:textId="77777777" w:rsidR="00476035" w:rsidRPr="007F453D" w:rsidRDefault="00476035" w:rsidP="00476035">
      <w:pPr>
        <w:pStyle w:val="Tabletitle"/>
      </w:pPr>
      <w:r w:rsidRPr="007F453D">
        <w:t>Frequency arrangements in the band 450-470 MHz</w:t>
      </w:r>
    </w:p>
    <w:tbl>
      <w:tblPr>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51"/>
        <w:gridCol w:w="1788"/>
        <w:gridCol w:w="1212"/>
        <w:gridCol w:w="1766"/>
        <w:gridCol w:w="1322"/>
        <w:gridCol w:w="1696"/>
      </w:tblGrid>
      <w:tr w:rsidR="00476035" w:rsidRPr="007F453D" w14:paraId="06B8F73B" w14:textId="77777777" w:rsidTr="00FD61B7">
        <w:trPr>
          <w:jc w:val="center"/>
        </w:trPr>
        <w:tc>
          <w:tcPr>
            <w:tcW w:w="1751" w:type="dxa"/>
            <w:vMerge w:val="restart"/>
            <w:vAlign w:val="center"/>
          </w:tcPr>
          <w:p w14:paraId="41D55419" w14:textId="77777777" w:rsidR="00476035" w:rsidRPr="007F453D" w:rsidRDefault="00476035" w:rsidP="00FD61B7">
            <w:pPr>
              <w:pStyle w:val="Tablehead"/>
            </w:pPr>
            <w:r w:rsidRPr="007F453D">
              <w:t>Frequency arrangements</w:t>
            </w:r>
          </w:p>
        </w:tc>
        <w:tc>
          <w:tcPr>
            <w:tcW w:w="6088" w:type="dxa"/>
            <w:gridSpan w:val="4"/>
            <w:vAlign w:val="center"/>
          </w:tcPr>
          <w:p w14:paraId="3008113C" w14:textId="77777777" w:rsidR="00476035" w:rsidRPr="007F453D" w:rsidRDefault="00476035" w:rsidP="00FD61B7">
            <w:pPr>
              <w:pStyle w:val="Tablehead"/>
              <w:rPr>
                <w:bCs/>
              </w:rPr>
            </w:pPr>
            <w:r w:rsidRPr="007F453D">
              <w:rPr>
                <w:bCs/>
              </w:rPr>
              <w:t>Paired arrangements (FDD)</w:t>
            </w:r>
          </w:p>
        </w:tc>
        <w:tc>
          <w:tcPr>
            <w:tcW w:w="1696" w:type="dxa"/>
            <w:vMerge w:val="restart"/>
            <w:vAlign w:val="center"/>
          </w:tcPr>
          <w:p w14:paraId="4089EF95" w14:textId="371A49A5" w:rsidR="00476035" w:rsidRPr="007F453D" w:rsidRDefault="00476035" w:rsidP="00FD61B7">
            <w:pPr>
              <w:pStyle w:val="Tablehead"/>
            </w:pPr>
            <w:r w:rsidRPr="007F453D">
              <w:t xml:space="preserve">Un-paired arrangements (TDD) </w:t>
            </w:r>
            <w:r w:rsidR="003D386D">
              <w:br/>
            </w:r>
            <w:r w:rsidRPr="007F453D">
              <w:t>(MHz)</w:t>
            </w:r>
          </w:p>
        </w:tc>
      </w:tr>
      <w:tr w:rsidR="00476035" w:rsidRPr="007F453D" w14:paraId="0D0FE8C6" w14:textId="77777777" w:rsidTr="00FD61B7">
        <w:trPr>
          <w:jc w:val="center"/>
        </w:trPr>
        <w:tc>
          <w:tcPr>
            <w:tcW w:w="1751" w:type="dxa"/>
            <w:vMerge/>
            <w:vAlign w:val="center"/>
          </w:tcPr>
          <w:p w14:paraId="00F14C95" w14:textId="77777777" w:rsidR="00476035" w:rsidRPr="007F453D" w:rsidRDefault="00476035" w:rsidP="00FD61B7">
            <w:pPr>
              <w:pStyle w:val="Tablehead"/>
            </w:pPr>
          </w:p>
        </w:tc>
        <w:tc>
          <w:tcPr>
            <w:tcW w:w="1788" w:type="dxa"/>
            <w:vAlign w:val="center"/>
          </w:tcPr>
          <w:p w14:paraId="4413A1CE" w14:textId="77777777" w:rsidR="00476035" w:rsidRPr="007F453D" w:rsidRDefault="00476035" w:rsidP="00FD61B7">
            <w:pPr>
              <w:pStyle w:val="Tablehead"/>
              <w:rPr>
                <w:caps/>
              </w:rPr>
            </w:pPr>
            <w:r w:rsidRPr="007F453D">
              <w:t xml:space="preserve">Mobile station transmitter </w:t>
            </w:r>
            <w:r w:rsidRPr="007F453D">
              <w:br/>
              <w:t>(MHz)</w:t>
            </w:r>
          </w:p>
        </w:tc>
        <w:tc>
          <w:tcPr>
            <w:tcW w:w="1212" w:type="dxa"/>
            <w:vAlign w:val="center"/>
          </w:tcPr>
          <w:p w14:paraId="40334616" w14:textId="77777777" w:rsidR="00476035" w:rsidRPr="007F453D" w:rsidRDefault="00476035" w:rsidP="00FD61B7">
            <w:pPr>
              <w:pStyle w:val="Tablehead"/>
              <w:rPr>
                <w:caps/>
              </w:rPr>
            </w:pPr>
            <w:r w:rsidRPr="007F453D">
              <w:t>Centre gap (MHz)</w:t>
            </w:r>
          </w:p>
        </w:tc>
        <w:tc>
          <w:tcPr>
            <w:tcW w:w="1766" w:type="dxa"/>
            <w:vAlign w:val="center"/>
          </w:tcPr>
          <w:p w14:paraId="0A148EAA" w14:textId="77777777" w:rsidR="00476035" w:rsidRPr="007F453D" w:rsidRDefault="00476035" w:rsidP="00FD61B7">
            <w:pPr>
              <w:pStyle w:val="Tablehead"/>
              <w:rPr>
                <w:caps/>
              </w:rPr>
            </w:pPr>
            <w:r w:rsidRPr="007F453D">
              <w:t>Base station transmitter (MHz)</w:t>
            </w:r>
          </w:p>
        </w:tc>
        <w:tc>
          <w:tcPr>
            <w:tcW w:w="1322" w:type="dxa"/>
            <w:vAlign w:val="center"/>
          </w:tcPr>
          <w:p w14:paraId="51B1CCF9" w14:textId="77777777" w:rsidR="00476035" w:rsidRPr="007F453D" w:rsidRDefault="00476035" w:rsidP="00FD61B7">
            <w:pPr>
              <w:pStyle w:val="Tablehead"/>
            </w:pPr>
            <w:r w:rsidRPr="007F453D">
              <w:t>Duplex separation (MHz)</w:t>
            </w:r>
          </w:p>
        </w:tc>
        <w:tc>
          <w:tcPr>
            <w:tcW w:w="1696" w:type="dxa"/>
            <w:vMerge/>
            <w:vAlign w:val="center"/>
          </w:tcPr>
          <w:p w14:paraId="2D1155A8"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53856D2F" w14:textId="77777777" w:rsidTr="00FD61B7">
        <w:trPr>
          <w:jc w:val="center"/>
        </w:trPr>
        <w:tc>
          <w:tcPr>
            <w:tcW w:w="1751" w:type="dxa"/>
          </w:tcPr>
          <w:p w14:paraId="3661A622" w14:textId="77777777" w:rsidR="00476035" w:rsidRPr="007F453D" w:rsidRDefault="00476035" w:rsidP="00FD61B7">
            <w:pPr>
              <w:pStyle w:val="Tabletext"/>
              <w:jc w:val="center"/>
              <w:rPr>
                <w:rFonts w:eastAsia="Batang"/>
                <w:caps/>
                <w:lang w:eastAsia="zh-CN"/>
              </w:rPr>
            </w:pPr>
            <w:r w:rsidRPr="007F453D">
              <w:rPr>
                <w:lang w:eastAsia="zh-CN"/>
              </w:rPr>
              <w:t>D8</w:t>
            </w:r>
          </w:p>
        </w:tc>
        <w:tc>
          <w:tcPr>
            <w:tcW w:w="6088" w:type="dxa"/>
            <w:gridSpan w:val="4"/>
          </w:tcPr>
          <w:p w14:paraId="5B2F34A6" w14:textId="77777777" w:rsidR="00476035" w:rsidRPr="007F453D" w:rsidRDefault="00476035" w:rsidP="00FD61B7">
            <w:pPr>
              <w:pStyle w:val="Tabletext"/>
              <w:jc w:val="center"/>
            </w:pPr>
            <w:r>
              <w:t>NOT APPLIED</w:t>
            </w:r>
          </w:p>
        </w:tc>
        <w:tc>
          <w:tcPr>
            <w:tcW w:w="1696" w:type="dxa"/>
          </w:tcPr>
          <w:p w14:paraId="3D03BD64" w14:textId="77777777" w:rsidR="00476035" w:rsidRPr="007F453D" w:rsidRDefault="00476035" w:rsidP="00FD61B7">
            <w:pPr>
              <w:pStyle w:val="Tabletext"/>
              <w:jc w:val="center"/>
              <w:rPr>
                <w:caps/>
              </w:rPr>
            </w:pPr>
            <w:r w:rsidRPr="007F453D">
              <w:t xml:space="preserve">450.0-470.0 </w:t>
            </w:r>
          </w:p>
        </w:tc>
      </w:tr>
      <w:tr w:rsidR="00476035" w:rsidRPr="007F453D" w14:paraId="01FAEBDB" w14:textId="77777777" w:rsidTr="00FD61B7">
        <w:tblPrEx>
          <w:tblBorders>
            <w:top w:val="single" w:sz="4" w:space="0" w:color="00000A"/>
            <w:left w:val="single" w:sz="4" w:space="0" w:color="00000A"/>
            <w:bottom w:val="single" w:sz="4" w:space="0" w:color="00000A"/>
            <w:right w:val="single" w:sz="4" w:space="0" w:color="00000A"/>
            <w:insideH w:val="none" w:sz="0" w:space="0" w:color="auto"/>
            <w:insideV w:val="none" w:sz="0" w:space="0" w:color="auto"/>
          </w:tblBorders>
          <w:tblCellMar>
            <w:left w:w="10" w:type="dxa"/>
            <w:right w:w="10" w:type="dxa"/>
          </w:tblCellMar>
        </w:tblPrEx>
        <w:trPr>
          <w:cantSplit/>
          <w:jc w:val="center"/>
        </w:trPr>
        <w:tc>
          <w:tcPr>
            <w:tcW w:w="1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BA8555" w14:textId="77777777" w:rsidR="00476035" w:rsidRPr="007F453D" w:rsidRDefault="00476035" w:rsidP="00FD61B7">
            <w:pPr>
              <w:pStyle w:val="Tabletext"/>
              <w:jc w:val="center"/>
              <w:rPr>
                <w:lang w:eastAsia="zh-CN"/>
              </w:rPr>
            </w:pPr>
            <w:r w:rsidRPr="007F453D">
              <w:rPr>
                <w:lang w:eastAsia="zh-CN"/>
              </w:rPr>
              <w:t>D12</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99DEE0" w14:textId="77777777" w:rsidR="00476035" w:rsidRPr="007F453D" w:rsidRDefault="00476035" w:rsidP="00FD61B7">
            <w:pPr>
              <w:pStyle w:val="Tabletext"/>
              <w:jc w:val="center"/>
            </w:pPr>
            <w:r w:rsidRPr="007F453D">
              <w:t>450.</w:t>
            </w:r>
            <w:r w:rsidRPr="007F453D">
              <w:rPr>
                <w:lang w:eastAsia="zh-CN"/>
              </w:rPr>
              <w:t>0</w:t>
            </w:r>
            <w:r w:rsidRPr="007F453D">
              <w:t>-45</w:t>
            </w:r>
            <w:r w:rsidRPr="007F453D">
              <w:rPr>
                <w:lang w:eastAsia="zh-CN"/>
              </w:rPr>
              <w:t>5</w:t>
            </w:r>
            <w:r w:rsidRPr="007F453D">
              <w:t>.</w:t>
            </w:r>
            <w:r w:rsidRPr="007F453D">
              <w:rPr>
                <w:lang w:eastAsia="zh-CN"/>
              </w:rPr>
              <w:t>0</w:t>
            </w:r>
          </w:p>
        </w:tc>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081EC8" w14:textId="77777777" w:rsidR="00476035" w:rsidRPr="007F453D" w:rsidRDefault="00476035" w:rsidP="00FD61B7">
            <w:pPr>
              <w:pStyle w:val="Tabletext"/>
              <w:jc w:val="center"/>
              <w:rPr>
                <w:lang w:eastAsia="zh-CN"/>
              </w:rPr>
            </w:pPr>
            <w:r w:rsidRPr="007F453D">
              <w:rPr>
                <w:lang w:eastAsia="zh-CN"/>
              </w:rPr>
              <w:t>5.0</w:t>
            </w:r>
          </w:p>
        </w:tc>
        <w:tc>
          <w:tcPr>
            <w:tcW w:w="1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91853E" w14:textId="77777777" w:rsidR="00476035" w:rsidRPr="007F453D" w:rsidRDefault="00476035" w:rsidP="00FD61B7">
            <w:pPr>
              <w:pStyle w:val="Tabletext"/>
              <w:jc w:val="center"/>
              <w:rPr>
                <w:lang w:eastAsia="zh-CN"/>
              </w:rPr>
            </w:pPr>
            <w:r w:rsidRPr="007F453D">
              <w:rPr>
                <w:lang w:eastAsia="zh-CN"/>
              </w:rPr>
              <w:t>460.0-465.0</w:t>
            </w:r>
          </w:p>
        </w:tc>
        <w:tc>
          <w:tcPr>
            <w:tcW w:w="13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B18A45" w14:textId="77777777" w:rsidR="00476035" w:rsidRPr="007F453D" w:rsidRDefault="00476035" w:rsidP="00FD61B7">
            <w:pPr>
              <w:pStyle w:val="Tabletext"/>
              <w:jc w:val="center"/>
              <w:rPr>
                <w:lang w:eastAsia="zh-CN"/>
              </w:rPr>
            </w:pPr>
            <w:r w:rsidRPr="007F453D">
              <w:rPr>
                <w:lang w:eastAsia="zh-CN"/>
              </w:rPr>
              <w:t>10</w:t>
            </w:r>
          </w:p>
        </w:tc>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24C03" w14:textId="77777777" w:rsidR="00476035" w:rsidRPr="007F453D" w:rsidRDefault="00476035" w:rsidP="00FD61B7">
            <w:pPr>
              <w:pStyle w:val="Tabletext"/>
              <w:jc w:val="center"/>
              <w:rPr>
                <w:lang w:eastAsia="zh-CN"/>
              </w:rPr>
            </w:pPr>
            <w:r w:rsidRPr="007F453D">
              <w:rPr>
                <w:lang w:eastAsia="zh-CN"/>
              </w:rPr>
              <w:t>None</w:t>
            </w:r>
          </w:p>
        </w:tc>
      </w:tr>
      <w:tr w:rsidR="00476035" w:rsidRPr="007F453D" w14:paraId="68AC5949" w14:textId="77777777" w:rsidTr="00FD61B7">
        <w:tblPrEx>
          <w:tblBorders>
            <w:top w:val="single" w:sz="4" w:space="0" w:color="00000A"/>
            <w:left w:val="single" w:sz="4" w:space="0" w:color="00000A"/>
            <w:bottom w:val="single" w:sz="4" w:space="0" w:color="00000A"/>
            <w:right w:val="single" w:sz="4" w:space="0" w:color="00000A"/>
            <w:insideH w:val="none" w:sz="0" w:space="0" w:color="auto"/>
            <w:insideV w:val="none" w:sz="0" w:space="0" w:color="auto"/>
          </w:tblBorders>
          <w:tblCellMar>
            <w:left w:w="10" w:type="dxa"/>
            <w:right w:w="10" w:type="dxa"/>
          </w:tblCellMar>
        </w:tblPrEx>
        <w:trPr>
          <w:cantSplit/>
          <w:jc w:val="center"/>
        </w:trPr>
        <w:tc>
          <w:tcPr>
            <w:tcW w:w="1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36DF18" w14:textId="77777777" w:rsidR="00476035" w:rsidRPr="007F453D" w:rsidRDefault="00476035" w:rsidP="00FD61B7">
            <w:pPr>
              <w:pStyle w:val="Tabletext"/>
              <w:jc w:val="center"/>
            </w:pPr>
            <w:r w:rsidRPr="007F453D">
              <w:t>D13</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9477A" w14:textId="77777777" w:rsidR="00476035" w:rsidRPr="007F453D" w:rsidRDefault="00476035" w:rsidP="00FD61B7">
            <w:pPr>
              <w:pStyle w:val="Tabletext"/>
              <w:jc w:val="center"/>
            </w:pPr>
            <w:r w:rsidRPr="007F453D">
              <w:t>451.0-456.0</w:t>
            </w:r>
          </w:p>
        </w:tc>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8072A" w14:textId="77777777" w:rsidR="00476035" w:rsidRPr="007F453D" w:rsidRDefault="00476035" w:rsidP="00FD61B7">
            <w:pPr>
              <w:pStyle w:val="Tabletext"/>
              <w:jc w:val="center"/>
            </w:pPr>
            <w:r w:rsidRPr="007F453D">
              <w:t>5.0</w:t>
            </w:r>
          </w:p>
        </w:tc>
        <w:tc>
          <w:tcPr>
            <w:tcW w:w="1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9782B1" w14:textId="77777777" w:rsidR="00476035" w:rsidRPr="007F453D" w:rsidRDefault="00476035" w:rsidP="00FD61B7">
            <w:pPr>
              <w:pStyle w:val="Tabletext"/>
              <w:jc w:val="center"/>
            </w:pPr>
            <w:r w:rsidRPr="007F453D">
              <w:t>461.0-466.0</w:t>
            </w:r>
          </w:p>
        </w:tc>
        <w:tc>
          <w:tcPr>
            <w:tcW w:w="13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D8F1F" w14:textId="77777777" w:rsidR="00476035" w:rsidRPr="007F453D" w:rsidRDefault="00476035" w:rsidP="00FD61B7">
            <w:pPr>
              <w:pStyle w:val="Tabletext"/>
              <w:jc w:val="center"/>
            </w:pPr>
            <w:r w:rsidRPr="007F453D">
              <w:t>10</w:t>
            </w:r>
          </w:p>
        </w:tc>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89BC3" w14:textId="77777777" w:rsidR="00476035" w:rsidRPr="007F453D" w:rsidRDefault="00476035" w:rsidP="00FD61B7">
            <w:pPr>
              <w:pStyle w:val="Tabletext"/>
              <w:jc w:val="center"/>
            </w:pPr>
            <w:r w:rsidRPr="007F453D">
              <w:t>None</w:t>
            </w:r>
          </w:p>
        </w:tc>
      </w:tr>
      <w:tr w:rsidR="00476035" w:rsidRPr="007F453D" w14:paraId="005D3B4C" w14:textId="77777777" w:rsidTr="00FD61B7">
        <w:tblPrEx>
          <w:tblBorders>
            <w:top w:val="single" w:sz="4" w:space="0" w:color="00000A"/>
            <w:left w:val="single" w:sz="4" w:space="0" w:color="00000A"/>
            <w:bottom w:val="single" w:sz="4" w:space="0" w:color="00000A"/>
            <w:right w:val="single" w:sz="4" w:space="0" w:color="00000A"/>
            <w:insideH w:val="none" w:sz="0" w:space="0" w:color="auto"/>
            <w:insideV w:val="none" w:sz="0" w:space="0" w:color="auto"/>
          </w:tblBorders>
          <w:tblCellMar>
            <w:left w:w="10" w:type="dxa"/>
            <w:right w:w="10" w:type="dxa"/>
          </w:tblCellMar>
        </w:tblPrEx>
        <w:trPr>
          <w:cantSplit/>
          <w:jc w:val="center"/>
        </w:trPr>
        <w:tc>
          <w:tcPr>
            <w:tcW w:w="1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EA305E" w14:textId="77777777" w:rsidR="00476035" w:rsidRPr="007F453D" w:rsidRDefault="00476035" w:rsidP="00FD61B7">
            <w:pPr>
              <w:pStyle w:val="Tabletext"/>
              <w:jc w:val="center"/>
            </w:pPr>
            <w:r w:rsidRPr="007F453D">
              <w:t>D14</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4E60BC" w14:textId="77777777" w:rsidR="00476035" w:rsidRPr="007F453D" w:rsidRDefault="00476035" w:rsidP="00FD61B7">
            <w:pPr>
              <w:pStyle w:val="Tabletext"/>
              <w:jc w:val="center"/>
            </w:pPr>
            <w:r w:rsidRPr="007F453D">
              <w:t>452.5-457.5</w:t>
            </w:r>
          </w:p>
        </w:tc>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1FD4A" w14:textId="77777777" w:rsidR="00476035" w:rsidRPr="007F453D" w:rsidRDefault="00476035" w:rsidP="00FD61B7">
            <w:pPr>
              <w:pStyle w:val="Tabletext"/>
              <w:jc w:val="center"/>
            </w:pPr>
            <w:r w:rsidRPr="007F453D">
              <w:t>5.0</w:t>
            </w:r>
          </w:p>
        </w:tc>
        <w:tc>
          <w:tcPr>
            <w:tcW w:w="1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BED66C" w14:textId="77777777" w:rsidR="00476035" w:rsidRPr="007F453D" w:rsidRDefault="00476035" w:rsidP="00FD61B7">
            <w:pPr>
              <w:pStyle w:val="Tabletext"/>
              <w:jc w:val="center"/>
            </w:pPr>
            <w:r w:rsidRPr="007F453D">
              <w:t>462.5-467.5</w:t>
            </w:r>
          </w:p>
        </w:tc>
        <w:tc>
          <w:tcPr>
            <w:tcW w:w="13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4E592" w14:textId="77777777" w:rsidR="00476035" w:rsidRPr="007F453D" w:rsidRDefault="00476035" w:rsidP="00FD61B7">
            <w:pPr>
              <w:pStyle w:val="Tabletext"/>
              <w:jc w:val="center"/>
            </w:pPr>
            <w:r w:rsidRPr="007F453D">
              <w:t>10</w:t>
            </w:r>
          </w:p>
        </w:tc>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7E0F1" w14:textId="77777777" w:rsidR="00476035" w:rsidRPr="007F453D" w:rsidRDefault="00476035" w:rsidP="00FD61B7">
            <w:pPr>
              <w:pStyle w:val="Tabletext"/>
              <w:jc w:val="center"/>
            </w:pPr>
            <w:r w:rsidRPr="007F453D">
              <w:t>None</w:t>
            </w:r>
          </w:p>
        </w:tc>
      </w:tr>
    </w:tbl>
    <w:p w14:paraId="13B87981" w14:textId="77777777" w:rsidR="00476035" w:rsidRPr="007F453D" w:rsidRDefault="00476035" w:rsidP="00476035">
      <w:pPr>
        <w:pStyle w:val="Tablefin"/>
      </w:pPr>
    </w:p>
    <w:p w14:paraId="2719F864" w14:textId="77777777" w:rsidR="00476035" w:rsidRPr="007F453D" w:rsidRDefault="00476035" w:rsidP="00476035">
      <w:pPr>
        <w:pStyle w:val="FigureNo"/>
      </w:pPr>
      <w:r w:rsidRPr="007F453D">
        <w:t>FIGURE 2</w:t>
      </w:r>
    </w:p>
    <w:p w14:paraId="2A5AD631" w14:textId="77777777" w:rsidR="00476035" w:rsidRPr="007F453D" w:rsidRDefault="00476035" w:rsidP="00476035">
      <w:pPr>
        <w:pStyle w:val="Figuretitle"/>
      </w:pPr>
      <w:r w:rsidRPr="007F453D">
        <w:t>Frequency arrangements D8, D12, D13 and D14</w:t>
      </w:r>
    </w:p>
    <w:p w14:paraId="6A1FEE9F" w14:textId="6327B054" w:rsidR="00476035" w:rsidRDefault="00503E8D" w:rsidP="00503E8D">
      <w:pPr>
        <w:pStyle w:val="Figure"/>
      </w:pPr>
      <w:r>
        <w:rPr>
          <w:noProof/>
        </w:rPr>
        <w:drawing>
          <wp:inline distT="0" distB="0" distL="0" distR="0" wp14:anchorId="04A46C6C" wp14:editId="5115CA39">
            <wp:extent cx="5699772" cy="4072136"/>
            <wp:effectExtent l="0" t="0" r="0" b="5080"/>
            <wp:docPr id="10482291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29130"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699772" cy="4072136"/>
                    </a:xfrm>
                    <a:prstGeom prst="rect">
                      <a:avLst/>
                    </a:prstGeom>
                  </pic:spPr>
                </pic:pic>
              </a:graphicData>
            </a:graphic>
          </wp:inline>
        </w:drawing>
      </w:r>
      <w:r w:rsidR="00476035">
        <w:br w:type="page"/>
      </w:r>
    </w:p>
    <w:p w14:paraId="661239A1" w14:textId="77777777" w:rsidR="00476035" w:rsidRPr="00C50DFB" w:rsidRDefault="00476035" w:rsidP="00476035">
      <w:pPr>
        <w:pStyle w:val="StyleSectionNo14ptCenteredBefore24pt"/>
      </w:pPr>
      <w:bookmarkStart w:id="16" w:name="_Toc224135060"/>
      <w:r w:rsidRPr="00C50DFB">
        <w:lastRenderedPageBreak/>
        <w:t>SECTION 3</w:t>
      </w:r>
      <w:bookmarkEnd w:id="16"/>
    </w:p>
    <w:p w14:paraId="6439B698" w14:textId="77777777" w:rsidR="00476035" w:rsidRPr="007F453D" w:rsidRDefault="00476035" w:rsidP="00476035">
      <w:pPr>
        <w:pStyle w:val="Sectiontitle"/>
      </w:pPr>
      <w:bookmarkStart w:id="17" w:name="_Toc224135061"/>
      <w:r w:rsidRPr="007F453D">
        <w:t xml:space="preserve">Frequency arrangements in the </w:t>
      </w:r>
      <w:r w:rsidRPr="007F453D">
        <w:rPr>
          <w:lang w:eastAsia="zh-CN"/>
        </w:rPr>
        <w:t>470</w:t>
      </w:r>
      <w:r w:rsidRPr="007F453D">
        <w:t>-960 MHz frequency range</w:t>
      </w:r>
      <w:r w:rsidRPr="00505C12">
        <w:rPr>
          <w:b w:val="0"/>
          <w:position w:val="6"/>
          <w:sz w:val="18"/>
        </w:rPr>
        <w:footnoteReference w:id="3"/>
      </w:r>
      <w:bookmarkEnd w:id="17"/>
    </w:p>
    <w:p w14:paraId="151ECEA5" w14:textId="77777777" w:rsidR="00476035" w:rsidRPr="007F453D" w:rsidRDefault="00476035" w:rsidP="00476035">
      <w:pPr>
        <w:pStyle w:val="Normalaftertitle"/>
      </w:pPr>
      <w:r w:rsidRPr="007F453D">
        <w:t>The recommended frequency arrangements for implementation of IMT in the band 470</w:t>
      </w:r>
      <w:r w:rsidRPr="007F453D">
        <w:noBreakHyphen/>
        <w:t>960 MHz are summarized in Table 2 and in Fig. 3, noting the implementation aspects in Section 1 above.</w:t>
      </w:r>
    </w:p>
    <w:p w14:paraId="59EA5938" w14:textId="77777777" w:rsidR="00476035" w:rsidRPr="007F453D" w:rsidRDefault="00476035" w:rsidP="00476035">
      <w:pPr>
        <w:pStyle w:val="TableNo"/>
      </w:pPr>
      <w:r w:rsidRPr="007F453D">
        <w:t>TABLE 2</w:t>
      </w:r>
    </w:p>
    <w:p w14:paraId="0E6DABEA" w14:textId="77777777" w:rsidR="00476035" w:rsidRPr="007F453D" w:rsidRDefault="00476035" w:rsidP="00476035">
      <w:pPr>
        <w:pStyle w:val="Tabletitle"/>
      </w:pPr>
      <w:r w:rsidRPr="007F453D">
        <w:t>Frequency arrangements in the 610-960 MHz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789"/>
        <w:gridCol w:w="1515"/>
        <w:gridCol w:w="1379"/>
        <w:gridCol w:w="1515"/>
        <w:gridCol w:w="1652"/>
      </w:tblGrid>
      <w:tr w:rsidR="00476035" w:rsidRPr="007F453D" w14:paraId="6EB700FC" w14:textId="77777777" w:rsidTr="00FD61B7">
        <w:trPr>
          <w:jc w:val="center"/>
        </w:trPr>
        <w:tc>
          <w:tcPr>
            <w:tcW w:w="1789" w:type="dxa"/>
            <w:vMerge w:val="restart"/>
            <w:vAlign w:val="center"/>
          </w:tcPr>
          <w:p w14:paraId="2068D912" w14:textId="77777777" w:rsidR="00476035" w:rsidRPr="007F453D" w:rsidRDefault="00476035" w:rsidP="00FD61B7">
            <w:pPr>
              <w:pStyle w:val="Tablehead"/>
            </w:pPr>
            <w:r w:rsidRPr="007F453D">
              <w:t>Frequency arrangements</w:t>
            </w:r>
          </w:p>
        </w:tc>
        <w:tc>
          <w:tcPr>
            <w:tcW w:w="6198" w:type="dxa"/>
            <w:gridSpan w:val="4"/>
            <w:vAlign w:val="center"/>
          </w:tcPr>
          <w:p w14:paraId="715C4FB1" w14:textId="77777777" w:rsidR="00476035" w:rsidRPr="007F453D" w:rsidRDefault="00476035" w:rsidP="00FD61B7">
            <w:pPr>
              <w:pStyle w:val="Tablehead"/>
              <w:rPr>
                <w:bCs/>
              </w:rPr>
            </w:pPr>
            <w:r w:rsidRPr="007F453D">
              <w:rPr>
                <w:bCs/>
              </w:rPr>
              <w:t>Paired arrangements (FDD)</w:t>
            </w:r>
          </w:p>
        </w:tc>
        <w:tc>
          <w:tcPr>
            <w:tcW w:w="1652" w:type="dxa"/>
            <w:vMerge w:val="restart"/>
            <w:vAlign w:val="center"/>
          </w:tcPr>
          <w:p w14:paraId="7D6A366D" w14:textId="77777777" w:rsidR="00476035" w:rsidRPr="007F453D" w:rsidRDefault="00476035" w:rsidP="00FD61B7">
            <w:pPr>
              <w:pStyle w:val="Tablehead"/>
            </w:pPr>
            <w:r w:rsidRPr="007F453D">
              <w:t>Un-paired arrangements</w:t>
            </w:r>
            <w:r w:rsidRPr="007F453D">
              <w:br/>
              <w:t>(TDD)</w:t>
            </w:r>
            <w:r w:rsidRPr="007F453D">
              <w:br/>
              <w:t>(MHz)</w:t>
            </w:r>
          </w:p>
        </w:tc>
      </w:tr>
      <w:tr w:rsidR="00476035" w:rsidRPr="007F453D" w14:paraId="04912D1F" w14:textId="77777777" w:rsidTr="00FD61B7">
        <w:trPr>
          <w:jc w:val="center"/>
        </w:trPr>
        <w:tc>
          <w:tcPr>
            <w:tcW w:w="1789" w:type="dxa"/>
            <w:vMerge/>
            <w:vAlign w:val="center"/>
          </w:tcPr>
          <w:p w14:paraId="7DADBA74" w14:textId="77777777" w:rsidR="00476035" w:rsidRPr="007F453D" w:rsidRDefault="00476035" w:rsidP="00FD61B7">
            <w:pPr>
              <w:keepNext/>
              <w:spacing w:before="80" w:after="80"/>
              <w:jc w:val="center"/>
              <w:rPr>
                <w:rFonts w:ascii="Times New Roman Bold" w:hAnsi="Times New Roman Bold" w:cs="Times New Roman Bold"/>
                <w:b/>
                <w:sz w:val="20"/>
              </w:rPr>
            </w:pPr>
          </w:p>
        </w:tc>
        <w:tc>
          <w:tcPr>
            <w:tcW w:w="1789" w:type="dxa"/>
            <w:vAlign w:val="center"/>
          </w:tcPr>
          <w:p w14:paraId="0CD6FE89" w14:textId="77777777" w:rsidR="00476035" w:rsidRPr="007F453D" w:rsidRDefault="00476035" w:rsidP="00FD61B7">
            <w:pPr>
              <w:pStyle w:val="Tablehead"/>
            </w:pPr>
            <w:r w:rsidRPr="007F453D">
              <w:t>Mobile station</w:t>
            </w:r>
            <w:r w:rsidRPr="007F453D">
              <w:br/>
              <w:t>transmitter</w:t>
            </w:r>
            <w:r w:rsidRPr="007F453D">
              <w:br/>
              <w:t>(MHz)</w:t>
            </w:r>
          </w:p>
        </w:tc>
        <w:tc>
          <w:tcPr>
            <w:tcW w:w="1515" w:type="dxa"/>
            <w:vAlign w:val="center"/>
          </w:tcPr>
          <w:p w14:paraId="2EEF9421" w14:textId="77777777" w:rsidR="00476035" w:rsidRPr="007F453D" w:rsidRDefault="00476035" w:rsidP="00FD61B7">
            <w:pPr>
              <w:pStyle w:val="Tablehead"/>
            </w:pPr>
            <w:r w:rsidRPr="007F453D">
              <w:t>Centre gap</w:t>
            </w:r>
            <w:r w:rsidRPr="007F453D">
              <w:br/>
              <w:t>(MHz)</w:t>
            </w:r>
          </w:p>
        </w:tc>
        <w:tc>
          <w:tcPr>
            <w:tcW w:w="1379" w:type="dxa"/>
            <w:vAlign w:val="center"/>
          </w:tcPr>
          <w:p w14:paraId="38127EF8" w14:textId="77777777" w:rsidR="00476035" w:rsidRPr="007F453D" w:rsidRDefault="00476035" w:rsidP="00FD61B7">
            <w:pPr>
              <w:pStyle w:val="Tablehead"/>
            </w:pPr>
            <w:r w:rsidRPr="007F453D">
              <w:t>Base station</w:t>
            </w:r>
            <w:r w:rsidRPr="007F453D">
              <w:br/>
              <w:t>transmitter</w:t>
            </w:r>
            <w:r w:rsidRPr="007F453D">
              <w:br/>
              <w:t>(MHz)</w:t>
            </w:r>
          </w:p>
        </w:tc>
        <w:tc>
          <w:tcPr>
            <w:tcW w:w="1515" w:type="dxa"/>
            <w:vAlign w:val="center"/>
          </w:tcPr>
          <w:p w14:paraId="389DC6C9" w14:textId="77777777" w:rsidR="00476035" w:rsidRPr="007F453D" w:rsidRDefault="00476035" w:rsidP="00FD61B7">
            <w:pPr>
              <w:pStyle w:val="Tablehead"/>
            </w:pPr>
            <w:r w:rsidRPr="007F453D">
              <w:t>Duplex separation</w:t>
            </w:r>
            <w:r w:rsidRPr="007F453D">
              <w:rPr>
                <w:vertAlign w:val="superscript"/>
              </w:rPr>
              <w:br/>
            </w:r>
            <w:r w:rsidRPr="007F453D">
              <w:t>(MHz)</w:t>
            </w:r>
          </w:p>
        </w:tc>
        <w:tc>
          <w:tcPr>
            <w:tcW w:w="1652" w:type="dxa"/>
            <w:vMerge/>
            <w:vAlign w:val="center"/>
          </w:tcPr>
          <w:p w14:paraId="17DFECEE"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78854A68" w14:textId="77777777" w:rsidTr="00FD61B7">
        <w:trPr>
          <w:jc w:val="center"/>
        </w:trPr>
        <w:tc>
          <w:tcPr>
            <w:tcW w:w="1789" w:type="dxa"/>
          </w:tcPr>
          <w:p w14:paraId="507CBCC0" w14:textId="77777777" w:rsidR="00476035" w:rsidRPr="007F453D" w:rsidRDefault="00476035" w:rsidP="00FD61B7">
            <w:pPr>
              <w:pStyle w:val="Tabletext"/>
              <w:jc w:val="center"/>
            </w:pPr>
            <w:r w:rsidRPr="007F453D">
              <w:t>A1</w:t>
            </w:r>
          </w:p>
        </w:tc>
        <w:tc>
          <w:tcPr>
            <w:tcW w:w="1789" w:type="dxa"/>
          </w:tcPr>
          <w:p w14:paraId="5C61FE52" w14:textId="77777777" w:rsidR="00476035" w:rsidRPr="007F453D" w:rsidRDefault="00476035" w:rsidP="00FD61B7">
            <w:pPr>
              <w:pStyle w:val="Tabletext"/>
              <w:jc w:val="center"/>
            </w:pPr>
            <w:r w:rsidRPr="007F453D">
              <w:t>824-849</w:t>
            </w:r>
          </w:p>
        </w:tc>
        <w:tc>
          <w:tcPr>
            <w:tcW w:w="1515" w:type="dxa"/>
          </w:tcPr>
          <w:p w14:paraId="36667132" w14:textId="77777777" w:rsidR="00476035" w:rsidRPr="007F453D" w:rsidRDefault="00476035" w:rsidP="00FD61B7">
            <w:pPr>
              <w:pStyle w:val="Tabletext"/>
              <w:jc w:val="center"/>
            </w:pPr>
            <w:r w:rsidRPr="007F453D">
              <w:t>20</w:t>
            </w:r>
          </w:p>
        </w:tc>
        <w:tc>
          <w:tcPr>
            <w:tcW w:w="1379" w:type="dxa"/>
          </w:tcPr>
          <w:p w14:paraId="13116A1A" w14:textId="77777777" w:rsidR="00476035" w:rsidRPr="007F453D" w:rsidRDefault="00476035" w:rsidP="00FD61B7">
            <w:pPr>
              <w:pStyle w:val="Tabletext"/>
              <w:jc w:val="center"/>
            </w:pPr>
            <w:r w:rsidRPr="007F453D">
              <w:t>869-894</w:t>
            </w:r>
          </w:p>
        </w:tc>
        <w:tc>
          <w:tcPr>
            <w:tcW w:w="1515" w:type="dxa"/>
          </w:tcPr>
          <w:p w14:paraId="1E20203E" w14:textId="77777777" w:rsidR="00476035" w:rsidRPr="007F453D" w:rsidRDefault="00476035" w:rsidP="00FD61B7">
            <w:pPr>
              <w:pStyle w:val="Tabletext"/>
              <w:jc w:val="center"/>
            </w:pPr>
            <w:r w:rsidRPr="007F453D">
              <w:t>45</w:t>
            </w:r>
          </w:p>
        </w:tc>
        <w:tc>
          <w:tcPr>
            <w:tcW w:w="1652" w:type="dxa"/>
          </w:tcPr>
          <w:p w14:paraId="5181B839" w14:textId="77777777" w:rsidR="00476035" w:rsidRPr="007F453D" w:rsidRDefault="00476035" w:rsidP="00FD61B7">
            <w:pPr>
              <w:pStyle w:val="Tabletext"/>
              <w:jc w:val="center"/>
            </w:pPr>
            <w:r w:rsidRPr="007F453D">
              <w:t>None</w:t>
            </w:r>
          </w:p>
        </w:tc>
      </w:tr>
      <w:tr w:rsidR="00476035" w:rsidRPr="007F453D" w14:paraId="19E032FB" w14:textId="77777777" w:rsidTr="00FD61B7">
        <w:trPr>
          <w:jc w:val="center"/>
        </w:trPr>
        <w:tc>
          <w:tcPr>
            <w:tcW w:w="1789" w:type="dxa"/>
          </w:tcPr>
          <w:p w14:paraId="2C84609C" w14:textId="77777777" w:rsidR="00476035" w:rsidRPr="007F453D" w:rsidRDefault="00476035" w:rsidP="00FD61B7">
            <w:pPr>
              <w:pStyle w:val="Tabletext"/>
              <w:jc w:val="center"/>
            </w:pPr>
            <w:r w:rsidRPr="007F453D">
              <w:t>A2</w:t>
            </w:r>
          </w:p>
        </w:tc>
        <w:tc>
          <w:tcPr>
            <w:tcW w:w="1789" w:type="dxa"/>
          </w:tcPr>
          <w:p w14:paraId="6D7AF8A4" w14:textId="77777777" w:rsidR="00476035" w:rsidRPr="007F453D" w:rsidRDefault="00476035" w:rsidP="00FD61B7">
            <w:pPr>
              <w:pStyle w:val="Tabletext"/>
              <w:jc w:val="center"/>
            </w:pPr>
            <w:r w:rsidRPr="007F453D">
              <w:t>880-915</w:t>
            </w:r>
          </w:p>
        </w:tc>
        <w:tc>
          <w:tcPr>
            <w:tcW w:w="1515" w:type="dxa"/>
          </w:tcPr>
          <w:p w14:paraId="21A19FB8" w14:textId="77777777" w:rsidR="00476035" w:rsidRPr="007F453D" w:rsidRDefault="00476035" w:rsidP="00FD61B7">
            <w:pPr>
              <w:pStyle w:val="Tabletext"/>
              <w:jc w:val="center"/>
            </w:pPr>
            <w:r w:rsidRPr="007F453D">
              <w:t>10</w:t>
            </w:r>
          </w:p>
        </w:tc>
        <w:tc>
          <w:tcPr>
            <w:tcW w:w="1379" w:type="dxa"/>
          </w:tcPr>
          <w:p w14:paraId="50791E4C" w14:textId="77777777" w:rsidR="00476035" w:rsidRPr="007F453D" w:rsidRDefault="00476035" w:rsidP="00FD61B7">
            <w:pPr>
              <w:pStyle w:val="Tabletext"/>
              <w:jc w:val="center"/>
            </w:pPr>
            <w:r w:rsidRPr="007F453D">
              <w:t>925-960</w:t>
            </w:r>
          </w:p>
        </w:tc>
        <w:tc>
          <w:tcPr>
            <w:tcW w:w="1515" w:type="dxa"/>
          </w:tcPr>
          <w:p w14:paraId="518C3C40" w14:textId="77777777" w:rsidR="00476035" w:rsidRPr="007F453D" w:rsidRDefault="00476035" w:rsidP="00FD61B7">
            <w:pPr>
              <w:pStyle w:val="Tabletext"/>
              <w:jc w:val="center"/>
            </w:pPr>
            <w:r w:rsidRPr="007F453D">
              <w:t>45</w:t>
            </w:r>
          </w:p>
        </w:tc>
        <w:tc>
          <w:tcPr>
            <w:tcW w:w="1652" w:type="dxa"/>
          </w:tcPr>
          <w:p w14:paraId="0BF039A5" w14:textId="77777777" w:rsidR="00476035" w:rsidRPr="007F453D" w:rsidRDefault="00476035" w:rsidP="00FD61B7">
            <w:pPr>
              <w:pStyle w:val="Tabletext"/>
              <w:jc w:val="center"/>
            </w:pPr>
            <w:r w:rsidRPr="007F453D">
              <w:t>None</w:t>
            </w:r>
          </w:p>
        </w:tc>
      </w:tr>
      <w:tr w:rsidR="00476035" w:rsidRPr="007F453D" w14:paraId="48FA4D57" w14:textId="77777777" w:rsidTr="00FD61B7">
        <w:trPr>
          <w:jc w:val="center"/>
        </w:trPr>
        <w:tc>
          <w:tcPr>
            <w:tcW w:w="1789" w:type="dxa"/>
          </w:tcPr>
          <w:p w14:paraId="491077F6" w14:textId="77777777" w:rsidR="00476035" w:rsidRPr="007F453D" w:rsidRDefault="00476035" w:rsidP="00FD61B7">
            <w:pPr>
              <w:pStyle w:val="Tabletext"/>
              <w:jc w:val="center"/>
            </w:pPr>
            <w:r w:rsidRPr="007F453D">
              <w:t>A3</w:t>
            </w:r>
          </w:p>
        </w:tc>
        <w:tc>
          <w:tcPr>
            <w:tcW w:w="1789" w:type="dxa"/>
          </w:tcPr>
          <w:p w14:paraId="17D6FBBA" w14:textId="77777777" w:rsidR="00476035" w:rsidRPr="007F453D" w:rsidRDefault="00476035" w:rsidP="00FD61B7">
            <w:pPr>
              <w:pStyle w:val="Tabletext"/>
              <w:jc w:val="center"/>
            </w:pPr>
            <w:r w:rsidRPr="007F453D">
              <w:t>832-862</w:t>
            </w:r>
          </w:p>
        </w:tc>
        <w:tc>
          <w:tcPr>
            <w:tcW w:w="1515" w:type="dxa"/>
          </w:tcPr>
          <w:p w14:paraId="2D83BC81" w14:textId="77777777" w:rsidR="00476035" w:rsidRPr="007F453D" w:rsidRDefault="00476035" w:rsidP="00FD61B7">
            <w:pPr>
              <w:pStyle w:val="Tabletext"/>
              <w:jc w:val="center"/>
            </w:pPr>
            <w:r w:rsidRPr="007F453D">
              <w:t>11</w:t>
            </w:r>
          </w:p>
        </w:tc>
        <w:tc>
          <w:tcPr>
            <w:tcW w:w="1379" w:type="dxa"/>
          </w:tcPr>
          <w:p w14:paraId="31E3619A" w14:textId="77777777" w:rsidR="00476035" w:rsidRPr="007F453D" w:rsidRDefault="00476035" w:rsidP="00FD61B7">
            <w:pPr>
              <w:pStyle w:val="Tabletext"/>
              <w:jc w:val="center"/>
            </w:pPr>
            <w:r w:rsidRPr="007F453D">
              <w:t>791-821</w:t>
            </w:r>
          </w:p>
        </w:tc>
        <w:tc>
          <w:tcPr>
            <w:tcW w:w="1515" w:type="dxa"/>
          </w:tcPr>
          <w:p w14:paraId="7B242862" w14:textId="77777777" w:rsidR="00476035" w:rsidRPr="007F453D" w:rsidRDefault="00476035" w:rsidP="00FD61B7">
            <w:pPr>
              <w:pStyle w:val="Tabletext"/>
              <w:jc w:val="center"/>
            </w:pPr>
            <w:r w:rsidRPr="007F453D">
              <w:t>41</w:t>
            </w:r>
          </w:p>
        </w:tc>
        <w:tc>
          <w:tcPr>
            <w:tcW w:w="1652" w:type="dxa"/>
          </w:tcPr>
          <w:p w14:paraId="352E36D5" w14:textId="77777777" w:rsidR="00476035" w:rsidRPr="007F453D" w:rsidRDefault="00476035" w:rsidP="00FD61B7">
            <w:pPr>
              <w:pStyle w:val="Tabletext"/>
              <w:jc w:val="center"/>
            </w:pPr>
            <w:r w:rsidRPr="007F453D">
              <w:t>None</w:t>
            </w:r>
          </w:p>
        </w:tc>
      </w:tr>
      <w:tr w:rsidR="00476035" w:rsidRPr="007F453D" w14:paraId="11375B75" w14:textId="77777777" w:rsidTr="00FD61B7">
        <w:trPr>
          <w:jc w:val="center"/>
        </w:trPr>
        <w:tc>
          <w:tcPr>
            <w:tcW w:w="1789" w:type="dxa"/>
          </w:tcPr>
          <w:p w14:paraId="4575D2C7" w14:textId="77777777" w:rsidR="00476035" w:rsidRPr="007F453D" w:rsidRDefault="00476035" w:rsidP="00FD61B7">
            <w:pPr>
              <w:pStyle w:val="Tabletext"/>
              <w:jc w:val="center"/>
            </w:pPr>
            <w:r w:rsidRPr="007F453D">
              <w:t>A4</w:t>
            </w:r>
          </w:p>
        </w:tc>
        <w:tc>
          <w:tcPr>
            <w:tcW w:w="1789" w:type="dxa"/>
          </w:tcPr>
          <w:p w14:paraId="542403C5" w14:textId="77777777" w:rsidR="00476035" w:rsidRPr="007F453D" w:rsidRDefault="00476035" w:rsidP="00FD61B7">
            <w:pPr>
              <w:pStyle w:val="Tabletext"/>
              <w:jc w:val="center"/>
            </w:pPr>
            <w:r w:rsidRPr="007F453D">
              <w:t>698-716</w:t>
            </w:r>
            <w:r w:rsidRPr="007F453D">
              <w:br/>
              <w:t>776-793</w:t>
            </w:r>
          </w:p>
        </w:tc>
        <w:tc>
          <w:tcPr>
            <w:tcW w:w="1515" w:type="dxa"/>
          </w:tcPr>
          <w:p w14:paraId="04B1707D" w14:textId="77777777" w:rsidR="00476035" w:rsidRPr="007F453D" w:rsidRDefault="00476035" w:rsidP="00FD61B7">
            <w:pPr>
              <w:pStyle w:val="Tabletext"/>
              <w:jc w:val="center"/>
            </w:pPr>
            <w:r w:rsidRPr="007F453D">
              <w:t>12</w:t>
            </w:r>
            <w:r w:rsidRPr="007F453D">
              <w:br/>
              <w:t>13</w:t>
            </w:r>
          </w:p>
        </w:tc>
        <w:tc>
          <w:tcPr>
            <w:tcW w:w="1379" w:type="dxa"/>
          </w:tcPr>
          <w:p w14:paraId="26352FAC" w14:textId="77777777" w:rsidR="00476035" w:rsidRPr="007F453D" w:rsidRDefault="00476035" w:rsidP="00FD61B7">
            <w:pPr>
              <w:pStyle w:val="Tabletext"/>
              <w:jc w:val="center"/>
            </w:pPr>
            <w:r w:rsidRPr="007F453D">
              <w:t>728-746</w:t>
            </w:r>
            <w:r w:rsidRPr="007F453D">
              <w:br/>
              <w:t>746-763</w:t>
            </w:r>
          </w:p>
        </w:tc>
        <w:tc>
          <w:tcPr>
            <w:tcW w:w="1515" w:type="dxa"/>
          </w:tcPr>
          <w:p w14:paraId="61729F2A" w14:textId="77777777" w:rsidR="00476035" w:rsidRPr="007F453D" w:rsidRDefault="00476035" w:rsidP="00FD61B7">
            <w:pPr>
              <w:pStyle w:val="Tabletext"/>
              <w:jc w:val="center"/>
            </w:pPr>
            <w:r w:rsidRPr="007F453D">
              <w:t>30</w:t>
            </w:r>
            <w:r w:rsidRPr="007F453D">
              <w:br/>
              <w:t>30</w:t>
            </w:r>
          </w:p>
        </w:tc>
        <w:tc>
          <w:tcPr>
            <w:tcW w:w="1652" w:type="dxa"/>
          </w:tcPr>
          <w:p w14:paraId="05510B9E" w14:textId="77777777" w:rsidR="00476035" w:rsidRPr="007F453D" w:rsidRDefault="00476035" w:rsidP="00FD61B7">
            <w:pPr>
              <w:pStyle w:val="Tabletext"/>
              <w:jc w:val="center"/>
            </w:pPr>
            <w:r w:rsidRPr="007F453D">
              <w:t>716-728</w:t>
            </w:r>
          </w:p>
        </w:tc>
      </w:tr>
      <w:tr w:rsidR="00476035" w:rsidRPr="007F453D" w14:paraId="5D745051" w14:textId="77777777" w:rsidTr="00FD61B7">
        <w:trPr>
          <w:jc w:val="center"/>
        </w:trPr>
        <w:tc>
          <w:tcPr>
            <w:tcW w:w="1789" w:type="dxa"/>
          </w:tcPr>
          <w:p w14:paraId="13BC4DAE" w14:textId="77777777" w:rsidR="00476035" w:rsidRPr="007F453D" w:rsidRDefault="00476035" w:rsidP="00FD61B7">
            <w:pPr>
              <w:pStyle w:val="Tabletext"/>
              <w:jc w:val="center"/>
            </w:pPr>
            <w:r w:rsidRPr="007F453D">
              <w:t>A5</w:t>
            </w:r>
          </w:p>
        </w:tc>
        <w:tc>
          <w:tcPr>
            <w:tcW w:w="1789" w:type="dxa"/>
          </w:tcPr>
          <w:p w14:paraId="39FCCC33" w14:textId="77777777" w:rsidR="00476035" w:rsidRPr="007F453D" w:rsidRDefault="00476035" w:rsidP="00FD61B7">
            <w:pPr>
              <w:pStyle w:val="Tabletext"/>
              <w:jc w:val="center"/>
            </w:pPr>
            <w:r w:rsidRPr="007F453D">
              <w:t>703-748</w:t>
            </w:r>
          </w:p>
        </w:tc>
        <w:tc>
          <w:tcPr>
            <w:tcW w:w="1515" w:type="dxa"/>
          </w:tcPr>
          <w:p w14:paraId="32329F03" w14:textId="77777777" w:rsidR="00476035" w:rsidRPr="007F453D" w:rsidRDefault="00476035" w:rsidP="00FD61B7">
            <w:pPr>
              <w:pStyle w:val="Tabletext"/>
              <w:jc w:val="center"/>
            </w:pPr>
            <w:r w:rsidRPr="007F453D">
              <w:t>10</w:t>
            </w:r>
          </w:p>
        </w:tc>
        <w:tc>
          <w:tcPr>
            <w:tcW w:w="1379" w:type="dxa"/>
          </w:tcPr>
          <w:p w14:paraId="5B0B11CD" w14:textId="77777777" w:rsidR="00476035" w:rsidRPr="007F453D" w:rsidRDefault="00476035" w:rsidP="00FD61B7">
            <w:pPr>
              <w:pStyle w:val="Tabletext"/>
              <w:jc w:val="center"/>
            </w:pPr>
            <w:r w:rsidRPr="007F453D">
              <w:t>758-803</w:t>
            </w:r>
          </w:p>
        </w:tc>
        <w:tc>
          <w:tcPr>
            <w:tcW w:w="1515" w:type="dxa"/>
          </w:tcPr>
          <w:p w14:paraId="52B6CBE6" w14:textId="77777777" w:rsidR="00476035" w:rsidRPr="007F453D" w:rsidRDefault="00476035" w:rsidP="00FD61B7">
            <w:pPr>
              <w:pStyle w:val="Tabletext"/>
              <w:jc w:val="center"/>
            </w:pPr>
            <w:r w:rsidRPr="007F453D">
              <w:t>55</w:t>
            </w:r>
          </w:p>
        </w:tc>
        <w:tc>
          <w:tcPr>
            <w:tcW w:w="1652" w:type="dxa"/>
          </w:tcPr>
          <w:p w14:paraId="49B91C02" w14:textId="77777777" w:rsidR="00476035" w:rsidRPr="007F453D" w:rsidRDefault="00476035" w:rsidP="00FD61B7">
            <w:pPr>
              <w:pStyle w:val="Tabletext"/>
              <w:jc w:val="center"/>
            </w:pPr>
            <w:r w:rsidRPr="007F453D">
              <w:t>None</w:t>
            </w:r>
          </w:p>
        </w:tc>
      </w:tr>
      <w:tr w:rsidR="00476035" w:rsidRPr="007F453D" w14:paraId="254AD102" w14:textId="77777777" w:rsidTr="00FD61B7">
        <w:trPr>
          <w:jc w:val="center"/>
        </w:trPr>
        <w:tc>
          <w:tcPr>
            <w:tcW w:w="1789" w:type="dxa"/>
          </w:tcPr>
          <w:p w14:paraId="523A1A3A" w14:textId="77777777" w:rsidR="00476035" w:rsidRPr="007F453D" w:rsidRDefault="00476035" w:rsidP="00FD61B7">
            <w:pPr>
              <w:pStyle w:val="Tabletext"/>
              <w:jc w:val="center"/>
            </w:pPr>
            <w:r w:rsidRPr="007F453D">
              <w:t>A6</w:t>
            </w:r>
          </w:p>
        </w:tc>
        <w:tc>
          <w:tcPr>
            <w:tcW w:w="6198" w:type="dxa"/>
            <w:gridSpan w:val="4"/>
          </w:tcPr>
          <w:p w14:paraId="1A0D0501" w14:textId="77777777" w:rsidR="00476035" w:rsidRPr="007F453D" w:rsidRDefault="00476035" w:rsidP="00FD61B7">
            <w:pPr>
              <w:pStyle w:val="Tabletext"/>
              <w:jc w:val="center"/>
            </w:pPr>
            <w:r>
              <w:t>NOT APPLIED</w:t>
            </w:r>
          </w:p>
        </w:tc>
        <w:tc>
          <w:tcPr>
            <w:tcW w:w="1652" w:type="dxa"/>
          </w:tcPr>
          <w:p w14:paraId="0085BA5A" w14:textId="77777777" w:rsidR="00476035" w:rsidRPr="007F453D" w:rsidRDefault="00476035" w:rsidP="00FD61B7">
            <w:pPr>
              <w:pStyle w:val="Tabletext"/>
              <w:jc w:val="center"/>
            </w:pPr>
            <w:r w:rsidRPr="007F453D">
              <w:t>698-806</w:t>
            </w:r>
          </w:p>
        </w:tc>
      </w:tr>
      <w:tr w:rsidR="00476035" w:rsidRPr="007F453D" w14:paraId="17BEF79E" w14:textId="77777777" w:rsidTr="00FD61B7">
        <w:trPr>
          <w:jc w:val="center"/>
        </w:trPr>
        <w:tc>
          <w:tcPr>
            <w:tcW w:w="1789" w:type="dxa"/>
          </w:tcPr>
          <w:p w14:paraId="42410A0D" w14:textId="77777777" w:rsidR="00476035" w:rsidRPr="007F453D" w:rsidRDefault="00476035" w:rsidP="00FD61B7">
            <w:pPr>
              <w:pStyle w:val="Tabletext"/>
              <w:jc w:val="center"/>
              <w:rPr>
                <w:b/>
              </w:rPr>
            </w:pPr>
            <w:r w:rsidRPr="007F453D">
              <w:t>A7</w:t>
            </w:r>
          </w:p>
        </w:tc>
        <w:tc>
          <w:tcPr>
            <w:tcW w:w="1789" w:type="dxa"/>
            <w:tcBorders>
              <w:bottom w:val="single" w:sz="4" w:space="0" w:color="auto"/>
            </w:tcBorders>
          </w:tcPr>
          <w:p w14:paraId="542B6F46" w14:textId="77777777" w:rsidR="00476035" w:rsidRPr="007F453D" w:rsidRDefault="00476035" w:rsidP="00FD61B7">
            <w:pPr>
              <w:pStyle w:val="Tabletext"/>
              <w:jc w:val="center"/>
              <w:rPr>
                <w:b/>
              </w:rPr>
            </w:pPr>
            <w:r w:rsidRPr="007F453D">
              <w:t>703-733</w:t>
            </w:r>
          </w:p>
        </w:tc>
        <w:tc>
          <w:tcPr>
            <w:tcW w:w="1515" w:type="dxa"/>
            <w:tcBorders>
              <w:bottom w:val="single" w:sz="4" w:space="0" w:color="auto"/>
            </w:tcBorders>
          </w:tcPr>
          <w:p w14:paraId="2158AACC" w14:textId="77777777" w:rsidR="00476035" w:rsidRPr="007F453D" w:rsidRDefault="00476035" w:rsidP="00FD61B7">
            <w:pPr>
              <w:pStyle w:val="Tabletext"/>
              <w:jc w:val="center"/>
              <w:rPr>
                <w:b/>
              </w:rPr>
            </w:pPr>
            <w:r w:rsidRPr="007F453D">
              <w:t>25</w:t>
            </w:r>
          </w:p>
        </w:tc>
        <w:tc>
          <w:tcPr>
            <w:tcW w:w="1379" w:type="dxa"/>
            <w:tcBorders>
              <w:bottom w:val="single" w:sz="4" w:space="0" w:color="auto"/>
            </w:tcBorders>
          </w:tcPr>
          <w:p w14:paraId="619D09D5" w14:textId="77777777" w:rsidR="00476035" w:rsidRPr="007F453D" w:rsidRDefault="00476035" w:rsidP="00FD61B7">
            <w:pPr>
              <w:pStyle w:val="Tabletext"/>
              <w:jc w:val="center"/>
            </w:pPr>
            <w:r w:rsidRPr="007F453D">
              <w:t>758-788</w:t>
            </w:r>
          </w:p>
        </w:tc>
        <w:tc>
          <w:tcPr>
            <w:tcW w:w="1515" w:type="dxa"/>
            <w:tcBorders>
              <w:bottom w:val="single" w:sz="4" w:space="0" w:color="auto"/>
            </w:tcBorders>
          </w:tcPr>
          <w:p w14:paraId="608F1348" w14:textId="77777777" w:rsidR="00476035" w:rsidRPr="007F453D" w:rsidRDefault="00476035" w:rsidP="00FD61B7">
            <w:pPr>
              <w:pStyle w:val="Tabletext"/>
              <w:jc w:val="center"/>
              <w:rPr>
                <w:b/>
              </w:rPr>
            </w:pPr>
            <w:r w:rsidRPr="007F453D">
              <w:t>55</w:t>
            </w:r>
          </w:p>
        </w:tc>
        <w:tc>
          <w:tcPr>
            <w:tcW w:w="1652" w:type="dxa"/>
            <w:tcBorders>
              <w:bottom w:val="single" w:sz="4" w:space="0" w:color="auto"/>
            </w:tcBorders>
          </w:tcPr>
          <w:p w14:paraId="6BE3A85D" w14:textId="77777777" w:rsidR="00476035" w:rsidRPr="007F453D" w:rsidRDefault="00476035" w:rsidP="00FD61B7">
            <w:pPr>
              <w:pStyle w:val="Tabletext"/>
              <w:jc w:val="center"/>
              <w:rPr>
                <w:lang w:eastAsia="zh-CN"/>
              </w:rPr>
            </w:pPr>
            <w:r w:rsidRPr="007F453D">
              <w:t>None</w:t>
            </w:r>
          </w:p>
        </w:tc>
      </w:tr>
      <w:tr w:rsidR="00476035" w:rsidRPr="007F453D" w14:paraId="3D7F97B9" w14:textId="77777777" w:rsidTr="00FD61B7">
        <w:trPr>
          <w:jc w:val="center"/>
        </w:trPr>
        <w:tc>
          <w:tcPr>
            <w:tcW w:w="1789" w:type="dxa"/>
            <w:vAlign w:val="center"/>
          </w:tcPr>
          <w:p w14:paraId="142E1762" w14:textId="77777777" w:rsidR="00476035" w:rsidRPr="007F453D" w:rsidRDefault="00476035" w:rsidP="00FD61B7">
            <w:pPr>
              <w:pStyle w:val="Tabletext"/>
              <w:jc w:val="center"/>
            </w:pPr>
            <w:r w:rsidRPr="007F453D">
              <w:t>A8</w:t>
            </w:r>
          </w:p>
        </w:tc>
        <w:tc>
          <w:tcPr>
            <w:tcW w:w="1789" w:type="dxa"/>
            <w:vAlign w:val="center"/>
          </w:tcPr>
          <w:p w14:paraId="4743B9CE" w14:textId="77777777" w:rsidR="00476035" w:rsidRPr="007F453D" w:rsidRDefault="00476035" w:rsidP="00FD61B7">
            <w:pPr>
              <w:pStyle w:val="Tabletext"/>
              <w:jc w:val="center"/>
            </w:pPr>
            <w:r w:rsidRPr="007F453D">
              <w:t>698-703</w:t>
            </w:r>
          </w:p>
        </w:tc>
        <w:tc>
          <w:tcPr>
            <w:tcW w:w="1515" w:type="dxa"/>
            <w:vAlign w:val="center"/>
          </w:tcPr>
          <w:p w14:paraId="0C3BFE50" w14:textId="77777777" w:rsidR="00476035" w:rsidRPr="007F453D" w:rsidRDefault="00476035" w:rsidP="00FD61B7">
            <w:pPr>
              <w:pStyle w:val="Tabletext"/>
              <w:jc w:val="center"/>
            </w:pPr>
            <w:r w:rsidRPr="007F453D">
              <w:t>50</w:t>
            </w:r>
          </w:p>
        </w:tc>
        <w:tc>
          <w:tcPr>
            <w:tcW w:w="1379" w:type="dxa"/>
            <w:vAlign w:val="center"/>
          </w:tcPr>
          <w:p w14:paraId="7497FACE" w14:textId="77777777" w:rsidR="00476035" w:rsidRPr="007F453D" w:rsidRDefault="00476035" w:rsidP="00FD61B7">
            <w:pPr>
              <w:pStyle w:val="Tabletext"/>
              <w:jc w:val="center"/>
            </w:pPr>
            <w:r w:rsidRPr="007F453D">
              <w:t>753-758</w:t>
            </w:r>
          </w:p>
        </w:tc>
        <w:tc>
          <w:tcPr>
            <w:tcW w:w="1515" w:type="dxa"/>
            <w:vAlign w:val="center"/>
          </w:tcPr>
          <w:p w14:paraId="057DB670" w14:textId="77777777" w:rsidR="00476035" w:rsidRPr="007F453D" w:rsidRDefault="00476035" w:rsidP="00FD61B7">
            <w:pPr>
              <w:pStyle w:val="Tabletext"/>
              <w:jc w:val="center"/>
            </w:pPr>
            <w:r w:rsidRPr="007F453D">
              <w:t>55</w:t>
            </w:r>
          </w:p>
        </w:tc>
        <w:tc>
          <w:tcPr>
            <w:tcW w:w="1652" w:type="dxa"/>
            <w:vAlign w:val="center"/>
          </w:tcPr>
          <w:p w14:paraId="42CC9511" w14:textId="77777777" w:rsidR="00476035" w:rsidRPr="007F453D" w:rsidRDefault="00476035" w:rsidP="00FD61B7">
            <w:pPr>
              <w:pStyle w:val="Tabletext"/>
              <w:jc w:val="center"/>
            </w:pPr>
            <w:r w:rsidRPr="007F453D">
              <w:t>None</w:t>
            </w:r>
          </w:p>
        </w:tc>
      </w:tr>
      <w:tr w:rsidR="00476035" w:rsidRPr="007F453D" w14:paraId="4C2A96E2" w14:textId="77777777" w:rsidTr="00FD61B7">
        <w:trPr>
          <w:jc w:val="center"/>
        </w:trPr>
        <w:tc>
          <w:tcPr>
            <w:tcW w:w="1789" w:type="dxa"/>
            <w:tcBorders>
              <w:top w:val="single" w:sz="4" w:space="0" w:color="auto"/>
              <w:left w:val="single" w:sz="4" w:space="0" w:color="auto"/>
              <w:bottom w:val="single" w:sz="4" w:space="0" w:color="auto"/>
              <w:right w:val="single" w:sz="4" w:space="0" w:color="auto"/>
            </w:tcBorders>
          </w:tcPr>
          <w:p w14:paraId="62EC7949" w14:textId="77777777" w:rsidR="00476035" w:rsidRPr="007F453D" w:rsidRDefault="00476035" w:rsidP="00FD61B7">
            <w:pPr>
              <w:pStyle w:val="Tabletext"/>
              <w:jc w:val="center"/>
              <w:rPr>
                <w:b/>
              </w:rPr>
            </w:pPr>
            <w:r w:rsidRPr="007F453D">
              <w:t>A9</w:t>
            </w:r>
          </w:p>
        </w:tc>
        <w:tc>
          <w:tcPr>
            <w:tcW w:w="1789" w:type="dxa"/>
            <w:tcBorders>
              <w:top w:val="single" w:sz="4" w:space="0" w:color="auto"/>
              <w:left w:val="single" w:sz="4" w:space="0" w:color="auto"/>
              <w:bottom w:val="single" w:sz="4" w:space="0" w:color="auto"/>
              <w:right w:val="single" w:sz="4" w:space="0" w:color="auto"/>
            </w:tcBorders>
          </w:tcPr>
          <w:p w14:paraId="24F5C0A2" w14:textId="77777777" w:rsidR="00476035" w:rsidRPr="007F453D" w:rsidRDefault="00476035" w:rsidP="00FD61B7">
            <w:pPr>
              <w:pStyle w:val="Tabletext"/>
              <w:jc w:val="center"/>
              <w:rPr>
                <w:b/>
              </w:rPr>
            </w:pPr>
            <w:r w:rsidRPr="007F453D">
              <w:t>733-736</w:t>
            </w:r>
          </w:p>
        </w:tc>
        <w:tc>
          <w:tcPr>
            <w:tcW w:w="1515" w:type="dxa"/>
            <w:tcBorders>
              <w:top w:val="single" w:sz="4" w:space="0" w:color="auto"/>
              <w:left w:val="single" w:sz="4" w:space="0" w:color="auto"/>
              <w:bottom w:val="single" w:sz="4" w:space="0" w:color="auto"/>
              <w:right w:val="single" w:sz="4" w:space="0" w:color="auto"/>
            </w:tcBorders>
          </w:tcPr>
          <w:p w14:paraId="02EBDBE6" w14:textId="77777777" w:rsidR="00476035" w:rsidRPr="007F453D" w:rsidRDefault="00476035" w:rsidP="00FD61B7">
            <w:pPr>
              <w:pStyle w:val="Tabletext"/>
              <w:jc w:val="center"/>
              <w:rPr>
                <w:b/>
              </w:rPr>
            </w:pPr>
            <w:r w:rsidRPr="007F453D">
              <w:t>52</w:t>
            </w:r>
          </w:p>
        </w:tc>
        <w:tc>
          <w:tcPr>
            <w:tcW w:w="1379" w:type="dxa"/>
            <w:tcBorders>
              <w:top w:val="single" w:sz="4" w:space="0" w:color="auto"/>
              <w:left w:val="single" w:sz="4" w:space="0" w:color="auto"/>
              <w:bottom w:val="single" w:sz="4" w:space="0" w:color="auto"/>
              <w:right w:val="single" w:sz="4" w:space="0" w:color="auto"/>
            </w:tcBorders>
          </w:tcPr>
          <w:p w14:paraId="2D5FC040" w14:textId="77777777" w:rsidR="00476035" w:rsidRPr="007F453D" w:rsidRDefault="00476035" w:rsidP="00FD61B7">
            <w:pPr>
              <w:pStyle w:val="Tabletext"/>
              <w:jc w:val="center"/>
              <w:rPr>
                <w:b/>
              </w:rPr>
            </w:pPr>
            <w:r w:rsidRPr="007F453D">
              <w:t>788-791</w:t>
            </w:r>
          </w:p>
        </w:tc>
        <w:tc>
          <w:tcPr>
            <w:tcW w:w="1515" w:type="dxa"/>
            <w:tcBorders>
              <w:top w:val="single" w:sz="4" w:space="0" w:color="auto"/>
              <w:left w:val="single" w:sz="4" w:space="0" w:color="auto"/>
              <w:bottom w:val="single" w:sz="4" w:space="0" w:color="auto"/>
              <w:right w:val="single" w:sz="4" w:space="0" w:color="auto"/>
            </w:tcBorders>
          </w:tcPr>
          <w:p w14:paraId="4D5F2BD9" w14:textId="77777777" w:rsidR="00476035" w:rsidRPr="007F453D" w:rsidRDefault="00476035" w:rsidP="00FD61B7">
            <w:pPr>
              <w:pStyle w:val="Tabletext"/>
              <w:jc w:val="center"/>
              <w:rPr>
                <w:b/>
              </w:rPr>
            </w:pPr>
            <w:r w:rsidRPr="007F453D">
              <w:t>55</w:t>
            </w:r>
          </w:p>
        </w:tc>
        <w:tc>
          <w:tcPr>
            <w:tcW w:w="1652" w:type="dxa"/>
            <w:tcBorders>
              <w:top w:val="single" w:sz="4" w:space="0" w:color="auto"/>
              <w:left w:val="single" w:sz="4" w:space="0" w:color="auto"/>
              <w:bottom w:val="single" w:sz="4" w:space="0" w:color="auto"/>
              <w:right w:val="single" w:sz="4" w:space="0" w:color="auto"/>
            </w:tcBorders>
          </w:tcPr>
          <w:p w14:paraId="5721F115" w14:textId="77777777" w:rsidR="00476035" w:rsidRPr="007F453D" w:rsidRDefault="00476035" w:rsidP="00FD61B7">
            <w:pPr>
              <w:pStyle w:val="Tabletext"/>
              <w:jc w:val="center"/>
            </w:pPr>
            <w:r w:rsidRPr="007F453D">
              <w:t>None</w:t>
            </w:r>
          </w:p>
        </w:tc>
      </w:tr>
      <w:tr w:rsidR="00476035" w:rsidRPr="007F453D" w14:paraId="70499F8F" w14:textId="77777777" w:rsidTr="00FD61B7">
        <w:trPr>
          <w:jc w:val="center"/>
        </w:trPr>
        <w:tc>
          <w:tcPr>
            <w:tcW w:w="1789" w:type="dxa"/>
          </w:tcPr>
          <w:p w14:paraId="18EB374B" w14:textId="77777777" w:rsidR="00476035" w:rsidRPr="007F453D" w:rsidRDefault="00476035" w:rsidP="00FD61B7">
            <w:pPr>
              <w:pStyle w:val="Tabletext"/>
              <w:jc w:val="center"/>
            </w:pPr>
            <w:r w:rsidRPr="007F453D">
              <w:t>A10</w:t>
            </w:r>
          </w:p>
        </w:tc>
        <w:tc>
          <w:tcPr>
            <w:tcW w:w="1789" w:type="dxa"/>
            <w:tcBorders>
              <w:top w:val="single" w:sz="4" w:space="0" w:color="auto"/>
              <w:bottom w:val="single" w:sz="4" w:space="0" w:color="auto"/>
            </w:tcBorders>
          </w:tcPr>
          <w:p w14:paraId="12B4EDE6" w14:textId="77777777" w:rsidR="00476035" w:rsidRPr="007F453D" w:rsidRDefault="00476035" w:rsidP="00FD61B7">
            <w:pPr>
              <w:pStyle w:val="Tabletext"/>
              <w:jc w:val="center"/>
            </w:pPr>
            <w:r w:rsidRPr="007F453D">
              <w:t>External</w:t>
            </w:r>
          </w:p>
        </w:tc>
        <w:tc>
          <w:tcPr>
            <w:tcW w:w="1515" w:type="dxa"/>
            <w:tcBorders>
              <w:top w:val="single" w:sz="4" w:space="0" w:color="auto"/>
              <w:bottom w:val="single" w:sz="4" w:space="0" w:color="auto"/>
            </w:tcBorders>
          </w:tcPr>
          <w:p w14:paraId="42174621" w14:textId="77777777" w:rsidR="00476035" w:rsidRPr="007F453D" w:rsidRDefault="00476035" w:rsidP="00FD61B7">
            <w:pPr>
              <w:pStyle w:val="Tabletext"/>
              <w:jc w:val="center"/>
            </w:pPr>
            <w:r w:rsidRPr="00940063">
              <w:rPr>
                <w:sz w:val="20"/>
                <w:szCs w:val="18"/>
              </w:rPr>
              <w:t>NOT APPLICABLE</w:t>
            </w:r>
          </w:p>
        </w:tc>
        <w:tc>
          <w:tcPr>
            <w:tcW w:w="1379" w:type="dxa"/>
            <w:tcBorders>
              <w:top w:val="single" w:sz="4" w:space="0" w:color="auto"/>
              <w:bottom w:val="single" w:sz="4" w:space="0" w:color="auto"/>
            </w:tcBorders>
          </w:tcPr>
          <w:p w14:paraId="11EA34F6" w14:textId="77777777" w:rsidR="00476035" w:rsidRPr="007F453D" w:rsidRDefault="00476035" w:rsidP="00FD61B7">
            <w:pPr>
              <w:pStyle w:val="Tabletext"/>
              <w:jc w:val="center"/>
            </w:pPr>
            <w:r w:rsidRPr="007F453D">
              <w:t>738-758</w:t>
            </w:r>
          </w:p>
        </w:tc>
        <w:tc>
          <w:tcPr>
            <w:tcW w:w="1515" w:type="dxa"/>
            <w:tcBorders>
              <w:top w:val="single" w:sz="4" w:space="0" w:color="auto"/>
              <w:bottom w:val="single" w:sz="4" w:space="0" w:color="auto"/>
            </w:tcBorders>
          </w:tcPr>
          <w:p w14:paraId="60FE7418" w14:textId="77777777" w:rsidR="00476035" w:rsidRPr="007F453D" w:rsidRDefault="00476035" w:rsidP="00FD61B7">
            <w:pPr>
              <w:pStyle w:val="Tabletext"/>
              <w:jc w:val="center"/>
            </w:pPr>
            <w:r w:rsidRPr="00940063">
              <w:rPr>
                <w:sz w:val="20"/>
                <w:szCs w:val="18"/>
              </w:rPr>
              <w:t>NOT APPLICABLE</w:t>
            </w:r>
          </w:p>
        </w:tc>
        <w:tc>
          <w:tcPr>
            <w:tcW w:w="1652" w:type="dxa"/>
            <w:tcBorders>
              <w:top w:val="single" w:sz="4" w:space="0" w:color="auto"/>
              <w:bottom w:val="single" w:sz="4" w:space="0" w:color="auto"/>
            </w:tcBorders>
          </w:tcPr>
          <w:p w14:paraId="1CB89570" w14:textId="77777777" w:rsidR="00476035" w:rsidRPr="007F453D" w:rsidRDefault="00476035" w:rsidP="00FD61B7">
            <w:pPr>
              <w:pStyle w:val="Tabletext"/>
              <w:jc w:val="center"/>
            </w:pPr>
            <w:r w:rsidRPr="007F453D">
              <w:t>None</w:t>
            </w:r>
          </w:p>
        </w:tc>
      </w:tr>
      <w:tr w:rsidR="00476035" w:rsidRPr="007F453D" w14:paraId="77829517" w14:textId="77777777" w:rsidTr="00FD61B7">
        <w:trPr>
          <w:jc w:val="center"/>
        </w:trPr>
        <w:tc>
          <w:tcPr>
            <w:tcW w:w="1789" w:type="dxa"/>
            <w:vMerge w:val="restart"/>
          </w:tcPr>
          <w:p w14:paraId="537B21CA" w14:textId="0C78272E" w:rsidR="00476035" w:rsidRPr="007F453D" w:rsidRDefault="00476035" w:rsidP="00FD61B7">
            <w:pPr>
              <w:pStyle w:val="Tabletext"/>
              <w:jc w:val="center"/>
            </w:pPr>
            <w:r w:rsidRPr="007F453D">
              <w:t xml:space="preserve">A11 </w:t>
            </w:r>
            <w:r w:rsidR="00503E8D">
              <w:br/>
            </w:r>
            <w:r w:rsidRPr="007F453D">
              <w:t>(harmonized with A7 and A10)</w:t>
            </w:r>
          </w:p>
        </w:tc>
        <w:tc>
          <w:tcPr>
            <w:tcW w:w="1789" w:type="dxa"/>
            <w:tcBorders>
              <w:bottom w:val="dashed" w:sz="4" w:space="0" w:color="auto"/>
            </w:tcBorders>
          </w:tcPr>
          <w:p w14:paraId="35CC3181" w14:textId="77777777" w:rsidR="00476035" w:rsidRPr="007F453D" w:rsidRDefault="00476035" w:rsidP="00FD61B7">
            <w:pPr>
              <w:pStyle w:val="Tabletext"/>
              <w:jc w:val="center"/>
            </w:pPr>
            <w:r w:rsidRPr="007F453D">
              <w:t>703-733</w:t>
            </w:r>
          </w:p>
        </w:tc>
        <w:tc>
          <w:tcPr>
            <w:tcW w:w="1515" w:type="dxa"/>
            <w:tcBorders>
              <w:bottom w:val="dashed" w:sz="4" w:space="0" w:color="auto"/>
            </w:tcBorders>
          </w:tcPr>
          <w:p w14:paraId="7593E3A6" w14:textId="77777777" w:rsidR="00476035" w:rsidRPr="007F453D" w:rsidRDefault="00476035" w:rsidP="00FD61B7">
            <w:pPr>
              <w:pStyle w:val="Tabletext"/>
              <w:jc w:val="center"/>
            </w:pPr>
            <w:r w:rsidRPr="007F453D">
              <w:t>25</w:t>
            </w:r>
          </w:p>
        </w:tc>
        <w:tc>
          <w:tcPr>
            <w:tcW w:w="1379" w:type="dxa"/>
            <w:tcBorders>
              <w:bottom w:val="dashed" w:sz="4" w:space="0" w:color="auto"/>
            </w:tcBorders>
          </w:tcPr>
          <w:p w14:paraId="45914393" w14:textId="77777777" w:rsidR="00476035" w:rsidRPr="007F453D" w:rsidRDefault="00476035" w:rsidP="00FD61B7">
            <w:pPr>
              <w:pStyle w:val="Tabletext"/>
              <w:jc w:val="center"/>
            </w:pPr>
            <w:r w:rsidRPr="007F453D">
              <w:t>758-788</w:t>
            </w:r>
          </w:p>
        </w:tc>
        <w:tc>
          <w:tcPr>
            <w:tcW w:w="1515" w:type="dxa"/>
            <w:tcBorders>
              <w:bottom w:val="dashed" w:sz="4" w:space="0" w:color="auto"/>
            </w:tcBorders>
          </w:tcPr>
          <w:p w14:paraId="70DA4A5F" w14:textId="77777777" w:rsidR="00476035" w:rsidRPr="007F453D" w:rsidRDefault="00476035" w:rsidP="00FD61B7">
            <w:pPr>
              <w:pStyle w:val="Tabletext"/>
              <w:jc w:val="center"/>
            </w:pPr>
            <w:r w:rsidRPr="007F453D">
              <w:t>55</w:t>
            </w:r>
          </w:p>
        </w:tc>
        <w:tc>
          <w:tcPr>
            <w:tcW w:w="1652" w:type="dxa"/>
            <w:vMerge w:val="restart"/>
            <w:vAlign w:val="center"/>
          </w:tcPr>
          <w:p w14:paraId="016414E7" w14:textId="77777777" w:rsidR="00476035" w:rsidRPr="007F453D" w:rsidRDefault="00476035" w:rsidP="00FD61B7">
            <w:pPr>
              <w:pStyle w:val="Tabletext"/>
              <w:jc w:val="center"/>
            </w:pPr>
            <w:r w:rsidRPr="007F453D">
              <w:t>None</w:t>
            </w:r>
          </w:p>
        </w:tc>
      </w:tr>
      <w:tr w:rsidR="00476035" w:rsidRPr="007F453D" w14:paraId="37F89E0A" w14:textId="77777777" w:rsidTr="00FD61B7">
        <w:trPr>
          <w:jc w:val="center"/>
        </w:trPr>
        <w:tc>
          <w:tcPr>
            <w:tcW w:w="1789" w:type="dxa"/>
            <w:vMerge/>
            <w:tcBorders>
              <w:right w:val="single" w:sz="4" w:space="0" w:color="auto"/>
            </w:tcBorders>
          </w:tcPr>
          <w:p w14:paraId="679E95E1" w14:textId="77777777" w:rsidR="00476035" w:rsidRPr="007F453D" w:rsidRDefault="00476035" w:rsidP="00FD61B7">
            <w:pPr>
              <w:pStyle w:val="Tabletext"/>
              <w:jc w:val="center"/>
            </w:pPr>
          </w:p>
        </w:tc>
        <w:tc>
          <w:tcPr>
            <w:tcW w:w="1789" w:type="dxa"/>
            <w:tcBorders>
              <w:top w:val="dashed" w:sz="4" w:space="0" w:color="auto"/>
              <w:left w:val="single" w:sz="4" w:space="0" w:color="auto"/>
              <w:bottom w:val="single" w:sz="4" w:space="0" w:color="auto"/>
              <w:right w:val="single" w:sz="4" w:space="0" w:color="auto"/>
            </w:tcBorders>
          </w:tcPr>
          <w:p w14:paraId="49E8CE27" w14:textId="77777777" w:rsidR="00476035" w:rsidRPr="007F453D" w:rsidRDefault="00476035" w:rsidP="00FD61B7">
            <w:pPr>
              <w:pStyle w:val="Tabletext"/>
              <w:jc w:val="center"/>
            </w:pPr>
            <w:r w:rsidRPr="007F453D">
              <w:t>External</w:t>
            </w:r>
          </w:p>
        </w:tc>
        <w:tc>
          <w:tcPr>
            <w:tcW w:w="1515" w:type="dxa"/>
            <w:tcBorders>
              <w:top w:val="dashed" w:sz="4" w:space="0" w:color="auto"/>
              <w:left w:val="single" w:sz="4" w:space="0" w:color="auto"/>
              <w:bottom w:val="single" w:sz="4" w:space="0" w:color="auto"/>
              <w:right w:val="single" w:sz="4" w:space="0" w:color="auto"/>
            </w:tcBorders>
          </w:tcPr>
          <w:p w14:paraId="033979D9" w14:textId="77777777" w:rsidR="00476035" w:rsidRPr="007F453D" w:rsidRDefault="00476035" w:rsidP="00FD61B7">
            <w:pPr>
              <w:pStyle w:val="Tabletext"/>
              <w:jc w:val="center"/>
            </w:pPr>
            <w:r w:rsidRPr="00940063">
              <w:rPr>
                <w:sz w:val="20"/>
                <w:szCs w:val="18"/>
              </w:rPr>
              <w:t>NOT APPLICABLE</w:t>
            </w:r>
          </w:p>
        </w:tc>
        <w:tc>
          <w:tcPr>
            <w:tcW w:w="1379" w:type="dxa"/>
            <w:tcBorders>
              <w:top w:val="dashed" w:sz="4" w:space="0" w:color="auto"/>
              <w:left w:val="single" w:sz="4" w:space="0" w:color="auto"/>
              <w:bottom w:val="single" w:sz="4" w:space="0" w:color="auto"/>
              <w:right w:val="single" w:sz="4" w:space="0" w:color="auto"/>
            </w:tcBorders>
          </w:tcPr>
          <w:p w14:paraId="4F043ED7" w14:textId="77777777" w:rsidR="00476035" w:rsidRPr="007F453D" w:rsidRDefault="00476035" w:rsidP="00FD61B7">
            <w:pPr>
              <w:pStyle w:val="Tabletext"/>
              <w:jc w:val="center"/>
            </w:pPr>
            <w:r w:rsidRPr="007F453D">
              <w:t>738-758</w:t>
            </w:r>
          </w:p>
        </w:tc>
        <w:tc>
          <w:tcPr>
            <w:tcW w:w="1515" w:type="dxa"/>
            <w:tcBorders>
              <w:top w:val="dashed" w:sz="4" w:space="0" w:color="auto"/>
              <w:left w:val="single" w:sz="4" w:space="0" w:color="auto"/>
              <w:bottom w:val="single" w:sz="4" w:space="0" w:color="auto"/>
              <w:right w:val="single" w:sz="4" w:space="0" w:color="auto"/>
            </w:tcBorders>
          </w:tcPr>
          <w:p w14:paraId="70EBA31C" w14:textId="77777777" w:rsidR="00476035" w:rsidRPr="007F453D" w:rsidRDefault="00476035" w:rsidP="00FD61B7">
            <w:pPr>
              <w:pStyle w:val="Tabletext"/>
              <w:jc w:val="center"/>
            </w:pPr>
            <w:r w:rsidRPr="00940063">
              <w:rPr>
                <w:sz w:val="20"/>
                <w:szCs w:val="18"/>
              </w:rPr>
              <w:t>NOT APPLICABLE</w:t>
            </w:r>
          </w:p>
        </w:tc>
        <w:tc>
          <w:tcPr>
            <w:tcW w:w="1652" w:type="dxa"/>
            <w:vMerge/>
            <w:tcBorders>
              <w:left w:val="single" w:sz="4" w:space="0" w:color="auto"/>
            </w:tcBorders>
          </w:tcPr>
          <w:p w14:paraId="1ADD5452" w14:textId="77777777" w:rsidR="00476035" w:rsidRPr="007F453D" w:rsidRDefault="00476035" w:rsidP="00FD61B7">
            <w:pPr>
              <w:pStyle w:val="Tabletext"/>
              <w:jc w:val="center"/>
            </w:pPr>
          </w:p>
        </w:tc>
      </w:tr>
      <w:tr w:rsidR="00476035" w:rsidRPr="007F453D" w14:paraId="3EBA2675" w14:textId="77777777" w:rsidTr="00FD61B7">
        <w:trPr>
          <w:jc w:val="center"/>
        </w:trPr>
        <w:tc>
          <w:tcPr>
            <w:tcW w:w="1789" w:type="dxa"/>
          </w:tcPr>
          <w:p w14:paraId="57D3ADB6" w14:textId="77777777" w:rsidR="00476035" w:rsidRPr="007F453D" w:rsidRDefault="00476035" w:rsidP="00FD61B7">
            <w:pPr>
              <w:pStyle w:val="Tabletext"/>
              <w:jc w:val="center"/>
            </w:pPr>
            <w:r w:rsidRPr="007F453D">
              <w:t>A12</w:t>
            </w:r>
          </w:p>
        </w:tc>
        <w:tc>
          <w:tcPr>
            <w:tcW w:w="1789" w:type="dxa"/>
            <w:tcBorders>
              <w:top w:val="single" w:sz="4" w:space="0" w:color="auto"/>
            </w:tcBorders>
          </w:tcPr>
          <w:p w14:paraId="6EBC1547" w14:textId="77777777" w:rsidR="00476035" w:rsidRPr="007F453D" w:rsidRDefault="00476035" w:rsidP="00FD61B7">
            <w:pPr>
              <w:pStyle w:val="Tabletext"/>
              <w:jc w:val="center"/>
            </w:pPr>
            <w:r w:rsidRPr="007F453D">
              <w:t>663-698</w:t>
            </w:r>
          </w:p>
        </w:tc>
        <w:tc>
          <w:tcPr>
            <w:tcW w:w="1515" w:type="dxa"/>
            <w:tcBorders>
              <w:top w:val="single" w:sz="4" w:space="0" w:color="auto"/>
            </w:tcBorders>
          </w:tcPr>
          <w:p w14:paraId="40892FCA" w14:textId="77777777" w:rsidR="00476035" w:rsidRPr="007F453D" w:rsidRDefault="00476035" w:rsidP="00FD61B7">
            <w:pPr>
              <w:pStyle w:val="Tabletext"/>
              <w:jc w:val="center"/>
            </w:pPr>
            <w:r w:rsidRPr="007F453D">
              <w:t>11</w:t>
            </w:r>
          </w:p>
        </w:tc>
        <w:tc>
          <w:tcPr>
            <w:tcW w:w="1379" w:type="dxa"/>
            <w:tcBorders>
              <w:top w:val="single" w:sz="4" w:space="0" w:color="auto"/>
            </w:tcBorders>
          </w:tcPr>
          <w:p w14:paraId="69FB40E8" w14:textId="77777777" w:rsidR="00476035" w:rsidRPr="007F453D" w:rsidRDefault="00476035" w:rsidP="00FD61B7">
            <w:pPr>
              <w:pStyle w:val="Tabletext"/>
              <w:jc w:val="center"/>
            </w:pPr>
            <w:r w:rsidRPr="007F453D">
              <w:t>617-652</w:t>
            </w:r>
          </w:p>
        </w:tc>
        <w:tc>
          <w:tcPr>
            <w:tcW w:w="1515" w:type="dxa"/>
            <w:tcBorders>
              <w:top w:val="single" w:sz="4" w:space="0" w:color="auto"/>
            </w:tcBorders>
          </w:tcPr>
          <w:p w14:paraId="66F5ED07" w14:textId="77777777" w:rsidR="00476035" w:rsidRPr="007F453D" w:rsidRDefault="00476035" w:rsidP="00FD61B7">
            <w:pPr>
              <w:pStyle w:val="Tabletext"/>
              <w:jc w:val="center"/>
            </w:pPr>
            <w:r w:rsidRPr="007F453D">
              <w:t>46</w:t>
            </w:r>
          </w:p>
        </w:tc>
        <w:tc>
          <w:tcPr>
            <w:tcW w:w="1652" w:type="dxa"/>
          </w:tcPr>
          <w:p w14:paraId="03932334" w14:textId="77777777" w:rsidR="00476035" w:rsidRPr="007F453D" w:rsidRDefault="00476035" w:rsidP="00FD61B7">
            <w:pPr>
              <w:pStyle w:val="Tabletext"/>
              <w:jc w:val="center"/>
            </w:pPr>
            <w:r w:rsidRPr="007F453D">
              <w:t>None</w:t>
            </w:r>
          </w:p>
        </w:tc>
      </w:tr>
      <w:tr w:rsidR="00476035" w:rsidRPr="007F453D" w14:paraId="5CCB749F" w14:textId="77777777" w:rsidTr="00FD61B7">
        <w:trPr>
          <w:jc w:val="center"/>
        </w:trPr>
        <w:tc>
          <w:tcPr>
            <w:tcW w:w="1789" w:type="dxa"/>
          </w:tcPr>
          <w:p w14:paraId="0662228F" w14:textId="77777777" w:rsidR="00476035" w:rsidRPr="007F453D" w:rsidRDefault="00476035" w:rsidP="00FD61B7">
            <w:pPr>
              <w:pStyle w:val="Tabletext"/>
              <w:jc w:val="center"/>
            </w:pPr>
            <w:r w:rsidRPr="007F453D">
              <w:t>A13</w:t>
            </w:r>
          </w:p>
        </w:tc>
        <w:tc>
          <w:tcPr>
            <w:tcW w:w="1789" w:type="dxa"/>
          </w:tcPr>
          <w:p w14:paraId="7DD4896F" w14:textId="77777777" w:rsidR="00476035" w:rsidRPr="007F453D" w:rsidRDefault="00476035" w:rsidP="00FD61B7">
            <w:pPr>
              <w:pStyle w:val="Tabletext"/>
              <w:jc w:val="center"/>
            </w:pPr>
            <w:r w:rsidRPr="007F453D">
              <w:t>663-703</w:t>
            </w:r>
          </w:p>
        </w:tc>
        <w:tc>
          <w:tcPr>
            <w:tcW w:w="1515" w:type="dxa"/>
          </w:tcPr>
          <w:p w14:paraId="5DA95E16" w14:textId="77777777" w:rsidR="00476035" w:rsidRPr="007F453D" w:rsidRDefault="00476035" w:rsidP="00FD61B7">
            <w:pPr>
              <w:pStyle w:val="Tabletext"/>
              <w:jc w:val="center"/>
            </w:pPr>
            <w:r w:rsidRPr="007F453D">
              <w:t>11</w:t>
            </w:r>
          </w:p>
        </w:tc>
        <w:tc>
          <w:tcPr>
            <w:tcW w:w="1379" w:type="dxa"/>
          </w:tcPr>
          <w:p w14:paraId="458B4816" w14:textId="77777777" w:rsidR="00476035" w:rsidRPr="007F453D" w:rsidRDefault="00476035" w:rsidP="00FD61B7">
            <w:pPr>
              <w:pStyle w:val="Tabletext"/>
              <w:jc w:val="center"/>
            </w:pPr>
            <w:r w:rsidRPr="007F453D">
              <w:t>612-652</w:t>
            </w:r>
          </w:p>
        </w:tc>
        <w:tc>
          <w:tcPr>
            <w:tcW w:w="1515" w:type="dxa"/>
          </w:tcPr>
          <w:p w14:paraId="0B594285" w14:textId="77777777" w:rsidR="00476035" w:rsidRPr="007F453D" w:rsidRDefault="00476035" w:rsidP="00FD61B7">
            <w:pPr>
              <w:pStyle w:val="Tabletext"/>
              <w:jc w:val="center"/>
            </w:pPr>
            <w:r w:rsidRPr="007F453D">
              <w:t>51</w:t>
            </w:r>
          </w:p>
        </w:tc>
        <w:tc>
          <w:tcPr>
            <w:tcW w:w="1652" w:type="dxa"/>
          </w:tcPr>
          <w:p w14:paraId="7A59A993" w14:textId="77777777" w:rsidR="00476035" w:rsidRPr="007F453D" w:rsidRDefault="00476035" w:rsidP="00FD61B7">
            <w:pPr>
              <w:pStyle w:val="Tabletext"/>
              <w:jc w:val="center"/>
            </w:pPr>
            <w:r w:rsidRPr="007F453D">
              <w:t>None</w:t>
            </w:r>
          </w:p>
        </w:tc>
      </w:tr>
      <w:tr w:rsidR="00476035" w:rsidRPr="007F453D" w14:paraId="335D9213" w14:textId="77777777" w:rsidTr="00FD61B7">
        <w:trPr>
          <w:jc w:val="center"/>
        </w:trPr>
        <w:tc>
          <w:tcPr>
            <w:tcW w:w="1789" w:type="dxa"/>
          </w:tcPr>
          <w:p w14:paraId="0445DA4C" w14:textId="77777777" w:rsidR="00476035" w:rsidRPr="007F453D" w:rsidRDefault="00476035" w:rsidP="00FD61B7">
            <w:pPr>
              <w:pStyle w:val="Tabletext"/>
              <w:jc w:val="center"/>
            </w:pPr>
            <w:r>
              <w:t>A14</w:t>
            </w:r>
          </w:p>
        </w:tc>
        <w:tc>
          <w:tcPr>
            <w:tcW w:w="1789" w:type="dxa"/>
          </w:tcPr>
          <w:p w14:paraId="06D4439F" w14:textId="77777777" w:rsidR="00476035" w:rsidRPr="007F453D" w:rsidRDefault="00476035" w:rsidP="00FD61B7">
            <w:pPr>
              <w:pStyle w:val="Tabletext"/>
              <w:jc w:val="center"/>
            </w:pPr>
            <w:r>
              <w:t>814-849</w:t>
            </w:r>
          </w:p>
        </w:tc>
        <w:tc>
          <w:tcPr>
            <w:tcW w:w="1515" w:type="dxa"/>
          </w:tcPr>
          <w:p w14:paraId="1832CC1C" w14:textId="77777777" w:rsidR="00476035" w:rsidRPr="007F453D" w:rsidRDefault="00476035" w:rsidP="00FD61B7">
            <w:pPr>
              <w:pStyle w:val="Tabletext"/>
              <w:jc w:val="center"/>
            </w:pPr>
            <w:r>
              <w:t>10</w:t>
            </w:r>
          </w:p>
        </w:tc>
        <w:tc>
          <w:tcPr>
            <w:tcW w:w="1379" w:type="dxa"/>
          </w:tcPr>
          <w:p w14:paraId="6FCCFB20" w14:textId="77777777" w:rsidR="00476035" w:rsidRPr="007F453D" w:rsidRDefault="00476035" w:rsidP="00FD61B7">
            <w:pPr>
              <w:pStyle w:val="Tabletext"/>
              <w:jc w:val="center"/>
            </w:pPr>
            <w:r>
              <w:t>859-894</w:t>
            </w:r>
          </w:p>
        </w:tc>
        <w:tc>
          <w:tcPr>
            <w:tcW w:w="1515" w:type="dxa"/>
          </w:tcPr>
          <w:p w14:paraId="25CAFA3B" w14:textId="77777777" w:rsidR="00476035" w:rsidRPr="007F453D" w:rsidRDefault="00476035" w:rsidP="00FD61B7">
            <w:pPr>
              <w:pStyle w:val="Tabletext"/>
              <w:jc w:val="center"/>
            </w:pPr>
            <w:r>
              <w:t>45</w:t>
            </w:r>
          </w:p>
        </w:tc>
        <w:tc>
          <w:tcPr>
            <w:tcW w:w="1652" w:type="dxa"/>
          </w:tcPr>
          <w:p w14:paraId="76EE69CB" w14:textId="77777777" w:rsidR="00476035" w:rsidRPr="007F453D" w:rsidRDefault="00476035" w:rsidP="00FD61B7">
            <w:pPr>
              <w:pStyle w:val="Tabletext"/>
              <w:jc w:val="center"/>
            </w:pPr>
            <w:r>
              <w:t>None</w:t>
            </w:r>
          </w:p>
        </w:tc>
      </w:tr>
    </w:tbl>
    <w:p w14:paraId="27B9AA29" w14:textId="77777777" w:rsidR="00476035" w:rsidRPr="007F453D" w:rsidRDefault="00476035" w:rsidP="00476035">
      <w:pPr>
        <w:pStyle w:val="Note"/>
        <w:rPr>
          <w:i/>
        </w:rPr>
      </w:pPr>
      <w:r w:rsidRPr="007F453D">
        <w:rPr>
          <w:i/>
        </w:rPr>
        <w:t>Notes to Table 2:</w:t>
      </w:r>
    </w:p>
    <w:p w14:paraId="18C1B6C5" w14:textId="77777777" w:rsidR="00476035" w:rsidRPr="007F453D" w:rsidRDefault="00476035" w:rsidP="00476035">
      <w:pPr>
        <w:pStyle w:val="Note"/>
      </w:pPr>
      <w:r w:rsidRPr="007F453D">
        <w:rPr>
          <w:i/>
        </w:rPr>
        <w:t>Note 1:</w:t>
      </w:r>
      <w:r w:rsidRPr="007F453D">
        <w:t xml:space="preserve"> In A3, IMT systems are operating in FDD mode and use a reversed duplex direction, with mobile terminal transmit within the upper band and base station transmit within the lower band. Such an arrangement provides better conditions for coexistence with the lower adjacent broadcasting service. It is </w:t>
      </w:r>
      <w:r w:rsidRPr="007F453D">
        <w:rPr>
          <w:spacing w:val="-2"/>
        </w:rPr>
        <w:t>noted that Administrations which do not wish to use this plan or which do not have the full band 790</w:t>
      </w:r>
      <w:r w:rsidRPr="007F453D">
        <w:rPr>
          <w:spacing w:val="-2"/>
        </w:rPr>
        <w:noBreakHyphen/>
        <w:t>862 MHz</w:t>
      </w:r>
      <w:r w:rsidRPr="007F453D">
        <w:t xml:space="preserve"> available may consider other frequency arrangements including, e.g. partial implementation of frequency arrangement described in A3, a TDD frequency arrangement (with a </w:t>
      </w:r>
      <w:proofErr w:type="spellStart"/>
      <w:r w:rsidRPr="007F453D">
        <w:t>guardband</w:t>
      </w:r>
      <w:proofErr w:type="spellEnd"/>
      <w:r w:rsidRPr="007F453D">
        <w:t xml:space="preserve"> of at least 7 MHz above 790 MHz) or a mixed introduction of TDD and FDD frequency arrangements.</w:t>
      </w:r>
    </w:p>
    <w:p w14:paraId="5A8D6F2B" w14:textId="77777777" w:rsidR="00476035" w:rsidRPr="007F453D" w:rsidRDefault="00476035" w:rsidP="00476035">
      <w:pPr>
        <w:pStyle w:val="Note"/>
      </w:pPr>
      <w:r w:rsidRPr="007F453D">
        <w:rPr>
          <w:i/>
        </w:rPr>
        <w:t>Note 2:</w:t>
      </w:r>
      <w:r w:rsidRPr="007F453D">
        <w:t xml:space="preserve"> In A4, administrations can use the band solely for FDD or TDD, or some combination of FDD and TDD. Administrations can use any FDD duplex spacing or FDD duplex direction. However, when administrations choose to deploy mixed FDD/TDD channels with a fixed duplex separation for FDD, the </w:t>
      </w:r>
      <w:r w:rsidRPr="007F453D">
        <w:lastRenderedPageBreak/>
        <w:t>duplex separation and duplex direction as shown in A4 are preferred. Individual band blocks in the mixed channel arrangement may include further subdivisions to accommodate both duplex methods.</w:t>
      </w:r>
    </w:p>
    <w:p w14:paraId="7EEEA906" w14:textId="0D9E678F" w:rsidR="00476035" w:rsidRPr="007F453D" w:rsidRDefault="00476035" w:rsidP="00476035">
      <w:pPr>
        <w:pStyle w:val="Note"/>
        <w:rPr>
          <w:lang w:eastAsia="zh-CN"/>
        </w:rPr>
      </w:pPr>
      <w:r w:rsidRPr="007F453D">
        <w:rPr>
          <w:i/>
          <w:lang w:eastAsia="zh-CN"/>
        </w:rPr>
        <w:t>Note 3:</w:t>
      </w:r>
      <w:r w:rsidRPr="007F453D">
        <w:rPr>
          <w:lang w:eastAsia="zh-CN"/>
        </w:rPr>
        <w:t xml:space="preserve"> The frequency arrangements for the band 698-960 MHz have been developed taking into consideration the </w:t>
      </w:r>
      <w:r w:rsidRPr="007F453D">
        <w:rPr>
          <w:i/>
          <w:lang w:eastAsia="zh-CN"/>
        </w:rPr>
        <w:t>recognizing</w:t>
      </w:r>
      <w:r w:rsidRPr="007F453D">
        <w:rPr>
          <w:lang w:eastAsia="zh-CN"/>
        </w:rPr>
        <w:t xml:space="preserve"> above. The frequency arrangements for PPDR systems using IMT technologies in the bands identified in </w:t>
      </w:r>
      <w:r w:rsidRPr="007F453D">
        <w:rPr>
          <w:iCs/>
          <w:lang w:eastAsia="zh-CN"/>
        </w:rPr>
        <w:t>Resolution </w:t>
      </w:r>
      <w:r w:rsidRPr="007F453D">
        <w:rPr>
          <w:b/>
          <w:bCs/>
          <w:iCs/>
          <w:lang w:eastAsia="zh-CN"/>
        </w:rPr>
        <w:t>646 (Rev.WRC-19)</w:t>
      </w:r>
      <w:r w:rsidRPr="007F453D">
        <w:rPr>
          <w:lang w:eastAsia="zh-CN"/>
        </w:rPr>
        <w:t xml:space="preserve">, are outside the scope of this Recommendation and are covered </w:t>
      </w:r>
      <w:r w:rsidRPr="00C50DFB">
        <w:rPr>
          <w:lang w:eastAsia="zh-CN"/>
        </w:rPr>
        <w:t>by Recommendation</w:t>
      </w:r>
      <w:r w:rsidRPr="00C50DFB">
        <w:rPr>
          <w:rStyle w:val="Hyperlink"/>
          <w:color w:val="auto"/>
          <w:u w:val="none"/>
        </w:rPr>
        <w:t xml:space="preserve"> </w:t>
      </w:r>
      <w:hyperlink r:id="rId34" w:history="1">
        <w:r w:rsidR="00832E1A">
          <w:rPr>
            <w:rStyle w:val="Hyperlink"/>
            <w:color w:val="auto"/>
            <w:u w:val="none"/>
          </w:rPr>
          <w:t>ITU-R M</w:t>
        </w:r>
        <w:r w:rsidRPr="00C50DFB">
          <w:rPr>
            <w:rStyle w:val="Hyperlink"/>
            <w:color w:val="auto"/>
            <w:u w:val="none"/>
          </w:rPr>
          <w:t>.2015</w:t>
        </w:r>
      </w:hyperlink>
      <w:r w:rsidRPr="00C50DFB">
        <w:rPr>
          <w:lang w:eastAsia="zh-CN"/>
        </w:rPr>
        <w:t xml:space="preserve">. There are inherent benefits of deploying IMT technologies for PPDR </w:t>
      </w:r>
      <w:r w:rsidRPr="007F453D">
        <w:rPr>
          <w:lang w:eastAsia="zh-CN"/>
        </w:rPr>
        <w:t xml:space="preserve">applications in this band, including advantages of large coverage area and possible interoperability across the 700 and 800 MHz bands, noting the differences in operational requirements and implementations. </w:t>
      </w:r>
    </w:p>
    <w:p w14:paraId="24D7344E" w14:textId="77777777" w:rsidR="00476035" w:rsidRPr="007F453D" w:rsidRDefault="00476035" w:rsidP="00476035">
      <w:pPr>
        <w:pStyle w:val="Note"/>
        <w:rPr>
          <w:lang w:eastAsia="zh-CN"/>
        </w:rPr>
      </w:pPr>
      <w:r w:rsidRPr="007F453D">
        <w:rPr>
          <w:i/>
          <w:lang w:eastAsia="zh-CN"/>
        </w:rPr>
        <w:t>Note 4:</w:t>
      </w:r>
      <w:r w:rsidRPr="007F453D">
        <w:rPr>
          <w:lang w:eastAsia="zh-CN"/>
        </w:rPr>
        <w:t xml:space="preserve"> In A5, 2 </w:t>
      </w:r>
      <w:r w:rsidRPr="007F453D">
        <w:rPr>
          <w:lang w:eastAsia="zh-CN"/>
        </w:rPr>
        <w:sym w:font="Symbol" w:char="F0B4"/>
      </w:r>
      <w:r w:rsidRPr="007F453D">
        <w:rPr>
          <w:lang w:eastAsia="zh-CN"/>
        </w:rPr>
        <w:t xml:space="preserve"> 45 MHz FDD arrangement is implemented by using sub-blocks </w:t>
      </w:r>
      <w:r w:rsidRPr="007F453D">
        <w:rPr>
          <w:rFonts w:cs="Arial"/>
          <w:lang w:eastAsia="zh-CN"/>
        </w:rPr>
        <w:t>with d</w:t>
      </w:r>
      <w:r w:rsidRPr="007F453D">
        <w:rPr>
          <w:lang w:eastAsia="zh-CN"/>
        </w:rPr>
        <w:t>ual duplexer solution</w:t>
      </w:r>
      <w:r w:rsidRPr="007F453D">
        <w:rPr>
          <w:rFonts w:cs="Arial"/>
          <w:lang w:eastAsia="zh-CN"/>
        </w:rPr>
        <w:t xml:space="preserve"> and conventional</w:t>
      </w:r>
      <w:r w:rsidRPr="007F453D">
        <w:rPr>
          <w:lang w:eastAsia="zh-CN"/>
        </w:rPr>
        <w:t xml:space="preserve"> duplex arrangement. Internal </w:t>
      </w:r>
      <w:proofErr w:type="spellStart"/>
      <w:r w:rsidRPr="007F453D">
        <w:rPr>
          <w:lang w:eastAsia="zh-CN"/>
        </w:rPr>
        <w:t>guardbands</w:t>
      </w:r>
      <w:proofErr w:type="spellEnd"/>
      <w:r w:rsidRPr="007F453D">
        <w:rPr>
          <w:lang w:eastAsia="zh-CN"/>
        </w:rPr>
        <w:t xml:space="preserve"> of 5 MHz and 3 MHz are provided at the lower and upper edge of the band for better co-existence with adjacent radiocommunication services.</w:t>
      </w:r>
    </w:p>
    <w:p w14:paraId="6EFE682E" w14:textId="77777777" w:rsidR="00476035" w:rsidRPr="007F453D" w:rsidRDefault="00476035" w:rsidP="00476035">
      <w:pPr>
        <w:pStyle w:val="Note"/>
      </w:pPr>
      <w:r w:rsidRPr="007F453D">
        <w:rPr>
          <w:i/>
          <w:lang w:eastAsia="zh-CN"/>
        </w:rPr>
        <w:t>Note 5:</w:t>
      </w:r>
      <w:r w:rsidRPr="007F453D">
        <w:rPr>
          <w:lang w:eastAsia="zh-CN"/>
        </w:rPr>
        <w:t xml:space="preserve"> In A6, </w:t>
      </w:r>
      <w:proofErr w:type="gramStart"/>
      <w:r w:rsidRPr="007F453D">
        <w:t>taking into account</w:t>
      </w:r>
      <w:proofErr w:type="gramEnd"/>
      <w:r w:rsidRPr="007F453D">
        <w:t xml:space="preserve"> the external 4 MHz </w:t>
      </w:r>
      <w:proofErr w:type="spellStart"/>
      <w:r w:rsidRPr="007F453D">
        <w:t>guardband</w:t>
      </w:r>
      <w:proofErr w:type="spellEnd"/>
      <w:r w:rsidRPr="007F453D">
        <w:t xml:space="preserve"> (694-698 MHz), a minimum internal </w:t>
      </w:r>
      <w:proofErr w:type="spellStart"/>
      <w:r w:rsidRPr="007F453D">
        <w:t>guardband</w:t>
      </w:r>
      <w:proofErr w:type="spellEnd"/>
      <w:r w:rsidRPr="007F453D">
        <w:t xml:space="preserve"> of 5 MHz at the lower edge (698 MHz) and 3 MHz at the upper edge (806 MHz) needs to be considered.</w:t>
      </w:r>
    </w:p>
    <w:p w14:paraId="30EF905E" w14:textId="77777777" w:rsidR="00476035" w:rsidRPr="007F453D" w:rsidRDefault="00476035" w:rsidP="00476035">
      <w:pPr>
        <w:pStyle w:val="Note"/>
      </w:pPr>
      <w:r w:rsidRPr="007F453D">
        <w:rPr>
          <w:i/>
        </w:rPr>
        <w:t>Note 6:</w:t>
      </w:r>
      <w:r w:rsidRPr="007F453D">
        <w:t xml:space="preserve"> The frequency arrangement in A7 aligns with the lower duplexer from A5.</w:t>
      </w:r>
    </w:p>
    <w:p w14:paraId="7182301A" w14:textId="77777777" w:rsidR="00476035" w:rsidRPr="007F453D" w:rsidRDefault="00476035" w:rsidP="00476035">
      <w:pPr>
        <w:pStyle w:val="Note"/>
      </w:pPr>
      <w:r w:rsidRPr="007F453D">
        <w:rPr>
          <w:i/>
        </w:rPr>
        <w:t>Note 7:</w:t>
      </w:r>
      <w:r w:rsidRPr="007F453D">
        <w:t xml:space="preserve"> Administrations can implement the A8 arrangement alone or in combination with parts of A7 (e.g. UL: 698-718/DL: 753-773 MHz), </w:t>
      </w:r>
      <w:proofErr w:type="gramStart"/>
      <w:r w:rsidRPr="007F453D">
        <w:t>provided that</w:t>
      </w:r>
      <w:proofErr w:type="gramEnd"/>
      <w:r w:rsidRPr="007F453D">
        <w:t xml:space="preserve"> coexistence with the services below 694 MHz is ensured.</w:t>
      </w:r>
    </w:p>
    <w:p w14:paraId="2A7C3A00" w14:textId="77777777" w:rsidR="00476035" w:rsidRPr="007F453D" w:rsidRDefault="00476035" w:rsidP="00476035">
      <w:pPr>
        <w:pStyle w:val="Note"/>
        <w:rPr>
          <w:i/>
          <w:iCs/>
        </w:rPr>
      </w:pPr>
      <w:r w:rsidRPr="007F453D">
        <w:rPr>
          <w:i/>
        </w:rPr>
        <w:t>Note 8:</w:t>
      </w:r>
      <w:r w:rsidRPr="007F453D">
        <w:t xml:space="preserve"> The frequency arrangement in A9 aligns with part of the upper duplexer of A5.</w:t>
      </w:r>
    </w:p>
    <w:p w14:paraId="7AC9E2D8" w14:textId="77777777" w:rsidR="00476035" w:rsidRPr="007F453D" w:rsidRDefault="00476035" w:rsidP="00476035">
      <w:pPr>
        <w:pStyle w:val="Note"/>
      </w:pPr>
      <w:r w:rsidRPr="007F453D">
        <w:rPr>
          <w:i/>
        </w:rPr>
        <w:t>Note 9:</w:t>
      </w:r>
      <w:r w:rsidRPr="007F453D">
        <w:t xml:space="preserve"> For A10 and A11, zero to four frequency blocks of 5 MHz in 738-758 MHz could be used to complement the downlink capacity of a frequency arrangement in this or other bands. </w:t>
      </w:r>
    </w:p>
    <w:p w14:paraId="2E10784C" w14:textId="77777777" w:rsidR="00476035" w:rsidRPr="007F453D" w:rsidRDefault="00476035" w:rsidP="00476035">
      <w:pPr>
        <w:pStyle w:val="Note"/>
      </w:pPr>
      <w:r w:rsidRPr="007F453D">
        <w:rPr>
          <w:i/>
        </w:rPr>
        <w:t>Note 10:</w:t>
      </w:r>
      <w:r w:rsidRPr="007F453D">
        <w:t xml:space="preserve"> For administrations having implemented the A7 arrangement, this arrangement can be combined with the A10 arrangement, i.e. A11.</w:t>
      </w:r>
    </w:p>
    <w:p w14:paraId="48E3D0F4" w14:textId="77777777" w:rsidR="00476035" w:rsidRPr="007F453D" w:rsidRDefault="00476035" w:rsidP="00476035">
      <w:pPr>
        <w:pStyle w:val="Note"/>
      </w:pPr>
      <w:r w:rsidRPr="007F453D">
        <w:rPr>
          <w:i/>
        </w:rPr>
        <w:t>Note 11:</w:t>
      </w:r>
      <w:r w:rsidRPr="007F453D">
        <w:t xml:space="preserve"> The frequency arrangement A12 is</w:t>
      </w:r>
      <w:r w:rsidRPr="007F453D">
        <w:rPr>
          <w:lang w:eastAsia="zh-CN"/>
        </w:rPr>
        <w:t xml:space="preserve"> based on a reverse FDD configuration. This will guarantee compatibility with </w:t>
      </w:r>
      <w:r w:rsidRPr="007F453D">
        <w:t>A5 arrangement since upper A12 block and lower A5 block will be both transmitting in uplink direction.</w:t>
      </w:r>
    </w:p>
    <w:p w14:paraId="66D3F635" w14:textId="77777777" w:rsidR="00476035" w:rsidRPr="007F453D" w:rsidRDefault="00476035" w:rsidP="00476035">
      <w:pPr>
        <w:pStyle w:val="Note"/>
        <w:rPr>
          <w:rFonts w:eastAsia="SimSun"/>
        </w:rPr>
      </w:pPr>
      <w:r w:rsidRPr="007F453D">
        <w:rPr>
          <w:i/>
        </w:rPr>
        <w:t>Note 12:</w:t>
      </w:r>
      <w:r w:rsidRPr="007F453D">
        <w:t xml:space="preserve"> </w:t>
      </w:r>
      <w:r w:rsidRPr="007F453D">
        <w:rPr>
          <w:rFonts w:eastAsia="SimSun"/>
        </w:rPr>
        <w:t>Frequency arrangement A12 may not align with the channelization schemes of other services in all regions.</w:t>
      </w:r>
    </w:p>
    <w:p w14:paraId="6C9939BA" w14:textId="77777777" w:rsidR="00476035" w:rsidRPr="007F453D" w:rsidRDefault="00476035" w:rsidP="00476035">
      <w:pPr>
        <w:pStyle w:val="Note"/>
        <w:rPr>
          <w:iCs/>
        </w:rPr>
      </w:pPr>
      <w:r w:rsidRPr="007F453D">
        <w:rPr>
          <w:i/>
        </w:rPr>
        <w:t xml:space="preserve">Note 13: </w:t>
      </w:r>
      <w:r w:rsidRPr="007F453D">
        <w:rPr>
          <w:iCs/>
        </w:rPr>
        <w:t>The frequency arrangement A13 is based on a reverse FDD configuration. This will guarantee compatibility with A5 arrangement since upper A13 block and lower A5 block will be both Mobile station transmitters transmitting in uplink direction.</w:t>
      </w:r>
    </w:p>
    <w:p w14:paraId="4D4872AE" w14:textId="77777777" w:rsidR="00476035" w:rsidRPr="007F453D" w:rsidRDefault="00476035" w:rsidP="00476035">
      <w:pPr>
        <w:pStyle w:val="FigureNo"/>
      </w:pPr>
      <w:r w:rsidRPr="007F453D">
        <w:lastRenderedPageBreak/>
        <w:t>FIGURE 3</w:t>
      </w:r>
    </w:p>
    <w:p w14:paraId="6F645C71" w14:textId="2DE7CE8E" w:rsidR="00476035" w:rsidRPr="007F453D" w:rsidRDefault="00476035" w:rsidP="00476035">
      <w:pPr>
        <w:pStyle w:val="Figuretitle"/>
      </w:pPr>
      <w:r w:rsidRPr="007F453D">
        <w:t>Frequency arrangements A1 to A1</w:t>
      </w:r>
      <w:r w:rsidR="004625C8">
        <w:t>4</w:t>
      </w:r>
      <w:r w:rsidR="00FE51F3">
        <w:t xml:space="preserve"> </w:t>
      </w:r>
      <w:r w:rsidRPr="007F453D">
        <w:rPr>
          <w:b w:val="0"/>
        </w:rPr>
        <w:t>(see Notes to Table 2)</w:t>
      </w:r>
    </w:p>
    <w:p w14:paraId="1762475C" w14:textId="5EF0F129" w:rsidR="00476035" w:rsidRPr="008D69B0" w:rsidRDefault="00503E8D" w:rsidP="00503E8D">
      <w:pPr>
        <w:pStyle w:val="Figure"/>
      </w:pPr>
      <w:r>
        <w:rPr>
          <w:noProof/>
        </w:rPr>
        <w:drawing>
          <wp:inline distT="0" distB="0" distL="0" distR="0" wp14:anchorId="5C60A402" wp14:editId="1AFEEEE7">
            <wp:extent cx="4242352" cy="8559016"/>
            <wp:effectExtent l="0" t="0" r="6350" b="0"/>
            <wp:docPr id="18725655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5575" name="Picture 2">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256182" cy="8586918"/>
                    </a:xfrm>
                    <a:prstGeom prst="rect">
                      <a:avLst/>
                    </a:prstGeom>
                  </pic:spPr>
                </pic:pic>
              </a:graphicData>
            </a:graphic>
          </wp:inline>
        </w:drawing>
      </w:r>
    </w:p>
    <w:p w14:paraId="14CDE043" w14:textId="77777777" w:rsidR="00476035" w:rsidRPr="00C50DFB" w:rsidRDefault="00476035" w:rsidP="00476035">
      <w:pPr>
        <w:pStyle w:val="StyleSectionNo14ptCenteredBefore24pt"/>
      </w:pPr>
      <w:bookmarkStart w:id="18" w:name="_Toc224135062"/>
      <w:r w:rsidRPr="00C50DFB">
        <w:lastRenderedPageBreak/>
        <w:t>SECTION 4</w:t>
      </w:r>
      <w:bookmarkEnd w:id="18"/>
    </w:p>
    <w:p w14:paraId="39212A41" w14:textId="77777777" w:rsidR="00476035" w:rsidRPr="007F453D" w:rsidRDefault="00476035" w:rsidP="00476035">
      <w:pPr>
        <w:pStyle w:val="Sectiontitle"/>
      </w:pPr>
      <w:bookmarkStart w:id="19" w:name="_Toc224135063"/>
      <w:r w:rsidRPr="007F453D">
        <w:t>Frequency arrangements in the band 1 427-1 518 MHz</w:t>
      </w:r>
      <w:bookmarkEnd w:id="19"/>
    </w:p>
    <w:p w14:paraId="485ED721" w14:textId="77777777" w:rsidR="00476035" w:rsidRPr="007F453D" w:rsidRDefault="00476035" w:rsidP="00476035">
      <w:pPr>
        <w:pStyle w:val="Normalaftertitle"/>
      </w:pPr>
      <w:r w:rsidRPr="007F453D">
        <w:t>The recommended frequency arrangement</w:t>
      </w:r>
      <w:r w:rsidRPr="007F453D">
        <w:rPr>
          <w:lang w:eastAsia="ja-JP"/>
        </w:rPr>
        <w:t>s</w:t>
      </w:r>
      <w:r w:rsidRPr="007F453D">
        <w:t xml:space="preserve"> for implementation of IMT in the band 1 427</w:t>
      </w:r>
      <w:r w:rsidRPr="007F453D">
        <w:noBreakHyphen/>
        <w:t>1 518 MHz are provided in Table 3 and in Fig. 4, noting the implementation aspects in Section 1 above, as well as the Note 1 below.</w:t>
      </w:r>
    </w:p>
    <w:p w14:paraId="796FECD2" w14:textId="77777777" w:rsidR="00476035" w:rsidRPr="007F453D" w:rsidRDefault="00476035" w:rsidP="00476035">
      <w:pPr>
        <w:pStyle w:val="TableNo"/>
        <w:spacing w:before="320"/>
      </w:pPr>
      <w:r w:rsidRPr="007F453D">
        <w:t>TABLE 3</w:t>
      </w:r>
    </w:p>
    <w:p w14:paraId="55DD1A57" w14:textId="77777777" w:rsidR="00476035" w:rsidRPr="007F453D" w:rsidRDefault="00476035" w:rsidP="00476035">
      <w:pPr>
        <w:pStyle w:val="Tabletitle"/>
      </w:pPr>
      <w:r w:rsidRPr="007F453D">
        <w:t>Frequency arrangements in the band 1 427-1 518 MHz</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599"/>
        <w:gridCol w:w="1661"/>
        <w:gridCol w:w="1559"/>
        <w:gridCol w:w="1562"/>
        <w:gridCol w:w="8"/>
      </w:tblGrid>
      <w:tr w:rsidR="00476035" w:rsidRPr="007F453D" w14:paraId="561DE031" w14:textId="77777777" w:rsidTr="00FD61B7">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E4864BB" w14:textId="77777777" w:rsidR="00476035" w:rsidRPr="007F453D" w:rsidRDefault="00476035" w:rsidP="00FD61B7">
            <w:pPr>
              <w:pStyle w:val="Tablehead"/>
            </w:pPr>
            <w:r w:rsidRPr="007F453D">
              <w:t>Frequency arrangements</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5A4D2DB4" w14:textId="77777777" w:rsidR="00476035" w:rsidRPr="007F453D" w:rsidRDefault="00476035" w:rsidP="00FD61B7">
            <w:pPr>
              <w:pStyle w:val="Tablehead"/>
            </w:pPr>
            <w:r w:rsidRPr="007F453D">
              <w:t>Paired arrangements (FDD)</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DF2F13" w14:textId="77777777" w:rsidR="00476035" w:rsidRPr="007F453D" w:rsidRDefault="00476035" w:rsidP="00FD61B7">
            <w:pPr>
              <w:pStyle w:val="Tablehead"/>
            </w:pPr>
            <w:r w:rsidRPr="007F453D">
              <w:t xml:space="preserve">Un-paired arrangements </w:t>
            </w:r>
            <w:r w:rsidRPr="007F453D">
              <w:br/>
              <w:t>(TDD)</w:t>
            </w:r>
            <w:r w:rsidRPr="007F453D">
              <w:br/>
              <w:t>(MHz)</w:t>
            </w:r>
          </w:p>
        </w:tc>
      </w:tr>
      <w:tr w:rsidR="00476035" w:rsidRPr="007F453D" w14:paraId="680759CA" w14:textId="77777777" w:rsidTr="00FD61B7">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32E8E0B" w14:textId="77777777" w:rsidR="00476035" w:rsidRPr="007F453D" w:rsidRDefault="00476035" w:rsidP="00FD61B7">
            <w:pPr>
              <w:keepNext/>
              <w:spacing w:before="80" w:after="80"/>
              <w:jc w:val="center"/>
              <w:rPr>
                <w:rFonts w:ascii="Times New Roman Bold" w:hAnsi="Times New Roman Bold" w:cs="Times New Roman Bold"/>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0C1875" w14:textId="77777777" w:rsidR="00476035" w:rsidRPr="007F453D" w:rsidRDefault="00476035" w:rsidP="00FD61B7">
            <w:pPr>
              <w:pStyle w:val="Tablehead"/>
            </w:pPr>
            <w:r w:rsidRPr="007F453D">
              <w:t>Mobile station transmitter</w:t>
            </w:r>
            <w:r w:rsidRPr="007F453D">
              <w:br/>
              <w:t>(MHz)</w:t>
            </w:r>
          </w:p>
        </w:tc>
        <w:tc>
          <w:tcPr>
            <w:tcW w:w="1599" w:type="dxa"/>
            <w:tcBorders>
              <w:top w:val="single" w:sz="4" w:space="0" w:color="auto"/>
              <w:left w:val="single" w:sz="4" w:space="0" w:color="auto"/>
              <w:bottom w:val="single" w:sz="4" w:space="0" w:color="auto"/>
              <w:right w:val="single" w:sz="4" w:space="0" w:color="auto"/>
            </w:tcBorders>
            <w:vAlign w:val="center"/>
            <w:hideMark/>
          </w:tcPr>
          <w:p w14:paraId="37131FE3" w14:textId="77777777" w:rsidR="00476035" w:rsidRPr="007F453D" w:rsidRDefault="00476035" w:rsidP="00FD61B7">
            <w:pPr>
              <w:pStyle w:val="Tablehead"/>
            </w:pPr>
            <w:r w:rsidRPr="007F453D">
              <w:t>Centre gap</w:t>
            </w:r>
            <w:r w:rsidRPr="007F453D">
              <w:br/>
              <w:t>(MHz)</w:t>
            </w:r>
          </w:p>
        </w:tc>
        <w:tc>
          <w:tcPr>
            <w:tcW w:w="1661" w:type="dxa"/>
            <w:tcBorders>
              <w:top w:val="single" w:sz="4" w:space="0" w:color="auto"/>
              <w:left w:val="single" w:sz="4" w:space="0" w:color="auto"/>
              <w:bottom w:val="single" w:sz="4" w:space="0" w:color="auto"/>
              <w:right w:val="single" w:sz="4" w:space="0" w:color="auto"/>
            </w:tcBorders>
            <w:vAlign w:val="center"/>
            <w:hideMark/>
          </w:tcPr>
          <w:p w14:paraId="73BB2A11" w14:textId="77777777" w:rsidR="00476035" w:rsidRPr="007F453D" w:rsidRDefault="00476035" w:rsidP="00FD61B7">
            <w:pPr>
              <w:pStyle w:val="Tablehead"/>
            </w:pPr>
            <w:r w:rsidRPr="007F453D">
              <w:t>Base station transmitter</w:t>
            </w:r>
            <w:r w:rsidRPr="007F453D">
              <w:br/>
              <w:t>(MHz)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49CFE0" w14:textId="77777777" w:rsidR="00476035" w:rsidRPr="007F453D" w:rsidRDefault="00476035" w:rsidP="00FD61B7">
            <w:pPr>
              <w:pStyle w:val="Tablehead"/>
            </w:pPr>
            <w:r w:rsidRPr="007F453D">
              <w:t>Duplex separation</w:t>
            </w:r>
            <w:r w:rsidRPr="007F453D">
              <w:br/>
              <w:t>(MHz)</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20B8AE67"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51D615C9" w14:textId="77777777" w:rsidTr="00FD61B7">
        <w:trPr>
          <w:gridAfter w:val="1"/>
          <w:wAfter w:w="8" w:type="dxa"/>
          <w:jc w:val="center"/>
        </w:trPr>
        <w:tc>
          <w:tcPr>
            <w:tcW w:w="1555" w:type="dxa"/>
            <w:tcBorders>
              <w:top w:val="single" w:sz="4" w:space="0" w:color="auto"/>
              <w:left w:val="single" w:sz="4" w:space="0" w:color="auto"/>
              <w:bottom w:val="single" w:sz="4" w:space="0" w:color="auto"/>
              <w:right w:val="single" w:sz="4" w:space="0" w:color="auto"/>
            </w:tcBorders>
            <w:hideMark/>
          </w:tcPr>
          <w:p w14:paraId="7D0C994F" w14:textId="77777777" w:rsidR="00476035" w:rsidRPr="007F453D" w:rsidRDefault="00476035" w:rsidP="00FD61B7">
            <w:pPr>
              <w:pStyle w:val="Tabletext"/>
              <w:jc w:val="center"/>
            </w:pPr>
            <w:r w:rsidRPr="007F453D">
              <w:rPr>
                <w:lang w:eastAsia="zh-CN"/>
              </w:rPr>
              <w:t>G</w:t>
            </w:r>
            <w:r w:rsidRPr="007F453D">
              <w:t>1</w:t>
            </w:r>
          </w:p>
        </w:tc>
        <w:tc>
          <w:tcPr>
            <w:tcW w:w="1701" w:type="dxa"/>
            <w:tcBorders>
              <w:top w:val="single" w:sz="4" w:space="0" w:color="auto"/>
              <w:left w:val="single" w:sz="4" w:space="0" w:color="auto"/>
              <w:bottom w:val="single" w:sz="4" w:space="0" w:color="auto"/>
              <w:right w:val="single" w:sz="4" w:space="0" w:color="auto"/>
            </w:tcBorders>
            <w:hideMark/>
          </w:tcPr>
          <w:p w14:paraId="6762605C" w14:textId="77777777" w:rsidR="00476035" w:rsidRPr="007F453D" w:rsidRDefault="00476035" w:rsidP="00FD61B7">
            <w:pPr>
              <w:pStyle w:val="Tabletext"/>
              <w:jc w:val="center"/>
            </w:pPr>
            <w:r w:rsidRPr="007F453D">
              <w:t>External</w:t>
            </w:r>
          </w:p>
        </w:tc>
        <w:tc>
          <w:tcPr>
            <w:tcW w:w="1599" w:type="dxa"/>
            <w:tcBorders>
              <w:top w:val="single" w:sz="4" w:space="0" w:color="auto"/>
              <w:left w:val="single" w:sz="4" w:space="0" w:color="auto"/>
              <w:bottom w:val="single" w:sz="4" w:space="0" w:color="auto"/>
              <w:right w:val="single" w:sz="4" w:space="0" w:color="auto"/>
            </w:tcBorders>
            <w:hideMark/>
          </w:tcPr>
          <w:p w14:paraId="4417A295" w14:textId="77777777" w:rsidR="00476035" w:rsidRPr="007F453D" w:rsidRDefault="00476035" w:rsidP="00FD61B7">
            <w:pPr>
              <w:pStyle w:val="Tabletext"/>
              <w:jc w:val="center"/>
            </w:pPr>
            <w:r>
              <w:t>NOT APPLICABLE</w:t>
            </w:r>
          </w:p>
        </w:tc>
        <w:tc>
          <w:tcPr>
            <w:tcW w:w="1661" w:type="dxa"/>
            <w:tcBorders>
              <w:top w:val="single" w:sz="4" w:space="0" w:color="auto"/>
              <w:left w:val="single" w:sz="4" w:space="0" w:color="auto"/>
              <w:bottom w:val="single" w:sz="4" w:space="0" w:color="auto"/>
              <w:right w:val="single" w:sz="4" w:space="0" w:color="auto"/>
            </w:tcBorders>
            <w:hideMark/>
          </w:tcPr>
          <w:p w14:paraId="59C4FCF4" w14:textId="77777777" w:rsidR="00476035" w:rsidRPr="007F453D" w:rsidRDefault="00476035" w:rsidP="00FD61B7">
            <w:pPr>
              <w:pStyle w:val="Tabletext"/>
              <w:jc w:val="center"/>
            </w:pPr>
            <w:r w:rsidRPr="007F453D">
              <w:t>1 427-1 517</w:t>
            </w:r>
          </w:p>
        </w:tc>
        <w:tc>
          <w:tcPr>
            <w:tcW w:w="1559" w:type="dxa"/>
            <w:tcBorders>
              <w:top w:val="single" w:sz="4" w:space="0" w:color="auto"/>
              <w:left w:val="single" w:sz="4" w:space="0" w:color="auto"/>
              <w:bottom w:val="single" w:sz="4" w:space="0" w:color="auto"/>
              <w:right w:val="single" w:sz="4" w:space="0" w:color="auto"/>
            </w:tcBorders>
            <w:hideMark/>
          </w:tcPr>
          <w:p w14:paraId="7528F9C6" w14:textId="77777777" w:rsidR="00476035" w:rsidRPr="007F453D" w:rsidRDefault="00476035" w:rsidP="00FD61B7">
            <w:pPr>
              <w:pStyle w:val="Tabletext"/>
              <w:jc w:val="center"/>
            </w:pPr>
            <w:r>
              <w:t>NOT APPLICABLE</w:t>
            </w:r>
          </w:p>
        </w:tc>
        <w:tc>
          <w:tcPr>
            <w:tcW w:w="1562" w:type="dxa"/>
            <w:tcBorders>
              <w:top w:val="single" w:sz="4" w:space="0" w:color="auto"/>
              <w:left w:val="single" w:sz="4" w:space="0" w:color="auto"/>
              <w:bottom w:val="single" w:sz="4" w:space="0" w:color="auto"/>
              <w:right w:val="single" w:sz="4" w:space="0" w:color="auto"/>
            </w:tcBorders>
            <w:hideMark/>
          </w:tcPr>
          <w:p w14:paraId="400318AA" w14:textId="77777777" w:rsidR="00476035" w:rsidRPr="007F453D" w:rsidRDefault="00476035" w:rsidP="00FD61B7">
            <w:pPr>
              <w:pStyle w:val="Tabletext"/>
              <w:jc w:val="center"/>
            </w:pPr>
            <w:r w:rsidRPr="007F453D">
              <w:t>None</w:t>
            </w:r>
          </w:p>
        </w:tc>
      </w:tr>
      <w:tr w:rsidR="00476035" w:rsidRPr="007F453D" w14:paraId="4BE73580" w14:textId="77777777" w:rsidTr="00FD61B7">
        <w:trPr>
          <w:gridAfter w:val="1"/>
          <w:wAfter w:w="8" w:type="dxa"/>
          <w:jc w:val="center"/>
        </w:trPr>
        <w:tc>
          <w:tcPr>
            <w:tcW w:w="1555" w:type="dxa"/>
            <w:tcBorders>
              <w:top w:val="single" w:sz="4" w:space="0" w:color="auto"/>
              <w:left w:val="single" w:sz="4" w:space="0" w:color="auto"/>
              <w:bottom w:val="single" w:sz="4" w:space="0" w:color="auto"/>
              <w:right w:val="single" w:sz="4" w:space="0" w:color="auto"/>
            </w:tcBorders>
          </w:tcPr>
          <w:p w14:paraId="1D0EACAB" w14:textId="77777777" w:rsidR="00476035" w:rsidRPr="007F453D" w:rsidRDefault="00476035" w:rsidP="00FD61B7">
            <w:pPr>
              <w:pStyle w:val="Tabletext"/>
              <w:jc w:val="center"/>
            </w:pPr>
            <w:r w:rsidRPr="007F453D">
              <w:t>G2</w:t>
            </w:r>
          </w:p>
        </w:tc>
        <w:tc>
          <w:tcPr>
            <w:tcW w:w="1701" w:type="dxa"/>
            <w:tcBorders>
              <w:top w:val="single" w:sz="4" w:space="0" w:color="auto"/>
              <w:left w:val="single" w:sz="4" w:space="0" w:color="auto"/>
              <w:bottom w:val="single" w:sz="4" w:space="0" w:color="auto"/>
              <w:right w:val="single" w:sz="4" w:space="0" w:color="auto"/>
            </w:tcBorders>
          </w:tcPr>
          <w:p w14:paraId="5702DE22" w14:textId="77777777" w:rsidR="00476035" w:rsidRPr="007F453D" w:rsidRDefault="00476035" w:rsidP="00FD61B7">
            <w:pPr>
              <w:pStyle w:val="Tabletext"/>
              <w:jc w:val="center"/>
              <w:rPr>
                <w:lang w:eastAsia="ja-JP"/>
              </w:rPr>
            </w:pPr>
            <w:r w:rsidRPr="007F453D">
              <w:rPr>
                <w:lang w:eastAsia="ja-JP"/>
              </w:rPr>
              <w:t>1 427-1 470</w:t>
            </w:r>
          </w:p>
        </w:tc>
        <w:tc>
          <w:tcPr>
            <w:tcW w:w="1599" w:type="dxa"/>
            <w:tcBorders>
              <w:top w:val="single" w:sz="4" w:space="0" w:color="auto"/>
              <w:left w:val="single" w:sz="4" w:space="0" w:color="auto"/>
              <w:bottom w:val="single" w:sz="4" w:space="0" w:color="auto"/>
              <w:right w:val="single" w:sz="4" w:space="0" w:color="auto"/>
            </w:tcBorders>
          </w:tcPr>
          <w:p w14:paraId="2410992B" w14:textId="77777777" w:rsidR="00476035" w:rsidRPr="007F453D" w:rsidRDefault="00476035" w:rsidP="00FD61B7">
            <w:pPr>
              <w:pStyle w:val="Tabletext"/>
              <w:jc w:val="center"/>
              <w:rPr>
                <w:lang w:eastAsia="ja-JP"/>
              </w:rPr>
            </w:pPr>
            <w:r w:rsidRPr="007F453D">
              <w:rPr>
                <w:lang w:eastAsia="ja-JP"/>
              </w:rPr>
              <w:t>5</w:t>
            </w:r>
          </w:p>
        </w:tc>
        <w:tc>
          <w:tcPr>
            <w:tcW w:w="1661" w:type="dxa"/>
            <w:tcBorders>
              <w:top w:val="single" w:sz="4" w:space="0" w:color="auto"/>
              <w:left w:val="single" w:sz="4" w:space="0" w:color="auto"/>
              <w:bottom w:val="single" w:sz="4" w:space="0" w:color="auto"/>
              <w:right w:val="single" w:sz="4" w:space="0" w:color="auto"/>
            </w:tcBorders>
          </w:tcPr>
          <w:p w14:paraId="2BD0BFCB" w14:textId="77777777" w:rsidR="00476035" w:rsidRPr="007F453D" w:rsidRDefault="00476035" w:rsidP="00FD61B7">
            <w:pPr>
              <w:pStyle w:val="Tabletext"/>
              <w:jc w:val="center"/>
              <w:rPr>
                <w:lang w:eastAsia="ja-JP"/>
              </w:rPr>
            </w:pPr>
            <w:r w:rsidRPr="007F453D">
              <w:rPr>
                <w:lang w:eastAsia="ja-JP"/>
              </w:rPr>
              <w:t>1 475-1 518</w:t>
            </w:r>
          </w:p>
        </w:tc>
        <w:tc>
          <w:tcPr>
            <w:tcW w:w="1559" w:type="dxa"/>
            <w:tcBorders>
              <w:top w:val="single" w:sz="4" w:space="0" w:color="auto"/>
              <w:left w:val="single" w:sz="4" w:space="0" w:color="auto"/>
              <w:bottom w:val="single" w:sz="4" w:space="0" w:color="auto"/>
              <w:right w:val="single" w:sz="4" w:space="0" w:color="auto"/>
            </w:tcBorders>
          </w:tcPr>
          <w:p w14:paraId="025A98EE" w14:textId="77777777" w:rsidR="00476035" w:rsidRPr="007F453D" w:rsidRDefault="00476035" w:rsidP="00FD61B7">
            <w:pPr>
              <w:pStyle w:val="Tabletext"/>
              <w:jc w:val="center"/>
              <w:rPr>
                <w:lang w:eastAsia="ja-JP"/>
              </w:rPr>
            </w:pPr>
            <w:r w:rsidRPr="007F453D">
              <w:rPr>
                <w:lang w:eastAsia="ja-JP"/>
              </w:rPr>
              <w:t>48</w:t>
            </w:r>
          </w:p>
        </w:tc>
        <w:tc>
          <w:tcPr>
            <w:tcW w:w="1562" w:type="dxa"/>
            <w:tcBorders>
              <w:top w:val="single" w:sz="4" w:space="0" w:color="auto"/>
              <w:left w:val="single" w:sz="4" w:space="0" w:color="auto"/>
              <w:bottom w:val="single" w:sz="4" w:space="0" w:color="auto"/>
              <w:right w:val="single" w:sz="4" w:space="0" w:color="auto"/>
            </w:tcBorders>
          </w:tcPr>
          <w:p w14:paraId="68A98F31" w14:textId="77777777" w:rsidR="00476035" w:rsidRPr="007F453D" w:rsidRDefault="00476035" w:rsidP="00FD61B7">
            <w:pPr>
              <w:pStyle w:val="Tabletext"/>
              <w:jc w:val="center"/>
              <w:rPr>
                <w:lang w:eastAsia="ja-JP"/>
              </w:rPr>
            </w:pPr>
            <w:r w:rsidRPr="007F453D">
              <w:rPr>
                <w:lang w:eastAsia="ja-JP"/>
              </w:rPr>
              <w:t>None</w:t>
            </w:r>
          </w:p>
        </w:tc>
      </w:tr>
      <w:tr w:rsidR="00476035" w:rsidRPr="007F453D" w14:paraId="262B8CBC" w14:textId="77777777" w:rsidTr="00FD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jc w:val="center"/>
        </w:trPr>
        <w:tc>
          <w:tcPr>
            <w:tcW w:w="1555" w:type="dxa"/>
            <w:tcBorders>
              <w:top w:val="single" w:sz="4" w:space="0" w:color="auto"/>
              <w:left w:val="single" w:sz="4" w:space="0" w:color="auto"/>
              <w:bottom w:val="single" w:sz="4" w:space="0" w:color="auto"/>
              <w:right w:val="single" w:sz="4" w:space="0" w:color="auto"/>
            </w:tcBorders>
          </w:tcPr>
          <w:p w14:paraId="7FFC5327" w14:textId="77777777" w:rsidR="00476035" w:rsidRPr="007F453D" w:rsidRDefault="00476035" w:rsidP="00FD61B7">
            <w:pPr>
              <w:pStyle w:val="Tabletext"/>
              <w:jc w:val="center"/>
            </w:pPr>
            <w:r w:rsidRPr="007F453D">
              <w:t>G3</w:t>
            </w:r>
          </w:p>
        </w:tc>
        <w:tc>
          <w:tcPr>
            <w:tcW w:w="6520" w:type="dxa"/>
            <w:gridSpan w:val="4"/>
            <w:tcBorders>
              <w:top w:val="single" w:sz="4" w:space="0" w:color="auto"/>
              <w:left w:val="single" w:sz="4" w:space="0" w:color="auto"/>
              <w:bottom w:val="single" w:sz="4" w:space="0" w:color="auto"/>
              <w:right w:val="single" w:sz="4" w:space="0" w:color="auto"/>
            </w:tcBorders>
          </w:tcPr>
          <w:p w14:paraId="0E0EEF57" w14:textId="77777777" w:rsidR="00476035" w:rsidRPr="007F453D" w:rsidRDefault="00476035" w:rsidP="00FD61B7">
            <w:pPr>
              <w:pStyle w:val="Tabletext"/>
              <w:jc w:val="center"/>
              <w:rPr>
                <w:lang w:eastAsia="ja-JP"/>
              </w:rPr>
            </w:pPr>
            <w:r>
              <w:rPr>
                <w:lang w:eastAsia="ja-JP"/>
              </w:rPr>
              <w:t>NOT APPLIED</w:t>
            </w:r>
          </w:p>
        </w:tc>
        <w:tc>
          <w:tcPr>
            <w:tcW w:w="1562" w:type="dxa"/>
            <w:tcBorders>
              <w:top w:val="single" w:sz="4" w:space="0" w:color="auto"/>
              <w:left w:val="single" w:sz="4" w:space="0" w:color="auto"/>
              <w:bottom w:val="single" w:sz="4" w:space="0" w:color="auto"/>
              <w:right w:val="single" w:sz="4" w:space="0" w:color="auto"/>
            </w:tcBorders>
          </w:tcPr>
          <w:p w14:paraId="6E008CEF" w14:textId="77777777" w:rsidR="00476035" w:rsidRPr="007F453D" w:rsidRDefault="00476035" w:rsidP="00FD61B7">
            <w:pPr>
              <w:pStyle w:val="Tabletext"/>
              <w:jc w:val="center"/>
              <w:rPr>
                <w:lang w:eastAsia="ja-JP"/>
              </w:rPr>
            </w:pPr>
            <w:r w:rsidRPr="007F453D">
              <w:rPr>
                <w:lang w:eastAsia="ja-JP"/>
              </w:rPr>
              <w:t>1 427-1 517</w:t>
            </w:r>
          </w:p>
        </w:tc>
      </w:tr>
    </w:tbl>
    <w:p w14:paraId="6FC2CEF4" w14:textId="77777777" w:rsidR="00476035" w:rsidRPr="007F453D" w:rsidRDefault="00476035" w:rsidP="00476035">
      <w:pPr>
        <w:pStyle w:val="Note"/>
        <w:rPr>
          <w:i/>
          <w:sz w:val="20"/>
          <w:szCs w:val="18"/>
        </w:rPr>
      </w:pPr>
      <w:r w:rsidRPr="007F453D">
        <w:rPr>
          <w:i/>
          <w:sz w:val="20"/>
          <w:szCs w:val="18"/>
        </w:rPr>
        <w:t>Note to Table 3:</w:t>
      </w:r>
    </w:p>
    <w:p w14:paraId="1F8A4B7F" w14:textId="79D0AE8D" w:rsidR="00476035" w:rsidRPr="00832E1A" w:rsidRDefault="00476035" w:rsidP="00476035">
      <w:pPr>
        <w:tabs>
          <w:tab w:val="clear" w:pos="794"/>
          <w:tab w:val="clear" w:pos="1191"/>
          <w:tab w:val="clear" w:pos="1588"/>
          <w:tab w:val="clear" w:pos="1985"/>
          <w:tab w:val="left" w:pos="284"/>
          <w:tab w:val="left" w:pos="1134"/>
          <w:tab w:val="left" w:pos="1871"/>
          <w:tab w:val="left" w:pos="2268"/>
        </w:tabs>
        <w:spacing w:before="80"/>
        <w:jc w:val="left"/>
        <w:rPr>
          <w:sz w:val="20"/>
          <w:lang w:eastAsia="zh-CN"/>
        </w:rPr>
      </w:pPr>
      <w:bookmarkStart w:id="20" w:name="_Hlk22742448"/>
      <w:r w:rsidRPr="0025764B">
        <w:rPr>
          <w:i/>
          <w:spacing w:val="-4"/>
          <w:sz w:val="20"/>
          <w:szCs w:val="18"/>
          <w:lang w:eastAsia="zh-CN"/>
        </w:rPr>
        <w:t>Note 1</w:t>
      </w:r>
      <w:r w:rsidRPr="0025764B">
        <w:rPr>
          <w:rFonts w:cstheme="minorHAnsi"/>
          <w:i/>
          <w:spacing w:val="-4"/>
          <w:sz w:val="20"/>
        </w:rPr>
        <w:t>:</w:t>
      </w:r>
      <w:r w:rsidRPr="0025764B">
        <w:rPr>
          <w:rFonts w:cstheme="minorHAnsi"/>
          <w:spacing w:val="-4"/>
          <w:sz w:val="20"/>
        </w:rPr>
        <w:t xml:space="preserve"> </w:t>
      </w:r>
      <w:r w:rsidRPr="0025764B">
        <w:rPr>
          <w:spacing w:val="-4"/>
          <w:sz w:val="20"/>
          <w:szCs w:val="18"/>
        </w:rPr>
        <w:t>With respect to IMT in the frequency band 1 492-1 518 MHz and the MSS in the frequency band 1 518-1 525 MHz,</w:t>
      </w:r>
      <w:r w:rsidRPr="0025764B">
        <w:rPr>
          <w:sz w:val="22"/>
        </w:rPr>
        <w:t xml:space="preserve"> </w:t>
      </w:r>
      <w:r w:rsidRPr="00832E1A">
        <w:rPr>
          <w:sz w:val="20"/>
        </w:rPr>
        <w:t xml:space="preserve">Recommendation </w:t>
      </w:r>
      <w:hyperlink r:id="rId36" w:history="1">
        <w:r w:rsidR="00832E1A" w:rsidRPr="00832E1A">
          <w:rPr>
            <w:sz w:val="20"/>
          </w:rPr>
          <w:t>ITU-R M.2159</w:t>
        </w:r>
      </w:hyperlink>
      <w:r w:rsidRPr="00832E1A">
        <w:rPr>
          <w:sz w:val="20"/>
        </w:rPr>
        <w:t xml:space="preserve"> provides technical and regulatory measures to facilitate adjacent band compatibility. </w:t>
      </w:r>
      <w:r w:rsidRPr="00832E1A">
        <w:rPr>
          <w:sz w:val="20"/>
          <w:lang w:eastAsia="zh-CN"/>
        </w:rPr>
        <w:t>Based on the results of the</w:t>
      </w:r>
      <w:r w:rsidRPr="0025764B">
        <w:rPr>
          <w:sz w:val="20"/>
          <w:szCs w:val="18"/>
          <w:lang w:eastAsia="zh-CN"/>
        </w:rPr>
        <w:t xml:space="preserve"> studies, administrations may consider </w:t>
      </w:r>
      <w:proofErr w:type="gramStart"/>
      <w:r w:rsidRPr="0025764B">
        <w:rPr>
          <w:sz w:val="20"/>
          <w:szCs w:val="18"/>
          <w:lang w:eastAsia="zh-CN"/>
        </w:rPr>
        <w:t>a number of</w:t>
      </w:r>
      <w:proofErr w:type="gramEnd"/>
      <w:r w:rsidRPr="0025764B">
        <w:rPr>
          <w:sz w:val="20"/>
          <w:szCs w:val="18"/>
          <w:lang w:eastAsia="zh-CN"/>
        </w:rPr>
        <w:t xml:space="preserve"> possible measures, including additional frequency separation below 1 518 MHz, e.g. up to 6 MHz, at the upper part of G1, G2 or G3. This additional separation is not shown in Fig</w:t>
      </w:r>
      <w:r>
        <w:rPr>
          <w:sz w:val="20"/>
          <w:szCs w:val="18"/>
          <w:lang w:eastAsia="zh-CN"/>
        </w:rPr>
        <w:t>.</w:t>
      </w:r>
      <w:r w:rsidRPr="0025764B">
        <w:rPr>
          <w:sz w:val="20"/>
          <w:szCs w:val="18"/>
          <w:lang w:eastAsia="zh-CN"/>
        </w:rPr>
        <w:t xml:space="preserve"> 4. Moreover, when implementing these frequency arrangements, administrations are also encouraged to take into account Annex 3 </w:t>
      </w:r>
      <w:r>
        <w:rPr>
          <w:sz w:val="20"/>
          <w:szCs w:val="18"/>
          <w:lang w:eastAsia="zh-CN"/>
        </w:rPr>
        <w:t>to</w:t>
      </w:r>
      <w:r w:rsidRPr="0025764B">
        <w:rPr>
          <w:sz w:val="20"/>
          <w:szCs w:val="18"/>
          <w:lang w:eastAsia="zh-CN"/>
        </w:rPr>
        <w:t xml:space="preserve"> </w:t>
      </w:r>
      <w:r w:rsidRPr="00832E1A">
        <w:rPr>
          <w:sz w:val="20"/>
          <w:lang w:eastAsia="zh-CN"/>
        </w:rPr>
        <w:t xml:space="preserve">Recommendation </w:t>
      </w:r>
      <w:hyperlink r:id="rId37" w:history="1">
        <w:r w:rsidR="00832E1A" w:rsidRPr="00832E1A">
          <w:rPr>
            <w:sz w:val="20"/>
          </w:rPr>
          <w:t>ITU-R M.2159</w:t>
        </w:r>
      </w:hyperlink>
      <w:r w:rsidR="00832E1A" w:rsidRPr="00832E1A">
        <w:rPr>
          <w:sz w:val="20"/>
        </w:rPr>
        <w:t xml:space="preserve"> </w:t>
      </w:r>
      <w:r w:rsidRPr="00832E1A">
        <w:rPr>
          <w:sz w:val="20"/>
          <w:lang w:eastAsia="zh-CN"/>
        </w:rPr>
        <w:t>in order to address IMT-MSS coexistence in certain areas, such as seaports and airports.</w:t>
      </w:r>
    </w:p>
    <w:bookmarkEnd w:id="20"/>
    <w:p w14:paraId="177F0D7F" w14:textId="77777777" w:rsidR="00476035" w:rsidRPr="007F453D" w:rsidRDefault="00476035" w:rsidP="00476035">
      <w:pPr>
        <w:pStyle w:val="FigureNo"/>
        <w:rPr>
          <w:lang w:eastAsia="fr-FR"/>
        </w:rPr>
      </w:pPr>
      <w:r w:rsidRPr="007F453D">
        <w:rPr>
          <w:lang w:eastAsia="ja-JP"/>
        </w:rPr>
        <w:t>f</w:t>
      </w:r>
      <w:r w:rsidRPr="007F453D">
        <w:t>IGURE</w:t>
      </w:r>
      <w:r w:rsidRPr="007F453D">
        <w:rPr>
          <w:lang w:eastAsia="fr-FR"/>
        </w:rPr>
        <w:t xml:space="preserve"> 4</w:t>
      </w:r>
    </w:p>
    <w:p w14:paraId="00358A1F" w14:textId="59295B5B" w:rsidR="00476035" w:rsidRDefault="00476035" w:rsidP="00476035">
      <w:pPr>
        <w:pStyle w:val="Figuretitle"/>
        <w:rPr>
          <w:lang w:eastAsia="fr-FR"/>
        </w:rPr>
      </w:pPr>
      <w:r w:rsidRPr="007F453D">
        <w:rPr>
          <w:lang w:eastAsia="fr-FR"/>
        </w:rPr>
        <w:t>Frequency arrangements G1 to G3</w:t>
      </w:r>
      <w:r w:rsidR="00FE51F3">
        <w:rPr>
          <w:lang w:eastAsia="fr-FR"/>
        </w:rPr>
        <w:t xml:space="preserve"> </w:t>
      </w:r>
      <w:r w:rsidRPr="007F453D">
        <w:rPr>
          <w:lang w:eastAsia="fr-FR"/>
        </w:rPr>
        <w:t>(see Note 1 to Table 3)</w:t>
      </w:r>
    </w:p>
    <w:p w14:paraId="26BAA03B" w14:textId="31D2A6BC" w:rsidR="00572BA2" w:rsidRDefault="00572BA2" w:rsidP="00572BA2">
      <w:pPr>
        <w:pStyle w:val="Figure"/>
      </w:pPr>
      <w:r>
        <w:rPr>
          <w:noProof/>
        </w:rPr>
        <w:drawing>
          <wp:inline distT="0" distB="0" distL="0" distR="0" wp14:anchorId="79534DD7" wp14:editId="514DF325">
            <wp:extent cx="5733300" cy="3075438"/>
            <wp:effectExtent l="0" t="0" r="1270" b="0"/>
            <wp:docPr id="79661650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16507" name="Picture 3">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733300" cy="3075438"/>
                    </a:xfrm>
                    <a:prstGeom prst="rect">
                      <a:avLst/>
                    </a:prstGeom>
                  </pic:spPr>
                </pic:pic>
              </a:graphicData>
            </a:graphic>
          </wp:inline>
        </w:drawing>
      </w:r>
    </w:p>
    <w:p w14:paraId="3968B417" w14:textId="326D509F" w:rsidR="00FE51F3" w:rsidRDefault="00FE51F3" w:rsidP="00572BA2">
      <w:r>
        <w:br w:type="page"/>
      </w:r>
    </w:p>
    <w:p w14:paraId="29F8BBC4" w14:textId="3213B738" w:rsidR="00476035" w:rsidRPr="00C50DFB" w:rsidRDefault="00476035" w:rsidP="00476035">
      <w:pPr>
        <w:pStyle w:val="StyleSectionNo14ptCenteredBefore24pt"/>
      </w:pPr>
      <w:bookmarkStart w:id="21" w:name="_Toc224135064"/>
      <w:r w:rsidRPr="00C50DFB">
        <w:lastRenderedPageBreak/>
        <w:t>SECTION 5</w:t>
      </w:r>
      <w:bookmarkEnd w:id="21"/>
    </w:p>
    <w:p w14:paraId="4648233F" w14:textId="77777777" w:rsidR="00476035" w:rsidRPr="007F453D" w:rsidRDefault="00476035" w:rsidP="00476035">
      <w:pPr>
        <w:pStyle w:val="Sectiontitle"/>
      </w:pPr>
      <w:bookmarkStart w:id="22" w:name="_Toc224135065"/>
      <w:r w:rsidRPr="007F453D">
        <w:t>Frequency arrangements in the band 1 710-2 200 MHz</w:t>
      </w:r>
      <w:r>
        <w:rPr>
          <w:rStyle w:val="FootnoteReference"/>
        </w:rPr>
        <w:footnoteReference w:id="4"/>
      </w:r>
      <w:bookmarkEnd w:id="22"/>
    </w:p>
    <w:p w14:paraId="587D07F2" w14:textId="77777777" w:rsidR="00476035" w:rsidRPr="007F453D" w:rsidRDefault="00476035" w:rsidP="00476035">
      <w:pPr>
        <w:pStyle w:val="Normalaftertitle"/>
        <w:rPr>
          <w:lang w:eastAsia="zh-CN"/>
        </w:rPr>
      </w:pPr>
      <w:r w:rsidRPr="007F453D">
        <w:t>The recommended frequency arrangements for implementation of IMT in the band 1 710</w:t>
      </w:r>
      <w:r w:rsidRPr="007F453D">
        <w:noBreakHyphen/>
        <w:t>2 200 MHz are summarized in Table 4 and in Fig. 5, noting the implementation aspects in Section 1 above.</w:t>
      </w:r>
    </w:p>
    <w:p w14:paraId="4FA6A382" w14:textId="77777777" w:rsidR="00476035" w:rsidRPr="007F453D" w:rsidRDefault="00476035" w:rsidP="00476035">
      <w:pPr>
        <w:pStyle w:val="TableNo"/>
      </w:pPr>
      <w:r w:rsidRPr="007F453D">
        <w:t>TABLE 4</w:t>
      </w:r>
    </w:p>
    <w:p w14:paraId="46DB8ED6" w14:textId="77777777" w:rsidR="00476035" w:rsidRPr="007F453D" w:rsidRDefault="00476035" w:rsidP="00476035">
      <w:pPr>
        <w:pStyle w:val="Tabletitle"/>
        <w:rPr>
          <w:lang w:eastAsia="zh-CN"/>
        </w:rPr>
      </w:pPr>
      <w:r w:rsidRPr="007F453D">
        <w:t>Frequency arrangements in the band 1 710-2 200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1536"/>
        <w:gridCol w:w="1175"/>
        <w:gridCol w:w="1313"/>
        <w:gridCol w:w="1134"/>
        <w:gridCol w:w="1417"/>
        <w:gridCol w:w="997"/>
      </w:tblGrid>
      <w:tr w:rsidR="00476035" w:rsidRPr="00AC4659" w14:paraId="095B9C37" w14:textId="77777777" w:rsidTr="00FD61B7">
        <w:trPr>
          <w:tblHeader/>
          <w:jc w:val="center"/>
        </w:trPr>
        <w:tc>
          <w:tcPr>
            <w:tcW w:w="2067" w:type="dxa"/>
            <w:vMerge w:val="restart"/>
            <w:vAlign w:val="center"/>
          </w:tcPr>
          <w:p w14:paraId="7003950F" w14:textId="77777777" w:rsidR="00476035" w:rsidRPr="00AC4659" w:rsidRDefault="00476035" w:rsidP="00FD61B7">
            <w:pPr>
              <w:pStyle w:val="Tablehead"/>
              <w:rPr>
                <w:sz w:val="20"/>
              </w:rPr>
            </w:pPr>
            <w:r w:rsidRPr="00AC4659">
              <w:rPr>
                <w:sz w:val="20"/>
              </w:rPr>
              <w:t xml:space="preserve">Frequency </w:t>
            </w:r>
            <w:r w:rsidRPr="00AC4659">
              <w:rPr>
                <w:sz w:val="20"/>
              </w:rPr>
              <w:br/>
              <w:t>arrangements</w:t>
            </w:r>
          </w:p>
        </w:tc>
        <w:tc>
          <w:tcPr>
            <w:tcW w:w="5158" w:type="dxa"/>
            <w:gridSpan w:val="4"/>
            <w:vAlign w:val="center"/>
          </w:tcPr>
          <w:p w14:paraId="547A612D" w14:textId="77777777" w:rsidR="00476035" w:rsidRPr="00AC4659" w:rsidRDefault="00476035" w:rsidP="00FD61B7">
            <w:pPr>
              <w:pStyle w:val="Tablehead"/>
              <w:rPr>
                <w:sz w:val="20"/>
              </w:rPr>
            </w:pPr>
            <w:r w:rsidRPr="00AC4659">
              <w:rPr>
                <w:sz w:val="20"/>
              </w:rPr>
              <w:t>Paired arrangements (FDD)</w:t>
            </w:r>
          </w:p>
        </w:tc>
        <w:tc>
          <w:tcPr>
            <w:tcW w:w="1417" w:type="dxa"/>
            <w:vMerge w:val="restart"/>
            <w:vAlign w:val="center"/>
          </w:tcPr>
          <w:p w14:paraId="75EED795" w14:textId="77777777" w:rsidR="00476035" w:rsidRPr="00AC4659" w:rsidRDefault="00476035" w:rsidP="00FD61B7">
            <w:pPr>
              <w:pStyle w:val="Tablehead"/>
              <w:rPr>
                <w:sz w:val="20"/>
              </w:rPr>
            </w:pPr>
            <w:r w:rsidRPr="00AC4659">
              <w:rPr>
                <w:sz w:val="20"/>
              </w:rPr>
              <w:t xml:space="preserve">Un-paired arrangements </w:t>
            </w:r>
            <w:r w:rsidRPr="00AC4659">
              <w:rPr>
                <w:sz w:val="20"/>
              </w:rPr>
              <w:br/>
              <w:t>(TDD)</w:t>
            </w:r>
            <w:r w:rsidRPr="00AC4659">
              <w:rPr>
                <w:sz w:val="20"/>
              </w:rPr>
              <w:br/>
              <w:t>(MHz)</w:t>
            </w:r>
          </w:p>
        </w:tc>
        <w:tc>
          <w:tcPr>
            <w:tcW w:w="997" w:type="dxa"/>
            <w:vMerge w:val="restart"/>
            <w:vAlign w:val="center"/>
          </w:tcPr>
          <w:p w14:paraId="66D15FF8" w14:textId="77777777" w:rsidR="00476035" w:rsidRPr="00AC4659" w:rsidRDefault="00476035" w:rsidP="00FD61B7">
            <w:pPr>
              <w:pStyle w:val="Tablehead"/>
              <w:rPr>
                <w:sz w:val="20"/>
              </w:rPr>
            </w:pPr>
            <w:r w:rsidRPr="00AC4659">
              <w:rPr>
                <w:sz w:val="20"/>
              </w:rPr>
              <w:t>Relevant</w:t>
            </w:r>
            <w:r w:rsidRPr="00AC4659">
              <w:rPr>
                <w:sz w:val="20"/>
              </w:rPr>
              <w:br/>
              <w:t>Notes</w:t>
            </w:r>
          </w:p>
        </w:tc>
      </w:tr>
      <w:tr w:rsidR="00476035" w:rsidRPr="00AC4659" w14:paraId="6B9D172F" w14:textId="77777777" w:rsidTr="00FD61B7">
        <w:trPr>
          <w:tblHeader/>
          <w:jc w:val="center"/>
        </w:trPr>
        <w:tc>
          <w:tcPr>
            <w:tcW w:w="2067" w:type="dxa"/>
            <w:vMerge/>
            <w:vAlign w:val="center"/>
          </w:tcPr>
          <w:p w14:paraId="1A84ABC5" w14:textId="77777777" w:rsidR="00476035" w:rsidRPr="00AC4659" w:rsidRDefault="00476035" w:rsidP="00FD61B7">
            <w:pPr>
              <w:keepNext/>
              <w:spacing w:before="80" w:after="80"/>
              <w:jc w:val="center"/>
              <w:rPr>
                <w:rFonts w:ascii="Times New Roman Bold" w:hAnsi="Times New Roman Bold" w:cs="Times New Roman Bold"/>
                <w:b/>
                <w:sz w:val="20"/>
              </w:rPr>
            </w:pPr>
          </w:p>
        </w:tc>
        <w:tc>
          <w:tcPr>
            <w:tcW w:w="1536" w:type="dxa"/>
            <w:vAlign w:val="center"/>
          </w:tcPr>
          <w:p w14:paraId="6EBE6A79" w14:textId="77777777" w:rsidR="00476035" w:rsidRPr="00AC4659" w:rsidRDefault="00476035" w:rsidP="00FD61B7">
            <w:pPr>
              <w:pStyle w:val="Tablehead"/>
              <w:rPr>
                <w:sz w:val="20"/>
              </w:rPr>
            </w:pPr>
            <w:r w:rsidRPr="00AC4659">
              <w:rPr>
                <w:sz w:val="20"/>
              </w:rPr>
              <w:t>Mobile station transmitter</w:t>
            </w:r>
            <w:r w:rsidRPr="00AC4659">
              <w:rPr>
                <w:sz w:val="20"/>
              </w:rPr>
              <w:br/>
              <w:t>(MHz)</w:t>
            </w:r>
          </w:p>
        </w:tc>
        <w:tc>
          <w:tcPr>
            <w:tcW w:w="1175" w:type="dxa"/>
            <w:vAlign w:val="center"/>
          </w:tcPr>
          <w:p w14:paraId="1A078FDB" w14:textId="77777777" w:rsidR="00476035" w:rsidRPr="00AC4659" w:rsidRDefault="00476035" w:rsidP="00FD61B7">
            <w:pPr>
              <w:pStyle w:val="Tablehead"/>
              <w:rPr>
                <w:sz w:val="20"/>
              </w:rPr>
            </w:pPr>
            <w:r w:rsidRPr="00AC4659">
              <w:rPr>
                <w:sz w:val="20"/>
              </w:rPr>
              <w:t>Centre gap</w:t>
            </w:r>
            <w:r w:rsidRPr="00AC4659">
              <w:rPr>
                <w:sz w:val="20"/>
              </w:rPr>
              <w:br/>
              <w:t>(MHz)</w:t>
            </w:r>
          </w:p>
        </w:tc>
        <w:tc>
          <w:tcPr>
            <w:tcW w:w="1313" w:type="dxa"/>
            <w:vAlign w:val="center"/>
          </w:tcPr>
          <w:p w14:paraId="2F268D9D" w14:textId="77777777" w:rsidR="00476035" w:rsidRPr="00AC4659" w:rsidRDefault="00476035" w:rsidP="00FD61B7">
            <w:pPr>
              <w:pStyle w:val="Tablehead"/>
              <w:rPr>
                <w:sz w:val="20"/>
              </w:rPr>
            </w:pPr>
            <w:r w:rsidRPr="00AC4659">
              <w:rPr>
                <w:sz w:val="20"/>
              </w:rPr>
              <w:t>Base station transmitter</w:t>
            </w:r>
            <w:r w:rsidRPr="00AC4659">
              <w:rPr>
                <w:sz w:val="20"/>
              </w:rPr>
              <w:br/>
              <w:t>(MHz)</w:t>
            </w:r>
          </w:p>
        </w:tc>
        <w:tc>
          <w:tcPr>
            <w:tcW w:w="1134" w:type="dxa"/>
            <w:vAlign w:val="center"/>
          </w:tcPr>
          <w:p w14:paraId="75139DB1" w14:textId="77777777" w:rsidR="00476035" w:rsidRPr="00AC4659" w:rsidRDefault="00476035" w:rsidP="00FD61B7">
            <w:pPr>
              <w:pStyle w:val="Tablehead"/>
              <w:rPr>
                <w:sz w:val="20"/>
              </w:rPr>
            </w:pPr>
            <w:r w:rsidRPr="00AC4659">
              <w:rPr>
                <w:sz w:val="20"/>
              </w:rPr>
              <w:t>Duplex separation</w:t>
            </w:r>
            <w:r w:rsidRPr="00AC4659">
              <w:rPr>
                <w:sz w:val="20"/>
              </w:rPr>
              <w:br/>
              <w:t>(MHz)</w:t>
            </w:r>
          </w:p>
        </w:tc>
        <w:tc>
          <w:tcPr>
            <w:tcW w:w="1417" w:type="dxa"/>
            <w:vMerge/>
            <w:vAlign w:val="center"/>
          </w:tcPr>
          <w:p w14:paraId="0C959174" w14:textId="77777777" w:rsidR="00476035" w:rsidRPr="00AC4659" w:rsidRDefault="00476035" w:rsidP="00FD61B7">
            <w:pPr>
              <w:keepNext/>
              <w:spacing w:before="80" w:after="80"/>
              <w:jc w:val="center"/>
              <w:rPr>
                <w:rFonts w:ascii="Times New Roman Bold" w:hAnsi="Times New Roman Bold" w:cs="Times New Roman Bold"/>
                <w:b/>
                <w:sz w:val="20"/>
              </w:rPr>
            </w:pPr>
          </w:p>
        </w:tc>
        <w:tc>
          <w:tcPr>
            <w:tcW w:w="997" w:type="dxa"/>
            <w:vMerge/>
          </w:tcPr>
          <w:p w14:paraId="60F9D63F" w14:textId="77777777" w:rsidR="00476035" w:rsidRPr="00AC4659" w:rsidRDefault="00476035" w:rsidP="00FD61B7">
            <w:pPr>
              <w:keepNext/>
              <w:spacing w:before="80" w:after="80"/>
              <w:jc w:val="center"/>
              <w:rPr>
                <w:rFonts w:ascii="Times New Roman Bold" w:hAnsi="Times New Roman Bold" w:cs="Times New Roman Bold"/>
                <w:b/>
                <w:sz w:val="20"/>
              </w:rPr>
            </w:pPr>
          </w:p>
        </w:tc>
      </w:tr>
      <w:tr w:rsidR="00476035" w:rsidRPr="00AC4659" w14:paraId="02F2308A" w14:textId="77777777" w:rsidTr="00FD61B7">
        <w:trPr>
          <w:jc w:val="center"/>
        </w:trPr>
        <w:tc>
          <w:tcPr>
            <w:tcW w:w="2067" w:type="dxa"/>
            <w:vAlign w:val="center"/>
          </w:tcPr>
          <w:p w14:paraId="048F6049" w14:textId="77777777" w:rsidR="00476035" w:rsidRPr="00AC4659" w:rsidRDefault="00476035" w:rsidP="00FD61B7">
            <w:pPr>
              <w:pStyle w:val="Tabletext"/>
              <w:jc w:val="center"/>
              <w:rPr>
                <w:sz w:val="20"/>
              </w:rPr>
            </w:pPr>
            <w:r w:rsidRPr="00AC4659">
              <w:rPr>
                <w:sz w:val="20"/>
              </w:rPr>
              <w:t>B1</w:t>
            </w:r>
          </w:p>
        </w:tc>
        <w:tc>
          <w:tcPr>
            <w:tcW w:w="1536" w:type="dxa"/>
            <w:vAlign w:val="center"/>
          </w:tcPr>
          <w:p w14:paraId="0B6D8DE4" w14:textId="77777777" w:rsidR="00476035" w:rsidRPr="00AC4659" w:rsidRDefault="00476035" w:rsidP="00FD61B7">
            <w:pPr>
              <w:pStyle w:val="Tabletext"/>
              <w:jc w:val="center"/>
              <w:rPr>
                <w:sz w:val="20"/>
              </w:rPr>
            </w:pPr>
            <w:r w:rsidRPr="00AC4659">
              <w:rPr>
                <w:sz w:val="20"/>
              </w:rPr>
              <w:t>1 920-1 980</w:t>
            </w:r>
          </w:p>
        </w:tc>
        <w:tc>
          <w:tcPr>
            <w:tcW w:w="1175" w:type="dxa"/>
            <w:vAlign w:val="center"/>
          </w:tcPr>
          <w:p w14:paraId="04E90E3E" w14:textId="77777777" w:rsidR="00476035" w:rsidRPr="00AC4659" w:rsidRDefault="00476035" w:rsidP="00FD61B7">
            <w:pPr>
              <w:pStyle w:val="Tabletext"/>
              <w:jc w:val="center"/>
              <w:rPr>
                <w:sz w:val="20"/>
              </w:rPr>
            </w:pPr>
            <w:r w:rsidRPr="00AC4659">
              <w:rPr>
                <w:sz w:val="20"/>
              </w:rPr>
              <w:t>130</w:t>
            </w:r>
          </w:p>
        </w:tc>
        <w:tc>
          <w:tcPr>
            <w:tcW w:w="1313" w:type="dxa"/>
            <w:vAlign w:val="center"/>
          </w:tcPr>
          <w:p w14:paraId="7BD40CA7" w14:textId="77777777" w:rsidR="00476035" w:rsidRPr="00AC4659" w:rsidRDefault="00476035" w:rsidP="00FD61B7">
            <w:pPr>
              <w:pStyle w:val="Tabletext"/>
              <w:jc w:val="center"/>
              <w:rPr>
                <w:sz w:val="20"/>
              </w:rPr>
            </w:pPr>
            <w:r w:rsidRPr="00AC4659">
              <w:rPr>
                <w:sz w:val="20"/>
              </w:rPr>
              <w:t>2 110-2 170</w:t>
            </w:r>
          </w:p>
        </w:tc>
        <w:tc>
          <w:tcPr>
            <w:tcW w:w="1134" w:type="dxa"/>
            <w:vAlign w:val="center"/>
          </w:tcPr>
          <w:p w14:paraId="10F66259" w14:textId="77777777" w:rsidR="00476035" w:rsidRPr="00AC4659" w:rsidRDefault="00476035" w:rsidP="00FD61B7">
            <w:pPr>
              <w:pStyle w:val="Tabletext"/>
              <w:jc w:val="center"/>
              <w:rPr>
                <w:sz w:val="20"/>
              </w:rPr>
            </w:pPr>
            <w:r w:rsidRPr="00AC4659">
              <w:rPr>
                <w:sz w:val="20"/>
              </w:rPr>
              <w:t>190</w:t>
            </w:r>
          </w:p>
        </w:tc>
        <w:tc>
          <w:tcPr>
            <w:tcW w:w="1417" w:type="dxa"/>
            <w:vAlign w:val="center"/>
          </w:tcPr>
          <w:p w14:paraId="5727B796" w14:textId="77777777" w:rsidR="00476035" w:rsidRPr="00AC4659" w:rsidRDefault="00476035" w:rsidP="00FD61B7">
            <w:pPr>
              <w:pStyle w:val="Tabletext"/>
              <w:jc w:val="center"/>
              <w:rPr>
                <w:sz w:val="20"/>
              </w:rPr>
            </w:pPr>
            <w:r w:rsidRPr="00AC4659">
              <w:rPr>
                <w:sz w:val="20"/>
              </w:rPr>
              <w:t>1 880-1 920;</w:t>
            </w:r>
            <w:r w:rsidRPr="00AC4659">
              <w:rPr>
                <w:sz w:val="20"/>
              </w:rPr>
              <w:br/>
              <w:t>2 010-2 025</w:t>
            </w:r>
          </w:p>
        </w:tc>
        <w:tc>
          <w:tcPr>
            <w:tcW w:w="997" w:type="dxa"/>
            <w:vAlign w:val="center"/>
          </w:tcPr>
          <w:p w14:paraId="29BAEBBB" w14:textId="77777777" w:rsidR="00476035" w:rsidRPr="00AC4659" w:rsidRDefault="00476035" w:rsidP="00FD61B7">
            <w:pPr>
              <w:pStyle w:val="Tabletext"/>
              <w:jc w:val="center"/>
              <w:rPr>
                <w:sz w:val="20"/>
              </w:rPr>
            </w:pPr>
            <w:r w:rsidRPr="00AC4659">
              <w:rPr>
                <w:sz w:val="20"/>
              </w:rPr>
              <w:t>1, 2, 4</w:t>
            </w:r>
          </w:p>
        </w:tc>
      </w:tr>
      <w:tr w:rsidR="00476035" w:rsidRPr="00AC4659" w14:paraId="37E6BD61" w14:textId="77777777" w:rsidTr="00FD61B7">
        <w:trPr>
          <w:jc w:val="center"/>
        </w:trPr>
        <w:tc>
          <w:tcPr>
            <w:tcW w:w="2067" w:type="dxa"/>
            <w:vAlign w:val="center"/>
          </w:tcPr>
          <w:p w14:paraId="203CDC2D" w14:textId="77777777" w:rsidR="00476035" w:rsidRPr="00AC4659" w:rsidRDefault="00476035" w:rsidP="00FD61B7">
            <w:pPr>
              <w:pStyle w:val="Tabletext"/>
              <w:jc w:val="center"/>
              <w:rPr>
                <w:sz w:val="20"/>
              </w:rPr>
            </w:pPr>
            <w:r w:rsidRPr="00AC4659">
              <w:rPr>
                <w:sz w:val="20"/>
              </w:rPr>
              <w:t>B2</w:t>
            </w:r>
          </w:p>
        </w:tc>
        <w:tc>
          <w:tcPr>
            <w:tcW w:w="1536" w:type="dxa"/>
            <w:vAlign w:val="center"/>
          </w:tcPr>
          <w:p w14:paraId="59D76D1C" w14:textId="77777777" w:rsidR="00476035" w:rsidRPr="00AC4659" w:rsidRDefault="00476035" w:rsidP="00FD61B7">
            <w:pPr>
              <w:pStyle w:val="Tabletext"/>
              <w:jc w:val="center"/>
              <w:rPr>
                <w:sz w:val="20"/>
              </w:rPr>
            </w:pPr>
            <w:r w:rsidRPr="00AC4659">
              <w:rPr>
                <w:sz w:val="20"/>
              </w:rPr>
              <w:t>1 710-1 785</w:t>
            </w:r>
          </w:p>
        </w:tc>
        <w:tc>
          <w:tcPr>
            <w:tcW w:w="1175" w:type="dxa"/>
            <w:vAlign w:val="center"/>
          </w:tcPr>
          <w:p w14:paraId="3881B5F2" w14:textId="77777777" w:rsidR="00476035" w:rsidRPr="00AC4659" w:rsidRDefault="00476035" w:rsidP="00FD61B7">
            <w:pPr>
              <w:pStyle w:val="Tabletext"/>
              <w:jc w:val="center"/>
              <w:rPr>
                <w:sz w:val="20"/>
              </w:rPr>
            </w:pPr>
            <w:r w:rsidRPr="00AC4659">
              <w:rPr>
                <w:sz w:val="20"/>
              </w:rPr>
              <w:t>20</w:t>
            </w:r>
          </w:p>
        </w:tc>
        <w:tc>
          <w:tcPr>
            <w:tcW w:w="1313" w:type="dxa"/>
            <w:vAlign w:val="center"/>
          </w:tcPr>
          <w:p w14:paraId="632DD888" w14:textId="77777777" w:rsidR="00476035" w:rsidRPr="00AC4659" w:rsidRDefault="00476035" w:rsidP="00FD61B7">
            <w:pPr>
              <w:pStyle w:val="Tabletext"/>
              <w:jc w:val="center"/>
              <w:rPr>
                <w:sz w:val="20"/>
              </w:rPr>
            </w:pPr>
            <w:r w:rsidRPr="00AC4659">
              <w:rPr>
                <w:sz w:val="20"/>
              </w:rPr>
              <w:t>1 805-1 880</w:t>
            </w:r>
          </w:p>
        </w:tc>
        <w:tc>
          <w:tcPr>
            <w:tcW w:w="1134" w:type="dxa"/>
            <w:vAlign w:val="center"/>
          </w:tcPr>
          <w:p w14:paraId="70D8CE84" w14:textId="77777777" w:rsidR="00476035" w:rsidRPr="00AC4659" w:rsidRDefault="00476035" w:rsidP="00FD61B7">
            <w:pPr>
              <w:pStyle w:val="Tabletext"/>
              <w:jc w:val="center"/>
              <w:rPr>
                <w:sz w:val="20"/>
              </w:rPr>
            </w:pPr>
            <w:r w:rsidRPr="00AC4659">
              <w:rPr>
                <w:sz w:val="20"/>
              </w:rPr>
              <w:t>95</w:t>
            </w:r>
          </w:p>
        </w:tc>
        <w:tc>
          <w:tcPr>
            <w:tcW w:w="1417" w:type="dxa"/>
            <w:vAlign w:val="center"/>
          </w:tcPr>
          <w:p w14:paraId="48779A7C" w14:textId="77777777" w:rsidR="00476035" w:rsidRPr="00AC4659" w:rsidRDefault="00476035" w:rsidP="00FD61B7">
            <w:pPr>
              <w:pStyle w:val="Tabletext"/>
              <w:jc w:val="center"/>
              <w:rPr>
                <w:sz w:val="20"/>
              </w:rPr>
            </w:pPr>
            <w:r w:rsidRPr="00AC4659">
              <w:rPr>
                <w:sz w:val="20"/>
              </w:rPr>
              <w:t>None</w:t>
            </w:r>
          </w:p>
        </w:tc>
        <w:tc>
          <w:tcPr>
            <w:tcW w:w="997" w:type="dxa"/>
            <w:vAlign w:val="center"/>
          </w:tcPr>
          <w:p w14:paraId="2F6E5CB1" w14:textId="77777777" w:rsidR="00476035" w:rsidRPr="00AC4659" w:rsidRDefault="00476035" w:rsidP="00FD61B7">
            <w:pPr>
              <w:pStyle w:val="Tabletext"/>
              <w:jc w:val="center"/>
              <w:rPr>
                <w:sz w:val="20"/>
              </w:rPr>
            </w:pPr>
            <w:r w:rsidRPr="00AC4659">
              <w:rPr>
                <w:sz w:val="20"/>
              </w:rPr>
              <w:t>1</w:t>
            </w:r>
          </w:p>
        </w:tc>
      </w:tr>
      <w:tr w:rsidR="00476035" w:rsidRPr="00AC4659" w14:paraId="55BD1AC8" w14:textId="77777777" w:rsidTr="00FD61B7">
        <w:trPr>
          <w:jc w:val="center"/>
        </w:trPr>
        <w:tc>
          <w:tcPr>
            <w:tcW w:w="2067" w:type="dxa"/>
            <w:vAlign w:val="center"/>
          </w:tcPr>
          <w:p w14:paraId="29FC0C3B" w14:textId="77777777" w:rsidR="00476035" w:rsidRPr="00AC4659" w:rsidRDefault="00476035" w:rsidP="00FD61B7">
            <w:pPr>
              <w:pStyle w:val="Tabletext"/>
              <w:jc w:val="center"/>
              <w:rPr>
                <w:sz w:val="20"/>
              </w:rPr>
            </w:pPr>
            <w:r w:rsidRPr="00AC4659">
              <w:rPr>
                <w:sz w:val="20"/>
              </w:rPr>
              <w:t>B3</w:t>
            </w:r>
          </w:p>
        </w:tc>
        <w:tc>
          <w:tcPr>
            <w:tcW w:w="1536" w:type="dxa"/>
            <w:vAlign w:val="center"/>
          </w:tcPr>
          <w:p w14:paraId="456DECAE" w14:textId="77777777" w:rsidR="00476035" w:rsidRPr="00AC4659" w:rsidRDefault="00476035" w:rsidP="00FD61B7">
            <w:pPr>
              <w:pStyle w:val="Tabletext"/>
              <w:jc w:val="center"/>
              <w:rPr>
                <w:sz w:val="20"/>
              </w:rPr>
            </w:pPr>
            <w:r w:rsidRPr="00AC4659">
              <w:rPr>
                <w:sz w:val="20"/>
              </w:rPr>
              <w:t>1 850-1 920</w:t>
            </w:r>
          </w:p>
        </w:tc>
        <w:tc>
          <w:tcPr>
            <w:tcW w:w="1175" w:type="dxa"/>
            <w:vAlign w:val="center"/>
          </w:tcPr>
          <w:p w14:paraId="251DA05C" w14:textId="77777777" w:rsidR="00476035" w:rsidRPr="00AC4659" w:rsidRDefault="00476035" w:rsidP="00FD61B7">
            <w:pPr>
              <w:pStyle w:val="Tabletext"/>
              <w:jc w:val="center"/>
              <w:rPr>
                <w:sz w:val="20"/>
              </w:rPr>
            </w:pPr>
            <w:r w:rsidRPr="00AC4659">
              <w:rPr>
                <w:sz w:val="20"/>
              </w:rPr>
              <w:t>10</w:t>
            </w:r>
          </w:p>
        </w:tc>
        <w:tc>
          <w:tcPr>
            <w:tcW w:w="1313" w:type="dxa"/>
            <w:vAlign w:val="center"/>
          </w:tcPr>
          <w:p w14:paraId="7C9DB865" w14:textId="77777777" w:rsidR="00476035" w:rsidRPr="00AC4659" w:rsidRDefault="00476035" w:rsidP="00FD61B7">
            <w:pPr>
              <w:pStyle w:val="Tabletext"/>
              <w:jc w:val="center"/>
              <w:rPr>
                <w:sz w:val="20"/>
              </w:rPr>
            </w:pPr>
            <w:r w:rsidRPr="00AC4659">
              <w:rPr>
                <w:sz w:val="20"/>
              </w:rPr>
              <w:t>1 930-2 000</w:t>
            </w:r>
          </w:p>
        </w:tc>
        <w:tc>
          <w:tcPr>
            <w:tcW w:w="1134" w:type="dxa"/>
            <w:vAlign w:val="center"/>
          </w:tcPr>
          <w:p w14:paraId="49B7E5C4" w14:textId="77777777" w:rsidR="00476035" w:rsidRPr="00AC4659" w:rsidRDefault="00476035" w:rsidP="00FD61B7">
            <w:pPr>
              <w:pStyle w:val="Tabletext"/>
              <w:jc w:val="center"/>
              <w:rPr>
                <w:sz w:val="20"/>
              </w:rPr>
            </w:pPr>
            <w:r w:rsidRPr="00AC4659">
              <w:rPr>
                <w:sz w:val="20"/>
              </w:rPr>
              <w:t>80</w:t>
            </w:r>
          </w:p>
        </w:tc>
        <w:tc>
          <w:tcPr>
            <w:tcW w:w="1417" w:type="dxa"/>
            <w:vAlign w:val="center"/>
          </w:tcPr>
          <w:p w14:paraId="2EF65969" w14:textId="77777777" w:rsidR="00476035" w:rsidRPr="00AC4659" w:rsidRDefault="00476035" w:rsidP="00FD61B7">
            <w:pPr>
              <w:pStyle w:val="Tabletext"/>
              <w:jc w:val="center"/>
              <w:rPr>
                <w:sz w:val="20"/>
              </w:rPr>
            </w:pPr>
            <w:r w:rsidRPr="00AC4659">
              <w:rPr>
                <w:sz w:val="20"/>
              </w:rPr>
              <w:t>1 920-1 930</w:t>
            </w:r>
          </w:p>
        </w:tc>
        <w:tc>
          <w:tcPr>
            <w:tcW w:w="997" w:type="dxa"/>
            <w:vAlign w:val="center"/>
          </w:tcPr>
          <w:p w14:paraId="3BD0D661" w14:textId="77777777" w:rsidR="00476035" w:rsidRPr="00AC4659" w:rsidRDefault="00476035" w:rsidP="00FD61B7">
            <w:pPr>
              <w:pStyle w:val="Tabletext"/>
              <w:jc w:val="center"/>
              <w:rPr>
                <w:sz w:val="20"/>
              </w:rPr>
            </w:pPr>
            <w:r w:rsidRPr="00AC4659">
              <w:rPr>
                <w:sz w:val="20"/>
              </w:rPr>
              <w:t>1, 2, 5</w:t>
            </w:r>
          </w:p>
        </w:tc>
      </w:tr>
      <w:tr w:rsidR="00476035" w:rsidRPr="00AC4659" w14:paraId="5B60EAEE" w14:textId="77777777" w:rsidTr="00FD61B7">
        <w:trPr>
          <w:jc w:val="center"/>
        </w:trPr>
        <w:tc>
          <w:tcPr>
            <w:tcW w:w="2067" w:type="dxa"/>
            <w:vMerge w:val="restart"/>
            <w:vAlign w:val="center"/>
          </w:tcPr>
          <w:p w14:paraId="52B958CD" w14:textId="77777777" w:rsidR="00476035" w:rsidRPr="00AC4659" w:rsidRDefault="00476035" w:rsidP="00FD61B7">
            <w:pPr>
              <w:pStyle w:val="Tabletext"/>
              <w:jc w:val="center"/>
              <w:rPr>
                <w:sz w:val="20"/>
              </w:rPr>
            </w:pPr>
            <w:r w:rsidRPr="00AC4659">
              <w:rPr>
                <w:sz w:val="20"/>
              </w:rPr>
              <w:t xml:space="preserve">B4 (harmonized with </w:t>
            </w:r>
            <w:r w:rsidRPr="00AC4659">
              <w:rPr>
                <w:sz w:val="20"/>
              </w:rPr>
              <w:br/>
              <w:t>B1 and B2)</w:t>
            </w:r>
          </w:p>
        </w:tc>
        <w:tc>
          <w:tcPr>
            <w:tcW w:w="1536" w:type="dxa"/>
            <w:tcBorders>
              <w:bottom w:val="dashed" w:sz="4" w:space="0" w:color="auto"/>
            </w:tcBorders>
            <w:vAlign w:val="center"/>
          </w:tcPr>
          <w:p w14:paraId="2B908AC3" w14:textId="77777777" w:rsidR="00476035" w:rsidRPr="00AC4659" w:rsidRDefault="00476035" w:rsidP="00FD61B7">
            <w:pPr>
              <w:pStyle w:val="Tabletext"/>
              <w:jc w:val="center"/>
              <w:rPr>
                <w:sz w:val="20"/>
              </w:rPr>
            </w:pPr>
            <w:r w:rsidRPr="00AC4659">
              <w:rPr>
                <w:sz w:val="20"/>
              </w:rPr>
              <w:t>1 710-1 785</w:t>
            </w:r>
          </w:p>
        </w:tc>
        <w:tc>
          <w:tcPr>
            <w:tcW w:w="1175" w:type="dxa"/>
            <w:tcBorders>
              <w:bottom w:val="dashed" w:sz="4" w:space="0" w:color="auto"/>
            </w:tcBorders>
            <w:vAlign w:val="center"/>
          </w:tcPr>
          <w:p w14:paraId="63282FF5" w14:textId="77777777" w:rsidR="00476035" w:rsidRPr="00AC4659" w:rsidRDefault="00476035" w:rsidP="00FD61B7">
            <w:pPr>
              <w:pStyle w:val="Tabletext"/>
              <w:jc w:val="center"/>
              <w:rPr>
                <w:sz w:val="20"/>
              </w:rPr>
            </w:pPr>
            <w:r w:rsidRPr="00AC4659">
              <w:rPr>
                <w:sz w:val="20"/>
              </w:rPr>
              <w:t>20</w:t>
            </w:r>
          </w:p>
        </w:tc>
        <w:tc>
          <w:tcPr>
            <w:tcW w:w="1313" w:type="dxa"/>
            <w:tcBorders>
              <w:bottom w:val="dashed" w:sz="4" w:space="0" w:color="auto"/>
            </w:tcBorders>
            <w:vAlign w:val="center"/>
          </w:tcPr>
          <w:p w14:paraId="17C4B108" w14:textId="77777777" w:rsidR="00476035" w:rsidRPr="00AC4659" w:rsidRDefault="00476035" w:rsidP="00FD61B7">
            <w:pPr>
              <w:pStyle w:val="Tabletext"/>
              <w:jc w:val="center"/>
              <w:rPr>
                <w:sz w:val="20"/>
              </w:rPr>
            </w:pPr>
            <w:r w:rsidRPr="00AC4659">
              <w:rPr>
                <w:sz w:val="20"/>
              </w:rPr>
              <w:t>1 805-1 880</w:t>
            </w:r>
          </w:p>
        </w:tc>
        <w:tc>
          <w:tcPr>
            <w:tcW w:w="1134" w:type="dxa"/>
            <w:tcBorders>
              <w:bottom w:val="dashed" w:sz="4" w:space="0" w:color="auto"/>
            </w:tcBorders>
            <w:vAlign w:val="center"/>
          </w:tcPr>
          <w:p w14:paraId="6FC85060" w14:textId="77777777" w:rsidR="00476035" w:rsidRPr="00AC4659" w:rsidRDefault="00476035" w:rsidP="00FD61B7">
            <w:pPr>
              <w:pStyle w:val="Tabletext"/>
              <w:jc w:val="center"/>
              <w:rPr>
                <w:sz w:val="20"/>
              </w:rPr>
            </w:pPr>
            <w:r w:rsidRPr="00AC4659">
              <w:rPr>
                <w:sz w:val="20"/>
              </w:rPr>
              <w:t>95</w:t>
            </w:r>
          </w:p>
        </w:tc>
        <w:tc>
          <w:tcPr>
            <w:tcW w:w="1417" w:type="dxa"/>
            <w:tcBorders>
              <w:bottom w:val="dashed" w:sz="4" w:space="0" w:color="auto"/>
            </w:tcBorders>
            <w:vAlign w:val="center"/>
          </w:tcPr>
          <w:p w14:paraId="72C07639" w14:textId="77777777" w:rsidR="00476035" w:rsidRPr="00AC4659" w:rsidRDefault="00476035" w:rsidP="00FD61B7">
            <w:pPr>
              <w:pStyle w:val="Tabletext"/>
              <w:jc w:val="center"/>
              <w:rPr>
                <w:sz w:val="20"/>
              </w:rPr>
            </w:pPr>
            <w:r w:rsidRPr="00AC4659">
              <w:rPr>
                <w:sz w:val="20"/>
              </w:rPr>
              <w:t>1 880-1 920</w:t>
            </w:r>
          </w:p>
        </w:tc>
        <w:tc>
          <w:tcPr>
            <w:tcW w:w="997" w:type="dxa"/>
            <w:vMerge w:val="restart"/>
            <w:vAlign w:val="center"/>
          </w:tcPr>
          <w:p w14:paraId="5C845294" w14:textId="77777777" w:rsidR="00476035" w:rsidRPr="00AC4659" w:rsidRDefault="00476035" w:rsidP="00FD61B7">
            <w:pPr>
              <w:pStyle w:val="Tabletext"/>
              <w:jc w:val="center"/>
              <w:rPr>
                <w:sz w:val="20"/>
              </w:rPr>
            </w:pPr>
            <w:r w:rsidRPr="00AC4659">
              <w:rPr>
                <w:sz w:val="20"/>
              </w:rPr>
              <w:t>1, 2, 4</w:t>
            </w:r>
          </w:p>
        </w:tc>
      </w:tr>
      <w:tr w:rsidR="00476035" w:rsidRPr="00AC4659" w14:paraId="6556A671" w14:textId="77777777" w:rsidTr="00FD61B7">
        <w:trPr>
          <w:jc w:val="center"/>
        </w:trPr>
        <w:tc>
          <w:tcPr>
            <w:tcW w:w="2067" w:type="dxa"/>
            <w:vMerge/>
            <w:vAlign w:val="center"/>
          </w:tcPr>
          <w:p w14:paraId="30218D45" w14:textId="77777777" w:rsidR="00476035" w:rsidRPr="00AC4659" w:rsidRDefault="00476035" w:rsidP="00FD61B7">
            <w:pPr>
              <w:pStyle w:val="Tabletext"/>
              <w:jc w:val="center"/>
              <w:rPr>
                <w:sz w:val="20"/>
              </w:rPr>
            </w:pPr>
          </w:p>
        </w:tc>
        <w:tc>
          <w:tcPr>
            <w:tcW w:w="1536" w:type="dxa"/>
            <w:tcBorders>
              <w:top w:val="dashed" w:sz="4" w:space="0" w:color="auto"/>
            </w:tcBorders>
            <w:vAlign w:val="center"/>
          </w:tcPr>
          <w:p w14:paraId="12355D9F" w14:textId="77777777" w:rsidR="00476035" w:rsidRPr="00AC4659" w:rsidRDefault="00476035" w:rsidP="00FD61B7">
            <w:pPr>
              <w:pStyle w:val="Tabletext"/>
              <w:jc w:val="center"/>
              <w:rPr>
                <w:sz w:val="20"/>
              </w:rPr>
            </w:pPr>
            <w:r w:rsidRPr="00AC4659">
              <w:rPr>
                <w:sz w:val="20"/>
              </w:rPr>
              <w:t>1 920-1 980</w:t>
            </w:r>
          </w:p>
        </w:tc>
        <w:tc>
          <w:tcPr>
            <w:tcW w:w="1175" w:type="dxa"/>
            <w:tcBorders>
              <w:top w:val="dashed" w:sz="4" w:space="0" w:color="auto"/>
            </w:tcBorders>
            <w:vAlign w:val="center"/>
          </w:tcPr>
          <w:p w14:paraId="2455502A" w14:textId="77777777" w:rsidR="00476035" w:rsidRPr="00AC4659" w:rsidRDefault="00476035" w:rsidP="00FD61B7">
            <w:pPr>
              <w:pStyle w:val="Tabletext"/>
              <w:jc w:val="center"/>
              <w:rPr>
                <w:sz w:val="20"/>
              </w:rPr>
            </w:pPr>
            <w:r w:rsidRPr="00AC4659">
              <w:rPr>
                <w:sz w:val="20"/>
              </w:rPr>
              <w:t>130</w:t>
            </w:r>
          </w:p>
        </w:tc>
        <w:tc>
          <w:tcPr>
            <w:tcW w:w="1313" w:type="dxa"/>
            <w:tcBorders>
              <w:top w:val="dashed" w:sz="4" w:space="0" w:color="auto"/>
            </w:tcBorders>
            <w:vAlign w:val="center"/>
          </w:tcPr>
          <w:p w14:paraId="77F125F5" w14:textId="77777777" w:rsidR="00476035" w:rsidRPr="00AC4659" w:rsidRDefault="00476035" w:rsidP="00FD61B7">
            <w:pPr>
              <w:pStyle w:val="Tabletext"/>
              <w:jc w:val="center"/>
              <w:rPr>
                <w:sz w:val="20"/>
              </w:rPr>
            </w:pPr>
            <w:r w:rsidRPr="00AC4659">
              <w:rPr>
                <w:sz w:val="20"/>
              </w:rPr>
              <w:t>2 110-2 170</w:t>
            </w:r>
          </w:p>
        </w:tc>
        <w:tc>
          <w:tcPr>
            <w:tcW w:w="1134" w:type="dxa"/>
            <w:tcBorders>
              <w:top w:val="dashed" w:sz="4" w:space="0" w:color="auto"/>
            </w:tcBorders>
            <w:vAlign w:val="center"/>
          </w:tcPr>
          <w:p w14:paraId="794A2BE0" w14:textId="77777777" w:rsidR="00476035" w:rsidRPr="00AC4659" w:rsidRDefault="00476035" w:rsidP="00FD61B7">
            <w:pPr>
              <w:pStyle w:val="Tabletext"/>
              <w:jc w:val="center"/>
              <w:rPr>
                <w:sz w:val="20"/>
              </w:rPr>
            </w:pPr>
            <w:r w:rsidRPr="00AC4659">
              <w:rPr>
                <w:sz w:val="20"/>
              </w:rPr>
              <w:t>190</w:t>
            </w:r>
          </w:p>
        </w:tc>
        <w:tc>
          <w:tcPr>
            <w:tcW w:w="1417" w:type="dxa"/>
            <w:tcBorders>
              <w:top w:val="dashed" w:sz="4" w:space="0" w:color="auto"/>
            </w:tcBorders>
            <w:vAlign w:val="center"/>
          </w:tcPr>
          <w:p w14:paraId="2D822497" w14:textId="77777777" w:rsidR="00476035" w:rsidRPr="00AC4659" w:rsidRDefault="00476035" w:rsidP="00FD61B7">
            <w:pPr>
              <w:pStyle w:val="Tabletext"/>
              <w:jc w:val="center"/>
              <w:rPr>
                <w:sz w:val="20"/>
              </w:rPr>
            </w:pPr>
            <w:r w:rsidRPr="00AC4659">
              <w:rPr>
                <w:sz w:val="20"/>
              </w:rPr>
              <w:t>2 010-2 025</w:t>
            </w:r>
          </w:p>
        </w:tc>
        <w:tc>
          <w:tcPr>
            <w:tcW w:w="997" w:type="dxa"/>
            <w:vMerge/>
            <w:vAlign w:val="center"/>
          </w:tcPr>
          <w:p w14:paraId="74C28434" w14:textId="77777777" w:rsidR="00476035" w:rsidRPr="00AC4659" w:rsidRDefault="00476035" w:rsidP="00FD61B7">
            <w:pPr>
              <w:pStyle w:val="Tabletext"/>
              <w:jc w:val="center"/>
              <w:rPr>
                <w:sz w:val="20"/>
              </w:rPr>
            </w:pPr>
          </w:p>
        </w:tc>
      </w:tr>
      <w:tr w:rsidR="00476035" w:rsidRPr="00AC4659" w14:paraId="672FA2C4" w14:textId="77777777" w:rsidTr="00FD61B7">
        <w:trPr>
          <w:jc w:val="center"/>
        </w:trPr>
        <w:tc>
          <w:tcPr>
            <w:tcW w:w="2067" w:type="dxa"/>
            <w:vMerge w:val="restart"/>
            <w:vAlign w:val="center"/>
          </w:tcPr>
          <w:p w14:paraId="483C1817" w14:textId="77777777" w:rsidR="00476035" w:rsidRPr="00AC4659" w:rsidRDefault="00476035" w:rsidP="00FD61B7">
            <w:pPr>
              <w:pStyle w:val="Tabletext"/>
              <w:jc w:val="center"/>
              <w:rPr>
                <w:sz w:val="20"/>
              </w:rPr>
            </w:pPr>
            <w:r w:rsidRPr="00AC4659">
              <w:rPr>
                <w:sz w:val="20"/>
              </w:rPr>
              <w:t>B5 (harmonized with B3 and</w:t>
            </w:r>
            <w:r w:rsidRPr="00AC4659">
              <w:rPr>
                <w:sz w:val="20"/>
                <w:lang w:eastAsia="zh-CN"/>
              </w:rPr>
              <w:t xml:space="preserve"> </w:t>
            </w:r>
            <w:r w:rsidRPr="00AC4659">
              <w:rPr>
                <w:sz w:val="20"/>
              </w:rPr>
              <w:t>partially harmonized with the downlink of B1 and the uplink of B2)</w:t>
            </w:r>
          </w:p>
        </w:tc>
        <w:tc>
          <w:tcPr>
            <w:tcW w:w="1536" w:type="dxa"/>
            <w:tcBorders>
              <w:bottom w:val="dashed" w:sz="4" w:space="0" w:color="auto"/>
            </w:tcBorders>
            <w:vAlign w:val="center"/>
          </w:tcPr>
          <w:p w14:paraId="4474F86E" w14:textId="77777777" w:rsidR="00476035" w:rsidRPr="00AC4659" w:rsidRDefault="00476035" w:rsidP="00FD61B7">
            <w:pPr>
              <w:pStyle w:val="Tabletext"/>
              <w:jc w:val="center"/>
              <w:rPr>
                <w:sz w:val="20"/>
              </w:rPr>
            </w:pPr>
            <w:r w:rsidRPr="00AC4659">
              <w:rPr>
                <w:sz w:val="20"/>
              </w:rPr>
              <w:t>1 850-1 920</w:t>
            </w:r>
          </w:p>
        </w:tc>
        <w:tc>
          <w:tcPr>
            <w:tcW w:w="1175" w:type="dxa"/>
            <w:tcBorders>
              <w:bottom w:val="dashed" w:sz="4" w:space="0" w:color="auto"/>
            </w:tcBorders>
            <w:vAlign w:val="center"/>
          </w:tcPr>
          <w:p w14:paraId="566B7824" w14:textId="77777777" w:rsidR="00476035" w:rsidRPr="00AC4659" w:rsidRDefault="00476035" w:rsidP="00FD61B7">
            <w:pPr>
              <w:pStyle w:val="Tabletext"/>
              <w:jc w:val="center"/>
              <w:rPr>
                <w:sz w:val="20"/>
              </w:rPr>
            </w:pPr>
            <w:r w:rsidRPr="00AC4659">
              <w:rPr>
                <w:sz w:val="20"/>
              </w:rPr>
              <w:t>10</w:t>
            </w:r>
          </w:p>
        </w:tc>
        <w:tc>
          <w:tcPr>
            <w:tcW w:w="1313" w:type="dxa"/>
            <w:tcBorders>
              <w:bottom w:val="dashed" w:sz="4" w:space="0" w:color="auto"/>
            </w:tcBorders>
            <w:vAlign w:val="center"/>
          </w:tcPr>
          <w:p w14:paraId="73ECD14B" w14:textId="77777777" w:rsidR="00476035" w:rsidRPr="00AC4659" w:rsidRDefault="00476035" w:rsidP="00FD61B7">
            <w:pPr>
              <w:pStyle w:val="Tabletext"/>
              <w:jc w:val="center"/>
              <w:rPr>
                <w:sz w:val="20"/>
              </w:rPr>
            </w:pPr>
            <w:r w:rsidRPr="00AC4659">
              <w:rPr>
                <w:sz w:val="20"/>
              </w:rPr>
              <w:t xml:space="preserve">1 930-2 000 </w:t>
            </w:r>
          </w:p>
        </w:tc>
        <w:tc>
          <w:tcPr>
            <w:tcW w:w="1134" w:type="dxa"/>
            <w:tcBorders>
              <w:bottom w:val="dashed" w:sz="4" w:space="0" w:color="auto"/>
            </w:tcBorders>
            <w:vAlign w:val="center"/>
          </w:tcPr>
          <w:p w14:paraId="5F2630BE" w14:textId="77777777" w:rsidR="00476035" w:rsidRPr="00AC4659" w:rsidRDefault="00476035" w:rsidP="00FD61B7">
            <w:pPr>
              <w:pStyle w:val="Tabletext"/>
              <w:jc w:val="center"/>
              <w:rPr>
                <w:sz w:val="20"/>
              </w:rPr>
            </w:pPr>
            <w:r w:rsidRPr="00AC4659">
              <w:rPr>
                <w:sz w:val="20"/>
              </w:rPr>
              <w:t>80</w:t>
            </w:r>
          </w:p>
        </w:tc>
        <w:tc>
          <w:tcPr>
            <w:tcW w:w="1417" w:type="dxa"/>
            <w:tcBorders>
              <w:bottom w:val="dashed" w:sz="4" w:space="0" w:color="auto"/>
            </w:tcBorders>
            <w:vAlign w:val="center"/>
          </w:tcPr>
          <w:p w14:paraId="5728C4A9" w14:textId="77777777" w:rsidR="00476035" w:rsidRPr="00AC4659" w:rsidRDefault="00476035" w:rsidP="00FD61B7">
            <w:pPr>
              <w:pStyle w:val="Tabletext"/>
              <w:jc w:val="center"/>
              <w:rPr>
                <w:sz w:val="20"/>
              </w:rPr>
            </w:pPr>
            <w:r w:rsidRPr="00AC4659">
              <w:rPr>
                <w:sz w:val="20"/>
              </w:rPr>
              <w:t>1 920-1 930</w:t>
            </w:r>
          </w:p>
        </w:tc>
        <w:tc>
          <w:tcPr>
            <w:tcW w:w="997" w:type="dxa"/>
            <w:vMerge w:val="restart"/>
            <w:vAlign w:val="center"/>
          </w:tcPr>
          <w:p w14:paraId="520D66DA" w14:textId="77777777" w:rsidR="00476035" w:rsidRPr="00AC4659" w:rsidRDefault="00476035" w:rsidP="00FD61B7">
            <w:pPr>
              <w:pStyle w:val="Tabletext"/>
              <w:jc w:val="center"/>
              <w:rPr>
                <w:sz w:val="20"/>
              </w:rPr>
            </w:pPr>
            <w:r w:rsidRPr="00AC4659">
              <w:rPr>
                <w:sz w:val="20"/>
              </w:rPr>
              <w:t>1, 2, 3, 5</w:t>
            </w:r>
          </w:p>
        </w:tc>
      </w:tr>
      <w:tr w:rsidR="00476035" w:rsidRPr="00AC4659" w14:paraId="285E3693" w14:textId="77777777" w:rsidTr="00FD61B7">
        <w:trPr>
          <w:jc w:val="center"/>
        </w:trPr>
        <w:tc>
          <w:tcPr>
            <w:tcW w:w="2067" w:type="dxa"/>
            <w:vMerge/>
            <w:vAlign w:val="center"/>
          </w:tcPr>
          <w:p w14:paraId="298436C9" w14:textId="77777777" w:rsidR="00476035" w:rsidRPr="00AC4659" w:rsidRDefault="00476035" w:rsidP="00FD61B7">
            <w:pPr>
              <w:pStyle w:val="Tabletext"/>
              <w:jc w:val="center"/>
              <w:rPr>
                <w:sz w:val="20"/>
              </w:rPr>
            </w:pPr>
          </w:p>
        </w:tc>
        <w:tc>
          <w:tcPr>
            <w:tcW w:w="1536" w:type="dxa"/>
            <w:tcBorders>
              <w:top w:val="dashed" w:sz="4" w:space="0" w:color="auto"/>
            </w:tcBorders>
            <w:vAlign w:val="center"/>
          </w:tcPr>
          <w:p w14:paraId="503680FB" w14:textId="77777777" w:rsidR="00476035" w:rsidRPr="00AC4659" w:rsidRDefault="00476035" w:rsidP="00FD61B7">
            <w:pPr>
              <w:pStyle w:val="Tabletext"/>
              <w:jc w:val="center"/>
              <w:rPr>
                <w:sz w:val="20"/>
              </w:rPr>
            </w:pPr>
            <w:r w:rsidRPr="00AC4659">
              <w:rPr>
                <w:sz w:val="20"/>
              </w:rPr>
              <w:t>1 710-1 780</w:t>
            </w:r>
          </w:p>
        </w:tc>
        <w:tc>
          <w:tcPr>
            <w:tcW w:w="1175" w:type="dxa"/>
            <w:tcBorders>
              <w:top w:val="dashed" w:sz="4" w:space="0" w:color="auto"/>
            </w:tcBorders>
            <w:vAlign w:val="center"/>
          </w:tcPr>
          <w:p w14:paraId="55FEED5B" w14:textId="77777777" w:rsidR="00476035" w:rsidRPr="00AC4659" w:rsidRDefault="00476035" w:rsidP="00FD61B7">
            <w:pPr>
              <w:pStyle w:val="Tabletext"/>
              <w:jc w:val="center"/>
              <w:rPr>
                <w:sz w:val="20"/>
              </w:rPr>
            </w:pPr>
            <w:r w:rsidRPr="00AC4659">
              <w:rPr>
                <w:sz w:val="20"/>
              </w:rPr>
              <w:t>330</w:t>
            </w:r>
          </w:p>
        </w:tc>
        <w:tc>
          <w:tcPr>
            <w:tcW w:w="1313" w:type="dxa"/>
            <w:tcBorders>
              <w:top w:val="dashed" w:sz="4" w:space="0" w:color="auto"/>
            </w:tcBorders>
            <w:vAlign w:val="center"/>
          </w:tcPr>
          <w:p w14:paraId="2FE4A389" w14:textId="77777777" w:rsidR="00476035" w:rsidRPr="00AC4659" w:rsidRDefault="00476035" w:rsidP="00FD61B7">
            <w:pPr>
              <w:pStyle w:val="Tabletext"/>
              <w:jc w:val="center"/>
              <w:rPr>
                <w:sz w:val="20"/>
              </w:rPr>
            </w:pPr>
            <w:r w:rsidRPr="00AC4659">
              <w:rPr>
                <w:sz w:val="20"/>
              </w:rPr>
              <w:t>2 110-2 180</w:t>
            </w:r>
          </w:p>
        </w:tc>
        <w:tc>
          <w:tcPr>
            <w:tcW w:w="1134" w:type="dxa"/>
            <w:tcBorders>
              <w:top w:val="dashed" w:sz="4" w:space="0" w:color="auto"/>
            </w:tcBorders>
            <w:vAlign w:val="center"/>
          </w:tcPr>
          <w:p w14:paraId="716292B0" w14:textId="77777777" w:rsidR="00476035" w:rsidRPr="00AC4659" w:rsidRDefault="00476035" w:rsidP="00FD61B7">
            <w:pPr>
              <w:pStyle w:val="Tabletext"/>
              <w:jc w:val="center"/>
              <w:rPr>
                <w:sz w:val="20"/>
              </w:rPr>
            </w:pPr>
            <w:r w:rsidRPr="00AC4659">
              <w:rPr>
                <w:sz w:val="20"/>
              </w:rPr>
              <w:t>400</w:t>
            </w:r>
          </w:p>
        </w:tc>
        <w:tc>
          <w:tcPr>
            <w:tcW w:w="1417" w:type="dxa"/>
            <w:tcBorders>
              <w:top w:val="dashed" w:sz="4" w:space="0" w:color="auto"/>
            </w:tcBorders>
            <w:vAlign w:val="center"/>
          </w:tcPr>
          <w:p w14:paraId="6DA2548F" w14:textId="77777777" w:rsidR="00476035" w:rsidRPr="00AC4659" w:rsidRDefault="00476035" w:rsidP="00FD61B7">
            <w:pPr>
              <w:pStyle w:val="Tabletext"/>
              <w:jc w:val="center"/>
              <w:rPr>
                <w:sz w:val="20"/>
              </w:rPr>
            </w:pPr>
          </w:p>
        </w:tc>
        <w:tc>
          <w:tcPr>
            <w:tcW w:w="997" w:type="dxa"/>
            <w:vMerge/>
            <w:vAlign w:val="center"/>
          </w:tcPr>
          <w:p w14:paraId="0792DE13" w14:textId="77777777" w:rsidR="00476035" w:rsidRPr="00AC4659" w:rsidRDefault="00476035" w:rsidP="00FD61B7">
            <w:pPr>
              <w:pStyle w:val="Tabletext"/>
              <w:jc w:val="center"/>
              <w:rPr>
                <w:sz w:val="20"/>
              </w:rPr>
            </w:pPr>
          </w:p>
        </w:tc>
      </w:tr>
      <w:tr w:rsidR="00476035" w:rsidRPr="00AC4659" w14:paraId="1A619BF3" w14:textId="77777777" w:rsidTr="00FD61B7">
        <w:trPr>
          <w:jc w:val="center"/>
        </w:trPr>
        <w:tc>
          <w:tcPr>
            <w:tcW w:w="2067" w:type="dxa"/>
            <w:vAlign w:val="center"/>
          </w:tcPr>
          <w:p w14:paraId="41607DAB" w14:textId="77777777" w:rsidR="00476035" w:rsidRPr="00AC4659" w:rsidRDefault="00476035" w:rsidP="00FD61B7">
            <w:pPr>
              <w:pStyle w:val="Tabletext"/>
              <w:jc w:val="center"/>
              <w:rPr>
                <w:sz w:val="20"/>
              </w:rPr>
            </w:pPr>
            <w:r w:rsidRPr="00AC4659">
              <w:rPr>
                <w:sz w:val="20"/>
              </w:rPr>
              <w:t>B6</w:t>
            </w:r>
          </w:p>
        </w:tc>
        <w:tc>
          <w:tcPr>
            <w:tcW w:w="1536" w:type="dxa"/>
            <w:vAlign w:val="center"/>
          </w:tcPr>
          <w:p w14:paraId="2DC1E1EA" w14:textId="77777777" w:rsidR="00476035" w:rsidRPr="00AC4659" w:rsidRDefault="00476035" w:rsidP="00FD61B7">
            <w:pPr>
              <w:pStyle w:val="Tabletext"/>
              <w:jc w:val="center"/>
              <w:rPr>
                <w:sz w:val="20"/>
              </w:rPr>
            </w:pPr>
            <w:r w:rsidRPr="00AC4659">
              <w:rPr>
                <w:sz w:val="20"/>
              </w:rPr>
              <w:t>1 980-2 010</w:t>
            </w:r>
          </w:p>
        </w:tc>
        <w:tc>
          <w:tcPr>
            <w:tcW w:w="1175" w:type="dxa"/>
            <w:vAlign w:val="center"/>
          </w:tcPr>
          <w:p w14:paraId="02048ADB" w14:textId="77777777" w:rsidR="00476035" w:rsidRPr="00AC4659" w:rsidRDefault="00476035" w:rsidP="00FD61B7">
            <w:pPr>
              <w:pStyle w:val="Tabletext"/>
              <w:jc w:val="center"/>
              <w:rPr>
                <w:sz w:val="20"/>
              </w:rPr>
            </w:pPr>
            <w:r w:rsidRPr="00AC4659">
              <w:rPr>
                <w:sz w:val="20"/>
              </w:rPr>
              <w:t>160</w:t>
            </w:r>
          </w:p>
        </w:tc>
        <w:tc>
          <w:tcPr>
            <w:tcW w:w="1313" w:type="dxa"/>
            <w:vAlign w:val="center"/>
          </w:tcPr>
          <w:p w14:paraId="034F938F" w14:textId="77777777" w:rsidR="00476035" w:rsidRPr="00AC4659" w:rsidRDefault="00476035" w:rsidP="00FD61B7">
            <w:pPr>
              <w:pStyle w:val="Tabletext"/>
              <w:jc w:val="center"/>
              <w:rPr>
                <w:sz w:val="20"/>
              </w:rPr>
            </w:pPr>
            <w:r w:rsidRPr="00AC4659">
              <w:rPr>
                <w:sz w:val="20"/>
              </w:rPr>
              <w:t>2 170-2 200</w:t>
            </w:r>
          </w:p>
        </w:tc>
        <w:tc>
          <w:tcPr>
            <w:tcW w:w="1134" w:type="dxa"/>
            <w:vAlign w:val="center"/>
          </w:tcPr>
          <w:p w14:paraId="1EDC7792" w14:textId="77777777" w:rsidR="00476035" w:rsidRPr="00AC4659" w:rsidRDefault="00476035" w:rsidP="00FD61B7">
            <w:pPr>
              <w:pStyle w:val="Tabletext"/>
              <w:jc w:val="center"/>
              <w:rPr>
                <w:sz w:val="20"/>
              </w:rPr>
            </w:pPr>
            <w:r w:rsidRPr="00AC4659">
              <w:rPr>
                <w:sz w:val="20"/>
              </w:rPr>
              <w:t>190</w:t>
            </w:r>
          </w:p>
        </w:tc>
        <w:tc>
          <w:tcPr>
            <w:tcW w:w="1417" w:type="dxa"/>
            <w:vAlign w:val="center"/>
          </w:tcPr>
          <w:p w14:paraId="0AE3E35F" w14:textId="77777777" w:rsidR="00476035" w:rsidRPr="00AC4659" w:rsidRDefault="00476035" w:rsidP="00FD61B7">
            <w:pPr>
              <w:pStyle w:val="Tabletext"/>
              <w:jc w:val="center"/>
              <w:rPr>
                <w:sz w:val="20"/>
              </w:rPr>
            </w:pPr>
            <w:r w:rsidRPr="00AC4659">
              <w:rPr>
                <w:sz w:val="20"/>
              </w:rPr>
              <w:t>None</w:t>
            </w:r>
          </w:p>
        </w:tc>
        <w:tc>
          <w:tcPr>
            <w:tcW w:w="997" w:type="dxa"/>
            <w:vAlign w:val="center"/>
          </w:tcPr>
          <w:p w14:paraId="63965C59" w14:textId="77777777" w:rsidR="00476035" w:rsidRPr="00AC4659" w:rsidRDefault="00476035" w:rsidP="00FD61B7">
            <w:pPr>
              <w:pStyle w:val="Tabletext"/>
              <w:jc w:val="center"/>
              <w:rPr>
                <w:sz w:val="20"/>
              </w:rPr>
            </w:pPr>
            <w:r w:rsidRPr="00AC4659">
              <w:rPr>
                <w:sz w:val="20"/>
              </w:rPr>
              <w:t>4, 5</w:t>
            </w:r>
          </w:p>
        </w:tc>
      </w:tr>
      <w:tr w:rsidR="00476035" w:rsidRPr="00AC4659" w14:paraId="376E2A72" w14:textId="77777777" w:rsidTr="00FD61B7">
        <w:tblPrEx>
          <w:tblLook w:val="04A0" w:firstRow="1" w:lastRow="0" w:firstColumn="1" w:lastColumn="0" w:noHBand="0" w:noVBand="1"/>
        </w:tblPrEx>
        <w:trPr>
          <w:jc w:val="center"/>
        </w:trPr>
        <w:tc>
          <w:tcPr>
            <w:tcW w:w="2067" w:type="dxa"/>
            <w:tcBorders>
              <w:top w:val="single" w:sz="4" w:space="0" w:color="auto"/>
              <w:left w:val="single" w:sz="4" w:space="0" w:color="auto"/>
              <w:bottom w:val="single" w:sz="4" w:space="0" w:color="auto"/>
              <w:right w:val="single" w:sz="4" w:space="0" w:color="auto"/>
            </w:tcBorders>
            <w:vAlign w:val="center"/>
            <w:hideMark/>
          </w:tcPr>
          <w:p w14:paraId="2DA8760C" w14:textId="77777777" w:rsidR="00476035" w:rsidRPr="00AC4659" w:rsidRDefault="00476035" w:rsidP="00FD61B7">
            <w:pPr>
              <w:pStyle w:val="Tabletext"/>
              <w:jc w:val="center"/>
              <w:rPr>
                <w:sz w:val="20"/>
                <w:lang w:eastAsia="zh-CN"/>
              </w:rPr>
            </w:pPr>
            <w:r w:rsidRPr="00AC4659">
              <w:rPr>
                <w:sz w:val="20"/>
                <w:lang w:eastAsia="zh-CN"/>
              </w:rPr>
              <w:t>B7</w:t>
            </w:r>
          </w:p>
        </w:tc>
        <w:tc>
          <w:tcPr>
            <w:tcW w:w="1536" w:type="dxa"/>
            <w:tcBorders>
              <w:top w:val="single" w:sz="4" w:space="0" w:color="auto"/>
              <w:left w:val="single" w:sz="4" w:space="0" w:color="auto"/>
              <w:bottom w:val="single" w:sz="4" w:space="0" w:color="auto"/>
              <w:right w:val="single" w:sz="4" w:space="0" w:color="auto"/>
            </w:tcBorders>
            <w:vAlign w:val="center"/>
            <w:hideMark/>
          </w:tcPr>
          <w:p w14:paraId="32C569C0" w14:textId="77777777" w:rsidR="00476035" w:rsidRPr="00AC4659" w:rsidRDefault="00476035" w:rsidP="00FD61B7">
            <w:pPr>
              <w:pStyle w:val="Tabletext"/>
              <w:jc w:val="center"/>
              <w:rPr>
                <w:sz w:val="20"/>
                <w:lang w:eastAsia="zh-CN"/>
              </w:rPr>
            </w:pPr>
            <w:r w:rsidRPr="00AC4659">
              <w:rPr>
                <w:sz w:val="20"/>
                <w:lang w:eastAsia="zh-CN"/>
              </w:rPr>
              <w:t>2 000-2 020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5A76B7DA" w14:textId="77777777" w:rsidR="00476035" w:rsidRPr="00AC4659" w:rsidRDefault="00476035" w:rsidP="00FD61B7">
            <w:pPr>
              <w:pStyle w:val="Tabletext"/>
              <w:jc w:val="center"/>
              <w:rPr>
                <w:sz w:val="20"/>
                <w:lang w:eastAsia="zh-CN"/>
              </w:rPr>
            </w:pPr>
            <w:r w:rsidRPr="00AC4659">
              <w:rPr>
                <w:sz w:val="20"/>
                <w:lang w:eastAsia="zh-CN"/>
              </w:rPr>
              <w:t>160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77FC84" w14:textId="77777777" w:rsidR="00476035" w:rsidRPr="00AC4659" w:rsidRDefault="00476035" w:rsidP="00FD61B7">
            <w:pPr>
              <w:pStyle w:val="Tabletext"/>
              <w:jc w:val="center"/>
              <w:rPr>
                <w:sz w:val="20"/>
                <w:lang w:eastAsia="zh-CN"/>
              </w:rPr>
            </w:pPr>
            <w:r w:rsidRPr="00AC4659">
              <w:rPr>
                <w:sz w:val="20"/>
                <w:lang w:eastAsia="zh-CN"/>
              </w:rPr>
              <w:t>2 180-2 200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F1104" w14:textId="77777777" w:rsidR="00476035" w:rsidRPr="00AC4659" w:rsidRDefault="00476035" w:rsidP="00FD61B7">
            <w:pPr>
              <w:pStyle w:val="Tabletext"/>
              <w:jc w:val="center"/>
              <w:rPr>
                <w:sz w:val="20"/>
                <w:lang w:eastAsia="zh-CN"/>
              </w:rPr>
            </w:pPr>
            <w:r w:rsidRPr="00AC4659">
              <w:rPr>
                <w:sz w:val="20"/>
                <w:lang w:eastAsia="zh-CN"/>
              </w:rPr>
              <w:t>180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DCC814" w14:textId="77777777" w:rsidR="00476035" w:rsidRPr="00AC4659" w:rsidRDefault="00476035" w:rsidP="00FD61B7">
            <w:pPr>
              <w:pStyle w:val="Tabletext"/>
              <w:jc w:val="center"/>
              <w:rPr>
                <w:sz w:val="20"/>
                <w:lang w:eastAsia="zh-CN"/>
              </w:rPr>
            </w:pPr>
            <w:r w:rsidRPr="00AC4659">
              <w:rPr>
                <w:sz w:val="20"/>
                <w:lang w:eastAsia="zh-CN"/>
              </w:rPr>
              <w:t>None</w:t>
            </w:r>
          </w:p>
        </w:tc>
        <w:tc>
          <w:tcPr>
            <w:tcW w:w="997" w:type="dxa"/>
            <w:tcBorders>
              <w:top w:val="single" w:sz="4" w:space="0" w:color="auto"/>
              <w:left w:val="single" w:sz="4" w:space="0" w:color="auto"/>
              <w:bottom w:val="single" w:sz="4" w:space="0" w:color="auto"/>
              <w:right w:val="single" w:sz="4" w:space="0" w:color="auto"/>
            </w:tcBorders>
            <w:vAlign w:val="center"/>
          </w:tcPr>
          <w:p w14:paraId="63F48A65" w14:textId="77777777" w:rsidR="00476035" w:rsidRPr="00AC4659" w:rsidRDefault="00476035" w:rsidP="00FD61B7">
            <w:pPr>
              <w:pStyle w:val="Tabletext"/>
              <w:jc w:val="center"/>
              <w:rPr>
                <w:sz w:val="20"/>
                <w:lang w:eastAsia="zh-CN"/>
              </w:rPr>
            </w:pPr>
            <w:r w:rsidRPr="00AC4659">
              <w:rPr>
                <w:sz w:val="20"/>
                <w:lang w:eastAsia="zh-CN"/>
              </w:rPr>
              <w:t>5</w:t>
            </w:r>
          </w:p>
        </w:tc>
      </w:tr>
    </w:tbl>
    <w:p w14:paraId="185F2485" w14:textId="77777777" w:rsidR="00476035" w:rsidRPr="007F453D" w:rsidRDefault="00476035" w:rsidP="00476035">
      <w:pPr>
        <w:pStyle w:val="Note"/>
        <w:rPr>
          <w:i/>
        </w:rPr>
      </w:pPr>
      <w:r w:rsidRPr="007F453D">
        <w:rPr>
          <w:i/>
        </w:rPr>
        <w:t>Notes to Table 4:</w:t>
      </w:r>
    </w:p>
    <w:p w14:paraId="1508B246" w14:textId="77777777" w:rsidR="00476035" w:rsidRPr="007F453D" w:rsidRDefault="00476035" w:rsidP="00476035">
      <w:pPr>
        <w:pStyle w:val="Note"/>
      </w:pPr>
      <w:r w:rsidRPr="007F453D">
        <w:rPr>
          <w:i/>
        </w:rPr>
        <w:t>Note 1:</w:t>
      </w:r>
      <w:r w:rsidRPr="007F453D">
        <w:t> In the band 1 710-2 025 MHz and 2 110-2 200 MHz three basic frequency arrangements (B1, B2 and B3) are already in use or planned to be used by IMT</w:t>
      </w:r>
      <w:r w:rsidRPr="00E67F8A">
        <w:t xml:space="preserve"> </w:t>
      </w:r>
      <w:r w:rsidRPr="007F453D">
        <w:t xml:space="preserve">systems. Based on these three arrangements, different combinations of arrangements are recommended as described in B4 and B5. The B1 arrangement and the B2 arrangement are fully complementary, whereas the B3 arrangement partly overlaps with the B1 and B2 arrangements. </w:t>
      </w:r>
    </w:p>
    <w:p w14:paraId="09ABE480" w14:textId="77777777" w:rsidR="00476035" w:rsidRPr="007F453D" w:rsidRDefault="00476035" w:rsidP="00476035">
      <w:pPr>
        <w:pStyle w:val="Note"/>
      </w:pPr>
      <w:r w:rsidRPr="007F453D">
        <w:t>For administrations having implemented the B1 arrangement, B4 enables optimization of the use of spectrum for paired IMT operation.</w:t>
      </w:r>
    </w:p>
    <w:p w14:paraId="2269B767" w14:textId="77777777" w:rsidR="00476035" w:rsidRPr="007F453D" w:rsidRDefault="00476035" w:rsidP="00476035">
      <w:pPr>
        <w:pStyle w:val="Note"/>
      </w:pPr>
      <w:r w:rsidRPr="007F453D">
        <w:t>For administrations having implemented the B3 arrangement, the B1 arrangement can be combined with the B2 arrangement. B5 is therefore recommended to optimize the use of the spectrum:</w:t>
      </w:r>
    </w:p>
    <w:p w14:paraId="4CADA709" w14:textId="77777777" w:rsidR="00476035" w:rsidRPr="007F453D" w:rsidRDefault="00476035" w:rsidP="00476035">
      <w:pPr>
        <w:pStyle w:val="Note"/>
        <w:ind w:left="720" w:hanging="720"/>
      </w:pPr>
      <w:r w:rsidRPr="007F453D">
        <w:t>–</w:t>
      </w:r>
      <w:r w:rsidRPr="007F453D">
        <w:tab/>
        <w:t>B5 enables the use of spectrum to be maximized for IMT in administrations where B3 is implemented and where the band 1 770</w:t>
      </w:r>
      <w:r w:rsidRPr="007F453D">
        <w:noBreakHyphen/>
        <w:t>1 850 MHz is not available in the initial phase of deployment of IMT in this frequency band.</w:t>
      </w:r>
    </w:p>
    <w:p w14:paraId="3CEDDC16" w14:textId="77777777" w:rsidR="00476035" w:rsidRPr="007F453D" w:rsidRDefault="00476035" w:rsidP="00476035">
      <w:pPr>
        <w:pStyle w:val="Note"/>
      </w:pPr>
      <w:r w:rsidRPr="007F453D">
        <w:rPr>
          <w:i/>
        </w:rPr>
        <w:t>Note 2:</w:t>
      </w:r>
      <w:r w:rsidRPr="007F453D">
        <w:t xml:space="preserve"> TDD may be introduced in unpaired bands </w:t>
      </w:r>
      <w:proofErr w:type="gramStart"/>
      <w:r w:rsidRPr="007F453D">
        <w:t>and also</w:t>
      </w:r>
      <w:proofErr w:type="gramEnd"/>
      <w:r w:rsidRPr="007F453D">
        <w:t xml:space="preserve"> under certain conditions in the uplink bands of paired frequency arrangements and/or in the centre gap between paired bands.</w:t>
      </w:r>
    </w:p>
    <w:p w14:paraId="0C210D57" w14:textId="77777777" w:rsidR="00476035" w:rsidRPr="007F453D" w:rsidRDefault="00476035" w:rsidP="00476035">
      <w:pPr>
        <w:pStyle w:val="Note"/>
      </w:pPr>
      <w:r w:rsidRPr="007F453D">
        <w:rPr>
          <w:i/>
        </w:rPr>
        <w:t>Note 3:</w:t>
      </w:r>
      <w:r w:rsidRPr="007F453D">
        <w:t> If selectable/variable duplex technology is implemented within terminals as the most efficient way to manage different frequency arrangements, the fact that neighbouring administrations could select B5 will have no impact on the complexity of the terminal. Further studies are necessary.</w:t>
      </w:r>
    </w:p>
    <w:p w14:paraId="6B0971CF" w14:textId="77777777" w:rsidR="00476035" w:rsidRPr="007F453D" w:rsidRDefault="00476035" w:rsidP="00476035">
      <w:pPr>
        <w:pStyle w:val="Note"/>
      </w:pPr>
      <w:r w:rsidRPr="007F453D">
        <w:rPr>
          <w:i/>
        </w:rPr>
        <w:lastRenderedPageBreak/>
        <w:t>Note 4:</w:t>
      </w:r>
      <w:r w:rsidRPr="007F453D">
        <w:t> The bands 1 980-2 010 MHz and 2 170-2 200 MHz in the frequency arrangement B6 are intended to be used in combination with the frequency arrangements B1 or B4 which provides even further optimization of the use of spectrum for paired IMT operation (see Note 1).</w:t>
      </w:r>
    </w:p>
    <w:p w14:paraId="645FFCAC" w14:textId="48DDC9CE" w:rsidR="00476035" w:rsidRPr="007F453D" w:rsidRDefault="00476035" w:rsidP="00476035">
      <w:pPr>
        <w:pStyle w:val="Note"/>
      </w:pPr>
      <w:r w:rsidRPr="007F453D">
        <w:rPr>
          <w:i/>
        </w:rPr>
        <w:t>Note 5:</w:t>
      </w:r>
      <w:r w:rsidRPr="007F453D">
        <w:t xml:space="preserve"> A unique situation exists for the frequency arrangements B6 and B7 and parts of arrangements B3 and B5 in the bands 1 980-2 010 MHz and 2 170-2 200 MHz, which have been identified for the terrestrial component of IMT and the satellite component of IMT as outlined in </w:t>
      </w:r>
      <w:r w:rsidRPr="007F453D">
        <w:rPr>
          <w:i/>
        </w:rPr>
        <w:t>recognizing d).</w:t>
      </w:r>
      <w:r>
        <w:rPr>
          <w:i/>
        </w:rPr>
        <w:t xml:space="preserve"> </w:t>
      </w:r>
      <w:r w:rsidRPr="007F453D">
        <w:t>Co</w:t>
      </w:r>
      <w:r w:rsidRPr="007F453D">
        <w:noBreakHyphen/>
        <w:t>coverage, co</w:t>
      </w:r>
      <w:r w:rsidRPr="007F453D">
        <w:noBreakHyphen/>
        <w:t>frequency deployment of independent satellite and terrestrial IMT components is not feasible unless appropriate mitigation techniques are applied. When these components are deployed in adjacent geographical areas in the same frequency bands, technical or operational measures need to be implemented if harmful interference is reported.</w:t>
      </w:r>
    </w:p>
    <w:p w14:paraId="516D30AB" w14:textId="77777777" w:rsidR="00476035" w:rsidRPr="007F453D" w:rsidRDefault="00476035" w:rsidP="00476035">
      <w:pPr>
        <w:pStyle w:val="FigureNo"/>
      </w:pPr>
      <w:r w:rsidRPr="007F453D">
        <w:t>FIGURE 5</w:t>
      </w:r>
    </w:p>
    <w:p w14:paraId="64F0F652" w14:textId="1090CEBD" w:rsidR="00476035" w:rsidRPr="007F453D" w:rsidRDefault="00476035" w:rsidP="00476035">
      <w:pPr>
        <w:pStyle w:val="Figuretitle"/>
        <w:rPr>
          <w:lang w:eastAsia="zh-CN"/>
        </w:rPr>
      </w:pPr>
      <w:r w:rsidRPr="007F453D">
        <w:t>Frequency arrangements B1 to B7</w:t>
      </w:r>
      <w:r w:rsidR="00591EF6">
        <w:t xml:space="preserve"> </w:t>
      </w:r>
      <w:r w:rsidRPr="007F453D">
        <w:t>(see Notes to Table 4)</w:t>
      </w:r>
    </w:p>
    <w:p w14:paraId="1F3D6902" w14:textId="43075146" w:rsidR="00647E39" w:rsidRDefault="00647E39" w:rsidP="00647E39">
      <w:pPr>
        <w:pStyle w:val="Figure"/>
      </w:pPr>
      <w:r>
        <w:rPr>
          <w:noProof/>
        </w:rPr>
        <w:drawing>
          <wp:inline distT="0" distB="0" distL="0" distR="0" wp14:anchorId="0AC5B00B" wp14:editId="5D4EAFF2">
            <wp:extent cx="5763780" cy="5626619"/>
            <wp:effectExtent l="0" t="0" r="8890" b="0"/>
            <wp:docPr id="19487976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7662" name="Picture 4">
                      <a:extLst>
                        <a:ext uri="{C183D7F6-B498-43B3-948B-1728B52AA6E4}">
                          <adec:decorative xmlns:adec="http://schemas.microsoft.com/office/drawing/2017/decorative" val="1"/>
                        </a:ext>
                      </a:extLst>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763780" cy="5626619"/>
                    </a:xfrm>
                    <a:prstGeom prst="rect">
                      <a:avLst/>
                    </a:prstGeom>
                  </pic:spPr>
                </pic:pic>
              </a:graphicData>
            </a:graphic>
          </wp:inline>
        </w:drawing>
      </w:r>
    </w:p>
    <w:p w14:paraId="63A31CFB" w14:textId="574C253D" w:rsidR="00476035" w:rsidRPr="007F453D" w:rsidRDefault="00476035" w:rsidP="00476035">
      <w:r w:rsidRPr="007F453D">
        <w:br w:type="page"/>
      </w:r>
    </w:p>
    <w:p w14:paraId="039BAEDE" w14:textId="77777777" w:rsidR="00476035" w:rsidRPr="00E81BE4" w:rsidRDefault="00476035" w:rsidP="00476035">
      <w:pPr>
        <w:pStyle w:val="StyleSectionNo14ptCenteredBefore24pt"/>
        <w:rPr>
          <w:szCs w:val="28"/>
        </w:rPr>
      </w:pPr>
      <w:bookmarkStart w:id="23" w:name="_Toc224135066"/>
      <w:r w:rsidRPr="00E81BE4">
        <w:rPr>
          <w:szCs w:val="28"/>
        </w:rPr>
        <w:lastRenderedPageBreak/>
        <w:t>SECTION 6</w:t>
      </w:r>
      <w:bookmarkEnd w:id="23"/>
    </w:p>
    <w:p w14:paraId="06901A6C" w14:textId="77777777" w:rsidR="00476035" w:rsidRPr="007F453D" w:rsidRDefault="00476035" w:rsidP="00476035">
      <w:pPr>
        <w:pStyle w:val="Sectiontitle"/>
      </w:pPr>
      <w:bookmarkStart w:id="24" w:name="_Toc224135067"/>
      <w:r w:rsidRPr="007F453D">
        <w:t>Frequency arrangements in the band 2 300-2 400 MHz</w:t>
      </w:r>
      <w:bookmarkEnd w:id="24"/>
    </w:p>
    <w:p w14:paraId="6152554F" w14:textId="77777777" w:rsidR="00476035" w:rsidRPr="007F453D" w:rsidRDefault="00476035" w:rsidP="00476035">
      <w:pPr>
        <w:pStyle w:val="Normalaftertitle"/>
        <w:rPr>
          <w:lang w:eastAsia="zh-CN"/>
        </w:rPr>
      </w:pPr>
      <w:r w:rsidRPr="007F453D">
        <w:t>The recommended frequency arrangements for implementation of IMT in the band 2 300</w:t>
      </w:r>
      <w:r w:rsidRPr="007F453D">
        <w:noBreakHyphen/>
        <w:t>2 400 MHz are summarized in Table 5 and in Fig. 6, noting the implementation aspects in Section 1 above.</w:t>
      </w:r>
    </w:p>
    <w:p w14:paraId="2E9F9AC1" w14:textId="77777777" w:rsidR="00476035" w:rsidRPr="007F453D" w:rsidRDefault="00476035" w:rsidP="00476035">
      <w:pPr>
        <w:pStyle w:val="TableNo"/>
        <w:rPr>
          <w:lang w:eastAsia="zh-CN"/>
        </w:rPr>
      </w:pPr>
      <w:r w:rsidRPr="007F453D">
        <w:t>TABLE 5</w:t>
      </w:r>
    </w:p>
    <w:p w14:paraId="3C00BCE6" w14:textId="77777777" w:rsidR="00476035" w:rsidRPr="007F453D" w:rsidRDefault="00476035" w:rsidP="00476035">
      <w:pPr>
        <w:pStyle w:val="Tabletitle"/>
      </w:pPr>
      <w:r w:rsidRPr="007F453D">
        <w:t>Frequency arrangements in the band 2 300-2 400 MHz</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50"/>
        <w:gridCol w:w="1492"/>
        <w:gridCol w:w="1109"/>
        <w:gridCol w:w="1479"/>
        <w:gridCol w:w="1479"/>
        <w:gridCol w:w="2230"/>
      </w:tblGrid>
      <w:tr w:rsidR="00476035" w:rsidRPr="007F453D" w14:paraId="74E52F67" w14:textId="77777777" w:rsidTr="00FD61B7">
        <w:trPr>
          <w:jc w:val="center"/>
        </w:trPr>
        <w:tc>
          <w:tcPr>
            <w:tcW w:w="1850" w:type="dxa"/>
            <w:vMerge w:val="restart"/>
            <w:tcBorders>
              <w:top w:val="single" w:sz="4" w:space="0" w:color="auto"/>
            </w:tcBorders>
            <w:vAlign w:val="center"/>
          </w:tcPr>
          <w:p w14:paraId="035B94C8" w14:textId="77777777" w:rsidR="00476035" w:rsidRPr="007F453D" w:rsidRDefault="00476035" w:rsidP="00FD61B7">
            <w:pPr>
              <w:pStyle w:val="Tablehead"/>
            </w:pPr>
            <w:r w:rsidRPr="007F453D">
              <w:t>Frequency arrangement</w:t>
            </w:r>
          </w:p>
        </w:tc>
        <w:tc>
          <w:tcPr>
            <w:tcW w:w="5559" w:type="dxa"/>
            <w:gridSpan w:val="4"/>
            <w:tcBorders>
              <w:top w:val="single" w:sz="4" w:space="0" w:color="auto"/>
            </w:tcBorders>
            <w:vAlign w:val="center"/>
          </w:tcPr>
          <w:p w14:paraId="6B676C3C" w14:textId="77777777" w:rsidR="00476035" w:rsidRPr="007F453D" w:rsidRDefault="00476035" w:rsidP="00FD61B7">
            <w:pPr>
              <w:pStyle w:val="Tablehead"/>
            </w:pPr>
            <w:r w:rsidRPr="007F453D">
              <w:t>Paired arrangements (FDD)</w:t>
            </w:r>
          </w:p>
        </w:tc>
        <w:tc>
          <w:tcPr>
            <w:tcW w:w="2230" w:type="dxa"/>
            <w:vMerge w:val="restart"/>
            <w:tcBorders>
              <w:top w:val="single" w:sz="4" w:space="0" w:color="auto"/>
            </w:tcBorders>
            <w:vAlign w:val="center"/>
          </w:tcPr>
          <w:p w14:paraId="79B020BF" w14:textId="77777777" w:rsidR="00476035" w:rsidRPr="007F453D" w:rsidRDefault="00476035" w:rsidP="00FD61B7">
            <w:pPr>
              <w:pStyle w:val="Tablehead"/>
            </w:pPr>
            <w:r w:rsidRPr="007F453D">
              <w:t xml:space="preserve">Un-paired arrangements </w:t>
            </w:r>
            <w:r w:rsidRPr="007F453D">
              <w:br/>
              <w:t xml:space="preserve">(TDD) </w:t>
            </w:r>
            <w:r w:rsidRPr="007F453D">
              <w:br/>
              <w:t>(MHz)</w:t>
            </w:r>
          </w:p>
        </w:tc>
      </w:tr>
      <w:tr w:rsidR="00476035" w:rsidRPr="007F453D" w14:paraId="181F198A" w14:textId="77777777" w:rsidTr="00FD61B7">
        <w:trPr>
          <w:jc w:val="center"/>
        </w:trPr>
        <w:tc>
          <w:tcPr>
            <w:tcW w:w="1850" w:type="dxa"/>
            <w:vMerge/>
            <w:vAlign w:val="center"/>
          </w:tcPr>
          <w:p w14:paraId="1758718A" w14:textId="77777777" w:rsidR="00476035" w:rsidRPr="007F453D" w:rsidRDefault="00476035" w:rsidP="00FD61B7">
            <w:pPr>
              <w:keepNext/>
              <w:spacing w:before="80" w:after="80"/>
              <w:jc w:val="center"/>
              <w:rPr>
                <w:rFonts w:ascii="Times New Roman Bold" w:hAnsi="Times New Roman Bold" w:cs="Times New Roman Bold"/>
                <w:b/>
                <w:sz w:val="20"/>
              </w:rPr>
            </w:pPr>
          </w:p>
        </w:tc>
        <w:tc>
          <w:tcPr>
            <w:tcW w:w="1492" w:type="dxa"/>
            <w:vAlign w:val="center"/>
          </w:tcPr>
          <w:p w14:paraId="37087CFF" w14:textId="77777777" w:rsidR="00476035" w:rsidRPr="007F453D" w:rsidRDefault="00476035" w:rsidP="00FD61B7">
            <w:pPr>
              <w:pStyle w:val="Tablehead"/>
              <w:rPr>
                <w:caps/>
              </w:rPr>
            </w:pPr>
            <w:r w:rsidRPr="007F453D">
              <w:t xml:space="preserve">Mobile station transmitter </w:t>
            </w:r>
            <w:r w:rsidRPr="007F453D">
              <w:br/>
              <w:t>(MHz)</w:t>
            </w:r>
          </w:p>
        </w:tc>
        <w:tc>
          <w:tcPr>
            <w:tcW w:w="1109" w:type="dxa"/>
            <w:vAlign w:val="center"/>
          </w:tcPr>
          <w:p w14:paraId="5BB00F83" w14:textId="77777777" w:rsidR="00476035" w:rsidRPr="007F453D" w:rsidRDefault="00476035" w:rsidP="00FD61B7">
            <w:pPr>
              <w:pStyle w:val="Tablehead"/>
              <w:rPr>
                <w:caps/>
              </w:rPr>
            </w:pPr>
            <w:r w:rsidRPr="007F453D">
              <w:t>Centre gap</w:t>
            </w:r>
            <w:r w:rsidRPr="007F453D">
              <w:br/>
              <w:t>(MHz)</w:t>
            </w:r>
          </w:p>
        </w:tc>
        <w:tc>
          <w:tcPr>
            <w:tcW w:w="1479" w:type="dxa"/>
            <w:vAlign w:val="center"/>
          </w:tcPr>
          <w:p w14:paraId="0C4FFC5E" w14:textId="77777777" w:rsidR="00476035" w:rsidRPr="007F453D" w:rsidRDefault="00476035" w:rsidP="00FD61B7">
            <w:pPr>
              <w:pStyle w:val="Tablehead"/>
              <w:rPr>
                <w:caps/>
              </w:rPr>
            </w:pPr>
            <w:r w:rsidRPr="007F453D">
              <w:t xml:space="preserve">Base station transmitter </w:t>
            </w:r>
            <w:r w:rsidRPr="007F453D">
              <w:br/>
              <w:t>(MHz)</w:t>
            </w:r>
          </w:p>
        </w:tc>
        <w:tc>
          <w:tcPr>
            <w:tcW w:w="1479" w:type="dxa"/>
            <w:vAlign w:val="center"/>
          </w:tcPr>
          <w:p w14:paraId="73916B93" w14:textId="77777777" w:rsidR="00476035" w:rsidRPr="007F453D" w:rsidRDefault="00476035" w:rsidP="00FD61B7">
            <w:pPr>
              <w:pStyle w:val="Tablehead"/>
            </w:pPr>
            <w:r w:rsidRPr="007F453D">
              <w:t>Duplex separation</w:t>
            </w:r>
            <w:r w:rsidRPr="007F453D">
              <w:br/>
              <w:t>(MHz)</w:t>
            </w:r>
          </w:p>
        </w:tc>
        <w:tc>
          <w:tcPr>
            <w:tcW w:w="2230" w:type="dxa"/>
            <w:vMerge/>
            <w:vAlign w:val="center"/>
          </w:tcPr>
          <w:p w14:paraId="2CD8E6E8"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6C1A0970" w14:textId="77777777" w:rsidTr="00FD61B7">
        <w:trPr>
          <w:jc w:val="center"/>
        </w:trPr>
        <w:tc>
          <w:tcPr>
            <w:tcW w:w="1850" w:type="dxa"/>
            <w:tcBorders>
              <w:bottom w:val="single" w:sz="4" w:space="0" w:color="auto"/>
            </w:tcBorders>
          </w:tcPr>
          <w:p w14:paraId="7C239301" w14:textId="77777777" w:rsidR="00476035" w:rsidRPr="007F453D" w:rsidRDefault="00476035" w:rsidP="00FD61B7">
            <w:pPr>
              <w:pStyle w:val="Tabletext"/>
              <w:jc w:val="center"/>
            </w:pPr>
            <w:r w:rsidRPr="007F453D">
              <w:t>E1</w:t>
            </w:r>
          </w:p>
        </w:tc>
        <w:tc>
          <w:tcPr>
            <w:tcW w:w="5559" w:type="dxa"/>
            <w:gridSpan w:val="4"/>
            <w:tcBorders>
              <w:bottom w:val="single" w:sz="4" w:space="0" w:color="auto"/>
            </w:tcBorders>
          </w:tcPr>
          <w:p w14:paraId="7BCB7F53" w14:textId="77777777" w:rsidR="00476035" w:rsidRPr="007F453D" w:rsidRDefault="00476035" w:rsidP="00FD61B7">
            <w:pPr>
              <w:pStyle w:val="Tabletext"/>
              <w:jc w:val="center"/>
            </w:pPr>
            <w:r>
              <w:t>NOT APPLIED</w:t>
            </w:r>
          </w:p>
        </w:tc>
        <w:tc>
          <w:tcPr>
            <w:tcW w:w="2230" w:type="dxa"/>
            <w:tcBorders>
              <w:bottom w:val="single" w:sz="4" w:space="0" w:color="auto"/>
            </w:tcBorders>
          </w:tcPr>
          <w:p w14:paraId="48E09DFF" w14:textId="77777777" w:rsidR="00476035" w:rsidRPr="007F453D" w:rsidRDefault="00476035" w:rsidP="00FD61B7">
            <w:pPr>
              <w:pStyle w:val="Tabletext"/>
              <w:jc w:val="center"/>
            </w:pPr>
            <w:r w:rsidRPr="007F453D">
              <w:t xml:space="preserve">2 300-2 400 </w:t>
            </w:r>
          </w:p>
        </w:tc>
      </w:tr>
    </w:tbl>
    <w:p w14:paraId="3DE90AAB" w14:textId="77777777" w:rsidR="00476035" w:rsidRPr="007F453D" w:rsidRDefault="00476035" w:rsidP="00476035">
      <w:pPr>
        <w:pStyle w:val="Tablefin"/>
      </w:pPr>
    </w:p>
    <w:p w14:paraId="304B1B10" w14:textId="77777777" w:rsidR="00476035" w:rsidRPr="007F453D" w:rsidRDefault="00476035" w:rsidP="00476035">
      <w:pPr>
        <w:pStyle w:val="FigureNo"/>
      </w:pPr>
      <w:r w:rsidRPr="007F453D">
        <w:t>FIGURE 6</w:t>
      </w:r>
    </w:p>
    <w:p w14:paraId="4C59FF97" w14:textId="77777777" w:rsidR="00476035" w:rsidRPr="007F453D" w:rsidRDefault="00476035" w:rsidP="00476035">
      <w:pPr>
        <w:pStyle w:val="Figuretitle"/>
      </w:pPr>
      <w:r w:rsidRPr="007F453D">
        <w:t>Frequency arrangement E1</w:t>
      </w:r>
    </w:p>
    <w:p w14:paraId="61AB34F8" w14:textId="71E98158" w:rsidR="00476035" w:rsidRPr="007F453D" w:rsidRDefault="00647E39" w:rsidP="00647E39">
      <w:pPr>
        <w:pStyle w:val="Figure"/>
      </w:pPr>
      <w:r>
        <w:rPr>
          <w:noProof/>
        </w:rPr>
        <w:drawing>
          <wp:inline distT="0" distB="0" distL="0" distR="0" wp14:anchorId="2613FEA3" wp14:editId="2D073984">
            <wp:extent cx="5724156" cy="1517907"/>
            <wp:effectExtent l="0" t="0" r="0" b="6350"/>
            <wp:docPr id="97177790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77906" name="Picture 5">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724156" cy="1517907"/>
                    </a:xfrm>
                    <a:prstGeom prst="rect">
                      <a:avLst/>
                    </a:prstGeom>
                  </pic:spPr>
                </pic:pic>
              </a:graphicData>
            </a:graphic>
          </wp:inline>
        </w:drawing>
      </w:r>
    </w:p>
    <w:p w14:paraId="001C041C" w14:textId="77777777" w:rsidR="00476035" w:rsidRPr="007F453D" w:rsidRDefault="00476035" w:rsidP="00476035">
      <w:pPr>
        <w:overflowPunct/>
        <w:autoSpaceDE/>
        <w:autoSpaceDN/>
        <w:adjustRightInd/>
        <w:spacing w:before="0"/>
        <w:textAlignment w:val="auto"/>
        <w:rPr>
          <w:caps/>
          <w:sz w:val="28"/>
        </w:rPr>
      </w:pPr>
      <w:r w:rsidRPr="007F453D">
        <w:br w:type="page"/>
      </w:r>
    </w:p>
    <w:p w14:paraId="4DD65CDE" w14:textId="77777777" w:rsidR="00476035" w:rsidRPr="00E81BE4" w:rsidRDefault="00476035" w:rsidP="00476035">
      <w:pPr>
        <w:pStyle w:val="StyleSectionNo14ptCenteredBefore24pt"/>
        <w:rPr>
          <w:szCs w:val="28"/>
        </w:rPr>
      </w:pPr>
      <w:bookmarkStart w:id="25" w:name="_Toc224135068"/>
      <w:r w:rsidRPr="00E81BE4">
        <w:rPr>
          <w:szCs w:val="28"/>
        </w:rPr>
        <w:lastRenderedPageBreak/>
        <w:t>SECTION 7</w:t>
      </w:r>
      <w:bookmarkEnd w:id="25"/>
    </w:p>
    <w:p w14:paraId="33B5A16B" w14:textId="77777777" w:rsidR="00476035" w:rsidRPr="007F453D" w:rsidRDefault="00476035" w:rsidP="00476035">
      <w:pPr>
        <w:pStyle w:val="Sectiontitle"/>
      </w:pPr>
      <w:bookmarkStart w:id="26" w:name="_Toc224135069"/>
      <w:r w:rsidRPr="007F453D">
        <w:t>Frequency arrangements in the band 2 500-2 690 MHz</w:t>
      </w:r>
      <w:bookmarkEnd w:id="26"/>
    </w:p>
    <w:p w14:paraId="59FE55E5" w14:textId="77777777" w:rsidR="00476035" w:rsidRPr="007F453D" w:rsidRDefault="00476035" w:rsidP="00476035">
      <w:pPr>
        <w:pStyle w:val="Normalaftertitle"/>
        <w:rPr>
          <w:lang w:eastAsia="zh-CN"/>
        </w:rPr>
      </w:pPr>
      <w:r w:rsidRPr="007F453D">
        <w:t>The recommended frequency arrangements for implementation of IMT in the band 2 500</w:t>
      </w:r>
      <w:r w:rsidRPr="007F453D">
        <w:noBreakHyphen/>
        <w:t>2 690 MHz are summarized in Table 6 and in Fig. 7, noting the implementation aspects in Section 1 above.</w:t>
      </w:r>
    </w:p>
    <w:p w14:paraId="0D320BBC" w14:textId="77777777" w:rsidR="00476035" w:rsidRPr="007F453D" w:rsidRDefault="00476035" w:rsidP="00476035">
      <w:pPr>
        <w:pStyle w:val="TableNo"/>
        <w:rPr>
          <w:lang w:eastAsia="zh-CN"/>
        </w:rPr>
      </w:pPr>
      <w:r w:rsidRPr="007F453D">
        <w:t>TABLE 6</w:t>
      </w:r>
    </w:p>
    <w:p w14:paraId="53F8E118" w14:textId="77777777" w:rsidR="00476035" w:rsidRPr="007F453D" w:rsidRDefault="00476035" w:rsidP="00476035">
      <w:pPr>
        <w:pStyle w:val="Tabletitle"/>
      </w:pPr>
      <w:r w:rsidRPr="007F453D">
        <w:t>Frequency arrangements in the band 2 500-2 690 MHz (not including the satellite component)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95"/>
        <w:gridCol w:w="1890"/>
        <w:gridCol w:w="1350"/>
        <w:gridCol w:w="1980"/>
        <w:gridCol w:w="1364"/>
      </w:tblGrid>
      <w:tr w:rsidR="00476035" w:rsidRPr="00D36621" w14:paraId="695DECDC" w14:textId="77777777" w:rsidTr="00FD61B7">
        <w:trPr>
          <w:jc w:val="center"/>
        </w:trPr>
        <w:tc>
          <w:tcPr>
            <w:tcW w:w="1560" w:type="dxa"/>
            <w:vMerge w:val="restart"/>
            <w:vAlign w:val="center"/>
          </w:tcPr>
          <w:p w14:paraId="0DE03F99"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Frequency arrangements</w:t>
            </w:r>
          </w:p>
        </w:tc>
        <w:tc>
          <w:tcPr>
            <w:tcW w:w="6715" w:type="dxa"/>
            <w:gridSpan w:val="4"/>
            <w:vAlign w:val="center"/>
          </w:tcPr>
          <w:p w14:paraId="6EF476F1"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Paired arrangements (FDD)</w:t>
            </w:r>
          </w:p>
        </w:tc>
        <w:tc>
          <w:tcPr>
            <w:tcW w:w="1364" w:type="dxa"/>
            <w:vMerge w:val="restart"/>
            <w:vAlign w:val="center"/>
          </w:tcPr>
          <w:p w14:paraId="3383FBC1" w14:textId="763FDB9F"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Un-paired arrange</w:t>
            </w:r>
            <w:r w:rsidR="00693A76">
              <w:rPr>
                <w:rFonts w:ascii="Times New Roman Bold" w:hAnsi="Times New Roman Bold" w:cs="Times New Roman Bold"/>
                <w:b/>
                <w:sz w:val="20"/>
              </w:rPr>
              <w:t>-</w:t>
            </w:r>
            <w:proofErr w:type="spellStart"/>
            <w:r w:rsidRPr="00D36621">
              <w:rPr>
                <w:rFonts w:ascii="Times New Roman Bold" w:hAnsi="Times New Roman Bold" w:cs="Times New Roman Bold"/>
                <w:b/>
                <w:sz w:val="20"/>
              </w:rPr>
              <w:t>ments</w:t>
            </w:r>
            <w:proofErr w:type="spellEnd"/>
            <w:r w:rsidRPr="00D36621">
              <w:rPr>
                <w:rFonts w:ascii="Times New Roman Bold" w:hAnsi="Times New Roman Bold" w:cs="Times New Roman Bold"/>
                <w:b/>
                <w:sz w:val="20"/>
              </w:rPr>
              <w:t xml:space="preserve"> (TDD)</w:t>
            </w:r>
            <w:r w:rsidRPr="00D36621">
              <w:rPr>
                <w:rFonts w:ascii="Times New Roman Bold" w:hAnsi="Times New Roman Bold" w:cs="Times New Roman Bold"/>
                <w:b/>
                <w:sz w:val="20"/>
              </w:rPr>
              <w:br/>
              <w:t>(MHz)</w:t>
            </w:r>
          </w:p>
        </w:tc>
      </w:tr>
      <w:tr w:rsidR="00476035" w:rsidRPr="00D36621" w14:paraId="609F9DBA" w14:textId="77777777" w:rsidTr="00FD61B7">
        <w:trPr>
          <w:jc w:val="center"/>
        </w:trPr>
        <w:tc>
          <w:tcPr>
            <w:tcW w:w="1560" w:type="dxa"/>
            <w:vMerge/>
            <w:vAlign w:val="center"/>
          </w:tcPr>
          <w:p w14:paraId="53549447"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495" w:type="dxa"/>
            <w:vAlign w:val="center"/>
          </w:tcPr>
          <w:p w14:paraId="6EC95842"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 xml:space="preserve">Mobile station transmitter </w:t>
            </w:r>
            <w:r w:rsidRPr="00D36621">
              <w:rPr>
                <w:rFonts w:ascii="Times New Roman Bold" w:hAnsi="Times New Roman Bold" w:cs="Times New Roman Bold"/>
                <w:b/>
                <w:sz w:val="20"/>
              </w:rPr>
              <w:br/>
              <w:t>(MHz)</w:t>
            </w:r>
          </w:p>
        </w:tc>
        <w:tc>
          <w:tcPr>
            <w:tcW w:w="1890" w:type="dxa"/>
            <w:vAlign w:val="center"/>
          </w:tcPr>
          <w:p w14:paraId="3D4BCE78"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Centre gap</w:t>
            </w:r>
            <w:r w:rsidRPr="00D36621">
              <w:rPr>
                <w:rFonts w:ascii="Times New Roman Bold" w:hAnsi="Times New Roman Bold" w:cs="Times New Roman Bold"/>
                <w:b/>
                <w:sz w:val="20"/>
              </w:rPr>
              <w:br/>
              <w:t>(MHz)</w:t>
            </w:r>
          </w:p>
        </w:tc>
        <w:tc>
          <w:tcPr>
            <w:tcW w:w="1350" w:type="dxa"/>
            <w:vAlign w:val="center"/>
          </w:tcPr>
          <w:p w14:paraId="203C9A0D"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z w:val="20"/>
              </w:rPr>
              <w:t xml:space="preserve">Base station transmitter </w:t>
            </w:r>
            <w:r w:rsidRPr="00D36621">
              <w:rPr>
                <w:rFonts w:ascii="Times New Roman Bold" w:hAnsi="Times New Roman Bold" w:cs="Times New Roman Bold"/>
                <w:b/>
                <w:sz w:val="20"/>
              </w:rPr>
              <w:br/>
              <w:t>(MHz)</w:t>
            </w:r>
          </w:p>
        </w:tc>
        <w:tc>
          <w:tcPr>
            <w:tcW w:w="1980" w:type="dxa"/>
            <w:vAlign w:val="center"/>
          </w:tcPr>
          <w:p w14:paraId="4FEEB100"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D36621">
              <w:rPr>
                <w:rFonts w:ascii="Times New Roman Bold" w:hAnsi="Times New Roman Bold" w:cs="Times New Roman Bold"/>
                <w:b/>
                <w:spacing w:val="-8"/>
                <w:sz w:val="20"/>
              </w:rPr>
              <w:t>Duplex separation</w:t>
            </w:r>
            <w:r w:rsidRPr="00D36621">
              <w:rPr>
                <w:rFonts w:ascii="Times New Roman Bold" w:hAnsi="Times New Roman Bold" w:cs="Times New Roman Bold"/>
                <w:b/>
                <w:spacing w:val="-8"/>
                <w:sz w:val="20"/>
              </w:rPr>
              <w:br/>
            </w:r>
            <w:r w:rsidRPr="00D36621">
              <w:rPr>
                <w:rFonts w:ascii="Times New Roman Bold" w:hAnsi="Times New Roman Bold" w:cs="Times New Roman Bold"/>
                <w:b/>
                <w:sz w:val="20"/>
              </w:rPr>
              <w:t>(MHz)</w:t>
            </w:r>
          </w:p>
        </w:tc>
        <w:tc>
          <w:tcPr>
            <w:tcW w:w="1364" w:type="dxa"/>
            <w:vMerge/>
            <w:vAlign w:val="center"/>
          </w:tcPr>
          <w:p w14:paraId="13092365" w14:textId="77777777" w:rsidR="00476035" w:rsidRPr="00D36621"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476035" w:rsidRPr="00D36621" w14:paraId="489F4EF0" w14:textId="77777777" w:rsidTr="00FD61B7">
        <w:trPr>
          <w:jc w:val="center"/>
        </w:trPr>
        <w:tc>
          <w:tcPr>
            <w:tcW w:w="1560" w:type="dxa"/>
            <w:tcBorders>
              <w:top w:val="single" w:sz="4" w:space="0" w:color="auto"/>
              <w:left w:val="single" w:sz="4" w:space="0" w:color="auto"/>
              <w:bottom w:val="single" w:sz="4" w:space="0" w:color="auto"/>
              <w:right w:val="single" w:sz="6" w:space="0" w:color="auto"/>
            </w:tcBorders>
          </w:tcPr>
          <w:p w14:paraId="6672BFB6"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C1</w:t>
            </w:r>
          </w:p>
        </w:tc>
        <w:tc>
          <w:tcPr>
            <w:tcW w:w="1495" w:type="dxa"/>
            <w:tcBorders>
              <w:top w:val="single" w:sz="4" w:space="0" w:color="auto"/>
              <w:left w:val="single" w:sz="6" w:space="0" w:color="auto"/>
              <w:bottom w:val="single" w:sz="4" w:space="0" w:color="auto"/>
              <w:right w:val="single" w:sz="6" w:space="0" w:color="auto"/>
            </w:tcBorders>
          </w:tcPr>
          <w:p w14:paraId="5B318C79"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2 500-2 570</w:t>
            </w:r>
          </w:p>
        </w:tc>
        <w:tc>
          <w:tcPr>
            <w:tcW w:w="1890" w:type="dxa"/>
            <w:tcBorders>
              <w:top w:val="single" w:sz="4" w:space="0" w:color="auto"/>
              <w:left w:val="single" w:sz="6" w:space="0" w:color="auto"/>
              <w:bottom w:val="single" w:sz="4" w:space="0" w:color="auto"/>
              <w:right w:val="single" w:sz="6" w:space="0" w:color="auto"/>
            </w:tcBorders>
          </w:tcPr>
          <w:p w14:paraId="16E6D241"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50</w:t>
            </w:r>
          </w:p>
        </w:tc>
        <w:tc>
          <w:tcPr>
            <w:tcW w:w="1350" w:type="dxa"/>
            <w:tcBorders>
              <w:top w:val="single" w:sz="4" w:space="0" w:color="auto"/>
              <w:left w:val="single" w:sz="6" w:space="0" w:color="auto"/>
              <w:bottom w:val="single" w:sz="4" w:space="0" w:color="auto"/>
              <w:right w:val="single" w:sz="6" w:space="0" w:color="auto"/>
            </w:tcBorders>
          </w:tcPr>
          <w:p w14:paraId="301CC85A"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2 620-2 690</w:t>
            </w:r>
          </w:p>
        </w:tc>
        <w:tc>
          <w:tcPr>
            <w:tcW w:w="1980" w:type="dxa"/>
            <w:tcBorders>
              <w:top w:val="single" w:sz="4" w:space="0" w:color="auto"/>
              <w:left w:val="single" w:sz="6" w:space="0" w:color="auto"/>
              <w:bottom w:val="single" w:sz="4" w:space="0" w:color="auto"/>
              <w:right w:val="single" w:sz="6" w:space="0" w:color="auto"/>
            </w:tcBorders>
          </w:tcPr>
          <w:p w14:paraId="5B3EFC23"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120</w:t>
            </w:r>
          </w:p>
        </w:tc>
        <w:tc>
          <w:tcPr>
            <w:tcW w:w="1364" w:type="dxa"/>
            <w:tcBorders>
              <w:top w:val="single" w:sz="4" w:space="0" w:color="auto"/>
              <w:left w:val="single" w:sz="6" w:space="0" w:color="auto"/>
              <w:bottom w:val="single" w:sz="4" w:space="0" w:color="auto"/>
              <w:right w:val="single" w:sz="4" w:space="0" w:color="auto"/>
            </w:tcBorders>
          </w:tcPr>
          <w:p w14:paraId="1A5BA395"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 xml:space="preserve">2 570-2 620 </w:t>
            </w:r>
          </w:p>
        </w:tc>
      </w:tr>
      <w:tr w:rsidR="00476035" w:rsidRPr="00D36621" w14:paraId="7F2B665B" w14:textId="77777777" w:rsidTr="00FD61B7">
        <w:trPr>
          <w:trHeight w:val="242"/>
          <w:jc w:val="center"/>
        </w:trPr>
        <w:tc>
          <w:tcPr>
            <w:tcW w:w="1560" w:type="dxa"/>
            <w:vMerge w:val="restart"/>
            <w:tcBorders>
              <w:top w:val="single" w:sz="4" w:space="0" w:color="auto"/>
              <w:left w:val="single" w:sz="4" w:space="0" w:color="auto"/>
              <w:right w:val="single" w:sz="6" w:space="0" w:color="auto"/>
            </w:tcBorders>
            <w:vAlign w:val="center"/>
          </w:tcPr>
          <w:p w14:paraId="22A435CA"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C2</w:t>
            </w:r>
          </w:p>
        </w:tc>
        <w:tc>
          <w:tcPr>
            <w:tcW w:w="1495" w:type="dxa"/>
            <w:tcBorders>
              <w:top w:val="single" w:sz="4" w:space="0" w:color="auto"/>
              <w:left w:val="single" w:sz="6" w:space="0" w:color="auto"/>
              <w:bottom w:val="dashed" w:sz="4" w:space="0" w:color="auto"/>
              <w:right w:val="single" w:sz="6" w:space="0" w:color="auto"/>
            </w:tcBorders>
          </w:tcPr>
          <w:p w14:paraId="10B04FBE"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2 500-2 570</w:t>
            </w:r>
          </w:p>
        </w:tc>
        <w:tc>
          <w:tcPr>
            <w:tcW w:w="1890" w:type="dxa"/>
            <w:tcBorders>
              <w:top w:val="single" w:sz="4" w:space="0" w:color="auto"/>
              <w:left w:val="single" w:sz="6" w:space="0" w:color="auto"/>
              <w:bottom w:val="dashed" w:sz="4" w:space="0" w:color="auto"/>
              <w:right w:val="single" w:sz="6" w:space="0" w:color="auto"/>
            </w:tcBorders>
            <w:vAlign w:val="center"/>
          </w:tcPr>
          <w:p w14:paraId="56EFD8D4"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50</w:t>
            </w:r>
          </w:p>
        </w:tc>
        <w:tc>
          <w:tcPr>
            <w:tcW w:w="1350" w:type="dxa"/>
            <w:tcBorders>
              <w:top w:val="single" w:sz="4" w:space="0" w:color="auto"/>
              <w:left w:val="single" w:sz="6" w:space="0" w:color="auto"/>
              <w:bottom w:val="dashed" w:sz="4" w:space="0" w:color="auto"/>
              <w:right w:val="single" w:sz="6" w:space="0" w:color="auto"/>
            </w:tcBorders>
          </w:tcPr>
          <w:p w14:paraId="4A5E2EAE"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2 620-2 690</w:t>
            </w:r>
          </w:p>
        </w:tc>
        <w:tc>
          <w:tcPr>
            <w:tcW w:w="1980" w:type="dxa"/>
            <w:tcBorders>
              <w:top w:val="single" w:sz="4" w:space="0" w:color="auto"/>
              <w:left w:val="single" w:sz="6" w:space="0" w:color="auto"/>
              <w:bottom w:val="dashed" w:sz="4" w:space="0" w:color="auto"/>
              <w:right w:val="single" w:sz="6" w:space="0" w:color="auto"/>
            </w:tcBorders>
          </w:tcPr>
          <w:p w14:paraId="1A31B81C"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120</w:t>
            </w:r>
          </w:p>
        </w:tc>
        <w:tc>
          <w:tcPr>
            <w:tcW w:w="1364" w:type="dxa"/>
            <w:vMerge w:val="restart"/>
            <w:tcBorders>
              <w:top w:val="single" w:sz="4" w:space="0" w:color="auto"/>
              <w:left w:val="single" w:sz="6" w:space="0" w:color="auto"/>
              <w:right w:val="single" w:sz="4" w:space="0" w:color="auto"/>
            </w:tcBorders>
            <w:vAlign w:val="center"/>
          </w:tcPr>
          <w:p w14:paraId="0070B70F"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None</w:t>
            </w:r>
          </w:p>
        </w:tc>
      </w:tr>
      <w:tr w:rsidR="00476035" w:rsidRPr="00D36621" w14:paraId="53A79E1C" w14:textId="77777777" w:rsidTr="00FD61B7">
        <w:trPr>
          <w:trHeight w:val="241"/>
          <w:jc w:val="center"/>
        </w:trPr>
        <w:tc>
          <w:tcPr>
            <w:tcW w:w="1560" w:type="dxa"/>
            <w:vMerge/>
            <w:tcBorders>
              <w:left w:val="single" w:sz="4" w:space="0" w:color="auto"/>
              <w:bottom w:val="single" w:sz="6" w:space="0" w:color="auto"/>
              <w:right w:val="single" w:sz="6" w:space="0" w:color="auto"/>
            </w:tcBorders>
            <w:vAlign w:val="center"/>
          </w:tcPr>
          <w:p w14:paraId="3F029BD5"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1495" w:type="dxa"/>
            <w:tcBorders>
              <w:top w:val="dashed" w:sz="4" w:space="0" w:color="auto"/>
              <w:left w:val="single" w:sz="6" w:space="0" w:color="auto"/>
              <w:bottom w:val="single" w:sz="6" w:space="0" w:color="auto"/>
              <w:right w:val="single" w:sz="6" w:space="0" w:color="auto"/>
            </w:tcBorders>
          </w:tcPr>
          <w:p w14:paraId="6221199C"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External</w:t>
            </w:r>
          </w:p>
        </w:tc>
        <w:tc>
          <w:tcPr>
            <w:tcW w:w="1890" w:type="dxa"/>
            <w:tcBorders>
              <w:top w:val="dashed" w:sz="4" w:space="0" w:color="auto"/>
              <w:left w:val="single" w:sz="6" w:space="0" w:color="auto"/>
              <w:bottom w:val="single" w:sz="6" w:space="0" w:color="auto"/>
              <w:right w:val="single" w:sz="6" w:space="0" w:color="auto"/>
            </w:tcBorders>
            <w:vAlign w:val="center"/>
          </w:tcPr>
          <w:p w14:paraId="2AE070B5"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NOT APPLICABLE</w:t>
            </w:r>
          </w:p>
        </w:tc>
        <w:tc>
          <w:tcPr>
            <w:tcW w:w="1350" w:type="dxa"/>
            <w:tcBorders>
              <w:top w:val="dashed" w:sz="4" w:space="0" w:color="auto"/>
              <w:left w:val="single" w:sz="6" w:space="0" w:color="auto"/>
              <w:bottom w:val="single" w:sz="6" w:space="0" w:color="auto"/>
              <w:right w:val="single" w:sz="6" w:space="0" w:color="auto"/>
            </w:tcBorders>
          </w:tcPr>
          <w:p w14:paraId="7F508CF7"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2 570-2 620</w:t>
            </w:r>
          </w:p>
        </w:tc>
        <w:tc>
          <w:tcPr>
            <w:tcW w:w="1980" w:type="dxa"/>
            <w:tcBorders>
              <w:top w:val="dashed" w:sz="4" w:space="0" w:color="auto"/>
              <w:left w:val="single" w:sz="6" w:space="0" w:color="auto"/>
              <w:bottom w:val="single" w:sz="6" w:space="0" w:color="auto"/>
              <w:right w:val="single" w:sz="6" w:space="0" w:color="auto"/>
            </w:tcBorders>
          </w:tcPr>
          <w:p w14:paraId="503CEF4B"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NOT APPLICABLE</w:t>
            </w:r>
          </w:p>
        </w:tc>
        <w:tc>
          <w:tcPr>
            <w:tcW w:w="1364" w:type="dxa"/>
            <w:vMerge/>
            <w:tcBorders>
              <w:left w:val="single" w:sz="6" w:space="0" w:color="auto"/>
              <w:bottom w:val="single" w:sz="6" w:space="0" w:color="auto"/>
              <w:right w:val="single" w:sz="4" w:space="0" w:color="auto"/>
            </w:tcBorders>
            <w:vAlign w:val="center"/>
          </w:tcPr>
          <w:p w14:paraId="4CB4EAFC"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r>
      <w:tr w:rsidR="00476035" w:rsidRPr="00D36621" w14:paraId="37805D16" w14:textId="77777777" w:rsidTr="00FD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60" w:type="dxa"/>
            <w:tcBorders>
              <w:top w:val="single" w:sz="6" w:space="0" w:color="auto"/>
              <w:left w:val="single" w:sz="4" w:space="0" w:color="auto"/>
              <w:bottom w:val="single" w:sz="4" w:space="0" w:color="auto"/>
              <w:right w:val="single" w:sz="6" w:space="0" w:color="auto"/>
            </w:tcBorders>
          </w:tcPr>
          <w:p w14:paraId="60698CD5"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C3</w:t>
            </w:r>
          </w:p>
        </w:tc>
        <w:tc>
          <w:tcPr>
            <w:tcW w:w="8079" w:type="dxa"/>
            <w:gridSpan w:val="5"/>
            <w:tcBorders>
              <w:top w:val="single" w:sz="6" w:space="0" w:color="auto"/>
              <w:left w:val="single" w:sz="6" w:space="0" w:color="auto"/>
              <w:bottom w:val="single" w:sz="4" w:space="0" w:color="auto"/>
              <w:right w:val="single" w:sz="4" w:space="0" w:color="auto"/>
            </w:tcBorders>
          </w:tcPr>
          <w:p w14:paraId="4C4CC076" w14:textId="77777777" w:rsidR="00476035" w:rsidRPr="00D36621" w:rsidRDefault="00476035" w:rsidP="00FD61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D36621">
              <w:rPr>
                <w:sz w:val="20"/>
              </w:rPr>
              <w:t>Flexible FDD/TDD</w:t>
            </w:r>
          </w:p>
        </w:tc>
      </w:tr>
    </w:tbl>
    <w:p w14:paraId="527FF640" w14:textId="77777777" w:rsidR="00476035" w:rsidRPr="007F453D" w:rsidRDefault="00476035" w:rsidP="00476035">
      <w:pPr>
        <w:pStyle w:val="Note"/>
        <w:rPr>
          <w:i/>
        </w:rPr>
      </w:pPr>
      <w:r w:rsidRPr="007F453D">
        <w:rPr>
          <w:i/>
        </w:rPr>
        <w:t>Notes to Table 6:</w:t>
      </w:r>
    </w:p>
    <w:p w14:paraId="1216C640" w14:textId="5551362A" w:rsidR="00476035" w:rsidRPr="007F453D" w:rsidRDefault="00476035" w:rsidP="00476035">
      <w:pPr>
        <w:pStyle w:val="Note"/>
      </w:pPr>
      <w:r w:rsidRPr="007F453D">
        <w:rPr>
          <w:i/>
        </w:rPr>
        <w:t>Note 1:</w:t>
      </w:r>
      <w:r w:rsidRPr="007F453D">
        <w:t xml:space="preserve"> In C1, in order to facilitate deployment of FDD equipment, any </w:t>
      </w:r>
      <w:proofErr w:type="spellStart"/>
      <w:r w:rsidRPr="007F453D">
        <w:t>guardbands</w:t>
      </w:r>
      <w:proofErr w:type="spellEnd"/>
      <w:r w:rsidRPr="007F453D">
        <w:t xml:space="preserve"> required to ensure adjacent band compatibility at the 2 570 MHz and 2 620 MHz boundaries will be decided on a national basis and will be taken within the band 2 570-2 620 MHz and should be kept to the minimum necessary, based on Report </w:t>
      </w:r>
      <w:hyperlink r:id="rId41" w:history="1">
        <w:r w:rsidR="003A08E0">
          <w:rPr>
            <w:rStyle w:val="Hyperlink"/>
            <w:color w:val="auto"/>
            <w:u w:val="none"/>
          </w:rPr>
          <w:t>ITU-R M</w:t>
        </w:r>
        <w:r w:rsidR="003A08E0" w:rsidRPr="007B5747">
          <w:rPr>
            <w:rStyle w:val="Hyperlink"/>
            <w:color w:val="auto"/>
            <w:u w:val="none"/>
          </w:rPr>
          <w:t>.2045</w:t>
        </w:r>
      </w:hyperlink>
      <w:r w:rsidRPr="007F453D">
        <w:t>.</w:t>
      </w:r>
    </w:p>
    <w:p w14:paraId="0EC0464B" w14:textId="77777777" w:rsidR="00476035" w:rsidRPr="007F453D" w:rsidRDefault="00476035" w:rsidP="00476035">
      <w:pPr>
        <w:pStyle w:val="Note"/>
      </w:pPr>
      <w:r w:rsidRPr="007F453D">
        <w:rPr>
          <w:i/>
        </w:rPr>
        <w:t>Note 2:</w:t>
      </w:r>
      <w:r w:rsidRPr="007F453D">
        <w:t> In C3, administrations can use the band solely for FDD or TDD or some combination of TDD and FDD. Administrations can use any FDD duplex spacing or FDD duplex direction. However, when administrations choose to deploy mixed FDD/TDD channels with a fixed duplex separation for FDD, the duplex separation and duplex direction as shown in C1 are preferred.</w:t>
      </w:r>
    </w:p>
    <w:p w14:paraId="015551D7" w14:textId="77777777" w:rsidR="00476035" w:rsidRPr="007F453D" w:rsidRDefault="00476035" w:rsidP="00476035">
      <w:pPr>
        <w:pStyle w:val="FigureNo"/>
      </w:pPr>
      <w:r w:rsidRPr="007F453D">
        <w:t>Figure 7</w:t>
      </w:r>
    </w:p>
    <w:p w14:paraId="41314720" w14:textId="4C416448" w:rsidR="00476035" w:rsidRPr="007F453D" w:rsidRDefault="00476035" w:rsidP="00476035">
      <w:pPr>
        <w:pStyle w:val="Figuretitle"/>
        <w:rPr>
          <w:lang w:eastAsia="zh-CN"/>
        </w:rPr>
      </w:pPr>
      <w:r w:rsidRPr="007F453D">
        <w:t>Frequency arrangements C1 to C3 (see Notes to Table 6)</w:t>
      </w:r>
    </w:p>
    <w:p w14:paraId="1A825BF0" w14:textId="0B21DFAC" w:rsidR="00476035" w:rsidRPr="007F453D" w:rsidRDefault="00647E39" w:rsidP="00476035">
      <w:pPr>
        <w:pStyle w:val="Figure"/>
      </w:pPr>
      <w:r>
        <w:rPr>
          <w:noProof/>
        </w:rPr>
        <w:drawing>
          <wp:inline distT="0" distB="0" distL="0" distR="0" wp14:anchorId="2D8E7611" wp14:editId="4045FFE4">
            <wp:extent cx="5529083" cy="3194310"/>
            <wp:effectExtent l="0" t="0" r="0" b="6350"/>
            <wp:docPr id="187048729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7296" name="Picture 6">
                      <a:extLst>
                        <a:ext uri="{C183D7F6-B498-43B3-948B-1728B52AA6E4}">
                          <adec:decorative xmlns:adec="http://schemas.microsoft.com/office/drawing/2017/decorative" val="1"/>
                        </a:ext>
                      </a:extLst>
                    </pic:cNvPr>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529083" cy="3194310"/>
                    </a:xfrm>
                    <a:prstGeom prst="rect">
                      <a:avLst/>
                    </a:prstGeom>
                  </pic:spPr>
                </pic:pic>
              </a:graphicData>
            </a:graphic>
          </wp:inline>
        </w:drawing>
      </w:r>
    </w:p>
    <w:p w14:paraId="160DC5CE" w14:textId="77777777" w:rsidR="00476035" w:rsidRPr="00E81BE4" w:rsidRDefault="00476035" w:rsidP="00476035">
      <w:pPr>
        <w:pStyle w:val="StyleSectionNo14ptCenteredBefore24pt"/>
        <w:rPr>
          <w:szCs w:val="28"/>
          <w:lang w:eastAsia="zh-CN"/>
        </w:rPr>
      </w:pPr>
      <w:bookmarkStart w:id="27" w:name="_Toc224135070"/>
      <w:r w:rsidRPr="00E81BE4">
        <w:rPr>
          <w:szCs w:val="28"/>
        </w:rPr>
        <w:lastRenderedPageBreak/>
        <w:t>SECTION 8</w:t>
      </w:r>
      <w:bookmarkEnd w:id="27"/>
    </w:p>
    <w:p w14:paraId="296A2B7B" w14:textId="77777777" w:rsidR="00476035" w:rsidRPr="007F453D" w:rsidRDefault="00476035" w:rsidP="00476035">
      <w:pPr>
        <w:pStyle w:val="Sectiontitle"/>
      </w:pPr>
      <w:bookmarkStart w:id="28" w:name="_Toc224135071"/>
      <w:r w:rsidRPr="007F453D">
        <w:t xml:space="preserve">Frequency arrangements in the 3 300-3 </w:t>
      </w:r>
      <w:r>
        <w:t>8</w:t>
      </w:r>
      <w:r w:rsidRPr="007F453D">
        <w:t>00 MHz frequency range</w:t>
      </w:r>
      <w:bookmarkEnd w:id="28"/>
    </w:p>
    <w:p w14:paraId="6912D7A3" w14:textId="77777777" w:rsidR="00476035" w:rsidRPr="007F453D" w:rsidRDefault="00476035" w:rsidP="00476035">
      <w:pPr>
        <w:pStyle w:val="Normalaftertitle"/>
        <w:rPr>
          <w:lang w:eastAsia="zh-CN"/>
        </w:rPr>
      </w:pPr>
      <w:r w:rsidRPr="007F453D">
        <w:t>The recommended frequency arrangements for implementation of IMT in the 3</w:t>
      </w:r>
      <w:r w:rsidRPr="007F453D">
        <w:rPr>
          <w:b/>
        </w:rPr>
        <w:t> </w:t>
      </w:r>
      <w:r w:rsidRPr="007F453D">
        <w:rPr>
          <w:lang w:eastAsia="zh-CN"/>
        </w:rPr>
        <w:t>3</w:t>
      </w:r>
      <w:r w:rsidRPr="007F453D">
        <w:t>00</w:t>
      </w:r>
      <w:r w:rsidRPr="007F453D">
        <w:rPr>
          <w:b/>
        </w:rPr>
        <w:noBreakHyphen/>
      </w:r>
      <w:r w:rsidRPr="007F453D">
        <w:t>3</w:t>
      </w:r>
      <w:r w:rsidRPr="007F453D">
        <w:rPr>
          <w:b/>
        </w:rPr>
        <w:t> </w:t>
      </w:r>
      <w:r>
        <w:t>8</w:t>
      </w:r>
      <w:r w:rsidRPr="007F453D">
        <w:t>00 MHz frequency range are summarized in Table 7 and in Fig. 8</w:t>
      </w:r>
      <w:r w:rsidRPr="007F453D">
        <w:rPr>
          <w:bCs/>
        </w:rPr>
        <w:t>,</w:t>
      </w:r>
      <w:r w:rsidRPr="007F453D">
        <w:t xml:space="preserve"> noting the implementation aspects in Section 1 above.</w:t>
      </w:r>
    </w:p>
    <w:p w14:paraId="12E76CC6" w14:textId="77777777" w:rsidR="00476035" w:rsidRPr="007F453D" w:rsidRDefault="00476035" w:rsidP="00476035">
      <w:pPr>
        <w:pStyle w:val="TableNo"/>
      </w:pPr>
      <w:r w:rsidRPr="007F453D">
        <w:t>TABLE 7</w:t>
      </w:r>
    </w:p>
    <w:p w14:paraId="53449243" w14:textId="77777777" w:rsidR="00476035" w:rsidRPr="007F453D" w:rsidRDefault="00476035" w:rsidP="00476035">
      <w:pPr>
        <w:pStyle w:val="Tabletitle"/>
        <w:rPr>
          <w:caps/>
        </w:rPr>
      </w:pPr>
      <w:r w:rsidRPr="007F453D">
        <w:t xml:space="preserve">Frequency arrangements in the 3 300-3 </w:t>
      </w:r>
      <w:r>
        <w:t>8</w:t>
      </w:r>
      <w:r w:rsidRPr="007F453D">
        <w:t>00 MHz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6E376396" w14:textId="77777777" w:rsidTr="00FD61B7">
        <w:trPr>
          <w:jc w:val="center"/>
        </w:trPr>
        <w:tc>
          <w:tcPr>
            <w:tcW w:w="1861" w:type="dxa"/>
            <w:vMerge w:val="restart"/>
            <w:vAlign w:val="center"/>
          </w:tcPr>
          <w:p w14:paraId="08AC063C" w14:textId="77777777" w:rsidR="00476035" w:rsidRPr="007F453D" w:rsidRDefault="00476035" w:rsidP="00FD61B7">
            <w:pPr>
              <w:pStyle w:val="Tablehead"/>
            </w:pPr>
            <w:r w:rsidRPr="007F453D">
              <w:t>Frequency arrangements</w:t>
            </w:r>
          </w:p>
        </w:tc>
        <w:tc>
          <w:tcPr>
            <w:tcW w:w="5941" w:type="dxa"/>
            <w:gridSpan w:val="4"/>
            <w:vAlign w:val="center"/>
          </w:tcPr>
          <w:p w14:paraId="4A77E2DE"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74474BE4" w14:textId="77777777" w:rsidR="00476035" w:rsidRPr="007F453D" w:rsidRDefault="00476035" w:rsidP="00FD61B7">
            <w:pPr>
              <w:pStyle w:val="Tablehead"/>
            </w:pPr>
            <w:r w:rsidRPr="007F453D">
              <w:t xml:space="preserve">Un-paired arrangements </w:t>
            </w:r>
            <w:r w:rsidRPr="007F453D">
              <w:br/>
              <w:t>(TDD)</w:t>
            </w:r>
            <w:r w:rsidRPr="007F453D">
              <w:br/>
              <w:t>(MHz)</w:t>
            </w:r>
          </w:p>
        </w:tc>
      </w:tr>
      <w:tr w:rsidR="00476035" w:rsidRPr="007F453D" w14:paraId="3E808D02" w14:textId="77777777" w:rsidTr="00FD61B7">
        <w:trPr>
          <w:jc w:val="center"/>
        </w:trPr>
        <w:tc>
          <w:tcPr>
            <w:tcW w:w="1861" w:type="dxa"/>
            <w:vMerge/>
            <w:vAlign w:val="center"/>
          </w:tcPr>
          <w:p w14:paraId="5DF451C6" w14:textId="77777777" w:rsidR="00476035" w:rsidRPr="007F453D" w:rsidRDefault="00476035" w:rsidP="00FD61B7">
            <w:pPr>
              <w:keepNext/>
              <w:spacing w:before="80" w:after="80"/>
              <w:jc w:val="center"/>
              <w:rPr>
                <w:rFonts w:ascii="Times New Roman Bold" w:hAnsi="Times New Roman Bold" w:cs="Times New Roman Bold"/>
                <w:b/>
                <w:sz w:val="20"/>
              </w:rPr>
            </w:pPr>
          </w:p>
        </w:tc>
        <w:tc>
          <w:tcPr>
            <w:tcW w:w="1783" w:type="dxa"/>
            <w:vAlign w:val="center"/>
          </w:tcPr>
          <w:p w14:paraId="00F20282" w14:textId="77777777" w:rsidR="00476035" w:rsidRPr="007F453D" w:rsidRDefault="00476035" w:rsidP="00FD61B7">
            <w:pPr>
              <w:pStyle w:val="Tablehead"/>
            </w:pPr>
            <w:r w:rsidRPr="007F453D">
              <w:t>Mobile station transmitter</w:t>
            </w:r>
            <w:r w:rsidRPr="007F453D">
              <w:br/>
              <w:t>(MHz)</w:t>
            </w:r>
          </w:p>
        </w:tc>
        <w:tc>
          <w:tcPr>
            <w:tcW w:w="1336" w:type="dxa"/>
            <w:vAlign w:val="center"/>
          </w:tcPr>
          <w:p w14:paraId="5F56E614" w14:textId="77777777" w:rsidR="00476035" w:rsidRPr="007F453D" w:rsidRDefault="00476035" w:rsidP="00FD61B7">
            <w:pPr>
              <w:pStyle w:val="Tablehead"/>
            </w:pPr>
            <w:r w:rsidRPr="007F453D">
              <w:t>Centre gap</w:t>
            </w:r>
            <w:r w:rsidRPr="007F453D">
              <w:br/>
              <w:t>(MHz)</w:t>
            </w:r>
          </w:p>
        </w:tc>
        <w:tc>
          <w:tcPr>
            <w:tcW w:w="1545" w:type="dxa"/>
            <w:vAlign w:val="center"/>
          </w:tcPr>
          <w:p w14:paraId="23C57798" w14:textId="77777777" w:rsidR="00476035" w:rsidRPr="007F453D" w:rsidRDefault="00476035" w:rsidP="00FD61B7">
            <w:pPr>
              <w:pStyle w:val="Tablehead"/>
            </w:pPr>
            <w:r w:rsidRPr="007F453D">
              <w:t>Base station transmitter</w:t>
            </w:r>
            <w:r w:rsidRPr="007F453D">
              <w:br/>
              <w:t>(MHz)</w:t>
            </w:r>
          </w:p>
        </w:tc>
        <w:tc>
          <w:tcPr>
            <w:tcW w:w="1277" w:type="dxa"/>
            <w:vAlign w:val="center"/>
          </w:tcPr>
          <w:p w14:paraId="6989B77E" w14:textId="77777777" w:rsidR="00476035" w:rsidRPr="007F453D" w:rsidRDefault="00476035" w:rsidP="00FD61B7">
            <w:pPr>
              <w:pStyle w:val="Tablehead"/>
            </w:pPr>
            <w:r w:rsidRPr="007F453D">
              <w:t>Duplex separation</w:t>
            </w:r>
            <w:r w:rsidRPr="007F453D">
              <w:br/>
              <w:t>(MHz)</w:t>
            </w:r>
          </w:p>
        </w:tc>
        <w:tc>
          <w:tcPr>
            <w:tcW w:w="1837" w:type="dxa"/>
            <w:gridSpan w:val="2"/>
            <w:vMerge/>
            <w:vAlign w:val="center"/>
          </w:tcPr>
          <w:p w14:paraId="63513C3B"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25526A56" w14:textId="77777777" w:rsidTr="00FD61B7">
        <w:trPr>
          <w:gridAfter w:val="1"/>
          <w:wAfter w:w="8" w:type="dxa"/>
          <w:jc w:val="center"/>
        </w:trPr>
        <w:tc>
          <w:tcPr>
            <w:tcW w:w="1861" w:type="dxa"/>
          </w:tcPr>
          <w:p w14:paraId="64AE5CF1" w14:textId="77777777" w:rsidR="00476035" w:rsidRPr="007F453D" w:rsidRDefault="00476035" w:rsidP="00FD61B7">
            <w:pPr>
              <w:pStyle w:val="Tabletext"/>
              <w:jc w:val="center"/>
            </w:pPr>
            <w:r w:rsidRPr="007F453D">
              <w:t>F1</w:t>
            </w:r>
          </w:p>
        </w:tc>
        <w:tc>
          <w:tcPr>
            <w:tcW w:w="5941" w:type="dxa"/>
            <w:gridSpan w:val="4"/>
          </w:tcPr>
          <w:p w14:paraId="103073E1" w14:textId="77777777" w:rsidR="00476035" w:rsidRPr="007F453D" w:rsidRDefault="00476035" w:rsidP="00FD61B7">
            <w:pPr>
              <w:pStyle w:val="Tabletext"/>
              <w:jc w:val="center"/>
            </w:pPr>
            <w:r>
              <w:t>NOT APPLIED</w:t>
            </w:r>
          </w:p>
        </w:tc>
        <w:tc>
          <w:tcPr>
            <w:tcW w:w="1829" w:type="dxa"/>
          </w:tcPr>
          <w:p w14:paraId="2DDA288D" w14:textId="77777777" w:rsidR="00476035" w:rsidRPr="007F453D" w:rsidRDefault="00476035" w:rsidP="00FD61B7">
            <w:pPr>
              <w:pStyle w:val="Tabletext"/>
              <w:jc w:val="center"/>
            </w:pPr>
            <w:r w:rsidRPr="007F453D">
              <w:t>3 400-3 600</w:t>
            </w:r>
          </w:p>
        </w:tc>
      </w:tr>
      <w:tr w:rsidR="00476035" w:rsidRPr="007F453D" w14:paraId="552A7359" w14:textId="77777777" w:rsidTr="00FD61B7">
        <w:trPr>
          <w:gridAfter w:val="1"/>
          <w:wAfter w:w="8" w:type="dxa"/>
          <w:jc w:val="center"/>
        </w:trPr>
        <w:tc>
          <w:tcPr>
            <w:tcW w:w="1861" w:type="dxa"/>
          </w:tcPr>
          <w:p w14:paraId="65C63929" w14:textId="77777777" w:rsidR="00476035" w:rsidRPr="007F453D" w:rsidRDefault="00476035" w:rsidP="00FD61B7">
            <w:pPr>
              <w:pStyle w:val="Tabletext"/>
              <w:jc w:val="center"/>
            </w:pPr>
            <w:r w:rsidRPr="007F453D">
              <w:t>F2</w:t>
            </w:r>
          </w:p>
        </w:tc>
        <w:tc>
          <w:tcPr>
            <w:tcW w:w="1783" w:type="dxa"/>
          </w:tcPr>
          <w:p w14:paraId="008BC486" w14:textId="77777777" w:rsidR="00476035" w:rsidRPr="007F453D" w:rsidRDefault="00476035" w:rsidP="00FD61B7">
            <w:pPr>
              <w:pStyle w:val="Tabletext"/>
              <w:jc w:val="center"/>
            </w:pPr>
            <w:r w:rsidRPr="007F453D">
              <w:t>3 410-3 490</w:t>
            </w:r>
          </w:p>
        </w:tc>
        <w:tc>
          <w:tcPr>
            <w:tcW w:w="1336" w:type="dxa"/>
          </w:tcPr>
          <w:p w14:paraId="0CFEE801" w14:textId="77777777" w:rsidR="00476035" w:rsidRPr="007F453D" w:rsidRDefault="00476035" w:rsidP="00FD61B7">
            <w:pPr>
              <w:pStyle w:val="Tabletext"/>
              <w:jc w:val="center"/>
            </w:pPr>
            <w:r w:rsidRPr="007F453D">
              <w:t>20</w:t>
            </w:r>
          </w:p>
        </w:tc>
        <w:tc>
          <w:tcPr>
            <w:tcW w:w="1545" w:type="dxa"/>
          </w:tcPr>
          <w:p w14:paraId="2A171EFF" w14:textId="77777777" w:rsidR="00476035" w:rsidRPr="007F453D" w:rsidRDefault="00476035" w:rsidP="00FD61B7">
            <w:pPr>
              <w:pStyle w:val="Tabletext"/>
              <w:jc w:val="center"/>
            </w:pPr>
            <w:r w:rsidRPr="007F453D">
              <w:t>3 510-3 590</w:t>
            </w:r>
          </w:p>
        </w:tc>
        <w:tc>
          <w:tcPr>
            <w:tcW w:w="1277" w:type="dxa"/>
          </w:tcPr>
          <w:p w14:paraId="540CD731" w14:textId="77777777" w:rsidR="00476035" w:rsidRPr="007F453D" w:rsidRDefault="00476035" w:rsidP="00FD61B7">
            <w:pPr>
              <w:pStyle w:val="Tabletext"/>
              <w:jc w:val="center"/>
            </w:pPr>
            <w:r w:rsidRPr="007F453D">
              <w:t>100</w:t>
            </w:r>
          </w:p>
        </w:tc>
        <w:tc>
          <w:tcPr>
            <w:tcW w:w="1829" w:type="dxa"/>
          </w:tcPr>
          <w:p w14:paraId="0BA85DFD" w14:textId="77777777" w:rsidR="00476035" w:rsidRPr="007F453D" w:rsidRDefault="00476035" w:rsidP="00FD61B7">
            <w:pPr>
              <w:pStyle w:val="Tabletext"/>
              <w:jc w:val="center"/>
            </w:pPr>
            <w:r w:rsidRPr="007F453D">
              <w:t>None</w:t>
            </w:r>
          </w:p>
        </w:tc>
      </w:tr>
      <w:tr w:rsidR="00476035" w:rsidRPr="007F453D" w14:paraId="77B5455B" w14:textId="77777777" w:rsidTr="00FD61B7">
        <w:trPr>
          <w:gridAfter w:val="1"/>
          <w:wAfter w:w="8" w:type="dxa"/>
          <w:jc w:val="center"/>
        </w:trPr>
        <w:tc>
          <w:tcPr>
            <w:tcW w:w="1861" w:type="dxa"/>
          </w:tcPr>
          <w:p w14:paraId="5897FF43" w14:textId="77777777" w:rsidR="00476035" w:rsidRPr="007F453D" w:rsidRDefault="00476035" w:rsidP="00FD61B7">
            <w:pPr>
              <w:pStyle w:val="Tabletext"/>
              <w:jc w:val="center"/>
            </w:pPr>
            <w:r w:rsidRPr="007F453D">
              <w:t>F3</w:t>
            </w:r>
          </w:p>
        </w:tc>
        <w:tc>
          <w:tcPr>
            <w:tcW w:w="5941" w:type="dxa"/>
            <w:gridSpan w:val="4"/>
          </w:tcPr>
          <w:p w14:paraId="5A2896B0" w14:textId="77777777" w:rsidR="00476035" w:rsidRPr="007F453D" w:rsidRDefault="00476035" w:rsidP="00FD61B7">
            <w:pPr>
              <w:pStyle w:val="Tabletext"/>
              <w:jc w:val="center"/>
            </w:pPr>
            <w:r>
              <w:t>NOT APPLIED</w:t>
            </w:r>
          </w:p>
        </w:tc>
        <w:tc>
          <w:tcPr>
            <w:tcW w:w="1829" w:type="dxa"/>
          </w:tcPr>
          <w:p w14:paraId="6229C69C" w14:textId="77777777" w:rsidR="00476035" w:rsidRPr="007F453D" w:rsidRDefault="00476035" w:rsidP="00FD61B7">
            <w:pPr>
              <w:pStyle w:val="Tabletext"/>
              <w:jc w:val="center"/>
            </w:pPr>
            <w:r w:rsidRPr="007F453D">
              <w:t xml:space="preserve">3 300-3 </w:t>
            </w:r>
            <w:r>
              <w:t>8</w:t>
            </w:r>
            <w:r w:rsidRPr="007F453D">
              <w:t>00</w:t>
            </w:r>
          </w:p>
        </w:tc>
      </w:tr>
    </w:tbl>
    <w:p w14:paraId="0032A97A" w14:textId="77777777" w:rsidR="00476035" w:rsidRPr="007F453D" w:rsidRDefault="00476035" w:rsidP="00476035">
      <w:pPr>
        <w:pStyle w:val="Note"/>
        <w:keepNext/>
        <w:keepLines/>
        <w:rPr>
          <w:i/>
        </w:rPr>
      </w:pPr>
      <w:r w:rsidRPr="007F453D">
        <w:rPr>
          <w:i/>
        </w:rPr>
        <w:t>Note to Table 7:</w:t>
      </w:r>
    </w:p>
    <w:p w14:paraId="329C52B6" w14:textId="77777777" w:rsidR="00476035" w:rsidRPr="007F453D" w:rsidRDefault="00476035" w:rsidP="00476035">
      <w:pPr>
        <w:pStyle w:val="Note"/>
        <w:keepNext/>
        <w:keepLines/>
      </w:pPr>
      <w:r w:rsidRPr="007F453D">
        <w:rPr>
          <w:i/>
        </w:rPr>
        <w:t>Note 1:</w:t>
      </w:r>
      <w:r w:rsidRPr="007F453D">
        <w:t xml:space="preserve"> </w:t>
      </w:r>
      <w:r w:rsidRPr="00D167F3">
        <w:rPr>
          <w:szCs w:val="22"/>
        </w:rPr>
        <w:t>Frequency arrangement F3 could provide the possibility for administrations to implement IMT in the whole or parts of the bands identified in the RR (3 300-3 400 MHz, 3 400</w:t>
      </w:r>
      <w:r w:rsidRPr="00D167F3">
        <w:rPr>
          <w:szCs w:val="22"/>
        </w:rPr>
        <w:noBreakHyphen/>
        <w:t>3 600 MHz</w:t>
      </w:r>
      <w:r w:rsidRPr="00D167F3">
        <w:rPr>
          <w:szCs w:val="22"/>
          <w:lang w:eastAsia="zh-CN"/>
        </w:rPr>
        <w:t xml:space="preserve">, </w:t>
      </w:r>
      <w:r w:rsidRPr="00D167F3">
        <w:rPr>
          <w:szCs w:val="22"/>
        </w:rPr>
        <w:t>3 600-3 700 MHz</w:t>
      </w:r>
      <w:r>
        <w:rPr>
          <w:szCs w:val="22"/>
        </w:rPr>
        <w:t>,</w:t>
      </w:r>
      <w:r w:rsidRPr="00D167F3">
        <w:rPr>
          <w:szCs w:val="22"/>
        </w:rPr>
        <w:t xml:space="preserve"> 3</w:t>
      </w:r>
      <w:r w:rsidRPr="0063374E">
        <w:rPr>
          <w:szCs w:val="22"/>
        </w:rPr>
        <w:t> </w:t>
      </w:r>
      <w:r w:rsidRPr="00D167F3">
        <w:rPr>
          <w:szCs w:val="22"/>
        </w:rPr>
        <w:t>600</w:t>
      </w:r>
      <w:r w:rsidRPr="0063374E">
        <w:rPr>
          <w:szCs w:val="22"/>
        </w:rPr>
        <w:t>-</w:t>
      </w:r>
      <w:r w:rsidRPr="00D167F3">
        <w:rPr>
          <w:szCs w:val="22"/>
        </w:rPr>
        <w:t xml:space="preserve">3 800 MHz </w:t>
      </w:r>
      <w:r w:rsidRPr="00D167F3">
        <w:rPr>
          <w:szCs w:val="22"/>
          <w:lang w:eastAsia="zh-CN"/>
        </w:rPr>
        <w:t>a</w:t>
      </w:r>
      <w:r w:rsidRPr="00D167F3">
        <w:rPr>
          <w:szCs w:val="22"/>
        </w:rPr>
        <w:t>nd 3 700-3 800 MHz), with any possible frequency separation, if required, taking into account the use of the bands by other services and applications. The frequency arrangement F1 is harmonized with F3. This frequency arrangement F1 has been retained as it has been implemented by some administrations before F3 was developed.</w:t>
      </w:r>
    </w:p>
    <w:p w14:paraId="321DDC19" w14:textId="77777777" w:rsidR="00476035" w:rsidRPr="007F453D" w:rsidRDefault="00476035" w:rsidP="00476035">
      <w:pPr>
        <w:pStyle w:val="FigureNo"/>
        <w:rPr>
          <w:rFonts w:eastAsia="Batang"/>
          <w:lang w:eastAsia="fr-FR"/>
        </w:rPr>
      </w:pPr>
      <w:r w:rsidRPr="007F453D">
        <w:rPr>
          <w:rFonts w:eastAsia="Batang"/>
        </w:rPr>
        <w:t>FIGURE</w:t>
      </w:r>
      <w:r w:rsidRPr="007F453D">
        <w:rPr>
          <w:rFonts w:eastAsia="Batang"/>
          <w:lang w:eastAsia="fr-FR"/>
        </w:rPr>
        <w:t xml:space="preserve"> 8</w:t>
      </w:r>
    </w:p>
    <w:p w14:paraId="3E9173FD" w14:textId="45244CB7" w:rsidR="00476035" w:rsidRPr="007F453D" w:rsidRDefault="00476035" w:rsidP="00476035">
      <w:pPr>
        <w:pStyle w:val="Figuretitle"/>
        <w:rPr>
          <w:lang w:eastAsia="fr-FR"/>
        </w:rPr>
      </w:pPr>
      <w:r w:rsidRPr="007F453D">
        <w:t>Frequency arrangements F1 to F3</w:t>
      </w:r>
      <w:r w:rsidR="00591EF6">
        <w:t xml:space="preserve"> </w:t>
      </w:r>
      <w:r w:rsidRPr="007F453D">
        <w:t>(see Note to Table 7)</w:t>
      </w:r>
    </w:p>
    <w:p w14:paraId="6D1B80A2" w14:textId="6FC9D798" w:rsidR="00476035" w:rsidRPr="007F453D" w:rsidRDefault="008B6E45" w:rsidP="00476035">
      <w:pPr>
        <w:pStyle w:val="Figure"/>
      </w:pPr>
      <w:r>
        <w:rPr>
          <w:noProof/>
        </w:rPr>
        <w:drawing>
          <wp:inline distT="0" distB="0" distL="0" distR="0" wp14:anchorId="2D60DEAD" wp14:editId="477578FE">
            <wp:extent cx="5733300" cy="3194310"/>
            <wp:effectExtent l="0" t="0" r="1270" b="6350"/>
            <wp:docPr id="1160948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4846" name="Picture 1">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733300" cy="3194310"/>
                    </a:xfrm>
                    <a:prstGeom prst="rect">
                      <a:avLst/>
                    </a:prstGeom>
                  </pic:spPr>
                </pic:pic>
              </a:graphicData>
            </a:graphic>
          </wp:inline>
        </w:drawing>
      </w:r>
    </w:p>
    <w:p w14:paraId="74026675" w14:textId="77777777" w:rsidR="00476035" w:rsidRDefault="00476035" w:rsidP="00476035">
      <w:pPr>
        <w:tabs>
          <w:tab w:val="clear" w:pos="794"/>
          <w:tab w:val="clear" w:pos="1191"/>
          <w:tab w:val="clear" w:pos="1588"/>
          <w:tab w:val="clear" w:pos="1985"/>
        </w:tabs>
        <w:overflowPunct/>
        <w:autoSpaceDE/>
        <w:autoSpaceDN/>
        <w:adjustRightInd/>
        <w:spacing w:before="0"/>
        <w:jc w:val="left"/>
        <w:textAlignment w:val="auto"/>
      </w:pPr>
      <w:r>
        <w:br w:type="page"/>
      </w:r>
    </w:p>
    <w:p w14:paraId="1B2185DA" w14:textId="77777777" w:rsidR="00476035" w:rsidRPr="00E81BE4" w:rsidRDefault="00476035" w:rsidP="00476035">
      <w:pPr>
        <w:pStyle w:val="StyleSectionNo14ptCenteredBefore24pt"/>
        <w:rPr>
          <w:szCs w:val="28"/>
          <w:lang w:eastAsia="zh-CN"/>
        </w:rPr>
      </w:pPr>
      <w:bookmarkStart w:id="29" w:name="_Toc224135072"/>
      <w:r w:rsidRPr="00E81BE4">
        <w:rPr>
          <w:szCs w:val="28"/>
        </w:rPr>
        <w:lastRenderedPageBreak/>
        <w:t>SECTION 9</w:t>
      </w:r>
      <w:bookmarkEnd w:id="29"/>
    </w:p>
    <w:p w14:paraId="7018ACAC" w14:textId="77777777" w:rsidR="00476035" w:rsidRPr="007F453D" w:rsidRDefault="00476035" w:rsidP="00476035">
      <w:pPr>
        <w:pStyle w:val="Sectiontitle"/>
      </w:pPr>
      <w:bookmarkStart w:id="30" w:name="_Toc224135073"/>
      <w:r w:rsidRPr="007F453D">
        <w:t>Frequency arrangements in the band 4 800-4 990 MHz</w:t>
      </w:r>
      <w:bookmarkEnd w:id="30"/>
    </w:p>
    <w:p w14:paraId="7DA53053" w14:textId="77777777" w:rsidR="00476035" w:rsidRPr="007F453D" w:rsidRDefault="00476035" w:rsidP="00476035">
      <w:pPr>
        <w:pStyle w:val="Normalaftertitle"/>
      </w:pPr>
      <w:r w:rsidRPr="007F453D">
        <w:t>The recommended frequency arrangements for implementation of IMT in the band 4 800</w:t>
      </w:r>
      <w:r w:rsidRPr="007F453D">
        <w:noBreakHyphen/>
        <w:t>4 990 MHz are summarized in Table 8 and in Fig. 9, noting the implementation aspects in Section 1 above.</w:t>
      </w:r>
    </w:p>
    <w:p w14:paraId="453BEB72" w14:textId="77777777" w:rsidR="00476035" w:rsidRPr="007F453D" w:rsidRDefault="00476035" w:rsidP="00476035">
      <w:pPr>
        <w:pStyle w:val="TableNo"/>
      </w:pPr>
      <w:r w:rsidRPr="007F453D">
        <w:t>TABLE 8</w:t>
      </w:r>
    </w:p>
    <w:p w14:paraId="26C441AB" w14:textId="77777777" w:rsidR="00476035" w:rsidRPr="007F453D" w:rsidRDefault="00476035" w:rsidP="00476035">
      <w:pPr>
        <w:pStyle w:val="Tabletitle"/>
      </w:pPr>
      <w:r w:rsidRPr="007F453D">
        <w:t>Frequency arrangements in the 4 800-4 990 MHz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692702C5" w14:textId="77777777" w:rsidTr="00FD61B7">
        <w:trPr>
          <w:jc w:val="center"/>
        </w:trPr>
        <w:tc>
          <w:tcPr>
            <w:tcW w:w="1861" w:type="dxa"/>
            <w:vMerge w:val="restart"/>
            <w:vAlign w:val="center"/>
          </w:tcPr>
          <w:p w14:paraId="5217FB03" w14:textId="77777777" w:rsidR="00476035" w:rsidRPr="007F453D" w:rsidRDefault="00476035" w:rsidP="00FD61B7">
            <w:pPr>
              <w:pStyle w:val="Tablehead"/>
            </w:pPr>
            <w:r w:rsidRPr="007F453D">
              <w:t>Frequency arrangements</w:t>
            </w:r>
          </w:p>
        </w:tc>
        <w:tc>
          <w:tcPr>
            <w:tcW w:w="5941" w:type="dxa"/>
            <w:gridSpan w:val="4"/>
            <w:vAlign w:val="center"/>
          </w:tcPr>
          <w:p w14:paraId="7D057D46"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56A3E8CE" w14:textId="77777777" w:rsidR="00476035" w:rsidRPr="007F453D" w:rsidRDefault="00476035" w:rsidP="00FD61B7">
            <w:pPr>
              <w:pStyle w:val="Tablehead"/>
            </w:pPr>
            <w:r w:rsidRPr="007F453D">
              <w:t xml:space="preserve">Un-paired arrangements </w:t>
            </w:r>
            <w:r w:rsidRPr="007F453D">
              <w:br/>
              <w:t>(TDD)</w:t>
            </w:r>
            <w:r w:rsidRPr="007F453D">
              <w:br/>
              <w:t>(MHz)</w:t>
            </w:r>
          </w:p>
        </w:tc>
      </w:tr>
      <w:tr w:rsidR="00476035" w:rsidRPr="007F453D" w14:paraId="448F8872" w14:textId="77777777" w:rsidTr="00FD61B7">
        <w:trPr>
          <w:jc w:val="center"/>
        </w:trPr>
        <w:tc>
          <w:tcPr>
            <w:tcW w:w="1861" w:type="dxa"/>
            <w:vMerge/>
            <w:vAlign w:val="center"/>
          </w:tcPr>
          <w:p w14:paraId="18A23AE7" w14:textId="77777777" w:rsidR="00476035" w:rsidRPr="007F453D" w:rsidRDefault="00476035" w:rsidP="00FD61B7">
            <w:pPr>
              <w:keepNext/>
              <w:spacing w:before="80" w:after="80"/>
              <w:jc w:val="center"/>
              <w:rPr>
                <w:rFonts w:ascii="Times New Roman Bold" w:hAnsi="Times New Roman Bold" w:cs="Times New Roman Bold"/>
                <w:b/>
                <w:sz w:val="20"/>
              </w:rPr>
            </w:pPr>
          </w:p>
        </w:tc>
        <w:tc>
          <w:tcPr>
            <w:tcW w:w="1783" w:type="dxa"/>
            <w:vAlign w:val="center"/>
          </w:tcPr>
          <w:p w14:paraId="22BA62A6" w14:textId="77777777" w:rsidR="00476035" w:rsidRPr="007F453D" w:rsidRDefault="00476035" w:rsidP="00FD61B7">
            <w:pPr>
              <w:pStyle w:val="Tablehead"/>
            </w:pPr>
            <w:r w:rsidRPr="007F453D">
              <w:t>Mobile station transmitter</w:t>
            </w:r>
            <w:r w:rsidRPr="007F453D">
              <w:br/>
              <w:t>(MHz)</w:t>
            </w:r>
          </w:p>
        </w:tc>
        <w:tc>
          <w:tcPr>
            <w:tcW w:w="1336" w:type="dxa"/>
            <w:vAlign w:val="center"/>
          </w:tcPr>
          <w:p w14:paraId="63672CA8" w14:textId="77777777" w:rsidR="00476035" w:rsidRPr="007F453D" w:rsidRDefault="00476035" w:rsidP="00FD61B7">
            <w:pPr>
              <w:pStyle w:val="Tablehead"/>
            </w:pPr>
            <w:r w:rsidRPr="007F453D">
              <w:t>Centre gap</w:t>
            </w:r>
            <w:r w:rsidRPr="007F453D">
              <w:br/>
              <w:t>(MHz)</w:t>
            </w:r>
          </w:p>
        </w:tc>
        <w:tc>
          <w:tcPr>
            <w:tcW w:w="1545" w:type="dxa"/>
            <w:vAlign w:val="center"/>
          </w:tcPr>
          <w:p w14:paraId="08290546" w14:textId="77777777" w:rsidR="00476035" w:rsidRPr="007F453D" w:rsidRDefault="00476035" w:rsidP="00FD61B7">
            <w:pPr>
              <w:pStyle w:val="Tablehead"/>
            </w:pPr>
            <w:r w:rsidRPr="007F453D">
              <w:t>Base station transmitter</w:t>
            </w:r>
            <w:r w:rsidRPr="007F453D">
              <w:br/>
              <w:t>(MHz)</w:t>
            </w:r>
          </w:p>
        </w:tc>
        <w:tc>
          <w:tcPr>
            <w:tcW w:w="1277" w:type="dxa"/>
            <w:vAlign w:val="center"/>
          </w:tcPr>
          <w:p w14:paraId="28BBF28C" w14:textId="77777777" w:rsidR="00476035" w:rsidRPr="007F453D" w:rsidRDefault="00476035" w:rsidP="00FD61B7">
            <w:pPr>
              <w:pStyle w:val="Tablehead"/>
            </w:pPr>
            <w:r w:rsidRPr="007F453D">
              <w:t>Duplex separation</w:t>
            </w:r>
            <w:r w:rsidRPr="007F453D">
              <w:br/>
              <w:t>(MHz)</w:t>
            </w:r>
          </w:p>
        </w:tc>
        <w:tc>
          <w:tcPr>
            <w:tcW w:w="1837" w:type="dxa"/>
            <w:gridSpan w:val="2"/>
            <w:vMerge/>
            <w:vAlign w:val="center"/>
          </w:tcPr>
          <w:p w14:paraId="4D54AD77"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35A5D83D" w14:textId="77777777" w:rsidTr="00FD61B7">
        <w:trPr>
          <w:gridAfter w:val="1"/>
          <w:wAfter w:w="8" w:type="dxa"/>
          <w:jc w:val="center"/>
        </w:trPr>
        <w:tc>
          <w:tcPr>
            <w:tcW w:w="1861" w:type="dxa"/>
          </w:tcPr>
          <w:p w14:paraId="51724B90" w14:textId="77777777" w:rsidR="00476035" w:rsidRPr="007F453D" w:rsidRDefault="00476035" w:rsidP="00FD61B7">
            <w:pPr>
              <w:pStyle w:val="Tabletext"/>
              <w:jc w:val="center"/>
            </w:pPr>
            <w:r w:rsidRPr="007F453D">
              <w:rPr>
                <w:lang w:eastAsia="zh-CN"/>
              </w:rPr>
              <w:t>H</w:t>
            </w:r>
            <w:r w:rsidRPr="007F453D">
              <w:t>1</w:t>
            </w:r>
          </w:p>
        </w:tc>
        <w:tc>
          <w:tcPr>
            <w:tcW w:w="5941" w:type="dxa"/>
            <w:gridSpan w:val="4"/>
          </w:tcPr>
          <w:p w14:paraId="28C9BE76" w14:textId="77777777" w:rsidR="00476035" w:rsidRPr="007F453D" w:rsidRDefault="00476035" w:rsidP="00FD61B7">
            <w:pPr>
              <w:pStyle w:val="Tabletext"/>
              <w:jc w:val="center"/>
            </w:pPr>
            <w:r>
              <w:t>NOT APPLIED</w:t>
            </w:r>
          </w:p>
        </w:tc>
        <w:tc>
          <w:tcPr>
            <w:tcW w:w="1829" w:type="dxa"/>
          </w:tcPr>
          <w:p w14:paraId="5E9C84F7" w14:textId="77777777" w:rsidR="00476035" w:rsidRPr="007F453D" w:rsidRDefault="00476035" w:rsidP="00FD61B7">
            <w:pPr>
              <w:pStyle w:val="Tabletext"/>
              <w:jc w:val="center"/>
            </w:pPr>
            <w:r w:rsidRPr="007F453D">
              <w:rPr>
                <w:lang w:eastAsia="zh-CN"/>
              </w:rPr>
              <w:t>4</w:t>
            </w:r>
            <w:r w:rsidRPr="007F453D">
              <w:t xml:space="preserve"> </w:t>
            </w:r>
            <w:r w:rsidRPr="007F453D">
              <w:rPr>
                <w:lang w:eastAsia="zh-CN"/>
              </w:rPr>
              <w:t>8</w:t>
            </w:r>
            <w:r w:rsidRPr="007F453D">
              <w:t>00-</w:t>
            </w:r>
            <w:r w:rsidRPr="007F453D">
              <w:rPr>
                <w:lang w:eastAsia="zh-CN"/>
              </w:rPr>
              <w:t>4</w:t>
            </w:r>
            <w:r w:rsidRPr="007F453D">
              <w:t> </w:t>
            </w:r>
            <w:r w:rsidRPr="007F453D">
              <w:rPr>
                <w:lang w:eastAsia="zh-CN"/>
              </w:rPr>
              <w:t>99</w:t>
            </w:r>
            <w:r w:rsidRPr="007F453D">
              <w:t>0</w:t>
            </w:r>
          </w:p>
        </w:tc>
      </w:tr>
    </w:tbl>
    <w:p w14:paraId="36657434" w14:textId="77777777" w:rsidR="00476035" w:rsidRPr="007F453D" w:rsidRDefault="00476035" w:rsidP="00476035">
      <w:pPr>
        <w:pStyle w:val="Tablefin"/>
      </w:pPr>
    </w:p>
    <w:p w14:paraId="6D27B2C6" w14:textId="77777777" w:rsidR="00476035" w:rsidRPr="007F453D" w:rsidRDefault="00476035" w:rsidP="00476035">
      <w:pPr>
        <w:pStyle w:val="FigureNo"/>
        <w:rPr>
          <w:rFonts w:eastAsia="Batang"/>
          <w:lang w:eastAsia="fr-FR"/>
        </w:rPr>
      </w:pPr>
      <w:r w:rsidRPr="007F453D">
        <w:rPr>
          <w:rFonts w:eastAsia="Batang"/>
          <w:lang w:eastAsia="fr-FR"/>
        </w:rPr>
        <w:t>FIGURE 9</w:t>
      </w:r>
    </w:p>
    <w:p w14:paraId="27024580" w14:textId="77777777" w:rsidR="00476035" w:rsidRPr="007F453D" w:rsidRDefault="00476035" w:rsidP="00476035">
      <w:pPr>
        <w:pStyle w:val="Figuretitle"/>
        <w:rPr>
          <w:rFonts w:eastAsia="Batang"/>
          <w:lang w:eastAsia="fr-FR"/>
        </w:rPr>
      </w:pPr>
      <w:r w:rsidRPr="007F453D">
        <w:rPr>
          <w:rFonts w:eastAsia="Batang"/>
          <w:lang w:eastAsia="fr-FR"/>
        </w:rPr>
        <w:t>Frequency arrangement H1</w:t>
      </w:r>
    </w:p>
    <w:p w14:paraId="1D3104D0" w14:textId="10091725" w:rsidR="00476035" w:rsidRPr="007F453D" w:rsidRDefault="00647E39" w:rsidP="00476035">
      <w:pPr>
        <w:pStyle w:val="Figure"/>
      </w:pPr>
      <w:r>
        <w:rPr>
          <w:noProof/>
        </w:rPr>
        <w:drawing>
          <wp:inline distT="0" distB="0" distL="0" distR="0" wp14:anchorId="47C9B019" wp14:editId="372B58DA">
            <wp:extent cx="5431547" cy="1520955"/>
            <wp:effectExtent l="0" t="0" r="0" b="3175"/>
            <wp:docPr id="10590765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7655" name="Picture 8">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7C9253B6" w14:textId="77777777" w:rsidR="00476035" w:rsidRPr="007F453D" w:rsidRDefault="00476035" w:rsidP="00476035"/>
    <w:p w14:paraId="14A25725" w14:textId="77777777" w:rsidR="00476035" w:rsidRPr="007F453D" w:rsidRDefault="00476035" w:rsidP="00476035">
      <w:pPr>
        <w:overflowPunct/>
        <w:autoSpaceDE/>
        <w:autoSpaceDN/>
        <w:adjustRightInd/>
        <w:spacing w:before="0"/>
        <w:textAlignment w:val="auto"/>
        <w:rPr>
          <w:caps/>
          <w:sz w:val="28"/>
        </w:rPr>
      </w:pPr>
      <w:r w:rsidRPr="007F453D">
        <w:rPr>
          <w:caps/>
          <w:sz w:val="28"/>
        </w:rPr>
        <w:br w:type="page"/>
      </w:r>
    </w:p>
    <w:p w14:paraId="32F5DAD1" w14:textId="77777777" w:rsidR="00476035" w:rsidRPr="00591EF6" w:rsidRDefault="00476035" w:rsidP="00591EF6">
      <w:pPr>
        <w:pStyle w:val="StyleSectionNo14ptCenteredBefore24pt"/>
        <w:rPr>
          <w:szCs w:val="28"/>
          <w:lang w:eastAsia="zh-CN"/>
        </w:rPr>
      </w:pPr>
      <w:bookmarkStart w:id="31" w:name="_Toc224135074"/>
      <w:r w:rsidRPr="00591EF6">
        <w:rPr>
          <w:szCs w:val="28"/>
          <w:lang w:eastAsia="zh-CN"/>
        </w:rPr>
        <w:lastRenderedPageBreak/>
        <w:t>SECTION 10</w:t>
      </w:r>
      <w:bookmarkEnd w:id="31"/>
    </w:p>
    <w:p w14:paraId="1CD85C7E" w14:textId="77777777" w:rsidR="00476035" w:rsidRPr="00A146BF" w:rsidRDefault="00476035" w:rsidP="00591EF6">
      <w:pPr>
        <w:pStyle w:val="Sectiontitle"/>
      </w:pPr>
      <w:bookmarkStart w:id="32" w:name="_Toc224135075"/>
      <w:r w:rsidRPr="00A146BF">
        <w:t>Frequency arrangements in the 6 425-7 125 MHz frequency range</w:t>
      </w:r>
      <w:bookmarkEnd w:id="32"/>
    </w:p>
    <w:p w14:paraId="33611C13" w14:textId="3B191A6F" w:rsidR="00476035" w:rsidRPr="00A146BF" w:rsidRDefault="00476035" w:rsidP="00591EF6">
      <w:pPr>
        <w:pStyle w:val="Normalaftertitle"/>
        <w:rPr>
          <w:lang w:eastAsia="zh-CN"/>
        </w:rPr>
      </w:pPr>
      <w:r w:rsidRPr="00A146BF">
        <w:t>The recommended frequency arrangements for implementation of IMT in the 6</w:t>
      </w:r>
      <w:r w:rsidR="00EC50F2">
        <w:t> </w:t>
      </w:r>
      <w:r w:rsidRPr="00A146BF">
        <w:t>425-7</w:t>
      </w:r>
      <w:r w:rsidR="00EC50F2">
        <w:t> </w:t>
      </w:r>
      <w:r w:rsidRPr="00A146BF">
        <w:t>125 MHz frequency range are summarized in Table 9 and in Fig. 10</w:t>
      </w:r>
      <w:r w:rsidRPr="00A146BF">
        <w:rPr>
          <w:bCs/>
        </w:rPr>
        <w:t>,</w:t>
      </w:r>
      <w:r w:rsidRPr="00A146BF">
        <w:t xml:space="preserve"> noting the implementation aspects in Section 1 above.</w:t>
      </w:r>
    </w:p>
    <w:p w14:paraId="2F7ED7A0" w14:textId="77777777" w:rsidR="00476035" w:rsidRPr="00A146BF" w:rsidRDefault="00476035" w:rsidP="00591EF6">
      <w:pPr>
        <w:pStyle w:val="TableNo"/>
      </w:pPr>
      <w:r w:rsidRPr="00A146BF">
        <w:t>TABLE 9</w:t>
      </w:r>
    </w:p>
    <w:p w14:paraId="3022DCFC" w14:textId="77777777" w:rsidR="00476035" w:rsidRPr="00A146BF" w:rsidRDefault="00476035" w:rsidP="00591EF6">
      <w:pPr>
        <w:pStyle w:val="Tabletitle"/>
        <w:rPr>
          <w:caps/>
        </w:rPr>
      </w:pPr>
      <w:r w:rsidRPr="00A146BF">
        <w:t>Frequency arrangements in the 6 425-7 125 MHz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A146BF" w14:paraId="4694DECB" w14:textId="77777777" w:rsidTr="00FD61B7">
        <w:trPr>
          <w:jc w:val="center"/>
        </w:trPr>
        <w:tc>
          <w:tcPr>
            <w:tcW w:w="1861" w:type="dxa"/>
            <w:vMerge w:val="restart"/>
            <w:vAlign w:val="center"/>
          </w:tcPr>
          <w:p w14:paraId="44846A71" w14:textId="77777777" w:rsidR="00476035" w:rsidRPr="006114D0" w:rsidRDefault="00476035" w:rsidP="006114D0">
            <w:pPr>
              <w:pStyle w:val="Tablehead"/>
            </w:pPr>
            <w:r w:rsidRPr="006114D0">
              <w:t>Frequency arrangements</w:t>
            </w:r>
          </w:p>
        </w:tc>
        <w:tc>
          <w:tcPr>
            <w:tcW w:w="5941" w:type="dxa"/>
            <w:gridSpan w:val="4"/>
            <w:vAlign w:val="center"/>
          </w:tcPr>
          <w:p w14:paraId="26F4420D" w14:textId="77777777" w:rsidR="00476035" w:rsidRPr="006114D0" w:rsidRDefault="00476035" w:rsidP="006114D0">
            <w:pPr>
              <w:pStyle w:val="Tablehead"/>
            </w:pPr>
            <w:r w:rsidRPr="006114D0">
              <w:t>Paired arrangements (FDD)</w:t>
            </w:r>
          </w:p>
        </w:tc>
        <w:tc>
          <w:tcPr>
            <w:tcW w:w="1837" w:type="dxa"/>
            <w:gridSpan w:val="2"/>
            <w:vMerge w:val="restart"/>
            <w:vAlign w:val="center"/>
          </w:tcPr>
          <w:p w14:paraId="0396ADC4" w14:textId="77777777" w:rsidR="00476035" w:rsidRPr="00A146BF" w:rsidRDefault="00476035" w:rsidP="006114D0">
            <w:pPr>
              <w:pStyle w:val="Tablehead"/>
              <w:rPr>
                <w:rFonts w:ascii="Times New Roman Bold" w:hAnsi="Times New Roman Bold" w:cs="Times New Roman Bold"/>
                <w:b w:val="0"/>
                <w:sz w:val="20"/>
              </w:rPr>
            </w:pPr>
            <w:r w:rsidRPr="006114D0">
              <w:t xml:space="preserve">Un-paired arrangements </w:t>
            </w:r>
            <w:r w:rsidRPr="006114D0">
              <w:br/>
              <w:t>(TDD)</w:t>
            </w:r>
            <w:r w:rsidRPr="006114D0">
              <w:br/>
              <w:t>(MHz)</w:t>
            </w:r>
          </w:p>
        </w:tc>
      </w:tr>
      <w:tr w:rsidR="00476035" w:rsidRPr="00A146BF" w14:paraId="5F5A05E7" w14:textId="77777777" w:rsidTr="00FD61B7">
        <w:trPr>
          <w:jc w:val="center"/>
        </w:trPr>
        <w:tc>
          <w:tcPr>
            <w:tcW w:w="1861" w:type="dxa"/>
            <w:vMerge/>
            <w:vAlign w:val="center"/>
          </w:tcPr>
          <w:p w14:paraId="5833DA20" w14:textId="77777777" w:rsidR="00476035" w:rsidRPr="006114D0" w:rsidRDefault="00476035" w:rsidP="006114D0">
            <w:pPr>
              <w:pStyle w:val="Tablehead"/>
            </w:pPr>
          </w:p>
        </w:tc>
        <w:tc>
          <w:tcPr>
            <w:tcW w:w="1783" w:type="dxa"/>
            <w:vAlign w:val="center"/>
          </w:tcPr>
          <w:p w14:paraId="5843E94C" w14:textId="77777777" w:rsidR="00476035" w:rsidRPr="006114D0" w:rsidRDefault="00476035" w:rsidP="006114D0">
            <w:pPr>
              <w:pStyle w:val="Tablehead"/>
            </w:pPr>
            <w:r w:rsidRPr="006114D0">
              <w:t>Mobile station transmitter</w:t>
            </w:r>
            <w:r w:rsidRPr="006114D0">
              <w:br/>
              <w:t>(MHz)</w:t>
            </w:r>
          </w:p>
        </w:tc>
        <w:tc>
          <w:tcPr>
            <w:tcW w:w="1336" w:type="dxa"/>
            <w:vAlign w:val="center"/>
          </w:tcPr>
          <w:p w14:paraId="4059E320" w14:textId="77777777" w:rsidR="00476035" w:rsidRPr="006114D0" w:rsidRDefault="00476035" w:rsidP="006114D0">
            <w:pPr>
              <w:pStyle w:val="Tablehead"/>
            </w:pPr>
            <w:r w:rsidRPr="006114D0">
              <w:t>Centre gap</w:t>
            </w:r>
            <w:r w:rsidRPr="006114D0">
              <w:br/>
              <w:t>(MHz)</w:t>
            </w:r>
          </w:p>
        </w:tc>
        <w:tc>
          <w:tcPr>
            <w:tcW w:w="1545" w:type="dxa"/>
            <w:vAlign w:val="center"/>
          </w:tcPr>
          <w:p w14:paraId="536B0649" w14:textId="77777777" w:rsidR="00476035" w:rsidRPr="006114D0" w:rsidRDefault="00476035" w:rsidP="006114D0">
            <w:pPr>
              <w:pStyle w:val="Tablehead"/>
            </w:pPr>
            <w:r w:rsidRPr="006114D0">
              <w:t>Base station transmitter</w:t>
            </w:r>
            <w:r w:rsidRPr="006114D0">
              <w:br/>
              <w:t>(MHz)</w:t>
            </w:r>
          </w:p>
        </w:tc>
        <w:tc>
          <w:tcPr>
            <w:tcW w:w="1277" w:type="dxa"/>
            <w:vAlign w:val="center"/>
          </w:tcPr>
          <w:p w14:paraId="4BDCF92F" w14:textId="77777777" w:rsidR="00476035" w:rsidRPr="006114D0" w:rsidRDefault="00476035" w:rsidP="006114D0">
            <w:pPr>
              <w:pStyle w:val="Tablehead"/>
            </w:pPr>
            <w:r w:rsidRPr="006114D0">
              <w:t>Duplex separation</w:t>
            </w:r>
            <w:r w:rsidRPr="006114D0">
              <w:br/>
              <w:t>(MHz)</w:t>
            </w:r>
          </w:p>
        </w:tc>
        <w:tc>
          <w:tcPr>
            <w:tcW w:w="1837" w:type="dxa"/>
            <w:gridSpan w:val="2"/>
            <w:vMerge/>
            <w:vAlign w:val="center"/>
          </w:tcPr>
          <w:p w14:paraId="775051AB" w14:textId="77777777" w:rsidR="00476035" w:rsidRPr="00A146BF"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476035" w:rsidRPr="00A146BF" w14:paraId="3FE24AEE" w14:textId="77777777" w:rsidTr="00591EF6">
        <w:trPr>
          <w:gridAfter w:val="1"/>
          <w:wAfter w:w="8" w:type="dxa"/>
          <w:jc w:val="center"/>
        </w:trPr>
        <w:tc>
          <w:tcPr>
            <w:tcW w:w="1861" w:type="dxa"/>
            <w:tcBorders>
              <w:bottom w:val="single" w:sz="4" w:space="0" w:color="auto"/>
            </w:tcBorders>
          </w:tcPr>
          <w:p w14:paraId="1BA167A1" w14:textId="77777777" w:rsidR="00476035" w:rsidRPr="006114D0" w:rsidRDefault="00476035" w:rsidP="006114D0">
            <w:pPr>
              <w:pStyle w:val="Tabletext"/>
              <w:jc w:val="center"/>
            </w:pPr>
            <w:r w:rsidRPr="006114D0">
              <w:t>N1</w:t>
            </w:r>
          </w:p>
        </w:tc>
        <w:tc>
          <w:tcPr>
            <w:tcW w:w="5941" w:type="dxa"/>
            <w:gridSpan w:val="4"/>
            <w:tcBorders>
              <w:bottom w:val="single" w:sz="4" w:space="0" w:color="auto"/>
            </w:tcBorders>
          </w:tcPr>
          <w:p w14:paraId="1A1156DE" w14:textId="77777777" w:rsidR="00476035" w:rsidRPr="006114D0" w:rsidRDefault="00476035" w:rsidP="006114D0">
            <w:pPr>
              <w:pStyle w:val="Tabletext"/>
              <w:jc w:val="center"/>
            </w:pPr>
            <w:r w:rsidRPr="006114D0">
              <w:t>NOT APPLIED</w:t>
            </w:r>
          </w:p>
        </w:tc>
        <w:tc>
          <w:tcPr>
            <w:tcW w:w="1829" w:type="dxa"/>
            <w:tcBorders>
              <w:bottom w:val="single" w:sz="4" w:space="0" w:color="auto"/>
            </w:tcBorders>
          </w:tcPr>
          <w:p w14:paraId="263E5226" w14:textId="77777777" w:rsidR="00476035" w:rsidRPr="006114D0" w:rsidRDefault="00476035" w:rsidP="006114D0">
            <w:pPr>
              <w:pStyle w:val="Tabletext"/>
              <w:jc w:val="center"/>
            </w:pPr>
            <w:r w:rsidRPr="006114D0">
              <w:t>6 425-7 125</w:t>
            </w:r>
          </w:p>
        </w:tc>
      </w:tr>
    </w:tbl>
    <w:p w14:paraId="67615F1B" w14:textId="77777777" w:rsidR="00476035" w:rsidRPr="006114D0" w:rsidRDefault="00476035" w:rsidP="006114D0">
      <w:pPr>
        <w:pStyle w:val="Note"/>
        <w:rPr>
          <w:i/>
          <w:iCs/>
        </w:rPr>
      </w:pPr>
      <w:r w:rsidRPr="006114D0">
        <w:rPr>
          <w:i/>
          <w:iCs/>
        </w:rPr>
        <w:t>Notes to Table 9:</w:t>
      </w:r>
    </w:p>
    <w:p w14:paraId="1D8A7610" w14:textId="77777777" w:rsidR="00476035" w:rsidRPr="00A146BF" w:rsidRDefault="00476035" w:rsidP="006114D0">
      <w:pPr>
        <w:pStyle w:val="Note"/>
        <w:rPr>
          <w:szCs w:val="22"/>
        </w:rPr>
      </w:pPr>
      <w:r w:rsidRPr="006114D0">
        <w:rPr>
          <w:i/>
          <w:iCs/>
          <w:szCs w:val="22"/>
        </w:rPr>
        <w:t>Note 1:</w:t>
      </w:r>
      <w:r w:rsidRPr="00A146BF">
        <w:rPr>
          <w:szCs w:val="22"/>
        </w:rPr>
        <w:t xml:space="preserve"> Only TDD arrangements are recommended in this band.</w:t>
      </w:r>
    </w:p>
    <w:p w14:paraId="63E002D3" w14:textId="119EFDDA" w:rsidR="00476035" w:rsidRPr="00A146BF" w:rsidRDefault="00476035" w:rsidP="006114D0">
      <w:pPr>
        <w:pStyle w:val="Note"/>
      </w:pPr>
      <w:r w:rsidRPr="006114D0">
        <w:rPr>
          <w:i/>
          <w:iCs/>
        </w:rPr>
        <w:t>Note 2:</w:t>
      </w:r>
      <w:r w:rsidRPr="00A146BF">
        <w:t xml:space="preserve"> Frequency arrangement N1 could provide the possibility for administrations to implement IMT in the whole or parts of the bands identified in the RR (6 425-7 125 MHz, 6 425</w:t>
      </w:r>
      <w:r w:rsidRPr="00A146BF">
        <w:noBreakHyphen/>
        <w:t>7 025 MHz and 7</w:t>
      </w:r>
      <w:r w:rsidR="00591EF6">
        <w:t> </w:t>
      </w:r>
      <w:r w:rsidRPr="00A146BF">
        <w:t>025</w:t>
      </w:r>
      <w:r w:rsidR="00591EF6">
        <w:noBreakHyphen/>
      </w:r>
      <w:r w:rsidRPr="00A146BF">
        <w:t xml:space="preserve">7 125 MHz). </w:t>
      </w:r>
    </w:p>
    <w:p w14:paraId="23D94FA4" w14:textId="77777777" w:rsidR="00476035" w:rsidRPr="00A146BF" w:rsidRDefault="00476035" w:rsidP="006114D0">
      <w:pPr>
        <w:pStyle w:val="FigureNo"/>
        <w:rPr>
          <w:rFonts w:eastAsia="Batang"/>
          <w:lang w:eastAsia="fr-FR"/>
        </w:rPr>
      </w:pPr>
      <w:r w:rsidRPr="00A146BF">
        <w:rPr>
          <w:rFonts w:eastAsia="Batang"/>
        </w:rPr>
        <w:t>FIGURE</w:t>
      </w:r>
      <w:r w:rsidRPr="00A146BF">
        <w:rPr>
          <w:rFonts w:eastAsia="Batang"/>
          <w:lang w:eastAsia="fr-FR"/>
        </w:rPr>
        <w:t xml:space="preserve"> 10</w:t>
      </w:r>
    </w:p>
    <w:p w14:paraId="62D10B23" w14:textId="77777777" w:rsidR="00476035" w:rsidRPr="00A146BF" w:rsidRDefault="00476035" w:rsidP="006114D0">
      <w:pPr>
        <w:pStyle w:val="Figuretitle"/>
      </w:pPr>
      <w:r w:rsidRPr="00A146BF">
        <w:t xml:space="preserve">Frequency arrangement N1 </w:t>
      </w:r>
    </w:p>
    <w:p w14:paraId="08A51F46" w14:textId="0AA73E25" w:rsidR="00476035" w:rsidRPr="00A146BF" w:rsidRDefault="00647E39" w:rsidP="006114D0">
      <w:pPr>
        <w:pStyle w:val="Figure"/>
        <w:rPr>
          <w:noProof/>
          <w:lang w:eastAsia="zh-CN"/>
        </w:rPr>
      </w:pPr>
      <w:r>
        <w:rPr>
          <w:noProof/>
          <w:lang w:eastAsia="zh-CN"/>
        </w:rPr>
        <w:drawing>
          <wp:inline distT="0" distB="0" distL="0" distR="0" wp14:anchorId="4D07C61E" wp14:editId="6EFAA289">
            <wp:extent cx="5431547" cy="1520955"/>
            <wp:effectExtent l="0" t="0" r="0" b="3175"/>
            <wp:docPr id="205856093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60933" name="Picture 9">
                      <a:extLst>
                        <a:ext uri="{C183D7F6-B498-43B3-948B-1728B52AA6E4}">
                          <adec:decorative xmlns:adec="http://schemas.microsoft.com/office/drawing/2017/decorative" val="1"/>
                        </a:ext>
                      </a:extLst>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391E7C1B" w14:textId="77777777" w:rsidR="00476035" w:rsidRPr="00A146BF" w:rsidRDefault="00476035" w:rsidP="00476035">
      <w:pPr>
        <w:tabs>
          <w:tab w:val="clear" w:pos="794"/>
          <w:tab w:val="clear" w:pos="1191"/>
          <w:tab w:val="clear" w:pos="1588"/>
          <w:tab w:val="clear" w:pos="1985"/>
          <w:tab w:val="left" w:pos="1134"/>
          <w:tab w:val="left" w:pos="1871"/>
          <w:tab w:val="left" w:pos="2268"/>
        </w:tabs>
        <w:jc w:val="left"/>
      </w:pPr>
    </w:p>
    <w:p w14:paraId="618BE642" w14:textId="77777777" w:rsidR="00476035" w:rsidRPr="00A146BF" w:rsidRDefault="00476035" w:rsidP="00476035">
      <w:pPr>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rPr>
          <w:caps/>
          <w:sz w:val="28"/>
        </w:rPr>
      </w:pPr>
      <w:r w:rsidRPr="00A146BF">
        <w:rPr>
          <w:caps/>
          <w:sz w:val="28"/>
        </w:rPr>
        <w:br w:type="page"/>
      </w:r>
    </w:p>
    <w:p w14:paraId="4F0D52A2" w14:textId="77777777" w:rsidR="00476035" w:rsidRPr="006E1162" w:rsidRDefault="00476035" w:rsidP="006E1162">
      <w:pPr>
        <w:pStyle w:val="StyleSectionNo14ptCenteredBefore24pt"/>
        <w:rPr>
          <w:szCs w:val="28"/>
          <w:lang w:eastAsia="zh-CN"/>
        </w:rPr>
      </w:pPr>
      <w:bookmarkStart w:id="33" w:name="_Toc224135076"/>
      <w:r w:rsidRPr="006E1162">
        <w:rPr>
          <w:szCs w:val="28"/>
          <w:lang w:eastAsia="zh-CN"/>
        </w:rPr>
        <w:lastRenderedPageBreak/>
        <w:t>SECTION 11</w:t>
      </w:r>
      <w:bookmarkEnd w:id="33"/>
    </w:p>
    <w:p w14:paraId="4D27F6D4" w14:textId="77777777" w:rsidR="00476035" w:rsidRPr="00A146BF" w:rsidRDefault="00476035" w:rsidP="006E1162">
      <w:pPr>
        <w:pStyle w:val="Sectiontitle"/>
      </w:pPr>
      <w:bookmarkStart w:id="34" w:name="_Toc224135077"/>
      <w:r w:rsidRPr="00A146BF">
        <w:t>Frequency arrangements in the 10-10.5 GHz frequency range</w:t>
      </w:r>
      <w:bookmarkEnd w:id="34"/>
    </w:p>
    <w:p w14:paraId="11350506" w14:textId="77777777" w:rsidR="00476035" w:rsidRPr="00A146BF" w:rsidRDefault="00476035" w:rsidP="006E1162">
      <w:pPr>
        <w:pStyle w:val="Normalaftertitle"/>
        <w:rPr>
          <w:lang w:eastAsia="zh-CN"/>
        </w:rPr>
      </w:pPr>
      <w:r w:rsidRPr="00A146BF">
        <w:t>The recommended frequency arrangements for implementation of IMT in the 10-10.5 GHz frequency range are summarized in Table 10 and in Fig. 11</w:t>
      </w:r>
      <w:r w:rsidRPr="00A146BF">
        <w:rPr>
          <w:bCs/>
        </w:rPr>
        <w:t>,</w:t>
      </w:r>
      <w:r w:rsidRPr="00A146BF">
        <w:t xml:space="preserve"> noting the implementation aspects in Section 1 above.</w:t>
      </w:r>
    </w:p>
    <w:p w14:paraId="3A0E8122" w14:textId="77777777" w:rsidR="00476035" w:rsidRPr="006E1162" w:rsidRDefault="00476035" w:rsidP="006E1162">
      <w:pPr>
        <w:pStyle w:val="TableNo"/>
      </w:pPr>
      <w:r w:rsidRPr="006E1162">
        <w:t>TABLE 10</w:t>
      </w:r>
    </w:p>
    <w:p w14:paraId="597CD9E7" w14:textId="77777777" w:rsidR="00476035" w:rsidRPr="00A146BF" w:rsidRDefault="00476035" w:rsidP="006E1162">
      <w:pPr>
        <w:pStyle w:val="Tabletitle"/>
        <w:rPr>
          <w:caps/>
        </w:rPr>
      </w:pPr>
      <w:r w:rsidRPr="00A146BF">
        <w:t>Frequency arrangements in the 10-10.5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A146BF" w14:paraId="310E7A78" w14:textId="77777777" w:rsidTr="00FD61B7">
        <w:trPr>
          <w:jc w:val="center"/>
        </w:trPr>
        <w:tc>
          <w:tcPr>
            <w:tcW w:w="1861" w:type="dxa"/>
            <w:vMerge w:val="restart"/>
            <w:vAlign w:val="center"/>
          </w:tcPr>
          <w:p w14:paraId="25C069FB" w14:textId="77777777" w:rsidR="00476035" w:rsidRPr="006E1162" w:rsidRDefault="00476035" w:rsidP="006E1162">
            <w:pPr>
              <w:pStyle w:val="Tablehead"/>
            </w:pPr>
            <w:r w:rsidRPr="006E1162">
              <w:t>Frequency arrangements</w:t>
            </w:r>
          </w:p>
        </w:tc>
        <w:tc>
          <w:tcPr>
            <w:tcW w:w="5941" w:type="dxa"/>
            <w:gridSpan w:val="4"/>
            <w:vAlign w:val="center"/>
          </w:tcPr>
          <w:p w14:paraId="61AE8DB6" w14:textId="77777777" w:rsidR="00476035" w:rsidRPr="006E1162" w:rsidRDefault="00476035" w:rsidP="006E1162">
            <w:pPr>
              <w:pStyle w:val="Tablehead"/>
            </w:pPr>
            <w:r w:rsidRPr="006E1162">
              <w:t>Paired arrangements (FDD)</w:t>
            </w:r>
          </w:p>
        </w:tc>
        <w:tc>
          <w:tcPr>
            <w:tcW w:w="1837" w:type="dxa"/>
            <w:gridSpan w:val="2"/>
            <w:vMerge w:val="restart"/>
            <w:vAlign w:val="center"/>
          </w:tcPr>
          <w:p w14:paraId="007F5C8F" w14:textId="77777777" w:rsidR="00476035" w:rsidRPr="00A146BF" w:rsidRDefault="00476035" w:rsidP="006E1162">
            <w:pPr>
              <w:pStyle w:val="Tablehead"/>
              <w:rPr>
                <w:rFonts w:ascii="Times New Roman Bold" w:hAnsi="Times New Roman Bold" w:cs="Times New Roman Bold"/>
                <w:b w:val="0"/>
                <w:sz w:val="20"/>
                <w:lang w:val="fr-FR"/>
              </w:rPr>
            </w:pPr>
            <w:r w:rsidRPr="006E1162">
              <w:t xml:space="preserve">Un-paired arrangements </w:t>
            </w:r>
            <w:r w:rsidRPr="006E1162">
              <w:br/>
              <w:t>(TDD)</w:t>
            </w:r>
            <w:r w:rsidRPr="006E1162">
              <w:br/>
              <w:t>(GHz)</w:t>
            </w:r>
          </w:p>
        </w:tc>
      </w:tr>
      <w:tr w:rsidR="00476035" w:rsidRPr="00A146BF" w14:paraId="05BFCB32" w14:textId="77777777" w:rsidTr="00FD61B7">
        <w:trPr>
          <w:jc w:val="center"/>
        </w:trPr>
        <w:tc>
          <w:tcPr>
            <w:tcW w:w="1861" w:type="dxa"/>
            <w:vMerge/>
            <w:vAlign w:val="center"/>
          </w:tcPr>
          <w:p w14:paraId="137D20FE" w14:textId="77777777" w:rsidR="00476035" w:rsidRPr="006E1162" w:rsidRDefault="00476035" w:rsidP="006E1162">
            <w:pPr>
              <w:pStyle w:val="Tablehead"/>
            </w:pPr>
          </w:p>
        </w:tc>
        <w:tc>
          <w:tcPr>
            <w:tcW w:w="1783" w:type="dxa"/>
            <w:vAlign w:val="center"/>
          </w:tcPr>
          <w:p w14:paraId="4267759F" w14:textId="77777777" w:rsidR="00476035" w:rsidRPr="006E1162" w:rsidRDefault="00476035" w:rsidP="006E1162">
            <w:pPr>
              <w:pStyle w:val="Tablehead"/>
            </w:pPr>
            <w:r w:rsidRPr="006E1162">
              <w:t>Mobile station transmitter</w:t>
            </w:r>
            <w:r w:rsidRPr="006E1162">
              <w:br/>
              <w:t>(GHz)</w:t>
            </w:r>
          </w:p>
        </w:tc>
        <w:tc>
          <w:tcPr>
            <w:tcW w:w="1336" w:type="dxa"/>
            <w:vAlign w:val="center"/>
          </w:tcPr>
          <w:p w14:paraId="16181F95" w14:textId="77777777" w:rsidR="00476035" w:rsidRPr="006E1162" w:rsidRDefault="00476035" w:rsidP="006E1162">
            <w:pPr>
              <w:pStyle w:val="Tablehead"/>
            </w:pPr>
            <w:r w:rsidRPr="006E1162">
              <w:t>Centre gap</w:t>
            </w:r>
            <w:r w:rsidRPr="006E1162">
              <w:br/>
              <w:t>(GHz)</w:t>
            </w:r>
          </w:p>
        </w:tc>
        <w:tc>
          <w:tcPr>
            <w:tcW w:w="1545" w:type="dxa"/>
            <w:vAlign w:val="center"/>
          </w:tcPr>
          <w:p w14:paraId="36804596" w14:textId="77777777" w:rsidR="00476035" w:rsidRPr="006E1162" w:rsidRDefault="00476035" w:rsidP="006E1162">
            <w:pPr>
              <w:pStyle w:val="Tablehead"/>
            </w:pPr>
            <w:r w:rsidRPr="006E1162">
              <w:t>Base station transmitter</w:t>
            </w:r>
            <w:r w:rsidRPr="006E1162">
              <w:br/>
              <w:t>(GHz)</w:t>
            </w:r>
          </w:p>
        </w:tc>
        <w:tc>
          <w:tcPr>
            <w:tcW w:w="1277" w:type="dxa"/>
            <w:vAlign w:val="center"/>
          </w:tcPr>
          <w:p w14:paraId="71FA56A4" w14:textId="77777777" w:rsidR="00476035" w:rsidRPr="006E1162" w:rsidRDefault="00476035" w:rsidP="006E1162">
            <w:pPr>
              <w:pStyle w:val="Tablehead"/>
            </w:pPr>
            <w:r w:rsidRPr="006E1162">
              <w:t>Duplex separation</w:t>
            </w:r>
            <w:r w:rsidRPr="006E1162">
              <w:br/>
              <w:t>(GHz)</w:t>
            </w:r>
          </w:p>
        </w:tc>
        <w:tc>
          <w:tcPr>
            <w:tcW w:w="1837" w:type="dxa"/>
            <w:gridSpan w:val="2"/>
            <w:vMerge/>
            <w:vAlign w:val="center"/>
          </w:tcPr>
          <w:p w14:paraId="2BDAD8E6" w14:textId="77777777" w:rsidR="00476035" w:rsidRPr="00A146BF" w:rsidRDefault="00476035" w:rsidP="00FD61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476035" w:rsidRPr="00A146BF" w14:paraId="72238E03" w14:textId="77777777" w:rsidTr="00FD61B7">
        <w:trPr>
          <w:gridAfter w:val="1"/>
          <w:wAfter w:w="8" w:type="dxa"/>
          <w:jc w:val="center"/>
        </w:trPr>
        <w:tc>
          <w:tcPr>
            <w:tcW w:w="1861" w:type="dxa"/>
          </w:tcPr>
          <w:p w14:paraId="29E2F643" w14:textId="77777777" w:rsidR="00476035" w:rsidRPr="006E1162" w:rsidRDefault="00476035" w:rsidP="006E1162">
            <w:pPr>
              <w:pStyle w:val="Tabletext"/>
              <w:jc w:val="center"/>
            </w:pPr>
            <w:r w:rsidRPr="006E1162">
              <w:t>O1</w:t>
            </w:r>
          </w:p>
        </w:tc>
        <w:tc>
          <w:tcPr>
            <w:tcW w:w="5941" w:type="dxa"/>
            <w:gridSpan w:val="4"/>
          </w:tcPr>
          <w:p w14:paraId="030E2B8E" w14:textId="77777777" w:rsidR="00476035" w:rsidRPr="006E1162" w:rsidRDefault="00476035" w:rsidP="006E1162">
            <w:pPr>
              <w:pStyle w:val="Tabletext"/>
              <w:jc w:val="center"/>
            </w:pPr>
            <w:r w:rsidRPr="006E1162">
              <w:t>NOT APPLIED</w:t>
            </w:r>
          </w:p>
        </w:tc>
        <w:tc>
          <w:tcPr>
            <w:tcW w:w="1829" w:type="dxa"/>
          </w:tcPr>
          <w:p w14:paraId="51A99770" w14:textId="77777777" w:rsidR="00476035" w:rsidRPr="006E1162" w:rsidRDefault="00476035" w:rsidP="006E1162">
            <w:pPr>
              <w:pStyle w:val="Tabletext"/>
              <w:jc w:val="center"/>
            </w:pPr>
            <w:r w:rsidRPr="006E1162">
              <w:t>10-10.5</w:t>
            </w:r>
          </w:p>
        </w:tc>
      </w:tr>
    </w:tbl>
    <w:p w14:paraId="590BF044" w14:textId="6E690ECE" w:rsidR="00476035" w:rsidRPr="006E1162" w:rsidRDefault="00476035" w:rsidP="006E1162">
      <w:pPr>
        <w:pStyle w:val="Note"/>
        <w:rPr>
          <w:i/>
          <w:iCs/>
          <w:szCs w:val="22"/>
        </w:rPr>
      </w:pPr>
      <w:r w:rsidRPr="006E1162">
        <w:rPr>
          <w:i/>
          <w:iCs/>
          <w:szCs w:val="22"/>
        </w:rPr>
        <w:t>Note to Table 10:</w:t>
      </w:r>
    </w:p>
    <w:p w14:paraId="3A0D3F30" w14:textId="77777777" w:rsidR="00476035" w:rsidRPr="00A146BF" w:rsidRDefault="00476035" w:rsidP="006E1162">
      <w:pPr>
        <w:pStyle w:val="Note"/>
        <w:rPr>
          <w:szCs w:val="22"/>
        </w:rPr>
      </w:pPr>
      <w:r w:rsidRPr="006E1162">
        <w:rPr>
          <w:i/>
          <w:iCs/>
          <w:szCs w:val="22"/>
        </w:rPr>
        <w:t>Note 1:</w:t>
      </w:r>
      <w:r w:rsidRPr="00A146BF">
        <w:rPr>
          <w:szCs w:val="22"/>
        </w:rPr>
        <w:t xml:space="preserve"> Only TDD arrangements are recommended in this band.</w:t>
      </w:r>
    </w:p>
    <w:p w14:paraId="293DF027" w14:textId="77777777" w:rsidR="00476035" w:rsidRPr="006E1162" w:rsidRDefault="00476035" w:rsidP="006E1162">
      <w:pPr>
        <w:pStyle w:val="FigureNo"/>
        <w:rPr>
          <w:rFonts w:eastAsia="Batang"/>
          <w:lang w:eastAsia="fr-FR"/>
        </w:rPr>
      </w:pPr>
      <w:r w:rsidRPr="006E1162">
        <w:rPr>
          <w:rFonts w:eastAsia="Batang"/>
          <w:lang w:eastAsia="fr-FR"/>
        </w:rPr>
        <w:t>FIGURE 11</w:t>
      </w:r>
    </w:p>
    <w:p w14:paraId="4832C83B" w14:textId="77777777" w:rsidR="00476035" w:rsidRPr="006E1162" w:rsidRDefault="00476035" w:rsidP="006E1162">
      <w:pPr>
        <w:pStyle w:val="Figuretitle"/>
      </w:pPr>
      <w:r w:rsidRPr="006E1162">
        <w:t xml:space="preserve">Frequency arrangement O1 </w:t>
      </w:r>
    </w:p>
    <w:p w14:paraId="5F3864E3" w14:textId="193F3F66" w:rsidR="00476035" w:rsidRPr="00A146BF" w:rsidRDefault="00832E1A" w:rsidP="006E1162">
      <w:pPr>
        <w:pStyle w:val="Figure"/>
        <w:rPr>
          <w:noProof/>
        </w:rPr>
      </w:pPr>
      <w:r>
        <w:rPr>
          <w:noProof/>
        </w:rPr>
        <w:drawing>
          <wp:inline distT="0" distB="0" distL="0" distR="0" wp14:anchorId="2A6FEAFF" wp14:editId="2C5D3DF9">
            <wp:extent cx="5431547" cy="1520955"/>
            <wp:effectExtent l="0" t="0" r="0" b="3175"/>
            <wp:docPr id="9632613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6136" name="Picture 10">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1183300F" w14:textId="77777777" w:rsidR="00476035" w:rsidRPr="00A146BF" w:rsidRDefault="00476035" w:rsidP="00476035">
      <w:pPr>
        <w:rPr>
          <w:lang w:eastAsia="zh-CN"/>
        </w:rPr>
      </w:pPr>
    </w:p>
    <w:p w14:paraId="70D76FE3" w14:textId="77777777" w:rsidR="00476035" w:rsidRPr="00A146BF" w:rsidRDefault="00476035" w:rsidP="00476035">
      <w:pPr>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rPr>
          <w:caps/>
          <w:sz w:val="28"/>
        </w:rPr>
      </w:pPr>
      <w:r w:rsidRPr="00A146BF">
        <w:rPr>
          <w:caps/>
          <w:sz w:val="28"/>
        </w:rPr>
        <w:br w:type="page"/>
      </w:r>
    </w:p>
    <w:p w14:paraId="13EC3966" w14:textId="77777777" w:rsidR="00476035" w:rsidRPr="00E81BE4" w:rsidRDefault="00476035" w:rsidP="00476035">
      <w:pPr>
        <w:pStyle w:val="StyleSectionNo14ptCenteredBefore24pt"/>
        <w:rPr>
          <w:szCs w:val="28"/>
        </w:rPr>
      </w:pPr>
      <w:bookmarkStart w:id="35" w:name="_Toc224135078"/>
      <w:r w:rsidRPr="00E81BE4">
        <w:rPr>
          <w:szCs w:val="28"/>
        </w:rPr>
        <w:lastRenderedPageBreak/>
        <w:t>SECTION 1</w:t>
      </w:r>
      <w:r>
        <w:rPr>
          <w:szCs w:val="28"/>
        </w:rPr>
        <w:t>2</w:t>
      </w:r>
      <w:bookmarkEnd w:id="35"/>
    </w:p>
    <w:p w14:paraId="6862C11D" w14:textId="77777777" w:rsidR="00476035" w:rsidRPr="007F453D" w:rsidRDefault="00476035" w:rsidP="00476035">
      <w:pPr>
        <w:pStyle w:val="Sectiontitle"/>
      </w:pPr>
      <w:bookmarkStart w:id="36" w:name="_Toc224135079"/>
      <w:r w:rsidRPr="007F453D">
        <w:t>Frequency arrangements in the band 24.25-27.5 GHz</w:t>
      </w:r>
      <w:bookmarkEnd w:id="36"/>
    </w:p>
    <w:p w14:paraId="2F97652E" w14:textId="77777777" w:rsidR="00476035" w:rsidRPr="007F453D" w:rsidRDefault="00476035" w:rsidP="00476035">
      <w:pPr>
        <w:pStyle w:val="Normalaftertitle"/>
      </w:pPr>
      <w:r w:rsidRPr="007F453D">
        <w:t>The recommended frequency arrangements for implementation of IMT in the band 24.25</w:t>
      </w:r>
      <w:r w:rsidRPr="007F453D">
        <w:noBreakHyphen/>
        <w:t xml:space="preserve">27.5 GHz are summarized in Table </w:t>
      </w:r>
      <w:r>
        <w:t>11</w:t>
      </w:r>
      <w:r w:rsidRPr="007F453D">
        <w:t xml:space="preserve"> and in Fig</w:t>
      </w:r>
      <w:r>
        <w:t>.</w:t>
      </w:r>
      <w:r w:rsidRPr="007F453D">
        <w:t> 1</w:t>
      </w:r>
      <w:r>
        <w:t>2</w:t>
      </w:r>
      <w:r w:rsidRPr="007F453D">
        <w:t>, noting the implementation aspects in Section 1 above.</w:t>
      </w:r>
    </w:p>
    <w:p w14:paraId="5E1161E9" w14:textId="59B6CEC0" w:rsidR="00476035" w:rsidRPr="007F453D" w:rsidRDefault="00476035" w:rsidP="00476035">
      <w:pPr>
        <w:pStyle w:val="TableNo"/>
      </w:pPr>
      <w:r w:rsidRPr="007F453D">
        <w:t xml:space="preserve">TABLE </w:t>
      </w:r>
      <w:r>
        <w:t>11</w:t>
      </w:r>
    </w:p>
    <w:p w14:paraId="5BE61D6E" w14:textId="77777777" w:rsidR="00476035" w:rsidRPr="007F453D" w:rsidRDefault="00476035" w:rsidP="00476035">
      <w:pPr>
        <w:pStyle w:val="Tabletitle"/>
      </w:pPr>
      <w:r w:rsidRPr="007F453D">
        <w:t>Frequency arrangements in the 24.25-27.5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678E3591" w14:textId="77777777" w:rsidTr="00FD61B7">
        <w:trPr>
          <w:jc w:val="center"/>
        </w:trPr>
        <w:tc>
          <w:tcPr>
            <w:tcW w:w="1861" w:type="dxa"/>
            <w:vMerge w:val="restart"/>
            <w:vAlign w:val="center"/>
          </w:tcPr>
          <w:p w14:paraId="2603F37B" w14:textId="77777777" w:rsidR="00476035" w:rsidRPr="007F453D" w:rsidRDefault="00476035" w:rsidP="00FD61B7">
            <w:pPr>
              <w:pStyle w:val="Tablehead"/>
              <w:rPr>
                <w:szCs w:val="22"/>
              </w:rPr>
            </w:pPr>
            <w:r w:rsidRPr="007F453D">
              <w:rPr>
                <w:szCs w:val="22"/>
              </w:rPr>
              <w:t>Frequency arrangements</w:t>
            </w:r>
          </w:p>
        </w:tc>
        <w:tc>
          <w:tcPr>
            <w:tcW w:w="5941" w:type="dxa"/>
            <w:gridSpan w:val="4"/>
            <w:vAlign w:val="center"/>
          </w:tcPr>
          <w:p w14:paraId="00A08C74" w14:textId="77777777" w:rsidR="00476035" w:rsidRPr="007F453D" w:rsidRDefault="00476035" w:rsidP="00FD61B7">
            <w:pPr>
              <w:pStyle w:val="Tablehead"/>
              <w:rPr>
                <w:szCs w:val="22"/>
              </w:rPr>
            </w:pPr>
            <w:r w:rsidRPr="007F453D">
              <w:rPr>
                <w:szCs w:val="22"/>
              </w:rPr>
              <w:t>Paired arrangements (FDD)</w:t>
            </w:r>
          </w:p>
        </w:tc>
        <w:tc>
          <w:tcPr>
            <w:tcW w:w="1837" w:type="dxa"/>
            <w:gridSpan w:val="2"/>
            <w:vMerge w:val="restart"/>
            <w:vAlign w:val="center"/>
          </w:tcPr>
          <w:p w14:paraId="2A38FEA8" w14:textId="77777777" w:rsidR="00476035" w:rsidRPr="007F453D" w:rsidRDefault="00476035" w:rsidP="00FD61B7">
            <w:pPr>
              <w:keepNext/>
              <w:spacing w:before="80" w:after="80"/>
              <w:jc w:val="center"/>
              <w:rPr>
                <w:rFonts w:ascii="Times New Roman Bold" w:hAnsi="Times New Roman Bold" w:cs="Times New Roman Bold"/>
                <w:b/>
                <w:sz w:val="22"/>
                <w:szCs w:val="22"/>
              </w:rPr>
            </w:pPr>
            <w:r w:rsidRPr="007F453D">
              <w:rPr>
                <w:rFonts w:ascii="Times New Roman Bold" w:hAnsi="Times New Roman Bold" w:cs="Times New Roman Bold"/>
                <w:b/>
                <w:sz w:val="22"/>
                <w:szCs w:val="22"/>
              </w:rPr>
              <w:t xml:space="preserve">Un-paired arrangements </w:t>
            </w:r>
            <w:r w:rsidRPr="007F453D">
              <w:rPr>
                <w:rFonts w:ascii="Times New Roman Bold" w:hAnsi="Times New Roman Bold" w:cs="Times New Roman Bold"/>
                <w:b/>
                <w:sz w:val="22"/>
                <w:szCs w:val="22"/>
              </w:rPr>
              <w:br/>
              <w:t>(TDD)</w:t>
            </w:r>
            <w:r w:rsidRPr="007F453D">
              <w:rPr>
                <w:rFonts w:ascii="Times New Roman Bold" w:hAnsi="Times New Roman Bold" w:cs="Times New Roman Bold"/>
                <w:b/>
                <w:sz w:val="22"/>
                <w:szCs w:val="22"/>
              </w:rPr>
              <w:br/>
              <w:t>(GHz)</w:t>
            </w:r>
          </w:p>
        </w:tc>
      </w:tr>
      <w:tr w:rsidR="00476035" w:rsidRPr="007F453D" w14:paraId="1B814CDF" w14:textId="77777777" w:rsidTr="00FD61B7">
        <w:trPr>
          <w:jc w:val="center"/>
        </w:trPr>
        <w:tc>
          <w:tcPr>
            <w:tcW w:w="1861" w:type="dxa"/>
            <w:vMerge/>
            <w:vAlign w:val="center"/>
          </w:tcPr>
          <w:p w14:paraId="55A9EC68" w14:textId="77777777" w:rsidR="00476035" w:rsidRPr="007F453D" w:rsidRDefault="00476035" w:rsidP="00FD61B7">
            <w:pPr>
              <w:pStyle w:val="Tablehead"/>
              <w:rPr>
                <w:szCs w:val="22"/>
              </w:rPr>
            </w:pPr>
          </w:p>
        </w:tc>
        <w:tc>
          <w:tcPr>
            <w:tcW w:w="1783" w:type="dxa"/>
            <w:vAlign w:val="center"/>
          </w:tcPr>
          <w:p w14:paraId="72DF2327" w14:textId="77777777" w:rsidR="00476035" w:rsidRPr="007F453D" w:rsidRDefault="00476035" w:rsidP="00FD61B7">
            <w:pPr>
              <w:pStyle w:val="Tablehead"/>
              <w:rPr>
                <w:szCs w:val="22"/>
              </w:rPr>
            </w:pPr>
            <w:r w:rsidRPr="007F453D">
              <w:rPr>
                <w:szCs w:val="22"/>
              </w:rPr>
              <w:t>Mobile station transmitter</w:t>
            </w:r>
            <w:r w:rsidRPr="007F453D">
              <w:rPr>
                <w:szCs w:val="22"/>
              </w:rPr>
              <w:br/>
              <w:t>(GHz)</w:t>
            </w:r>
          </w:p>
        </w:tc>
        <w:tc>
          <w:tcPr>
            <w:tcW w:w="1336" w:type="dxa"/>
            <w:vAlign w:val="center"/>
          </w:tcPr>
          <w:p w14:paraId="7554730B" w14:textId="77777777" w:rsidR="00476035" w:rsidRPr="007F453D" w:rsidRDefault="00476035" w:rsidP="00FD61B7">
            <w:pPr>
              <w:pStyle w:val="Tablehead"/>
              <w:rPr>
                <w:szCs w:val="22"/>
              </w:rPr>
            </w:pPr>
            <w:r w:rsidRPr="007F453D">
              <w:rPr>
                <w:szCs w:val="22"/>
              </w:rPr>
              <w:t>Centre gap</w:t>
            </w:r>
            <w:r w:rsidRPr="007F453D">
              <w:rPr>
                <w:szCs w:val="22"/>
              </w:rPr>
              <w:br/>
              <w:t>(GHz)</w:t>
            </w:r>
          </w:p>
        </w:tc>
        <w:tc>
          <w:tcPr>
            <w:tcW w:w="1545" w:type="dxa"/>
            <w:vAlign w:val="center"/>
          </w:tcPr>
          <w:p w14:paraId="43CE7225" w14:textId="77777777" w:rsidR="00476035" w:rsidRPr="007F453D" w:rsidRDefault="00476035" w:rsidP="00FD61B7">
            <w:pPr>
              <w:pStyle w:val="Tablehead"/>
              <w:rPr>
                <w:szCs w:val="22"/>
              </w:rPr>
            </w:pPr>
            <w:r w:rsidRPr="007F453D">
              <w:rPr>
                <w:szCs w:val="22"/>
              </w:rPr>
              <w:t>Base station transmitter</w:t>
            </w:r>
            <w:r w:rsidRPr="007F453D">
              <w:rPr>
                <w:szCs w:val="22"/>
              </w:rPr>
              <w:br/>
              <w:t>(GHz)</w:t>
            </w:r>
          </w:p>
        </w:tc>
        <w:tc>
          <w:tcPr>
            <w:tcW w:w="1277" w:type="dxa"/>
            <w:vAlign w:val="center"/>
          </w:tcPr>
          <w:p w14:paraId="61FDC6BD" w14:textId="77777777" w:rsidR="00476035" w:rsidRPr="007F453D" w:rsidRDefault="00476035" w:rsidP="00FD61B7">
            <w:pPr>
              <w:pStyle w:val="Tablehead"/>
              <w:rPr>
                <w:szCs w:val="22"/>
              </w:rPr>
            </w:pPr>
            <w:r w:rsidRPr="007F453D">
              <w:rPr>
                <w:szCs w:val="22"/>
              </w:rPr>
              <w:t>Duplex separation</w:t>
            </w:r>
            <w:r w:rsidRPr="007F453D">
              <w:rPr>
                <w:szCs w:val="22"/>
              </w:rPr>
              <w:br/>
              <w:t>(GHz)</w:t>
            </w:r>
          </w:p>
        </w:tc>
        <w:tc>
          <w:tcPr>
            <w:tcW w:w="1837" w:type="dxa"/>
            <w:gridSpan w:val="2"/>
            <w:vMerge/>
            <w:vAlign w:val="center"/>
          </w:tcPr>
          <w:p w14:paraId="5FBE1D92" w14:textId="77777777" w:rsidR="00476035" w:rsidRPr="007F453D" w:rsidRDefault="00476035" w:rsidP="00FD61B7">
            <w:pPr>
              <w:keepNext/>
              <w:spacing w:before="80" w:after="80"/>
              <w:jc w:val="center"/>
              <w:rPr>
                <w:rFonts w:ascii="Times New Roman Bold" w:hAnsi="Times New Roman Bold" w:cs="Times New Roman Bold"/>
                <w:b/>
                <w:sz w:val="22"/>
                <w:szCs w:val="22"/>
              </w:rPr>
            </w:pPr>
          </w:p>
        </w:tc>
      </w:tr>
      <w:tr w:rsidR="00476035" w:rsidRPr="007F453D" w14:paraId="373134AB" w14:textId="77777777" w:rsidTr="00FD61B7">
        <w:trPr>
          <w:gridAfter w:val="1"/>
          <w:wAfter w:w="8" w:type="dxa"/>
          <w:jc w:val="center"/>
        </w:trPr>
        <w:tc>
          <w:tcPr>
            <w:tcW w:w="1861" w:type="dxa"/>
          </w:tcPr>
          <w:p w14:paraId="4A6ED0E4" w14:textId="77777777" w:rsidR="00476035" w:rsidRPr="007F453D" w:rsidRDefault="00476035" w:rsidP="00FD61B7">
            <w:pPr>
              <w:pStyle w:val="Tabletext"/>
              <w:jc w:val="center"/>
              <w:rPr>
                <w:szCs w:val="22"/>
              </w:rPr>
            </w:pPr>
            <w:r w:rsidRPr="007F453D">
              <w:rPr>
                <w:szCs w:val="22"/>
                <w:lang w:eastAsia="zh-CN"/>
              </w:rPr>
              <w:t>I</w:t>
            </w:r>
            <w:r w:rsidRPr="007F453D">
              <w:rPr>
                <w:szCs w:val="22"/>
              </w:rPr>
              <w:t>1</w:t>
            </w:r>
          </w:p>
        </w:tc>
        <w:tc>
          <w:tcPr>
            <w:tcW w:w="5941" w:type="dxa"/>
            <w:gridSpan w:val="4"/>
          </w:tcPr>
          <w:p w14:paraId="1850986B" w14:textId="4F366441" w:rsidR="00476035" w:rsidRPr="007F453D" w:rsidRDefault="00476035" w:rsidP="00FD61B7">
            <w:pPr>
              <w:pStyle w:val="Tabletext"/>
              <w:jc w:val="center"/>
              <w:rPr>
                <w:szCs w:val="22"/>
              </w:rPr>
            </w:pPr>
            <w:r w:rsidRPr="007F453D">
              <w:rPr>
                <w:szCs w:val="22"/>
              </w:rPr>
              <w:t>NOT APPLIE</w:t>
            </w:r>
            <w:r w:rsidR="004625C8">
              <w:rPr>
                <w:szCs w:val="22"/>
              </w:rPr>
              <w:t>D</w:t>
            </w:r>
          </w:p>
        </w:tc>
        <w:tc>
          <w:tcPr>
            <w:tcW w:w="1829" w:type="dxa"/>
          </w:tcPr>
          <w:p w14:paraId="66F3EF53" w14:textId="77777777" w:rsidR="00476035" w:rsidRPr="007F453D" w:rsidRDefault="00476035" w:rsidP="00FD61B7">
            <w:pPr>
              <w:pStyle w:val="Tabletext"/>
              <w:jc w:val="center"/>
              <w:rPr>
                <w:szCs w:val="22"/>
              </w:rPr>
            </w:pPr>
            <w:r w:rsidRPr="007F453D">
              <w:rPr>
                <w:szCs w:val="22"/>
                <w:lang w:eastAsia="zh-CN"/>
              </w:rPr>
              <w:t>24.25</w:t>
            </w:r>
            <w:r w:rsidRPr="007F453D">
              <w:rPr>
                <w:szCs w:val="22"/>
              </w:rPr>
              <w:t>-</w:t>
            </w:r>
            <w:r w:rsidRPr="007F453D">
              <w:rPr>
                <w:szCs w:val="22"/>
                <w:lang w:eastAsia="zh-CN"/>
              </w:rPr>
              <w:t>27.5</w:t>
            </w:r>
          </w:p>
        </w:tc>
      </w:tr>
    </w:tbl>
    <w:p w14:paraId="75BE6513" w14:textId="77777777" w:rsidR="00476035" w:rsidRPr="007F453D" w:rsidRDefault="00476035" w:rsidP="00476035">
      <w:pPr>
        <w:pStyle w:val="Note"/>
        <w:rPr>
          <w:i/>
          <w:iCs/>
        </w:rPr>
      </w:pPr>
      <w:r w:rsidRPr="007F453D">
        <w:rPr>
          <w:i/>
          <w:iCs/>
        </w:rPr>
        <w:t xml:space="preserve">Notes to Table </w:t>
      </w:r>
      <w:r>
        <w:rPr>
          <w:i/>
          <w:iCs/>
        </w:rPr>
        <w:t>11</w:t>
      </w:r>
      <w:r w:rsidRPr="007F453D">
        <w:rPr>
          <w:i/>
          <w:iCs/>
        </w:rPr>
        <w:t>:</w:t>
      </w:r>
    </w:p>
    <w:p w14:paraId="24388BC1" w14:textId="77777777" w:rsidR="00476035" w:rsidRPr="007F453D" w:rsidRDefault="00476035" w:rsidP="00476035">
      <w:pPr>
        <w:pStyle w:val="Note"/>
        <w:rPr>
          <w:szCs w:val="22"/>
        </w:rPr>
      </w:pPr>
      <w:r w:rsidRPr="007F453D">
        <w:rPr>
          <w:i/>
          <w:iCs/>
          <w:szCs w:val="22"/>
        </w:rPr>
        <w:t>Note 1</w:t>
      </w:r>
      <w:r w:rsidRPr="007F453D">
        <w:rPr>
          <w:szCs w:val="22"/>
        </w:rPr>
        <w:t>: Only TDD arrangements are recommended in this band.</w:t>
      </w:r>
    </w:p>
    <w:p w14:paraId="28563CB6" w14:textId="77777777" w:rsidR="00476035" w:rsidRPr="007F453D" w:rsidRDefault="00476035" w:rsidP="00476035">
      <w:pPr>
        <w:pStyle w:val="Note"/>
        <w:rPr>
          <w:szCs w:val="22"/>
        </w:rPr>
      </w:pPr>
      <w:r w:rsidRPr="007F453D">
        <w:rPr>
          <w:i/>
          <w:iCs/>
          <w:szCs w:val="22"/>
        </w:rPr>
        <w:t>Note 2</w:t>
      </w:r>
      <w:r w:rsidRPr="007F453D">
        <w:rPr>
          <w:szCs w:val="22"/>
        </w:rPr>
        <w:t xml:space="preserve">: </w:t>
      </w:r>
      <w:r w:rsidRPr="007F453D">
        <w:t xml:space="preserve">As an additional mitigation technique (see </w:t>
      </w:r>
      <w:r w:rsidRPr="007F453D">
        <w:rPr>
          <w:i/>
          <w:iCs/>
        </w:rPr>
        <w:t>recognizing</w:t>
      </w:r>
      <w:r w:rsidRPr="007F453D">
        <w:t xml:space="preserve"> </w:t>
      </w:r>
      <w:r w:rsidRPr="007F453D">
        <w:rPr>
          <w:i/>
          <w:iCs/>
        </w:rPr>
        <w:t>h)</w:t>
      </w:r>
      <w:r w:rsidRPr="007F453D">
        <w:t>), administrations could consider selection for IMT stations, such a channel bandwidth that emissions of IMT stations in out-of-band (OOB) domain would not fall into the band 23.6-24 GHz.</w:t>
      </w:r>
    </w:p>
    <w:p w14:paraId="0F63E48B" w14:textId="77777777" w:rsidR="00476035" w:rsidRPr="007F453D" w:rsidRDefault="00476035" w:rsidP="00476035">
      <w:pPr>
        <w:pStyle w:val="FigureNo"/>
        <w:rPr>
          <w:rFonts w:eastAsia="Batang"/>
          <w:lang w:eastAsia="fr-FR"/>
        </w:rPr>
      </w:pPr>
      <w:r w:rsidRPr="007F453D">
        <w:rPr>
          <w:rFonts w:eastAsia="Batang"/>
          <w:lang w:eastAsia="fr-FR"/>
        </w:rPr>
        <w:t>FIGURE 1</w:t>
      </w:r>
      <w:r>
        <w:rPr>
          <w:rFonts w:eastAsia="Batang"/>
          <w:lang w:eastAsia="fr-FR"/>
        </w:rPr>
        <w:t>2</w:t>
      </w:r>
    </w:p>
    <w:p w14:paraId="0643547C" w14:textId="77777777" w:rsidR="00476035" w:rsidRDefault="00476035" w:rsidP="00476035">
      <w:pPr>
        <w:pStyle w:val="Figuretitle"/>
        <w:rPr>
          <w:rFonts w:eastAsia="Batang"/>
          <w:lang w:eastAsia="fr-FR"/>
        </w:rPr>
      </w:pPr>
      <w:r w:rsidRPr="007F453D">
        <w:rPr>
          <w:rFonts w:eastAsia="Batang"/>
          <w:lang w:eastAsia="fr-FR"/>
        </w:rPr>
        <w:t>Frequency arrangement I1</w:t>
      </w:r>
    </w:p>
    <w:p w14:paraId="600CBE0F" w14:textId="3FF4E6E6" w:rsidR="00476035" w:rsidRPr="00137FC8" w:rsidRDefault="00832E1A" w:rsidP="00476035">
      <w:pPr>
        <w:pStyle w:val="Figure"/>
        <w:rPr>
          <w:rFonts w:eastAsia="Batang"/>
          <w:lang w:eastAsia="fr-FR"/>
        </w:rPr>
      </w:pPr>
      <w:r>
        <w:rPr>
          <w:rFonts w:eastAsia="Batang"/>
          <w:noProof/>
          <w:lang w:eastAsia="fr-FR"/>
        </w:rPr>
        <w:drawing>
          <wp:inline distT="0" distB="0" distL="0" distR="0" wp14:anchorId="314ACD0A" wp14:editId="32BB2056">
            <wp:extent cx="5431547" cy="1520955"/>
            <wp:effectExtent l="0" t="0" r="0" b="3175"/>
            <wp:docPr id="26467499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74999" name="Picture 11">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63E43B4F" w14:textId="77777777" w:rsidR="00476035" w:rsidRPr="007F453D" w:rsidRDefault="00476035" w:rsidP="00476035">
      <w:pPr>
        <w:overflowPunct/>
        <w:autoSpaceDE/>
        <w:autoSpaceDN/>
        <w:adjustRightInd/>
        <w:spacing w:before="0"/>
        <w:textAlignment w:val="auto"/>
        <w:rPr>
          <w:caps/>
          <w:sz w:val="28"/>
        </w:rPr>
      </w:pPr>
      <w:r w:rsidRPr="007F453D">
        <w:rPr>
          <w:caps/>
          <w:sz w:val="28"/>
        </w:rPr>
        <w:br w:type="page"/>
      </w:r>
    </w:p>
    <w:p w14:paraId="45C43B30" w14:textId="77777777" w:rsidR="00476035" w:rsidRPr="007B5747" w:rsidRDefault="00476035" w:rsidP="00476035">
      <w:pPr>
        <w:pStyle w:val="StyleSectionNo14ptCenteredBefore24pt"/>
        <w:rPr>
          <w:szCs w:val="28"/>
        </w:rPr>
      </w:pPr>
      <w:bookmarkStart w:id="37" w:name="_Toc224135080"/>
      <w:r w:rsidRPr="007B5747">
        <w:rPr>
          <w:szCs w:val="28"/>
        </w:rPr>
        <w:lastRenderedPageBreak/>
        <w:t>SECTION 1</w:t>
      </w:r>
      <w:r>
        <w:rPr>
          <w:szCs w:val="28"/>
        </w:rPr>
        <w:t>3</w:t>
      </w:r>
      <w:bookmarkEnd w:id="37"/>
    </w:p>
    <w:p w14:paraId="141F7316" w14:textId="77777777" w:rsidR="00476035" w:rsidRPr="007F453D" w:rsidRDefault="00476035" w:rsidP="00476035">
      <w:pPr>
        <w:pStyle w:val="Sectiontitle"/>
      </w:pPr>
      <w:bookmarkStart w:id="38" w:name="_Toc224135081"/>
      <w:r w:rsidRPr="007F453D">
        <w:t>Frequency arrangements in the band 37-43.5 GHz</w:t>
      </w:r>
      <w:bookmarkEnd w:id="38"/>
    </w:p>
    <w:p w14:paraId="158ED3E2" w14:textId="77777777" w:rsidR="00476035" w:rsidRPr="007F453D" w:rsidRDefault="00476035" w:rsidP="00476035">
      <w:pPr>
        <w:pStyle w:val="Normalaftertitle"/>
      </w:pPr>
      <w:r w:rsidRPr="007F453D">
        <w:t>The recommended frequency arrangements for implementation of IMT in the band 37</w:t>
      </w:r>
      <w:r w:rsidRPr="007F453D">
        <w:noBreakHyphen/>
        <w:t>43.5 GHz are summarized in Table 1</w:t>
      </w:r>
      <w:r>
        <w:t>2</w:t>
      </w:r>
      <w:r w:rsidRPr="007F453D">
        <w:t xml:space="preserve"> and in Fig. 1</w:t>
      </w:r>
      <w:r>
        <w:t>3</w:t>
      </w:r>
      <w:r w:rsidRPr="007F453D">
        <w:t>, noting the implementation aspects in Section 1 above.</w:t>
      </w:r>
    </w:p>
    <w:p w14:paraId="2363441E" w14:textId="77777777" w:rsidR="00476035" w:rsidRPr="007F453D" w:rsidRDefault="00476035" w:rsidP="00476035">
      <w:pPr>
        <w:pStyle w:val="TableNo"/>
      </w:pPr>
      <w:r w:rsidRPr="007F453D">
        <w:t>TABLE 1</w:t>
      </w:r>
      <w:r>
        <w:t>2</w:t>
      </w:r>
    </w:p>
    <w:p w14:paraId="32390386" w14:textId="77777777" w:rsidR="00476035" w:rsidRPr="007F453D" w:rsidRDefault="00476035" w:rsidP="00476035">
      <w:pPr>
        <w:pStyle w:val="Tabletitle"/>
      </w:pPr>
      <w:r w:rsidRPr="007F453D">
        <w:t>Frequency arrangements in the 37-43.5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13E0459D" w14:textId="77777777" w:rsidTr="00FD61B7">
        <w:trPr>
          <w:jc w:val="center"/>
        </w:trPr>
        <w:tc>
          <w:tcPr>
            <w:tcW w:w="1861" w:type="dxa"/>
            <w:vMerge w:val="restart"/>
            <w:vAlign w:val="center"/>
          </w:tcPr>
          <w:p w14:paraId="5048F03D" w14:textId="77777777" w:rsidR="00476035" w:rsidRPr="007F453D" w:rsidRDefault="00476035" w:rsidP="00FD61B7">
            <w:pPr>
              <w:pStyle w:val="Tablehead"/>
            </w:pPr>
            <w:r w:rsidRPr="007F453D">
              <w:t>Frequency arrangements</w:t>
            </w:r>
          </w:p>
        </w:tc>
        <w:tc>
          <w:tcPr>
            <w:tcW w:w="5941" w:type="dxa"/>
            <w:gridSpan w:val="4"/>
            <w:vAlign w:val="center"/>
          </w:tcPr>
          <w:p w14:paraId="193535B8"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295A9A5A" w14:textId="77777777" w:rsidR="00476035" w:rsidRPr="007F453D" w:rsidRDefault="00476035" w:rsidP="00FD61B7">
            <w:pPr>
              <w:pStyle w:val="Tablehead"/>
            </w:pPr>
            <w:r w:rsidRPr="007F453D">
              <w:t xml:space="preserve">Un-paired arrangements </w:t>
            </w:r>
            <w:r w:rsidRPr="007F453D">
              <w:br/>
              <w:t>(TDD)</w:t>
            </w:r>
            <w:r w:rsidRPr="007F453D">
              <w:br/>
              <w:t>(GHz)</w:t>
            </w:r>
          </w:p>
        </w:tc>
      </w:tr>
      <w:tr w:rsidR="00476035" w:rsidRPr="007F453D" w14:paraId="77D50FA4" w14:textId="77777777" w:rsidTr="00FD61B7">
        <w:trPr>
          <w:jc w:val="center"/>
        </w:trPr>
        <w:tc>
          <w:tcPr>
            <w:tcW w:w="1861" w:type="dxa"/>
            <w:vMerge/>
            <w:vAlign w:val="center"/>
          </w:tcPr>
          <w:p w14:paraId="1DDB667D" w14:textId="77777777" w:rsidR="00476035" w:rsidRPr="007F453D" w:rsidRDefault="00476035" w:rsidP="00FD61B7">
            <w:pPr>
              <w:pStyle w:val="Tablehead"/>
            </w:pPr>
          </w:p>
        </w:tc>
        <w:tc>
          <w:tcPr>
            <w:tcW w:w="1783" w:type="dxa"/>
            <w:vAlign w:val="center"/>
          </w:tcPr>
          <w:p w14:paraId="04F783B5" w14:textId="77777777" w:rsidR="00476035" w:rsidRPr="007F453D" w:rsidRDefault="00476035" w:rsidP="00FD61B7">
            <w:pPr>
              <w:pStyle w:val="Tablehead"/>
            </w:pPr>
            <w:r w:rsidRPr="007F453D">
              <w:t>Mobile station transmitter</w:t>
            </w:r>
            <w:r w:rsidRPr="007F453D">
              <w:br/>
              <w:t>(GHz)</w:t>
            </w:r>
          </w:p>
        </w:tc>
        <w:tc>
          <w:tcPr>
            <w:tcW w:w="1336" w:type="dxa"/>
            <w:vAlign w:val="center"/>
          </w:tcPr>
          <w:p w14:paraId="2684765F" w14:textId="77777777" w:rsidR="00476035" w:rsidRPr="007F453D" w:rsidRDefault="00476035" w:rsidP="00FD61B7">
            <w:pPr>
              <w:pStyle w:val="Tablehead"/>
            </w:pPr>
            <w:r w:rsidRPr="007F453D">
              <w:t>Centre gap</w:t>
            </w:r>
            <w:r w:rsidRPr="007F453D">
              <w:br/>
              <w:t>(GHz)</w:t>
            </w:r>
          </w:p>
        </w:tc>
        <w:tc>
          <w:tcPr>
            <w:tcW w:w="1545" w:type="dxa"/>
            <w:vAlign w:val="center"/>
          </w:tcPr>
          <w:p w14:paraId="42BDD628" w14:textId="77777777" w:rsidR="00476035" w:rsidRPr="007F453D" w:rsidRDefault="00476035" w:rsidP="00FD61B7">
            <w:pPr>
              <w:pStyle w:val="Tablehead"/>
            </w:pPr>
            <w:r w:rsidRPr="007F453D">
              <w:t>Base station transmitter</w:t>
            </w:r>
            <w:r w:rsidRPr="007F453D">
              <w:br/>
              <w:t>(GHz)</w:t>
            </w:r>
          </w:p>
        </w:tc>
        <w:tc>
          <w:tcPr>
            <w:tcW w:w="1277" w:type="dxa"/>
            <w:vAlign w:val="center"/>
          </w:tcPr>
          <w:p w14:paraId="07CD867D" w14:textId="77777777" w:rsidR="00476035" w:rsidRPr="007F453D" w:rsidRDefault="00476035" w:rsidP="00FD61B7">
            <w:pPr>
              <w:pStyle w:val="Tablehead"/>
            </w:pPr>
            <w:r w:rsidRPr="007F453D">
              <w:t>Duplex separation</w:t>
            </w:r>
            <w:r w:rsidRPr="007F453D">
              <w:br/>
              <w:t>(GHz)</w:t>
            </w:r>
          </w:p>
        </w:tc>
        <w:tc>
          <w:tcPr>
            <w:tcW w:w="1837" w:type="dxa"/>
            <w:gridSpan w:val="2"/>
            <w:vMerge/>
            <w:vAlign w:val="center"/>
          </w:tcPr>
          <w:p w14:paraId="72AD2799" w14:textId="77777777" w:rsidR="00476035" w:rsidRPr="007F453D" w:rsidRDefault="00476035" w:rsidP="00FD61B7">
            <w:pPr>
              <w:keepNext/>
              <w:spacing w:before="80" w:after="80"/>
              <w:jc w:val="center"/>
              <w:rPr>
                <w:rFonts w:ascii="Times New Roman Bold" w:hAnsi="Times New Roman Bold" w:cs="Times New Roman Bold"/>
                <w:b/>
                <w:sz w:val="20"/>
              </w:rPr>
            </w:pPr>
          </w:p>
        </w:tc>
      </w:tr>
      <w:tr w:rsidR="00476035" w:rsidRPr="007F453D" w14:paraId="50D280DF" w14:textId="77777777" w:rsidTr="00FD61B7">
        <w:trPr>
          <w:gridAfter w:val="1"/>
          <w:wAfter w:w="8" w:type="dxa"/>
          <w:jc w:val="center"/>
        </w:trPr>
        <w:tc>
          <w:tcPr>
            <w:tcW w:w="1861" w:type="dxa"/>
          </w:tcPr>
          <w:p w14:paraId="43C5F88B" w14:textId="77777777" w:rsidR="00476035" w:rsidRPr="00AC4659" w:rsidRDefault="00476035" w:rsidP="00FD61B7">
            <w:pPr>
              <w:pStyle w:val="Tabletext"/>
              <w:jc w:val="center"/>
              <w:rPr>
                <w:szCs w:val="22"/>
              </w:rPr>
            </w:pPr>
            <w:r w:rsidRPr="00AC4659">
              <w:rPr>
                <w:szCs w:val="22"/>
              </w:rPr>
              <w:t>J1</w:t>
            </w:r>
          </w:p>
        </w:tc>
        <w:tc>
          <w:tcPr>
            <w:tcW w:w="5941" w:type="dxa"/>
            <w:gridSpan w:val="4"/>
          </w:tcPr>
          <w:p w14:paraId="1CDCD0FA" w14:textId="77777777" w:rsidR="00476035" w:rsidRPr="00AC4659" w:rsidRDefault="00476035" w:rsidP="00FD61B7">
            <w:pPr>
              <w:pStyle w:val="Tabletext"/>
              <w:jc w:val="center"/>
              <w:rPr>
                <w:szCs w:val="22"/>
              </w:rPr>
            </w:pPr>
            <w:r w:rsidRPr="00AC4659">
              <w:rPr>
                <w:szCs w:val="22"/>
              </w:rPr>
              <w:t>NOT APPLIE</w:t>
            </w:r>
            <w:r>
              <w:rPr>
                <w:szCs w:val="22"/>
              </w:rPr>
              <w:t>D</w:t>
            </w:r>
          </w:p>
        </w:tc>
        <w:tc>
          <w:tcPr>
            <w:tcW w:w="1829" w:type="dxa"/>
          </w:tcPr>
          <w:p w14:paraId="5E49D08C" w14:textId="77777777" w:rsidR="00476035" w:rsidRPr="00AC4659" w:rsidRDefault="00476035" w:rsidP="00FD61B7">
            <w:pPr>
              <w:pStyle w:val="Tabletext"/>
              <w:jc w:val="center"/>
              <w:rPr>
                <w:szCs w:val="22"/>
              </w:rPr>
            </w:pPr>
            <w:r w:rsidRPr="00AC4659">
              <w:rPr>
                <w:szCs w:val="22"/>
              </w:rPr>
              <w:t>37-43.5</w:t>
            </w:r>
          </w:p>
        </w:tc>
      </w:tr>
    </w:tbl>
    <w:p w14:paraId="36A6C813" w14:textId="77777777" w:rsidR="00476035" w:rsidRPr="007F453D" w:rsidRDefault="00476035" w:rsidP="00476035">
      <w:pPr>
        <w:pStyle w:val="Note"/>
      </w:pPr>
      <w:r w:rsidRPr="007F453D">
        <w:rPr>
          <w:i/>
          <w:iCs/>
        </w:rPr>
        <w:t>Note to Table 1</w:t>
      </w:r>
      <w:r>
        <w:rPr>
          <w:i/>
          <w:iCs/>
        </w:rPr>
        <w:t>2</w:t>
      </w:r>
      <w:r w:rsidRPr="007F453D">
        <w:t>:</w:t>
      </w:r>
    </w:p>
    <w:p w14:paraId="37564B4F" w14:textId="77777777" w:rsidR="00476035" w:rsidRPr="007F453D" w:rsidRDefault="00476035" w:rsidP="00476035">
      <w:pPr>
        <w:pStyle w:val="Note"/>
      </w:pPr>
      <w:r w:rsidRPr="007F453D">
        <w:rPr>
          <w:i/>
          <w:iCs/>
        </w:rPr>
        <w:t>Note 1</w:t>
      </w:r>
      <w:r w:rsidRPr="007F453D">
        <w:t>: Only TDD arrangements are recommended in this band.</w:t>
      </w:r>
    </w:p>
    <w:p w14:paraId="0493D757" w14:textId="77777777" w:rsidR="00476035" w:rsidRPr="007F453D" w:rsidRDefault="00476035" w:rsidP="00476035">
      <w:pPr>
        <w:pStyle w:val="FigureNo"/>
        <w:rPr>
          <w:rFonts w:eastAsia="Batang"/>
          <w:lang w:eastAsia="fr-FR"/>
        </w:rPr>
      </w:pPr>
      <w:r w:rsidRPr="007F453D">
        <w:rPr>
          <w:rFonts w:eastAsia="Batang"/>
          <w:lang w:eastAsia="fr-FR"/>
        </w:rPr>
        <w:t>FIGURE 1</w:t>
      </w:r>
      <w:r>
        <w:rPr>
          <w:rFonts w:eastAsia="Batang"/>
          <w:lang w:eastAsia="fr-FR"/>
        </w:rPr>
        <w:t>3</w:t>
      </w:r>
    </w:p>
    <w:p w14:paraId="36B8DC94" w14:textId="77777777" w:rsidR="00476035" w:rsidRPr="007F453D" w:rsidRDefault="00476035" w:rsidP="00476035">
      <w:pPr>
        <w:pStyle w:val="Figuretitle"/>
        <w:rPr>
          <w:rFonts w:eastAsia="Batang"/>
          <w:lang w:eastAsia="fr-FR"/>
        </w:rPr>
      </w:pPr>
      <w:r w:rsidRPr="007F453D">
        <w:rPr>
          <w:rFonts w:eastAsia="Batang"/>
          <w:lang w:eastAsia="fr-FR"/>
        </w:rPr>
        <w:t>Frequency arrangement J1</w:t>
      </w:r>
    </w:p>
    <w:p w14:paraId="6CF2E78A" w14:textId="5018C008" w:rsidR="00476035" w:rsidRPr="007F453D" w:rsidRDefault="00832E1A" w:rsidP="00476035">
      <w:pPr>
        <w:pStyle w:val="Figure"/>
        <w:rPr>
          <w:lang w:eastAsia="fr-FR"/>
        </w:rPr>
      </w:pPr>
      <w:r>
        <w:rPr>
          <w:noProof/>
          <w:lang w:eastAsia="fr-FR"/>
        </w:rPr>
        <w:drawing>
          <wp:inline distT="0" distB="0" distL="0" distR="0" wp14:anchorId="608BC57A" wp14:editId="4775AB41">
            <wp:extent cx="5431547" cy="1520955"/>
            <wp:effectExtent l="0" t="0" r="0" b="3175"/>
            <wp:docPr id="117057435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74350" name="Picture 12">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3DA987CD" w14:textId="77777777" w:rsidR="00476035" w:rsidRPr="007F453D" w:rsidRDefault="00476035" w:rsidP="00476035">
      <w:pPr>
        <w:jc w:val="center"/>
        <w:rPr>
          <w:lang w:eastAsia="fr-FR"/>
        </w:rPr>
      </w:pPr>
    </w:p>
    <w:p w14:paraId="2BCBA841" w14:textId="77777777" w:rsidR="00476035" w:rsidRPr="007F453D" w:rsidRDefault="00476035" w:rsidP="00476035">
      <w:pPr>
        <w:overflowPunct/>
        <w:autoSpaceDE/>
        <w:autoSpaceDN/>
        <w:adjustRightInd/>
        <w:spacing w:before="0"/>
        <w:textAlignment w:val="auto"/>
        <w:rPr>
          <w:caps/>
          <w:sz w:val="28"/>
        </w:rPr>
      </w:pPr>
      <w:r w:rsidRPr="007F453D">
        <w:rPr>
          <w:caps/>
          <w:sz w:val="28"/>
        </w:rPr>
        <w:br w:type="page"/>
      </w:r>
    </w:p>
    <w:p w14:paraId="3F0284DA" w14:textId="77777777" w:rsidR="00476035" w:rsidRPr="007B5747" w:rsidRDefault="00476035" w:rsidP="00476035">
      <w:pPr>
        <w:pStyle w:val="StyleSectionNo14ptCenteredBefore24pt"/>
        <w:rPr>
          <w:szCs w:val="28"/>
        </w:rPr>
      </w:pPr>
      <w:bookmarkStart w:id="39" w:name="_Toc224135082"/>
      <w:r w:rsidRPr="007B5747">
        <w:rPr>
          <w:szCs w:val="28"/>
        </w:rPr>
        <w:lastRenderedPageBreak/>
        <w:t>SECTION 1</w:t>
      </w:r>
      <w:r>
        <w:rPr>
          <w:szCs w:val="28"/>
        </w:rPr>
        <w:t>4</w:t>
      </w:r>
      <w:bookmarkEnd w:id="39"/>
    </w:p>
    <w:p w14:paraId="5EAF84B9" w14:textId="77777777" w:rsidR="00476035" w:rsidRPr="007F453D" w:rsidRDefault="00476035" w:rsidP="00476035">
      <w:pPr>
        <w:pStyle w:val="Sectiontitle"/>
      </w:pPr>
      <w:bookmarkStart w:id="40" w:name="_Toc224135083"/>
      <w:r w:rsidRPr="007F453D">
        <w:t>Frequency arrangements in the band 45.5-47 GHz</w:t>
      </w:r>
      <w:bookmarkEnd w:id="40"/>
    </w:p>
    <w:p w14:paraId="0E838BC5" w14:textId="77777777" w:rsidR="00476035" w:rsidRPr="007F453D" w:rsidRDefault="00476035" w:rsidP="00476035">
      <w:pPr>
        <w:pStyle w:val="Normalaftertitle"/>
      </w:pPr>
      <w:r w:rsidRPr="007F453D">
        <w:t>The recommended frequency arrangements for implementation of IMT in the band 45.5</w:t>
      </w:r>
      <w:r w:rsidRPr="007F453D">
        <w:noBreakHyphen/>
        <w:t>47 GHz are summarized in Table 1</w:t>
      </w:r>
      <w:r>
        <w:t>3</w:t>
      </w:r>
      <w:r w:rsidRPr="007F453D">
        <w:t xml:space="preserve"> and in Fig. 1</w:t>
      </w:r>
      <w:r>
        <w:t>4</w:t>
      </w:r>
      <w:r w:rsidRPr="007F453D">
        <w:t>, noting the implementation aspects in Section 1 above.</w:t>
      </w:r>
    </w:p>
    <w:p w14:paraId="6795C0E2" w14:textId="77777777" w:rsidR="00476035" w:rsidRPr="007F453D" w:rsidRDefault="00476035" w:rsidP="00476035">
      <w:pPr>
        <w:pStyle w:val="TableNo"/>
      </w:pPr>
      <w:r w:rsidRPr="007F453D">
        <w:t>TABLE 1</w:t>
      </w:r>
      <w:r>
        <w:t>3</w:t>
      </w:r>
    </w:p>
    <w:p w14:paraId="77158068" w14:textId="77777777" w:rsidR="00476035" w:rsidRPr="007F453D" w:rsidRDefault="00476035" w:rsidP="00476035">
      <w:pPr>
        <w:pStyle w:val="Tabletitle"/>
      </w:pPr>
      <w:r w:rsidRPr="007F453D">
        <w:t>Frequency arrangements in the 45.5-47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6602AC09" w14:textId="77777777" w:rsidTr="00FD61B7">
        <w:trPr>
          <w:jc w:val="center"/>
        </w:trPr>
        <w:tc>
          <w:tcPr>
            <w:tcW w:w="1861" w:type="dxa"/>
            <w:vMerge w:val="restart"/>
            <w:vAlign w:val="center"/>
          </w:tcPr>
          <w:p w14:paraId="0EEBFB9D" w14:textId="77777777" w:rsidR="00476035" w:rsidRPr="007F453D" w:rsidRDefault="00476035" w:rsidP="00FD61B7">
            <w:pPr>
              <w:pStyle w:val="Tablehead"/>
            </w:pPr>
            <w:r w:rsidRPr="007F453D">
              <w:t>Frequency arrangements</w:t>
            </w:r>
          </w:p>
        </w:tc>
        <w:tc>
          <w:tcPr>
            <w:tcW w:w="5941" w:type="dxa"/>
            <w:gridSpan w:val="4"/>
            <w:vAlign w:val="center"/>
          </w:tcPr>
          <w:p w14:paraId="0E2063D2"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0BA22218" w14:textId="77777777" w:rsidR="00476035" w:rsidRPr="007F453D" w:rsidRDefault="00476035" w:rsidP="00FD61B7">
            <w:pPr>
              <w:pStyle w:val="Tablehead"/>
            </w:pPr>
            <w:r w:rsidRPr="007F453D">
              <w:t xml:space="preserve">Un-paired arrangements </w:t>
            </w:r>
            <w:r w:rsidRPr="007F453D">
              <w:br/>
              <w:t>(TDD)</w:t>
            </w:r>
            <w:r w:rsidRPr="007F453D">
              <w:br/>
              <w:t>(GHz)</w:t>
            </w:r>
          </w:p>
        </w:tc>
      </w:tr>
      <w:tr w:rsidR="00476035" w:rsidRPr="007F453D" w14:paraId="09D08DFE" w14:textId="77777777" w:rsidTr="00FD61B7">
        <w:trPr>
          <w:jc w:val="center"/>
        </w:trPr>
        <w:tc>
          <w:tcPr>
            <w:tcW w:w="1861" w:type="dxa"/>
            <w:vMerge/>
            <w:vAlign w:val="center"/>
          </w:tcPr>
          <w:p w14:paraId="0F8ED3C0" w14:textId="77777777" w:rsidR="00476035" w:rsidRPr="007F453D" w:rsidRDefault="00476035" w:rsidP="00FD61B7">
            <w:pPr>
              <w:pStyle w:val="Tablehead"/>
            </w:pPr>
          </w:p>
        </w:tc>
        <w:tc>
          <w:tcPr>
            <w:tcW w:w="1783" w:type="dxa"/>
            <w:vAlign w:val="center"/>
          </w:tcPr>
          <w:p w14:paraId="755E379A" w14:textId="77777777" w:rsidR="00476035" w:rsidRPr="007F453D" w:rsidRDefault="00476035" w:rsidP="00FD61B7">
            <w:pPr>
              <w:pStyle w:val="Tablehead"/>
            </w:pPr>
            <w:r w:rsidRPr="007F453D">
              <w:t>Mobile station transmitter</w:t>
            </w:r>
            <w:r w:rsidRPr="007F453D">
              <w:br/>
              <w:t>(GHz)</w:t>
            </w:r>
          </w:p>
        </w:tc>
        <w:tc>
          <w:tcPr>
            <w:tcW w:w="1336" w:type="dxa"/>
            <w:vAlign w:val="center"/>
          </w:tcPr>
          <w:p w14:paraId="3A87FA65" w14:textId="77777777" w:rsidR="00476035" w:rsidRPr="007F453D" w:rsidRDefault="00476035" w:rsidP="00FD61B7">
            <w:pPr>
              <w:pStyle w:val="Tablehead"/>
            </w:pPr>
            <w:r w:rsidRPr="007F453D">
              <w:t>Centre gap</w:t>
            </w:r>
            <w:r w:rsidRPr="007F453D">
              <w:br/>
              <w:t>(GHz)</w:t>
            </w:r>
          </w:p>
        </w:tc>
        <w:tc>
          <w:tcPr>
            <w:tcW w:w="1545" w:type="dxa"/>
            <w:vAlign w:val="center"/>
          </w:tcPr>
          <w:p w14:paraId="0D9DBA74" w14:textId="77777777" w:rsidR="00476035" w:rsidRPr="007F453D" w:rsidRDefault="00476035" w:rsidP="00FD61B7">
            <w:pPr>
              <w:pStyle w:val="Tablehead"/>
            </w:pPr>
            <w:r w:rsidRPr="007F453D">
              <w:t>Base station transmitter</w:t>
            </w:r>
            <w:r w:rsidRPr="007F453D">
              <w:br/>
              <w:t>(GHz)</w:t>
            </w:r>
          </w:p>
        </w:tc>
        <w:tc>
          <w:tcPr>
            <w:tcW w:w="1277" w:type="dxa"/>
            <w:vAlign w:val="center"/>
          </w:tcPr>
          <w:p w14:paraId="7706ABBC" w14:textId="77777777" w:rsidR="00476035" w:rsidRPr="007F453D" w:rsidRDefault="00476035" w:rsidP="00FD61B7">
            <w:pPr>
              <w:pStyle w:val="Tablehead"/>
            </w:pPr>
            <w:r w:rsidRPr="007F453D">
              <w:t>Duplex separation</w:t>
            </w:r>
            <w:r w:rsidRPr="007F453D">
              <w:br/>
              <w:t>(GHz)</w:t>
            </w:r>
          </w:p>
        </w:tc>
        <w:tc>
          <w:tcPr>
            <w:tcW w:w="1837" w:type="dxa"/>
            <w:gridSpan w:val="2"/>
            <w:vMerge/>
            <w:vAlign w:val="center"/>
          </w:tcPr>
          <w:p w14:paraId="55F742F5" w14:textId="77777777" w:rsidR="00476035" w:rsidRPr="007F453D" w:rsidRDefault="00476035" w:rsidP="00FD61B7">
            <w:pPr>
              <w:pStyle w:val="Tablehead"/>
            </w:pPr>
          </w:p>
        </w:tc>
      </w:tr>
      <w:tr w:rsidR="00476035" w:rsidRPr="007F453D" w14:paraId="28D5E68B" w14:textId="77777777" w:rsidTr="00FD61B7">
        <w:trPr>
          <w:gridAfter w:val="1"/>
          <w:wAfter w:w="8" w:type="dxa"/>
          <w:jc w:val="center"/>
        </w:trPr>
        <w:tc>
          <w:tcPr>
            <w:tcW w:w="1861" w:type="dxa"/>
          </w:tcPr>
          <w:p w14:paraId="20E40CB6" w14:textId="77777777" w:rsidR="00476035" w:rsidRPr="007F453D" w:rsidRDefault="00476035" w:rsidP="00FD61B7">
            <w:pPr>
              <w:pStyle w:val="Tabletext"/>
              <w:jc w:val="center"/>
            </w:pPr>
            <w:r w:rsidRPr="007F453D">
              <w:rPr>
                <w:lang w:eastAsia="zh-CN"/>
              </w:rPr>
              <w:t>K</w:t>
            </w:r>
            <w:r w:rsidRPr="007F453D">
              <w:t>1</w:t>
            </w:r>
          </w:p>
        </w:tc>
        <w:tc>
          <w:tcPr>
            <w:tcW w:w="5941" w:type="dxa"/>
            <w:gridSpan w:val="4"/>
          </w:tcPr>
          <w:p w14:paraId="67C867E0" w14:textId="77777777" w:rsidR="00476035" w:rsidRPr="007F453D" w:rsidRDefault="00476035" w:rsidP="00FD61B7">
            <w:pPr>
              <w:pStyle w:val="Tabletext"/>
              <w:jc w:val="center"/>
            </w:pPr>
            <w:r w:rsidRPr="007F453D">
              <w:t>NOT APPLIE</w:t>
            </w:r>
            <w:r>
              <w:t>D</w:t>
            </w:r>
          </w:p>
        </w:tc>
        <w:tc>
          <w:tcPr>
            <w:tcW w:w="1829" w:type="dxa"/>
          </w:tcPr>
          <w:p w14:paraId="0E45DA57" w14:textId="77777777" w:rsidR="00476035" w:rsidRPr="007F453D" w:rsidRDefault="00476035" w:rsidP="00FD61B7">
            <w:pPr>
              <w:pStyle w:val="Tabletext"/>
              <w:jc w:val="center"/>
            </w:pPr>
            <w:r w:rsidRPr="007F453D">
              <w:rPr>
                <w:lang w:eastAsia="zh-CN"/>
              </w:rPr>
              <w:t>45.5</w:t>
            </w:r>
            <w:r w:rsidRPr="007F453D">
              <w:t>-</w:t>
            </w:r>
            <w:r w:rsidRPr="007F453D">
              <w:rPr>
                <w:lang w:eastAsia="zh-CN"/>
              </w:rPr>
              <w:t>47</w:t>
            </w:r>
          </w:p>
        </w:tc>
      </w:tr>
    </w:tbl>
    <w:p w14:paraId="30FA190C" w14:textId="77777777" w:rsidR="00476035" w:rsidRPr="007F453D" w:rsidRDefault="00476035" w:rsidP="00476035">
      <w:pPr>
        <w:pStyle w:val="Note"/>
        <w:rPr>
          <w:i/>
          <w:iCs/>
        </w:rPr>
      </w:pPr>
      <w:r w:rsidRPr="007F453D">
        <w:rPr>
          <w:i/>
          <w:iCs/>
        </w:rPr>
        <w:t>Note to Table 1</w:t>
      </w:r>
      <w:r>
        <w:rPr>
          <w:i/>
          <w:iCs/>
        </w:rPr>
        <w:t>3</w:t>
      </w:r>
      <w:r w:rsidRPr="007F453D">
        <w:rPr>
          <w:i/>
          <w:iCs/>
        </w:rPr>
        <w:t>:</w:t>
      </w:r>
    </w:p>
    <w:p w14:paraId="059F9DD5" w14:textId="77777777" w:rsidR="00476035" w:rsidRPr="007F453D" w:rsidRDefault="00476035" w:rsidP="00476035">
      <w:pPr>
        <w:pStyle w:val="Note"/>
      </w:pPr>
      <w:r w:rsidRPr="007F453D">
        <w:rPr>
          <w:i/>
          <w:iCs/>
        </w:rPr>
        <w:t>Note 1</w:t>
      </w:r>
      <w:r w:rsidRPr="007F453D">
        <w:t>: Only TDD arrangements are recommended in this band.</w:t>
      </w:r>
    </w:p>
    <w:p w14:paraId="577697E5" w14:textId="77777777" w:rsidR="00476035" w:rsidRPr="007F453D" w:rsidRDefault="00476035" w:rsidP="00476035">
      <w:pPr>
        <w:pStyle w:val="FigureNo"/>
        <w:rPr>
          <w:rFonts w:eastAsia="Batang"/>
          <w:lang w:eastAsia="fr-FR"/>
        </w:rPr>
      </w:pPr>
      <w:r w:rsidRPr="007F453D">
        <w:rPr>
          <w:rFonts w:eastAsia="Batang"/>
          <w:lang w:eastAsia="fr-FR"/>
        </w:rPr>
        <w:t>FIGURE 1</w:t>
      </w:r>
      <w:r>
        <w:rPr>
          <w:rFonts w:eastAsia="Batang"/>
          <w:lang w:eastAsia="fr-FR"/>
        </w:rPr>
        <w:t>4</w:t>
      </w:r>
    </w:p>
    <w:p w14:paraId="7BAE09C6" w14:textId="77777777" w:rsidR="00476035" w:rsidRPr="007F453D" w:rsidRDefault="00476035" w:rsidP="00476035">
      <w:pPr>
        <w:pStyle w:val="Figuretitle"/>
        <w:rPr>
          <w:rFonts w:eastAsia="Batang"/>
          <w:lang w:eastAsia="fr-FR"/>
        </w:rPr>
      </w:pPr>
      <w:r w:rsidRPr="007F453D">
        <w:rPr>
          <w:rFonts w:eastAsia="Batang"/>
          <w:lang w:eastAsia="fr-FR"/>
        </w:rPr>
        <w:t>Frequency arrangement K1</w:t>
      </w:r>
    </w:p>
    <w:p w14:paraId="5EB9EC1C" w14:textId="3649E88D" w:rsidR="00476035" w:rsidRPr="007F453D" w:rsidRDefault="00832E1A" w:rsidP="00DA7577">
      <w:pPr>
        <w:pStyle w:val="Figure"/>
        <w:rPr>
          <w:lang w:eastAsia="zh-CN"/>
        </w:rPr>
      </w:pPr>
      <w:r>
        <w:rPr>
          <w:noProof/>
          <w:lang w:eastAsia="zh-CN"/>
        </w:rPr>
        <w:drawing>
          <wp:inline distT="0" distB="0" distL="0" distR="0" wp14:anchorId="4C6B4CA7" wp14:editId="3E5F2992">
            <wp:extent cx="5431547" cy="1520955"/>
            <wp:effectExtent l="0" t="0" r="0" b="3175"/>
            <wp:docPr id="347267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674" name="Picture 13">
                      <a:extLst>
                        <a:ext uri="{C183D7F6-B498-43B3-948B-1728B52AA6E4}">
                          <adec:decorative xmlns:adec="http://schemas.microsoft.com/office/drawing/2017/decorative" val="1"/>
                        </a:ext>
                      </a:extLst>
                    </pic:cNvPr>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1DA3DFB1" w14:textId="77777777" w:rsidR="00476035" w:rsidRPr="007F453D" w:rsidRDefault="00476035" w:rsidP="00476035">
      <w:pPr>
        <w:overflowPunct/>
        <w:autoSpaceDE/>
        <w:autoSpaceDN/>
        <w:adjustRightInd/>
        <w:spacing w:before="0"/>
        <w:textAlignment w:val="auto"/>
        <w:rPr>
          <w:caps/>
          <w:sz w:val="28"/>
        </w:rPr>
      </w:pPr>
      <w:r w:rsidRPr="007F453D">
        <w:rPr>
          <w:caps/>
          <w:sz w:val="28"/>
        </w:rPr>
        <w:br w:type="page"/>
      </w:r>
    </w:p>
    <w:p w14:paraId="32C943E5" w14:textId="77777777" w:rsidR="00476035" w:rsidRPr="007B5747" w:rsidRDefault="00476035" w:rsidP="00476035">
      <w:pPr>
        <w:pStyle w:val="StyleSectionNo14ptCenteredBefore24pt"/>
        <w:rPr>
          <w:szCs w:val="28"/>
        </w:rPr>
      </w:pPr>
      <w:bookmarkStart w:id="41" w:name="_Toc224135084"/>
      <w:r w:rsidRPr="007B5747">
        <w:rPr>
          <w:szCs w:val="28"/>
        </w:rPr>
        <w:lastRenderedPageBreak/>
        <w:t>SECTION 1</w:t>
      </w:r>
      <w:r>
        <w:rPr>
          <w:szCs w:val="28"/>
        </w:rPr>
        <w:t>5</w:t>
      </w:r>
      <w:bookmarkEnd w:id="41"/>
    </w:p>
    <w:p w14:paraId="6E3E83AD" w14:textId="77777777" w:rsidR="00476035" w:rsidRPr="007F453D" w:rsidRDefault="00476035" w:rsidP="00476035">
      <w:pPr>
        <w:pStyle w:val="Sectiontitle"/>
      </w:pPr>
      <w:bookmarkStart w:id="42" w:name="_Toc224135085"/>
      <w:r w:rsidRPr="007F453D">
        <w:t>Frequency arrangements in the band 47.2-48.2 GHz</w:t>
      </w:r>
      <w:bookmarkEnd w:id="42"/>
    </w:p>
    <w:p w14:paraId="6F4E7BBB" w14:textId="77777777" w:rsidR="00476035" w:rsidRPr="007F453D" w:rsidRDefault="00476035" w:rsidP="00476035">
      <w:pPr>
        <w:pStyle w:val="Normalaftertitle"/>
      </w:pPr>
      <w:r w:rsidRPr="007F453D">
        <w:t>The recommended frequency arrangements for implementation of IMT in the band 47.2</w:t>
      </w:r>
      <w:r w:rsidRPr="007F453D">
        <w:noBreakHyphen/>
        <w:t>48.2 GHz are summarized in Table 1</w:t>
      </w:r>
      <w:r>
        <w:t>4</w:t>
      </w:r>
      <w:r w:rsidRPr="007F453D">
        <w:t xml:space="preserve"> and in Fig. 1</w:t>
      </w:r>
      <w:r>
        <w:t>5</w:t>
      </w:r>
      <w:r w:rsidRPr="007F453D">
        <w:t>, noting the implementation aspects in Section 1 above.</w:t>
      </w:r>
    </w:p>
    <w:p w14:paraId="30EDA6C0" w14:textId="77777777" w:rsidR="00476035" w:rsidRPr="007F453D" w:rsidRDefault="00476035" w:rsidP="00476035">
      <w:pPr>
        <w:pStyle w:val="TableNo"/>
      </w:pPr>
      <w:r w:rsidRPr="007F453D">
        <w:t>TABLE 1</w:t>
      </w:r>
      <w:r>
        <w:t>4</w:t>
      </w:r>
    </w:p>
    <w:p w14:paraId="2822EA4B" w14:textId="77777777" w:rsidR="00476035" w:rsidRPr="007F453D" w:rsidRDefault="00476035" w:rsidP="00476035">
      <w:pPr>
        <w:pStyle w:val="Tabletitle"/>
      </w:pPr>
      <w:r w:rsidRPr="007F453D">
        <w:t>Frequency arrangements in the 47.2-48.2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752B03BD" w14:textId="77777777" w:rsidTr="00FD61B7">
        <w:trPr>
          <w:jc w:val="center"/>
        </w:trPr>
        <w:tc>
          <w:tcPr>
            <w:tcW w:w="1861" w:type="dxa"/>
            <w:vMerge w:val="restart"/>
            <w:vAlign w:val="center"/>
          </w:tcPr>
          <w:p w14:paraId="5E831137" w14:textId="77777777" w:rsidR="00476035" w:rsidRPr="007F453D" w:rsidRDefault="00476035" w:rsidP="00FD61B7">
            <w:pPr>
              <w:pStyle w:val="Tablehead"/>
            </w:pPr>
            <w:r w:rsidRPr="007F453D">
              <w:t>Frequency arrangements</w:t>
            </w:r>
          </w:p>
        </w:tc>
        <w:tc>
          <w:tcPr>
            <w:tcW w:w="5941" w:type="dxa"/>
            <w:gridSpan w:val="4"/>
            <w:vAlign w:val="center"/>
          </w:tcPr>
          <w:p w14:paraId="6538603E"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3ED10EA1" w14:textId="77777777" w:rsidR="00476035" w:rsidRPr="007F453D" w:rsidRDefault="00476035" w:rsidP="00FD61B7">
            <w:pPr>
              <w:pStyle w:val="Tablehead"/>
            </w:pPr>
            <w:r w:rsidRPr="007F453D">
              <w:t xml:space="preserve">Un-paired arrangements </w:t>
            </w:r>
            <w:r w:rsidRPr="007F453D">
              <w:br/>
              <w:t>(TDD)</w:t>
            </w:r>
            <w:r w:rsidRPr="007F453D">
              <w:br/>
              <w:t>(GHz)</w:t>
            </w:r>
          </w:p>
        </w:tc>
      </w:tr>
      <w:tr w:rsidR="00476035" w:rsidRPr="007F453D" w14:paraId="1B4BE4EC" w14:textId="77777777" w:rsidTr="00FD61B7">
        <w:trPr>
          <w:jc w:val="center"/>
        </w:trPr>
        <w:tc>
          <w:tcPr>
            <w:tcW w:w="1861" w:type="dxa"/>
            <w:vMerge/>
            <w:vAlign w:val="center"/>
          </w:tcPr>
          <w:p w14:paraId="0E3B4DEB" w14:textId="77777777" w:rsidR="00476035" w:rsidRPr="007F453D" w:rsidRDefault="00476035" w:rsidP="00FD61B7">
            <w:pPr>
              <w:pStyle w:val="Tablehead"/>
            </w:pPr>
          </w:p>
        </w:tc>
        <w:tc>
          <w:tcPr>
            <w:tcW w:w="1783" w:type="dxa"/>
            <w:vAlign w:val="center"/>
          </w:tcPr>
          <w:p w14:paraId="1428E559" w14:textId="77777777" w:rsidR="00476035" w:rsidRPr="007F453D" w:rsidRDefault="00476035" w:rsidP="00FD61B7">
            <w:pPr>
              <w:pStyle w:val="Tablehead"/>
            </w:pPr>
            <w:r w:rsidRPr="007F453D">
              <w:t>Mobile station transmitter</w:t>
            </w:r>
            <w:r w:rsidRPr="007F453D">
              <w:br/>
              <w:t>(GHz)</w:t>
            </w:r>
          </w:p>
        </w:tc>
        <w:tc>
          <w:tcPr>
            <w:tcW w:w="1336" w:type="dxa"/>
            <w:vAlign w:val="center"/>
          </w:tcPr>
          <w:p w14:paraId="7FF34AEA" w14:textId="77777777" w:rsidR="00476035" w:rsidRPr="007F453D" w:rsidRDefault="00476035" w:rsidP="00FD61B7">
            <w:pPr>
              <w:pStyle w:val="Tablehead"/>
            </w:pPr>
            <w:r w:rsidRPr="007F453D">
              <w:t>Centre gap</w:t>
            </w:r>
            <w:r w:rsidRPr="007F453D">
              <w:br/>
              <w:t>(GHz)</w:t>
            </w:r>
          </w:p>
        </w:tc>
        <w:tc>
          <w:tcPr>
            <w:tcW w:w="1545" w:type="dxa"/>
            <w:vAlign w:val="center"/>
          </w:tcPr>
          <w:p w14:paraId="338DED11" w14:textId="77777777" w:rsidR="00476035" w:rsidRPr="007F453D" w:rsidRDefault="00476035" w:rsidP="00FD61B7">
            <w:pPr>
              <w:pStyle w:val="Tablehead"/>
            </w:pPr>
            <w:r w:rsidRPr="007F453D">
              <w:t>Base station transmitter</w:t>
            </w:r>
            <w:r w:rsidRPr="007F453D">
              <w:br/>
              <w:t>(GHz)</w:t>
            </w:r>
          </w:p>
        </w:tc>
        <w:tc>
          <w:tcPr>
            <w:tcW w:w="1277" w:type="dxa"/>
            <w:vAlign w:val="center"/>
          </w:tcPr>
          <w:p w14:paraId="66CC7AF7" w14:textId="77777777" w:rsidR="00476035" w:rsidRPr="007F453D" w:rsidRDefault="00476035" w:rsidP="00FD61B7">
            <w:pPr>
              <w:pStyle w:val="Tablehead"/>
            </w:pPr>
            <w:r w:rsidRPr="007F453D">
              <w:t>Duplex separation</w:t>
            </w:r>
            <w:r w:rsidRPr="007F453D">
              <w:br/>
              <w:t>(GHz)</w:t>
            </w:r>
          </w:p>
        </w:tc>
        <w:tc>
          <w:tcPr>
            <w:tcW w:w="1837" w:type="dxa"/>
            <w:gridSpan w:val="2"/>
            <w:vMerge/>
            <w:vAlign w:val="center"/>
          </w:tcPr>
          <w:p w14:paraId="4D96551C" w14:textId="77777777" w:rsidR="00476035" w:rsidRPr="007F453D" w:rsidRDefault="00476035" w:rsidP="00FD61B7">
            <w:pPr>
              <w:pStyle w:val="Tablehead"/>
            </w:pPr>
          </w:p>
        </w:tc>
      </w:tr>
      <w:tr w:rsidR="00476035" w:rsidRPr="007F453D" w14:paraId="13B2274C" w14:textId="77777777" w:rsidTr="00FD61B7">
        <w:trPr>
          <w:gridAfter w:val="1"/>
          <w:wAfter w:w="8" w:type="dxa"/>
          <w:jc w:val="center"/>
        </w:trPr>
        <w:tc>
          <w:tcPr>
            <w:tcW w:w="1861" w:type="dxa"/>
          </w:tcPr>
          <w:p w14:paraId="4999EBBB" w14:textId="77777777" w:rsidR="00476035" w:rsidRPr="007F453D" w:rsidRDefault="00476035" w:rsidP="00FD61B7">
            <w:pPr>
              <w:pStyle w:val="Tabletext"/>
              <w:jc w:val="center"/>
            </w:pPr>
            <w:r w:rsidRPr="007F453D">
              <w:rPr>
                <w:lang w:eastAsia="zh-CN"/>
              </w:rPr>
              <w:t>L</w:t>
            </w:r>
            <w:r w:rsidRPr="007F453D">
              <w:t>1</w:t>
            </w:r>
          </w:p>
        </w:tc>
        <w:tc>
          <w:tcPr>
            <w:tcW w:w="5941" w:type="dxa"/>
            <w:gridSpan w:val="4"/>
          </w:tcPr>
          <w:p w14:paraId="30F52F0A" w14:textId="77777777" w:rsidR="00476035" w:rsidRPr="007F453D" w:rsidRDefault="00476035" w:rsidP="00FD61B7">
            <w:pPr>
              <w:pStyle w:val="Tabletext"/>
              <w:jc w:val="center"/>
            </w:pPr>
            <w:r w:rsidRPr="007F453D">
              <w:t>NOT APPLIE</w:t>
            </w:r>
            <w:r>
              <w:t>D</w:t>
            </w:r>
          </w:p>
        </w:tc>
        <w:tc>
          <w:tcPr>
            <w:tcW w:w="1829" w:type="dxa"/>
          </w:tcPr>
          <w:p w14:paraId="491A5EC2" w14:textId="77777777" w:rsidR="00476035" w:rsidRPr="007F453D" w:rsidRDefault="00476035" w:rsidP="00FD61B7">
            <w:pPr>
              <w:pStyle w:val="Tabletext"/>
              <w:jc w:val="center"/>
            </w:pPr>
            <w:r w:rsidRPr="007F453D">
              <w:rPr>
                <w:lang w:eastAsia="zh-CN"/>
              </w:rPr>
              <w:t>47.2</w:t>
            </w:r>
            <w:r w:rsidRPr="007F453D">
              <w:t>-</w:t>
            </w:r>
            <w:r w:rsidRPr="007F453D">
              <w:rPr>
                <w:lang w:eastAsia="zh-CN"/>
              </w:rPr>
              <w:t>48.2</w:t>
            </w:r>
          </w:p>
        </w:tc>
      </w:tr>
    </w:tbl>
    <w:p w14:paraId="349A5AE3" w14:textId="77777777" w:rsidR="00476035" w:rsidRPr="007F453D" w:rsidRDefault="00476035" w:rsidP="00476035">
      <w:pPr>
        <w:pStyle w:val="Note"/>
        <w:rPr>
          <w:i/>
          <w:iCs/>
        </w:rPr>
      </w:pPr>
      <w:r w:rsidRPr="007F453D">
        <w:rPr>
          <w:i/>
          <w:iCs/>
        </w:rPr>
        <w:t>Note to Table 1</w:t>
      </w:r>
      <w:r>
        <w:rPr>
          <w:i/>
          <w:iCs/>
        </w:rPr>
        <w:t>4</w:t>
      </w:r>
      <w:r w:rsidRPr="007F453D">
        <w:rPr>
          <w:i/>
          <w:iCs/>
        </w:rPr>
        <w:t>:</w:t>
      </w:r>
    </w:p>
    <w:p w14:paraId="209D8CDC" w14:textId="77777777" w:rsidR="00476035" w:rsidRPr="007F453D" w:rsidRDefault="00476035" w:rsidP="00476035">
      <w:pPr>
        <w:pStyle w:val="Note"/>
      </w:pPr>
      <w:r w:rsidRPr="007F453D">
        <w:rPr>
          <w:i/>
          <w:iCs/>
        </w:rPr>
        <w:t>Note 1</w:t>
      </w:r>
      <w:r w:rsidRPr="007F453D">
        <w:t>: Only TDD arrangements are recommended in this band.</w:t>
      </w:r>
    </w:p>
    <w:p w14:paraId="573197F5" w14:textId="77777777" w:rsidR="00476035" w:rsidRPr="007F453D" w:rsidRDefault="00476035" w:rsidP="00476035">
      <w:pPr>
        <w:pStyle w:val="FigureNo"/>
        <w:rPr>
          <w:rFonts w:eastAsia="Batang"/>
          <w:lang w:eastAsia="fr-FR"/>
        </w:rPr>
      </w:pPr>
      <w:r w:rsidRPr="007F453D">
        <w:rPr>
          <w:rFonts w:eastAsia="Batang"/>
          <w:lang w:eastAsia="fr-FR"/>
        </w:rPr>
        <w:t>FIGURE 1</w:t>
      </w:r>
      <w:r>
        <w:rPr>
          <w:rFonts w:eastAsia="Batang"/>
          <w:lang w:eastAsia="fr-FR"/>
        </w:rPr>
        <w:t>5</w:t>
      </w:r>
    </w:p>
    <w:p w14:paraId="249F6926" w14:textId="77777777" w:rsidR="00476035" w:rsidRPr="007F453D" w:rsidRDefault="00476035" w:rsidP="00476035">
      <w:pPr>
        <w:pStyle w:val="Figuretitle"/>
        <w:rPr>
          <w:rFonts w:eastAsia="Batang"/>
          <w:lang w:eastAsia="fr-FR"/>
        </w:rPr>
      </w:pPr>
      <w:r w:rsidRPr="007F453D">
        <w:rPr>
          <w:rFonts w:eastAsia="Batang"/>
          <w:lang w:eastAsia="fr-FR"/>
        </w:rPr>
        <w:t>Frequency arrangement L1</w:t>
      </w:r>
    </w:p>
    <w:p w14:paraId="129193CD" w14:textId="68322A28" w:rsidR="00476035" w:rsidRPr="007F453D" w:rsidRDefault="008C7C2E" w:rsidP="00476035">
      <w:pPr>
        <w:pStyle w:val="Figure"/>
      </w:pPr>
      <w:r>
        <w:rPr>
          <w:noProof/>
        </w:rPr>
        <w:drawing>
          <wp:inline distT="0" distB="0" distL="0" distR="0" wp14:anchorId="67882DA0" wp14:editId="5BBD416E">
            <wp:extent cx="5596255" cy="1477645"/>
            <wp:effectExtent l="0" t="0" r="4445" b="8255"/>
            <wp:docPr id="19014614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61432" name="Picture 1">
                      <a:extLst>
                        <a:ext uri="{C183D7F6-B498-43B3-948B-1728B52AA6E4}">
                          <adec:decorative xmlns:adec="http://schemas.microsoft.com/office/drawing/2017/decorative" val="1"/>
                        </a:ext>
                      </a:extLs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96255" cy="1477645"/>
                    </a:xfrm>
                    <a:prstGeom prst="rect">
                      <a:avLst/>
                    </a:prstGeom>
                    <a:noFill/>
                    <a:ln>
                      <a:noFill/>
                    </a:ln>
                  </pic:spPr>
                </pic:pic>
              </a:graphicData>
            </a:graphic>
          </wp:inline>
        </w:drawing>
      </w:r>
    </w:p>
    <w:p w14:paraId="25D7CF85" w14:textId="77777777" w:rsidR="00476035" w:rsidRPr="007F453D" w:rsidRDefault="00476035" w:rsidP="00476035">
      <w:pPr>
        <w:overflowPunct/>
        <w:autoSpaceDE/>
        <w:autoSpaceDN/>
        <w:adjustRightInd/>
        <w:spacing w:before="0"/>
        <w:textAlignment w:val="auto"/>
        <w:rPr>
          <w:caps/>
          <w:sz w:val="28"/>
        </w:rPr>
      </w:pPr>
      <w:r w:rsidRPr="007F453D">
        <w:rPr>
          <w:caps/>
          <w:sz w:val="28"/>
        </w:rPr>
        <w:br w:type="page"/>
      </w:r>
    </w:p>
    <w:p w14:paraId="6340F8C2" w14:textId="77777777" w:rsidR="00476035" w:rsidRPr="007B5747" w:rsidRDefault="00476035" w:rsidP="00476035">
      <w:pPr>
        <w:pStyle w:val="StyleSectionNo14ptCenteredBefore24pt"/>
        <w:rPr>
          <w:szCs w:val="28"/>
        </w:rPr>
      </w:pPr>
      <w:bookmarkStart w:id="43" w:name="_Toc224135086"/>
      <w:r w:rsidRPr="007B5747">
        <w:rPr>
          <w:szCs w:val="28"/>
        </w:rPr>
        <w:lastRenderedPageBreak/>
        <w:t>SECTION 1</w:t>
      </w:r>
      <w:r>
        <w:rPr>
          <w:szCs w:val="28"/>
        </w:rPr>
        <w:t>6</w:t>
      </w:r>
      <w:bookmarkEnd w:id="43"/>
    </w:p>
    <w:p w14:paraId="4E940357" w14:textId="77777777" w:rsidR="00476035" w:rsidRPr="007F453D" w:rsidRDefault="00476035" w:rsidP="00476035">
      <w:pPr>
        <w:pStyle w:val="Sectiontitle"/>
      </w:pPr>
      <w:bookmarkStart w:id="44" w:name="_Toc224135087"/>
      <w:r w:rsidRPr="007F453D">
        <w:t>Frequency arrangements in the band 66-71 GHz</w:t>
      </w:r>
      <w:bookmarkEnd w:id="44"/>
    </w:p>
    <w:p w14:paraId="1F510AC8" w14:textId="77777777" w:rsidR="00476035" w:rsidRPr="007F453D" w:rsidRDefault="00476035" w:rsidP="00476035">
      <w:pPr>
        <w:pStyle w:val="Normalaftertitle"/>
      </w:pPr>
      <w:r w:rsidRPr="007F453D">
        <w:t>The recommended frequency arrangements for implementation of IMT in the band 66</w:t>
      </w:r>
      <w:r w:rsidRPr="007F453D">
        <w:noBreakHyphen/>
        <w:t>71 GHz are summarized in Table 1</w:t>
      </w:r>
      <w:r>
        <w:t>5</w:t>
      </w:r>
      <w:r w:rsidRPr="007F453D">
        <w:t xml:space="preserve"> and in Fig. 1</w:t>
      </w:r>
      <w:r>
        <w:t>6</w:t>
      </w:r>
      <w:r w:rsidRPr="007F453D">
        <w:t>, noting the implementation aspects in Section 1 above.</w:t>
      </w:r>
    </w:p>
    <w:p w14:paraId="03175CE6" w14:textId="77777777" w:rsidR="00476035" w:rsidRPr="007F453D" w:rsidRDefault="00476035" w:rsidP="00476035">
      <w:pPr>
        <w:pStyle w:val="TableNo"/>
      </w:pPr>
      <w:r w:rsidRPr="007F453D">
        <w:t>TABLE 1</w:t>
      </w:r>
      <w:r>
        <w:t>5</w:t>
      </w:r>
    </w:p>
    <w:p w14:paraId="3253868C" w14:textId="77777777" w:rsidR="00476035" w:rsidRPr="007F453D" w:rsidRDefault="00476035" w:rsidP="00476035">
      <w:pPr>
        <w:pStyle w:val="Tabletitle"/>
      </w:pPr>
      <w:r w:rsidRPr="007F453D">
        <w:t>Frequency arrangements in the 66-71 GHz frequency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783"/>
        <w:gridCol w:w="1336"/>
        <w:gridCol w:w="1545"/>
        <w:gridCol w:w="1277"/>
        <w:gridCol w:w="1829"/>
        <w:gridCol w:w="8"/>
      </w:tblGrid>
      <w:tr w:rsidR="00476035" w:rsidRPr="007F453D" w14:paraId="098EBB7D" w14:textId="77777777" w:rsidTr="00FD61B7">
        <w:trPr>
          <w:jc w:val="center"/>
        </w:trPr>
        <w:tc>
          <w:tcPr>
            <w:tcW w:w="1861" w:type="dxa"/>
            <w:vMerge w:val="restart"/>
            <w:vAlign w:val="center"/>
          </w:tcPr>
          <w:p w14:paraId="495D7C08" w14:textId="77777777" w:rsidR="00476035" w:rsidRPr="007F453D" w:rsidRDefault="00476035" w:rsidP="00FD61B7">
            <w:pPr>
              <w:pStyle w:val="Tablehead"/>
            </w:pPr>
            <w:r w:rsidRPr="007F453D">
              <w:t>Frequency arrangements</w:t>
            </w:r>
          </w:p>
        </w:tc>
        <w:tc>
          <w:tcPr>
            <w:tcW w:w="5941" w:type="dxa"/>
            <w:gridSpan w:val="4"/>
            <w:vAlign w:val="center"/>
          </w:tcPr>
          <w:p w14:paraId="226C2137" w14:textId="77777777" w:rsidR="00476035" w:rsidRPr="007F453D" w:rsidRDefault="00476035" w:rsidP="00FD61B7">
            <w:pPr>
              <w:pStyle w:val="Tablehead"/>
            </w:pPr>
            <w:r w:rsidRPr="007F453D">
              <w:t>Paired arrangements (FDD)</w:t>
            </w:r>
          </w:p>
        </w:tc>
        <w:tc>
          <w:tcPr>
            <w:tcW w:w="1837" w:type="dxa"/>
            <w:gridSpan w:val="2"/>
            <w:vMerge w:val="restart"/>
            <w:vAlign w:val="center"/>
          </w:tcPr>
          <w:p w14:paraId="2942FA72" w14:textId="77777777" w:rsidR="00476035" w:rsidRPr="007F453D" w:rsidRDefault="00476035" w:rsidP="00FD61B7">
            <w:pPr>
              <w:pStyle w:val="Tablehead"/>
            </w:pPr>
            <w:r w:rsidRPr="007F453D">
              <w:t xml:space="preserve">Un-paired arrangements </w:t>
            </w:r>
            <w:r w:rsidRPr="007F453D">
              <w:br/>
              <w:t>(TDD)</w:t>
            </w:r>
            <w:r w:rsidRPr="007F453D">
              <w:br/>
              <w:t>(GHz)</w:t>
            </w:r>
          </w:p>
        </w:tc>
      </w:tr>
      <w:tr w:rsidR="00476035" w:rsidRPr="007F453D" w14:paraId="261213A9" w14:textId="77777777" w:rsidTr="00FD61B7">
        <w:trPr>
          <w:jc w:val="center"/>
        </w:trPr>
        <w:tc>
          <w:tcPr>
            <w:tcW w:w="1861" w:type="dxa"/>
            <w:vMerge/>
            <w:vAlign w:val="center"/>
          </w:tcPr>
          <w:p w14:paraId="43BB563E" w14:textId="77777777" w:rsidR="00476035" w:rsidRPr="007F453D" w:rsidRDefault="00476035" w:rsidP="00FD61B7">
            <w:pPr>
              <w:pStyle w:val="Tablehead"/>
            </w:pPr>
          </w:p>
        </w:tc>
        <w:tc>
          <w:tcPr>
            <w:tcW w:w="1783" w:type="dxa"/>
            <w:vAlign w:val="center"/>
          </w:tcPr>
          <w:p w14:paraId="04E86C55" w14:textId="77777777" w:rsidR="00476035" w:rsidRPr="007F453D" w:rsidRDefault="00476035" w:rsidP="00FD61B7">
            <w:pPr>
              <w:pStyle w:val="Tablehead"/>
            </w:pPr>
            <w:r w:rsidRPr="007F453D">
              <w:t>Mobile station transmitter</w:t>
            </w:r>
            <w:r w:rsidRPr="007F453D">
              <w:br/>
              <w:t>(GHz)</w:t>
            </w:r>
          </w:p>
        </w:tc>
        <w:tc>
          <w:tcPr>
            <w:tcW w:w="1336" w:type="dxa"/>
            <w:vAlign w:val="center"/>
          </w:tcPr>
          <w:p w14:paraId="6390AA41" w14:textId="77777777" w:rsidR="00476035" w:rsidRPr="007F453D" w:rsidRDefault="00476035" w:rsidP="00FD61B7">
            <w:pPr>
              <w:pStyle w:val="Tablehead"/>
            </w:pPr>
            <w:r w:rsidRPr="007F453D">
              <w:t>Centre gap</w:t>
            </w:r>
            <w:r w:rsidRPr="007F453D">
              <w:br/>
              <w:t>(GHz)</w:t>
            </w:r>
          </w:p>
        </w:tc>
        <w:tc>
          <w:tcPr>
            <w:tcW w:w="1545" w:type="dxa"/>
            <w:vAlign w:val="center"/>
          </w:tcPr>
          <w:p w14:paraId="3FE0745A" w14:textId="77777777" w:rsidR="00476035" w:rsidRPr="007F453D" w:rsidRDefault="00476035" w:rsidP="00FD61B7">
            <w:pPr>
              <w:pStyle w:val="Tablehead"/>
            </w:pPr>
            <w:r w:rsidRPr="007F453D">
              <w:t>Base station transmitter</w:t>
            </w:r>
            <w:r w:rsidRPr="007F453D">
              <w:br/>
              <w:t>(GHz)</w:t>
            </w:r>
          </w:p>
        </w:tc>
        <w:tc>
          <w:tcPr>
            <w:tcW w:w="1277" w:type="dxa"/>
            <w:vAlign w:val="center"/>
          </w:tcPr>
          <w:p w14:paraId="20DC7A63" w14:textId="77777777" w:rsidR="00476035" w:rsidRPr="007F453D" w:rsidRDefault="00476035" w:rsidP="00FD61B7">
            <w:pPr>
              <w:pStyle w:val="Tablehead"/>
            </w:pPr>
            <w:r w:rsidRPr="007F453D">
              <w:t>Duplex separation</w:t>
            </w:r>
            <w:r w:rsidRPr="007F453D">
              <w:br/>
              <w:t>(GHz)</w:t>
            </w:r>
          </w:p>
        </w:tc>
        <w:tc>
          <w:tcPr>
            <w:tcW w:w="1837" w:type="dxa"/>
            <w:gridSpan w:val="2"/>
            <w:vMerge/>
            <w:vAlign w:val="center"/>
          </w:tcPr>
          <w:p w14:paraId="454FEBB3" w14:textId="77777777" w:rsidR="00476035" w:rsidRPr="007F453D" w:rsidRDefault="00476035" w:rsidP="00FD61B7">
            <w:pPr>
              <w:pStyle w:val="Tablehead"/>
            </w:pPr>
          </w:p>
        </w:tc>
      </w:tr>
      <w:tr w:rsidR="00476035" w:rsidRPr="007F453D" w14:paraId="63EDCF50" w14:textId="77777777" w:rsidTr="00FD61B7">
        <w:trPr>
          <w:gridAfter w:val="1"/>
          <w:wAfter w:w="8" w:type="dxa"/>
          <w:jc w:val="center"/>
        </w:trPr>
        <w:tc>
          <w:tcPr>
            <w:tcW w:w="1861" w:type="dxa"/>
          </w:tcPr>
          <w:p w14:paraId="1E8907DF" w14:textId="77777777" w:rsidR="00476035" w:rsidRPr="007F453D" w:rsidRDefault="00476035" w:rsidP="00FD61B7">
            <w:pPr>
              <w:pStyle w:val="Tabletext"/>
              <w:jc w:val="center"/>
            </w:pPr>
            <w:r w:rsidRPr="007F453D">
              <w:rPr>
                <w:lang w:eastAsia="zh-CN"/>
              </w:rPr>
              <w:t>M</w:t>
            </w:r>
            <w:r w:rsidRPr="007F453D">
              <w:t>1</w:t>
            </w:r>
          </w:p>
        </w:tc>
        <w:tc>
          <w:tcPr>
            <w:tcW w:w="5941" w:type="dxa"/>
            <w:gridSpan w:val="4"/>
          </w:tcPr>
          <w:p w14:paraId="09FFC8D0" w14:textId="77777777" w:rsidR="00476035" w:rsidRPr="007F453D" w:rsidRDefault="00476035" w:rsidP="00FD61B7">
            <w:pPr>
              <w:pStyle w:val="Tabletext"/>
              <w:jc w:val="center"/>
            </w:pPr>
            <w:r w:rsidRPr="007F453D">
              <w:t>NOT APPLIE</w:t>
            </w:r>
            <w:r>
              <w:t>D</w:t>
            </w:r>
          </w:p>
        </w:tc>
        <w:tc>
          <w:tcPr>
            <w:tcW w:w="1829" w:type="dxa"/>
          </w:tcPr>
          <w:p w14:paraId="34C77C06" w14:textId="77777777" w:rsidR="00476035" w:rsidRPr="007F453D" w:rsidRDefault="00476035" w:rsidP="00FD61B7">
            <w:pPr>
              <w:pStyle w:val="Tabletext"/>
              <w:jc w:val="center"/>
            </w:pPr>
            <w:r w:rsidRPr="007F453D">
              <w:rPr>
                <w:lang w:eastAsia="zh-CN"/>
              </w:rPr>
              <w:t>66</w:t>
            </w:r>
            <w:r w:rsidRPr="007F453D">
              <w:t>-</w:t>
            </w:r>
            <w:r w:rsidRPr="007F453D">
              <w:rPr>
                <w:lang w:eastAsia="zh-CN"/>
              </w:rPr>
              <w:t>71</w:t>
            </w:r>
          </w:p>
        </w:tc>
      </w:tr>
    </w:tbl>
    <w:p w14:paraId="353727CD" w14:textId="77777777" w:rsidR="00476035" w:rsidRPr="007F453D" w:rsidRDefault="00476035" w:rsidP="00476035">
      <w:pPr>
        <w:pStyle w:val="Note"/>
        <w:rPr>
          <w:i/>
          <w:iCs/>
        </w:rPr>
      </w:pPr>
      <w:r w:rsidRPr="007F453D">
        <w:rPr>
          <w:i/>
          <w:iCs/>
        </w:rPr>
        <w:t>Note to Table 1</w:t>
      </w:r>
      <w:r>
        <w:rPr>
          <w:i/>
          <w:iCs/>
        </w:rPr>
        <w:t>5</w:t>
      </w:r>
      <w:r w:rsidRPr="007F453D">
        <w:rPr>
          <w:i/>
          <w:iCs/>
        </w:rPr>
        <w:t>:</w:t>
      </w:r>
    </w:p>
    <w:p w14:paraId="1FFEA0FE" w14:textId="77777777" w:rsidR="00476035" w:rsidRPr="007F453D" w:rsidRDefault="00476035" w:rsidP="00476035">
      <w:pPr>
        <w:pStyle w:val="Note"/>
      </w:pPr>
      <w:r w:rsidRPr="007F453D">
        <w:rPr>
          <w:i/>
          <w:iCs/>
        </w:rPr>
        <w:t>Note 1</w:t>
      </w:r>
      <w:r w:rsidRPr="007F453D">
        <w:t>: Only TDD arrangements are recommended in this band.</w:t>
      </w:r>
    </w:p>
    <w:p w14:paraId="0672E8A0" w14:textId="77777777" w:rsidR="00476035" w:rsidRPr="007F453D" w:rsidRDefault="00476035" w:rsidP="00476035">
      <w:pPr>
        <w:pStyle w:val="FigureNo"/>
        <w:rPr>
          <w:rFonts w:eastAsia="Batang"/>
          <w:lang w:eastAsia="fr-FR"/>
        </w:rPr>
      </w:pPr>
      <w:r w:rsidRPr="007F453D">
        <w:rPr>
          <w:rFonts w:eastAsia="Batang"/>
          <w:lang w:eastAsia="fr-FR"/>
        </w:rPr>
        <w:t>FIGURE 1</w:t>
      </w:r>
      <w:r>
        <w:rPr>
          <w:rFonts w:eastAsia="Batang"/>
          <w:lang w:eastAsia="fr-FR"/>
        </w:rPr>
        <w:t>6</w:t>
      </w:r>
    </w:p>
    <w:p w14:paraId="0152E605" w14:textId="77777777" w:rsidR="00476035" w:rsidRPr="007F453D" w:rsidRDefault="00476035" w:rsidP="00476035">
      <w:pPr>
        <w:pStyle w:val="Figuretitle"/>
        <w:rPr>
          <w:rFonts w:eastAsia="Batang"/>
          <w:lang w:eastAsia="fr-FR"/>
        </w:rPr>
      </w:pPr>
      <w:r w:rsidRPr="007F453D">
        <w:rPr>
          <w:rFonts w:eastAsia="Batang"/>
          <w:lang w:eastAsia="fr-FR"/>
        </w:rPr>
        <w:t>Frequency arrangement M1</w:t>
      </w:r>
    </w:p>
    <w:p w14:paraId="644F0184" w14:textId="701D384B" w:rsidR="00476035" w:rsidRPr="00751A22" w:rsidRDefault="00832E1A" w:rsidP="00832E1A">
      <w:pPr>
        <w:pStyle w:val="Figure"/>
        <w:rPr>
          <w:rFonts w:eastAsia="Batang"/>
          <w:lang w:eastAsia="fr-FR"/>
        </w:rPr>
      </w:pPr>
      <w:r>
        <w:rPr>
          <w:rFonts w:eastAsia="Batang"/>
          <w:noProof/>
          <w:lang w:eastAsia="fr-FR"/>
        </w:rPr>
        <w:drawing>
          <wp:inline distT="0" distB="0" distL="0" distR="0" wp14:anchorId="2C058C62" wp14:editId="3F0C1D8C">
            <wp:extent cx="5431547" cy="1520955"/>
            <wp:effectExtent l="0" t="0" r="0" b="3175"/>
            <wp:docPr id="1079061627"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61627" name="Picture 15">
                      <a:extLst>
                        <a:ext uri="{C183D7F6-B498-43B3-948B-1728B52AA6E4}">
                          <adec:decorative xmlns:adec="http://schemas.microsoft.com/office/drawing/2017/decorative" val="1"/>
                        </a:ext>
                      </a:extLst>
                    </pic:cNvPr>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431547" cy="1520955"/>
                    </a:xfrm>
                    <a:prstGeom prst="rect">
                      <a:avLst/>
                    </a:prstGeom>
                  </pic:spPr>
                </pic:pic>
              </a:graphicData>
            </a:graphic>
          </wp:inline>
        </w:drawing>
      </w:r>
    </w:p>
    <w:p w14:paraId="249938E6" w14:textId="77777777" w:rsidR="00476035" w:rsidRPr="007F453D" w:rsidRDefault="00476035" w:rsidP="00476035"/>
    <w:p w14:paraId="252896E3" w14:textId="77777777" w:rsidR="00476035" w:rsidRPr="007F453D" w:rsidRDefault="00476035" w:rsidP="00476035">
      <w:pPr>
        <w:overflowPunct/>
        <w:autoSpaceDE/>
        <w:autoSpaceDN/>
        <w:adjustRightInd/>
        <w:spacing w:before="0"/>
        <w:textAlignment w:val="auto"/>
        <w:rPr>
          <w:b/>
          <w:sz w:val="28"/>
        </w:rPr>
      </w:pPr>
      <w:r w:rsidRPr="007F453D">
        <w:br w:type="page"/>
      </w:r>
    </w:p>
    <w:p w14:paraId="2131594F" w14:textId="77777777" w:rsidR="00476035" w:rsidRPr="007F453D" w:rsidRDefault="00476035" w:rsidP="00476035">
      <w:pPr>
        <w:pStyle w:val="AnnexNoTitle"/>
      </w:pPr>
      <w:bookmarkStart w:id="45" w:name="_Toc224135088"/>
      <w:r w:rsidRPr="007F453D">
        <w:lastRenderedPageBreak/>
        <w:t>Attachment 1</w:t>
      </w:r>
      <w:r w:rsidRPr="007F453D">
        <w:rPr>
          <w:rStyle w:val="FootnoteReference"/>
        </w:rPr>
        <w:footnoteReference w:id="5"/>
      </w:r>
      <w:r w:rsidRPr="007F453D">
        <w:br/>
        <w:t xml:space="preserve">to </w:t>
      </w:r>
      <w:r>
        <w:t xml:space="preserve">the </w:t>
      </w:r>
      <w:r w:rsidRPr="007F453D">
        <w:t>Annex</w:t>
      </w:r>
      <w:bookmarkEnd w:id="45"/>
    </w:p>
    <w:p w14:paraId="7D3BF32D" w14:textId="77777777" w:rsidR="00476035" w:rsidRPr="007F453D" w:rsidRDefault="00476035" w:rsidP="00476035">
      <w:pPr>
        <w:pStyle w:val="Normalaftertitle"/>
      </w:pPr>
      <w:bookmarkStart w:id="46" w:name="_Hlk22827964"/>
      <w:r w:rsidRPr="007F453D">
        <w:t xml:space="preserve">Frequency bands and associated footnotes identifying the band for IMT in Table </w:t>
      </w:r>
      <w:r>
        <w:t>16</w:t>
      </w:r>
      <w:r w:rsidRPr="007F453D">
        <w:t xml:space="preserve"> are extracted from the edition 202</w:t>
      </w:r>
      <w:r>
        <w:t>4</w:t>
      </w:r>
      <w:r w:rsidRPr="007F453D">
        <w:t xml:space="preserve"> of the RR, Article </w:t>
      </w:r>
      <w:r w:rsidRPr="007F453D">
        <w:rPr>
          <w:b/>
          <w:bCs/>
        </w:rPr>
        <w:t>5</w:t>
      </w:r>
      <w:r w:rsidRPr="007F453D">
        <w:t xml:space="preserve"> for ease of reference.</w:t>
      </w:r>
    </w:p>
    <w:p w14:paraId="7FED107C" w14:textId="77777777" w:rsidR="00476035" w:rsidRPr="007F453D" w:rsidRDefault="00476035" w:rsidP="00476035">
      <w:pPr>
        <w:pStyle w:val="enumlev1"/>
      </w:pPr>
      <w:r w:rsidRPr="007F453D">
        <w:t>1</w:t>
      </w:r>
      <w:r w:rsidRPr="007F453D">
        <w:tab/>
        <w:t>Also, administrations may deploy IMT systems in bands allocated to the mobile service other than those identified in the RR, and administrations may deploy IMT systems only in some or parts of the bands identified for IMT in the RR.</w:t>
      </w:r>
    </w:p>
    <w:p w14:paraId="449E7117" w14:textId="77777777" w:rsidR="00476035" w:rsidRPr="007F453D" w:rsidRDefault="00476035" w:rsidP="00476035">
      <w:pPr>
        <w:pStyle w:val="enumlev1"/>
      </w:pPr>
      <w:r w:rsidRPr="007F453D">
        <w:t>2</w:t>
      </w:r>
      <w:r w:rsidRPr="007F453D">
        <w:tab/>
        <w:t>However, it is emphasized that the use of IMT in any band allocated to the mobile service on a primary basis but not identified for IMT should also comply with the objectives of the relevant technical and regulatory provisions of the RR, as well as with the latest version of applicable ITU-R Recommendation(s).</w:t>
      </w:r>
    </w:p>
    <w:bookmarkEnd w:id="46"/>
    <w:p w14:paraId="0D654591" w14:textId="77777777" w:rsidR="00476035" w:rsidRPr="007F453D" w:rsidRDefault="00476035" w:rsidP="00476035">
      <w:pPr>
        <w:pStyle w:val="TableNo"/>
      </w:pPr>
      <w:r w:rsidRPr="007F453D">
        <w:t xml:space="preserve">TABLE </w:t>
      </w:r>
      <w:r>
        <w:t>16</w:t>
      </w:r>
    </w:p>
    <w:tbl>
      <w:tblPr>
        <w:tblW w:w="9660" w:type="dxa"/>
        <w:jc w:val="center"/>
        <w:shd w:val="clear" w:color="auto" w:fill="FFFFFF" w:themeFill="background1"/>
        <w:tblLook w:val="0000" w:firstRow="0" w:lastRow="0" w:firstColumn="0" w:lastColumn="0" w:noHBand="0" w:noVBand="0"/>
      </w:tblPr>
      <w:tblGrid>
        <w:gridCol w:w="3024"/>
        <w:gridCol w:w="2321"/>
        <w:gridCol w:w="2098"/>
        <w:gridCol w:w="2217"/>
      </w:tblGrid>
      <w:tr w:rsidR="00476035" w:rsidRPr="001E6776" w:rsidDel="000F5682" w14:paraId="42F2F474" w14:textId="77777777" w:rsidTr="00FD61B7">
        <w:trPr>
          <w:tblHeader/>
          <w:jc w:val="center"/>
        </w:trPr>
        <w:tc>
          <w:tcPr>
            <w:tcW w:w="3024" w:type="dxa"/>
            <w:vMerge w:val="restart"/>
            <w:tcBorders>
              <w:top w:val="single" w:sz="4" w:space="0" w:color="000000"/>
              <w:left w:val="single" w:sz="4" w:space="0" w:color="000000"/>
            </w:tcBorders>
            <w:shd w:val="clear" w:color="auto" w:fill="FFFFFF" w:themeFill="background1"/>
            <w:vAlign w:val="center"/>
          </w:tcPr>
          <w:p w14:paraId="012A86B9" w14:textId="77777777" w:rsidR="00476035" w:rsidRPr="001E6776" w:rsidDel="000F5682" w:rsidRDefault="00476035" w:rsidP="00712FE3">
            <w:pPr>
              <w:pStyle w:val="Tablehead"/>
              <w:rPr>
                <w:rFonts w:eastAsia="MS Mincho"/>
              </w:rPr>
            </w:pPr>
            <w:r w:rsidRPr="001E6776" w:rsidDel="000F5682">
              <w:rPr>
                <w:rFonts w:eastAsia="MS Mincho"/>
              </w:rPr>
              <w:t xml:space="preserve">Band </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7F1FC7" w14:textId="77777777" w:rsidR="00476035" w:rsidRPr="001E6776" w:rsidDel="000F5682" w:rsidRDefault="00476035" w:rsidP="00712FE3">
            <w:pPr>
              <w:pStyle w:val="Tablehead"/>
              <w:rPr>
                <w:rFonts w:eastAsia="MS Mincho"/>
              </w:rPr>
            </w:pPr>
            <w:r w:rsidRPr="001E6776" w:rsidDel="000F5682">
              <w:rPr>
                <w:rFonts w:eastAsia="MS Mincho"/>
              </w:rPr>
              <w:t>Footnotes identifying the</w:t>
            </w:r>
            <w:r w:rsidRPr="001E6776">
              <w:rPr>
                <w:rFonts w:eastAsia="MS Mincho"/>
              </w:rPr>
              <w:t xml:space="preserve"> </w:t>
            </w:r>
            <w:r w:rsidRPr="001E6776" w:rsidDel="000F5682">
              <w:rPr>
                <w:rFonts w:eastAsia="MS Mincho"/>
              </w:rPr>
              <w:t>band for IMT</w:t>
            </w:r>
          </w:p>
        </w:tc>
      </w:tr>
      <w:tr w:rsidR="00476035" w:rsidRPr="001E6776" w:rsidDel="000F5682" w14:paraId="63C2DF21" w14:textId="77777777" w:rsidTr="00FD61B7">
        <w:trPr>
          <w:tblHeader/>
          <w:jc w:val="center"/>
        </w:trPr>
        <w:tc>
          <w:tcPr>
            <w:tcW w:w="3024" w:type="dxa"/>
            <w:vMerge/>
            <w:tcBorders>
              <w:left w:val="single" w:sz="4" w:space="0" w:color="000000"/>
              <w:bottom w:val="single" w:sz="4" w:space="0" w:color="000000"/>
            </w:tcBorders>
            <w:shd w:val="clear" w:color="auto" w:fill="FFFFFF" w:themeFill="background1"/>
            <w:vAlign w:val="center"/>
          </w:tcPr>
          <w:p w14:paraId="7D98DF4D" w14:textId="77777777" w:rsidR="00476035" w:rsidRPr="001E6776" w:rsidDel="000F5682" w:rsidRDefault="00476035" w:rsidP="00712FE3">
            <w:pPr>
              <w:pStyle w:val="Tablehead"/>
              <w:rPr>
                <w:rFonts w:eastAsia="MS Mincho"/>
              </w:rPr>
            </w:pP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BB9304" w14:textId="77777777" w:rsidR="00476035" w:rsidRPr="001E6776" w:rsidDel="000F5682" w:rsidRDefault="00476035" w:rsidP="00712FE3">
            <w:pPr>
              <w:pStyle w:val="Tablehead"/>
              <w:rPr>
                <w:rFonts w:eastAsia="MS Mincho"/>
              </w:rPr>
            </w:pPr>
            <w:r w:rsidRPr="001E6776">
              <w:rPr>
                <w:rFonts w:eastAsia="MS Mincho"/>
              </w:rPr>
              <w:t>Region 1</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03FF01" w14:textId="77777777" w:rsidR="00476035" w:rsidRPr="001E6776" w:rsidDel="000F5682" w:rsidRDefault="00476035" w:rsidP="00712FE3">
            <w:pPr>
              <w:pStyle w:val="Tablehead"/>
              <w:rPr>
                <w:rFonts w:eastAsia="MS Mincho"/>
              </w:rPr>
            </w:pPr>
            <w:r w:rsidRPr="001E6776">
              <w:rPr>
                <w:rFonts w:eastAsia="MS Mincho"/>
              </w:rPr>
              <w:t>Region 2</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5AC19F" w14:textId="77777777" w:rsidR="00476035" w:rsidRPr="001E6776" w:rsidDel="000F5682" w:rsidRDefault="00476035" w:rsidP="00712FE3">
            <w:pPr>
              <w:pStyle w:val="Tablehead"/>
              <w:rPr>
                <w:rFonts w:eastAsia="MS Mincho"/>
              </w:rPr>
            </w:pPr>
            <w:r w:rsidRPr="001E6776">
              <w:rPr>
                <w:rFonts w:eastAsia="MS Mincho"/>
              </w:rPr>
              <w:t>Region 3</w:t>
            </w:r>
          </w:p>
        </w:tc>
      </w:tr>
      <w:tr w:rsidR="00476035" w:rsidRPr="001E6776" w:rsidDel="000F5682" w14:paraId="2225C20F"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45F6E442" w14:textId="77777777" w:rsidR="00476035" w:rsidRPr="001E6776" w:rsidDel="000F5682" w:rsidRDefault="00476035" w:rsidP="00712FE3">
            <w:pPr>
              <w:pStyle w:val="Tabletext"/>
              <w:jc w:val="center"/>
              <w:rPr>
                <w:rFonts w:eastAsia="MS Mincho"/>
              </w:rPr>
            </w:pPr>
            <w:r w:rsidRPr="001E6776" w:rsidDel="000F5682">
              <w:rPr>
                <w:rFonts w:eastAsia="MS Mincho"/>
              </w:rPr>
              <w:t>450-470</w:t>
            </w:r>
            <w:r w:rsidRPr="001E6776">
              <w:rPr>
                <w:rFonts w:eastAsia="MS Mincho"/>
              </w:rPr>
              <w:t xml:space="preserve"> MHz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9F87B4" w14:textId="77777777" w:rsidR="00476035" w:rsidRPr="001E6776" w:rsidDel="000F5682" w:rsidRDefault="00476035" w:rsidP="00712FE3">
            <w:pPr>
              <w:pStyle w:val="Tabletext"/>
              <w:jc w:val="center"/>
              <w:rPr>
                <w:rFonts w:eastAsia="MS Mincho"/>
                <w:b/>
              </w:rPr>
            </w:pPr>
            <w:r w:rsidRPr="001E6776" w:rsidDel="000F5682">
              <w:rPr>
                <w:rFonts w:eastAsia="MS Mincho"/>
                <w:b/>
              </w:rPr>
              <w:t>5.286AA</w:t>
            </w:r>
          </w:p>
        </w:tc>
      </w:tr>
      <w:tr w:rsidR="00476035" w:rsidRPr="001E6776" w14:paraId="7A85C0CD"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1D927FBC" w14:textId="77777777" w:rsidR="00476035" w:rsidRPr="001E6776" w:rsidDel="000F5682" w:rsidRDefault="00476035" w:rsidP="00712FE3">
            <w:pPr>
              <w:pStyle w:val="Tabletext"/>
              <w:jc w:val="center"/>
              <w:rPr>
                <w:rFonts w:eastAsia="MS Mincho"/>
                <w:lang w:eastAsia="ja-JP"/>
              </w:rPr>
            </w:pPr>
            <w:r w:rsidRPr="001E6776">
              <w:rPr>
                <w:rFonts w:eastAsia="MS Mincho"/>
                <w:lang w:eastAsia="ja-JP"/>
              </w:rPr>
              <w:t>470-698</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B1150" w14:textId="77777777" w:rsidR="00476035" w:rsidRPr="001E6776" w:rsidDel="000F5682" w:rsidRDefault="00476035" w:rsidP="00712FE3">
            <w:pPr>
              <w:pStyle w:val="Tabletext"/>
              <w:jc w:val="center"/>
              <w:rPr>
                <w:rFonts w:eastAsia="MS Mincho"/>
                <w:b/>
              </w:rPr>
            </w:pPr>
            <w:r w:rsidRPr="001E6776">
              <w:rPr>
                <w:b/>
                <w:bCs/>
                <w:lang w:eastAsia="zh-CN"/>
              </w:rPr>
              <w:t>5.307A</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13DE84" w14:textId="77777777" w:rsidR="00476035" w:rsidRPr="001E6776" w:rsidRDefault="00476035" w:rsidP="00712FE3">
            <w:pPr>
              <w:pStyle w:val="Tabletext"/>
              <w:jc w:val="center"/>
              <w:rPr>
                <w:rFonts w:eastAsia="MS Mincho"/>
                <w:b/>
                <w:lang w:eastAsia="ja-JP"/>
              </w:rPr>
            </w:pPr>
            <w:r w:rsidRPr="001E6776">
              <w:rPr>
                <w:rFonts w:eastAsia="MS Mincho"/>
                <w:b/>
                <w:lang w:eastAsia="ja-JP"/>
              </w:rPr>
              <w:t>5.</w:t>
            </w:r>
            <w:r w:rsidRPr="001E6776">
              <w:rPr>
                <w:rFonts w:eastAsia="Malgun Gothic"/>
                <w:b/>
                <w:lang w:eastAsia="ko-KR"/>
              </w:rPr>
              <w:t xml:space="preserve">295, </w:t>
            </w:r>
            <w:r w:rsidRPr="001E6776">
              <w:rPr>
                <w:rFonts w:eastAsia="MS Mincho"/>
                <w:b/>
                <w:lang w:eastAsia="ja-JP"/>
              </w:rPr>
              <w:t>5.</w:t>
            </w:r>
            <w:r w:rsidRPr="001E6776">
              <w:rPr>
                <w:rFonts w:eastAsia="Malgun Gothic"/>
                <w:b/>
                <w:lang w:eastAsia="ko-KR"/>
              </w:rPr>
              <w:t>308</w:t>
            </w:r>
            <w:r w:rsidRPr="001E6776">
              <w:rPr>
                <w:rFonts w:eastAsia="MS Mincho"/>
                <w:b/>
                <w:lang w:eastAsia="ja-JP"/>
              </w:rPr>
              <w:t>A</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4C271F" w14:textId="77777777" w:rsidR="00476035" w:rsidRPr="001E6776" w:rsidRDefault="00476035" w:rsidP="00712FE3">
            <w:pPr>
              <w:pStyle w:val="Tabletext"/>
              <w:jc w:val="center"/>
              <w:rPr>
                <w:rFonts w:eastAsia="MS Mincho"/>
                <w:b/>
                <w:lang w:eastAsia="ja-JP"/>
              </w:rPr>
            </w:pPr>
            <w:r w:rsidRPr="001E6776">
              <w:rPr>
                <w:rFonts w:eastAsia="MS Mincho"/>
                <w:b/>
                <w:lang w:eastAsia="ja-JP"/>
              </w:rPr>
              <w:t>5.</w:t>
            </w:r>
            <w:r w:rsidRPr="001E6776">
              <w:rPr>
                <w:rFonts w:eastAsia="Malgun Gothic"/>
                <w:b/>
                <w:lang w:eastAsia="ko-KR"/>
              </w:rPr>
              <w:t>296A</w:t>
            </w:r>
          </w:p>
        </w:tc>
      </w:tr>
      <w:tr w:rsidR="00476035" w:rsidRPr="001E6776" w:rsidDel="000F5682" w14:paraId="5B8F208E"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78427214" w14:textId="77777777" w:rsidR="00476035" w:rsidRPr="001E6776" w:rsidDel="000F5682" w:rsidRDefault="00476035" w:rsidP="00712FE3">
            <w:pPr>
              <w:pStyle w:val="Tabletext"/>
              <w:jc w:val="center"/>
              <w:rPr>
                <w:rFonts w:eastAsia="MS Mincho"/>
              </w:rPr>
            </w:pPr>
            <w:r w:rsidRPr="001E6776">
              <w:rPr>
                <w:rFonts w:eastAsia="MS Mincho"/>
                <w:lang w:eastAsia="ja-JP"/>
              </w:rPr>
              <w:t>694/</w:t>
            </w:r>
            <w:r w:rsidRPr="001E6776" w:rsidDel="000F5682">
              <w:rPr>
                <w:rFonts w:eastAsia="MS Mincho"/>
              </w:rPr>
              <w:t>698-960</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F61FA" w14:textId="77777777" w:rsidR="00476035" w:rsidRPr="001E6776" w:rsidDel="000F5682" w:rsidRDefault="00476035" w:rsidP="00712FE3">
            <w:pPr>
              <w:pStyle w:val="Tabletext"/>
              <w:jc w:val="center"/>
              <w:rPr>
                <w:rFonts w:eastAsia="MS Mincho"/>
                <w:b/>
              </w:rPr>
            </w:pPr>
            <w:r w:rsidRPr="001E6776" w:rsidDel="000F5682">
              <w:rPr>
                <w:rFonts w:eastAsia="MS Mincho"/>
                <w:b/>
              </w:rPr>
              <w:t>5.317A</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FE7F46" w14:textId="77777777" w:rsidR="00476035" w:rsidRPr="001E6776" w:rsidDel="000F5682" w:rsidRDefault="00476035" w:rsidP="00712FE3">
            <w:pPr>
              <w:pStyle w:val="Tabletext"/>
              <w:jc w:val="center"/>
              <w:rPr>
                <w:rFonts w:eastAsia="MS Mincho"/>
                <w:b/>
              </w:rPr>
            </w:pPr>
            <w:r w:rsidRPr="001E6776" w:rsidDel="000F5682">
              <w:rPr>
                <w:rFonts w:eastAsia="MS Mincho"/>
                <w:b/>
              </w:rPr>
              <w:t>5.317A</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576E5" w14:textId="77777777" w:rsidR="00476035" w:rsidRPr="001E6776" w:rsidDel="000F5682" w:rsidRDefault="00476035" w:rsidP="00712FE3">
            <w:pPr>
              <w:pStyle w:val="Tabletext"/>
              <w:jc w:val="center"/>
              <w:rPr>
                <w:rFonts w:eastAsia="MS Mincho"/>
                <w:b/>
              </w:rPr>
            </w:pPr>
            <w:r w:rsidRPr="001E6776" w:rsidDel="000F5682">
              <w:rPr>
                <w:rFonts w:eastAsia="MS Mincho"/>
                <w:b/>
              </w:rPr>
              <w:t>5.313A</w:t>
            </w:r>
            <w:r w:rsidRPr="001E6776">
              <w:rPr>
                <w:rFonts w:eastAsia="MS Mincho"/>
                <w:b/>
              </w:rPr>
              <w:t xml:space="preserve">, </w:t>
            </w:r>
            <w:r w:rsidRPr="001E6776" w:rsidDel="000F5682">
              <w:rPr>
                <w:rFonts w:eastAsia="MS Mincho"/>
                <w:b/>
              </w:rPr>
              <w:t>5.317A</w:t>
            </w:r>
          </w:p>
        </w:tc>
      </w:tr>
      <w:tr w:rsidR="00476035" w:rsidRPr="001E6776" w14:paraId="2AEAF946" w14:textId="77777777" w:rsidTr="00FD61B7">
        <w:trPr>
          <w:trHeight w:val="251"/>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1CE0E10C" w14:textId="77777777" w:rsidR="00476035" w:rsidRPr="001E6776" w:rsidDel="000F5682" w:rsidRDefault="00476035" w:rsidP="00712FE3">
            <w:pPr>
              <w:pStyle w:val="Tabletext"/>
              <w:jc w:val="center"/>
              <w:rPr>
                <w:rFonts w:eastAsia="MS Mincho"/>
                <w:lang w:eastAsia="ja-JP"/>
              </w:rPr>
            </w:pPr>
            <w:r w:rsidRPr="001E6776">
              <w:rPr>
                <w:rFonts w:eastAsia="MS Mincho"/>
                <w:lang w:eastAsia="ja-JP"/>
              </w:rPr>
              <w:t>1 427-1 518</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64DB1" w14:textId="77777777" w:rsidR="00476035" w:rsidRPr="001E6776" w:rsidDel="000F5682" w:rsidRDefault="00476035" w:rsidP="00712FE3">
            <w:pPr>
              <w:pStyle w:val="Tabletext"/>
              <w:jc w:val="center"/>
              <w:rPr>
                <w:rFonts w:eastAsia="MS Mincho"/>
                <w:b/>
                <w:lang w:eastAsia="ja-JP"/>
              </w:rPr>
            </w:pPr>
            <w:r w:rsidRPr="001E6776">
              <w:rPr>
                <w:rFonts w:eastAsia="MS Mincho"/>
                <w:b/>
              </w:rPr>
              <w:t>5.341A, 5.34</w:t>
            </w:r>
            <w:r w:rsidRPr="001E6776">
              <w:rPr>
                <w:rFonts w:eastAsia="MS Mincho"/>
                <w:b/>
                <w:lang w:eastAsia="ja-JP"/>
              </w:rPr>
              <w:t>6</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7F7251" w14:textId="77777777" w:rsidR="00476035" w:rsidRPr="001E6776" w:rsidRDefault="00476035" w:rsidP="00712FE3">
            <w:pPr>
              <w:pStyle w:val="Tabletext"/>
              <w:jc w:val="center"/>
              <w:rPr>
                <w:rFonts w:eastAsia="MS Mincho"/>
                <w:b/>
              </w:rPr>
            </w:pPr>
            <w:r w:rsidRPr="001E6776">
              <w:rPr>
                <w:rFonts w:eastAsia="MS Mincho"/>
                <w:b/>
              </w:rPr>
              <w:t>5.341B</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51605E" w14:textId="77777777" w:rsidR="00476035" w:rsidRPr="001E6776" w:rsidRDefault="00476035" w:rsidP="00712FE3">
            <w:pPr>
              <w:pStyle w:val="Tabletext"/>
              <w:jc w:val="center"/>
              <w:rPr>
                <w:rFonts w:eastAsia="MS Mincho"/>
                <w:b/>
              </w:rPr>
            </w:pPr>
            <w:r w:rsidRPr="001E6776">
              <w:rPr>
                <w:rFonts w:eastAsia="MS Mincho"/>
                <w:b/>
              </w:rPr>
              <w:t xml:space="preserve">5.341C, </w:t>
            </w:r>
            <w:r w:rsidRPr="001E6776">
              <w:rPr>
                <w:rFonts w:eastAsia="MS Mincho"/>
                <w:b/>
                <w:lang w:eastAsia="ja-JP"/>
              </w:rPr>
              <w:t>5.346A</w:t>
            </w:r>
          </w:p>
        </w:tc>
      </w:tr>
      <w:tr w:rsidR="00476035" w:rsidRPr="001E6776" w:rsidDel="000F5682" w14:paraId="5E95670C"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1369C77A" w14:textId="77777777" w:rsidR="00476035" w:rsidRPr="001E6776" w:rsidDel="000F5682" w:rsidRDefault="00476035" w:rsidP="00712FE3">
            <w:pPr>
              <w:pStyle w:val="Tabletext"/>
              <w:jc w:val="center"/>
              <w:rPr>
                <w:rFonts w:eastAsia="MS Mincho"/>
              </w:rPr>
            </w:pPr>
            <w:r w:rsidRPr="001E6776" w:rsidDel="000F5682">
              <w:rPr>
                <w:rFonts w:eastAsia="MS Mincho"/>
              </w:rPr>
              <w:t>1 710-2 025</w:t>
            </w:r>
            <w:r w:rsidRPr="001E6776">
              <w:rPr>
                <w:rFonts w:eastAsia="MS Mincho"/>
              </w:rPr>
              <w:t xml:space="preserve"> MHz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C164D04" w14:textId="77777777" w:rsidR="00476035" w:rsidRPr="001E6776" w:rsidDel="000F5682" w:rsidRDefault="00476035" w:rsidP="00712FE3">
            <w:pPr>
              <w:pStyle w:val="Tabletext"/>
              <w:jc w:val="center"/>
              <w:rPr>
                <w:rFonts w:eastAsia="MS Mincho"/>
                <w:b/>
              </w:rPr>
            </w:pPr>
            <w:r w:rsidRPr="001E6776" w:rsidDel="000F5682">
              <w:rPr>
                <w:rFonts w:eastAsia="MS Mincho"/>
                <w:b/>
              </w:rPr>
              <w:t>5.384A, 5.388</w:t>
            </w:r>
          </w:p>
        </w:tc>
      </w:tr>
      <w:tr w:rsidR="00476035" w:rsidRPr="001E6776" w:rsidDel="000F5682" w14:paraId="4AA602DF"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249F13F9" w14:textId="77777777" w:rsidR="00476035" w:rsidRPr="001E6776" w:rsidDel="000F5682" w:rsidRDefault="00476035" w:rsidP="00712FE3">
            <w:pPr>
              <w:pStyle w:val="Tabletext"/>
              <w:jc w:val="center"/>
              <w:rPr>
                <w:rFonts w:eastAsia="MS Mincho"/>
              </w:rPr>
            </w:pPr>
            <w:r w:rsidRPr="001E6776" w:rsidDel="000F5682">
              <w:rPr>
                <w:rFonts w:eastAsia="MS Mincho"/>
              </w:rPr>
              <w:t>2 110-2 200</w:t>
            </w:r>
            <w:r w:rsidRPr="001E6776">
              <w:rPr>
                <w:rFonts w:eastAsia="MS Mincho"/>
              </w:rPr>
              <w:t xml:space="preserve"> MHz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5CDFE6B" w14:textId="77777777" w:rsidR="00476035" w:rsidRPr="001E6776" w:rsidDel="000F5682" w:rsidRDefault="00476035" w:rsidP="00712FE3">
            <w:pPr>
              <w:pStyle w:val="Tabletext"/>
              <w:jc w:val="center"/>
              <w:rPr>
                <w:rFonts w:eastAsia="MS Mincho"/>
                <w:b/>
              </w:rPr>
            </w:pPr>
            <w:r w:rsidRPr="001E6776" w:rsidDel="000F5682">
              <w:rPr>
                <w:rFonts w:eastAsia="MS Mincho"/>
                <w:b/>
              </w:rPr>
              <w:t>5.388</w:t>
            </w:r>
          </w:p>
        </w:tc>
      </w:tr>
      <w:tr w:rsidR="00476035" w:rsidRPr="001E6776" w:rsidDel="000F5682" w14:paraId="2FB200C2"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5DC90119" w14:textId="77777777" w:rsidR="00476035" w:rsidRPr="001E6776" w:rsidDel="000F5682" w:rsidRDefault="00476035" w:rsidP="00712FE3">
            <w:pPr>
              <w:pStyle w:val="Tabletext"/>
              <w:jc w:val="center"/>
              <w:rPr>
                <w:rFonts w:eastAsia="MS Mincho"/>
              </w:rPr>
            </w:pPr>
            <w:r w:rsidRPr="001E6776" w:rsidDel="000F5682">
              <w:rPr>
                <w:rFonts w:eastAsia="MS Mincho"/>
              </w:rPr>
              <w:t>2 300-2 400</w:t>
            </w:r>
            <w:r w:rsidRPr="001E6776">
              <w:rPr>
                <w:rFonts w:eastAsia="MS Mincho"/>
              </w:rPr>
              <w:t xml:space="preserve"> MHz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33BFEFE" w14:textId="77777777" w:rsidR="00476035" w:rsidRPr="001E6776" w:rsidDel="000F5682" w:rsidRDefault="00476035" w:rsidP="00712FE3">
            <w:pPr>
              <w:pStyle w:val="Tabletext"/>
              <w:jc w:val="center"/>
              <w:rPr>
                <w:rFonts w:eastAsia="MS Mincho"/>
                <w:b/>
              </w:rPr>
            </w:pPr>
            <w:r w:rsidRPr="001E6776" w:rsidDel="000F5682">
              <w:rPr>
                <w:rFonts w:eastAsia="MS Mincho"/>
                <w:b/>
              </w:rPr>
              <w:t>5.384A</w:t>
            </w:r>
          </w:p>
        </w:tc>
      </w:tr>
      <w:tr w:rsidR="00476035" w:rsidRPr="001E6776" w:rsidDel="000F5682" w14:paraId="5D324C50"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5AD3EBF1" w14:textId="77777777" w:rsidR="00476035" w:rsidRPr="001E6776" w:rsidDel="000F5682" w:rsidRDefault="00476035" w:rsidP="00712FE3">
            <w:pPr>
              <w:pStyle w:val="Tabletext"/>
              <w:jc w:val="center"/>
              <w:rPr>
                <w:rFonts w:eastAsia="MS Mincho"/>
              </w:rPr>
            </w:pPr>
            <w:r w:rsidRPr="001E6776" w:rsidDel="000F5682">
              <w:rPr>
                <w:rFonts w:eastAsia="MS Mincho"/>
              </w:rPr>
              <w:t>2 500-2 690</w:t>
            </w:r>
            <w:r w:rsidRPr="001E6776">
              <w:rPr>
                <w:rFonts w:eastAsia="MS Mincho"/>
              </w:rPr>
              <w:t xml:space="preserve"> MHz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0F68C0" w14:textId="77777777" w:rsidR="00476035" w:rsidRPr="001E6776" w:rsidDel="000F5682" w:rsidRDefault="00476035" w:rsidP="00712FE3">
            <w:pPr>
              <w:pStyle w:val="Tabletext"/>
              <w:jc w:val="center"/>
              <w:rPr>
                <w:rFonts w:eastAsia="MS Mincho"/>
                <w:b/>
              </w:rPr>
            </w:pPr>
            <w:r w:rsidRPr="001E6776" w:rsidDel="000F5682">
              <w:rPr>
                <w:rFonts w:eastAsia="MS Mincho"/>
                <w:b/>
              </w:rPr>
              <w:t>5.384A</w:t>
            </w:r>
          </w:p>
        </w:tc>
      </w:tr>
      <w:tr w:rsidR="00476035" w:rsidRPr="001E6776" w14:paraId="659A07BE"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6DA68C99" w14:textId="77777777" w:rsidR="00476035" w:rsidRPr="001E6776" w:rsidDel="000F5682" w:rsidRDefault="00476035" w:rsidP="00712FE3">
            <w:pPr>
              <w:pStyle w:val="Tabletext"/>
              <w:jc w:val="center"/>
              <w:rPr>
                <w:rFonts w:eastAsia="MS Mincho"/>
                <w:lang w:eastAsia="ja-JP"/>
              </w:rPr>
            </w:pPr>
            <w:r w:rsidRPr="001E6776">
              <w:rPr>
                <w:rFonts w:eastAsia="MS Mincho"/>
                <w:lang w:eastAsia="ja-JP"/>
              </w:rPr>
              <w:t>3 300-3 400</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6CCD3C" w14:textId="77777777" w:rsidR="00476035" w:rsidRPr="001E6776" w:rsidDel="000F5682" w:rsidRDefault="00476035" w:rsidP="00712FE3">
            <w:pPr>
              <w:pStyle w:val="Tabletext"/>
              <w:jc w:val="center"/>
              <w:rPr>
                <w:rFonts w:eastAsia="MS Mincho"/>
                <w:b/>
              </w:rPr>
            </w:pPr>
            <w:r w:rsidRPr="001E6776">
              <w:rPr>
                <w:rFonts w:eastAsia="MS Mincho"/>
                <w:b/>
              </w:rPr>
              <w:t>5.429B</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A2FD1" w14:textId="77777777" w:rsidR="00476035" w:rsidRPr="001E6776" w:rsidRDefault="00476035" w:rsidP="00712FE3">
            <w:pPr>
              <w:pStyle w:val="Tabletext"/>
              <w:jc w:val="center"/>
              <w:rPr>
                <w:rFonts w:eastAsia="MS Mincho"/>
                <w:b/>
              </w:rPr>
            </w:pPr>
            <w:r w:rsidRPr="001E6776">
              <w:rPr>
                <w:rFonts w:eastAsia="MS Mincho"/>
                <w:b/>
              </w:rPr>
              <w:t>5.429D</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94787" w14:textId="77777777" w:rsidR="00476035" w:rsidRPr="001E6776" w:rsidRDefault="00476035" w:rsidP="00712FE3">
            <w:pPr>
              <w:pStyle w:val="Tabletext"/>
              <w:jc w:val="center"/>
              <w:rPr>
                <w:rFonts w:eastAsia="MS Mincho"/>
                <w:b/>
              </w:rPr>
            </w:pPr>
            <w:r w:rsidRPr="001E6776">
              <w:rPr>
                <w:rFonts w:eastAsia="MS Mincho"/>
                <w:b/>
              </w:rPr>
              <w:t>5.429F</w:t>
            </w:r>
          </w:p>
        </w:tc>
      </w:tr>
      <w:tr w:rsidR="00476035" w:rsidRPr="001E6776" w:rsidDel="000F5682" w14:paraId="75FA12D3"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6127EE0C" w14:textId="77777777" w:rsidR="00476035" w:rsidRPr="001E6776" w:rsidDel="000F5682" w:rsidRDefault="00476035" w:rsidP="00712FE3">
            <w:pPr>
              <w:pStyle w:val="Tabletext"/>
              <w:jc w:val="center"/>
              <w:rPr>
                <w:rFonts w:eastAsia="MS Mincho"/>
              </w:rPr>
            </w:pPr>
            <w:r w:rsidRPr="001E6776" w:rsidDel="000F5682">
              <w:rPr>
                <w:rFonts w:eastAsia="MS Mincho"/>
              </w:rPr>
              <w:t>3 400-3 600</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E41D06" w14:textId="77777777" w:rsidR="00476035" w:rsidRPr="001E6776" w:rsidDel="000F5682" w:rsidRDefault="00476035" w:rsidP="00712FE3">
            <w:pPr>
              <w:pStyle w:val="Tabletext"/>
              <w:jc w:val="center"/>
              <w:rPr>
                <w:rFonts w:eastAsia="MS Mincho"/>
                <w:b/>
              </w:rPr>
            </w:pPr>
            <w:r w:rsidRPr="001E6776" w:rsidDel="000F5682">
              <w:rPr>
                <w:rFonts w:eastAsia="MS Mincho"/>
                <w:b/>
              </w:rPr>
              <w:t>5.430A</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3A40C6" w14:textId="77777777" w:rsidR="00476035" w:rsidRPr="001E6776" w:rsidDel="000F5682" w:rsidRDefault="00476035" w:rsidP="00712FE3">
            <w:pPr>
              <w:pStyle w:val="Tabletext"/>
              <w:jc w:val="center"/>
              <w:rPr>
                <w:rFonts w:eastAsia="MS Mincho"/>
                <w:b/>
              </w:rPr>
            </w:pPr>
            <w:r w:rsidRPr="001E6776">
              <w:rPr>
                <w:rFonts w:eastAsia="MS Mincho"/>
                <w:b/>
                <w:lang w:eastAsia="ja-JP"/>
              </w:rPr>
              <w:t>5.431B</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3E4B6" w14:textId="77777777" w:rsidR="00476035" w:rsidRPr="001E6776" w:rsidDel="000F5682" w:rsidRDefault="00476035" w:rsidP="00712FE3">
            <w:pPr>
              <w:pStyle w:val="Tabletext"/>
              <w:jc w:val="center"/>
              <w:rPr>
                <w:rFonts w:eastAsia="MS Mincho"/>
                <w:b/>
              </w:rPr>
            </w:pPr>
            <w:r w:rsidRPr="001E6776" w:rsidDel="000F5682">
              <w:rPr>
                <w:rFonts w:eastAsia="MS Mincho"/>
                <w:b/>
              </w:rPr>
              <w:t>5.432A, 5.432B, 5.433A</w:t>
            </w:r>
          </w:p>
        </w:tc>
      </w:tr>
      <w:tr w:rsidR="00476035" w:rsidRPr="001E6776" w14:paraId="359D08AE"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15B11A65" w14:textId="77777777" w:rsidR="00476035" w:rsidRPr="001E6776" w:rsidDel="000F5682" w:rsidRDefault="00476035" w:rsidP="00712FE3">
            <w:pPr>
              <w:pStyle w:val="Tabletext"/>
              <w:jc w:val="center"/>
              <w:rPr>
                <w:lang w:eastAsia="ja-JP"/>
              </w:rPr>
            </w:pPr>
            <w:r w:rsidRPr="001E6776">
              <w:rPr>
                <w:lang w:eastAsia="ja-JP"/>
              </w:rPr>
              <w:t>3 600-3 700</w:t>
            </w:r>
            <w:r w:rsidRPr="001E6776">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4E6457" w14:textId="77777777" w:rsidR="00476035" w:rsidRPr="001E6776" w:rsidDel="000F5682" w:rsidRDefault="00476035" w:rsidP="00712FE3">
            <w:pPr>
              <w:pStyle w:val="Tabletext"/>
              <w:jc w:val="center"/>
              <w:rPr>
                <w:b/>
                <w:bCs/>
              </w:rPr>
            </w:pPr>
            <w:r w:rsidRPr="001E6776">
              <w:rPr>
                <w:b/>
                <w:bCs/>
                <w:lang w:eastAsia="zh-CN"/>
              </w:rPr>
              <w:t>5.433B,</w:t>
            </w:r>
            <w:r w:rsidRPr="001E6776" w:rsidDel="000E5AA8">
              <w:rPr>
                <w:b/>
                <w:bCs/>
              </w:rPr>
              <w:t xml:space="preserve"> </w:t>
            </w:r>
            <w:r w:rsidRPr="001E6776">
              <w:rPr>
                <w:b/>
                <w:bCs/>
                <w:lang w:eastAsia="zh-CN"/>
              </w:rPr>
              <w:t>5.434B</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6C3AAB" w14:textId="77777777" w:rsidR="00476035" w:rsidRPr="001E6776" w:rsidRDefault="00476035" w:rsidP="00712FE3">
            <w:pPr>
              <w:pStyle w:val="Tabletext"/>
              <w:jc w:val="center"/>
              <w:rPr>
                <w:b/>
                <w:bCs/>
              </w:rPr>
            </w:pPr>
            <w:r w:rsidRPr="001E6776">
              <w:rPr>
                <w:b/>
                <w:bCs/>
              </w:rPr>
              <w:t>5.434</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37C86" w14:textId="77777777" w:rsidR="00476035" w:rsidRPr="001E6776" w:rsidRDefault="00476035" w:rsidP="00712FE3">
            <w:pPr>
              <w:pStyle w:val="Tabletext"/>
              <w:jc w:val="center"/>
              <w:rPr>
                <w:b/>
                <w:bCs/>
              </w:rPr>
            </w:pPr>
            <w:r>
              <w:rPr>
                <w:rFonts w:eastAsia="MS Mincho"/>
                <w:b/>
              </w:rPr>
              <w:t>–</w:t>
            </w:r>
          </w:p>
        </w:tc>
      </w:tr>
      <w:tr w:rsidR="00476035" w:rsidRPr="001E6776" w14:paraId="468EF373"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6462D98B" w14:textId="77777777" w:rsidR="00476035" w:rsidRPr="001E6776" w:rsidRDefault="00476035" w:rsidP="00712FE3">
            <w:pPr>
              <w:pStyle w:val="Tabletext"/>
              <w:jc w:val="center"/>
              <w:rPr>
                <w:lang w:eastAsia="ja-JP"/>
              </w:rPr>
            </w:pPr>
            <w:r w:rsidRPr="001E6776">
              <w:rPr>
                <w:lang w:eastAsia="ja-JP"/>
              </w:rPr>
              <w:t>3 700-3 800</w:t>
            </w:r>
            <w:r w:rsidRPr="001E6776">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09DA3" w14:textId="77777777" w:rsidR="00476035" w:rsidRPr="001E6776" w:rsidDel="00E16EE4" w:rsidRDefault="00476035" w:rsidP="00712FE3">
            <w:pPr>
              <w:pStyle w:val="Tabletext"/>
              <w:jc w:val="center"/>
              <w:rPr>
                <w:b/>
                <w:bCs/>
              </w:rPr>
            </w:pPr>
            <w:r w:rsidRPr="001E6776">
              <w:rPr>
                <w:b/>
                <w:bCs/>
                <w:lang w:eastAsia="zh-CN"/>
              </w:rPr>
              <w:t>5.434B</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C3E86" w14:textId="77777777" w:rsidR="00476035" w:rsidRPr="001E6776" w:rsidRDefault="00476035" w:rsidP="00712FE3">
            <w:pPr>
              <w:pStyle w:val="Tabletext"/>
              <w:jc w:val="center"/>
              <w:rPr>
                <w:b/>
                <w:bCs/>
              </w:rPr>
            </w:pPr>
            <w:r w:rsidRPr="001E6776">
              <w:rPr>
                <w:b/>
                <w:bCs/>
                <w:lang w:eastAsia="zh-CN"/>
              </w:rPr>
              <w:t>5.435B</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75904" w14:textId="77777777" w:rsidR="00476035" w:rsidRPr="001E6776" w:rsidRDefault="00476035" w:rsidP="00712FE3">
            <w:pPr>
              <w:pStyle w:val="Tabletext"/>
              <w:jc w:val="center"/>
              <w:rPr>
                <w:b/>
                <w:bCs/>
                <w:lang w:eastAsia="ja-JP"/>
              </w:rPr>
            </w:pPr>
            <w:r>
              <w:rPr>
                <w:rFonts w:eastAsia="MS Mincho"/>
                <w:b/>
              </w:rPr>
              <w:t>–</w:t>
            </w:r>
          </w:p>
        </w:tc>
      </w:tr>
      <w:tr w:rsidR="00476035" w:rsidRPr="001E6776" w14:paraId="01E0ABB4"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751E6C80" w14:textId="77777777" w:rsidR="00476035" w:rsidRPr="001E6776" w:rsidDel="000F5682" w:rsidRDefault="00476035" w:rsidP="00712FE3">
            <w:pPr>
              <w:pStyle w:val="Tabletext"/>
              <w:jc w:val="center"/>
              <w:rPr>
                <w:rFonts w:eastAsia="MS Mincho"/>
                <w:lang w:eastAsia="ja-JP"/>
              </w:rPr>
            </w:pPr>
            <w:r w:rsidRPr="001E6776">
              <w:rPr>
                <w:rFonts w:eastAsia="MS Mincho"/>
                <w:lang w:eastAsia="ja-JP"/>
              </w:rPr>
              <w:t>4 800-4 990</w:t>
            </w:r>
            <w:r w:rsidRPr="001E6776">
              <w:rPr>
                <w:rFonts w:eastAsia="MS Mincho"/>
              </w:rPr>
              <w:t xml:space="preserve"> MHz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354FA8" w14:textId="77777777" w:rsidR="00476035" w:rsidRPr="001E6776" w:rsidDel="000F5682" w:rsidRDefault="00476035" w:rsidP="00712FE3">
            <w:pPr>
              <w:pStyle w:val="Tabletext"/>
              <w:jc w:val="center"/>
              <w:rPr>
                <w:rFonts w:eastAsia="MS Mincho"/>
                <w:b/>
              </w:rPr>
            </w:pPr>
            <w:r w:rsidRPr="001E6776">
              <w:rPr>
                <w:rFonts w:eastAsia="MS Mincho"/>
                <w:b/>
              </w:rPr>
              <w:t>5.441B</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D9BE6" w14:textId="77777777" w:rsidR="00476035" w:rsidRPr="001E6776" w:rsidRDefault="00476035" w:rsidP="00712FE3">
            <w:pPr>
              <w:pStyle w:val="Tabletext"/>
              <w:jc w:val="center"/>
              <w:rPr>
                <w:rFonts w:eastAsia="MS Mincho"/>
                <w:b/>
              </w:rPr>
            </w:pPr>
            <w:r w:rsidRPr="001E6776">
              <w:rPr>
                <w:rFonts w:eastAsia="MS Mincho"/>
                <w:b/>
              </w:rPr>
              <w:t>5.441A, 5.441B</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2A56A" w14:textId="77777777" w:rsidR="00476035" w:rsidRPr="001E6776" w:rsidRDefault="00476035" w:rsidP="00712FE3">
            <w:pPr>
              <w:pStyle w:val="Tabletext"/>
              <w:jc w:val="center"/>
              <w:rPr>
                <w:rFonts w:eastAsia="MS Mincho"/>
                <w:b/>
              </w:rPr>
            </w:pPr>
            <w:r w:rsidRPr="001E6776">
              <w:rPr>
                <w:rFonts w:eastAsia="MS Mincho"/>
                <w:b/>
              </w:rPr>
              <w:t>5.441B</w:t>
            </w:r>
          </w:p>
        </w:tc>
      </w:tr>
      <w:tr w:rsidR="00476035" w:rsidRPr="001E6776" w:rsidDel="000F5682" w14:paraId="0ACF08E5" w14:textId="77777777" w:rsidTr="00FD61B7">
        <w:trPr>
          <w:jc w:val="center"/>
        </w:trPr>
        <w:tc>
          <w:tcPr>
            <w:tcW w:w="3024" w:type="dxa"/>
            <w:tcBorders>
              <w:top w:val="single" w:sz="4" w:space="0" w:color="000000"/>
              <w:left w:val="single" w:sz="4" w:space="0" w:color="000000"/>
              <w:bottom w:val="single" w:sz="4" w:space="0" w:color="auto"/>
            </w:tcBorders>
            <w:shd w:val="clear" w:color="auto" w:fill="FFFFFF" w:themeFill="background1"/>
          </w:tcPr>
          <w:p w14:paraId="2327C3DA" w14:textId="55DBE175" w:rsidR="00476035" w:rsidRPr="001E6776" w:rsidRDefault="00476035" w:rsidP="00712FE3">
            <w:pPr>
              <w:pStyle w:val="Tabletext"/>
              <w:jc w:val="center"/>
              <w:rPr>
                <w:lang w:eastAsia="ja-JP"/>
              </w:rPr>
            </w:pPr>
            <w:r w:rsidRPr="001E6776">
              <w:rPr>
                <w:lang w:eastAsia="ja-JP"/>
              </w:rPr>
              <w:t>6 425-7 025</w:t>
            </w:r>
            <w:r w:rsidRPr="001E6776">
              <w:t xml:space="preserve"> MHz</w:t>
            </w:r>
          </w:p>
        </w:tc>
        <w:tc>
          <w:tcPr>
            <w:tcW w:w="2321" w:type="dxa"/>
            <w:vMerge w:val="restart"/>
            <w:tcBorders>
              <w:top w:val="single" w:sz="4" w:space="0" w:color="000000"/>
              <w:left w:val="single" w:sz="4" w:space="0" w:color="000000"/>
              <w:right w:val="single" w:sz="4" w:space="0" w:color="auto"/>
            </w:tcBorders>
            <w:shd w:val="clear" w:color="auto" w:fill="FFFFFF" w:themeFill="background1"/>
            <w:vAlign w:val="center"/>
          </w:tcPr>
          <w:p w14:paraId="47914329" w14:textId="77777777" w:rsidR="00476035" w:rsidRPr="001E6776" w:rsidRDefault="00476035" w:rsidP="00712FE3">
            <w:pPr>
              <w:pStyle w:val="Tabletext"/>
              <w:jc w:val="center"/>
              <w:rPr>
                <w:b/>
                <w:bCs/>
                <w:lang w:eastAsia="ja-JP"/>
              </w:rPr>
            </w:pPr>
            <w:r w:rsidRPr="001E6776">
              <w:rPr>
                <w:b/>
                <w:bCs/>
                <w:lang w:eastAsia="zh-CN"/>
              </w:rPr>
              <w:t>5.457E</w:t>
            </w:r>
          </w:p>
        </w:tc>
        <w:tc>
          <w:tcPr>
            <w:tcW w:w="2098" w:type="dxa"/>
            <w:vMerge w:val="restart"/>
            <w:tcBorders>
              <w:top w:val="single" w:sz="4" w:space="0" w:color="000000"/>
              <w:left w:val="single" w:sz="4" w:space="0" w:color="auto"/>
              <w:right w:val="single" w:sz="4" w:space="0" w:color="auto"/>
            </w:tcBorders>
            <w:shd w:val="clear" w:color="auto" w:fill="FFFFFF" w:themeFill="background1"/>
            <w:vAlign w:val="center"/>
          </w:tcPr>
          <w:p w14:paraId="2ACA58E2" w14:textId="77777777" w:rsidR="00476035" w:rsidRPr="001E6776" w:rsidRDefault="00476035" w:rsidP="00712FE3">
            <w:pPr>
              <w:pStyle w:val="Tabletext"/>
              <w:jc w:val="center"/>
              <w:rPr>
                <w:b/>
                <w:bCs/>
                <w:lang w:eastAsia="ja-JP"/>
              </w:rPr>
            </w:pPr>
            <w:r w:rsidRPr="001E6776">
              <w:rPr>
                <w:b/>
                <w:bCs/>
                <w:lang w:eastAsia="zh-CN"/>
              </w:rPr>
              <w:t>5.457F</w:t>
            </w:r>
          </w:p>
        </w:tc>
        <w:tc>
          <w:tcPr>
            <w:tcW w:w="2217"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FC0998A" w14:textId="77777777" w:rsidR="00476035" w:rsidRPr="001E6776" w:rsidRDefault="00476035" w:rsidP="00712FE3">
            <w:pPr>
              <w:pStyle w:val="Tabletext"/>
              <w:jc w:val="center"/>
              <w:rPr>
                <w:b/>
                <w:bCs/>
                <w:lang w:eastAsia="ja-JP"/>
              </w:rPr>
            </w:pPr>
            <w:r w:rsidRPr="001E6776">
              <w:rPr>
                <w:b/>
                <w:bCs/>
                <w:lang w:eastAsia="zh-CN"/>
              </w:rPr>
              <w:t>5.457D</w:t>
            </w:r>
          </w:p>
        </w:tc>
      </w:tr>
      <w:tr w:rsidR="00476035" w:rsidRPr="001E6776" w:rsidDel="000F5682" w14:paraId="179098AD" w14:textId="77777777" w:rsidTr="00FD61B7">
        <w:trPr>
          <w:jc w:val="center"/>
        </w:trPr>
        <w:tc>
          <w:tcPr>
            <w:tcW w:w="3024" w:type="dxa"/>
            <w:tcBorders>
              <w:top w:val="single" w:sz="4" w:space="0" w:color="000000"/>
              <w:left w:val="single" w:sz="4" w:space="0" w:color="000000"/>
              <w:bottom w:val="single" w:sz="4" w:space="0" w:color="auto"/>
            </w:tcBorders>
            <w:shd w:val="clear" w:color="auto" w:fill="FFFFFF" w:themeFill="background1"/>
          </w:tcPr>
          <w:p w14:paraId="4394F0CA" w14:textId="6F651B38" w:rsidR="00476035" w:rsidRPr="001E6776" w:rsidRDefault="00476035" w:rsidP="00712FE3">
            <w:pPr>
              <w:pStyle w:val="Tabletext"/>
              <w:jc w:val="center"/>
              <w:rPr>
                <w:lang w:eastAsia="ja-JP"/>
              </w:rPr>
            </w:pPr>
            <w:r w:rsidRPr="001E6776">
              <w:rPr>
                <w:lang w:eastAsia="ja-JP"/>
              </w:rPr>
              <w:t>7 025-7 125</w:t>
            </w:r>
            <w:r w:rsidRPr="001E6776">
              <w:t xml:space="preserve"> MHz</w:t>
            </w:r>
          </w:p>
        </w:tc>
        <w:tc>
          <w:tcPr>
            <w:tcW w:w="2321" w:type="dxa"/>
            <w:vMerge/>
            <w:tcBorders>
              <w:left w:val="single" w:sz="4" w:space="0" w:color="000000"/>
              <w:bottom w:val="single" w:sz="4" w:space="0" w:color="auto"/>
              <w:right w:val="single" w:sz="4" w:space="0" w:color="auto"/>
            </w:tcBorders>
            <w:shd w:val="clear" w:color="auto" w:fill="FFFFFF" w:themeFill="background1"/>
          </w:tcPr>
          <w:p w14:paraId="43E646AE" w14:textId="77777777" w:rsidR="00476035" w:rsidRPr="001E6776" w:rsidRDefault="00476035" w:rsidP="00712FE3">
            <w:pPr>
              <w:pStyle w:val="Tabletext"/>
              <w:jc w:val="center"/>
              <w:rPr>
                <w:b/>
                <w:bCs/>
                <w:lang w:eastAsia="ja-JP"/>
              </w:rPr>
            </w:pPr>
          </w:p>
        </w:tc>
        <w:tc>
          <w:tcPr>
            <w:tcW w:w="2098" w:type="dxa"/>
            <w:vMerge/>
            <w:tcBorders>
              <w:left w:val="single" w:sz="4" w:space="0" w:color="auto"/>
              <w:bottom w:val="single" w:sz="4" w:space="0" w:color="auto"/>
              <w:right w:val="single" w:sz="4" w:space="0" w:color="auto"/>
            </w:tcBorders>
            <w:shd w:val="clear" w:color="auto" w:fill="FFFFFF" w:themeFill="background1"/>
          </w:tcPr>
          <w:p w14:paraId="74325E1F" w14:textId="77777777" w:rsidR="00476035" w:rsidRPr="001E6776" w:rsidRDefault="00476035" w:rsidP="00712FE3">
            <w:pPr>
              <w:pStyle w:val="Tabletext"/>
              <w:jc w:val="center"/>
              <w:rPr>
                <w:b/>
                <w:bCs/>
                <w:lang w:eastAsia="ja-JP"/>
              </w:rPr>
            </w:pPr>
          </w:p>
        </w:tc>
        <w:tc>
          <w:tcPr>
            <w:tcW w:w="2217"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B51AE17" w14:textId="77777777" w:rsidR="00476035" w:rsidRPr="001E6776" w:rsidRDefault="00476035" w:rsidP="00712FE3">
            <w:pPr>
              <w:pStyle w:val="Tabletext"/>
              <w:jc w:val="center"/>
              <w:rPr>
                <w:b/>
                <w:bCs/>
                <w:lang w:eastAsia="ja-JP"/>
              </w:rPr>
            </w:pPr>
            <w:r w:rsidRPr="001E6776">
              <w:rPr>
                <w:b/>
                <w:bCs/>
                <w:lang w:eastAsia="zh-CN"/>
              </w:rPr>
              <w:t>5.457E</w:t>
            </w:r>
          </w:p>
        </w:tc>
      </w:tr>
      <w:tr w:rsidR="00476035" w:rsidRPr="001E6776" w14:paraId="55939D3A"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213DE30A" w14:textId="77777777" w:rsidR="00476035" w:rsidRPr="001E6776" w:rsidRDefault="00476035" w:rsidP="00712FE3">
            <w:pPr>
              <w:pStyle w:val="Tabletext"/>
              <w:jc w:val="center"/>
              <w:rPr>
                <w:rFonts w:eastAsia="MS Mincho"/>
                <w:lang w:eastAsia="ja-JP"/>
              </w:rPr>
            </w:pPr>
            <w:r w:rsidRPr="001E6776">
              <w:rPr>
                <w:rFonts w:eastAsia="MS Mincho"/>
                <w:lang w:eastAsia="ja-JP"/>
              </w:rPr>
              <w:t>10-10.5 GHz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3BC754" w14:textId="77777777" w:rsidR="00476035" w:rsidRPr="001E6776" w:rsidRDefault="00476035" w:rsidP="00712FE3">
            <w:pPr>
              <w:pStyle w:val="Tabletext"/>
              <w:jc w:val="center"/>
              <w:rPr>
                <w:rFonts w:eastAsia="MS Mincho"/>
                <w:b/>
              </w:rPr>
            </w:pPr>
            <w:r>
              <w:rPr>
                <w:rFonts w:eastAsia="MS Mincho"/>
                <w:b/>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5AD368" w14:textId="77777777" w:rsidR="00476035" w:rsidRPr="001E6776" w:rsidRDefault="00476035" w:rsidP="00712FE3">
            <w:pPr>
              <w:pStyle w:val="Tabletext"/>
              <w:jc w:val="center"/>
              <w:rPr>
                <w:rFonts w:eastAsia="MS Mincho"/>
                <w:b/>
              </w:rPr>
            </w:pPr>
            <w:r w:rsidRPr="001E6776">
              <w:rPr>
                <w:b/>
                <w:bCs/>
                <w:lang w:eastAsia="zh-CN"/>
              </w:rPr>
              <w:t>5.480A</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D1A37" w14:textId="77777777" w:rsidR="00476035" w:rsidRPr="001E6776" w:rsidRDefault="00476035" w:rsidP="00712FE3">
            <w:pPr>
              <w:pStyle w:val="Tabletext"/>
              <w:jc w:val="center"/>
              <w:rPr>
                <w:rFonts w:eastAsia="MS Mincho"/>
                <w:b/>
              </w:rPr>
            </w:pPr>
            <w:r>
              <w:rPr>
                <w:rFonts w:eastAsia="MS Mincho"/>
                <w:b/>
              </w:rPr>
              <w:t>–</w:t>
            </w:r>
          </w:p>
        </w:tc>
      </w:tr>
      <w:tr w:rsidR="00476035" w:rsidRPr="001E6776" w:rsidDel="000F5682" w14:paraId="0C062139"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1B038D78" w14:textId="77777777" w:rsidR="00476035" w:rsidRPr="001E6776" w:rsidDel="000F5682" w:rsidRDefault="00476035" w:rsidP="00712FE3">
            <w:pPr>
              <w:pStyle w:val="Tabletext"/>
              <w:jc w:val="center"/>
              <w:rPr>
                <w:rFonts w:eastAsia="MS Mincho"/>
              </w:rPr>
            </w:pPr>
            <w:r w:rsidRPr="001E6776">
              <w:rPr>
                <w:rFonts w:eastAsia="MS Mincho"/>
              </w:rPr>
              <w:t>24.25-27.5 GHz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256EE70" w14:textId="77777777" w:rsidR="00476035" w:rsidRPr="001E6776" w:rsidDel="000F5682" w:rsidRDefault="00476035" w:rsidP="00712FE3">
            <w:pPr>
              <w:pStyle w:val="Tabletext"/>
              <w:jc w:val="center"/>
              <w:rPr>
                <w:rFonts w:eastAsia="MS Mincho"/>
                <w:b/>
              </w:rPr>
            </w:pPr>
            <w:r w:rsidRPr="001E6776">
              <w:rPr>
                <w:rFonts w:eastAsia="MS Mincho"/>
                <w:b/>
              </w:rPr>
              <w:t>5.532AB</w:t>
            </w:r>
          </w:p>
        </w:tc>
      </w:tr>
      <w:tr w:rsidR="00476035" w:rsidRPr="001E6776" w:rsidDel="000F5682" w14:paraId="4D94EFA6"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623535C9" w14:textId="77777777" w:rsidR="00476035" w:rsidRPr="001E6776" w:rsidRDefault="00476035" w:rsidP="00712FE3">
            <w:pPr>
              <w:pStyle w:val="Tabletext"/>
              <w:jc w:val="center"/>
              <w:rPr>
                <w:rFonts w:eastAsia="MS Mincho"/>
              </w:rPr>
            </w:pPr>
            <w:r w:rsidRPr="001E6776">
              <w:rPr>
                <w:rFonts w:eastAsia="MS Mincho"/>
              </w:rPr>
              <w:t>37-43.5 GHz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E5D550F" w14:textId="77777777" w:rsidR="00476035" w:rsidRPr="001E6776" w:rsidDel="000F5682" w:rsidRDefault="00476035" w:rsidP="00712FE3">
            <w:pPr>
              <w:pStyle w:val="Tabletext"/>
              <w:jc w:val="center"/>
              <w:rPr>
                <w:rFonts w:eastAsia="MS Mincho"/>
                <w:b/>
              </w:rPr>
            </w:pPr>
            <w:r w:rsidRPr="001E6776">
              <w:rPr>
                <w:rFonts w:eastAsia="MS Mincho"/>
                <w:b/>
              </w:rPr>
              <w:t>5.550B</w:t>
            </w:r>
          </w:p>
        </w:tc>
      </w:tr>
      <w:tr w:rsidR="00476035" w:rsidRPr="001E6776" w:rsidDel="000F5682" w14:paraId="57A8E6CC"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65BA8CEB" w14:textId="77777777" w:rsidR="00476035" w:rsidRPr="001E6776" w:rsidRDefault="00476035" w:rsidP="00712FE3">
            <w:pPr>
              <w:pStyle w:val="Tabletext"/>
              <w:jc w:val="center"/>
              <w:rPr>
                <w:rFonts w:eastAsia="MS Mincho"/>
              </w:rPr>
            </w:pPr>
            <w:r w:rsidRPr="001E6776">
              <w:rPr>
                <w:rFonts w:eastAsia="MS Mincho"/>
              </w:rPr>
              <w:t>45.5-47 GHz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BCF680" w14:textId="77777777" w:rsidR="00476035" w:rsidRPr="001E6776" w:rsidDel="000F5682" w:rsidRDefault="00476035" w:rsidP="00712FE3">
            <w:pPr>
              <w:pStyle w:val="Tabletext"/>
              <w:jc w:val="center"/>
              <w:rPr>
                <w:rFonts w:eastAsia="MS Mincho"/>
                <w:b/>
              </w:rPr>
            </w:pPr>
            <w:r w:rsidRPr="001E6776">
              <w:rPr>
                <w:rFonts w:eastAsia="MS Mincho"/>
                <w:b/>
              </w:rPr>
              <w:t>5.553A</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497241" w14:textId="77777777" w:rsidR="00476035" w:rsidRPr="001E6776" w:rsidDel="000F5682" w:rsidRDefault="00476035" w:rsidP="00712FE3">
            <w:pPr>
              <w:pStyle w:val="Tabletext"/>
              <w:jc w:val="center"/>
              <w:rPr>
                <w:rFonts w:eastAsia="MS Mincho"/>
                <w:b/>
              </w:rPr>
            </w:pPr>
            <w:r w:rsidRPr="001E6776">
              <w:rPr>
                <w:rFonts w:eastAsia="MS Mincho"/>
                <w:b/>
              </w:rPr>
              <w:t>5.553A</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B0F4B8" w14:textId="77777777" w:rsidR="00476035" w:rsidRPr="001E6776" w:rsidDel="000F5682" w:rsidRDefault="00476035" w:rsidP="00712FE3">
            <w:pPr>
              <w:pStyle w:val="Tabletext"/>
              <w:jc w:val="center"/>
              <w:rPr>
                <w:rFonts w:eastAsia="MS Mincho"/>
                <w:b/>
              </w:rPr>
            </w:pPr>
            <w:r w:rsidRPr="001E6776">
              <w:rPr>
                <w:rFonts w:eastAsia="MS Mincho"/>
                <w:b/>
              </w:rPr>
              <w:t>5.553A</w:t>
            </w:r>
          </w:p>
        </w:tc>
      </w:tr>
      <w:tr w:rsidR="00476035" w:rsidRPr="001E6776" w:rsidDel="000F5682" w14:paraId="5BC6D251"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05AB038B" w14:textId="77777777" w:rsidR="00476035" w:rsidRPr="001E6776" w:rsidRDefault="00476035" w:rsidP="00712FE3">
            <w:pPr>
              <w:pStyle w:val="Tabletext"/>
              <w:jc w:val="center"/>
              <w:rPr>
                <w:rFonts w:eastAsia="MS Mincho"/>
              </w:rPr>
            </w:pPr>
            <w:r w:rsidRPr="001E6776">
              <w:rPr>
                <w:rFonts w:eastAsia="MS Mincho"/>
              </w:rPr>
              <w:t>47.2-48.2 GHz</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B3A066" w14:textId="77777777" w:rsidR="00476035" w:rsidRPr="001E6776" w:rsidDel="000F5682" w:rsidRDefault="00476035" w:rsidP="00712FE3">
            <w:pPr>
              <w:pStyle w:val="Tabletext"/>
              <w:jc w:val="center"/>
              <w:rPr>
                <w:rFonts w:eastAsia="MS Mincho"/>
                <w:b/>
              </w:rPr>
            </w:pPr>
            <w:r w:rsidRPr="001E6776">
              <w:rPr>
                <w:rFonts w:eastAsia="MS Mincho"/>
                <w:b/>
              </w:rPr>
              <w:t>5.553B</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1D25AC" w14:textId="77777777" w:rsidR="00476035" w:rsidRPr="001E6776" w:rsidDel="000F5682" w:rsidRDefault="00476035" w:rsidP="00712FE3">
            <w:pPr>
              <w:pStyle w:val="Tabletext"/>
              <w:jc w:val="center"/>
              <w:rPr>
                <w:rFonts w:eastAsia="MS Mincho"/>
                <w:b/>
              </w:rPr>
            </w:pPr>
            <w:r w:rsidRPr="001E6776">
              <w:rPr>
                <w:rFonts w:eastAsia="MS Mincho"/>
                <w:b/>
              </w:rPr>
              <w:t>5.553B</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B0F4E" w14:textId="77777777" w:rsidR="00476035" w:rsidRPr="001E6776" w:rsidDel="000F5682" w:rsidRDefault="00476035" w:rsidP="00712FE3">
            <w:pPr>
              <w:pStyle w:val="Tabletext"/>
              <w:jc w:val="center"/>
              <w:rPr>
                <w:rFonts w:eastAsia="MS Mincho"/>
                <w:b/>
              </w:rPr>
            </w:pPr>
            <w:r w:rsidRPr="001E6776">
              <w:rPr>
                <w:rFonts w:eastAsia="MS Mincho"/>
                <w:b/>
              </w:rPr>
              <w:t>5.553B</w:t>
            </w:r>
          </w:p>
        </w:tc>
      </w:tr>
      <w:tr w:rsidR="00476035" w:rsidRPr="001E6776" w:rsidDel="000F5682" w14:paraId="006F2193" w14:textId="77777777" w:rsidTr="00FD61B7">
        <w:trPr>
          <w:jc w:val="center"/>
        </w:trPr>
        <w:tc>
          <w:tcPr>
            <w:tcW w:w="3024" w:type="dxa"/>
            <w:tcBorders>
              <w:top w:val="single" w:sz="4" w:space="0" w:color="000000"/>
              <w:left w:val="single" w:sz="4" w:space="0" w:color="000000"/>
              <w:bottom w:val="single" w:sz="4" w:space="0" w:color="000000"/>
            </w:tcBorders>
            <w:shd w:val="clear" w:color="auto" w:fill="FFFFFF" w:themeFill="background1"/>
          </w:tcPr>
          <w:p w14:paraId="757F42FE" w14:textId="77777777" w:rsidR="00476035" w:rsidRPr="001E6776" w:rsidRDefault="00476035" w:rsidP="00712FE3">
            <w:pPr>
              <w:pStyle w:val="Tabletext"/>
              <w:jc w:val="center"/>
              <w:rPr>
                <w:rFonts w:eastAsia="MS Mincho"/>
              </w:rPr>
            </w:pPr>
            <w:r w:rsidRPr="001E6776">
              <w:rPr>
                <w:rFonts w:eastAsia="MS Mincho"/>
              </w:rPr>
              <w:t>66-71 GHz</w:t>
            </w:r>
          </w:p>
        </w:tc>
        <w:tc>
          <w:tcPr>
            <w:tcW w:w="6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E39F4BF" w14:textId="77777777" w:rsidR="00476035" w:rsidRPr="001E6776" w:rsidDel="000F5682" w:rsidRDefault="00476035" w:rsidP="00712FE3">
            <w:pPr>
              <w:pStyle w:val="Tabletext"/>
              <w:jc w:val="center"/>
              <w:rPr>
                <w:rFonts w:eastAsia="MS Mincho"/>
                <w:b/>
              </w:rPr>
            </w:pPr>
            <w:r w:rsidRPr="001E6776">
              <w:rPr>
                <w:rFonts w:eastAsia="MS Mincho"/>
                <w:b/>
              </w:rPr>
              <w:t>5.559AA</w:t>
            </w:r>
          </w:p>
        </w:tc>
      </w:tr>
    </w:tbl>
    <w:p w14:paraId="4267C43E" w14:textId="77777777" w:rsidR="00476035" w:rsidRPr="007F453D" w:rsidRDefault="00476035" w:rsidP="00B9379F">
      <w:pPr>
        <w:pStyle w:val="Tablefin"/>
        <w:rPr>
          <w:lang w:eastAsia="zh-CN"/>
        </w:rPr>
      </w:pPr>
    </w:p>
    <w:p w14:paraId="21E04F13" w14:textId="77777777" w:rsidR="00476035" w:rsidRPr="007F453D" w:rsidRDefault="00476035" w:rsidP="00476035">
      <w:pPr>
        <w:pStyle w:val="AnnexNoTitle"/>
      </w:pPr>
      <w:bookmarkStart w:id="47" w:name="_Toc224135089"/>
      <w:r w:rsidRPr="007F453D">
        <w:lastRenderedPageBreak/>
        <w:t>Attachment 2</w:t>
      </w:r>
      <w:r>
        <w:br/>
        <w:t>to the Annex</w:t>
      </w:r>
      <w:r w:rsidRPr="007F453D">
        <w:br/>
      </w:r>
      <w:r w:rsidRPr="007F453D">
        <w:br/>
        <w:t>Vocabulary of terms</w:t>
      </w:r>
      <w:bookmarkEnd w:id="47"/>
    </w:p>
    <w:p w14:paraId="354654F5" w14:textId="77777777" w:rsidR="00476035" w:rsidRPr="007F453D" w:rsidRDefault="00476035" w:rsidP="00476035">
      <w:pPr>
        <w:pStyle w:val="Normalaftertitle"/>
      </w:pPr>
      <w:r w:rsidRPr="007F453D">
        <w:rPr>
          <w:i/>
          <w:iCs/>
        </w:rPr>
        <w:t>Centre gap</w:t>
      </w:r>
      <w:r w:rsidRPr="007F453D">
        <w:t xml:space="preserve"> – The frequency separation between the upper edge of the lower band and the lower edge of the upper band in an FDD paired frequency arrangement.</w:t>
      </w:r>
    </w:p>
    <w:p w14:paraId="663618AA" w14:textId="77777777" w:rsidR="00476035" w:rsidRPr="007F453D" w:rsidRDefault="00476035" w:rsidP="00476035">
      <w:r w:rsidRPr="007F453D">
        <w:rPr>
          <w:i/>
          <w:iCs/>
        </w:rPr>
        <w:t>Duplex separation</w:t>
      </w:r>
      <w:r w:rsidRPr="007F453D">
        <w:t xml:space="preserve"> – The frequency separation between a reference point in the lower band and the corresponding point in the upper band of an FDD arrangement.</w:t>
      </w:r>
    </w:p>
    <w:p w14:paraId="445D0D8C" w14:textId="77777777" w:rsidR="00476035" w:rsidRPr="007F453D" w:rsidRDefault="00476035" w:rsidP="00476035">
      <w:r w:rsidRPr="007F453D">
        <w:rPr>
          <w:i/>
          <w:iCs/>
        </w:rPr>
        <w:t>Duplex channel frequency separation</w:t>
      </w:r>
      <w:r w:rsidRPr="007F453D">
        <w:t xml:space="preserve"> – The frequency separation between a specific channel carrier in the lower band and its paired channel carrier in the upper band of an FDD arrangement.</w:t>
      </w:r>
    </w:p>
    <w:p w14:paraId="40DD7AE4" w14:textId="77777777" w:rsidR="00476035" w:rsidRPr="007F453D" w:rsidRDefault="00476035" w:rsidP="00476035">
      <w:r w:rsidRPr="007F453D">
        <w:rPr>
          <w:i/>
        </w:rPr>
        <w:t>Conventional duplex arrangement</w:t>
      </w:r>
      <w:r w:rsidRPr="007F453D">
        <w:t xml:space="preserve"> – Duplex arrangement with mobile terminal transmit within the lower band and base station transmit within the upper band.</w:t>
      </w:r>
    </w:p>
    <w:p w14:paraId="0BC05E2A" w14:textId="77777777" w:rsidR="00476035" w:rsidRPr="007F453D" w:rsidRDefault="00476035" w:rsidP="00476035">
      <w:r w:rsidRPr="007F453D">
        <w:rPr>
          <w:i/>
        </w:rPr>
        <w:t>Reverse duplex arrangement</w:t>
      </w:r>
      <w:r w:rsidRPr="007F453D">
        <w:t xml:space="preserve"> – Duplex arrangement with the mobile terminal transmit within the upper band and base station transmit within the lower band.</w:t>
      </w:r>
    </w:p>
    <w:p w14:paraId="6DE922DC" w14:textId="77777777" w:rsidR="00476035" w:rsidRPr="007F453D" w:rsidRDefault="00476035" w:rsidP="00476035">
      <w:pPr>
        <w:pStyle w:val="Headingb"/>
      </w:pPr>
      <w:r w:rsidRPr="007F453D">
        <w:t>Acronyms and abbreviations</w:t>
      </w:r>
    </w:p>
    <w:p w14:paraId="23EB3534" w14:textId="77777777" w:rsidR="00476035" w:rsidRPr="007F453D" w:rsidRDefault="00476035" w:rsidP="00476035">
      <w:pPr>
        <w:tabs>
          <w:tab w:val="left" w:pos="2608"/>
          <w:tab w:val="left" w:pos="3345"/>
        </w:tabs>
        <w:spacing w:before="80"/>
        <w:ind w:left="1134" w:hanging="1134"/>
      </w:pPr>
      <w:r w:rsidRPr="007F453D">
        <w:t>DL</w:t>
      </w:r>
      <w:r w:rsidRPr="007F453D">
        <w:tab/>
        <w:t>Downlink</w:t>
      </w:r>
    </w:p>
    <w:p w14:paraId="1164D94B" w14:textId="77777777" w:rsidR="00476035" w:rsidRPr="007F453D" w:rsidRDefault="00476035" w:rsidP="00476035">
      <w:pPr>
        <w:tabs>
          <w:tab w:val="left" w:pos="2608"/>
          <w:tab w:val="left" w:pos="3345"/>
        </w:tabs>
        <w:spacing w:before="80"/>
        <w:ind w:left="1134" w:hanging="1134"/>
      </w:pPr>
      <w:r w:rsidRPr="007F453D">
        <w:t>UL</w:t>
      </w:r>
      <w:r w:rsidRPr="007F453D">
        <w:tab/>
        <w:t>Uplink</w:t>
      </w:r>
    </w:p>
    <w:p w14:paraId="64F0DE12" w14:textId="77777777" w:rsidR="00476035" w:rsidRPr="00E678A1" w:rsidRDefault="00476035" w:rsidP="00476035">
      <w:pPr>
        <w:tabs>
          <w:tab w:val="left" w:pos="2608"/>
          <w:tab w:val="left" w:pos="3345"/>
        </w:tabs>
        <w:spacing w:before="80"/>
        <w:ind w:left="1134" w:hanging="1134"/>
      </w:pPr>
      <w:r w:rsidRPr="00E678A1">
        <w:t>BS</w:t>
      </w:r>
      <w:r w:rsidRPr="00E678A1">
        <w:tab/>
        <w:t>Base station</w:t>
      </w:r>
    </w:p>
    <w:p w14:paraId="078451DA" w14:textId="77777777" w:rsidR="00476035" w:rsidRPr="00E678A1" w:rsidRDefault="00476035" w:rsidP="00476035">
      <w:pPr>
        <w:tabs>
          <w:tab w:val="left" w:pos="2608"/>
          <w:tab w:val="left" w:pos="3345"/>
        </w:tabs>
        <w:spacing w:before="80"/>
        <w:ind w:left="1134" w:hanging="1134"/>
      </w:pPr>
      <w:r w:rsidRPr="00E678A1">
        <w:t>MS</w:t>
      </w:r>
      <w:r w:rsidRPr="00E678A1">
        <w:tab/>
        <w:t>Mobile station</w:t>
      </w:r>
    </w:p>
    <w:p w14:paraId="7A44CE97" w14:textId="77777777" w:rsidR="00476035" w:rsidRPr="00D32C73" w:rsidRDefault="00476035" w:rsidP="00476035">
      <w:pPr>
        <w:tabs>
          <w:tab w:val="left" w:pos="2608"/>
          <w:tab w:val="left" w:pos="3345"/>
        </w:tabs>
        <w:spacing w:before="80"/>
        <w:ind w:left="1134" w:hanging="1134"/>
      </w:pPr>
      <w:r w:rsidRPr="00D32C73">
        <w:t>M</w:t>
      </w:r>
      <w:r>
        <w:t>S</w:t>
      </w:r>
      <w:r w:rsidRPr="00D32C73">
        <w:t>S</w:t>
      </w:r>
      <w:r w:rsidRPr="00D32C73">
        <w:tab/>
        <w:t>Mobile</w:t>
      </w:r>
      <w:r>
        <w:t>-satellite service</w:t>
      </w:r>
    </w:p>
    <w:p w14:paraId="3CB6721D" w14:textId="77777777" w:rsidR="00476035" w:rsidRPr="005B03A7" w:rsidRDefault="00476035" w:rsidP="00476035">
      <w:pPr>
        <w:tabs>
          <w:tab w:val="left" w:pos="2608"/>
          <w:tab w:val="left" w:pos="3345"/>
        </w:tabs>
        <w:spacing w:before="80"/>
        <w:ind w:left="1134" w:hanging="1134"/>
      </w:pPr>
      <w:r w:rsidRPr="005B03A7">
        <w:t>FDD</w:t>
      </w:r>
      <w:r w:rsidRPr="005B03A7">
        <w:tab/>
        <w:t>Frequency division duplex</w:t>
      </w:r>
    </w:p>
    <w:p w14:paraId="3E4494BB" w14:textId="77777777" w:rsidR="00476035" w:rsidRPr="005B03A7" w:rsidRDefault="00476035" w:rsidP="00476035">
      <w:pPr>
        <w:tabs>
          <w:tab w:val="left" w:pos="2608"/>
          <w:tab w:val="left" w:pos="3345"/>
        </w:tabs>
        <w:spacing w:before="80"/>
        <w:ind w:left="1134" w:hanging="1134"/>
      </w:pPr>
      <w:r w:rsidRPr="005B03A7">
        <w:t>IMT</w:t>
      </w:r>
      <w:r w:rsidRPr="005B03A7">
        <w:tab/>
        <w:t>International Mobile Telecommunications</w:t>
      </w:r>
    </w:p>
    <w:p w14:paraId="680AADBC" w14:textId="77777777" w:rsidR="00476035" w:rsidRDefault="00476035" w:rsidP="00476035">
      <w:pPr>
        <w:tabs>
          <w:tab w:val="left" w:pos="2608"/>
          <w:tab w:val="left" w:pos="3345"/>
        </w:tabs>
        <w:spacing w:before="80"/>
        <w:ind w:left="1134" w:hanging="1134"/>
      </w:pPr>
      <w:r w:rsidRPr="005B03A7">
        <w:t>TDD</w:t>
      </w:r>
      <w:r w:rsidRPr="005B03A7">
        <w:tab/>
        <w:t>Time division duplex</w:t>
      </w:r>
    </w:p>
    <w:p w14:paraId="7CB80366" w14:textId="77777777" w:rsidR="00476035" w:rsidRPr="005B03A7" w:rsidRDefault="00476035" w:rsidP="00476035">
      <w:pPr>
        <w:tabs>
          <w:tab w:val="left" w:pos="2608"/>
          <w:tab w:val="left" w:pos="3345"/>
        </w:tabs>
        <w:spacing w:before="80"/>
        <w:ind w:left="1134" w:hanging="1134"/>
      </w:pPr>
      <w:r>
        <w:t>Tx</w:t>
      </w:r>
      <w:r>
        <w:tab/>
        <w:t>Transmitter</w:t>
      </w:r>
    </w:p>
    <w:p w14:paraId="3A6754CB" w14:textId="77777777" w:rsidR="00476035" w:rsidRPr="005B03A7" w:rsidRDefault="00476035" w:rsidP="00476035"/>
    <w:p w14:paraId="292CC996" w14:textId="77777777" w:rsidR="00476035" w:rsidRPr="005B03A7" w:rsidRDefault="00476035" w:rsidP="00476035"/>
    <w:p w14:paraId="363E512A" w14:textId="77777777" w:rsidR="00476035" w:rsidRPr="00137FC8" w:rsidRDefault="00476035" w:rsidP="00476035">
      <w:pPr>
        <w:pStyle w:val="AnnexNoTitle"/>
      </w:pPr>
      <w:bookmarkStart w:id="48" w:name="_Toc224135090"/>
      <w:r w:rsidRPr="00137FC8">
        <w:t>Attachment 3</w:t>
      </w:r>
      <w:r w:rsidRPr="00137FC8">
        <w:br/>
        <w:t>t</w:t>
      </w:r>
      <w:r>
        <w:t>o the Annex</w:t>
      </w:r>
      <w:r w:rsidRPr="00137FC8">
        <w:br/>
      </w:r>
      <w:r w:rsidRPr="00137FC8">
        <w:br/>
        <w:t>Related Recommendations and Reports</w:t>
      </w:r>
      <w:bookmarkEnd w:id="48"/>
    </w:p>
    <w:p w14:paraId="0FBC91A7" w14:textId="77777777" w:rsidR="00476035" w:rsidRPr="00137FC8" w:rsidRDefault="00476035" w:rsidP="00476035"/>
    <w:p w14:paraId="502C5B87" w14:textId="307D518E" w:rsidR="00476035" w:rsidRPr="007B5747" w:rsidRDefault="00476035" w:rsidP="00476035">
      <w:pPr>
        <w:pStyle w:val="Reftext"/>
      </w:pPr>
      <w:r w:rsidRPr="007B5747">
        <w:t xml:space="preserve">Recommendation </w:t>
      </w:r>
      <w:hyperlink r:id="rId52" w:history="1">
        <w:r w:rsidR="0089648A">
          <w:rPr>
            <w:rStyle w:val="Hyperlink"/>
            <w:color w:val="auto"/>
            <w:u w:val="none"/>
          </w:rPr>
          <w:t>ITU-R SM.329</w:t>
        </w:r>
      </w:hyperlink>
      <w:r>
        <w:t xml:space="preserve"> </w:t>
      </w:r>
      <w:r w:rsidRPr="006C76C7">
        <w:rPr>
          <w:rStyle w:val="Hyperlink"/>
          <w:color w:val="auto"/>
          <w:u w:val="none"/>
        </w:rPr>
        <w:t>–</w:t>
      </w:r>
      <w:r w:rsidRPr="007B5747">
        <w:t xml:space="preserve"> Unwanted emissions in the spurious domain</w:t>
      </w:r>
    </w:p>
    <w:p w14:paraId="50C03C28" w14:textId="753390C1" w:rsidR="00476035" w:rsidRPr="007B5747" w:rsidRDefault="00476035" w:rsidP="00476035">
      <w:pPr>
        <w:pStyle w:val="Reftext"/>
        <w:rPr>
          <w:lang w:val="fr-CH"/>
        </w:rPr>
      </w:pPr>
      <w:proofErr w:type="spellStart"/>
      <w:r w:rsidRPr="007B5747">
        <w:rPr>
          <w:lang w:val="fr-CH"/>
        </w:rPr>
        <w:t>Recommendation</w:t>
      </w:r>
      <w:proofErr w:type="spellEnd"/>
      <w:r w:rsidRPr="007B5747">
        <w:rPr>
          <w:lang w:val="fr-CH"/>
        </w:rPr>
        <w:t xml:space="preserve"> </w:t>
      </w:r>
      <w:hyperlink r:id="rId53" w:history="1">
        <w:r w:rsidR="0089648A">
          <w:rPr>
            <w:rStyle w:val="Hyperlink"/>
            <w:color w:val="auto"/>
            <w:u w:val="none"/>
            <w:lang w:val="fr-CH"/>
          </w:rPr>
          <w:t>ITU-R M.687</w:t>
        </w:r>
      </w:hyperlink>
      <w:r>
        <w:rPr>
          <w:rStyle w:val="Hyperlink"/>
          <w:color w:val="auto"/>
          <w:u w:val="none"/>
          <w:lang w:val="fr-CH"/>
        </w:rPr>
        <w:t xml:space="preserve"> – </w:t>
      </w:r>
      <w:r w:rsidRPr="007B5747">
        <w:rPr>
          <w:lang w:val="fr-CH"/>
        </w:rPr>
        <w:t>International Mobile Telecommunications-2000 (IMT-2000)</w:t>
      </w:r>
    </w:p>
    <w:p w14:paraId="79D0BCDE" w14:textId="60D363A6" w:rsidR="00476035" w:rsidRPr="007B5747" w:rsidRDefault="00476035" w:rsidP="00476035">
      <w:pPr>
        <w:pStyle w:val="Reftext"/>
        <w:rPr>
          <w:lang w:val="fr-CH"/>
        </w:rPr>
      </w:pPr>
      <w:proofErr w:type="spellStart"/>
      <w:r w:rsidRPr="007B5747">
        <w:rPr>
          <w:lang w:val="fr-CH"/>
        </w:rPr>
        <w:t>Recommendation</w:t>
      </w:r>
      <w:proofErr w:type="spellEnd"/>
      <w:r w:rsidRPr="007B5747">
        <w:rPr>
          <w:lang w:val="fr-CH"/>
        </w:rPr>
        <w:t xml:space="preserve"> </w:t>
      </w:r>
      <w:hyperlink r:id="rId54" w:history="1">
        <w:r w:rsidR="0089648A">
          <w:rPr>
            <w:rStyle w:val="Hyperlink"/>
            <w:color w:val="auto"/>
            <w:u w:val="none"/>
            <w:lang w:val="fr-CH"/>
          </w:rPr>
          <w:t>ITU-R M.816</w:t>
        </w:r>
      </w:hyperlink>
      <w:r>
        <w:rPr>
          <w:lang w:val="fr-CH"/>
        </w:rPr>
        <w:t xml:space="preserve"> </w:t>
      </w:r>
      <w:r>
        <w:rPr>
          <w:rStyle w:val="Hyperlink"/>
          <w:color w:val="auto"/>
          <w:u w:val="none"/>
          <w:lang w:val="fr-CH"/>
        </w:rPr>
        <w:t>–</w:t>
      </w:r>
      <w:r w:rsidRPr="007B5747">
        <w:rPr>
          <w:lang w:val="fr-CH"/>
        </w:rPr>
        <w:t xml:space="preserve"> Framework for services </w:t>
      </w:r>
      <w:proofErr w:type="spellStart"/>
      <w:r w:rsidRPr="007B5747">
        <w:rPr>
          <w:lang w:val="fr-CH"/>
        </w:rPr>
        <w:t>supported</w:t>
      </w:r>
      <w:proofErr w:type="spellEnd"/>
      <w:r w:rsidRPr="007B5747">
        <w:rPr>
          <w:lang w:val="fr-CH"/>
        </w:rPr>
        <w:t xml:space="preserve"> on International Mobile Telecommunications-2000 (IMT-2000)</w:t>
      </w:r>
    </w:p>
    <w:p w14:paraId="57EA97E5" w14:textId="35BF746B" w:rsidR="00476035" w:rsidRPr="007B5747" w:rsidRDefault="00476035" w:rsidP="00476035">
      <w:pPr>
        <w:pStyle w:val="Reftext"/>
        <w:rPr>
          <w:lang w:val="fr-CH"/>
        </w:rPr>
      </w:pPr>
      <w:proofErr w:type="spellStart"/>
      <w:r w:rsidRPr="007B5747">
        <w:rPr>
          <w:lang w:val="fr-CH"/>
        </w:rPr>
        <w:t>Recommendation</w:t>
      </w:r>
      <w:proofErr w:type="spellEnd"/>
      <w:r w:rsidRPr="007B5747">
        <w:rPr>
          <w:lang w:val="fr-CH"/>
        </w:rPr>
        <w:t xml:space="preserve"> </w:t>
      </w:r>
      <w:hyperlink r:id="rId55" w:history="1">
        <w:r w:rsidR="0089648A">
          <w:rPr>
            <w:rStyle w:val="Hyperlink"/>
            <w:color w:val="auto"/>
            <w:u w:val="none"/>
            <w:lang w:val="fr-CH"/>
          </w:rPr>
          <w:t>ITU-R M.818</w:t>
        </w:r>
      </w:hyperlink>
      <w:r>
        <w:rPr>
          <w:lang w:val="fr-CH"/>
        </w:rPr>
        <w:t xml:space="preserve"> </w:t>
      </w:r>
      <w:r>
        <w:rPr>
          <w:rStyle w:val="Hyperlink"/>
          <w:color w:val="auto"/>
          <w:u w:val="none"/>
          <w:lang w:val="fr-CH"/>
        </w:rPr>
        <w:t>–</w:t>
      </w:r>
      <w:r w:rsidRPr="007B5747">
        <w:rPr>
          <w:lang w:val="fr-CH"/>
        </w:rPr>
        <w:t xml:space="preserve"> Satellite </w:t>
      </w:r>
      <w:proofErr w:type="spellStart"/>
      <w:r w:rsidRPr="007B5747">
        <w:rPr>
          <w:lang w:val="fr-CH"/>
        </w:rPr>
        <w:t>operation</w:t>
      </w:r>
      <w:proofErr w:type="spellEnd"/>
      <w:r w:rsidRPr="007B5747">
        <w:rPr>
          <w:lang w:val="fr-CH"/>
        </w:rPr>
        <w:t xml:space="preserve"> </w:t>
      </w:r>
      <w:proofErr w:type="spellStart"/>
      <w:r w:rsidRPr="007B5747">
        <w:rPr>
          <w:lang w:val="fr-CH"/>
        </w:rPr>
        <w:t>within</w:t>
      </w:r>
      <w:proofErr w:type="spellEnd"/>
      <w:r w:rsidRPr="007B5747">
        <w:rPr>
          <w:lang w:val="fr-CH"/>
        </w:rPr>
        <w:t xml:space="preserve"> International Mobile Telecommunications-2000 (IMT-2000)</w:t>
      </w:r>
    </w:p>
    <w:p w14:paraId="5DD200C9" w14:textId="2CC8DC95" w:rsidR="00476035" w:rsidRPr="006C76C7" w:rsidRDefault="00476035" w:rsidP="00476035">
      <w:pPr>
        <w:pStyle w:val="Reftext"/>
      </w:pPr>
      <w:r w:rsidRPr="006C76C7">
        <w:t xml:space="preserve">Recommendation </w:t>
      </w:r>
      <w:hyperlink r:id="rId56" w:history="1">
        <w:r w:rsidR="0089648A">
          <w:rPr>
            <w:rStyle w:val="Hyperlink"/>
            <w:color w:val="auto"/>
            <w:u w:val="none"/>
          </w:rPr>
          <w:t>ITU-R M.819</w:t>
        </w:r>
      </w:hyperlink>
      <w:r w:rsidRPr="006C76C7">
        <w:t xml:space="preserve"> </w:t>
      </w:r>
      <w:r w:rsidRPr="006C76C7">
        <w:rPr>
          <w:rStyle w:val="Hyperlink"/>
          <w:color w:val="auto"/>
          <w:u w:val="none"/>
        </w:rPr>
        <w:t>–</w:t>
      </w:r>
      <w:r w:rsidRPr="006C76C7">
        <w:t xml:space="preserve"> International Mobile Telecommunications-2000 (IMT-2000) for developing countries</w:t>
      </w:r>
    </w:p>
    <w:p w14:paraId="5C74FBA1" w14:textId="54418494" w:rsidR="00476035" w:rsidRPr="007B5747" w:rsidRDefault="00476035" w:rsidP="00476035">
      <w:pPr>
        <w:pStyle w:val="Reftext"/>
      </w:pPr>
      <w:r w:rsidRPr="007B5747">
        <w:lastRenderedPageBreak/>
        <w:t xml:space="preserve">Recommendation </w:t>
      </w:r>
      <w:hyperlink r:id="rId57" w:history="1">
        <w:r w:rsidR="0089648A">
          <w:rPr>
            <w:rStyle w:val="Hyperlink"/>
            <w:color w:val="auto"/>
            <w:u w:val="none"/>
          </w:rPr>
          <w:t>ITU-R M.1033</w:t>
        </w:r>
      </w:hyperlink>
      <w:r>
        <w:t xml:space="preserve"> </w:t>
      </w:r>
      <w:r w:rsidRPr="006C76C7">
        <w:rPr>
          <w:rStyle w:val="Hyperlink"/>
          <w:color w:val="auto"/>
          <w:u w:val="none"/>
        </w:rPr>
        <w:t>–</w:t>
      </w:r>
      <w:r w:rsidRPr="007B5747">
        <w:t xml:space="preserve"> Technical and operational characteristics of cordless telephones and cordless telecommunication systems</w:t>
      </w:r>
    </w:p>
    <w:p w14:paraId="0EE63CD0" w14:textId="17C83BB6" w:rsidR="00476035" w:rsidRPr="007B5747" w:rsidRDefault="00476035" w:rsidP="00476035">
      <w:pPr>
        <w:pStyle w:val="Reftext"/>
      </w:pPr>
      <w:r w:rsidRPr="007B5747">
        <w:t xml:space="preserve">Recommendation </w:t>
      </w:r>
      <w:hyperlink r:id="rId58" w:history="1">
        <w:r w:rsidR="0089648A">
          <w:rPr>
            <w:rStyle w:val="Hyperlink"/>
            <w:color w:val="auto"/>
            <w:u w:val="none"/>
          </w:rPr>
          <w:t>ITU-R M.1034</w:t>
        </w:r>
      </w:hyperlink>
      <w:r>
        <w:t xml:space="preserve"> </w:t>
      </w:r>
      <w:r w:rsidRPr="006C76C7">
        <w:rPr>
          <w:rStyle w:val="Hyperlink"/>
          <w:color w:val="auto"/>
          <w:u w:val="none"/>
        </w:rPr>
        <w:t>–</w:t>
      </w:r>
      <w:r w:rsidRPr="007B5747">
        <w:t xml:space="preserve"> Requirements for the radio interface(s) for International Mobile Telecommunications-2000 (IMT-2000)</w:t>
      </w:r>
    </w:p>
    <w:p w14:paraId="31B7AB90" w14:textId="2C0B715A" w:rsidR="00476035" w:rsidRPr="007B5747" w:rsidRDefault="00476035" w:rsidP="00476035">
      <w:pPr>
        <w:pStyle w:val="Reftext"/>
      </w:pPr>
      <w:r w:rsidRPr="007B5747">
        <w:t xml:space="preserve">Recommendation </w:t>
      </w:r>
      <w:hyperlink r:id="rId59" w:history="1">
        <w:r w:rsidR="0089648A">
          <w:rPr>
            <w:rStyle w:val="Hyperlink"/>
            <w:color w:val="auto"/>
            <w:u w:val="none"/>
          </w:rPr>
          <w:t>ITU-R M.1035</w:t>
        </w:r>
      </w:hyperlink>
      <w:r>
        <w:t xml:space="preserve"> </w:t>
      </w:r>
      <w:r w:rsidRPr="006C76C7">
        <w:rPr>
          <w:rStyle w:val="Hyperlink"/>
          <w:color w:val="auto"/>
          <w:u w:val="none"/>
        </w:rPr>
        <w:t>–</w:t>
      </w:r>
      <w:r w:rsidRPr="007B5747">
        <w:t xml:space="preserve"> Framework for the radio interface(s) and radio sub-system functionality for International Mobile Telecommunications</w:t>
      </w:r>
      <w:r w:rsidRPr="007B5747">
        <w:noBreakHyphen/>
        <w:t>2000 (IMT-2000)</w:t>
      </w:r>
    </w:p>
    <w:p w14:paraId="6E3D8F66" w14:textId="475F60CF" w:rsidR="00476035" w:rsidRPr="007B5747" w:rsidRDefault="00476035" w:rsidP="00476035">
      <w:pPr>
        <w:pStyle w:val="Reftext"/>
      </w:pPr>
      <w:r w:rsidRPr="007B5747">
        <w:t xml:space="preserve">Recommendation </w:t>
      </w:r>
      <w:hyperlink r:id="rId60" w:history="1">
        <w:r w:rsidR="0089648A">
          <w:rPr>
            <w:rStyle w:val="Hyperlink"/>
            <w:color w:val="auto"/>
            <w:u w:val="none"/>
          </w:rPr>
          <w:t>ITU-R M.1073</w:t>
        </w:r>
      </w:hyperlink>
      <w:r>
        <w:t xml:space="preserve"> </w:t>
      </w:r>
      <w:r w:rsidRPr="006C76C7">
        <w:rPr>
          <w:rStyle w:val="Hyperlink"/>
          <w:color w:val="auto"/>
          <w:u w:val="none"/>
        </w:rPr>
        <w:t>–</w:t>
      </w:r>
      <w:r w:rsidRPr="007B5747">
        <w:t xml:space="preserve"> Digital cellular land mobile telecommunication systems</w:t>
      </w:r>
    </w:p>
    <w:p w14:paraId="4AB31EF6" w14:textId="581C68FA" w:rsidR="00476035" w:rsidRPr="007B5747" w:rsidRDefault="00476035" w:rsidP="00476035">
      <w:pPr>
        <w:pStyle w:val="Reftext"/>
      </w:pPr>
      <w:r w:rsidRPr="007B5747">
        <w:t xml:space="preserve">Recommendation </w:t>
      </w:r>
      <w:hyperlink r:id="rId61" w:history="1">
        <w:r w:rsidR="0089648A">
          <w:rPr>
            <w:rStyle w:val="Hyperlink"/>
            <w:color w:val="auto"/>
            <w:u w:val="none"/>
          </w:rPr>
          <w:t>ITU-R M.1167</w:t>
        </w:r>
      </w:hyperlink>
      <w:r>
        <w:t xml:space="preserve"> </w:t>
      </w:r>
      <w:r w:rsidRPr="006C76C7">
        <w:rPr>
          <w:rStyle w:val="Hyperlink"/>
          <w:color w:val="auto"/>
          <w:u w:val="none"/>
        </w:rPr>
        <w:t>–</w:t>
      </w:r>
      <w:r w:rsidRPr="007B5747">
        <w:t xml:space="preserve"> Framework for the satellite component of International Mobile Telecommunications-2000 (IMT-2000)</w:t>
      </w:r>
    </w:p>
    <w:p w14:paraId="54B79437" w14:textId="160ADFE7" w:rsidR="00476035" w:rsidRPr="007B5747" w:rsidRDefault="00476035" w:rsidP="00476035">
      <w:pPr>
        <w:pStyle w:val="Reftext"/>
      </w:pPr>
      <w:r w:rsidRPr="007B5747">
        <w:t xml:space="preserve">Recommendation </w:t>
      </w:r>
      <w:hyperlink r:id="rId62" w:history="1">
        <w:r w:rsidR="0089648A">
          <w:rPr>
            <w:rStyle w:val="Hyperlink"/>
            <w:color w:val="auto"/>
            <w:u w:val="none"/>
          </w:rPr>
          <w:t>ITU-R M.1224</w:t>
        </w:r>
      </w:hyperlink>
      <w:r>
        <w:t xml:space="preserve"> </w:t>
      </w:r>
      <w:r w:rsidRPr="006C76C7">
        <w:rPr>
          <w:rStyle w:val="Hyperlink"/>
          <w:color w:val="auto"/>
          <w:u w:val="none"/>
        </w:rPr>
        <w:t>–</w:t>
      </w:r>
      <w:r w:rsidRPr="007B5747">
        <w:t xml:space="preserve"> Vocabulary of terms for International Mobile Telecommunications (IMT)</w:t>
      </w:r>
    </w:p>
    <w:p w14:paraId="21BDDB72" w14:textId="58DB8692" w:rsidR="00476035" w:rsidRPr="007B5747" w:rsidRDefault="00476035" w:rsidP="00476035">
      <w:pPr>
        <w:pStyle w:val="Reftext"/>
      </w:pPr>
      <w:r w:rsidRPr="007B5747">
        <w:t xml:space="preserve">Recommendation </w:t>
      </w:r>
      <w:hyperlink r:id="rId63" w:history="1">
        <w:r w:rsidR="0089648A">
          <w:rPr>
            <w:rStyle w:val="Hyperlink"/>
            <w:color w:val="auto"/>
            <w:u w:val="none"/>
          </w:rPr>
          <w:t>ITU-R M.1308</w:t>
        </w:r>
      </w:hyperlink>
      <w:r>
        <w:t xml:space="preserve"> </w:t>
      </w:r>
      <w:r w:rsidRPr="006C76C7">
        <w:rPr>
          <w:rStyle w:val="Hyperlink"/>
          <w:color w:val="auto"/>
          <w:u w:val="none"/>
        </w:rPr>
        <w:t>–</w:t>
      </w:r>
      <w:r w:rsidRPr="007B5747">
        <w:t xml:space="preserve"> Evolution of land mobile systems towards IMT-2000</w:t>
      </w:r>
    </w:p>
    <w:p w14:paraId="0B98799C" w14:textId="79539B3F" w:rsidR="00476035" w:rsidRPr="007B5747" w:rsidRDefault="00476035" w:rsidP="00476035">
      <w:pPr>
        <w:pStyle w:val="Reftext"/>
      </w:pPr>
      <w:r w:rsidRPr="007B5747">
        <w:t xml:space="preserve">Recommendation </w:t>
      </w:r>
      <w:hyperlink r:id="rId64" w:history="1">
        <w:r w:rsidR="0089648A">
          <w:rPr>
            <w:rStyle w:val="Hyperlink"/>
            <w:color w:val="auto"/>
            <w:u w:val="none"/>
          </w:rPr>
          <w:t>ITU-R M.1390</w:t>
        </w:r>
      </w:hyperlink>
      <w:r>
        <w:t xml:space="preserve"> </w:t>
      </w:r>
      <w:r w:rsidRPr="006C76C7">
        <w:rPr>
          <w:rStyle w:val="Hyperlink"/>
          <w:color w:val="auto"/>
          <w:u w:val="none"/>
        </w:rPr>
        <w:t>–</w:t>
      </w:r>
      <w:r w:rsidRPr="007B5747">
        <w:t xml:space="preserve"> Methodology for the calculation of IMT-2000 terrestrial spectrum requirements</w:t>
      </w:r>
    </w:p>
    <w:p w14:paraId="737E1D4D" w14:textId="09BBF2A2" w:rsidR="00476035" w:rsidRPr="007B5747" w:rsidRDefault="00476035" w:rsidP="00476035">
      <w:pPr>
        <w:pStyle w:val="Reftext"/>
      </w:pPr>
      <w:r w:rsidRPr="007B5747">
        <w:t xml:space="preserve">Recommendation </w:t>
      </w:r>
      <w:hyperlink r:id="rId65" w:history="1">
        <w:r w:rsidR="0089648A">
          <w:rPr>
            <w:rStyle w:val="Hyperlink"/>
            <w:color w:val="auto"/>
            <w:u w:val="none"/>
          </w:rPr>
          <w:t>ITU-R M.1457</w:t>
        </w:r>
      </w:hyperlink>
      <w:r>
        <w:t xml:space="preserve"> </w:t>
      </w:r>
      <w:r w:rsidRPr="006C76C7">
        <w:rPr>
          <w:rStyle w:val="Hyperlink"/>
          <w:color w:val="auto"/>
          <w:u w:val="none"/>
        </w:rPr>
        <w:t>–</w:t>
      </w:r>
      <w:r w:rsidRPr="007B5747">
        <w:t xml:space="preserve"> Detailed specifications of the radio interfaces of International Mobile Telecommunications-2000 (IMT-2000)</w:t>
      </w:r>
    </w:p>
    <w:p w14:paraId="483705B0" w14:textId="3A328A25" w:rsidR="00476035" w:rsidRPr="007B5747" w:rsidRDefault="00476035" w:rsidP="00476035">
      <w:pPr>
        <w:pStyle w:val="Reftext"/>
      </w:pPr>
      <w:r w:rsidRPr="007B5747">
        <w:t xml:space="preserve">Recommendation </w:t>
      </w:r>
      <w:hyperlink r:id="rId66" w:history="1">
        <w:r w:rsidR="0089648A">
          <w:rPr>
            <w:rStyle w:val="Hyperlink"/>
            <w:color w:val="auto"/>
            <w:u w:val="none"/>
          </w:rPr>
          <w:t>ITU-R M.1579</w:t>
        </w:r>
      </w:hyperlink>
      <w:r>
        <w:t xml:space="preserve"> </w:t>
      </w:r>
      <w:r w:rsidRPr="006C76C7">
        <w:rPr>
          <w:rStyle w:val="Hyperlink"/>
          <w:color w:val="auto"/>
          <w:u w:val="none"/>
        </w:rPr>
        <w:t>–</w:t>
      </w:r>
      <w:r w:rsidRPr="007B5747">
        <w:t xml:space="preserve"> Global circulation of IMT terrestrial terminals</w:t>
      </w:r>
    </w:p>
    <w:p w14:paraId="01E20E61" w14:textId="156190C3" w:rsidR="00476035" w:rsidRPr="007B5747" w:rsidRDefault="00476035" w:rsidP="00476035">
      <w:pPr>
        <w:pStyle w:val="Reftext"/>
      </w:pPr>
      <w:r w:rsidRPr="007B5747">
        <w:t xml:space="preserve">Recommendation </w:t>
      </w:r>
      <w:hyperlink r:id="rId67" w:history="1">
        <w:r w:rsidR="0089648A">
          <w:rPr>
            <w:rStyle w:val="Hyperlink"/>
            <w:color w:val="auto"/>
            <w:u w:val="none"/>
          </w:rPr>
          <w:t>ITU-R M.1580</w:t>
        </w:r>
      </w:hyperlink>
      <w:r>
        <w:t xml:space="preserve"> </w:t>
      </w:r>
      <w:r w:rsidRPr="006C76C7">
        <w:rPr>
          <w:rStyle w:val="Hyperlink"/>
          <w:color w:val="auto"/>
          <w:u w:val="none"/>
        </w:rPr>
        <w:t>–</w:t>
      </w:r>
      <w:r w:rsidRPr="007B5747">
        <w:t xml:space="preserve"> Generic unwanted emission characteristics of base stations using the terrestrial radio interfaces of IMT-2000</w:t>
      </w:r>
    </w:p>
    <w:p w14:paraId="584E3FC2" w14:textId="57AF2792" w:rsidR="00476035" w:rsidRPr="007B5747" w:rsidRDefault="00476035" w:rsidP="00476035">
      <w:pPr>
        <w:pStyle w:val="Reftext"/>
      </w:pPr>
      <w:r w:rsidRPr="007B5747">
        <w:t xml:space="preserve">Recommendation </w:t>
      </w:r>
      <w:hyperlink r:id="rId68" w:history="1">
        <w:r w:rsidR="0089648A">
          <w:rPr>
            <w:rStyle w:val="Hyperlink"/>
            <w:color w:val="auto"/>
            <w:u w:val="none"/>
          </w:rPr>
          <w:t>ITU-R M.1581</w:t>
        </w:r>
      </w:hyperlink>
      <w:r>
        <w:t xml:space="preserve"> </w:t>
      </w:r>
      <w:r w:rsidRPr="006C76C7">
        <w:rPr>
          <w:rStyle w:val="Hyperlink"/>
          <w:color w:val="auto"/>
          <w:u w:val="none"/>
        </w:rPr>
        <w:t>–</w:t>
      </w:r>
      <w:r w:rsidRPr="007B5747">
        <w:t xml:space="preserve"> Generic unwanted emission characteristics of mobile stations using the terrestrial radio interfaces of IMT-2000</w:t>
      </w:r>
    </w:p>
    <w:p w14:paraId="4CF0C8E0" w14:textId="310DEF81" w:rsidR="00476035" w:rsidRPr="007B5747" w:rsidRDefault="00476035" w:rsidP="00476035">
      <w:pPr>
        <w:pStyle w:val="Reftext"/>
      </w:pPr>
      <w:r w:rsidRPr="007B5747">
        <w:t xml:space="preserve">Recommendation </w:t>
      </w:r>
      <w:hyperlink r:id="rId69" w:history="1">
        <w:r w:rsidR="0089648A">
          <w:rPr>
            <w:rStyle w:val="Hyperlink"/>
            <w:color w:val="auto"/>
            <w:u w:val="none"/>
          </w:rPr>
          <w:t>ITU-R M.1645</w:t>
        </w:r>
      </w:hyperlink>
      <w:r>
        <w:t xml:space="preserve"> </w:t>
      </w:r>
      <w:r w:rsidRPr="006C76C7">
        <w:rPr>
          <w:rStyle w:val="Hyperlink"/>
          <w:color w:val="auto"/>
          <w:u w:val="none"/>
        </w:rPr>
        <w:t>–</w:t>
      </w:r>
      <w:r w:rsidRPr="007B5747">
        <w:t xml:space="preserve"> Framework and overall objectives of the future development of IMT-2000 and systems beyond IMT-2000</w:t>
      </w:r>
    </w:p>
    <w:p w14:paraId="4C570A39" w14:textId="445AA8DA" w:rsidR="00476035" w:rsidRPr="007B5747" w:rsidRDefault="00476035" w:rsidP="00476035">
      <w:pPr>
        <w:pStyle w:val="Reftext"/>
      </w:pPr>
      <w:r w:rsidRPr="007B5747">
        <w:t xml:space="preserve">Recommendation </w:t>
      </w:r>
      <w:hyperlink r:id="rId70" w:history="1">
        <w:r w:rsidR="0089648A">
          <w:rPr>
            <w:rStyle w:val="Hyperlink"/>
            <w:color w:val="auto"/>
            <w:u w:val="none"/>
          </w:rPr>
          <w:t>ITU-R M.1768</w:t>
        </w:r>
      </w:hyperlink>
      <w:r>
        <w:t xml:space="preserve"> </w:t>
      </w:r>
      <w:r w:rsidRPr="006C76C7">
        <w:rPr>
          <w:rStyle w:val="Hyperlink"/>
          <w:color w:val="auto"/>
          <w:u w:val="none"/>
        </w:rPr>
        <w:t>–</w:t>
      </w:r>
      <w:r w:rsidRPr="007B5747">
        <w:t xml:space="preserve"> Methodology for calculation of spectrum requirements for the terrestrial component of International Mobile Telecommunications</w:t>
      </w:r>
    </w:p>
    <w:p w14:paraId="4230062C" w14:textId="131381AA" w:rsidR="00476035" w:rsidRPr="007B5747" w:rsidRDefault="00476035" w:rsidP="00476035">
      <w:pPr>
        <w:pStyle w:val="Reftext"/>
      </w:pPr>
      <w:r w:rsidRPr="007B5747">
        <w:t xml:space="preserve">Recommendation </w:t>
      </w:r>
      <w:hyperlink r:id="rId71" w:history="1">
        <w:r w:rsidR="0089648A">
          <w:rPr>
            <w:rStyle w:val="Hyperlink"/>
            <w:color w:val="auto"/>
            <w:u w:val="none"/>
          </w:rPr>
          <w:t>ITU-R M.1797</w:t>
        </w:r>
      </w:hyperlink>
      <w:r>
        <w:t xml:space="preserve"> </w:t>
      </w:r>
      <w:r w:rsidRPr="006C76C7">
        <w:rPr>
          <w:rStyle w:val="Hyperlink"/>
          <w:color w:val="auto"/>
          <w:u w:val="none"/>
        </w:rPr>
        <w:t>–</w:t>
      </w:r>
      <w:r w:rsidRPr="007B5747">
        <w:t xml:space="preserve"> Vocabulary of terms for the land mobile service</w:t>
      </w:r>
    </w:p>
    <w:p w14:paraId="47699B2D" w14:textId="6BAD2B47" w:rsidR="00476035" w:rsidRPr="007B5747" w:rsidRDefault="00476035" w:rsidP="00476035">
      <w:pPr>
        <w:pStyle w:val="Reftext"/>
      </w:pPr>
      <w:r w:rsidRPr="007B5747">
        <w:t xml:space="preserve">Recommendation </w:t>
      </w:r>
      <w:hyperlink r:id="rId72" w:history="1">
        <w:r w:rsidR="0089648A">
          <w:rPr>
            <w:rStyle w:val="Hyperlink"/>
            <w:color w:val="auto"/>
            <w:u w:val="none"/>
          </w:rPr>
          <w:t>ITU-R M.1822</w:t>
        </w:r>
      </w:hyperlink>
      <w:r>
        <w:t xml:space="preserve"> </w:t>
      </w:r>
      <w:r w:rsidRPr="006C76C7">
        <w:rPr>
          <w:rStyle w:val="Hyperlink"/>
          <w:color w:val="auto"/>
          <w:u w:val="none"/>
        </w:rPr>
        <w:t>–</w:t>
      </w:r>
      <w:r w:rsidRPr="007B5747">
        <w:t xml:space="preserve"> Framework for services supported by IMT</w:t>
      </w:r>
    </w:p>
    <w:p w14:paraId="3972FB58" w14:textId="2277F75A" w:rsidR="00476035" w:rsidRPr="007B5747" w:rsidRDefault="00476035" w:rsidP="00476035">
      <w:pPr>
        <w:pStyle w:val="Reftext"/>
      </w:pPr>
      <w:r w:rsidRPr="007B5747">
        <w:t>Recommendation</w:t>
      </w:r>
      <w:r w:rsidRPr="007B5747">
        <w:rPr>
          <w:rStyle w:val="Hyperlink"/>
          <w:color w:val="auto"/>
          <w:u w:val="none"/>
        </w:rPr>
        <w:t xml:space="preserve"> </w:t>
      </w:r>
      <w:hyperlink r:id="rId73" w:history="1">
        <w:r w:rsidR="00832E1A">
          <w:rPr>
            <w:rStyle w:val="Hyperlink"/>
            <w:color w:val="auto"/>
            <w:u w:val="none"/>
          </w:rPr>
          <w:t>ITU-R M</w:t>
        </w:r>
        <w:r w:rsidRPr="007B5747">
          <w:rPr>
            <w:rStyle w:val="Hyperlink"/>
            <w:color w:val="auto"/>
            <w:u w:val="none"/>
          </w:rPr>
          <w:t>.2012</w:t>
        </w:r>
      </w:hyperlink>
      <w:r>
        <w:t xml:space="preserve"> </w:t>
      </w:r>
      <w:r w:rsidRPr="006C76C7">
        <w:rPr>
          <w:rStyle w:val="Hyperlink"/>
          <w:color w:val="auto"/>
          <w:u w:val="none"/>
        </w:rPr>
        <w:t>–</w:t>
      </w:r>
      <w:r w:rsidRPr="007B5747">
        <w:t xml:space="preserve"> Detailed specifications of the terrestrial radio interfaces of International Mobile Telecommunications Advanced (IMT</w:t>
      </w:r>
      <w:r w:rsidRPr="007B5747">
        <w:noBreakHyphen/>
        <w:t>Advanced)</w:t>
      </w:r>
    </w:p>
    <w:p w14:paraId="0B212B53" w14:textId="7CDA819E" w:rsidR="00476035" w:rsidRPr="007B5747" w:rsidRDefault="00476035" w:rsidP="00476035">
      <w:pPr>
        <w:pStyle w:val="Reftext"/>
        <w:rPr>
          <w:rFonts w:eastAsia="SimSun"/>
        </w:rPr>
      </w:pPr>
      <w:r w:rsidRPr="007B5747">
        <w:rPr>
          <w:rFonts w:eastAsia="SimSun"/>
        </w:rPr>
        <w:t xml:space="preserve">Recommendation </w:t>
      </w:r>
      <w:hyperlink r:id="rId74" w:history="1">
        <w:r w:rsidR="00832E1A">
          <w:rPr>
            <w:rStyle w:val="Hyperlink"/>
            <w:color w:val="auto"/>
            <w:u w:val="none"/>
          </w:rPr>
          <w:t>ITU-R M</w:t>
        </w:r>
        <w:r w:rsidR="00832E1A" w:rsidRPr="00C50DFB">
          <w:rPr>
            <w:rStyle w:val="Hyperlink"/>
            <w:color w:val="auto"/>
            <w:u w:val="none"/>
          </w:rPr>
          <w:t>.2015</w:t>
        </w:r>
      </w:hyperlink>
      <w:r>
        <w:rPr>
          <w:rFonts w:eastAsia="SimSun"/>
        </w:rPr>
        <w:t xml:space="preserve"> </w:t>
      </w:r>
      <w:r w:rsidRPr="006C76C7">
        <w:rPr>
          <w:rStyle w:val="Hyperlink"/>
          <w:color w:val="auto"/>
          <w:u w:val="none"/>
        </w:rPr>
        <w:t>–</w:t>
      </w:r>
      <w:r w:rsidRPr="007B5747">
        <w:rPr>
          <w:rFonts w:eastAsia="SimSun"/>
        </w:rPr>
        <w:t xml:space="preserve"> Frequency arrangements for public protection and disaster relief radiocommunication systems in accordance with Resolution </w:t>
      </w:r>
      <w:r w:rsidRPr="007B5747">
        <w:rPr>
          <w:rFonts w:eastAsia="SimSun"/>
          <w:b/>
          <w:bCs/>
        </w:rPr>
        <w:t>646 (Rev.WRC-15)</w:t>
      </w:r>
    </w:p>
    <w:p w14:paraId="1287C627" w14:textId="502DAEF8" w:rsidR="00476035" w:rsidRPr="007B5747" w:rsidRDefault="00476035" w:rsidP="00476035">
      <w:pPr>
        <w:pStyle w:val="Reftext"/>
      </w:pPr>
      <w:r w:rsidRPr="007B5747">
        <w:t>Recommendation</w:t>
      </w:r>
      <w:r w:rsidRPr="007B5747">
        <w:rPr>
          <w:rStyle w:val="Hyperlink"/>
          <w:color w:val="auto"/>
          <w:u w:val="none"/>
        </w:rPr>
        <w:t xml:space="preserve"> </w:t>
      </w:r>
      <w:hyperlink r:id="rId75" w:history="1">
        <w:r w:rsidR="00832E1A">
          <w:rPr>
            <w:rStyle w:val="Hyperlink"/>
            <w:color w:val="auto"/>
            <w:u w:val="none"/>
          </w:rPr>
          <w:t>ITU-R M</w:t>
        </w:r>
        <w:r w:rsidRPr="007B5747">
          <w:rPr>
            <w:rStyle w:val="Hyperlink"/>
            <w:color w:val="auto"/>
            <w:u w:val="none"/>
          </w:rPr>
          <w:t>.2070</w:t>
        </w:r>
      </w:hyperlink>
      <w:r>
        <w:t xml:space="preserve"> </w:t>
      </w:r>
      <w:r w:rsidRPr="006C76C7">
        <w:rPr>
          <w:rStyle w:val="Hyperlink"/>
          <w:color w:val="auto"/>
          <w:u w:val="none"/>
        </w:rPr>
        <w:t>–</w:t>
      </w:r>
      <w:r w:rsidRPr="007B5747">
        <w:t xml:space="preserve"> Generic unwanted emission characteristics of base stations using the terrestrial radio interfaces of IMT-Advanced</w:t>
      </w:r>
    </w:p>
    <w:p w14:paraId="7DC98614" w14:textId="736C66C8" w:rsidR="00476035" w:rsidRPr="007B5747" w:rsidRDefault="00476035" w:rsidP="00476035">
      <w:pPr>
        <w:pStyle w:val="Reftext"/>
      </w:pPr>
      <w:r w:rsidRPr="007B5747">
        <w:t>Recommendation</w:t>
      </w:r>
      <w:r w:rsidRPr="007B5747">
        <w:rPr>
          <w:rStyle w:val="Hyperlink"/>
          <w:color w:val="auto"/>
          <w:u w:val="none"/>
        </w:rPr>
        <w:t xml:space="preserve"> </w:t>
      </w:r>
      <w:hyperlink r:id="rId76" w:history="1">
        <w:r w:rsidR="00832E1A">
          <w:rPr>
            <w:rStyle w:val="Hyperlink"/>
            <w:color w:val="auto"/>
            <w:u w:val="none"/>
          </w:rPr>
          <w:t>ITU-R M</w:t>
        </w:r>
        <w:r w:rsidRPr="007B5747">
          <w:rPr>
            <w:rStyle w:val="Hyperlink"/>
            <w:color w:val="auto"/>
            <w:u w:val="none"/>
          </w:rPr>
          <w:t>.2071</w:t>
        </w:r>
      </w:hyperlink>
      <w:r>
        <w:t xml:space="preserve"> </w:t>
      </w:r>
      <w:r w:rsidRPr="006C76C7">
        <w:rPr>
          <w:rStyle w:val="Hyperlink"/>
          <w:color w:val="auto"/>
          <w:u w:val="none"/>
        </w:rPr>
        <w:t>–</w:t>
      </w:r>
      <w:r w:rsidRPr="007B5747">
        <w:t xml:space="preserve"> Generic unwanted emission characteristics of mobile stations using the terrestrial radio interfaces of IMT-Advanced</w:t>
      </w:r>
    </w:p>
    <w:p w14:paraId="3729AB25" w14:textId="1C7CFCEA" w:rsidR="00476035" w:rsidRPr="007B5747" w:rsidRDefault="00476035" w:rsidP="00476035">
      <w:pPr>
        <w:pStyle w:val="Reftext"/>
      </w:pPr>
      <w:r w:rsidRPr="007B5747">
        <w:t>Recommendation</w:t>
      </w:r>
      <w:r w:rsidRPr="007B5747">
        <w:rPr>
          <w:rStyle w:val="Hyperlink"/>
          <w:color w:val="auto"/>
          <w:u w:val="none"/>
        </w:rPr>
        <w:t xml:space="preserve"> </w:t>
      </w:r>
      <w:hyperlink r:id="rId77" w:history="1">
        <w:r w:rsidR="00832E1A">
          <w:rPr>
            <w:rStyle w:val="Hyperlink"/>
            <w:color w:val="auto"/>
            <w:u w:val="none"/>
          </w:rPr>
          <w:t>ITU-R M</w:t>
        </w:r>
        <w:r w:rsidRPr="007B5747">
          <w:rPr>
            <w:rStyle w:val="Hyperlink"/>
            <w:color w:val="auto"/>
            <w:u w:val="none"/>
          </w:rPr>
          <w:t>.2083</w:t>
        </w:r>
      </w:hyperlink>
      <w:r>
        <w:t xml:space="preserve"> </w:t>
      </w:r>
      <w:r w:rsidRPr="006C76C7">
        <w:rPr>
          <w:rStyle w:val="Hyperlink"/>
          <w:color w:val="auto"/>
          <w:u w:val="none"/>
        </w:rPr>
        <w:t>–</w:t>
      </w:r>
      <w:r w:rsidRPr="007B5747">
        <w:t xml:space="preserve"> IMT Vision – “Framework and overall objectives of the future development of IMT for 2020 and beyond”</w:t>
      </w:r>
    </w:p>
    <w:p w14:paraId="54978A46" w14:textId="492D7428" w:rsidR="00476035" w:rsidRPr="007B5747" w:rsidRDefault="00476035" w:rsidP="00476035">
      <w:pPr>
        <w:pStyle w:val="Reftext"/>
      </w:pPr>
      <w:r w:rsidRPr="007B5747">
        <w:t>Recommendation</w:t>
      </w:r>
      <w:r w:rsidRPr="007B5747">
        <w:rPr>
          <w:rStyle w:val="Hyperlink"/>
          <w:color w:val="auto"/>
          <w:u w:val="none"/>
        </w:rPr>
        <w:t xml:space="preserve"> </w:t>
      </w:r>
      <w:hyperlink r:id="rId78" w:history="1">
        <w:r w:rsidR="00832E1A">
          <w:rPr>
            <w:rStyle w:val="Hyperlink"/>
            <w:color w:val="auto"/>
            <w:u w:val="none"/>
          </w:rPr>
          <w:t>ITU-R M</w:t>
        </w:r>
        <w:r w:rsidRPr="007B5747">
          <w:rPr>
            <w:rStyle w:val="Hyperlink"/>
            <w:color w:val="auto"/>
            <w:u w:val="none"/>
          </w:rPr>
          <w:t>.2090</w:t>
        </w:r>
      </w:hyperlink>
      <w:r>
        <w:t xml:space="preserve"> </w:t>
      </w:r>
      <w:r w:rsidRPr="006C76C7">
        <w:rPr>
          <w:rStyle w:val="Hyperlink"/>
          <w:color w:val="auto"/>
          <w:u w:val="none"/>
        </w:rPr>
        <w:t>–</w:t>
      </w:r>
      <w:r w:rsidRPr="007B5747">
        <w:t xml:space="preserve"> Specific unwanted emission limit of IMT mobile stations operating in the frequency band 694-790 MHz to facilitate protection of existing services in Region 1 in the frequency band 470-694 MHz</w:t>
      </w:r>
    </w:p>
    <w:p w14:paraId="54A0857B" w14:textId="6A8F82EB" w:rsidR="00476035" w:rsidRDefault="00476035" w:rsidP="00476035">
      <w:pPr>
        <w:pStyle w:val="Reftext"/>
      </w:pPr>
      <w:r w:rsidRPr="007B5747">
        <w:t>Recommendation</w:t>
      </w:r>
      <w:hyperlink r:id="rId79" w:history="1">
        <w:r w:rsidRPr="007B5747">
          <w:rPr>
            <w:rStyle w:val="Hyperlink"/>
            <w:color w:val="auto"/>
            <w:u w:val="none"/>
          </w:rPr>
          <w:t xml:space="preserve"> </w:t>
        </w:r>
        <w:r w:rsidR="00832E1A">
          <w:rPr>
            <w:rStyle w:val="Hyperlink"/>
            <w:color w:val="auto"/>
            <w:u w:val="none"/>
          </w:rPr>
          <w:t>ITU-R M</w:t>
        </w:r>
        <w:r w:rsidRPr="007B5747">
          <w:rPr>
            <w:rStyle w:val="Hyperlink"/>
            <w:color w:val="auto"/>
            <w:u w:val="none"/>
          </w:rPr>
          <w:t>.2150</w:t>
        </w:r>
      </w:hyperlink>
      <w:r>
        <w:t xml:space="preserve"> </w:t>
      </w:r>
      <w:r w:rsidRPr="006C76C7">
        <w:rPr>
          <w:rStyle w:val="Hyperlink"/>
          <w:color w:val="auto"/>
          <w:u w:val="none"/>
        </w:rPr>
        <w:t>–</w:t>
      </w:r>
      <w:r w:rsidRPr="007B5747">
        <w:t xml:space="preserve"> Detailed specifications of the terrestrial radio interfaces of International Mobile Telecommunications-2020 (IMT-2020)</w:t>
      </w:r>
    </w:p>
    <w:p w14:paraId="2D2DA8A9" w14:textId="6EB354F3" w:rsidR="00476035" w:rsidRDefault="00476035" w:rsidP="00476035">
      <w:pPr>
        <w:pStyle w:val="enumlev1"/>
      </w:pPr>
      <w:r w:rsidRPr="000420C5">
        <w:rPr>
          <w:sz w:val="22"/>
        </w:rPr>
        <w:t>Recommendation</w:t>
      </w:r>
      <w:r w:rsidRPr="00A4118F">
        <w:t xml:space="preserve"> </w:t>
      </w:r>
      <w:hyperlink r:id="rId80" w:history="1">
        <w:r w:rsidR="00832E1A">
          <w:t>ITU-R M</w:t>
        </w:r>
        <w:r w:rsidRPr="00A4118F">
          <w:t>.2159</w:t>
        </w:r>
      </w:hyperlink>
      <w:r w:rsidRPr="000420C5">
        <w:t xml:space="preserve"> </w:t>
      </w:r>
      <w:r w:rsidRPr="00C00413">
        <w:rPr>
          <w:color w:val="0000FF" w:themeColor="hyperlink"/>
        </w:rPr>
        <w:t xml:space="preserve">– </w:t>
      </w:r>
      <w:r w:rsidRPr="000420C5">
        <w:t>Technical and regulatory measures to provide compatibility between IMT and MSS, with respect to MSS operations in the frequency band 1 518-1 525 MHz for administrations wishing to implement IMT in the frequency band 1 492-1 518 MHz</w:t>
      </w:r>
    </w:p>
    <w:p w14:paraId="4BAC213A" w14:textId="76B5F744" w:rsidR="00476035" w:rsidRPr="00A4118F" w:rsidRDefault="00476035" w:rsidP="00476035">
      <w:pPr>
        <w:pStyle w:val="enumlev1"/>
      </w:pPr>
      <w:r w:rsidRPr="00A4118F">
        <w:lastRenderedPageBreak/>
        <w:t xml:space="preserve">Recommendation </w:t>
      </w:r>
      <w:hyperlink r:id="rId81" w:history="1">
        <w:r w:rsidR="00A223F0">
          <w:t>ITU-R M</w:t>
        </w:r>
        <w:r w:rsidRPr="00A4118F">
          <w:t>.2160</w:t>
        </w:r>
      </w:hyperlink>
      <w:r w:rsidRPr="00A4118F">
        <w:t xml:space="preserve"> – Framework and overall objectives of the future development of IMT for 2030 and beyond</w:t>
      </w:r>
    </w:p>
    <w:p w14:paraId="25839300" w14:textId="77777777" w:rsidR="00476035" w:rsidRPr="007B5747" w:rsidRDefault="00476035" w:rsidP="00476035">
      <w:pPr>
        <w:pStyle w:val="Reftext"/>
      </w:pPr>
      <w:r w:rsidRPr="007B5747">
        <w:t xml:space="preserve">Report </w:t>
      </w:r>
      <w:r w:rsidRPr="007B5747">
        <w:rPr>
          <w:rStyle w:val="Hyperlink"/>
          <w:color w:val="auto"/>
          <w:u w:val="none"/>
        </w:rPr>
        <w:t xml:space="preserve">ITU-R </w:t>
      </w:r>
      <w:hyperlink r:id="rId82" w:history="1">
        <w:r w:rsidRPr="007B5747">
          <w:rPr>
            <w:rStyle w:val="Hyperlink"/>
            <w:color w:val="auto"/>
            <w:u w:val="none"/>
          </w:rPr>
          <w:t>M.2030</w:t>
        </w:r>
      </w:hyperlink>
      <w:r>
        <w:t xml:space="preserve"> </w:t>
      </w:r>
      <w:r w:rsidRPr="006C76C7">
        <w:rPr>
          <w:rStyle w:val="Hyperlink"/>
          <w:color w:val="auto"/>
          <w:u w:val="none"/>
        </w:rPr>
        <w:t>–</w:t>
      </w:r>
      <w:r w:rsidRPr="007B5747">
        <w:t xml:space="preserve"> Coexistence between IMT-2000 time division duplex and frequency division duplex terrestrial radio interface technologies around 2 600 MHz operating in adjacent bands and in the same geographical area</w:t>
      </w:r>
    </w:p>
    <w:p w14:paraId="43AB342D" w14:textId="77777777" w:rsidR="00476035" w:rsidRPr="007B5747" w:rsidRDefault="00476035" w:rsidP="00476035">
      <w:pPr>
        <w:pStyle w:val="Reftext"/>
      </w:pPr>
      <w:r w:rsidRPr="007B5747">
        <w:t xml:space="preserve">Report </w:t>
      </w:r>
      <w:r w:rsidRPr="007B5747">
        <w:rPr>
          <w:rStyle w:val="Hyperlink"/>
          <w:color w:val="auto"/>
          <w:u w:val="none"/>
        </w:rPr>
        <w:t xml:space="preserve">ITU-R </w:t>
      </w:r>
      <w:hyperlink r:id="rId83" w:history="1">
        <w:r w:rsidRPr="007B5747">
          <w:rPr>
            <w:rStyle w:val="Hyperlink"/>
            <w:color w:val="auto"/>
            <w:u w:val="none"/>
          </w:rPr>
          <w:t>M.2031</w:t>
        </w:r>
      </w:hyperlink>
      <w:r>
        <w:t xml:space="preserve"> </w:t>
      </w:r>
      <w:r w:rsidRPr="006C76C7">
        <w:rPr>
          <w:rStyle w:val="Hyperlink"/>
          <w:color w:val="auto"/>
          <w:u w:val="none"/>
        </w:rPr>
        <w:t>–</w:t>
      </w:r>
      <w:r w:rsidRPr="007B5747">
        <w:t xml:space="preserve"> Compatibility between WCDMA 1800 downlink and GSM 1900 uplink</w:t>
      </w:r>
    </w:p>
    <w:p w14:paraId="19FD7FA3" w14:textId="4DF363DD" w:rsidR="00476035" w:rsidRPr="007B5747" w:rsidRDefault="00476035" w:rsidP="00476035">
      <w:pPr>
        <w:pStyle w:val="Reftext"/>
      </w:pPr>
      <w:r w:rsidRPr="007B5747">
        <w:t>Report</w:t>
      </w:r>
      <w:r w:rsidRPr="007B5747">
        <w:rPr>
          <w:rStyle w:val="Hyperlink"/>
          <w:color w:val="auto"/>
          <w:u w:val="none"/>
        </w:rPr>
        <w:t xml:space="preserve"> </w:t>
      </w:r>
      <w:hyperlink r:id="rId84" w:history="1">
        <w:r w:rsidR="00A223F0">
          <w:rPr>
            <w:rStyle w:val="Hyperlink"/>
            <w:color w:val="auto"/>
            <w:u w:val="none"/>
          </w:rPr>
          <w:t>ITU-R M</w:t>
        </w:r>
        <w:r w:rsidRPr="007B5747">
          <w:rPr>
            <w:rStyle w:val="Hyperlink"/>
            <w:color w:val="auto"/>
            <w:u w:val="none"/>
          </w:rPr>
          <w:t>.2038</w:t>
        </w:r>
      </w:hyperlink>
      <w:r>
        <w:t xml:space="preserve"> </w:t>
      </w:r>
      <w:r w:rsidRPr="006C76C7">
        <w:rPr>
          <w:rStyle w:val="Hyperlink"/>
          <w:color w:val="auto"/>
          <w:u w:val="none"/>
        </w:rPr>
        <w:t>–</w:t>
      </w:r>
      <w:r w:rsidRPr="007B5747">
        <w:t xml:space="preserve"> Technology trends</w:t>
      </w:r>
    </w:p>
    <w:p w14:paraId="2D164929" w14:textId="38F8A716" w:rsidR="00476035" w:rsidRPr="007B5747" w:rsidRDefault="00476035" w:rsidP="00476035">
      <w:pPr>
        <w:pStyle w:val="Reftext"/>
        <w:rPr>
          <w:rFonts w:eastAsia="SimSun"/>
        </w:rPr>
      </w:pPr>
      <w:r w:rsidRPr="007B5747">
        <w:rPr>
          <w:rFonts w:eastAsia="SimSun"/>
        </w:rPr>
        <w:t>Report</w:t>
      </w:r>
      <w:r w:rsidRPr="007B5747">
        <w:rPr>
          <w:rStyle w:val="Hyperlink"/>
          <w:color w:val="auto"/>
          <w:u w:val="none"/>
        </w:rPr>
        <w:t xml:space="preserve"> </w:t>
      </w:r>
      <w:hyperlink r:id="rId85" w:history="1">
        <w:r w:rsidR="003A08E0">
          <w:rPr>
            <w:rStyle w:val="Hyperlink"/>
            <w:color w:val="auto"/>
            <w:u w:val="none"/>
          </w:rPr>
          <w:t>ITU-R M</w:t>
        </w:r>
        <w:r w:rsidRPr="007B5747">
          <w:rPr>
            <w:rStyle w:val="Hyperlink"/>
            <w:color w:val="auto"/>
            <w:u w:val="none"/>
          </w:rPr>
          <w:t>.2041</w:t>
        </w:r>
      </w:hyperlink>
      <w:r>
        <w:t xml:space="preserve"> </w:t>
      </w:r>
      <w:r w:rsidRPr="006C76C7">
        <w:rPr>
          <w:rStyle w:val="Hyperlink"/>
          <w:color w:val="auto"/>
          <w:u w:val="none"/>
        </w:rPr>
        <w:t>–</w:t>
      </w:r>
      <w:r w:rsidRPr="007B5747">
        <w:rPr>
          <w:rFonts w:eastAsia="SimSun"/>
        </w:rPr>
        <w:t xml:space="preserve"> Sharing and adjacent band compatibility in the 2.5 GHz band between the terrestrial and satellite components of IMT-2000</w:t>
      </w:r>
    </w:p>
    <w:p w14:paraId="4B018588" w14:textId="7150835B" w:rsidR="00476035" w:rsidRPr="007B5747" w:rsidRDefault="00476035" w:rsidP="00476035">
      <w:pPr>
        <w:pStyle w:val="Reftext"/>
      </w:pPr>
      <w:r w:rsidRPr="007B5747">
        <w:t>Report</w:t>
      </w:r>
      <w:r w:rsidRPr="007B5747">
        <w:rPr>
          <w:rStyle w:val="Hyperlink"/>
          <w:color w:val="auto"/>
          <w:u w:val="none"/>
        </w:rPr>
        <w:t xml:space="preserve"> </w:t>
      </w:r>
      <w:hyperlink r:id="rId86" w:history="1">
        <w:r w:rsidR="003A08E0">
          <w:rPr>
            <w:rStyle w:val="Hyperlink"/>
            <w:color w:val="auto"/>
            <w:u w:val="none"/>
          </w:rPr>
          <w:t>ITU-R M</w:t>
        </w:r>
        <w:r w:rsidRPr="007B5747">
          <w:rPr>
            <w:rStyle w:val="Hyperlink"/>
            <w:color w:val="auto"/>
            <w:u w:val="none"/>
          </w:rPr>
          <w:t>.2045</w:t>
        </w:r>
      </w:hyperlink>
      <w:r>
        <w:t xml:space="preserve"> </w:t>
      </w:r>
      <w:r w:rsidRPr="006C76C7">
        <w:rPr>
          <w:rStyle w:val="Hyperlink"/>
          <w:color w:val="auto"/>
          <w:u w:val="none"/>
        </w:rPr>
        <w:t>–</w:t>
      </w:r>
      <w:r w:rsidRPr="007B5747">
        <w:t xml:space="preserve"> Mitigating techniques to address coexistence between IMT</w:t>
      </w:r>
      <w:r w:rsidRPr="007B5747">
        <w:noBreakHyphen/>
        <w:t>2000 time division duplex and frequency division duplex radio interface technologies within the frequency range 2 500</w:t>
      </w:r>
      <w:r w:rsidRPr="007B5747">
        <w:noBreakHyphen/>
        <w:t>2 690 MHz operating in adjacent bands and in the same geographical area</w:t>
      </w:r>
    </w:p>
    <w:p w14:paraId="146C91DE" w14:textId="58896302" w:rsidR="00476035" w:rsidRPr="007B5747" w:rsidRDefault="00476035" w:rsidP="00476035">
      <w:pPr>
        <w:pStyle w:val="Reftext"/>
      </w:pPr>
      <w:r w:rsidRPr="007B5747">
        <w:t>Report</w:t>
      </w:r>
      <w:r w:rsidRPr="007B5747">
        <w:rPr>
          <w:rStyle w:val="Hyperlink"/>
          <w:color w:val="auto"/>
          <w:u w:val="none"/>
        </w:rPr>
        <w:t> </w:t>
      </w:r>
      <w:hyperlink r:id="rId87" w:history="1">
        <w:r w:rsidR="003A08E0">
          <w:rPr>
            <w:rStyle w:val="Hyperlink"/>
            <w:color w:val="auto"/>
            <w:u w:val="none"/>
          </w:rPr>
          <w:t>ITU-R M</w:t>
        </w:r>
        <w:r w:rsidRPr="007B5747">
          <w:rPr>
            <w:rStyle w:val="Hyperlink"/>
            <w:color w:val="auto"/>
            <w:u w:val="none"/>
          </w:rPr>
          <w:t>.2072</w:t>
        </w:r>
      </w:hyperlink>
      <w:r>
        <w:t xml:space="preserve"> </w:t>
      </w:r>
      <w:r w:rsidRPr="006C76C7">
        <w:rPr>
          <w:rStyle w:val="Hyperlink"/>
          <w:color w:val="auto"/>
          <w:u w:val="none"/>
        </w:rPr>
        <w:t>–</w:t>
      </w:r>
      <w:r w:rsidRPr="007B5747">
        <w:t xml:space="preserve"> World mobile telecommunication market forecast</w:t>
      </w:r>
    </w:p>
    <w:p w14:paraId="2424B4DC" w14:textId="1A259EA5" w:rsidR="00476035" w:rsidRPr="007B5747" w:rsidRDefault="00476035" w:rsidP="00476035">
      <w:pPr>
        <w:pStyle w:val="Reftext"/>
      </w:pPr>
      <w:r w:rsidRPr="007B5747">
        <w:t>Report</w:t>
      </w:r>
      <w:r w:rsidRPr="007B5747">
        <w:rPr>
          <w:rStyle w:val="Hyperlink"/>
          <w:color w:val="auto"/>
          <w:u w:val="none"/>
        </w:rPr>
        <w:t xml:space="preserve"> </w:t>
      </w:r>
      <w:hyperlink r:id="rId88" w:history="1">
        <w:r w:rsidR="003A08E0">
          <w:rPr>
            <w:rStyle w:val="Hyperlink"/>
            <w:color w:val="auto"/>
            <w:u w:val="none"/>
          </w:rPr>
          <w:t>ITU-R M</w:t>
        </w:r>
        <w:r w:rsidRPr="007B5747">
          <w:rPr>
            <w:rStyle w:val="Hyperlink"/>
            <w:color w:val="auto"/>
            <w:u w:val="none"/>
          </w:rPr>
          <w:t>.2078</w:t>
        </w:r>
      </w:hyperlink>
      <w:r>
        <w:t xml:space="preserve"> </w:t>
      </w:r>
      <w:r w:rsidRPr="006C76C7">
        <w:rPr>
          <w:rStyle w:val="Hyperlink"/>
          <w:color w:val="auto"/>
          <w:u w:val="none"/>
        </w:rPr>
        <w:t>–</w:t>
      </w:r>
      <w:r w:rsidRPr="007B5747">
        <w:t xml:space="preserve"> Estimated spectrum bandwidth requirements for the future development of IMT-2000 and IMT-Advanced</w:t>
      </w:r>
    </w:p>
    <w:p w14:paraId="2F3B3324" w14:textId="0797DBCC" w:rsidR="00476035" w:rsidRPr="007B5747" w:rsidRDefault="00476035" w:rsidP="00476035">
      <w:pPr>
        <w:pStyle w:val="Reftext"/>
      </w:pPr>
      <w:r w:rsidRPr="007B5747">
        <w:t>Report</w:t>
      </w:r>
      <w:r w:rsidRPr="007B5747">
        <w:rPr>
          <w:rStyle w:val="Hyperlink"/>
          <w:color w:val="auto"/>
          <w:u w:val="none"/>
        </w:rPr>
        <w:t xml:space="preserve"> </w:t>
      </w:r>
      <w:hyperlink r:id="rId89" w:history="1">
        <w:r w:rsidR="003A08E0">
          <w:rPr>
            <w:rStyle w:val="Hyperlink"/>
            <w:color w:val="auto"/>
            <w:u w:val="none"/>
          </w:rPr>
          <w:t>ITU-R M</w:t>
        </w:r>
        <w:r w:rsidRPr="007B5747">
          <w:rPr>
            <w:rStyle w:val="Hyperlink"/>
            <w:color w:val="auto"/>
            <w:u w:val="none"/>
          </w:rPr>
          <w:t>.2109</w:t>
        </w:r>
      </w:hyperlink>
      <w:r>
        <w:t xml:space="preserve"> </w:t>
      </w:r>
      <w:r w:rsidRPr="006C76C7">
        <w:rPr>
          <w:rStyle w:val="Hyperlink"/>
          <w:color w:val="auto"/>
          <w:u w:val="none"/>
        </w:rPr>
        <w:t>–</w:t>
      </w:r>
      <w:r w:rsidRPr="007B5747">
        <w:t xml:space="preserve"> Sharing studies between IMT-Advanced systems and geostationary satellite networks in the fixed-satellite service in the 3 400-4 200 MHz and 4 500-4 800 MHz frequency bands</w:t>
      </w:r>
    </w:p>
    <w:p w14:paraId="0D25B00B" w14:textId="4328CEE1" w:rsidR="00476035" w:rsidRPr="007B5747" w:rsidRDefault="00476035" w:rsidP="00476035">
      <w:pPr>
        <w:pStyle w:val="Reftext"/>
      </w:pPr>
      <w:r w:rsidRPr="007B5747">
        <w:t>Report</w:t>
      </w:r>
      <w:r w:rsidRPr="007B5747">
        <w:rPr>
          <w:rStyle w:val="Hyperlink"/>
          <w:color w:val="auto"/>
          <w:u w:val="none"/>
        </w:rPr>
        <w:t xml:space="preserve"> </w:t>
      </w:r>
      <w:hyperlink r:id="rId90" w:history="1">
        <w:r w:rsidR="003A08E0">
          <w:rPr>
            <w:rStyle w:val="Hyperlink"/>
            <w:color w:val="auto"/>
            <w:u w:val="none"/>
          </w:rPr>
          <w:t>ITU-R M</w:t>
        </w:r>
        <w:r w:rsidRPr="007B5747">
          <w:rPr>
            <w:rStyle w:val="Hyperlink"/>
            <w:color w:val="auto"/>
            <w:u w:val="none"/>
          </w:rPr>
          <w:t>.2110</w:t>
        </w:r>
      </w:hyperlink>
      <w:r>
        <w:t xml:space="preserve"> </w:t>
      </w:r>
      <w:r w:rsidRPr="006C76C7">
        <w:rPr>
          <w:rStyle w:val="Hyperlink"/>
          <w:color w:val="auto"/>
          <w:u w:val="none"/>
        </w:rPr>
        <w:t>–</w:t>
      </w:r>
      <w:r w:rsidRPr="007B5747">
        <w:t xml:space="preserve"> Sharing studies between radiocommunication services and IMT systems operating in the 450-470 MHz band</w:t>
      </w:r>
    </w:p>
    <w:p w14:paraId="79DF3FCE" w14:textId="471CFF1A" w:rsidR="00476035" w:rsidRPr="007B5747" w:rsidRDefault="00476035" w:rsidP="00476035">
      <w:pPr>
        <w:pStyle w:val="Reftext"/>
      </w:pPr>
      <w:r w:rsidRPr="007B5747">
        <w:t>Report</w:t>
      </w:r>
      <w:r w:rsidRPr="007B5747">
        <w:rPr>
          <w:rStyle w:val="Hyperlink"/>
          <w:color w:val="auto"/>
          <w:u w:val="none"/>
        </w:rPr>
        <w:t xml:space="preserve"> </w:t>
      </w:r>
      <w:hyperlink r:id="rId91" w:history="1">
        <w:r w:rsidR="003A08E0">
          <w:rPr>
            <w:rStyle w:val="Hyperlink"/>
            <w:color w:val="auto"/>
            <w:u w:val="none"/>
          </w:rPr>
          <w:t>ITU-R M</w:t>
        </w:r>
        <w:r w:rsidRPr="007B5747">
          <w:rPr>
            <w:rStyle w:val="Hyperlink"/>
            <w:color w:val="auto"/>
            <w:u w:val="none"/>
          </w:rPr>
          <w:t>.2113</w:t>
        </w:r>
      </w:hyperlink>
      <w:r>
        <w:t xml:space="preserve"> </w:t>
      </w:r>
      <w:r w:rsidRPr="006C76C7">
        <w:rPr>
          <w:rStyle w:val="Hyperlink"/>
          <w:color w:val="auto"/>
          <w:u w:val="none"/>
        </w:rPr>
        <w:t>–</w:t>
      </w:r>
      <w:r w:rsidRPr="007B5747">
        <w:t xml:space="preserve"> Report on sharing studies in the 2 500-2 690 MHz band between IMT-2000 and fixed broadband wireless access systems including nomadic applications in the same geographical area</w:t>
      </w:r>
    </w:p>
    <w:p w14:paraId="049FA951" w14:textId="7DE855DB" w:rsidR="00476035" w:rsidRPr="007B5747" w:rsidRDefault="00476035" w:rsidP="00476035">
      <w:pPr>
        <w:pStyle w:val="Reftext"/>
      </w:pPr>
      <w:r w:rsidRPr="007B5747">
        <w:t>Report</w:t>
      </w:r>
      <w:r w:rsidRPr="007B5747">
        <w:rPr>
          <w:rStyle w:val="Hyperlink"/>
          <w:color w:val="auto"/>
          <w:u w:val="none"/>
        </w:rPr>
        <w:t xml:space="preserve"> </w:t>
      </w:r>
      <w:hyperlink r:id="rId92" w:history="1">
        <w:r w:rsidR="003A08E0">
          <w:rPr>
            <w:rStyle w:val="Hyperlink"/>
            <w:color w:val="auto"/>
            <w:u w:val="none"/>
          </w:rPr>
          <w:t>ITU-R M</w:t>
        </w:r>
        <w:r w:rsidRPr="007B5747">
          <w:rPr>
            <w:rStyle w:val="Hyperlink"/>
            <w:color w:val="auto"/>
            <w:u w:val="none"/>
          </w:rPr>
          <w:t>.2320</w:t>
        </w:r>
      </w:hyperlink>
      <w:r>
        <w:t xml:space="preserve"> </w:t>
      </w:r>
      <w:r w:rsidRPr="006C76C7">
        <w:rPr>
          <w:rStyle w:val="Hyperlink"/>
          <w:color w:val="auto"/>
          <w:u w:val="none"/>
        </w:rPr>
        <w:t>–</w:t>
      </w:r>
      <w:r w:rsidRPr="007B5747">
        <w:t xml:space="preserve"> Future technology trends of terrestrial IMT systems</w:t>
      </w:r>
    </w:p>
    <w:p w14:paraId="7C2F360E" w14:textId="6620590D" w:rsidR="00476035" w:rsidRPr="007B5747" w:rsidRDefault="00476035" w:rsidP="00476035">
      <w:pPr>
        <w:pStyle w:val="Reftext"/>
      </w:pPr>
      <w:r w:rsidRPr="007B5747">
        <w:t>Report</w:t>
      </w:r>
      <w:r w:rsidRPr="007B5747">
        <w:rPr>
          <w:rStyle w:val="Hyperlink"/>
          <w:color w:val="auto"/>
          <w:u w:val="none"/>
        </w:rPr>
        <w:t xml:space="preserve"> </w:t>
      </w:r>
      <w:hyperlink r:id="rId93" w:history="1">
        <w:r w:rsidR="003A08E0">
          <w:rPr>
            <w:rStyle w:val="Hyperlink"/>
            <w:color w:val="auto"/>
            <w:u w:val="none"/>
          </w:rPr>
          <w:t>ITU-R M</w:t>
        </w:r>
        <w:r w:rsidRPr="007B5747">
          <w:rPr>
            <w:rStyle w:val="Hyperlink"/>
            <w:color w:val="auto"/>
            <w:u w:val="none"/>
          </w:rPr>
          <w:t>.2324</w:t>
        </w:r>
      </w:hyperlink>
      <w:r>
        <w:t xml:space="preserve"> </w:t>
      </w:r>
      <w:r w:rsidRPr="006C76C7">
        <w:rPr>
          <w:rStyle w:val="Hyperlink"/>
          <w:color w:val="auto"/>
          <w:u w:val="none"/>
        </w:rPr>
        <w:t>–</w:t>
      </w:r>
      <w:r w:rsidRPr="007B5747">
        <w:t xml:space="preserve"> Sharing studies between potential International Mobile Telecommunication systems and aeronautical mobile telemetry systems in the frequency band 1 429</w:t>
      </w:r>
      <w:r w:rsidRPr="007B5747">
        <w:noBreakHyphen/>
        <w:t>1 535 MHz</w:t>
      </w:r>
    </w:p>
    <w:p w14:paraId="3A39A8AE" w14:textId="6E5D3540" w:rsidR="00476035" w:rsidRPr="007B5747" w:rsidRDefault="00476035" w:rsidP="00476035">
      <w:pPr>
        <w:pStyle w:val="Reftext"/>
      </w:pPr>
      <w:r w:rsidRPr="007B5747">
        <w:t>Report</w:t>
      </w:r>
      <w:r w:rsidRPr="007B5747">
        <w:rPr>
          <w:rStyle w:val="Hyperlink"/>
          <w:color w:val="auto"/>
          <w:u w:val="none"/>
        </w:rPr>
        <w:t xml:space="preserve"> </w:t>
      </w:r>
      <w:hyperlink r:id="rId94" w:history="1">
        <w:r w:rsidR="003A08E0">
          <w:rPr>
            <w:rStyle w:val="Hyperlink"/>
            <w:color w:val="auto"/>
            <w:u w:val="none"/>
          </w:rPr>
          <w:t>ITU-R R</w:t>
        </w:r>
        <w:r w:rsidRPr="007B5747">
          <w:rPr>
            <w:rStyle w:val="Hyperlink"/>
            <w:color w:val="auto"/>
            <w:u w:val="none"/>
          </w:rPr>
          <w:t>S.2336</w:t>
        </w:r>
      </w:hyperlink>
      <w:r>
        <w:t xml:space="preserve"> </w:t>
      </w:r>
      <w:r w:rsidRPr="006C76C7">
        <w:rPr>
          <w:rStyle w:val="Hyperlink"/>
          <w:color w:val="auto"/>
          <w:u w:val="none"/>
        </w:rPr>
        <w:t>–</w:t>
      </w:r>
      <w:r w:rsidRPr="007B5747">
        <w:t xml:space="preserve"> Consideration of the frequency bands 1 375-1 400 MHz and 1 427-1 452 MHz for the mobile service </w:t>
      </w:r>
      <w:r>
        <w:t>-</w:t>
      </w:r>
      <w:r w:rsidRPr="007B5747">
        <w:t xml:space="preserve"> Compatibility with systems of the Earth exploration-satellite service within the 1 400</w:t>
      </w:r>
      <w:r w:rsidRPr="007B5747">
        <w:noBreakHyphen/>
        <w:t>1 427 MHz frequency band</w:t>
      </w:r>
    </w:p>
    <w:p w14:paraId="5108DCC6" w14:textId="7A37C127" w:rsidR="00476035" w:rsidRPr="007B5747" w:rsidRDefault="00476035" w:rsidP="00476035">
      <w:pPr>
        <w:pStyle w:val="Reftext"/>
      </w:pPr>
      <w:r w:rsidRPr="007B5747">
        <w:t>Report</w:t>
      </w:r>
      <w:r w:rsidRPr="007B5747">
        <w:rPr>
          <w:rStyle w:val="Hyperlink"/>
          <w:color w:val="auto"/>
          <w:u w:val="none"/>
        </w:rPr>
        <w:t xml:space="preserve"> </w:t>
      </w:r>
      <w:hyperlink r:id="rId95" w:history="1">
        <w:r w:rsidR="003A08E0">
          <w:rPr>
            <w:rStyle w:val="Hyperlink"/>
            <w:color w:val="auto"/>
            <w:u w:val="none"/>
          </w:rPr>
          <w:t>ITU-R B</w:t>
        </w:r>
        <w:r w:rsidRPr="007B5747">
          <w:rPr>
            <w:rStyle w:val="Hyperlink"/>
            <w:color w:val="auto"/>
            <w:u w:val="none"/>
          </w:rPr>
          <w:t>T.2337</w:t>
        </w:r>
      </w:hyperlink>
      <w:r>
        <w:t xml:space="preserve"> </w:t>
      </w:r>
      <w:r w:rsidRPr="006C76C7">
        <w:rPr>
          <w:rStyle w:val="Hyperlink"/>
          <w:color w:val="auto"/>
          <w:u w:val="none"/>
        </w:rPr>
        <w:t>–</w:t>
      </w:r>
      <w:r w:rsidRPr="007B5747">
        <w:t xml:space="preserve"> Sharing and compatibility studies between digital terrestrial television broadcasting and terrestrial mobile broadband applications, including IMT, in the frequency band 470</w:t>
      </w:r>
      <w:r w:rsidRPr="007B5747">
        <w:noBreakHyphen/>
        <w:t>694/698 MHz</w:t>
      </w:r>
    </w:p>
    <w:p w14:paraId="5C0A6F4B" w14:textId="7E8AE865" w:rsidR="00476035" w:rsidRPr="007B5747" w:rsidRDefault="00476035" w:rsidP="00476035">
      <w:pPr>
        <w:pStyle w:val="Reftext"/>
      </w:pPr>
      <w:r w:rsidRPr="007B5747">
        <w:t>Report</w:t>
      </w:r>
      <w:r w:rsidRPr="007B5747">
        <w:rPr>
          <w:rStyle w:val="Hyperlink"/>
          <w:color w:val="auto"/>
          <w:u w:val="none"/>
        </w:rPr>
        <w:t xml:space="preserve"> </w:t>
      </w:r>
      <w:hyperlink r:id="rId96" w:history="1">
        <w:r w:rsidR="003A08E0">
          <w:rPr>
            <w:rStyle w:val="Hyperlink"/>
            <w:color w:val="auto"/>
            <w:u w:val="none"/>
          </w:rPr>
          <w:t>ITU-R B</w:t>
        </w:r>
        <w:r w:rsidRPr="007B5747">
          <w:rPr>
            <w:rStyle w:val="Hyperlink"/>
            <w:color w:val="auto"/>
            <w:u w:val="none"/>
          </w:rPr>
          <w:t>T.2339</w:t>
        </w:r>
      </w:hyperlink>
      <w:r>
        <w:t xml:space="preserve"> </w:t>
      </w:r>
      <w:r w:rsidRPr="006C76C7">
        <w:rPr>
          <w:rStyle w:val="Hyperlink"/>
          <w:color w:val="auto"/>
          <w:u w:val="none"/>
        </w:rPr>
        <w:t>–</w:t>
      </w:r>
      <w:r w:rsidRPr="007B5747">
        <w:t xml:space="preserve"> Co-channel sharing and compatibility studies between digital terrestrial television broadcasting and international mobile telecommunication in the frequency band 694-790 MHz in the GE06 planning area</w:t>
      </w:r>
    </w:p>
    <w:p w14:paraId="175C8882" w14:textId="67EC9142" w:rsidR="00476035" w:rsidRPr="007B5747" w:rsidRDefault="00476035" w:rsidP="00476035">
      <w:pPr>
        <w:pStyle w:val="Reftext"/>
      </w:pPr>
      <w:r w:rsidRPr="007B5747">
        <w:t>Report</w:t>
      </w:r>
      <w:r w:rsidRPr="007B5747">
        <w:rPr>
          <w:rStyle w:val="Hyperlink"/>
          <w:color w:val="auto"/>
          <w:u w:val="none"/>
        </w:rPr>
        <w:t xml:space="preserve"> </w:t>
      </w:r>
      <w:hyperlink r:id="rId97" w:history="1">
        <w:r w:rsidR="003A08E0">
          <w:rPr>
            <w:rStyle w:val="Hyperlink"/>
            <w:color w:val="auto"/>
            <w:u w:val="none"/>
          </w:rPr>
          <w:t>ITU-R S</w:t>
        </w:r>
        <w:r w:rsidRPr="007B5747">
          <w:rPr>
            <w:rStyle w:val="Hyperlink"/>
            <w:color w:val="auto"/>
            <w:u w:val="none"/>
          </w:rPr>
          <w:t>.2368</w:t>
        </w:r>
      </w:hyperlink>
      <w:r>
        <w:t xml:space="preserve"> </w:t>
      </w:r>
      <w:r w:rsidRPr="006C76C7">
        <w:rPr>
          <w:rStyle w:val="Hyperlink"/>
          <w:color w:val="auto"/>
          <w:u w:val="none"/>
        </w:rPr>
        <w:t>–</w:t>
      </w:r>
      <w:r w:rsidRPr="007B5747">
        <w:t xml:space="preserve"> Sharing studies between International Mobile Telecommunication-Advanced systems and geostationary satellite networks in the fixed-satellite service in the 3 400</w:t>
      </w:r>
      <w:r w:rsidRPr="007B5747">
        <w:noBreakHyphen/>
        <w:t>4 200 MHz and 4 500</w:t>
      </w:r>
      <w:r>
        <w:noBreakHyphen/>
      </w:r>
      <w:r w:rsidRPr="007B5747">
        <w:t>4 800 MHz frequency bands in the WRC study cycle leading to WRC</w:t>
      </w:r>
      <w:r w:rsidRPr="007B5747">
        <w:noBreakHyphen/>
        <w:t>15</w:t>
      </w:r>
    </w:p>
    <w:p w14:paraId="53EDAB28" w14:textId="5C761447" w:rsidR="00476035" w:rsidRPr="007B5747" w:rsidRDefault="00476035" w:rsidP="00476035">
      <w:pPr>
        <w:pStyle w:val="Reftext"/>
      </w:pPr>
      <w:r w:rsidRPr="007B5747">
        <w:t xml:space="preserve">Report </w:t>
      </w:r>
      <w:hyperlink r:id="rId98" w:history="1">
        <w:r w:rsidR="003A08E0">
          <w:rPr>
            <w:rStyle w:val="Hyperlink"/>
            <w:color w:val="auto"/>
            <w:u w:val="none"/>
          </w:rPr>
          <w:t>ITU-R M.2374</w:t>
        </w:r>
      </w:hyperlink>
      <w:r>
        <w:t xml:space="preserve"> </w:t>
      </w:r>
      <w:r w:rsidRPr="006C76C7">
        <w:rPr>
          <w:rStyle w:val="Hyperlink"/>
          <w:color w:val="auto"/>
          <w:u w:val="none"/>
        </w:rPr>
        <w:t>–</w:t>
      </w:r>
      <w:r w:rsidRPr="007B5747">
        <w:t xml:space="preserve"> Coexistence of two TDD networks in the 2 300-2 400 MHz band</w:t>
      </w:r>
    </w:p>
    <w:p w14:paraId="5FCC05C1" w14:textId="1C5F230F" w:rsidR="00476035" w:rsidRPr="007B5747" w:rsidRDefault="00476035" w:rsidP="00476035">
      <w:pPr>
        <w:pStyle w:val="Reftext"/>
      </w:pPr>
      <w:r w:rsidRPr="007B5747">
        <w:t xml:space="preserve">Report </w:t>
      </w:r>
      <w:hyperlink r:id="rId99" w:history="1">
        <w:r w:rsidR="003A08E0">
          <w:rPr>
            <w:rStyle w:val="Hyperlink"/>
            <w:color w:val="auto"/>
            <w:u w:val="none"/>
          </w:rPr>
          <w:t>ITU-R M.2375</w:t>
        </w:r>
      </w:hyperlink>
      <w:r>
        <w:t xml:space="preserve"> </w:t>
      </w:r>
      <w:r w:rsidRPr="006C76C7">
        <w:rPr>
          <w:rStyle w:val="Hyperlink"/>
          <w:color w:val="auto"/>
          <w:u w:val="none"/>
        </w:rPr>
        <w:t>–</w:t>
      </w:r>
      <w:r w:rsidRPr="007B5747">
        <w:t xml:space="preserve"> Architecture and topology of IMT networks</w:t>
      </w:r>
    </w:p>
    <w:p w14:paraId="3105B05B" w14:textId="601914C4" w:rsidR="00476035" w:rsidRDefault="00476035" w:rsidP="00476035">
      <w:pPr>
        <w:pStyle w:val="Reftext"/>
      </w:pPr>
      <w:r w:rsidRPr="007B5747">
        <w:t>Report</w:t>
      </w:r>
      <w:hyperlink r:id="rId100" w:history="1">
        <w:r w:rsidR="003A08E0">
          <w:rPr>
            <w:rStyle w:val="Hyperlink"/>
            <w:color w:val="auto"/>
            <w:u w:val="none"/>
          </w:rPr>
          <w:t xml:space="preserve"> ITU-R M.2481</w:t>
        </w:r>
      </w:hyperlink>
      <w:r>
        <w:t xml:space="preserve"> </w:t>
      </w:r>
      <w:r w:rsidRPr="006C76C7">
        <w:rPr>
          <w:rStyle w:val="Hyperlink"/>
          <w:color w:val="auto"/>
          <w:u w:val="none"/>
        </w:rPr>
        <w:t>–</w:t>
      </w:r>
      <w:r w:rsidRPr="007B5747">
        <w:t xml:space="preserve"> In-band and adjacent band coexistence and compatibility studies between IMT systems in 3 300-3 400 MHz and radiolocation systems in 3 100</w:t>
      </w:r>
      <w:r w:rsidRPr="007B5747">
        <w:noBreakHyphen/>
        <w:t>3 400 MHz</w:t>
      </w:r>
    </w:p>
    <w:p w14:paraId="424B5479" w14:textId="0A7C3D2E" w:rsidR="00476035" w:rsidRDefault="00476035" w:rsidP="00476035">
      <w:pPr>
        <w:pStyle w:val="enumlev1"/>
      </w:pPr>
      <w:r w:rsidRPr="00880F24" w:rsidDel="00FE4060">
        <w:t xml:space="preserve">Report </w:t>
      </w:r>
      <w:hyperlink r:id="rId101" w:history="1">
        <w:r w:rsidR="003A08E0">
          <w:t>ITU-R M.2529</w:t>
        </w:r>
      </w:hyperlink>
      <w:r w:rsidRPr="00880F24" w:rsidDel="00FE4060">
        <w:t xml:space="preserve"> – Adjacent band compatibility studies of IMT systems in the mobile service in the band 1 492-1 518 MHz with respect to systems in the mobile-satellite service in the frequency band 1 518-1 525 MHz</w:t>
      </w:r>
    </w:p>
    <w:p w14:paraId="120A6EF5" w14:textId="77777777" w:rsidR="00476035" w:rsidRDefault="00476035" w:rsidP="00476035"/>
    <w:p w14:paraId="27A5FBB5" w14:textId="77777777" w:rsidR="00DC2B47" w:rsidRPr="00476035" w:rsidRDefault="00DC2B47" w:rsidP="00476035">
      <w:pPr>
        <w:pStyle w:val="Line"/>
      </w:pPr>
    </w:p>
    <w:sectPr w:rsidR="00DC2B47" w:rsidRPr="00476035" w:rsidSect="00B521BE">
      <w:headerReference w:type="even" r:id="rId102"/>
      <w:headerReference w:type="default" r:id="rId103"/>
      <w:footerReference w:type="default" r:id="rId104"/>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C21A" w14:textId="77777777" w:rsidR="00476035" w:rsidRDefault="00476035">
      <w:r>
        <w:separator/>
      </w:r>
    </w:p>
  </w:endnote>
  <w:endnote w:type="continuationSeparator" w:id="0">
    <w:p w14:paraId="76ECBD99" w14:textId="77777777" w:rsidR="00476035" w:rsidRDefault="0047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07B2" w14:textId="77777777" w:rsidR="00476035" w:rsidRDefault="00476035">
    <w:pPr>
      <w:pStyle w:val="Footer"/>
    </w:pPr>
    <w:r>
      <w:drawing>
        <wp:anchor distT="0" distB="0" distL="0" distR="0" simplePos="0" relativeHeight="251654656" behindDoc="0" locked="0" layoutInCell="1" allowOverlap="1" wp14:anchorId="0D7EAECF" wp14:editId="5005011B">
          <wp:simplePos x="0" y="0"/>
          <wp:positionH relativeFrom="page">
            <wp:posOffset>6346209</wp:posOffset>
          </wp:positionH>
          <wp:positionV relativeFrom="page">
            <wp:posOffset>9501505</wp:posOffset>
          </wp:positionV>
          <wp:extent cx="738000" cy="813600"/>
          <wp:effectExtent l="0" t="0" r="0" b="0"/>
          <wp:wrapNone/>
          <wp:docPr id="1286672167"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EBA" w14:textId="607D8D58" w:rsidR="00B521BE" w:rsidRDefault="00B5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D311" w14:textId="77777777" w:rsidR="00476035" w:rsidRDefault="00476035">
      <w:r>
        <w:separator/>
      </w:r>
    </w:p>
  </w:footnote>
  <w:footnote w:type="continuationSeparator" w:id="0">
    <w:p w14:paraId="781137E4" w14:textId="77777777" w:rsidR="00476035" w:rsidRDefault="00476035">
      <w:r>
        <w:continuationSeparator/>
      </w:r>
    </w:p>
  </w:footnote>
  <w:footnote w:id="1">
    <w:p w14:paraId="143E7B6A" w14:textId="77777777" w:rsidR="00476035" w:rsidRPr="001D0127" w:rsidRDefault="00476035" w:rsidP="00476035">
      <w:pPr>
        <w:pStyle w:val="FootnoteText"/>
      </w:pPr>
      <w:r>
        <w:rPr>
          <w:rStyle w:val="FootnoteReference"/>
        </w:rPr>
        <w:footnoteRef/>
      </w:r>
      <w:r>
        <w:t xml:space="preserve"> </w:t>
      </w:r>
      <w:r>
        <w:tab/>
      </w:r>
      <w:r w:rsidRPr="00D72BC0">
        <w:rPr>
          <w:lang w:val="en-US"/>
        </w:rPr>
        <w:t>International Mobile Telecommunications (IMT) encompasses IMT-2000</w:t>
      </w:r>
      <w:r>
        <w:rPr>
          <w:lang w:val="en-US"/>
        </w:rPr>
        <w:t>,</w:t>
      </w:r>
      <w:r w:rsidRPr="00D72BC0">
        <w:rPr>
          <w:lang w:val="en-US"/>
        </w:rPr>
        <w:t xml:space="preserve"> IMT</w:t>
      </w:r>
      <w:r>
        <w:rPr>
          <w:lang w:val="en-US"/>
        </w:rPr>
        <w:noBreakHyphen/>
      </w:r>
      <w:r w:rsidRPr="00D72BC0">
        <w:rPr>
          <w:lang w:val="en-US"/>
        </w:rPr>
        <w:t>Advanced</w:t>
      </w:r>
      <w:r>
        <w:rPr>
          <w:lang w:val="en-US"/>
        </w:rPr>
        <w:t>, IMT-2020 and IMT-2030,</w:t>
      </w:r>
      <w:r w:rsidRPr="00D72BC0">
        <w:rPr>
          <w:lang w:val="en-US"/>
        </w:rPr>
        <w:t xml:space="preserve"> </w:t>
      </w:r>
      <w:r w:rsidRPr="00AF1F7A">
        <w:rPr>
          <w:lang w:val="en-US"/>
        </w:rPr>
        <w:t xml:space="preserve">as specified in </w:t>
      </w:r>
      <w:r w:rsidRPr="008041DF">
        <w:rPr>
          <w:lang w:val="en-US"/>
        </w:rPr>
        <w:t xml:space="preserve">Resolution </w:t>
      </w:r>
      <w:hyperlink r:id="rId1" w:history="1">
        <w:r>
          <w:rPr>
            <w:lang w:val="en-US"/>
          </w:rPr>
          <w:t>ITU-R 56-3</w:t>
        </w:r>
      </w:hyperlink>
      <w:r>
        <w:rPr>
          <w:lang w:val="en-US"/>
        </w:rPr>
        <w:t>.</w:t>
      </w:r>
    </w:p>
  </w:footnote>
  <w:footnote w:id="2">
    <w:p w14:paraId="7EC0FB82" w14:textId="4F1F0840" w:rsidR="00476035" w:rsidRPr="001D0127" w:rsidRDefault="00476035" w:rsidP="00B521BE">
      <w:pPr>
        <w:pStyle w:val="FootnoteText"/>
        <w:spacing w:after="120"/>
        <w:rPr>
          <w:lang w:val="en-ZA"/>
        </w:rPr>
      </w:pPr>
      <w:r>
        <w:rPr>
          <w:rStyle w:val="FootnoteReference"/>
        </w:rPr>
        <w:footnoteRef/>
      </w:r>
      <w:r>
        <w:t xml:space="preserve"> </w:t>
      </w:r>
      <w:r>
        <w:tab/>
      </w:r>
      <w:r w:rsidRPr="00A20C33">
        <w:t>See also A</w:t>
      </w:r>
      <w:r w:rsidRPr="00A20C33">
        <w:rPr>
          <w:rFonts w:eastAsia="SimSun"/>
        </w:rPr>
        <w:t>ttachment 1 to the Annex.</w:t>
      </w:r>
    </w:p>
  </w:footnote>
  <w:footnote w:id="3">
    <w:p w14:paraId="4C7D9B25" w14:textId="77777777" w:rsidR="00476035" w:rsidRPr="00D167F3" w:rsidRDefault="00476035" w:rsidP="00476035">
      <w:pPr>
        <w:pStyle w:val="FootnoteText"/>
        <w:rPr>
          <w:lang w:val="en-US"/>
        </w:rPr>
      </w:pPr>
      <w:r>
        <w:rPr>
          <w:rStyle w:val="FootnoteReference"/>
        </w:rPr>
        <w:footnoteRef/>
      </w:r>
      <w:r>
        <w:tab/>
      </w:r>
      <w:r>
        <w:rPr>
          <w:lang w:val="en-US"/>
        </w:rPr>
        <w:t xml:space="preserve">The 470-610 MHz band is not part </w:t>
      </w:r>
      <w:r w:rsidRPr="006477D6">
        <w:rPr>
          <w:lang w:val="en-US"/>
        </w:rPr>
        <w:t>of the frequency arrangements</w:t>
      </w:r>
      <w:r>
        <w:rPr>
          <w:lang w:val="en-US"/>
        </w:rPr>
        <w:t>.</w:t>
      </w:r>
    </w:p>
  </w:footnote>
  <w:footnote w:id="4">
    <w:p w14:paraId="09B5AA18" w14:textId="77777777" w:rsidR="00476035" w:rsidRPr="001D0127" w:rsidRDefault="00476035" w:rsidP="00476035">
      <w:pPr>
        <w:pStyle w:val="FootnoteText"/>
        <w:rPr>
          <w:lang w:val="en-US"/>
        </w:rPr>
      </w:pPr>
      <w:r>
        <w:rPr>
          <w:rStyle w:val="FootnoteReference"/>
        </w:rPr>
        <w:footnoteRef/>
      </w:r>
      <w:r>
        <w:t xml:space="preserve"> </w:t>
      </w:r>
      <w:r>
        <w:tab/>
      </w:r>
      <w:r>
        <w:rPr>
          <w:lang w:val="en-US"/>
        </w:rPr>
        <w:t xml:space="preserve">The 2 025-2 110 MHz band is not part </w:t>
      </w:r>
      <w:r w:rsidRPr="006477D6">
        <w:rPr>
          <w:lang w:val="en-US"/>
        </w:rPr>
        <w:t>of the frequency arrangements</w:t>
      </w:r>
      <w:r>
        <w:rPr>
          <w:lang w:val="en-US"/>
        </w:rPr>
        <w:t>.</w:t>
      </w:r>
    </w:p>
  </w:footnote>
  <w:footnote w:id="5">
    <w:p w14:paraId="194B116B" w14:textId="77777777" w:rsidR="00476035" w:rsidRPr="0015279D" w:rsidRDefault="00476035" w:rsidP="00476035">
      <w:pPr>
        <w:pStyle w:val="FootnoteText"/>
        <w:rPr>
          <w:lang w:val="en-US"/>
        </w:rPr>
      </w:pPr>
      <w:r w:rsidRPr="0015279D">
        <w:rPr>
          <w:rStyle w:val="FootnoteReference"/>
        </w:rPr>
        <w:footnoteRef/>
      </w:r>
      <w:r w:rsidRPr="00A20C33">
        <w:t xml:space="preserve"> </w:t>
      </w:r>
      <w:r w:rsidRPr="00A20C33">
        <w:tab/>
      </w:r>
      <w:r w:rsidRPr="0015279D">
        <w:rPr>
          <w:lang w:val="en-US"/>
        </w:rPr>
        <w:t>See also</w:t>
      </w:r>
      <w:r>
        <w:rPr>
          <w:lang w:val="en-US"/>
        </w:rPr>
        <w:t xml:space="preserve"> item 7 in the</w:t>
      </w:r>
      <w:r w:rsidRPr="0015279D">
        <w:rPr>
          <w:lang w:val="en-US"/>
        </w:rPr>
        <w:t xml:space="preserve"> </w:t>
      </w:r>
      <w:hyperlink r:id="rId2" w:history="1">
        <w:r w:rsidRPr="00F92B75">
          <w:rPr>
            <w:rStyle w:val="Hyperlink"/>
            <w:color w:val="auto"/>
            <w:u w:val="none"/>
            <w:lang w:val="en-US"/>
          </w:rPr>
          <w:t>Summary Report</w:t>
        </w:r>
      </w:hyperlink>
      <w:r w:rsidRPr="0015279D">
        <w:rPr>
          <w:lang w:val="en-US"/>
        </w:rPr>
        <w:t xml:space="preserve"> of the 6</w:t>
      </w:r>
      <w:r w:rsidRPr="0015279D">
        <w:rPr>
          <w:vertAlign w:val="superscript"/>
          <w:lang w:val="en-US"/>
        </w:rPr>
        <w:t>th</w:t>
      </w:r>
      <w:r w:rsidRPr="0015279D">
        <w:rPr>
          <w:lang w:val="en-US"/>
        </w:rPr>
        <w:t xml:space="preserve"> Plenary Meeting of the Radiocommunication Assembly 2019 (Friday, 25 October 2019)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3A55" w14:textId="77777777" w:rsidR="00476035" w:rsidRDefault="0047603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476035" w:rsidRPr="00A239D1" w14:paraId="76BD7171" w14:textId="77777777" w:rsidTr="0019307B">
      <w:tc>
        <w:tcPr>
          <w:tcW w:w="4634" w:type="dxa"/>
          <w:vAlign w:val="center"/>
        </w:tcPr>
        <w:p w14:paraId="771F519D" w14:textId="77777777" w:rsidR="00476035" w:rsidRPr="005B0371" w:rsidRDefault="0047603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78AE69B" w14:textId="77777777" w:rsidR="00476035" w:rsidRPr="00260B24" w:rsidRDefault="00476035"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476035" w:rsidRPr="00A239D1" w14:paraId="5C1D728B" w14:textId="77777777" w:rsidTr="0019307B">
      <w:tc>
        <w:tcPr>
          <w:tcW w:w="4634" w:type="dxa"/>
          <w:vAlign w:val="center"/>
        </w:tcPr>
        <w:p w14:paraId="5CB5F189" w14:textId="77777777" w:rsidR="00476035" w:rsidRPr="00260B24" w:rsidRDefault="00476035"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4B000DC7" w14:textId="77777777" w:rsidR="00476035" w:rsidRPr="00260B24" w:rsidRDefault="00476035"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70C023DF" w14:textId="77777777" w:rsidR="00476035" w:rsidRDefault="00476035" w:rsidP="004A6FEB">
    <w:pPr>
      <w:pStyle w:val="Header"/>
    </w:pPr>
    <w:r>
      <w:rPr>
        <w:rFonts w:ascii="Arial Black" w:hAnsi="Arial Black" w:cs="Arial"/>
        <w:noProof/>
        <w:sz w:val="32"/>
        <w:szCs w:val="32"/>
      </w:rPr>
      <w:drawing>
        <wp:anchor distT="0" distB="0" distL="114300" distR="114300" simplePos="0" relativeHeight="251655680" behindDoc="0" locked="0" layoutInCell="1" allowOverlap="1" wp14:anchorId="2FBB2482" wp14:editId="397455BC">
          <wp:simplePos x="0" y="0"/>
          <wp:positionH relativeFrom="column">
            <wp:posOffset>-358302</wp:posOffset>
          </wp:positionH>
          <wp:positionV relativeFrom="paragraph">
            <wp:posOffset>-534670</wp:posOffset>
          </wp:positionV>
          <wp:extent cx="1945758" cy="414616"/>
          <wp:effectExtent l="0" t="0" r="0" b="0"/>
          <wp:wrapNone/>
          <wp:docPr id="1904432143" name="Picture 1904432143"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7728" behindDoc="0" locked="0" layoutInCell="1" allowOverlap="1" wp14:anchorId="3F09E437" wp14:editId="7984E06D">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55B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62D1900" w14:textId="77777777" w:rsidR="00476035" w:rsidRDefault="00476035" w:rsidP="004A6FEB">
    <w:pPr>
      <w:pStyle w:val="Header"/>
      <w:ind w:right="360"/>
      <w:jc w:val="both"/>
    </w:pPr>
    <w:r>
      <w:rPr>
        <w:noProof/>
      </w:rPr>
      <mc:AlternateContent>
        <mc:Choice Requires="wpg">
          <w:drawing>
            <wp:anchor distT="0" distB="0" distL="114300" distR="114300" simplePos="0" relativeHeight="251659776" behindDoc="0" locked="0" layoutInCell="1" allowOverlap="1" wp14:anchorId="79A2BC9E" wp14:editId="732ADF86">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E1709" id="docshapegroup6" o:spid="_x0000_s1026" alt="&quot;&quot;" style="position:absolute;margin-left:0;margin-top:94.2pt;width:595.3pt;height:18.6pt;z-index:25165977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54B4" w14:textId="43F48BEB" w:rsidR="00476035" w:rsidRPr="00D72623" w:rsidRDefault="0047603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C42142">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C42142">
      <w:rPr>
        <w:b/>
        <w:bCs/>
        <w:noProof/>
        <w:lang w:val="en-US"/>
      </w:rPr>
      <w:t>ITU-R  M.1036-8</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1EEF" w14:textId="3D53DB6A" w:rsidR="00476035" w:rsidRDefault="00476035">
    <w:pPr>
      <w:pStyle w:val="Header"/>
    </w:pPr>
    <w:r>
      <w:tab/>
    </w:r>
    <w:r>
      <w:rPr>
        <w:b/>
        <w:bCs/>
      </w:rPr>
      <w:fldChar w:fldCharType="begin"/>
    </w:r>
    <w:r>
      <w:rPr>
        <w:b/>
        <w:bCs/>
      </w:rPr>
      <w:instrText xml:space="preserve"> DOCPROPERTY "Header" \* MERGEFORMAT </w:instrText>
    </w:r>
    <w:r>
      <w:rPr>
        <w:b/>
        <w:bCs/>
      </w:rPr>
      <w:fldChar w:fldCharType="separate"/>
    </w:r>
    <w:r w:rsidR="00C42142">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C42142">
      <w:rPr>
        <w:b/>
        <w:bCs/>
        <w:noProof/>
      </w:rPr>
      <w:t>ITU-R  M.1036-8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91FD" w14:textId="72DA57EC"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C42142" w:rsidRPr="00C42142">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C42142">
      <w:rPr>
        <w:b/>
        <w:bCs/>
        <w:noProof/>
        <w:lang w:val="en-US"/>
      </w:rPr>
      <w:t>ITU-R  M.1036-8</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2665" w14:textId="58FD13FC" w:rsidR="00607D68" w:rsidRDefault="00607D68">
    <w:pPr>
      <w:pStyle w:val="Header"/>
    </w:pPr>
    <w:r>
      <w:tab/>
    </w:r>
    <w:fldSimple w:instr=" DOCPROPERTY &quot;Header&quot; \* MERGEFORMAT ">
      <w:r w:rsidR="00C42142" w:rsidRPr="00C42142">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C42142">
      <w:rPr>
        <w:b/>
        <w:bCs/>
        <w:noProof/>
      </w:rPr>
      <w:t>ITU-R  M.1036-8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C21C12"/>
    <w:multiLevelType w:val="hybridMultilevel"/>
    <w:tmpl w:val="C22A60FE"/>
    <w:lvl w:ilvl="0" w:tplc="0BCCEB5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9385AC2"/>
    <w:multiLevelType w:val="hybridMultilevel"/>
    <w:tmpl w:val="D1C61D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CA096B"/>
    <w:multiLevelType w:val="hybridMultilevel"/>
    <w:tmpl w:val="E33282D4"/>
    <w:lvl w:ilvl="0" w:tplc="A29CB93A">
      <w:start w:val="3"/>
      <w:numFmt w:val="lowerLetter"/>
      <w:lvlText w:val="%1)"/>
      <w:lvlJc w:val="left"/>
      <w:pPr>
        <w:ind w:left="360" w:hanging="360"/>
      </w:pPr>
      <w:rPr>
        <w:rFonts w:hint="default"/>
        <w:i/>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5D21085"/>
    <w:multiLevelType w:val="hybridMultilevel"/>
    <w:tmpl w:val="055859EC"/>
    <w:lvl w:ilvl="0" w:tplc="05B08912">
      <w:start w:val="1"/>
      <w:numFmt w:val="lowerLetter"/>
      <w:lvlText w:val="%1)"/>
      <w:lvlJc w:val="left"/>
      <w:pPr>
        <w:ind w:left="1494"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6" w15:restartNumberingAfterBreak="0">
    <w:nsid w:val="2B510A6A"/>
    <w:multiLevelType w:val="hybridMultilevel"/>
    <w:tmpl w:val="61FEC4D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D874332"/>
    <w:multiLevelType w:val="hybridMultilevel"/>
    <w:tmpl w:val="4D146592"/>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F0863"/>
    <w:multiLevelType w:val="hybridMultilevel"/>
    <w:tmpl w:val="799A67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531CFD"/>
    <w:multiLevelType w:val="hybridMultilevel"/>
    <w:tmpl w:val="2CE017BE"/>
    <w:lvl w:ilvl="0" w:tplc="433CC3DE">
      <w:start w:val="1"/>
      <w:numFmt w:val="lowerLetter"/>
      <w:lvlText w:val="%1)"/>
      <w:lvlJc w:val="left"/>
      <w:pPr>
        <w:ind w:left="1854" w:hanging="360"/>
      </w:pPr>
      <w:rPr>
        <w:i/>
      </w:rPr>
    </w:lvl>
    <w:lvl w:ilvl="1" w:tplc="48090019" w:tentative="1">
      <w:start w:val="1"/>
      <w:numFmt w:val="lowerLetter"/>
      <w:lvlText w:val="%2."/>
      <w:lvlJc w:val="left"/>
      <w:pPr>
        <w:ind w:left="2574" w:hanging="360"/>
      </w:pPr>
    </w:lvl>
    <w:lvl w:ilvl="2" w:tplc="4809001B" w:tentative="1">
      <w:start w:val="1"/>
      <w:numFmt w:val="lowerRoman"/>
      <w:lvlText w:val="%3."/>
      <w:lvlJc w:val="right"/>
      <w:pPr>
        <w:ind w:left="3294" w:hanging="180"/>
      </w:pPr>
    </w:lvl>
    <w:lvl w:ilvl="3" w:tplc="4809000F" w:tentative="1">
      <w:start w:val="1"/>
      <w:numFmt w:val="decimal"/>
      <w:lvlText w:val="%4."/>
      <w:lvlJc w:val="left"/>
      <w:pPr>
        <w:ind w:left="4014" w:hanging="360"/>
      </w:pPr>
    </w:lvl>
    <w:lvl w:ilvl="4" w:tplc="48090019" w:tentative="1">
      <w:start w:val="1"/>
      <w:numFmt w:val="lowerLetter"/>
      <w:lvlText w:val="%5."/>
      <w:lvlJc w:val="left"/>
      <w:pPr>
        <w:ind w:left="4734" w:hanging="360"/>
      </w:pPr>
    </w:lvl>
    <w:lvl w:ilvl="5" w:tplc="4809001B" w:tentative="1">
      <w:start w:val="1"/>
      <w:numFmt w:val="lowerRoman"/>
      <w:lvlText w:val="%6."/>
      <w:lvlJc w:val="right"/>
      <w:pPr>
        <w:ind w:left="5454" w:hanging="180"/>
      </w:pPr>
    </w:lvl>
    <w:lvl w:ilvl="6" w:tplc="4809000F" w:tentative="1">
      <w:start w:val="1"/>
      <w:numFmt w:val="decimal"/>
      <w:lvlText w:val="%7."/>
      <w:lvlJc w:val="left"/>
      <w:pPr>
        <w:ind w:left="6174" w:hanging="360"/>
      </w:pPr>
    </w:lvl>
    <w:lvl w:ilvl="7" w:tplc="48090019" w:tentative="1">
      <w:start w:val="1"/>
      <w:numFmt w:val="lowerLetter"/>
      <w:lvlText w:val="%8."/>
      <w:lvlJc w:val="left"/>
      <w:pPr>
        <w:ind w:left="6894" w:hanging="360"/>
      </w:pPr>
    </w:lvl>
    <w:lvl w:ilvl="8" w:tplc="4809001B" w:tentative="1">
      <w:start w:val="1"/>
      <w:numFmt w:val="lowerRoman"/>
      <w:lvlText w:val="%9."/>
      <w:lvlJc w:val="right"/>
      <w:pPr>
        <w:ind w:left="7614" w:hanging="180"/>
      </w:pPr>
    </w:lvl>
  </w:abstractNum>
  <w:abstractNum w:abstractNumId="20" w15:restartNumberingAfterBreak="0">
    <w:nsid w:val="6F00294B"/>
    <w:multiLevelType w:val="hybridMultilevel"/>
    <w:tmpl w:val="84948C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D81002B"/>
    <w:multiLevelType w:val="hybridMultilevel"/>
    <w:tmpl w:val="8FDED7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314981">
    <w:abstractNumId w:val="9"/>
  </w:num>
  <w:num w:numId="2" w16cid:durableId="703016278">
    <w:abstractNumId w:val="7"/>
  </w:num>
  <w:num w:numId="3" w16cid:durableId="113326944">
    <w:abstractNumId w:val="6"/>
  </w:num>
  <w:num w:numId="4" w16cid:durableId="236862196">
    <w:abstractNumId w:val="5"/>
  </w:num>
  <w:num w:numId="5" w16cid:durableId="1974866104">
    <w:abstractNumId w:val="4"/>
  </w:num>
  <w:num w:numId="6" w16cid:durableId="540434779">
    <w:abstractNumId w:val="8"/>
  </w:num>
  <w:num w:numId="7" w16cid:durableId="936718820">
    <w:abstractNumId w:val="3"/>
  </w:num>
  <w:num w:numId="8" w16cid:durableId="1015154036">
    <w:abstractNumId w:val="2"/>
  </w:num>
  <w:num w:numId="9" w16cid:durableId="1374966141">
    <w:abstractNumId w:val="1"/>
  </w:num>
  <w:num w:numId="10" w16cid:durableId="1565524435">
    <w:abstractNumId w:val="0"/>
  </w:num>
  <w:num w:numId="11" w16cid:durableId="1027095641">
    <w:abstractNumId w:val="13"/>
  </w:num>
  <w:num w:numId="12" w16cid:durableId="1448964573">
    <w:abstractNumId w:val="16"/>
  </w:num>
  <w:num w:numId="13" w16cid:durableId="95636935">
    <w:abstractNumId w:val="15"/>
  </w:num>
  <w:num w:numId="14" w16cid:durableId="185098685">
    <w:abstractNumId w:val="19"/>
  </w:num>
  <w:num w:numId="15" w16cid:durableId="1524054770">
    <w:abstractNumId w:val="11"/>
  </w:num>
  <w:num w:numId="16" w16cid:durableId="16089304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1573393380">
    <w:abstractNumId w:val="14"/>
  </w:num>
  <w:num w:numId="18" w16cid:durableId="1390685514">
    <w:abstractNumId w:val="20"/>
  </w:num>
  <w:num w:numId="19" w16cid:durableId="990525167">
    <w:abstractNumId w:val="21"/>
  </w:num>
  <w:num w:numId="20" w16cid:durableId="1014918032">
    <w:abstractNumId w:val="17"/>
  </w:num>
  <w:num w:numId="21" w16cid:durableId="214434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785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35"/>
    <w:rsid w:val="00217EBF"/>
    <w:rsid w:val="00242AEE"/>
    <w:rsid w:val="00265F96"/>
    <w:rsid w:val="00267297"/>
    <w:rsid w:val="002D76C4"/>
    <w:rsid w:val="003A08E0"/>
    <w:rsid w:val="003D386D"/>
    <w:rsid w:val="0046167F"/>
    <w:rsid w:val="004625C8"/>
    <w:rsid w:val="00476035"/>
    <w:rsid w:val="00503E8D"/>
    <w:rsid w:val="0052529D"/>
    <w:rsid w:val="005342F1"/>
    <w:rsid w:val="00572BA2"/>
    <w:rsid w:val="00591EF6"/>
    <w:rsid w:val="00607D68"/>
    <w:rsid w:val="006114D0"/>
    <w:rsid w:val="00647E39"/>
    <w:rsid w:val="006811FB"/>
    <w:rsid w:val="00693A76"/>
    <w:rsid w:val="006E1162"/>
    <w:rsid w:val="00712FE3"/>
    <w:rsid w:val="00721BE2"/>
    <w:rsid w:val="007468DA"/>
    <w:rsid w:val="007636F3"/>
    <w:rsid w:val="00832E1A"/>
    <w:rsid w:val="0089648A"/>
    <w:rsid w:val="008B6E45"/>
    <w:rsid w:val="008C7C2E"/>
    <w:rsid w:val="009E00A8"/>
    <w:rsid w:val="00A223F0"/>
    <w:rsid w:val="00A6617B"/>
    <w:rsid w:val="00AB0DC8"/>
    <w:rsid w:val="00B223E5"/>
    <w:rsid w:val="00B44E24"/>
    <w:rsid w:val="00B521BE"/>
    <w:rsid w:val="00B9379F"/>
    <w:rsid w:val="00C06841"/>
    <w:rsid w:val="00C1307F"/>
    <w:rsid w:val="00C26244"/>
    <w:rsid w:val="00C42142"/>
    <w:rsid w:val="00D80F59"/>
    <w:rsid w:val="00DA7577"/>
    <w:rsid w:val="00DC1972"/>
    <w:rsid w:val="00DC2B47"/>
    <w:rsid w:val="00DC605B"/>
    <w:rsid w:val="00DF4176"/>
    <w:rsid w:val="00E678A1"/>
    <w:rsid w:val="00EC50F2"/>
    <w:rsid w:val="00F13847"/>
    <w:rsid w:val="00F55B68"/>
    <w:rsid w:val="00F654D8"/>
    <w:rsid w:val="00FE5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30846674"/>
  <w15:docId w15:val="{4D1AD358-D62F-4D4D-86FE-44223D27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uiPriority w:val="99"/>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rsid w:val="006811FB"/>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uiPriority w:val="99"/>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eq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rsid w:val="006811FB"/>
    <w:pPr>
      <w:keepNext/>
      <w:keepLines/>
      <w:tabs>
        <w:tab w:val="clear" w:pos="794"/>
        <w:tab w:val="clear" w:pos="1191"/>
        <w:tab w:val="clear" w:pos="1588"/>
        <w:tab w:val="clear" w:pos="1985"/>
      </w:tabs>
      <w:spacing w:before="280" w:after="40"/>
      <w:jc w:val="center"/>
      <w:outlineLvl w:val="0"/>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0"/>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link w:val="SummaryZchn"/>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476035"/>
    <w:rPr>
      <w:b/>
      <w:sz w:val="24"/>
      <w:lang w:val="en-GB" w:eastAsia="en-US"/>
    </w:rPr>
  </w:style>
  <w:style w:type="character" w:customStyle="1" w:styleId="HeaderChar">
    <w:name w:val="Header Char"/>
    <w:basedOn w:val="DefaultParagraphFont"/>
    <w:link w:val="Header"/>
    <w:rsid w:val="00476035"/>
    <w:rPr>
      <w:sz w:val="24"/>
      <w:lang w:val="en-GB" w:eastAsia="en-US"/>
    </w:rPr>
  </w:style>
  <w:style w:type="character" w:customStyle="1" w:styleId="FooterChar">
    <w:name w:val="Footer Char"/>
    <w:basedOn w:val="DefaultParagraphFont"/>
    <w:link w:val="Footer"/>
    <w:uiPriority w:val="99"/>
    <w:qFormat/>
    <w:rsid w:val="00476035"/>
    <w:rPr>
      <w:noProof/>
      <w:sz w:val="18"/>
      <w:lang w:val="en-GB" w:eastAsia="en-US"/>
    </w:rPr>
  </w:style>
  <w:style w:type="character" w:styleId="Hyperlink">
    <w:name w:val="Hyperlink"/>
    <w:aliases w:val="CEO_Hyperlink,超级链接,ECC Hyperlink"/>
    <w:basedOn w:val="DefaultParagraphFont"/>
    <w:uiPriority w:val="99"/>
    <w:rsid w:val="00476035"/>
    <w:rPr>
      <w:color w:val="0000FF"/>
      <w:u w:val="single"/>
    </w:rPr>
  </w:style>
  <w:style w:type="table" w:styleId="TableGrid">
    <w:name w:val="Table Grid"/>
    <w:basedOn w:val="TableNormal"/>
    <w:qFormat/>
    <w:rsid w:val="0047603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7603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7603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7603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7603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2Char">
    <w:name w:val="Heading 2 Char"/>
    <w:basedOn w:val="DefaultParagraphFont"/>
    <w:link w:val="Heading2"/>
    <w:rsid w:val="00476035"/>
    <w:rPr>
      <w:b/>
      <w:sz w:val="24"/>
      <w:lang w:val="en-GB" w:eastAsia="en-US"/>
    </w:rPr>
  </w:style>
  <w:style w:type="character" w:customStyle="1" w:styleId="Heading3Char">
    <w:name w:val="Heading 3 Char"/>
    <w:basedOn w:val="DefaultParagraphFont"/>
    <w:link w:val="Heading3"/>
    <w:rsid w:val="00476035"/>
    <w:rPr>
      <w:b/>
      <w:sz w:val="24"/>
      <w:lang w:val="en-GB" w:eastAsia="en-US"/>
    </w:rPr>
  </w:style>
  <w:style w:type="character" w:customStyle="1" w:styleId="Heading4Char">
    <w:name w:val="Heading 4 Char"/>
    <w:basedOn w:val="DefaultParagraphFont"/>
    <w:link w:val="Heading4"/>
    <w:rsid w:val="00476035"/>
    <w:rPr>
      <w:b/>
      <w:sz w:val="24"/>
      <w:lang w:val="en-GB" w:eastAsia="en-US"/>
    </w:rPr>
  </w:style>
  <w:style w:type="character" w:customStyle="1" w:styleId="Heading5Char">
    <w:name w:val="Heading 5 Char"/>
    <w:basedOn w:val="DefaultParagraphFont"/>
    <w:link w:val="Heading5"/>
    <w:rsid w:val="00476035"/>
    <w:rPr>
      <w:b/>
      <w:sz w:val="24"/>
      <w:lang w:val="en-GB" w:eastAsia="en-US"/>
    </w:rPr>
  </w:style>
  <w:style w:type="character" w:customStyle="1" w:styleId="Heading6Char">
    <w:name w:val="Heading 6 Char"/>
    <w:basedOn w:val="DefaultParagraphFont"/>
    <w:link w:val="Heading6"/>
    <w:rsid w:val="00476035"/>
    <w:rPr>
      <w:b/>
      <w:sz w:val="24"/>
      <w:lang w:val="en-GB" w:eastAsia="en-US"/>
    </w:rPr>
  </w:style>
  <w:style w:type="character" w:customStyle="1" w:styleId="Heading7Char">
    <w:name w:val="Heading 7 Char"/>
    <w:basedOn w:val="DefaultParagraphFont"/>
    <w:link w:val="Heading7"/>
    <w:rsid w:val="00476035"/>
    <w:rPr>
      <w:b/>
      <w:sz w:val="24"/>
      <w:lang w:val="en-GB" w:eastAsia="en-US"/>
    </w:rPr>
  </w:style>
  <w:style w:type="character" w:customStyle="1" w:styleId="Heading8Char">
    <w:name w:val="Heading 8 Char"/>
    <w:basedOn w:val="DefaultParagraphFont"/>
    <w:link w:val="Heading8"/>
    <w:rsid w:val="00476035"/>
    <w:rPr>
      <w:b/>
      <w:sz w:val="24"/>
      <w:lang w:val="en-GB" w:eastAsia="en-US"/>
    </w:rPr>
  </w:style>
  <w:style w:type="character" w:customStyle="1" w:styleId="Heading9Char">
    <w:name w:val="Heading 9 Char"/>
    <w:basedOn w:val="DefaultParagraphFont"/>
    <w:link w:val="Heading9"/>
    <w:rsid w:val="00476035"/>
    <w:rPr>
      <w:b/>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476035"/>
    <w:rPr>
      <w:sz w:val="22"/>
      <w:lang w:val="en-GB" w:eastAsia="en-US"/>
    </w:rPr>
  </w:style>
  <w:style w:type="paragraph" w:customStyle="1" w:styleId="Artheading">
    <w:name w:val="Art_heading"/>
    <w:basedOn w:val="Normal"/>
    <w:next w:val="Normal"/>
    <w:rsid w:val="00476035"/>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476035"/>
    <w:rPr>
      <w:vertAlign w:val="superscript"/>
    </w:rPr>
  </w:style>
  <w:style w:type="paragraph" w:customStyle="1" w:styleId="Figurewithouttitle">
    <w:name w:val="Figure_without_title"/>
    <w:basedOn w:val="FigureNo"/>
    <w:next w:val="Normal"/>
    <w:rsid w:val="00476035"/>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476035"/>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476035"/>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476035"/>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476035"/>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arattere"/>
    <w:rsid w:val="00476035"/>
    <w:pPr>
      <w:tabs>
        <w:tab w:val="left" w:pos="567"/>
        <w:tab w:val="left" w:pos="1701"/>
        <w:tab w:val="left" w:pos="2835"/>
      </w:tabs>
      <w:spacing w:before="240"/>
    </w:pPr>
    <w:rPr>
      <w:b w:val="0"/>
      <w:caps/>
    </w:rPr>
  </w:style>
  <w:style w:type="paragraph" w:customStyle="1" w:styleId="Title2">
    <w:name w:val="Title 2"/>
    <w:basedOn w:val="Source"/>
    <w:next w:val="Normal"/>
    <w:rsid w:val="00476035"/>
    <w:pPr>
      <w:overflowPunct/>
      <w:autoSpaceDE/>
      <w:autoSpaceDN/>
      <w:adjustRightInd/>
      <w:spacing w:before="480"/>
      <w:textAlignment w:val="auto"/>
    </w:pPr>
    <w:rPr>
      <w:b w:val="0"/>
      <w:caps/>
    </w:rPr>
  </w:style>
  <w:style w:type="paragraph" w:customStyle="1" w:styleId="Title3">
    <w:name w:val="Title 3"/>
    <w:basedOn w:val="Title2"/>
    <w:next w:val="Normal"/>
    <w:rsid w:val="00476035"/>
    <w:pPr>
      <w:spacing w:before="240"/>
    </w:pPr>
    <w:rPr>
      <w:caps w:val="0"/>
    </w:rPr>
  </w:style>
  <w:style w:type="paragraph" w:customStyle="1" w:styleId="Title4">
    <w:name w:val="Title 4"/>
    <w:basedOn w:val="Title3"/>
    <w:next w:val="Heading1"/>
    <w:rsid w:val="00476035"/>
    <w:rPr>
      <w:b/>
    </w:rPr>
  </w:style>
  <w:style w:type="character" w:customStyle="1" w:styleId="Appdef">
    <w:name w:val="App_def"/>
    <w:basedOn w:val="DefaultParagraphFont"/>
    <w:rsid w:val="00476035"/>
    <w:rPr>
      <w:rFonts w:ascii="Times New Roman" w:hAnsi="Times New Roman"/>
      <w:b/>
    </w:rPr>
  </w:style>
  <w:style w:type="character" w:customStyle="1" w:styleId="Appref">
    <w:name w:val="App_ref"/>
    <w:basedOn w:val="DefaultParagraphFont"/>
    <w:rsid w:val="00476035"/>
  </w:style>
  <w:style w:type="character" w:customStyle="1" w:styleId="Artdef">
    <w:name w:val="Art_def"/>
    <w:basedOn w:val="DefaultParagraphFont"/>
    <w:rsid w:val="00476035"/>
    <w:rPr>
      <w:rFonts w:ascii="Times New Roman" w:hAnsi="Times New Roman"/>
      <w:b/>
    </w:rPr>
  </w:style>
  <w:style w:type="character" w:customStyle="1" w:styleId="Artref">
    <w:name w:val="Art_ref"/>
    <w:basedOn w:val="DefaultParagraphFont"/>
    <w:rsid w:val="00476035"/>
  </w:style>
  <w:style w:type="character" w:customStyle="1" w:styleId="Tablefreq">
    <w:name w:val="Table_freq"/>
    <w:basedOn w:val="DefaultParagraphFont"/>
    <w:rsid w:val="00476035"/>
    <w:rPr>
      <w:b/>
      <w:color w:val="auto"/>
      <w:sz w:val="20"/>
    </w:rPr>
  </w:style>
  <w:style w:type="paragraph" w:customStyle="1" w:styleId="Formal">
    <w:name w:val="Formal"/>
    <w:basedOn w:val="ASN1"/>
    <w:rsid w:val="00476035"/>
    <w:pPr>
      <w:tabs>
        <w:tab w:val="left" w:pos="1871"/>
      </w:tabs>
      <w:jc w:val="left"/>
    </w:pPr>
    <w:rPr>
      <w:rFonts w:ascii="Times New Roman Bold" w:hAnsi="Times New Roman Bold"/>
      <w:b w:val="0"/>
    </w:rPr>
  </w:style>
  <w:style w:type="paragraph" w:customStyle="1" w:styleId="Section1">
    <w:name w:val="Section_1"/>
    <w:basedOn w:val="Normal"/>
    <w:rsid w:val="00476035"/>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476035"/>
    <w:rPr>
      <w:b w:val="0"/>
      <w:i/>
    </w:rPr>
  </w:style>
  <w:style w:type="paragraph" w:customStyle="1" w:styleId="AnnexNo">
    <w:name w:val="Annex_No"/>
    <w:basedOn w:val="Normal"/>
    <w:next w:val="Normal"/>
    <w:link w:val="AnnexNoChar"/>
    <w:qFormat/>
    <w:rsid w:val="00476035"/>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47603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476035"/>
  </w:style>
  <w:style w:type="paragraph" w:customStyle="1" w:styleId="Appendixtitle">
    <w:name w:val="Appendix_title"/>
    <w:basedOn w:val="Annextitle"/>
    <w:next w:val="Normal"/>
    <w:rsid w:val="00476035"/>
  </w:style>
  <w:style w:type="paragraph" w:customStyle="1" w:styleId="Border">
    <w:name w:val="Border"/>
    <w:basedOn w:val="Normal"/>
    <w:rsid w:val="00476035"/>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476035"/>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476035"/>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476035"/>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476035"/>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476035"/>
  </w:style>
  <w:style w:type="paragraph" w:customStyle="1" w:styleId="Normalaftertitle0">
    <w:name w:val="Normal after title"/>
    <w:basedOn w:val="Normal"/>
    <w:next w:val="Normal"/>
    <w:rsid w:val="00476035"/>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476035"/>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476035"/>
    <w:pPr>
      <w:tabs>
        <w:tab w:val="clear" w:pos="794"/>
        <w:tab w:val="clear" w:pos="1191"/>
        <w:tab w:val="left" w:pos="1134"/>
      </w:tabs>
      <w:jc w:val="left"/>
    </w:pPr>
  </w:style>
  <w:style w:type="paragraph" w:customStyle="1" w:styleId="Section3">
    <w:name w:val="Section_3"/>
    <w:basedOn w:val="Section1"/>
    <w:rsid w:val="00476035"/>
    <w:rPr>
      <w:b w:val="0"/>
    </w:rPr>
  </w:style>
  <w:style w:type="paragraph" w:customStyle="1" w:styleId="TableTextS5">
    <w:name w:val="Table_TextS5"/>
    <w:basedOn w:val="Normal"/>
    <w:rsid w:val="00476035"/>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47603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476035"/>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476035"/>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476035"/>
  </w:style>
  <w:style w:type="paragraph" w:customStyle="1" w:styleId="Committee">
    <w:name w:val="Committee"/>
    <w:basedOn w:val="Normal"/>
    <w:qFormat/>
    <w:rsid w:val="0047603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Normalend">
    <w:name w:val="Normal_end"/>
    <w:basedOn w:val="Normal"/>
    <w:next w:val="Normal"/>
    <w:qFormat/>
    <w:rsid w:val="00476035"/>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476035"/>
    <w:pPr>
      <w:keepNext/>
      <w:keepLines/>
    </w:pPr>
  </w:style>
  <w:style w:type="paragraph" w:customStyle="1" w:styleId="Subsection1">
    <w:name w:val="Subsection_1"/>
    <w:basedOn w:val="Section1"/>
    <w:next w:val="Normalaftertitle0"/>
    <w:qFormat/>
    <w:rsid w:val="00476035"/>
  </w:style>
  <w:style w:type="paragraph" w:customStyle="1" w:styleId="Volumetitle">
    <w:name w:val="Volume_title"/>
    <w:basedOn w:val="Normal"/>
    <w:qFormat/>
    <w:rsid w:val="00476035"/>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476035"/>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476035"/>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476035"/>
    <w:rPr>
      <w:rFonts w:ascii="Times New Roman" w:hAnsi="Times New Roman"/>
      <w:b w:val="0"/>
    </w:rPr>
  </w:style>
  <w:style w:type="paragraph" w:customStyle="1" w:styleId="Tablesplit">
    <w:name w:val="Table_split"/>
    <w:basedOn w:val="Tabletext"/>
    <w:qFormat/>
    <w:rsid w:val="0047603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476035"/>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476035"/>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476035"/>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476035"/>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476035"/>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476035"/>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476035"/>
    <w:rPr>
      <w:rFonts w:ascii="Times New Roman Bold" w:hAnsi="Times New Roman Bold"/>
      <w:b/>
      <w:sz w:val="18"/>
      <w:lang w:val="en-GB" w:eastAsia="en-US"/>
    </w:rPr>
  </w:style>
  <w:style w:type="paragraph" w:customStyle="1" w:styleId="Figurewithlegend">
    <w:name w:val="Figure_with_legend"/>
    <w:basedOn w:val="Figure"/>
    <w:rsid w:val="00476035"/>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476035"/>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476035"/>
    <w:rPr>
      <w:sz w:val="24"/>
      <w:lang w:val="en-GB" w:eastAsia="en-US"/>
    </w:rPr>
  </w:style>
  <w:style w:type="character" w:styleId="PlaceholderText">
    <w:name w:val="Placeholder Text"/>
    <w:basedOn w:val="DefaultParagraphFont"/>
    <w:uiPriority w:val="99"/>
    <w:semiHidden/>
    <w:rsid w:val="00476035"/>
    <w:rPr>
      <w:color w:val="808080"/>
    </w:rPr>
  </w:style>
  <w:style w:type="paragraph" w:customStyle="1" w:styleId="DocData">
    <w:name w:val="DocData"/>
    <w:basedOn w:val="Normal"/>
    <w:rsid w:val="0047603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eastAsia="zh-CN"/>
    </w:rPr>
  </w:style>
  <w:style w:type="character" w:customStyle="1" w:styleId="Recdef">
    <w:name w:val="Rec_def"/>
    <w:basedOn w:val="DefaultParagraphFont"/>
    <w:rsid w:val="00476035"/>
    <w:rPr>
      <w:b/>
    </w:rPr>
  </w:style>
  <w:style w:type="character" w:customStyle="1" w:styleId="Resdef">
    <w:name w:val="Res_def"/>
    <w:basedOn w:val="DefaultParagraphFont"/>
    <w:rsid w:val="00476035"/>
    <w:rPr>
      <w:rFonts w:ascii="Times New Roman" w:hAnsi="Times New Roman"/>
      <w:b/>
    </w:rPr>
  </w:style>
  <w:style w:type="character" w:styleId="UnresolvedMention">
    <w:name w:val="Unresolved Mention"/>
    <w:basedOn w:val="DefaultParagraphFont"/>
    <w:uiPriority w:val="99"/>
    <w:semiHidden/>
    <w:unhideWhenUsed/>
    <w:rsid w:val="00476035"/>
    <w:rPr>
      <w:color w:val="605E5C"/>
      <w:shd w:val="clear" w:color="auto" w:fill="E1DFDD"/>
    </w:rPr>
  </w:style>
  <w:style w:type="paragraph" w:styleId="BalloonText">
    <w:name w:val="Balloon Text"/>
    <w:basedOn w:val="Normal"/>
    <w:link w:val="BalloonTextChar"/>
    <w:unhideWhenUsed/>
    <w:rsid w:val="00476035"/>
    <w:pPr>
      <w:tabs>
        <w:tab w:val="clear" w:pos="794"/>
        <w:tab w:val="clear" w:pos="1191"/>
        <w:tab w:val="clear" w:pos="1588"/>
        <w:tab w:val="clear" w:pos="1985"/>
        <w:tab w:val="left" w:pos="1134"/>
        <w:tab w:val="left" w:pos="1871"/>
        <w:tab w:val="left" w:pos="2268"/>
      </w:tabs>
      <w:spacing w:before="0"/>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476035"/>
    <w:rPr>
      <w:rFonts w:ascii="Segoe UI" w:eastAsiaTheme="minorEastAsia" w:hAnsi="Segoe UI" w:cs="Segoe UI"/>
      <w:sz w:val="18"/>
      <w:szCs w:val="18"/>
      <w:lang w:val="en-GB" w:eastAsia="en-US"/>
    </w:rPr>
  </w:style>
  <w:style w:type="character" w:customStyle="1" w:styleId="HeadingbChar">
    <w:name w:val="Heading_b Char"/>
    <w:basedOn w:val="DefaultParagraphFont"/>
    <w:link w:val="Headingb"/>
    <w:locked/>
    <w:rsid w:val="00476035"/>
    <w:rPr>
      <w:b/>
      <w:sz w:val="24"/>
      <w:lang w:val="en-GB" w:eastAsia="en-US"/>
    </w:rPr>
  </w:style>
  <w:style w:type="character" w:customStyle="1" w:styleId="NoteChar">
    <w:name w:val="Note Char"/>
    <w:basedOn w:val="DefaultParagraphFont"/>
    <w:link w:val="Note"/>
    <w:locked/>
    <w:rsid w:val="00476035"/>
    <w:rPr>
      <w:sz w:val="22"/>
      <w:lang w:val="en-GB" w:eastAsia="en-US"/>
    </w:rPr>
  </w:style>
  <w:style w:type="character" w:customStyle="1" w:styleId="FigureNoChar">
    <w:name w:val="Figure_No Char"/>
    <w:basedOn w:val="DefaultParagraphFont"/>
    <w:link w:val="FigureNo"/>
    <w:locked/>
    <w:rsid w:val="00476035"/>
    <w:rPr>
      <w:caps/>
      <w:sz w:val="18"/>
      <w:lang w:val="en-GB" w:eastAsia="en-US"/>
    </w:rPr>
  </w:style>
  <w:style w:type="character" w:customStyle="1" w:styleId="CallChar">
    <w:name w:val="Call Char"/>
    <w:basedOn w:val="DefaultParagraphFont"/>
    <w:link w:val="Call"/>
    <w:locked/>
    <w:rsid w:val="00476035"/>
    <w:rPr>
      <w:i/>
      <w:sz w:val="24"/>
      <w:lang w:val="en-GB" w:eastAsia="en-US"/>
    </w:rPr>
  </w:style>
  <w:style w:type="character" w:customStyle="1" w:styleId="NormalaftertitleChar">
    <w:name w:val="Normal_after_title Char"/>
    <w:basedOn w:val="DefaultParagraphFont"/>
    <w:link w:val="Normalaftertitle"/>
    <w:locked/>
    <w:rsid w:val="00476035"/>
    <w:rPr>
      <w:sz w:val="24"/>
      <w:lang w:val="en-GB" w:eastAsia="en-US"/>
    </w:rPr>
  </w:style>
  <w:style w:type="character" w:customStyle="1" w:styleId="TableheadChar">
    <w:name w:val="Table_head Char"/>
    <w:basedOn w:val="DefaultParagraphFont"/>
    <w:link w:val="Tablehead"/>
    <w:uiPriority w:val="99"/>
    <w:qFormat/>
    <w:locked/>
    <w:rsid w:val="00476035"/>
    <w:rPr>
      <w:b/>
      <w:sz w:val="22"/>
      <w:lang w:val="en-GB" w:eastAsia="en-US"/>
    </w:rPr>
  </w:style>
  <w:style w:type="character" w:customStyle="1" w:styleId="TablelegendChar">
    <w:name w:val="Table_legend Char"/>
    <w:link w:val="Tablelegend"/>
    <w:locked/>
    <w:rsid w:val="00476035"/>
    <w:rPr>
      <w:sz w:val="22"/>
      <w:lang w:val="en-GB" w:eastAsia="en-US"/>
    </w:rPr>
  </w:style>
  <w:style w:type="character" w:customStyle="1" w:styleId="TableNo0">
    <w:name w:val="Table_No Знак"/>
    <w:link w:val="TableNo"/>
    <w:locked/>
    <w:rsid w:val="00476035"/>
    <w:rPr>
      <w:sz w:val="24"/>
      <w:lang w:val="en-GB" w:eastAsia="en-US"/>
    </w:rPr>
  </w:style>
  <w:style w:type="character" w:customStyle="1" w:styleId="TabletextChar">
    <w:name w:val="Table_text Char"/>
    <w:basedOn w:val="DefaultParagraphFont"/>
    <w:link w:val="Tabletext"/>
    <w:qFormat/>
    <w:locked/>
    <w:rsid w:val="00476035"/>
    <w:rPr>
      <w:sz w:val="22"/>
      <w:lang w:val="en-GB" w:eastAsia="en-US"/>
    </w:rPr>
  </w:style>
  <w:style w:type="character" w:customStyle="1" w:styleId="EquationlegendChar">
    <w:name w:val="Equation_legend Char"/>
    <w:link w:val="Equationlegend"/>
    <w:locked/>
    <w:rsid w:val="00476035"/>
    <w:rPr>
      <w:sz w:val="24"/>
      <w:lang w:eastAsia="en-US"/>
    </w:rPr>
  </w:style>
  <w:style w:type="character" w:customStyle="1" w:styleId="FigureChar">
    <w:name w:val="Figure Char"/>
    <w:basedOn w:val="DefaultParagraphFont"/>
    <w:link w:val="Figure"/>
    <w:locked/>
    <w:rsid w:val="00476035"/>
    <w:rPr>
      <w:caps/>
      <w:sz w:val="18"/>
      <w:lang w:val="en-GB" w:eastAsia="en-US"/>
    </w:rPr>
  </w:style>
  <w:style w:type="character" w:customStyle="1" w:styleId="Tabletitle0">
    <w:name w:val="Table_title Знак"/>
    <w:link w:val="Tabletitle"/>
    <w:locked/>
    <w:rsid w:val="00476035"/>
    <w:rPr>
      <w:b/>
      <w:sz w:val="24"/>
      <w:lang w:val="en-GB" w:eastAsia="en-US"/>
    </w:rPr>
  </w:style>
  <w:style w:type="character" w:customStyle="1" w:styleId="SummaryZchn">
    <w:name w:val="Summary Zchn"/>
    <w:basedOn w:val="DefaultParagraphFont"/>
    <w:link w:val="Summary"/>
    <w:rsid w:val="00476035"/>
    <w:rPr>
      <w:sz w:val="22"/>
      <w:lang w:val="es-ES_tradnl" w:eastAsia="en-US"/>
    </w:rPr>
  </w:style>
  <w:style w:type="character" w:customStyle="1" w:styleId="enumlev1Char">
    <w:name w:val="enumlev1 Char"/>
    <w:basedOn w:val="DefaultParagraphFont"/>
    <w:link w:val="enumlev1"/>
    <w:rsid w:val="00476035"/>
    <w:rPr>
      <w:sz w:val="24"/>
      <w:lang w:val="en-GB" w:eastAsia="en-US"/>
    </w:rPr>
  </w:style>
  <w:style w:type="character" w:customStyle="1" w:styleId="AnnexNoChar">
    <w:name w:val="Annex_No Char"/>
    <w:link w:val="AnnexNo"/>
    <w:qFormat/>
    <w:locked/>
    <w:rsid w:val="00476035"/>
    <w:rPr>
      <w:caps/>
      <w:sz w:val="28"/>
      <w:lang w:val="en-GB" w:eastAsia="en-US"/>
    </w:rPr>
  </w:style>
  <w:style w:type="paragraph" w:customStyle="1" w:styleId="Default">
    <w:name w:val="Default"/>
    <w:rsid w:val="00476035"/>
    <w:pPr>
      <w:autoSpaceDE w:val="0"/>
      <w:autoSpaceDN w:val="0"/>
      <w:adjustRightInd w:val="0"/>
    </w:pPr>
    <w:rPr>
      <w:rFonts w:ascii="Arial" w:eastAsia="MS Mincho" w:hAnsi="Arial" w:cs="Arial"/>
      <w:color w:val="000000"/>
      <w:sz w:val="24"/>
      <w:szCs w:val="24"/>
      <w:lang w:val="en-SG"/>
    </w:rPr>
  </w:style>
  <w:style w:type="character" w:customStyle="1" w:styleId="BalloonTextChar1">
    <w:name w:val="Balloon Text Char1"/>
    <w:basedOn w:val="DefaultParagraphFont"/>
    <w:semiHidden/>
    <w:rsid w:val="00476035"/>
    <w:rPr>
      <w:rFonts w:ascii="Segoe UI" w:hAnsi="Segoe UI" w:cs="Segoe UI"/>
      <w:sz w:val="18"/>
      <w:szCs w:val="18"/>
      <w:lang w:val="fr-FR" w:eastAsia="en-US"/>
    </w:rPr>
  </w:style>
  <w:style w:type="paragraph" w:styleId="CommentText">
    <w:name w:val="annotation text"/>
    <w:basedOn w:val="Normal"/>
    <w:link w:val="CommentTextChar"/>
    <w:unhideWhenUsed/>
    <w:rsid w:val="00476035"/>
    <w:pPr>
      <w:tabs>
        <w:tab w:val="clear" w:pos="794"/>
        <w:tab w:val="clear" w:pos="1191"/>
        <w:tab w:val="clear" w:pos="1588"/>
        <w:tab w:val="clear" w:pos="1985"/>
        <w:tab w:val="left" w:pos="1134"/>
        <w:tab w:val="left" w:pos="1871"/>
        <w:tab w:val="left" w:pos="2268"/>
      </w:tabs>
      <w:jc w:val="left"/>
    </w:pPr>
    <w:rPr>
      <w:rFonts w:eastAsia="Malgun Gothic"/>
    </w:rPr>
  </w:style>
  <w:style w:type="character" w:customStyle="1" w:styleId="CommentTextChar">
    <w:name w:val="Comment Text Char"/>
    <w:basedOn w:val="DefaultParagraphFont"/>
    <w:link w:val="CommentText"/>
    <w:rsid w:val="00476035"/>
    <w:rPr>
      <w:rFonts w:eastAsia="Malgun Gothic"/>
      <w:sz w:val="24"/>
      <w:lang w:val="en-GB" w:eastAsia="en-US"/>
    </w:rPr>
  </w:style>
  <w:style w:type="character" w:customStyle="1" w:styleId="CommentSubjectChar">
    <w:name w:val="Comment Subject Char"/>
    <w:basedOn w:val="CommentTextChar"/>
    <w:link w:val="CommentSubject"/>
    <w:semiHidden/>
    <w:rsid w:val="00476035"/>
    <w:rPr>
      <w:rFonts w:eastAsia="Malgun Gothic"/>
      <w:b/>
      <w:bCs/>
      <w:sz w:val="24"/>
      <w:lang w:val="en-GB" w:eastAsia="en-US"/>
    </w:rPr>
  </w:style>
  <w:style w:type="paragraph" w:styleId="CommentSubject">
    <w:name w:val="annotation subject"/>
    <w:basedOn w:val="CommentText"/>
    <w:next w:val="CommentText"/>
    <w:link w:val="CommentSubjectChar"/>
    <w:semiHidden/>
    <w:unhideWhenUsed/>
    <w:rsid w:val="00476035"/>
    <w:rPr>
      <w:b/>
      <w:bCs/>
    </w:rPr>
  </w:style>
  <w:style w:type="character" w:customStyle="1" w:styleId="CommentSubjectChar1">
    <w:name w:val="Comment Subject Char1"/>
    <w:basedOn w:val="CommentTextChar"/>
    <w:semiHidden/>
    <w:rsid w:val="00476035"/>
    <w:rPr>
      <w:rFonts w:eastAsia="Malgun Gothic"/>
      <w:b/>
      <w:bCs/>
      <w:sz w:val="24"/>
      <w:lang w:val="en-GB" w:eastAsia="en-US"/>
    </w:rPr>
  </w:style>
  <w:style w:type="character" w:customStyle="1" w:styleId="1">
    <w:name w:val="批注主题 字符1"/>
    <w:basedOn w:val="CommentTextChar"/>
    <w:semiHidden/>
    <w:rsid w:val="00476035"/>
    <w:rPr>
      <w:rFonts w:ascii="Times New Roman" w:eastAsia="Malgun Gothic" w:hAnsi="Times New Roman"/>
      <w:b/>
      <w:bCs/>
      <w:sz w:val="24"/>
      <w:lang w:val="en-GB" w:eastAsia="en-US"/>
    </w:rPr>
  </w:style>
  <w:style w:type="paragraph" w:styleId="NormalWeb">
    <w:name w:val="Normal (Web)"/>
    <w:basedOn w:val="Normal"/>
    <w:uiPriority w:val="99"/>
    <w:unhideWhenUsed/>
    <w:rsid w:val="0047603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imSun" w:eastAsia="SimSun" w:hAnsi="SimSun" w:cs="SimSun"/>
      <w:szCs w:val="24"/>
      <w:lang w:val="en-US" w:eastAsia="zh-CN"/>
    </w:rPr>
  </w:style>
  <w:style w:type="character" w:customStyle="1" w:styleId="EndnoteTextChar">
    <w:name w:val="Endnote Text Char"/>
    <w:basedOn w:val="DefaultParagraphFont"/>
    <w:link w:val="EndnoteText"/>
    <w:semiHidden/>
    <w:rsid w:val="00476035"/>
    <w:rPr>
      <w:rFonts w:eastAsia="Malgun Gothic"/>
      <w:lang w:val="en-GB" w:eastAsia="en-US"/>
    </w:rPr>
  </w:style>
  <w:style w:type="paragraph" w:styleId="EndnoteText">
    <w:name w:val="endnote text"/>
    <w:basedOn w:val="Normal"/>
    <w:link w:val="EndnoteTextChar"/>
    <w:semiHidden/>
    <w:unhideWhenUsed/>
    <w:rsid w:val="00476035"/>
    <w:pPr>
      <w:tabs>
        <w:tab w:val="clear" w:pos="794"/>
        <w:tab w:val="clear" w:pos="1191"/>
        <w:tab w:val="clear" w:pos="1588"/>
        <w:tab w:val="clear" w:pos="1985"/>
        <w:tab w:val="left" w:pos="1134"/>
        <w:tab w:val="left" w:pos="1871"/>
        <w:tab w:val="left" w:pos="2268"/>
      </w:tabs>
      <w:spacing w:before="0"/>
      <w:jc w:val="left"/>
    </w:pPr>
    <w:rPr>
      <w:rFonts w:eastAsia="Malgun Gothic"/>
      <w:sz w:val="20"/>
    </w:rPr>
  </w:style>
  <w:style w:type="character" w:customStyle="1" w:styleId="EndnoteTextChar1">
    <w:name w:val="Endnote Text Char1"/>
    <w:basedOn w:val="DefaultParagraphFont"/>
    <w:semiHidden/>
    <w:rsid w:val="00476035"/>
    <w:rPr>
      <w:lang w:val="en-GB" w:eastAsia="en-US"/>
    </w:rPr>
  </w:style>
  <w:style w:type="character" w:customStyle="1" w:styleId="10">
    <w:name w:val="尾注文本 字符1"/>
    <w:basedOn w:val="DefaultParagraphFont"/>
    <w:semiHidden/>
    <w:rsid w:val="00476035"/>
    <w:rPr>
      <w:rFonts w:ascii="Times New Roman" w:hAnsi="Times New Roman"/>
      <w:sz w:val="24"/>
      <w:lang w:val="en-GB" w:eastAsia="en-US"/>
    </w:rPr>
  </w:style>
  <w:style w:type="paragraph" w:styleId="ListParagraph">
    <w:name w:val="List Paragraph"/>
    <w:basedOn w:val="Normal"/>
    <w:uiPriority w:val="34"/>
    <w:qFormat/>
    <w:rsid w:val="00476035"/>
    <w:pPr>
      <w:tabs>
        <w:tab w:val="clear" w:pos="794"/>
        <w:tab w:val="clear" w:pos="1191"/>
        <w:tab w:val="clear" w:pos="1588"/>
        <w:tab w:val="clear" w:pos="1985"/>
        <w:tab w:val="left" w:pos="1134"/>
        <w:tab w:val="left" w:pos="1871"/>
        <w:tab w:val="left" w:pos="2268"/>
      </w:tabs>
      <w:ind w:left="720"/>
      <w:contextualSpacing/>
      <w:jc w:val="left"/>
    </w:pPr>
    <w:rPr>
      <w:rFonts w:eastAsia="MS Mincho"/>
    </w:rPr>
  </w:style>
  <w:style w:type="paragraph" w:customStyle="1" w:styleId="Tablef">
    <w:name w:val="Table_f"/>
    <w:basedOn w:val="Tablefin"/>
    <w:rsid w:val="0047603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left"/>
    </w:pPr>
    <w:rPr>
      <w:rFonts w:eastAsia="MS Mincho"/>
      <w:lang w:val="de-DE" w:eastAsia="zh-CN"/>
    </w:rPr>
  </w:style>
  <w:style w:type="character" w:customStyle="1" w:styleId="Title1Carattere">
    <w:name w:val="Title 1 Carattere"/>
    <w:basedOn w:val="DefaultParagraphFont"/>
    <w:link w:val="Title1"/>
    <w:locked/>
    <w:rsid w:val="00476035"/>
    <w:rPr>
      <w:caps/>
      <w:sz w:val="28"/>
      <w:lang w:val="en-GB" w:eastAsia="en-US"/>
    </w:rPr>
  </w:style>
  <w:style w:type="character" w:customStyle="1" w:styleId="Tabletext0">
    <w:name w:val="Table_text (文字)"/>
    <w:rsid w:val="00476035"/>
    <w:rPr>
      <w:rFonts w:ascii="Times New Roman" w:hAnsi="Times New Roman"/>
      <w:lang w:val="en-GB" w:eastAsia="en-US"/>
    </w:rPr>
  </w:style>
  <w:style w:type="character" w:customStyle="1" w:styleId="EquationeqChar">
    <w:name w:val="Equation.eq Char"/>
    <w:basedOn w:val="DefaultParagraphFont"/>
    <w:link w:val="Equation"/>
    <w:rsid w:val="00476035"/>
    <w:rPr>
      <w:sz w:val="24"/>
      <w:lang w:val="en-GB" w:eastAsia="en-US"/>
    </w:rPr>
  </w:style>
  <w:style w:type="character" w:customStyle="1" w:styleId="AnnexNoTitleChar">
    <w:name w:val="Annex_NoTitle Char"/>
    <w:basedOn w:val="DefaultParagraphFont"/>
    <w:link w:val="AnnexNoTitle"/>
    <w:rsid w:val="006811FB"/>
    <w:rPr>
      <w:b/>
      <w:sz w:val="28"/>
      <w:lang w:val="en-GB" w:eastAsia="en-US"/>
    </w:rPr>
  </w:style>
  <w:style w:type="character" w:customStyle="1" w:styleId="Rectitle0">
    <w:name w:val="Rec_title Знак"/>
    <w:basedOn w:val="DefaultParagraphFont"/>
    <w:link w:val="Rectitle"/>
    <w:locked/>
    <w:rsid w:val="00476035"/>
    <w:rPr>
      <w:b/>
      <w:sz w:val="28"/>
      <w:lang w:val="en-GB" w:eastAsia="en-US"/>
    </w:rPr>
  </w:style>
  <w:style w:type="paragraph" w:customStyle="1" w:styleId="Normal-a">
    <w:name w:val="Normal-a"/>
    <w:basedOn w:val="Normal"/>
    <w:rsid w:val="00476035"/>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character" w:styleId="FollowedHyperlink">
    <w:name w:val="FollowedHyperlink"/>
    <w:basedOn w:val="DefaultParagraphFont"/>
    <w:semiHidden/>
    <w:unhideWhenUsed/>
    <w:rsid w:val="00476035"/>
    <w:rPr>
      <w:color w:val="800080" w:themeColor="followedHyperlink"/>
      <w:u w:val="single"/>
    </w:rPr>
  </w:style>
  <w:style w:type="character" w:customStyle="1" w:styleId="UnresolvedMention1">
    <w:name w:val="Unresolved Mention1"/>
    <w:basedOn w:val="DefaultParagraphFont"/>
    <w:uiPriority w:val="99"/>
    <w:semiHidden/>
    <w:unhideWhenUsed/>
    <w:rsid w:val="00476035"/>
    <w:rPr>
      <w:color w:val="605E5C"/>
      <w:shd w:val="clear" w:color="auto" w:fill="E1DFDD"/>
    </w:rPr>
  </w:style>
  <w:style w:type="paragraph" w:styleId="Revision">
    <w:name w:val="Revision"/>
    <w:hidden/>
    <w:uiPriority w:val="99"/>
    <w:semiHidden/>
    <w:rsid w:val="00476035"/>
    <w:rPr>
      <w:rFonts w:eastAsiaTheme="minorEastAsia"/>
      <w:sz w:val="24"/>
      <w:lang w:val="en-GB" w:eastAsia="en-US"/>
    </w:rPr>
  </w:style>
  <w:style w:type="character" w:styleId="CommentReference">
    <w:name w:val="annotation reference"/>
    <w:basedOn w:val="DefaultParagraphFont"/>
    <w:semiHidden/>
    <w:unhideWhenUsed/>
    <w:rsid w:val="00476035"/>
    <w:rPr>
      <w:sz w:val="18"/>
      <w:szCs w:val="18"/>
    </w:rPr>
  </w:style>
  <w:style w:type="paragraph" w:customStyle="1" w:styleId="StyleSectionNo14ptCenteredBefore24pt">
    <w:name w:val="Style Section_No + 14 pt Centered Before:  24 pt"/>
    <w:basedOn w:val="SectionNo"/>
    <w:rsid w:val="00476035"/>
    <w:pPr>
      <w:spacing w:before="480"/>
      <w:jc w:val="center"/>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rec/R-REC-M.1822/en" TargetMode="External"/><Relationship Id="rId21" Type="http://schemas.openxmlformats.org/officeDocument/2006/relationships/hyperlink" Target="http://www.itu.int/rec/R-REC-M.1457/en" TargetMode="External"/><Relationship Id="rId42" Type="http://schemas.openxmlformats.org/officeDocument/2006/relationships/image" Target="media/image9.png"/><Relationship Id="rId47" Type="http://schemas.openxmlformats.org/officeDocument/2006/relationships/image" Target="media/image14.png"/><Relationship Id="rId63" Type="http://schemas.openxmlformats.org/officeDocument/2006/relationships/hyperlink" Target="http://www.itu.int/rec/R-REC-M.1308/en" TargetMode="External"/><Relationship Id="rId68" Type="http://schemas.openxmlformats.org/officeDocument/2006/relationships/hyperlink" Target="http://www.itu.int/rec/R-REC-M.1581/en" TargetMode="External"/><Relationship Id="rId84" Type="http://schemas.openxmlformats.org/officeDocument/2006/relationships/hyperlink" Target="http://www.itu.int/pub/R-REP-M.2038" TargetMode="External"/><Relationship Id="rId89" Type="http://schemas.openxmlformats.org/officeDocument/2006/relationships/hyperlink" Target="http://www.itu.int/pub/R-REP-M.2019" TargetMode="External"/><Relationship Id="rId16" Type="http://schemas.openxmlformats.org/officeDocument/2006/relationships/hyperlink" Target="http://www.itu.int/rec/R-REC-M.2012/en" TargetMode="External"/><Relationship Id="rId11" Type="http://schemas.openxmlformats.org/officeDocument/2006/relationships/hyperlink" Target="https://www.itu.int/publ/R-REC/en" TargetMode="External"/><Relationship Id="rId32" Type="http://schemas.openxmlformats.org/officeDocument/2006/relationships/hyperlink" Target="http://www.itu.int/rec/R-REC-M.2071/en" TargetMode="External"/><Relationship Id="rId37" Type="http://schemas.openxmlformats.org/officeDocument/2006/relationships/hyperlink" Target="http://www.itu.int/rec/R-REC-M.2159/en" TargetMode="External"/><Relationship Id="rId53" Type="http://schemas.openxmlformats.org/officeDocument/2006/relationships/hyperlink" Target="http://www.itu.int/rec/R-REC-M.687/en" TargetMode="External"/><Relationship Id="rId58" Type="http://schemas.openxmlformats.org/officeDocument/2006/relationships/hyperlink" Target="http://www.itu.int/rec/R-REC-M.1034/en" TargetMode="External"/><Relationship Id="rId74" Type="http://schemas.openxmlformats.org/officeDocument/2006/relationships/hyperlink" Target="http://www.itu.int/rec/R-REC-M.2015/en" TargetMode="External"/><Relationship Id="rId79" Type="http://schemas.openxmlformats.org/officeDocument/2006/relationships/hyperlink" Target="http://www.itu.int/rec/R-REC-M.2150/en" TargetMode="External"/><Relationship Id="rId102" Type="http://schemas.openxmlformats.org/officeDocument/2006/relationships/header" Target="header5.xml"/><Relationship Id="rId5" Type="http://schemas.openxmlformats.org/officeDocument/2006/relationships/footnotes" Target="footnotes.xml"/><Relationship Id="rId90" Type="http://schemas.openxmlformats.org/officeDocument/2006/relationships/hyperlink" Target="http://www.itu.int/pub/R-REP-M.2011" TargetMode="External"/><Relationship Id="rId95" Type="http://schemas.openxmlformats.org/officeDocument/2006/relationships/hyperlink" Target="http://www.itu.int/pub/R-REP-BT.2337" TargetMode="External"/><Relationship Id="rId22" Type="http://schemas.openxmlformats.org/officeDocument/2006/relationships/hyperlink" Target="http://www.itu.int/rec/R-REC-M.2012/en" TargetMode="External"/><Relationship Id="rId27" Type="http://schemas.openxmlformats.org/officeDocument/2006/relationships/hyperlink" Target="http://www.itu.int/pub/R-REP-M.2038" TargetMode="External"/><Relationship Id="rId43" Type="http://schemas.openxmlformats.org/officeDocument/2006/relationships/image" Target="media/image10.png"/><Relationship Id="rId48" Type="http://schemas.openxmlformats.org/officeDocument/2006/relationships/image" Target="media/image15.png"/><Relationship Id="rId64" Type="http://schemas.openxmlformats.org/officeDocument/2006/relationships/hyperlink" Target="http://www.itu.int/rec/R-REC-M.1390/en" TargetMode="External"/><Relationship Id="rId69" Type="http://schemas.openxmlformats.org/officeDocument/2006/relationships/hyperlink" Target="http://www.itu.int/rec/R-REC-M.1645/en" TargetMode="External"/><Relationship Id="rId80" Type="http://schemas.openxmlformats.org/officeDocument/2006/relationships/hyperlink" Target="http://www.itu.int/rec/R-REC-M.2159/en" TargetMode="External"/><Relationship Id="rId85" Type="http://schemas.openxmlformats.org/officeDocument/2006/relationships/hyperlink" Target="http://www.itu.int/pub/R-REP-M.2041" TargetMode="External"/><Relationship Id="rId12" Type="http://schemas.openxmlformats.org/officeDocument/2006/relationships/header" Target="header3.xml"/><Relationship Id="rId17" Type="http://schemas.openxmlformats.org/officeDocument/2006/relationships/hyperlink" Target="http://www.itu.int/rec/R-REC-M.2150/en" TargetMode="External"/><Relationship Id="rId33" Type="http://schemas.openxmlformats.org/officeDocument/2006/relationships/image" Target="media/image4.png"/><Relationship Id="rId38" Type="http://schemas.openxmlformats.org/officeDocument/2006/relationships/image" Target="media/image6.png"/><Relationship Id="rId59" Type="http://schemas.openxmlformats.org/officeDocument/2006/relationships/hyperlink" Target="http://www.itu.int/rec/R-REC-M.1035/en" TargetMode="External"/><Relationship Id="rId103" Type="http://schemas.openxmlformats.org/officeDocument/2006/relationships/header" Target="header6.xml"/><Relationship Id="rId20" Type="http://schemas.openxmlformats.org/officeDocument/2006/relationships/hyperlink" Target="http://www.itu.int/rec/R-REC-M.2083/en" TargetMode="External"/><Relationship Id="rId41" Type="http://schemas.openxmlformats.org/officeDocument/2006/relationships/hyperlink" Target="http://www.itu.int/pub/R-REP-M.2045" TargetMode="External"/><Relationship Id="rId54" Type="http://schemas.openxmlformats.org/officeDocument/2006/relationships/hyperlink" Target="http://www.itu.int/rec/R-REC-M.816/en" TargetMode="External"/><Relationship Id="rId62" Type="http://schemas.openxmlformats.org/officeDocument/2006/relationships/hyperlink" Target="http://www.itu.int/rec/R-REC-M.1224/en" TargetMode="External"/><Relationship Id="rId70" Type="http://schemas.openxmlformats.org/officeDocument/2006/relationships/hyperlink" Target="http://www.itu.int/rec/R-REC-M.1768/en" TargetMode="External"/><Relationship Id="rId75" Type="http://schemas.openxmlformats.org/officeDocument/2006/relationships/hyperlink" Target="http://www.itu.int/rec/R-REC-M.2070/en" TargetMode="External"/><Relationship Id="rId83" Type="http://schemas.openxmlformats.org/officeDocument/2006/relationships/hyperlink" Target="http://www.itu.int/pub/R-REP-M.2031" TargetMode="External"/><Relationship Id="rId88" Type="http://schemas.openxmlformats.org/officeDocument/2006/relationships/hyperlink" Target="http://www.itu.int/pub/R-REP-M.2078" TargetMode="External"/><Relationship Id="rId91" Type="http://schemas.openxmlformats.org/officeDocument/2006/relationships/hyperlink" Target="http://www.itu.int/pub/R-REP-M.2113" TargetMode="External"/><Relationship Id="rId96" Type="http://schemas.openxmlformats.org/officeDocument/2006/relationships/hyperlink" Target="http://www.itu.int/pub/R-REP-BT.233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tu.int/rec/R-REC-M.1457/en" TargetMode="External"/><Relationship Id="rId23" Type="http://schemas.openxmlformats.org/officeDocument/2006/relationships/hyperlink" Target="http://www.itu.int/rec/R-REC-M.2150/en" TargetMode="External"/><Relationship Id="rId28" Type="http://schemas.openxmlformats.org/officeDocument/2006/relationships/image" Target="media/image3.png"/><Relationship Id="rId36" Type="http://schemas.openxmlformats.org/officeDocument/2006/relationships/hyperlink" Target="http://www.itu.int/rec/R-REC-M.2159/en" TargetMode="External"/><Relationship Id="rId49" Type="http://schemas.openxmlformats.org/officeDocument/2006/relationships/image" Target="media/image16.png"/><Relationship Id="rId57" Type="http://schemas.openxmlformats.org/officeDocument/2006/relationships/hyperlink" Target="http://www.itu.int/rec/R-REC-M.1033/en" TargetMode="External"/><Relationship Id="rId106" Type="http://schemas.openxmlformats.org/officeDocument/2006/relationships/theme" Target="theme/theme1.xml"/><Relationship Id="rId10" Type="http://schemas.openxmlformats.org/officeDocument/2006/relationships/hyperlink" Target="https://www.itu.int/en/ITU-R/study-groups/Pages/itu-r-patent-information.aspx" TargetMode="External"/><Relationship Id="rId31" Type="http://schemas.openxmlformats.org/officeDocument/2006/relationships/hyperlink" Target="http://www.itu.int/rec/R-REC-M.2070/en" TargetMode="External"/><Relationship Id="rId44" Type="http://schemas.openxmlformats.org/officeDocument/2006/relationships/image" Target="media/image11.png"/><Relationship Id="rId52" Type="http://schemas.openxmlformats.org/officeDocument/2006/relationships/hyperlink" Target="http://www.itu.int/rec/R-REC-SM.329/en" TargetMode="External"/><Relationship Id="rId60" Type="http://schemas.openxmlformats.org/officeDocument/2006/relationships/hyperlink" Target="http://www.itu.int/rec/R-REC-M.1073/en" TargetMode="External"/><Relationship Id="rId65" Type="http://schemas.openxmlformats.org/officeDocument/2006/relationships/hyperlink" Target="http://www.itu.int/rec/R-REC-M.1457/en" TargetMode="External"/><Relationship Id="rId73" Type="http://schemas.openxmlformats.org/officeDocument/2006/relationships/hyperlink" Target="http://www.itu.int/rec/R-REC-M.2012/en" TargetMode="External"/><Relationship Id="rId78" Type="http://schemas.openxmlformats.org/officeDocument/2006/relationships/hyperlink" Target="http://www.itu.int/rec/R-REC-M.2090/en" TargetMode="External"/><Relationship Id="rId81" Type="http://schemas.openxmlformats.org/officeDocument/2006/relationships/hyperlink" Target="http://www.itu.int/rec/R-REC-M.2160/en" TargetMode="External"/><Relationship Id="rId86" Type="http://schemas.openxmlformats.org/officeDocument/2006/relationships/hyperlink" Target="http://www.itu.int/pub/R-REP-M.2045" TargetMode="External"/><Relationship Id="rId94" Type="http://schemas.openxmlformats.org/officeDocument/2006/relationships/hyperlink" Target="http://www.itu.int/pub/R-REP-RS.2336" TargetMode="External"/><Relationship Id="rId99" Type="http://schemas.openxmlformats.org/officeDocument/2006/relationships/hyperlink" Target="http://www.itu.int/pub/R-REP-M.2375" TargetMode="External"/><Relationship Id="rId101" Type="http://schemas.openxmlformats.org/officeDocument/2006/relationships/hyperlink" Target="https://www.itu.int/pub/R-REP-M.2529"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www.itu.int/rec/R-REC-M.1645/en" TargetMode="External"/><Relationship Id="rId39" Type="http://schemas.openxmlformats.org/officeDocument/2006/relationships/image" Target="media/image7.png"/><Relationship Id="rId34" Type="http://schemas.openxmlformats.org/officeDocument/2006/relationships/hyperlink" Target="http://www.itu.int/rec/R-REC-M.2015/en" TargetMode="External"/><Relationship Id="rId50" Type="http://schemas.openxmlformats.org/officeDocument/2006/relationships/image" Target="media/image17.png"/><Relationship Id="rId55" Type="http://schemas.openxmlformats.org/officeDocument/2006/relationships/hyperlink" Target="http://www.itu.int/rec/R-REC-M.818/en" TargetMode="External"/><Relationship Id="rId76" Type="http://schemas.openxmlformats.org/officeDocument/2006/relationships/hyperlink" Target="http://www.itu.int/rec/R-REC-M.2071/en" TargetMode="External"/><Relationship Id="rId97" Type="http://schemas.openxmlformats.org/officeDocument/2006/relationships/hyperlink" Target="http://www.itu.int/pub/R-REP-S.2368" TargetMode="External"/><Relationship Id="rId104" Type="http://schemas.openxmlformats.org/officeDocument/2006/relationships/footer" Target="footer2.xml"/><Relationship Id="rId7" Type="http://schemas.openxmlformats.org/officeDocument/2006/relationships/header" Target="header1.xml"/><Relationship Id="rId71" Type="http://schemas.openxmlformats.org/officeDocument/2006/relationships/hyperlink" Target="http://www.itu.int/rec/R-REC-M.1797/en" TargetMode="External"/><Relationship Id="rId92" Type="http://schemas.openxmlformats.org/officeDocument/2006/relationships/hyperlink" Target="http://www.itu.int/pub/R-REP-M.2320" TargetMode="External"/><Relationship Id="rId2" Type="http://schemas.openxmlformats.org/officeDocument/2006/relationships/styles" Target="styles.xml"/><Relationship Id="rId29" Type="http://schemas.openxmlformats.org/officeDocument/2006/relationships/hyperlink" Target="http://www.itu.int/rec/R-REC-M.1580/en" TargetMode="External"/><Relationship Id="rId24" Type="http://schemas.openxmlformats.org/officeDocument/2006/relationships/hyperlink" Target="http://www.itu.int/pub/R-REP-M.2072" TargetMode="External"/><Relationship Id="rId40" Type="http://schemas.openxmlformats.org/officeDocument/2006/relationships/image" Target="media/image8.png"/><Relationship Id="rId45" Type="http://schemas.openxmlformats.org/officeDocument/2006/relationships/image" Target="media/image12.png"/><Relationship Id="rId66" Type="http://schemas.openxmlformats.org/officeDocument/2006/relationships/hyperlink" Target="http://www.itu.int/rec/R-REC-M.1579/en" TargetMode="External"/><Relationship Id="rId87" Type="http://schemas.openxmlformats.org/officeDocument/2006/relationships/hyperlink" Target="http://www.itu.int/pub/R-REP-M.2072" TargetMode="External"/><Relationship Id="rId61" Type="http://schemas.openxmlformats.org/officeDocument/2006/relationships/hyperlink" Target="http://www.itu.int/rec/R-REC-M.1167/en" TargetMode="External"/><Relationship Id="rId82" Type="http://schemas.openxmlformats.org/officeDocument/2006/relationships/hyperlink" Target="http://www.itu.int/pub/R-REP-M.2030" TargetMode="External"/><Relationship Id="rId19" Type="http://schemas.openxmlformats.org/officeDocument/2006/relationships/hyperlink" Target="http://www.itu.int/rec/R-REC-M.1822/en" TargetMode="External"/><Relationship Id="rId14" Type="http://schemas.openxmlformats.org/officeDocument/2006/relationships/hyperlink" Target="https://www.itu.int/pub/R-QUE-SG05.229" TargetMode="External"/><Relationship Id="rId30" Type="http://schemas.openxmlformats.org/officeDocument/2006/relationships/hyperlink" Target="http://www.itu.int/rec/R-REC-M.1581/en" TargetMode="External"/><Relationship Id="rId35" Type="http://schemas.openxmlformats.org/officeDocument/2006/relationships/image" Target="media/image5.png"/><Relationship Id="rId56" Type="http://schemas.openxmlformats.org/officeDocument/2006/relationships/hyperlink" Target="http://www.itu.int/rec/R-REC-M.819/en" TargetMode="External"/><Relationship Id="rId77" Type="http://schemas.openxmlformats.org/officeDocument/2006/relationships/hyperlink" Target="http://www.itu.int/rec/R-REC-M.2083/en" TargetMode="External"/><Relationship Id="rId100" Type="http://schemas.openxmlformats.org/officeDocument/2006/relationships/hyperlink" Target="https://www.itu.int/pub/R-REP-M.2481" TargetMode="External"/><Relationship Id="rId105"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18.png"/><Relationship Id="rId72" Type="http://schemas.openxmlformats.org/officeDocument/2006/relationships/hyperlink" Target="http://www.itu.int/rec/R-REC-M.1822/en" TargetMode="External"/><Relationship Id="rId93" Type="http://schemas.openxmlformats.org/officeDocument/2006/relationships/hyperlink" Target="http://www.itu.int/pub/R-REP-M.2324" TargetMode="External"/><Relationship Id="rId98" Type="http://schemas.openxmlformats.org/officeDocument/2006/relationships/hyperlink" Target="http://www.itu.int/pub/R-REP-M.2374" TargetMode="External"/><Relationship Id="rId3" Type="http://schemas.openxmlformats.org/officeDocument/2006/relationships/settings" Target="settings.xml"/><Relationship Id="rId25" Type="http://schemas.openxmlformats.org/officeDocument/2006/relationships/hyperlink" Target="http://www.itu.int/pub/R-REP-M.2078" TargetMode="External"/><Relationship Id="rId46" Type="http://schemas.openxmlformats.org/officeDocument/2006/relationships/image" Target="media/image13.png"/><Relationship Id="rId67" Type="http://schemas.openxmlformats.org/officeDocument/2006/relationships/hyperlink" Target="http://www.itu.int/rec/R-REC-M.1580/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tu.int/dms_pub/itu-r/md/19/ra19/c/R19-RA19-C-0084!!MSW-E.docx" TargetMode="External"/><Relationship Id="rId1" Type="http://schemas.openxmlformats.org/officeDocument/2006/relationships/hyperlink" Target="https://www.itu.int/pub/R-RES-R.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OneDrive%20-%20ITU\Document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171</TotalTime>
  <Pages>31</Pages>
  <Words>7196</Words>
  <Characters>45954</Characters>
  <Application>Microsoft Office Word</Application>
  <DocSecurity>0</DocSecurity>
  <Lines>685</Lines>
  <Paragraphs>174</Paragraphs>
  <ScaleCrop>false</ScaleCrop>
  <HeadingPairs>
    <vt:vector size="2" baseType="variant">
      <vt:variant>
        <vt:lpstr>Title</vt:lpstr>
      </vt:variant>
      <vt:variant>
        <vt:i4>1</vt:i4>
      </vt:variant>
    </vt:vector>
  </HeadingPairs>
  <TitlesOfParts>
    <vt:vector size="1" baseType="lpstr">
      <vt:lpstr>Recommendation ITU-R M.1036-8 (02/2026) Frequency arrangements for implementation of the terrestrial component of International Mobile Telecommunications in the bands identified for IMT in the Radio Regulations</vt:lpstr>
    </vt:vector>
  </TitlesOfParts>
  <Manager/>
  <Company>ITU</Company>
  <LinksUpToDate>false</LinksUpToDate>
  <CharactersWithSpaces>52976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M.1036-8 (02/2026) Frequency arrangements for implementation of the terrestrial component of International Mobile Telecommunications in the bands identified for IMT in the Radio Regulations</dc:title>
  <dc:subject/>
  <dc:creator>Gachet, Christelle</dc:creator>
  <cp:keywords>IMT, frequency arrangements, terrestrial component of IMT</cp:keywords>
  <dc:description/>
  <cp:lastModifiedBy>Gachet, Christelle</cp:lastModifiedBy>
  <cp:revision>24</cp:revision>
  <cp:lastPrinted>2026-03-12T10:15:00Z</cp:lastPrinted>
  <dcterms:created xsi:type="dcterms:W3CDTF">2026-02-19T06:47:00Z</dcterms:created>
  <dcterms:modified xsi:type="dcterms:W3CDTF">2026-03-12T10:16:00Z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