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B106" w14:textId="77777777" w:rsidR="00FE79FE" w:rsidRPr="00140923" w:rsidRDefault="00FE79FE">
      <w:pPr>
        <w:rPr>
          <w:lang w:val="es-ES_tradnl"/>
        </w:rPr>
      </w:pPr>
    </w:p>
    <w:p w14:paraId="43DCF797" w14:textId="77777777" w:rsidR="00013002" w:rsidRPr="00140923" w:rsidRDefault="00013002" w:rsidP="00DE5556">
      <w:pPr>
        <w:tabs>
          <w:tab w:val="clear" w:pos="794"/>
          <w:tab w:val="clear" w:pos="1191"/>
          <w:tab w:val="clear" w:pos="1588"/>
          <w:tab w:val="clear" w:pos="1985"/>
        </w:tabs>
        <w:rPr>
          <w:lang w:val="es-ES_tradnl"/>
        </w:rPr>
      </w:pPr>
    </w:p>
    <w:p w14:paraId="0F132F7B" w14:textId="7F22D1DA" w:rsidR="00D5024B" w:rsidRPr="00140923" w:rsidRDefault="00D5024B" w:rsidP="00D5024B">
      <w:pPr>
        <w:pStyle w:val="CoverNumber"/>
        <w:rPr>
          <w:lang w:val="es-ES_tradnl"/>
        </w:rPr>
      </w:pPr>
      <w:r w:rsidRPr="00140923">
        <w:rPr>
          <w:lang w:val="es-ES_tradnl"/>
        </w:rPr>
        <w:t>Recom</w:t>
      </w:r>
      <w:r w:rsidR="0069322D" w:rsidRPr="00140923">
        <w:rPr>
          <w:lang w:val="es-ES_tradnl"/>
        </w:rPr>
        <w:t>e</w:t>
      </w:r>
      <w:r w:rsidRPr="00140923">
        <w:rPr>
          <w:lang w:val="es-ES_tradnl"/>
        </w:rPr>
        <w:t>nda</w:t>
      </w:r>
      <w:r w:rsidR="0069322D" w:rsidRPr="00140923">
        <w:rPr>
          <w:lang w:val="es-ES_tradnl"/>
        </w:rPr>
        <w:t>c</w:t>
      </w:r>
      <w:r w:rsidRPr="00140923">
        <w:rPr>
          <w:lang w:val="es-ES_tradnl"/>
        </w:rPr>
        <w:t>i</w:t>
      </w:r>
      <w:r w:rsidR="0069322D" w:rsidRPr="00140923">
        <w:rPr>
          <w:lang w:val="es-ES_tradnl"/>
        </w:rPr>
        <w:t>ó</w:t>
      </w:r>
      <w:r w:rsidRPr="00140923">
        <w:rPr>
          <w:lang w:val="es-ES_tradnl"/>
        </w:rPr>
        <w:t xml:space="preserve">n </w:t>
      </w:r>
      <w:r w:rsidR="007624B1" w:rsidRPr="00140923">
        <w:rPr>
          <w:lang w:val="es-ES_tradnl"/>
        </w:rPr>
        <w:t>U</w:t>
      </w:r>
      <w:r w:rsidRPr="00140923">
        <w:rPr>
          <w:lang w:val="es-ES_tradnl"/>
        </w:rPr>
        <w:t xml:space="preserve">IT-R </w:t>
      </w:r>
      <w:r w:rsidR="000246E0" w:rsidRPr="00140923">
        <w:rPr>
          <w:lang w:val="es-ES_tradnl"/>
        </w:rPr>
        <w:t>F</w:t>
      </w:r>
      <w:r w:rsidRPr="00140923">
        <w:rPr>
          <w:lang w:val="es-ES_tradnl"/>
        </w:rPr>
        <w:t>.</w:t>
      </w:r>
      <w:r w:rsidR="002B37E9" w:rsidRPr="00140923">
        <w:rPr>
          <w:lang w:val="es-ES_tradnl"/>
        </w:rPr>
        <w:t>758-8</w:t>
      </w:r>
    </w:p>
    <w:p w14:paraId="6E112A11" w14:textId="686BD524" w:rsidR="00D5024B" w:rsidRPr="00140923" w:rsidRDefault="00D5024B" w:rsidP="00D5024B">
      <w:pPr>
        <w:pStyle w:val="CoverDate"/>
        <w:rPr>
          <w:lang w:val="es-ES_tradnl"/>
        </w:rPr>
      </w:pPr>
      <w:r w:rsidRPr="00140923">
        <w:rPr>
          <w:lang w:val="es-ES_tradnl"/>
        </w:rPr>
        <w:t>(</w:t>
      </w:r>
      <w:r w:rsidR="002B37E9" w:rsidRPr="00140923">
        <w:rPr>
          <w:lang w:val="es-ES_tradnl"/>
        </w:rPr>
        <w:t>02</w:t>
      </w:r>
      <w:r w:rsidRPr="00140923">
        <w:rPr>
          <w:lang w:val="es-ES_tradnl"/>
        </w:rPr>
        <w:t>/</w:t>
      </w:r>
      <w:r w:rsidR="002B37E9" w:rsidRPr="00140923">
        <w:rPr>
          <w:lang w:val="es-ES_tradnl"/>
        </w:rPr>
        <w:t>2025</w:t>
      </w:r>
      <w:r w:rsidRPr="00140923">
        <w:rPr>
          <w:lang w:val="es-ES_tradnl"/>
        </w:rPr>
        <w:t>)</w:t>
      </w:r>
    </w:p>
    <w:p w14:paraId="2387CAB5" w14:textId="77777777" w:rsidR="00D5024B" w:rsidRPr="00A634FE" w:rsidRDefault="00A25EE2" w:rsidP="00A634FE">
      <w:pPr>
        <w:pStyle w:val="CoverSeries"/>
      </w:pPr>
      <w:r w:rsidRPr="00A634FE">
        <w:t>S</w:t>
      </w:r>
      <w:r w:rsidR="0069322D" w:rsidRPr="00A634FE">
        <w:t>e</w:t>
      </w:r>
      <w:r w:rsidRPr="00A634FE">
        <w:t xml:space="preserve">rie </w:t>
      </w:r>
      <w:r w:rsidR="000246E0" w:rsidRPr="00A634FE">
        <w:t>F</w:t>
      </w:r>
      <w:r w:rsidR="00D5024B" w:rsidRPr="00A634FE">
        <w:t xml:space="preserve">: </w:t>
      </w:r>
      <w:r w:rsidR="000246E0" w:rsidRPr="00A634FE">
        <w:t>Servicio fijo</w:t>
      </w:r>
    </w:p>
    <w:p w14:paraId="42BDAF22" w14:textId="46944B79" w:rsidR="00FE79FE" w:rsidRPr="00140923" w:rsidRDefault="002B37E9" w:rsidP="00A634FE">
      <w:pPr>
        <w:pStyle w:val="CoverTitle"/>
      </w:pPr>
      <w:r w:rsidRPr="00140923">
        <w:t>Parámetros de sistema y consideraciones relativas a la elaboración de criterios para la compartición o la compatibilidad entre los sistemas inalámbricos fijos digitales del servicio fijo y sistemas de otros servicios y otras fuentes de interferencia</w:t>
      </w:r>
    </w:p>
    <w:p w14:paraId="01F48558" w14:textId="77777777" w:rsidR="00A71FE5" w:rsidRPr="00140923" w:rsidRDefault="00A71FE5" w:rsidP="005373E0">
      <w:pPr>
        <w:rPr>
          <w:lang w:val="es-ES_tradnl"/>
        </w:rPr>
      </w:pPr>
    </w:p>
    <w:p w14:paraId="1CAC3A37" w14:textId="77777777" w:rsidR="00EE47C4" w:rsidRPr="00140923" w:rsidRDefault="00EE47C4" w:rsidP="005373E0">
      <w:pPr>
        <w:rPr>
          <w:lang w:val="es-ES_tradnl"/>
        </w:rPr>
        <w:sectPr w:rsidR="00EE47C4" w:rsidRPr="00140923"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16422122" w14:textId="77777777" w:rsidR="0069322D" w:rsidRPr="00140923"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140923">
        <w:rPr>
          <w:bCs/>
          <w:sz w:val="24"/>
          <w:szCs w:val="24"/>
          <w:lang w:val="es-ES_tradnl"/>
        </w:rPr>
        <w:lastRenderedPageBreak/>
        <w:t>Prólogo</w:t>
      </w:r>
    </w:p>
    <w:p w14:paraId="01FDD4F8" w14:textId="77777777" w:rsidR="0069322D" w:rsidRPr="00140923" w:rsidRDefault="0069322D" w:rsidP="0069322D">
      <w:pPr>
        <w:spacing w:before="180"/>
        <w:rPr>
          <w:sz w:val="20"/>
          <w:lang w:val="es-ES_tradnl"/>
        </w:rPr>
      </w:pPr>
      <w:r w:rsidRPr="00140923">
        <w:rPr>
          <w:sz w:val="20"/>
          <w:lang w:val="es-ES_tradnl"/>
        </w:rPr>
        <w:t>El Sector de Radiocomunicaciones tiene como cometido garantizar la utilización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01DFE9BE" w14:textId="77777777" w:rsidR="0069322D" w:rsidRPr="00140923" w:rsidRDefault="0069322D" w:rsidP="0069322D">
      <w:pPr>
        <w:rPr>
          <w:sz w:val="20"/>
          <w:lang w:val="es-ES_tradnl"/>
        </w:rPr>
      </w:pPr>
      <w:r w:rsidRPr="00140923">
        <w:rPr>
          <w:sz w:val="20"/>
          <w:lang w:val="es-ES_tradnl"/>
        </w:rPr>
        <w:t>Las Conferencias Mundiales y Regionales de Radiocomunicaciones y las Asambleas de Radiocomunicaciones, con la colaboración de las Comisiones de Estudio, cumplen las funciones reglamentarias y políticas del Sector de Radiocomunicaciones.</w:t>
      </w:r>
    </w:p>
    <w:p w14:paraId="0616C19F" w14:textId="77777777" w:rsidR="0069322D" w:rsidRPr="00140923" w:rsidRDefault="0069322D" w:rsidP="0069322D">
      <w:pPr>
        <w:pStyle w:val="Heading1"/>
        <w:spacing w:before="340"/>
        <w:jc w:val="center"/>
        <w:rPr>
          <w:szCs w:val="24"/>
          <w:lang w:val="es-ES_tradnl"/>
        </w:rPr>
      </w:pPr>
      <w:r w:rsidRPr="00140923">
        <w:rPr>
          <w:lang w:val="es-ES_tradnl"/>
        </w:rPr>
        <w:t>Política sobre Derechos de Propiedad Intelectual</w:t>
      </w:r>
      <w:r w:rsidRPr="00140923">
        <w:rPr>
          <w:szCs w:val="24"/>
          <w:lang w:val="es-ES_tradnl"/>
        </w:rPr>
        <w:t xml:space="preserve"> (IPR)</w:t>
      </w:r>
    </w:p>
    <w:p w14:paraId="320E9F97" w14:textId="21E7B6E1" w:rsidR="0069322D" w:rsidRPr="00140923" w:rsidRDefault="0069322D" w:rsidP="0069322D">
      <w:pPr>
        <w:spacing w:before="180"/>
        <w:rPr>
          <w:sz w:val="20"/>
          <w:lang w:val="es-ES_tradnl"/>
        </w:rPr>
      </w:pPr>
      <w:r w:rsidRPr="00140923">
        <w:rPr>
          <w:sz w:val="20"/>
          <w:lang w:val="es-ES_tradnl"/>
        </w:rPr>
        <w:t>La política del UIT</w:t>
      </w:r>
      <w:r w:rsidRPr="00140923">
        <w:rPr>
          <w:sz w:val="20"/>
          <w:lang w:val="es-ES_tradnl"/>
        </w:rPr>
        <w:noBreakHyphen/>
        <w:t>R sobre Derechos de Propiedad Intelectual se describe en la Política Común de Patentes UIT</w:t>
      </w:r>
      <w:r w:rsidRPr="00140923">
        <w:rPr>
          <w:sz w:val="20"/>
          <w:lang w:val="es-ES_tradnl"/>
        </w:rPr>
        <w:noBreakHyphen/>
        <w:t>T/UIT</w:t>
      </w:r>
      <w:r w:rsidRPr="00140923">
        <w:rPr>
          <w:sz w:val="20"/>
          <w:lang w:val="es-ES_tradnl"/>
        </w:rPr>
        <w:noBreakHyphen/>
        <w:t>R/ISO/CEI a la que se hace referencia en la Resolución UIT</w:t>
      </w:r>
      <w:r w:rsidRPr="00140923">
        <w:rPr>
          <w:sz w:val="20"/>
          <w:lang w:val="es-ES_tradnl"/>
        </w:rPr>
        <w:noBreakHyphen/>
        <w:t xml:space="preserve">R 1. Los formularios que deben utilizarse en la declaración sobre patentes y utilización de patentes por los titulares de las mismas figuran en la dirección web </w:t>
      </w:r>
      <w:hyperlink r:id="rId10" w:history="1">
        <w:r w:rsidRPr="00140923">
          <w:rPr>
            <w:rStyle w:val="Hyperlink"/>
            <w:sz w:val="20"/>
            <w:lang w:val="es-ES_tradnl"/>
          </w:rPr>
          <w:t>http</w:t>
        </w:r>
        <w:r w:rsidR="00B758CE">
          <w:rPr>
            <w:rStyle w:val="Hyperlink"/>
            <w:sz w:val="20"/>
            <w:lang w:val="es-ES_tradnl"/>
          </w:rPr>
          <w:t>s</w:t>
        </w:r>
        <w:r w:rsidRPr="00140923">
          <w:rPr>
            <w:rStyle w:val="Hyperlink"/>
            <w:sz w:val="20"/>
            <w:lang w:val="es-ES_tradnl"/>
          </w:rPr>
          <w:t>://www.itu.int/ITU-R/go/patents/es</w:t>
        </w:r>
      </w:hyperlink>
      <w:r w:rsidRPr="00140923">
        <w:rPr>
          <w:sz w:val="20"/>
          <w:lang w:val="es-ES_tradnl"/>
        </w:rPr>
        <w:t>, donde también aparecen las Directrices para la implementación de la Política Común de Patentes UIT</w:t>
      </w:r>
      <w:r w:rsidRPr="00140923">
        <w:rPr>
          <w:sz w:val="20"/>
          <w:lang w:val="es-ES_tradnl"/>
        </w:rPr>
        <w:noBreakHyphen/>
        <w:t>T/UIT</w:t>
      </w:r>
      <w:r w:rsidRPr="00140923">
        <w:rPr>
          <w:sz w:val="20"/>
          <w:lang w:val="es-ES_tradnl"/>
        </w:rPr>
        <w:noBreakHyphen/>
        <w:t>R/ISO/CEI y la base de datos sobre información de patentes del UIT</w:t>
      </w:r>
      <w:r w:rsidRPr="00140923">
        <w:rPr>
          <w:sz w:val="20"/>
          <w:lang w:val="es-ES_tradnl"/>
        </w:rPr>
        <w:noBreakHyphen/>
        <w:t>R sobre este asunto.</w:t>
      </w:r>
    </w:p>
    <w:p w14:paraId="760D23DB" w14:textId="77777777" w:rsidR="0069322D" w:rsidRPr="00140923" w:rsidRDefault="0069322D" w:rsidP="0069322D">
      <w:pPr>
        <w:spacing w:before="0"/>
        <w:jc w:val="center"/>
        <w:rPr>
          <w:sz w:val="22"/>
          <w:lang w:val="es-ES_tradnl"/>
        </w:rPr>
      </w:pPr>
    </w:p>
    <w:p w14:paraId="71257DEE" w14:textId="77777777" w:rsidR="0069322D" w:rsidRPr="00140923"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140923" w14:paraId="445378D1" w14:textId="77777777" w:rsidTr="0069322D">
        <w:tc>
          <w:tcPr>
            <w:tcW w:w="9360" w:type="dxa"/>
            <w:gridSpan w:val="2"/>
          </w:tcPr>
          <w:p w14:paraId="465D1550" w14:textId="77777777" w:rsidR="0069322D" w:rsidRPr="00140923"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140923">
              <w:rPr>
                <w:sz w:val="22"/>
                <w:szCs w:val="22"/>
                <w:lang w:val="es-ES_tradnl"/>
              </w:rPr>
              <w:t xml:space="preserve">Series de las Recomendaciones UIT-R </w:t>
            </w:r>
          </w:p>
          <w:p w14:paraId="7C076FA8" w14:textId="77777777" w:rsidR="0069322D" w:rsidRPr="0014092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140923">
              <w:rPr>
                <w:b w:val="0"/>
                <w:sz w:val="18"/>
                <w:szCs w:val="18"/>
                <w:lang w:val="es-ES_tradnl"/>
              </w:rPr>
              <w:t xml:space="preserve">(También disponible en línea en </w:t>
            </w:r>
            <w:hyperlink r:id="rId11" w:history="1">
              <w:r w:rsidR="00B96572" w:rsidRPr="00140923">
                <w:rPr>
                  <w:rStyle w:val="Hyperlink"/>
                  <w:b w:val="0"/>
                  <w:bCs/>
                  <w:sz w:val="18"/>
                  <w:szCs w:val="18"/>
                  <w:lang w:val="es-ES_tradnl"/>
                </w:rPr>
                <w:t>https://www.itu.int/publ/R-REC/es</w:t>
              </w:r>
            </w:hyperlink>
            <w:r w:rsidRPr="00140923">
              <w:rPr>
                <w:b w:val="0"/>
                <w:bCs/>
                <w:sz w:val="18"/>
                <w:szCs w:val="18"/>
                <w:lang w:val="es-ES_tradnl"/>
              </w:rPr>
              <w:t>)</w:t>
            </w:r>
          </w:p>
        </w:tc>
      </w:tr>
      <w:tr w:rsidR="0069322D" w:rsidRPr="00140923" w14:paraId="22EE98B3" w14:textId="77777777" w:rsidTr="00B96572">
        <w:tc>
          <w:tcPr>
            <w:tcW w:w="1140" w:type="dxa"/>
            <w:tcBorders>
              <w:bottom w:val="nil"/>
            </w:tcBorders>
            <w:vAlign w:val="bottom"/>
          </w:tcPr>
          <w:p w14:paraId="514EBC45" w14:textId="77777777" w:rsidR="0069322D" w:rsidRPr="00140923" w:rsidRDefault="0069322D" w:rsidP="00B96572">
            <w:pPr>
              <w:spacing w:before="180" w:after="100"/>
              <w:ind w:left="57"/>
              <w:jc w:val="left"/>
              <w:rPr>
                <w:b/>
                <w:bCs/>
                <w:sz w:val="20"/>
                <w:lang w:val="es-ES_tradnl"/>
              </w:rPr>
            </w:pPr>
            <w:r w:rsidRPr="00140923">
              <w:rPr>
                <w:b/>
                <w:bCs/>
                <w:sz w:val="20"/>
                <w:lang w:val="es-ES_tradnl"/>
              </w:rPr>
              <w:t>Series</w:t>
            </w:r>
          </w:p>
        </w:tc>
        <w:tc>
          <w:tcPr>
            <w:tcW w:w="8220" w:type="dxa"/>
            <w:tcBorders>
              <w:bottom w:val="nil"/>
            </w:tcBorders>
            <w:vAlign w:val="bottom"/>
          </w:tcPr>
          <w:p w14:paraId="549994CE" w14:textId="77777777" w:rsidR="0069322D" w:rsidRPr="0014092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s-ES_tradnl"/>
              </w:rPr>
            </w:pPr>
            <w:r w:rsidRPr="00140923">
              <w:rPr>
                <w:bCs/>
                <w:sz w:val="20"/>
                <w:lang w:val="es-ES_tradnl"/>
              </w:rPr>
              <w:t>Título</w:t>
            </w:r>
          </w:p>
        </w:tc>
      </w:tr>
      <w:tr w:rsidR="0069322D" w:rsidRPr="00140923" w14:paraId="0650FED1" w14:textId="77777777" w:rsidTr="0069322D">
        <w:tc>
          <w:tcPr>
            <w:tcW w:w="1140" w:type="dxa"/>
            <w:tcBorders>
              <w:top w:val="nil"/>
              <w:bottom w:val="nil"/>
            </w:tcBorders>
            <w:shd w:val="clear" w:color="auto" w:fill="auto"/>
          </w:tcPr>
          <w:p w14:paraId="3664DA27" w14:textId="77777777" w:rsidR="0069322D" w:rsidRPr="00140923" w:rsidRDefault="0069322D" w:rsidP="000B4BD9">
            <w:pPr>
              <w:spacing w:before="30" w:after="30"/>
              <w:ind w:left="57"/>
              <w:jc w:val="left"/>
              <w:rPr>
                <w:b/>
                <w:bCs/>
                <w:sz w:val="20"/>
                <w:lang w:val="es-ES_tradnl"/>
              </w:rPr>
            </w:pPr>
            <w:r w:rsidRPr="00140923">
              <w:rPr>
                <w:b/>
                <w:bCs/>
                <w:sz w:val="20"/>
                <w:lang w:val="es-ES_tradnl"/>
              </w:rPr>
              <w:t>BO</w:t>
            </w:r>
          </w:p>
        </w:tc>
        <w:tc>
          <w:tcPr>
            <w:tcW w:w="8220" w:type="dxa"/>
            <w:tcBorders>
              <w:top w:val="nil"/>
              <w:bottom w:val="nil"/>
            </w:tcBorders>
            <w:shd w:val="clear" w:color="auto" w:fill="auto"/>
          </w:tcPr>
          <w:p w14:paraId="5611DCD0" w14:textId="77777777" w:rsidR="0069322D" w:rsidRPr="0014092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140923">
              <w:rPr>
                <w:b w:val="0"/>
                <w:sz w:val="20"/>
                <w:lang w:val="es-ES_tradnl"/>
              </w:rPr>
              <w:t>Distribución por satélite</w:t>
            </w:r>
          </w:p>
        </w:tc>
      </w:tr>
      <w:tr w:rsidR="0069322D" w:rsidRPr="00140923" w14:paraId="4C9B7EE8" w14:textId="77777777" w:rsidTr="0069322D">
        <w:tc>
          <w:tcPr>
            <w:tcW w:w="1140" w:type="dxa"/>
            <w:tcBorders>
              <w:top w:val="nil"/>
              <w:bottom w:val="nil"/>
            </w:tcBorders>
            <w:shd w:val="clear" w:color="auto" w:fill="auto"/>
          </w:tcPr>
          <w:p w14:paraId="6C4C56F0" w14:textId="77777777" w:rsidR="0069322D" w:rsidRPr="00140923" w:rsidRDefault="0069322D" w:rsidP="000B4BD9">
            <w:pPr>
              <w:spacing w:before="30" w:after="30"/>
              <w:ind w:left="57"/>
              <w:jc w:val="left"/>
              <w:rPr>
                <w:b/>
                <w:bCs/>
                <w:sz w:val="20"/>
                <w:lang w:val="es-ES_tradnl"/>
              </w:rPr>
            </w:pPr>
            <w:r w:rsidRPr="00140923">
              <w:rPr>
                <w:b/>
                <w:bCs/>
                <w:sz w:val="20"/>
                <w:lang w:val="es-ES_tradnl"/>
              </w:rPr>
              <w:t>BR</w:t>
            </w:r>
          </w:p>
        </w:tc>
        <w:tc>
          <w:tcPr>
            <w:tcW w:w="8220" w:type="dxa"/>
            <w:tcBorders>
              <w:top w:val="nil"/>
              <w:bottom w:val="nil"/>
            </w:tcBorders>
            <w:shd w:val="clear" w:color="auto" w:fill="auto"/>
          </w:tcPr>
          <w:p w14:paraId="47B02C2C" w14:textId="77777777" w:rsidR="0069322D" w:rsidRPr="0014092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140923">
              <w:rPr>
                <w:b w:val="0"/>
                <w:sz w:val="20"/>
                <w:lang w:val="es-ES_tradnl"/>
              </w:rPr>
              <w:t>Registro para producción, archivo y reproducción; películas en televisión</w:t>
            </w:r>
          </w:p>
        </w:tc>
      </w:tr>
      <w:tr w:rsidR="0069322D" w:rsidRPr="00140923" w14:paraId="1BE3A6F4" w14:textId="77777777" w:rsidTr="0069322D">
        <w:tc>
          <w:tcPr>
            <w:tcW w:w="1140" w:type="dxa"/>
            <w:tcBorders>
              <w:top w:val="nil"/>
              <w:bottom w:val="nil"/>
            </w:tcBorders>
            <w:shd w:val="clear" w:color="auto" w:fill="auto"/>
          </w:tcPr>
          <w:p w14:paraId="04606BD8" w14:textId="77777777" w:rsidR="0069322D" w:rsidRPr="00140923" w:rsidRDefault="0069322D" w:rsidP="000B4BD9">
            <w:pPr>
              <w:spacing w:before="30" w:after="30"/>
              <w:ind w:left="57"/>
              <w:jc w:val="left"/>
              <w:rPr>
                <w:b/>
                <w:bCs/>
                <w:sz w:val="20"/>
                <w:lang w:val="es-ES_tradnl"/>
              </w:rPr>
            </w:pPr>
            <w:r w:rsidRPr="00140923">
              <w:rPr>
                <w:b/>
                <w:bCs/>
                <w:sz w:val="20"/>
                <w:lang w:val="es-ES_tradnl"/>
              </w:rPr>
              <w:t>BS</w:t>
            </w:r>
          </w:p>
        </w:tc>
        <w:tc>
          <w:tcPr>
            <w:tcW w:w="8220" w:type="dxa"/>
            <w:tcBorders>
              <w:top w:val="nil"/>
              <w:bottom w:val="nil"/>
            </w:tcBorders>
            <w:shd w:val="clear" w:color="auto" w:fill="auto"/>
          </w:tcPr>
          <w:p w14:paraId="0215DD9E" w14:textId="77777777" w:rsidR="0069322D" w:rsidRPr="0014092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140923">
              <w:rPr>
                <w:b w:val="0"/>
                <w:bCs/>
                <w:sz w:val="20"/>
                <w:lang w:val="es-ES_tradnl"/>
              </w:rPr>
              <w:t>Servicio de radiodifusión (sonora)</w:t>
            </w:r>
          </w:p>
        </w:tc>
      </w:tr>
      <w:tr w:rsidR="0069322D" w:rsidRPr="00140923" w14:paraId="44C8CD5D" w14:textId="77777777" w:rsidTr="000246E0">
        <w:tc>
          <w:tcPr>
            <w:tcW w:w="1140" w:type="dxa"/>
            <w:tcBorders>
              <w:top w:val="nil"/>
              <w:bottom w:val="nil"/>
            </w:tcBorders>
            <w:shd w:val="clear" w:color="auto" w:fill="auto"/>
          </w:tcPr>
          <w:p w14:paraId="0788AD19" w14:textId="77777777" w:rsidR="0069322D" w:rsidRPr="00140923" w:rsidRDefault="0069322D" w:rsidP="000B4BD9">
            <w:pPr>
              <w:spacing w:before="30" w:after="30"/>
              <w:ind w:left="57"/>
              <w:jc w:val="left"/>
              <w:rPr>
                <w:b/>
                <w:bCs/>
                <w:sz w:val="20"/>
                <w:lang w:val="es-ES_tradnl"/>
              </w:rPr>
            </w:pPr>
            <w:r w:rsidRPr="00140923">
              <w:rPr>
                <w:b/>
                <w:bCs/>
                <w:sz w:val="20"/>
                <w:lang w:val="es-ES_tradnl"/>
              </w:rPr>
              <w:t>BT</w:t>
            </w:r>
          </w:p>
        </w:tc>
        <w:tc>
          <w:tcPr>
            <w:tcW w:w="8220" w:type="dxa"/>
            <w:tcBorders>
              <w:top w:val="nil"/>
              <w:bottom w:val="nil"/>
            </w:tcBorders>
            <w:shd w:val="clear" w:color="auto" w:fill="auto"/>
          </w:tcPr>
          <w:p w14:paraId="21654305" w14:textId="77777777" w:rsidR="0069322D" w:rsidRPr="0014092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s-ES_tradnl"/>
              </w:rPr>
            </w:pPr>
            <w:r w:rsidRPr="00140923">
              <w:rPr>
                <w:b w:val="0"/>
                <w:bCs/>
                <w:sz w:val="20"/>
                <w:lang w:val="es-ES_tradnl"/>
              </w:rPr>
              <w:t>Servicio de radiodifusión (televisión)</w:t>
            </w:r>
          </w:p>
        </w:tc>
      </w:tr>
      <w:tr w:rsidR="000246E0" w:rsidRPr="00140923" w14:paraId="532D9F61" w14:textId="77777777" w:rsidTr="000246E0">
        <w:tc>
          <w:tcPr>
            <w:tcW w:w="1140" w:type="dxa"/>
            <w:tcBorders>
              <w:top w:val="nil"/>
              <w:bottom w:val="nil"/>
            </w:tcBorders>
            <w:shd w:val="clear" w:color="auto" w:fill="F2F2F2" w:themeFill="background1" w:themeFillShade="F2"/>
          </w:tcPr>
          <w:p w14:paraId="667B4B9D" w14:textId="77777777" w:rsidR="0069322D" w:rsidRPr="00140923" w:rsidRDefault="0069322D" w:rsidP="000B4BD9">
            <w:pPr>
              <w:spacing w:before="30" w:after="30"/>
              <w:ind w:left="57"/>
              <w:jc w:val="left"/>
              <w:rPr>
                <w:b/>
                <w:bCs/>
                <w:color w:val="000080"/>
                <w:sz w:val="20"/>
                <w:lang w:val="es-ES_tradnl"/>
              </w:rPr>
            </w:pPr>
            <w:r w:rsidRPr="00140923">
              <w:rPr>
                <w:b/>
                <w:bCs/>
                <w:color w:val="000080"/>
                <w:sz w:val="20"/>
                <w:lang w:val="es-ES_tradnl"/>
              </w:rPr>
              <w:t>F</w:t>
            </w:r>
          </w:p>
        </w:tc>
        <w:tc>
          <w:tcPr>
            <w:tcW w:w="8220" w:type="dxa"/>
            <w:tcBorders>
              <w:top w:val="nil"/>
              <w:bottom w:val="nil"/>
            </w:tcBorders>
            <w:shd w:val="clear" w:color="auto" w:fill="F2F2F2" w:themeFill="background1" w:themeFillShade="F2"/>
          </w:tcPr>
          <w:p w14:paraId="2310B648" w14:textId="77777777" w:rsidR="0069322D" w:rsidRPr="00140923"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es-ES_tradnl"/>
              </w:rPr>
            </w:pPr>
            <w:r w:rsidRPr="00140923">
              <w:rPr>
                <w:b/>
                <w:bCs/>
                <w:color w:val="000080"/>
                <w:sz w:val="20"/>
                <w:lang w:val="es-ES_tradnl"/>
              </w:rPr>
              <w:t>Servicio fijo</w:t>
            </w:r>
          </w:p>
        </w:tc>
      </w:tr>
      <w:tr w:rsidR="0069322D" w:rsidRPr="00140923" w14:paraId="1B157FE8" w14:textId="77777777" w:rsidTr="0069322D">
        <w:tc>
          <w:tcPr>
            <w:tcW w:w="1140" w:type="dxa"/>
            <w:tcBorders>
              <w:top w:val="nil"/>
              <w:bottom w:val="nil"/>
            </w:tcBorders>
            <w:shd w:val="clear" w:color="auto" w:fill="auto"/>
          </w:tcPr>
          <w:p w14:paraId="1848210F" w14:textId="77777777" w:rsidR="0069322D" w:rsidRPr="00140923" w:rsidRDefault="0069322D" w:rsidP="000B4BD9">
            <w:pPr>
              <w:spacing w:before="30" w:after="30"/>
              <w:ind w:left="57"/>
              <w:jc w:val="left"/>
              <w:rPr>
                <w:rFonts w:hAnsi="Times New Roman Bold"/>
                <w:b/>
                <w:bCs/>
                <w:sz w:val="20"/>
                <w:lang w:val="es-ES_tradnl"/>
              </w:rPr>
            </w:pPr>
            <w:r w:rsidRPr="00140923">
              <w:rPr>
                <w:rFonts w:hAnsi="Times New Roman Bold"/>
                <w:b/>
                <w:bCs/>
                <w:sz w:val="20"/>
                <w:lang w:val="es-ES_tradnl"/>
              </w:rPr>
              <w:t>M</w:t>
            </w:r>
          </w:p>
        </w:tc>
        <w:tc>
          <w:tcPr>
            <w:tcW w:w="8220" w:type="dxa"/>
            <w:tcBorders>
              <w:top w:val="nil"/>
              <w:bottom w:val="nil"/>
            </w:tcBorders>
            <w:shd w:val="clear" w:color="auto" w:fill="auto"/>
          </w:tcPr>
          <w:p w14:paraId="2229079B" w14:textId="77777777" w:rsidR="0069322D" w:rsidRPr="0014092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40923">
              <w:rPr>
                <w:rFonts w:hAnsi="Times New Roman Bold"/>
                <w:b w:val="0"/>
                <w:sz w:val="20"/>
                <w:lang w:val="es-ES_tradnl"/>
              </w:rPr>
              <w:t>Servicios m</w:t>
            </w:r>
            <w:r w:rsidRPr="00140923">
              <w:rPr>
                <w:rFonts w:hAnsi="Times New Roman Bold"/>
                <w:b w:val="0"/>
                <w:sz w:val="20"/>
                <w:lang w:val="es-ES_tradnl"/>
              </w:rPr>
              <w:t>ó</w:t>
            </w:r>
            <w:r w:rsidRPr="00140923">
              <w:rPr>
                <w:rFonts w:hAnsi="Times New Roman Bold"/>
                <w:b w:val="0"/>
                <w:sz w:val="20"/>
                <w:lang w:val="es-ES_tradnl"/>
              </w:rPr>
              <w:t>viles, de radiodeterminaci</w:t>
            </w:r>
            <w:r w:rsidRPr="00140923">
              <w:rPr>
                <w:rFonts w:hAnsi="Times New Roman Bold"/>
                <w:b w:val="0"/>
                <w:sz w:val="20"/>
                <w:lang w:val="es-ES_tradnl"/>
              </w:rPr>
              <w:t>ó</w:t>
            </w:r>
            <w:r w:rsidRPr="00140923">
              <w:rPr>
                <w:rFonts w:hAnsi="Times New Roman Bold"/>
                <w:b w:val="0"/>
                <w:sz w:val="20"/>
                <w:lang w:val="es-ES_tradnl"/>
              </w:rPr>
              <w:t>n, de aficionados y otros servicios por sat</w:t>
            </w:r>
            <w:r w:rsidRPr="00140923">
              <w:rPr>
                <w:rFonts w:hAnsi="Times New Roman Bold"/>
                <w:b w:val="0"/>
                <w:sz w:val="20"/>
                <w:lang w:val="es-ES_tradnl"/>
              </w:rPr>
              <w:t>é</w:t>
            </w:r>
            <w:r w:rsidRPr="00140923">
              <w:rPr>
                <w:rFonts w:hAnsi="Times New Roman Bold"/>
                <w:b w:val="0"/>
                <w:sz w:val="20"/>
                <w:lang w:val="es-ES_tradnl"/>
              </w:rPr>
              <w:t>lite conexos</w:t>
            </w:r>
          </w:p>
        </w:tc>
      </w:tr>
      <w:tr w:rsidR="0069322D" w:rsidRPr="00140923" w14:paraId="56F262CA" w14:textId="77777777" w:rsidTr="0069322D">
        <w:tc>
          <w:tcPr>
            <w:tcW w:w="1140" w:type="dxa"/>
            <w:tcBorders>
              <w:top w:val="nil"/>
              <w:bottom w:val="nil"/>
            </w:tcBorders>
            <w:shd w:val="clear" w:color="auto" w:fill="auto"/>
          </w:tcPr>
          <w:p w14:paraId="22D89C68" w14:textId="77777777" w:rsidR="0069322D" w:rsidRPr="00140923" w:rsidRDefault="0069322D" w:rsidP="000B4BD9">
            <w:pPr>
              <w:spacing w:before="30" w:after="30"/>
              <w:ind w:left="57"/>
              <w:jc w:val="left"/>
              <w:rPr>
                <w:b/>
                <w:bCs/>
                <w:sz w:val="20"/>
                <w:lang w:val="es-ES_tradnl"/>
              </w:rPr>
            </w:pPr>
            <w:r w:rsidRPr="00140923">
              <w:rPr>
                <w:b/>
                <w:bCs/>
                <w:sz w:val="20"/>
                <w:lang w:val="es-ES_tradnl"/>
              </w:rPr>
              <w:t>P</w:t>
            </w:r>
          </w:p>
        </w:tc>
        <w:tc>
          <w:tcPr>
            <w:tcW w:w="8220" w:type="dxa"/>
            <w:tcBorders>
              <w:top w:val="nil"/>
              <w:bottom w:val="nil"/>
            </w:tcBorders>
            <w:shd w:val="clear" w:color="auto" w:fill="auto"/>
          </w:tcPr>
          <w:p w14:paraId="6AF5134D" w14:textId="77777777" w:rsidR="0069322D" w:rsidRPr="00140923" w:rsidRDefault="0069322D" w:rsidP="000B4BD9">
            <w:pPr>
              <w:spacing w:before="30" w:after="30"/>
              <w:jc w:val="left"/>
              <w:rPr>
                <w:sz w:val="20"/>
                <w:lang w:val="es-ES_tradnl"/>
              </w:rPr>
            </w:pPr>
            <w:r w:rsidRPr="00140923">
              <w:rPr>
                <w:sz w:val="20"/>
                <w:lang w:val="es-ES_tradnl"/>
              </w:rPr>
              <w:t>Propagación de las ondas radioeléctricas</w:t>
            </w:r>
          </w:p>
        </w:tc>
      </w:tr>
      <w:tr w:rsidR="0069322D" w:rsidRPr="00140923" w14:paraId="4A75DC70" w14:textId="77777777" w:rsidTr="0069322D">
        <w:tc>
          <w:tcPr>
            <w:tcW w:w="1140" w:type="dxa"/>
            <w:tcBorders>
              <w:top w:val="nil"/>
              <w:bottom w:val="nil"/>
            </w:tcBorders>
            <w:shd w:val="clear" w:color="auto" w:fill="auto"/>
          </w:tcPr>
          <w:p w14:paraId="2BC4B5ED" w14:textId="77777777" w:rsidR="0069322D" w:rsidRPr="00140923" w:rsidRDefault="0069322D" w:rsidP="000B4BD9">
            <w:pPr>
              <w:spacing w:before="30" w:after="30"/>
              <w:ind w:left="57"/>
              <w:jc w:val="left"/>
              <w:rPr>
                <w:b/>
                <w:bCs/>
                <w:sz w:val="20"/>
                <w:lang w:val="es-ES_tradnl"/>
              </w:rPr>
            </w:pPr>
            <w:r w:rsidRPr="00140923">
              <w:rPr>
                <w:b/>
                <w:bCs/>
                <w:sz w:val="20"/>
                <w:lang w:val="es-ES_tradnl"/>
              </w:rPr>
              <w:t>RA</w:t>
            </w:r>
          </w:p>
        </w:tc>
        <w:tc>
          <w:tcPr>
            <w:tcW w:w="8220" w:type="dxa"/>
            <w:tcBorders>
              <w:top w:val="nil"/>
              <w:bottom w:val="nil"/>
            </w:tcBorders>
            <w:shd w:val="clear" w:color="auto" w:fill="auto"/>
          </w:tcPr>
          <w:p w14:paraId="34841712" w14:textId="77777777" w:rsidR="0069322D" w:rsidRPr="00140923"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140923">
              <w:rPr>
                <w:sz w:val="20"/>
                <w:lang w:val="es-ES_tradnl"/>
              </w:rPr>
              <w:t>Radioastronomía</w:t>
            </w:r>
          </w:p>
        </w:tc>
      </w:tr>
      <w:tr w:rsidR="0069322D" w:rsidRPr="00140923" w14:paraId="46ABCAE4" w14:textId="77777777" w:rsidTr="0069322D">
        <w:tc>
          <w:tcPr>
            <w:tcW w:w="1140" w:type="dxa"/>
            <w:tcBorders>
              <w:top w:val="nil"/>
              <w:bottom w:val="nil"/>
            </w:tcBorders>
            <w:shd w:val="clear" w:color="auto" w:fill="auto"/>
          </w:tcPr>
          <w:p w14:paraId="269698CB" w14:textId="77777777" w:rsidR="0069322D" w:rsidRPr="00140923" w:rsidRDefault="0069322D" w:rsidP="000B4BD9">
            <w:pPr>
              <w:spacing w:before="30" w:after="30"/>
              <w:ind w:left="57"/>
              <w:jc w:val="left"/>
              <w:rPr>
                <w:b/>
                <w:bCs/>
                <w:sz w:val="20"/>
                <w:lang w:val="es-ES_tradnl"/>
              </w:rPr>
            </w:pPr>
            <w:r w:rsidRPr="00140923">
              <w:rPr>
                <w:b/>
                <w:bCs/>
                <w:sz w:val="20"/>
                <w:lang w:val="es-ES_tradnl"/>
              </w:rPr>
              <w:t>RS</w:t>
            </w:r>
          </w:p>
        </w:tc>
        <w:tc>
          <w:tcPr>
            <w:tcW w:w="8220" w:type="dxa"/>
            <w:tcBorders>
              <w:top w:val="nil"/>
              <w:bottom w:val="nil"/>
            </w:tcBorders>
            <w:shd w:val="clear" w:color="auto" w:fill="auto"/>
          </w:tcPr>
          <w:p w14:paraId="7A7070FE" w14:textId="77777777" w:rsidR="0069322D" w:rsidRPr="00140923"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140923">
              <w:rPr>
                <w:sz w:val="20"/>
                <w:lang w:val="es-ES_tradnl"/>
              </w:rPr>
              <w:t>Sistemas de detección a distancia</w:t>
            </w:r>
          </w:p>
        </w:tc>
      </w:tr>
      <w:tr w:rsidR="0069322D" w:rsidRPr="00140923" w14:paraId="6971ADF2" w14:textId="77777777" w:rsidTr="000246E0">
        <w:tc>
          <w:tcPr>
            <w:tcW w:w="1140" w:type="dxa"/>
            <w:tcBorders>
              <w:top w:val="nil"/>
              <w:bottom w:val="nil"/>
            </w:tcBorders>
            <w:shd w:val="clear" w:color="auto" w:fill="auto"/>
          </w:tcPr>
          <w:p w14:paraId="4793682A" w14:textId="77777777" w:rsidR="0069322D" w:rsidRPr="00140923" w:rsidRDefault="0069322D" w:rsidP="000B4BD9">
            <w:pPr>
              <w:spacing w:before="30" w:after="30"/>
              <w:ind w:left="57"/>
              <w:jc w:val="left"/>
              <w:rPr>
                <w:b/>
                <w:bCs/>
                <w:sz w:val="20"/>
                <w:lang w:val="es-ES_tradnl"/>
              </w:rPr>
            </w:pPr>
            <w:r w:rsidRPr="00140923">
              <w:rPr>
                <w:b/>
                <w:bCs/>
                <w:sz w:val="20"/>
                <w:lang w:val="es-ES_tradnl"/>
              </w:rPr>
              <w:t>S</w:t>
            </w:r>
          </w:p>
        </w:tc>
        <w:tc>
          <w:tcPr>
            <w:tcW w:w="8220" w:type="dxa"/>
            <w:tcBorders>
              <w:top w:val="nil"/>
              <w:bottom w:val="nil"/>
            </w:tcBorders>
            <w:shd w:val="clear" w:color="auto" w:fill="auto"/>
          </w:tcPr>
          <w:p w14:paraId="7D0FFD34" w14:textId="77777777" w:rsidR="0069322D" w:rsidRPr="00140923" w:rsidRDefault="0069322D" w:rsidP="000B4BD9">
            <w:pPr>
              <w:spacing w:before="30" w:after="30"/>
              <w:jc w:val="left"/>
              <w:rPr>
                <w:sz w:val="20"/>
                <w:lang w:val="es-ES_tradnl"/>
              </w:rPr>
            </w:pPr>
            <w:r w:rsidRPr="00140923">
              <w:rPr>
                <w:sz w:val="20"/>
                <w:lang w:val="es-ES_tradnl"/>
              </w:rPr>
              <w:t>Servicio fijo por satélite</w:t>
            </w:r>
          </w:p>
        </w:tc>
      </w:tr>
      <w:tr w:rsidR="000246E0" w:rsidRPr="00140923" w14:paraId="29B53956" w14:textId="77777777" w:rsidTr="000246E0">
        <w:tc>
          <w:tcPr>
            <w:tcW w:w="1140" w:type="dxa"/>
            <w:tcBorders>
              <w:top w:val="nil"/>
              <w:bottom w:val="nil"/>
            </w:tcBorders>
            <w:shd w:val="clear" w:color="auto" w:fill="FFFFFF" w:themeFill="background1"/>
          </w:tcPr>
          <w:p w14:paraId="492B1912" w14:textId="77777777" w:rsidR="0069322D" w:rsidRPr="00140923" w:rsidRDefault="0069322D" w:rsidP="000B4BD9">
            <w:pPr>
              <w:spacing w:before="30" w:after="30"/>
              <w:ind w:left="57"/>
              <w:jc w:val="left"/>
              <w:rPr>
                <w:b/>
                <w:bCs/>
                <w:sz w:val="20"/>
                <w:lang w:val="es-ES_tradnl"/>
              </w:rPr>
            </w:pPr>
            <w:r w:rsidRPr="00140923">
              <w:rPr>
                <w:b/>
                <w:bCs/>
                <w:sz w:val="20"/>
                <w:lang w:val="es-ES_tradnl"/>
              </w:rPr>
              <w:t>SA</w:t>
            </w:r>
          </w:p>
        </w:tc>
        <w:tc>
          <w:tcPr>
            <w:tcW w:w="8220" w:type="dxa"/>
            <w:tcBorders>
              <w:top w:val="nil"/>
              <w:bottom w:val="nil"/>
            </w:tcBorders>
            <w:shd w:val="clear" w:color="auto" w:fill="FFFFFF" w:themeFill="background1"/>
          </w:tcPr>
          <w:p w14:paraId="156DA08F" w14:textId="77777777" w:rsidR="0069322D" w:rsidRPr="00140923" w:rsidRDefault="0069322D" w:rsidP="000B4BD9">
            <w:pPr>
              <w:spacing w:before="30" w:after="30"/>
              <w:jc w:val="left"/>
              <w:rPr>
                <w:sz w:val="20"/>
                <w:lang w:val="es-ES_tradnl"/>
              </w:rPr>
            </w:pPr>
            <w:r w:rsidRPr="00140923">
              <w:rPr>
                <w:sz w:val="20"/>
                <w:lang w:val="es-ES_tradnl"/>
              </w:rPr>
              <w:t>Aplicaciones espaciales y meteorología</w:t>
            </w:r>
          </w:p>
        </w:tc>
      </w:tr>
      <w:tr w:rsidR="0069322D" w:rsidRPr="00140923" w14:paraId="6679D4D4" w14:textId="77777777" w:rsidTr="0069322D">
        <w:tc>
          <w:tcPr>
            <w:tcW w:w="1140" w:type="dxa"/>
            <w:tcBorders>
              <w:top w:val="nil"/>
            </w:tcBorders>
          </w:tcPr>
          <w:p w14:paraId="2865523D" w14:textId="77777777" w:rsidR="0069322D" w:rsidRPr="00140923" w:rsidRDefault="0069322D" w:rsidP="000B4BD9">
            <w:pPr>
              <w:spacing w:before="30" w:after="30"/>
              <w:ind w:left="57"/>
              <w:jc w:val="left"/>
              <w:rPr>
                <w:b/>
                <w:bCs/>
                <w:sz w:val="20"/>
                <w:lang w:val="es-ES_tradnl"/>
              </w:rPr>
            </w:pPr>
            <w:r w:rsidRPr="00140923">
              <w:rPr>
                <w:b/>
                <w:bCs/>
                <w:sz w:val="20"/>
                <w:lang w:val="es-ES_tradnl"/>
              </w:rPr>
              <w:t>SF</w:t>
            </w:r>
          </w:p>
        </w:tc>
        <w:tc>
          <w:tcPr>
            <w:tcW w:w="8220" w:type="dxa"/>
            <w:tcBorders>
              <w:top w:val="nil"/>
            </w:tcBorders>
          </w:tcPr>
          <w:p w14:paraId="5210B843" w14:textId="77777777" w:rsidR="0069322D" w:rsidRPr="00140923" w:rsidRDefault="0069322D" w:rsidP="000B4BD9">
            <w:pPr>
              <w:spacing w:before="30" w:after="30"/>
              <w:jc w:val="left"/>
              <w:rPr>
                <w:bCs/>
                <w:sz w:val="20"/>
                <w:lang w:val="es-ES_tradnl"/>
              </w:rPr>
            </w:pPr>
            <w:r w:rsidRPr="00140923">
              <w:rPr>
                <w:bCs/>
                <w:sz w:val="20"/>
                <w:lang w:val="es-ES_tradnl"/>
              </w:rPr>
              <w:t>Compartición de frecuencias y coordinación entre los sistemas del servicio fijo por satélite y del servicio fijo</w:t>
            </w:r>
          </w:p>
        </w:tc>
      </w:tr>
      <w:tr w:rsidR="0069322D" w:rsidRPr="00140923" w14:paraId="708EEB5B" w14:textId="77777777" w:rsidTr="0069322D">
        <w:tc>
          <w:tcPr>
            <w:tcW w:w="1140" w:type="dxa"/>
            <w:shd w:val="clear" w:color="auto" w:fill="auto"/>
          </w:tcPr>
          <w:p w14:paraId="6AE6B7D5" w14:textId="77777777" w:rsidR="0069322D" w:rsidRPr="00140923" w:rsidRDefault="0069322D" w:rsidP="000B4BD9">
            <w:pPr>
              <w:spacing w:before="30" w:after="30"/>
              <w:ind w:left="57"/>
              <w:jc w:val="left"/>
              <w:rPr>
                <w:b/>
                <w:bCs/>
                <w:sz w:val="20"/>
                <w:lang w:val="es-ES_tradnl"/>
              </w:rPr>
            </w:pPr>
            <w:r w:rsidRPr="00140923">
              <w:rPr>
                <w:b/>
                <w:bCs/>
                <w:sz w:val="20"/>
                <w:lang w:val="es-ES_tradnl"/>
              </w:rPr>
              <w:t>SM</w:t>
            </w:r>
          </w:p>
        </w:tc>
        <w:tc>
          <w:tcPr>
            <w:tcW w:w="8220" w:type="dxa"/>
            <w:shd w:val="clear" w:color="auto" w:fill="auto"/>
          </w:tcPr>
          <w:p w14:paraId="30275905" w14:textId="77777777" w:rsidR="0069322D" w:rsidRPr="00140923" w:rsidRDefault="0069322D" w:rsidP="000B4BD9">
            <w:pPr>
              <w:spacing w:before="30" w:after="30"/>
              <w:jc w:val="left"/>
              <w:rPr>
                <w:sz w:val="20"/>
                <w:lang w:val="es-ES_tradnl"/>
              </w:rPr>
            </w:pPr>
            <w:r w:rsidRPr="00140923">
              <w:rPr>
                <w:sz w:val="20"/>
                <w:lang w:val="es-ES_tradnl"/>
              </w:rPr>
              <w:t>Gestión del espectro</w:t>
            </w:r>
          </w:p>
        </w:tc>
      </w:tr>
      <w:tr w:rsidR="0069322D" w:rsidRPr="00140923" w14:paraId="36CB1BB4" w14:textId="77777777" w:rsidTr="0069322D">
        <w:tc>
          <w:tcPr>
            <w:tcW w:w="1140" w:type="dxa"/>
          </w:tcPr>
          <w:p w14:paraId="35E7FA65" w14:textId="77777777" w:rsidR="0069322D" w:rsidRPr="00140923" w:rsidRDefault="0069322D" w:rsidP="000B4BD9">
            <w:pPr>
              <w:spacing w:before="30" w:after="30"/>
              <w:ind w:left="57"/>
              <w:jc w:val="left"/>
              <w:rPr>
                <w:b/>
                <w:bCs/>
                <w:sz w:val="20"/>
                <w:lang w:val="es-ES_tradnl"/>
              </w:rPr>
            </w:pPr>
            <w:r w:rsidRPr="00140923">
              <w:rPr>
                <w:b/>
                <w:bCs/>
                <w:sz w:val="20"/>
                <w:lang w:val="es-ES_tradnl"/>
              </w:rPr>
              <w:t>SNG</w:t>
            </w:r>
          </w:p>
        </w:tc>
        <w:tc>
          <w:tcPr>
            <w:tcW w:w="8220" w:type="dxa"/>
          </w:tcPr>
          <w:p w14:paraId="1F7DC3BE" w14:textId="77777777" w:rsidR="0069322D" w:rsidRPr="00140923" w:rsidRDefault="0069322D" w:rsidP="000B4BD9">
            <w:pPr>
              <w:spacing w:before="30" w:after="30"/>
              <w:jc w:val="left"/>
              <w:rPr>
                <w:bCs/>
                <w:sz w:val="20"/>
                <w:lang w:val="es-ES_tradnl"/>
              </w:rPr>
            </w:pPr>
            <w:r w:rsidRPr="00140923">
              <w:rPr>
                <w:bCs/>
                <w:sz w:val="20"/>
                <w:lang w:val="es-ES_tradnl"/>
              </w:rPr>
              <w:t>Periodismo electrónico por satélite</w:t>
            </w:r>
          </w:p>
        </w:tc>
      </w:tr>
      <w:tr w:rsidR="0069322D" w:rsidRPr="00140923" w14:paraId="0EA97E99" w14:textId="77777777" w:rsidTr="0069322D">
        <w:tc>
          <w:tcPr>
            <w:tcW w:w="1140" w:type="dxa"/>
          </w:tcPr>
          <w:p w14:paraId="28F28D67" w14:textId="77777777" w:rsidR="0069322D" w:rsidRPr="00140923" w:rsidRDefault="0069322D" w:rsidP="000B4BD9">
            <w:pPr>
              <w:spacing w:before="30" w:after="30"/>
              <w:ind w:left="57"/>
              <w:jc w:val="left"/>
              <w:rPr>
                <w:b/>
                <w:bCs/>
                <w:sz w:val="20"/>
                <w:lang w:val="es-ES_tradnl"/>
              </w:rPr>
            </w:pPr>
            <w:r w:rsidRPr="00140923">
              <w:rPr>
                <w:b/>
                <w:bCs/>
                <w:sz w:val="20"/>
                <w:lang w:val="es-ES_tradnl"/>
              </w:rPr>
              <w:t>TF</w:t>
            </w:r>
          </w:p>
        </w:tc>
        <w:tc>
          <w:tcPr>
            <w:tcW w:w="8220" w:type="dxa"/>
          </w:tcPr>
          <w:p w14:paraId="7C27670E" w14:textId="77777777" w:rsidR="0069322D" w:rsidRPr="00140923" w:rsidRDefault="0069322D" w:rsidP="000B4BD9">
            <w:pPr>
              <w:spacing w:before="30" w:after="30"/>
              <w:jc w:val="left"/>
              <w:rPr>
                <w:bCs/>
                <w:sz w:val="20"/>
                <w:lang w:val="es-ES_tradnl"/>
              </w:rPr>
            </w:pPr>
            <w:r w:rsidRPr="00140923">
              <w:rPr>
                <w:bCs/>
                <w:sz w:val="20"/>
                <w:lang w:val="es-ES_tradnl"/>
              </w:rPr>
              <w:t>Emisiones de frecuencias patrón y señales horarias</w:t>
            </w:r>
          </w:p>
        </w:tc>
      </w:tr>
      <w:tr w:rsidR="0069322D" w:rsidRPr="00140923" w14:paraId="03733B88" w14:textId="77777777" w:rsidTr="0069322D">
        <w:tc>
          <w:tcPr>
            <w:tcW w:w="1140" w:type="dxa"/>
          </w:tcPr>
          <w:p w14:paraId="176A6676" w14:textId="77777777" w:rsidR="0069322D" w:rsidRPr="00140923" w:rsidRDefault="0069322D" w:rsidP="000B4BD9">
            <w:pPr>
              <w:spacing w:before="30" w:after="30"/>
              <w:ind w:left="57"/>
              <w:jc w:val="left"/>
              <w:rPr>
                <w:b/>
                <w:bCs/>
                <w:sz w:val="20"/>
                <w:lang w:val="es-ES_tradnl"/>
              </w:rPr>
            </w:pPr>
            <w:r w:rsidRPr="00140923">
              <w:rPr>
                <w:b/>
                <w:bCs/>
                <w:sz w:val="20"/>
                <w:lang w:val="es-ES_tradnl"/>
              </w:rPr>
              <w:t>V</w:t>
            </w:r>
          </w:p>
        </w:tc>
        <w:tc>
          <w:tcPr>
            <w:tcW w:w="8220" w:type="dxa"/>
          </w:tcPr>
          <w:p w14:paraId="67E97D27" w14:textId="77777777" w:rsidR="0069322D" w:rsidRPr="00140923" w:rsidRDefault="0069322D" w:rsidP="000B4BD9">
            <w:pPr>
              <w:spacing w:before="30" w:after="140"/>
              <w:jc w:val="left"/>
              <w:rPr>
                <w:bCs/>
                <w:sz w:val="20"/>
                <w:lang w:val="es-ES_tradnl"/>
              </w:rPr>
            </w:pPr>
            <w:r w:rsidRPr="00140923">
              <w:rPr>
                <w:bCs/>
                <w:sz w:val="20"/>
                <w:lang w:val="es-ES_tradnl"/>
              </w:rPr>
              <w:t>Vocabulario y cuestiones afines</w:t>
            </w:r>
          </w:p>
        </w:tc>
      </w:tr>
    </w:tbl>
    <w:p w14:paraId="76BF7545" w14:textId="77777777" w:rsidR="0069322D" w:rsidRPr="00140923" w:rsidRDefault="0069322D" w:rsidP="0069322D">
      <w:pPr>
        <w:spacing w:before="0" w:after="140"/>
        <w:jc w:val="center"/>
        <w:rPr>
          <w:sz w:val="20"/>
          <w:lang w:val="es-ES_tradnl"/>
        </w:rPr>
      </w:pPr>
    </w:p>
    <w:tbl>
      <w:tblPr>
        <w:tblpPr w:leftFromText="180" w:rightFromText="180" w:vertAnchor="text" w:tblpX="-5771" w:tblpY="-4031"/>
        <w:tblW w:w="0" w:type="auto"/>
        <w:tblLook w:val="0000" w:firstRow="0" w:lastRow="0" w:firstColumn="0" w:lastColumn="0" w:noHBand="0" w:noVBand="0"/>
      </w:tblPr>
      <w:tblGrid>
        <w:gridCol w:w="720"/>
      </w:tblGrid>
      <w:tr w:rsidR="0069322D" w:rsidRPr="00140923" w14:paraId="468C4AB7" w14:textId="77777777" w:rsidTr="000B4BD9">
        <w:tc>
          <w:tcPr>
            <w:tcW w:w="720" w:type="dxa"/>
          </w:tcPr>
          <w:p w14:paraId="2A02BFFE" w14:textId="77777777" w:rsidR="0069322D" w:rsidRPr="00140923" w:rsidRDefault="0069322D" w:rsidP="000B4BD9">
            <w:pPr>
              <w:spacing w:before="0"/>
              <w:jc w:val="center"/>
              <w:rPr>
                <w:sz w:val="22"/>
                <w:lang w:val="es-ES_tradnl"/>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140923" w14:paraId="1FC14525" w14:textId="77777777" w:rsidTr="00B96572">
        <w:tc>
          <w:tcPr>
            <w:tcW w:w="9360" w:type="dxa"/>
          </w:tcPr>
          <w:p w14:paraId="0F1B2759" w14:textId="77777777" w:rsidR="0069322D" w:rsidRPr="00140923" w:rsidRDefault="0069322D" w:rsidP="00B96572">
            <w:pPr>
              <w:spacing w:before="92" w:after="92"/>
              <w:rPr>
                <w:rFonts w:ascii="Times New Roman" w:hAnsi="Times New Roman" w:cs="Times New Roman"/>
                <w:i/>
                <w:iCs/>
                <w:sz w:val="20"/>
                <w:lang w:val="es-ES_tradnl"/>
              </w:rPr>
            </w:pPr>
            <w:r w:rsidRPr="00140923">
              <w:rPr>
                <w:rFonts w:ascii="Times New Roman" w:hAnsi="Times New Roman" w:cs="Times New Roman"/>
                <w:b/>
                <w:bCs/>
                <w:i/>
                <w:iCs/>
                <w:sz w:val="20"/>
                <w:lang w:val="es-ES_tradnl"/>
              </w:rPr>
              <w:t>Nota</w:t>
            </w:r>
            <w:r w:rsidRPr="00140923">
              <w:rPr>
                <w:rFonts w:ascii="Times New Roman" w:hAnsi="Times New Roman" w:cs="Times New Roman"/>
                <w:i/>
                <w:iCs/>
                <w:sz w:val="20"/>
                <w:lang w:val="es-ES_tradnl"/>
              </w:rPr>
              <w:t>: Esta Recomendación UIT-R fue aprobada en inglés conforme al procedimiento detallado en la Resolución UIT</w:t>
            </w:r>
            <w:r w:rsidR="00B96572" w:rsidRPr="00140923">
              <w:rPr>
                <w:rFonts w:ascii="Times New Roman" w:hAnsi="Times New Roman" w:cs="Times New Roman"/>
                <w:i/>
                <w:iCs/>
                <w:sz w:val="20"/>
                <w:lang w:val="es-ES_tradnl"/>
              </w:rPr>
              <w:noBreakHyphen/>
            </w:r>
            <w:r w:rsidRPr="00140923">
              <w:rPr>
                <w:rFonts w:ascii="Times New Roman" w:hAnsi="Times New Roman" w:cs="Times New Roman"/>
                <w:i/>
                <w:iCs/>
                <w:sz w:val="20"/>
                <w:lang w:val="es-ES_tradnl"/>
              </w:rPr>
              <w:t>R</w:t>
            </w:r>
            <w:r w:rsidR="00B96572" w:rsidRPr="00140923">
              <w:rPr>
                <w:rFonts w:ascii="Times New Roman" w:hAnsi="Times New Roman" w:cs="Times New Roman"/>
                <w:i/>
                <w:iCs/>
                <w:sz w:val="20"/>
                <w:lang w:val="es-ES_tradnl"/>
              </w:rPr>
              <w:t> </w:t>
            </w:r>
            <w:r w:rsidRPr="00140923">
              <w:rPr>
                <w:rFonts w:ascii="Times New Roman" w:hAnsi="Times New Roman" w:cs="Times New Roman"/>
                <w:i/>
                <w:iCs/>
                <w:sz w:val="20"/>
                <w:lang w:val="es-ES_tradnl"/>
              </w:rPr>
              <w:t>1.</w:t>
            </w:r>
          </w:p>
        </w:tc>
      </w:tr>
    </w:tbl>
    <w:p w14:paraId="54865EAD" w14:textId="77777777" w:rsidR="0069322D" w:rsidRPr="00140923" w:rsidRDefault="0069322D" w:rsidP="0069322D">
      <w:pPr>
        <w:spacing w:before="0"/>
        <w:jc w:val="center"/>
        <w:rPr>
          <w:sz w:val="22"/>
          <w:lang w:val="es-ES_tradnl"/>
        </w:rPr>
      </w:pPr>
    </w:p>
    <w:p w14:paraId="41EB0291" w14:textId="77777777" w:rsidR="0069322D" w:rsidRPr="00140923" w:rsidRDefault="0069322D" w:rsidP="0069322D">
      <w:pPr>
        <w:spacing w:before="60"/>
        <w:jc w:val="right"/>
        <w:rPr>
          <w:i/>
          <w:iCs/>
          <w:sz w:val="20"/>
          <w:lang w:val="es-ES_tradnl"/>
        </w:rPr>
      </w:pPr>
      <w:r w:rsidRPr="00140923">
        <w:rPr>
          <w:i/>
          <w:iCs/>
          <w:sz w:val="20"/>
          <w:lang w:val="es-ES_tradnl"/>
        </w:rPr>
        <w:t>Publicación electrónica</w:t>
      </w:r>
    </w:p>
    <w:p w14:paraId="6FCE47D8" w14:textId="591CCF8B" w:rsidR="0069322D" w:rsidRPr="00140923" w:rsidRDefault="0069322D" w:rsidP="0069322D">
      <w:pPr>
        <w:spacing w:before="0" w:after="40"/>
        <w:jc w:val="right"/>
        <w:rPr>
          <w:sz w:val="20"/>
          <w:lang w:val="es-ES_tradnl"/>
        </w:rPr>
      </w:pPr>
      <w:r w:rsidRPr="00140923">
        <w:rPr>
          <w:sz w:val="20"/>
          <w:lang w:val="es-ES_tradnl"/>
        </w:rPr>
        <w:t>Ginebra, 20</w:t>
      </w:r>
      <w:r w:rsidR="00B96572" w:rsidRPr="00140923">
        <w:rPr>
          <w:sz w:val="20"/>
          <w:lang w:val="es-ES_tradnl"/>
        </w:rPr>
        <w:t>2</w:t>
      </w:r>
      <w:r w:rsidR="002B37E9" w:rsidRPr="00140923">
        <w:rPr>
          <w:sz w:val="20"/>
          <w:lang w:val="es-ES_tradnl"/>
        </w:rPr>
        <w:t>5</w:t>
      </w:r>
    </w:p>
    <w:p w14:paraId="57A71B22" w14:textId="77777777" w:rsidR="0069322D" w:rsidRPr="00140923" w:rsidRDefault="0069322D" w:rsidP="0069322D">
      <w:pPr>
        <w:spacing w:before="0" w:after="120"/>
        <w:jc w:val="center"/>
        <w:rPr>
          <w:sz w:val="22"/>
          <w:lang w:val="es-ES_tradnl"/>
        </w:rPr>
      </w:pPr>
    </w:p>
    <w:p w14:paraId="40C8D652" w14:textId="1D6C0671" w:rsidR="0069322D" w:rsidRPr="00140923" w:rsidRDefault="0069322D" w:rsidP="0069322D">
      <w:pPr>
        <w:spacing w:before="0"/>
        <w:jc w:val="center"/>
        <w:rPr>
          <w:sz w:val="20"/>
          <w:lang w:val="es-ES_tradnl"/>
        </w:rPr>
      </w:pPr>
      <w:r w:rsidRPr="00140923">
        <w:rPr>
          <w:sz w:val="20"/>
          <w:lang w:val="es-ES_tradnl"/>
        </w:rPr>
        <w:sym w:font="Symbol" w:char="F0E3"/>
      </w:r>
      <w:r w:rsidRPr="00140923">
        <w:rPr>
          <w:sz w:val="20"/>
          <w:lang w:val="es-ES_tradnl"/>
        </w:rPr>
        <w:t xml:space="preserve"> UIT </w:t>
      </w:r>
      <w:bookmarkStart w:id="1" w:name="iiannee"/>
      <w:bookmarkEnd w:id="1"/>
      <w:r w:rsidRPr="00140923">
        <w:rPr>
          <w:sz w:val="20"/>
          <w:lang w:val="es-ES_tradnl"/>
        </w:rPr>
        <w:t>20</w:t>
      </w:r>
      <w:r w:rsidR="00B96572" w:rsidRPr="00140923">
        <w:rPr>
          <w:sz w:val="20"/>
          <w:lang w:val="es-ES_tradnl"/>
        </w:rPr>
        <w:t>2</w:t>
      </w:r>
      <w:r w:rsidR="002B37E9" w:rsidRPr="00140923">
        <w:rPr>
          <w:sz w:val="20"/>
          <w:lang w:val="es-ES_tradnl"/>
        </w:rPr>
        <w:t>5</w:t>
      </w:r>
    </w:p>
    <w:p w14:paraId="73D2E200" w14:textId="77777777" w:rsidR="00D5024B" w:rsidRPr="00140923" w:rsidRDefault="0069322D" w:rsidP="0069322D">
      <w:pPr>
        <w:rPr>
          <w:sz w:val="18"/>
          <w:szCs w:val="18"/>
          <w:lang w:val="es-ES_tradnl"/>
        </w:rPr>
      </w:pPr>
      <w:r w:rsidRPr="00140923">
        <w:rPr>
          <w:sz w:val="18"/>
          <w:szCs w:val="18"/>
          <w:lang w:val="es-ES_tradnl"/>
        </w:rPr>
        <w:t>Reservados todos los derechos. Ninguna parte de esta publicación puede reproducirse por ningún procedimiento sin previa autorización escrita por parte de la UIT.</w:t>
      </w:r>
    </w:p>
    <w:p w14:paraId="7C350E83" w14:textId="77777777" w:rsidR="007565CC" w:rsidRPr="00140923" w:rsidRDefault="007565CC" w:rsidP="00A971A1">
      <w:pPr>
        <w:spacing w:before="160"/>
        <w:rPr>
          <w:i/>
          <w:sz w:val="20"/>
          <w:lang w:val="es-ES_tradnl"/>
        </w:rPr>
        <w:sectPr w:rsidR="007565CC" w:rsidRPr="00140923"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1A7AA2D1" w14:textId="0F2A8AF3" w:rsidR="00B874C6" w:rsidRPr="00140923" w:rsidRDefault="00F17CED" w:rsidP="00A936CB">
      <w:pPr>
        <w:pStyle w:val="RecNo"/>
        <w:spacing w:before="0"/>
        <w:rPr>
          <w:lang w:val="es-ES_tradnl"/>
        </w:rPr>
      </w:pPr>
      <w:bookmarkStart w:id="2" w:name="irecnoe"/>
      <w:bookmarkEnd w:id="2"/>
      <w:r w:rsidRPr="00140923">
        <w:rPr>
          <w:lang w:val="es-ES_tradnl"/>
        </w:rPr>
        <w:lastRenderedPageBreak/>
        <w:t>RECOMENDACIÓN</w:t>
      </w:r>
      <w:r w:rsidR="00B874C6" w:rsidRPr="00140923">
        <w:rPr>
          <w:lang w:val="es-ES_tradnl"/>
        </w:rPr>
        <w:t xml:space="preserve">  </w:t>
      </w:r>
      <w:r w:rsidR="00A25EE2" w:rsidRPr="00140923">
        <w:rPr>
          <w:rStyle w:val="href"/>
          <w:lang w:val="es-ES_tradnl"/>
        </w:rPr>
        <w:t>UI</w:t>
      </w:r>
      <w:r w:rsidR="00B874C6" w:rsidRPr="00140923">
        <w:rPr>
          <w:rStyle w:val="href"/>
          <w:lang w:val="es-ES_tradnl"/>
        </w:rPr>
        <w:t xml:space="preserve">T-R  </w:t>
      </w:r>
      <w:r w:rsidR="00ED1EFA" w:rsidRPr="00140923">
        <w:rPr>
          <w:rStyle w:val="href"/>
          <w:lang w:val="es-ES_tradnl"/>
        </w:rPr>
        <w:t>F</w:t>
      </w:r>
      <w:r w:rsidR="00B874C6" w:rsidRPr="00140923">
        <w:rPr>
          <w:rStyle w:val="href"/>
          <w:lang w:val="es-ES_tradnl"/>
        </w:rPr>
        <w:t>.</w:t>
      </w:r>
      <w:r w:rsidR="002B37E9" w:rsidRPr="00140923">
        <w:rPr>
          <w:rStyle w:val="href"/>
          <w:lang w:val="es-ES_tradnl"/>
        </w:rPr>
        <w:t>758-8</w:t>
      </w:r>
    </w:p>
    <w:p w14:paraId="5D12CCFB" w14:textId="77777777" w:rsidR="002B37E9" w:rsidRPr="00140923" w:rsidRDefault="002B37E9" w:rsidP="002B37E9">
      <w:pPr>
        <w:pStyle w:val="Rectitle"/>
        <w:rPr>
          <w:lang w:val="es-ES_tradnl"/>
        </w:rPr>
      </w:pPr>
      <w:r w:rsidRPr="00140923">
        <w:rPr>
          <w:lang w:val="es-ES_tradnl"/>
        </w:rPr>
        <w:t>Parámetros de sistema y consideraciones relativas a la elaboración de criterios</w:t>
      </w:r>
      <w:r w:rsidRPr="00140923">
        <w:rPr>
          <w:lang w:val="es-ES_tradnl"/>
        </w:rPr>
        <w:br/>
        <w:t xml:space="preserve">para la compartición o la compatibilidad entre los sistemas inalámbricos </w:t>
      </w:r>
      <w:r w:rsidRPr="00140923">
        <w:rPr>
          <w:lang w:val="es-ES_tradnl"/>
        </w:rPr>
        <w:br/>
        <w:t xml:space="preserve">fijos digitales del servicio fijo y sistemas de otros servicios </w:t>
      </w:r>
      <w:r w:rsidRPr="00140923">
        <w:rPr>
          <w:lang w:val="es-ES_tradnl"/>
        </w:rPr>
        <w:br/>
        <w:t>y otras fuentes de interferencia</w:t>
      </w:r>
    </w:p>
    <w:p w14:paraId="354E9AE4" w14:textId="12AAA278" w:rsidR="002B37E9" w:rsidRPr="00D23F34" w:rsidRDefault="002B37E9" w:rsidP="002B37E9">
      <w:pPr>
        <w:pStyle w:val="Recdate"/>
        <w:jc w:val="center"/>
        <w:rPr>
          <w:lang w:val="es-ES_tradnl"/>
        </w:rPr>
      </w:pPr>
      <w:r w:rsidRPr="00D23F34">
        <w:rPr>
          <w:lang w:val="es-ES_tradnl"/>
        </w:rPr>
        <w:t xml:space="preserve">(Cuestión </w:t>
      </w:r>
      <w:hyperlink r:id="rId14" w:history="1">
        <w:r w:rsidRPr="00D23F34">
          <w:rPr>
            <w:rStyle w:val="Hyperlink"/>
            <w:color w:val="auto"/>
            <w:u w:val="none"/>
            <w:lang w:val="es-ES_tradnl"/>
          </w:rPr>
          <w:t>UIT-R 2</w:t>
        </w:r>
        <w:r w:rsidRPr="00D23F34">
          <w:rPr>
            <w:rStyle w:val="Hyperlink"/>
            <w:color w:val="auto"/>
            <w:u w:val="none"/>
            <w:lang w:val="es-ES_tradnl"/>
          </w:rPr>
          <w:t>5</w:t>
        </w:r>
        <w:r w:rsidRPr="00D23F34">
          <w:rPr>
            <w:rStyle w:val="Hyperlink"/>
            <w:color w:val="auto"/>
            <w:u w:val="none"/>
            <w:lang w:val="es-ES_tradnl"/>
          </w:rPr>
          <w:t>2/5</w:t>
        </w:r>
      </w:hyperlink>
      <w:r w:rsidRPr="00D23F34">
        <w:rPr>
          <w:lang w:val="es-ES_tradnl"/>
        </w:rPr>
        <w:t>)</w:t>
      </w:r>
    </w:p>
    <w:p w14:paraId="2398F146" w14:textId="77777777" w:rsidR="002B37E9" w:rsidRPr="00140923" w:rsidRDefault="002B37E9" w:rsidP="002B37E9">
      <w:pPr>
        <w:pStyle w:val="Recdate"/>
        <w:rPr>
          <w:lang w:val="es-ES_tradnl"/>
        </w:rPr>
      </w:pPr>
      <w:r w:rsidRPr="00140923">
        <w:rPr>
          <w:lang w:val="es-ES_tradnl"/>
        </w:rPr>
        <w:t>(1992-1997-2000-2003-2005-2012-2015-2019-2025)</w:t>
      </w:r>
    </w:p>
    <w:p w14:paraId="3D6CD91B" w14:textId="77777777" w:rsidR="002B37E9" w:rsidRPr="00140923" w:rsidRDefault="002B37E9" w:rsidP="003B367D">
      <w:pPr>
        <w:pStyle w:val="HeadingSum"/>
      </w:pPr>
      <w:r w:rsidRPr="00140923">
        <w:t>Cometido</w:t>
      </w:r>
    </w:p>
    <w:p w14:paraId="13D1B003" w14:textId="4EA573DF" w:rsidR="002B37E9" w:rsidRPr="00140923" w:rsidRDefault="002B37E9" w:rsidP="003B367D">
      <w:pPr>
        <w:pStyle w:val="Summary"/>
      </w:pPr>
      <w:r w:rsidRPr="00140923">
        <w:t xml:space="preserve">La presente Recomendación contiene principios encaminados al establecimiento de criterios para la compartición de los sistemas digitales en el servicio fijo. Estudia principalmente cómo diseñar adecuadamente degradaciones de la calidad de funcionamiento y de la disponibilidad debidas a interferencia dentro de los objetivos admisibles, según lo especificado en la Recomendación </w:t>
      </w:r>
      <w:hyperlink r:id="rId15" w:history="1">
        <w:r w:rsidRPr="003B367D">
          <w:rPr>
            <w:rStyle w:val="Hyperlink"/>
            <w:color w:val="auto"/>
            <w:u w:val="none"/>
          </w:rPr>
          <w:t>UIT-R F.1094</w:t>
        </w:r>
      </w:hyperlink>
      <w:r w:rsidRPr="00140923">
        <w:t xml:space="preserve">, en los distintos entornos de interferencia. Contiene asimismo información sobre características técnicas representativas y parámetros de compartición de sistema típicos de los sistemas inalámbricos fijos digitales en el servicio fijo para su uso en los estudios de compartición por encima de 30 MHz. En los casos en que los análisis indiquen problemas de compartición, en el Informe </w:t>
      </w:r>
      <w:hyperlink r:id="rId16" w:history="1">
        <w:r w:rsidRPr="003B367D">
          <w:rPr>
            <w:rStyle w:val="Hyperlink"/>
            <w:color w:val="auto"/>
            <w:u w:val="none"/>
          </w:rPr>
          <w:t>UIT-R F.2108</w:t>
        </w:r>
      </w:hyperlink>
      <w:r w:rsidRPr="00140923">
        <w:t xml:space="preserve"> se puede consultar información adicional sobre sistemas inalámbricos fijos específicos utilizados por las administraciones.</w:t>
      </w:r>
    </w:p>
    <w:p w14:paraId="6E5A1657" w14:textId="77777777" w:rsidR="002B37E9" w:rsidRPr="00140923" w:rsidRDefault="002B37E9" w:rsidP="002B37E9">
      <w:pPr>
        <w:pStyle w:val="Headingb"/>
        <w:rPr>
          <w:lang w:val="es-ES_tradnl"/>
        </w:rPr>
      </w:pPr>
      <w:r w:rsidRPr="00140923">
        <w:rPr>
          <w:lang w:val="es-ES_tradnl"/>
        </w:rPr>
        <w:t>Palabras clave</w:t>
      </w:r>
    </w:p>
    <w:p w14:paraId="1117EABD" w14:textId="77777777" w:rsidR="002B37E9" w:rsidRPr="00140923" w:rsidRDefault="002B37E9" w:rsidP="002B37E9">
      <w:pPr>
        <w:rPr>
          <w:lang w:val="es-ES_tradnl"/>
        </w:rPr>
      </w:pPr>
      <w:r w:rsidRPr="00140923">
        <w:rPr>
          <w:lang w:val="es-ES_tradnl"/>
        </w:rPr>
        <w:t>Compatibilidad, criterios de compartición, servicio fijo</w:t>
      </w:r>
    </w:p>
    <w:p w14:paraId="5D95141F" w14:textId="77777777" w:rsidR="002B37E9" w:rsidRPr="00140923" w:rsidRDefault="002B37E9" w:rsidP="002B37E9">
      <w:pPr>
        <w:pStyle w:val="Headingb"/>
        <w:rPr>
          <w:lang w:val="es-ES_tradnl"/>
        </w:rPr>
      </w:pPr>
      <w:r w:rsidRPr="00140923">
        <w:rPr>
          <w:lang w:val="es-ES_tradnl"/>
        </w:rPr>
        <w:t>Abreviaturas</w:t>
      </w:r>
    </w:p>
    <w:p w14:paraId="3B31E3B2" w14:textId="77777777" w:rsidR="002B37E9" w:rsidRPr="00140923" w:rsidRDefault="002B37E9" w:rsidP="002B37E9">
      <w:pPr>
        <w:tabs>
          <w:tab w:val="clear" w:pos="794"/>
          <w:tab w:val="clear" w:pos="1191"/>
          <w:tab w:val="left" w:pos="1106"/>
        </w:tabs>
        <w:rPr>
          <w:szCs w:val="24"/>
          <w:lang w:val="es-ES_tradnl" w:eastAsia="ja-JP"/>
        </w:rPr>
      </w:pPr>
      <w:r w:rsidRPr="00140923">
        <w:rPr>
          <w:szCs w:val="24"/>
          <w:lang w:val="es-ES_tradnl" w:eastAsia="ja-JP"/>
        </w:rPr>
        <w:t>AP</w:t>
      </w:r>
      <w:r w:rsidRPr="00140923">
        <w:rPr>
          <w:szCs w:val="24"/>
          <w:lang w:val="es-ES_tradnl" w:eastAsia="ja-JP"/>
        </w:rPr>
        <w:tab/>
        <w:t>Característica de disponibilidad (</w:t>
      </w:r>
      <w:r w:rsidRPr="00140923">
        <w:rPr>
          <w:i/>
          <w:iCs/>
          <w:szCs w:val="24"/>
          <w:lang w:val="es-ES_tradnl" w:eastAsia="ja-JP"/>
        </w:rPr>
        <w:t>availability performance</w:t>
      </w:r>
      <w:r w:rsidRPr="00140923">
        <w:rPr>
          <w:szCs w:val="24"/>
          <w:lang w:val="es-ES_tradnl" w:eastAsia="ja-JP"/>
        </w:rPr>
        <w:t>)</w:t>
      </w:r>
    </w:p>
    <w:p w14:paraId="03F8F5DD" w14:textId="77777777" w:rsidR="002B37E9" w:rsidRPr="00140923" w:rsidRDefault="002B37E9" w:rsidP="002B37E9">
      <w:pPr>
        <w:tabs>
          <w:tab w:val="clear" w:pos="794"/>
          <w:tab w:val="clear" w:pos="1191"/>
          <w:tab w:val="left" w:pos="1106"/>
        </w:tabs>
        <w:rPr>
          <w:szCs w:val="24"/>
          <w:lang w:val="es-ES_tradnl" w:eastAsia="ja-JP"/>
        </w:rPr>
      </w:pPr>
      <w:r w:rsidRPr="00140923">
        <w:rPr>
          <w:szCs w:val="24"/>
          <w:lang w:val="es-ES_tradnl" w:eastAsia="ja-JP"/>
        </w:rPr>
        <w:t>APO</w:t>
      </w:r>
      <w:r w:rsidRPr="00140923">
        <w:rPr>
          <w:szCs w:val="24"/>
          <w:lang w:val="es-ES_tradnl" w:eastAsia="ja-JP"/>
        </w:rPr>
        <w:tab/>
      </w:r>
      <w:r w:rsidRPr="00140923">
        <w:rPr>
          <w:lang w:val="es-ES_tradnl"/>
        </w:rPr>
        <w:t xml:space="preserve">Objetivo de </w:t>
      </w:r>
      <w:r w:rsidRPr="00140923">
        <w:rPr>
          <w:szCs w:val="24"/>
          <w:lang w:val="es-ES_tradnl" w:eastAsia="ja-JP"/>
        </w:rPr>
        <w:t>característica de disponibilidad (</w:t>
      </w:r>
      <w:r w:rsidRPr="00140923">
        <w:rPr>
          <w:i/>
          <w:iCs/>
          <w:szCs w:val="24"/>
          <w:lang w:val="es-ES_tradnl" w:eastAsia="ja-JP"/>
        </w:rPr>
        <w:t>availability performance objective</w:t>
      </w:r>
      <w:r w:rsidRPr="00140923">
        <w:rPr>
          <w:szCs w:val="24"/>
          <w:lang w:val="es-ES_tradnl" w:eastAsia="ja-JP"/>
        </w:rPr>
        <w:t>)</w:t>
      </w:r>
    </w:p>
    <w:p w14:paraId="00FCDCBB" w14:textId="77777777" w:rsidR="002B37E9" w:rsidRPr="00140923" w:rsidRDefault="002B37E9" w:rsidP="002B37E9">
      <w:pPr>
        <w:tabs>
          <w:tab w:val="clear" w:pos="794"/>
          <w:tab w:val="clear" w:pos="1191"/>
          <w:tab w:val="left" w:pos="1106"/>
        </w:tabs>
        <w:rPr>
          <w:szCs w:val="24"/>
          <w:lang w:val="es-ES_tradnl" w:eastAsia="ja-JP"/>
        </w:rPr>
      </w:pPr>
      <w:r w:rsidRPr="00140923">
        <w:rPr>
          <w:szCs w:val="24"/>
          <w:lang w:val="es-ES_tradnl" w:eastAsia="ja-JP"/>
        </w:rPr>
        <w:t>ATPC</w:t>
      </w:r>
      <w:r w:rsidRPr="00140923">
        <w:rPr>
          <w:szCs w:val="24"/>
          <w:lang w:val="es-ES_tradnl" w:eastAsia="ja-JP"/>
        </w:rPr>
        <w:tab/>
        <w:t>Control automático de la potencia del transmisor (</w:t>
      </w:r>
      <w:r w:rsidRPr="00140923">
        <w:rPr>
          <w:i/>
          <w:iCs/>
          <w:szCs w:val="24"/>
          <w:lang w:val="es-ES_tradnl" w:eastAsia="ja-JP"/>
        </w:rPr>
        <w:t>automatic transmit power control</w:t>
      </w:r>
      <w:r w:rsidRPr="00140923">
        <w:rPr>
          <w:szCs w:val="24"/>
          <w:lang w:val="es-ES_tradnl" w:eastAsia="ja-JP"/>
        </w:rPr>
        <w:t>)</w:t>
      </w:r>
    </w:p>
    <w:p w14:paraId="7FACA34F" w14:textId="77777777" w:rsidR="002B37E9" w:rsidRPr="00140923" w:rsidRDefault="002B37E9" w:rsidP="002B37E9">
      <w:pPr>
        <w:tabs>
          <w:tab w:val="clear" w:pos="794"/>
          <w:tab w:val="clear" w:pos="1191"/>
          <w:tab w:val="left" w:pos="1106"/>
        </w:tabs>
        <w:rPr>
          <w:szCs w:val="24"/>
          <w:lang w:val="es-ES_tradnl" w:eastAsia="ja-JP"/>
        </w:rPr>
      </w:pPr>
      <w:r w:rsidRPr="00140923">
        <w:rPr>
          <w:szCs w:val="24"/>
          <w:lang w:val="es-ES_tradnl" w:eastAsia="ja-JP"/>
        </w:rPr>
        <w:t>BER</w:t>
      </w:r>
      <w:r w:rsidRPr="00140923">
        <w:rPr>
          <w:szCs w:val="24"/>
          <w:lang w:val="es-ES_tradnl" w:eastAsia="ja-JP"/>
        </w:rPr>
        <w:tab/>
        <w:t>Tasa de errores en los bits (</w:t>
      </w:r>
      <w:r w:rsidRPr="00140923">
        <w:rPr>
          <w:i/>
          <w:iCs/>
          <w:szCs w:val="24"/>
          <w:lang w:val="es-ES_tradnl" w:eastAsia="ja-JP"/>
        </w:rPr>
        <w:t>bit error ratio</w:t>
      </w:r>
      <w:r w:rsidRPr="00140923">
        <w:rPr>
          <w:szCs w:val="24"/>
          <w:lang w:val="es-ES_tradnl" w:eastAsia="ja-JP"/>
        </w:rPr>
        <w:t>)</w:t>
      </w:r>
    </w:p>
    <w:p w14:paraId="712467EA" w14:textId="77777777" w:rsidR="002B37E9" w:rsidRPr="00140923" w:rsidRDefault="002B37E9" w:rsidP="002B37E9">
      <w:pPr>
        <w:tabs>
          <w:tab w:val="clear" w:pos="794"/>
          <w:tab w:val="clear" w:pos="1191"/>
          <w:tab w:val="left" w:pos="1106"/>
        </w:tabs>
        <w:rPr>
          <w:szCs w:val="24"/>
          <w:lang w:val="es-ES_tradnl" w:eastAsia="ja-JP"/>
        </w:rPr>
      </w:pPr>
      <w:r w:rsidRPr="00140923">
        <w:rPr>
          <w:szCs w:val="24"/>
          <w:lang w:val="es-ES_tradnl" w:eastAsia="ja-JP"/>
        </w:rPr>
        <w:t>EP</w:t>
      </w:r>
      <w:r w:rsidRPr="00140923">
        <w:rPr>
          <w:szCs w:val="24"/>
          <w:lang w:val="es-ES_tradnl" w:eastAsia="ja-JP"/>
        </w:rPr>
        <w:tab/>
      </w:r>
      <w:r w:rsidRPr="00140923">
        <w:rPr>
          <w:lang w:val="es-ES_tradnl"/>
        </w:rPr>
        <w:t>Característica de error</w:t>
      </w:r>
      <w:r w:rsidRPr="00140923">
        <w:rPr>
          <w:szCs w:val="24"/>
          <w:lang w:val="es-ES_tradnl" w:eastAsia="ja-JP"/>
        </w:rPr>
        <w:t xml:space="preserve"> (</w:t>
      </w:r>
      <w:r w:rsidRPr="00140923">
        <w:rPr>
          <w:i/>
          <w:iCs/>
          <w:szCs w:val="24"/>
          <w:lang w:val="es-ES_tradnl" w:eastAsia="ja-JP"/>
        </w:rPr>
        <w:t>error performance</w:t>
      </w:r>
      <w:r w:rsidRPr="00140923">
        <w:rPr>
          <w:szCs w:val="24"/>
          <w:lang w:val="es-ES_tradnl" w:eastAsia="ja-JP"/>
        </w:rPr>
        <w:t>)</w:t>
      </w:r>
    </w:p>
    <w:p w14:paraId="1CB3650F" w14:textId="77777777" w:rsidR="002B37E9" w:rsidRPr="00140923" w:rsidRDefault="002B37E9" w:rsidP="002B37E9">
      <w:pPr>
        <w:tabs>
          <w:tab w:val="clear" w:pos="794"/>
          <w:tab w:val="clear" w:pos="1191"/>
          <w:tab w:val="left" w:pos="1106"/>
        </w:tabs>
        <w:rPr>
          <w:szCs w:val="24"/>
          <w:lang w:val="es-ES_tradnl" w:eastAsia="ja-JP"/>
        </w:rPr>
      </w:pPr>
      <w:r w:rsidRPr="00140923">
        <w:rPr>
          <w:szCs w:val="24"/>
          <w:lang w:val="es-ES_tradnl" w:eastAsia="ja-JP"/>
        </w:rPr>
        <w:t>EPO</w:t>
      </w:r>
      <w:r w:rsidRPr="00140923">
        <w:rPr>
          <w:szCs w:val="24"/>
          <w:lang w:val="es-ES_tradnl" w:eastAsia="ja-JP"/>
        </w:rPr>
        <w:tab/>
      </w:r>
      <w:r w:rsidRPr="00140923">
        <w:rPr>
          <w:lang w:val="es-ES_tradnl"/>
        </w:rPr>
        <w:t xml:space="preserve">Objetivo de </w:t>
      </w:r>
      <w:r w:rsidRPr="00140923">
        <w:rPr>
          <w:szCs w:val="24"/>
          <w:lang w:val="es-ES_tradnl" w:eastAsia="ja-JP"/>
        </w:rPr>
        <w:t>característica de error (</w:t>
      </w:r>
      <w:r w:rsidRPr="00140923">
        <w:rPr>
          <w:i/>
          <w:iCs/>
          <w:szCs w:val="24"/>
          <w:lang w:val="es-ES_tradnl" w:eastAsia="ja-JP"/>
        </w:rPr>
        <w:t>error performance objective</w:t>
      </w:r>
      <w:r w:rsidRPr="00140923">
        <w:rPr>
          <w:szCs w:val="24"/>
          <w:lang w:val="es-ES_tradnl" w:eastAsia="ja-JP"/>
        </w:rPr>
        <w:t>)</w:t>
      </w:r>
    </w:p>
    <w:p w14:paraId="3BE11426" w14:textId="77777777" w:rsidR="006479D0" w:rsidRPr="00140923" w:rsidRDefault="006479D0" w:rsidP="006479D0">
      <w:pPr>
        <w:tabs>
          <w:tab w:val="clear" w:pos="794"/>
          <w:tab w:val="clear" w:pos="1191"/>
          <w:tab w:val="left" w:pos="1106"/>
        </w:tabs>
        <w:rPr>
          <w:szCs w:val="24"/>
          <w:lang w:val="es-ES_tradnl" w:eastAsia="zh-CN"/>
        </w:rPr>
      </w:pPr>
      <w:r w:rsidRPr="00140923">
        <w:rPr>
          <w:szCs w:val="24"/>
          <w:lang w:val="es-ES_tradnl" w:eastAsia="zh-CN"/>
        </w:rPr>
        <w:t>FWS</w:t>
      </w:r>
      <w:r w:rsidRPr="00140923">
        <w:rPr>
          <w:szCs w:val="24"/>
          <w:lang w:val="es-ES_tradnl" w:eastAsia="zh-CN"/>
        </w:rPr>
        <w:tab/>
      </w:r>
      <w:r w:rsidRPr="00140923">
        <w:rPr>
          <w:lang w:val="es-ES_tradnl"/>
        </w:rPr>
        <w:t>Sistema inalámbrico fijo (</w:t>
      </w:r>
      <w:r w:rsidRPr="00140923">
        <w:rPr>
          <w:i/>
          <w:iCs/>
          <w:lang w:val="es-ES_tradnl"/>
        </w:rPr>
        <w:t>f</w:t>
      </w:r>
      <w:r w:rsidRPr="00140923">
        <w:rPr>
          <w:i/>
          <w:iCs/>
          <w:szCs w:val="24"/>
          <w:lang w:val="es-ES_tradnl" w:eastAsia="zh-CN"/>
        </w:rPr>
        <w:t>ixed wireless system</w:t>
      </w:r>
      <w:r w:rsidRPr="00140923">
        <w:rPr>
          <w:szCs w:val="24"/>
          <w:lang w:val="es-ES_tradnl" w:eastAsia="zh-CN"/>
        </w:rPr>
        <w:t>)</w:t>
      </w:r>
    </w:p>
    <w:p w14:paraId="6A9928A0" w14:textId="77777777" w:rsidR="00FF6E26" w:rsidRPr="00140923" w:rsidRDefault="00FF6E26" w:rsidP="00FF6E26">
      <w:pPr>
        <w:tabs>
          <w:tab w:val="clear" w:pos="794"/>
          <w:tab w:val="clear" w:pos="1191"/>
          <w:tab w:val="left" w:pos="1106"/>
        </w:tabs>
        <w:rPr>
          <w:szCs w:val="24"/>
          <w:lang w:val="es-ES_tradnl" w:eastAsia="zh-CN"/>
        </w:rPr>
      </w:pPr>
      <w:r w:rsidRPr="00140923">
        <w:rPr>
          <w:szCs w:val="24"/>
          <w:lang w:val="es-ES_tradnl" w:eastAsia="zh-CN"/>
        </w:rPr>
        <w:t>MAQ</w:t>
      </w:r>
      <w:r w:rsidRPr="00140923">
        <w:rPr>
          <w:szCs w:val="24"/>
          <w:lang w:val="es-ES_tradnl" w:eastAsia="zh-CN"/>
        </w:rPr>
        <w:tab/>
        <w:t>Modulación de amplitud en cuadratura</w:t>
      </w:r>
    </w:p>
    <w:p w14:paraId="00C6E0CE" w14:textId="77777777" w:rsidR="002B37E9" w:rsidRPr="00140923" w:rsidRDefault="002B37E9" w:rsidP="002B37E9">
      <w:pPr>
        <w:tabs>
          <w:tab w:val="clear" w:pos="794"/>
          <w:tab w:val="clear" w:pos="1191"/>
          <w:tab w:val="left" w:pos="1106"/>
        </w:tabs>
        <w:rPr>
          <w:szCs w:val="24"/>
          <w:lang w:val="es-ES_tradnl" w:eastAsia="zh-CN"/>
        </w:rPr>
      </w:pPr>
      <w:r w:rsidRPr="00140923">
        <w:rPr>
          <w:lang w:val="es-ES_tradnl"/>
        </w:rPr>
        <w:t>MDF</w:t>
      </w:r>
      <w:r w:rsidRPr="00140923">
        <w:rPr>
          <w:szCs w:val="24"/>
          <w:lang w:val="es-ES_tradnl" w:eastAsia="zh-CN"/>
        </w:rPr>
        <w:tab/>
        <w:t>Modulación por desplazamiento de frecuencia (</w:t>
      </w:r>
      <w:r w:rsidRPr="00140923">
        <w:rPr>
          <w:i/>
          <w:iCs/>
          <w:szCs w:val="24"/>
          <w:lang w:val="es-ES_tradnl" w:eastAsia="zh-CN"/>
        </w:rPr>
        <w:t>frequency shift keying</w:t>
      </w:r>
      <w:r w:rsidRPr="00140923">
        <w:rPr>
          <w:szCs w:val="24"/>
          <w:lang w:val="es-ES_tradnl" w:eastAsia="zh-CN"/>
        </w:rPr>
        <w:t>)</w:t>
      </w:r>
    </w:p>
    <w:p w14:paraId="7245C9D9" w14:textId="77777777" w:rsidR="00FF6E26" w:rsidRPr="00140923" w:rsidRDefault="00FF6E26" w:rsidP="00FF6E26">
      <w:pPr>
        <w:tabs>
          <w:tab w:val="clear" w:pos="794"/>
          <w:tab w:val="clear" w:pos="1191"/>
          <w:tab w:val="left" w:pos="1106"/>
        </w:tabs>
        <w:rPr>
          <w:szCs w:val="24"/>
          <w:lang w:val="es-ES_tradnl" w:eastAsia="zh-CN"/>
        </w:rPr>
      </w:pPr>
      <w:r w:rsidRPr="00140923">
        <w:rPr>
          <w:lang w:val="es-ES_tradnl"/>
        </w:rPr>
        <w:t>MDP-4</w:t>
      </w:r>
      <w:r w:rsidRPr="00140923">
        <w:rPr>
          <w:szCs w:val="24"/>
          <w:lang w:val="es-ES_tradnl" w:eastAsia="zh-CN"/>
        </w:rPr>
        <w:tab/>
        <w:t>Modulación por desplazamiento de fase cuaternaria</w:t>
      </w:r>
    </w:p>
    <w:p w14:paraId="7E0B1C2B" w14:textId="77777777" w:rsidR="002B37E9" w:rsidRPr="00140923" w:rsidRDefault="002B37E9" w:rsidP="002B37E9">
      <w:pPr>
        <w:tabs>
          <w:tab w:val="clear" w:pos="794"/>
          <w:tab w:val="clear" w:pos="1191"/>
          <w:tab w:val="left" w:pos="1106"/>
        </w:tabs>
        <w:rPr>
          <w:szCs w:val="24"/>
          <w:lang w:val="es-ES_tradnl" w:eastAsia="zh-CN"/>
        </w:rPr>
      </w:pPr>
      <w:r w:rsidRPr="00140923">
        <w:rPr>
          <w:szCs w:val="24"/>
          <w:lang w:val="es-ES_tradnl" w:eastAsia="zh-CN"/>
        </w:rPr>
        <w:t>NF</w:t>
      </w:r>
      <w:r w:rsidRPr="00140923">
        <w:rPr>
          <w:szCs w:val="24"/>
          <w:lang w:val="es-ES_tradnl" w:eastAsia="zh-CN"/>
        </w:rPr>
        <w:tab/>
        <w:t>Factor de ruido (</w:t>
      </w:r>
      <w:r w:rsidRPr="00140923">
        <w:rPr>
          <w:i/>
          <w:iCs/>
          <w:szCs w:val="24"/>
          <w:lang w:val="es-ES_tradnl" w:eastAsia="zh-CN"/>
        </w:rPr>
        <w:t>noise figure</w:t>
      </w:r>
      <w:r w:rsidRPr="00140923">
        <w:rPr>
          <w:szCs w:val="24"/>
          <w:lang w:val="es-ES_tradnl" w:eastAsia="zh-CN"/>
        </w:rPr>
        <w:t>)</w:t>
      </w:r>
    </w:p>
    <w:p w14:paraId="5AD4F0F0" w14:textId="77777777" w:rsidR="00FF6E26" w:rsidRPr="00140923" w:rsidRDefault="00FF6E26" w:rsidP="00FF6E26">
      <w:pPr>
        <w:tabs>
          <w:tab w:val="clear" w:pos="794"/>
          <w:tab w:val="clear" w:pos="1191"/>
          <w:tab w:val="left" w:pos="1106"/>
        </w:tabs>
        <w:rPr>
          <w:szCs w:val="24"/>
          <w:lang w:val="es-ES_tradnl" w:eastAsia="ja-JP"/>
        </w:rPr>
      </w:pPr>
      <w:r w:rsidRPr="00140923">
        <w:rPr>
          <w:szCs w:val="24"/>
          <w:lang w:val="es-ES_tradnl" w:eastAsia="ja-JP"/>
        </w:rPr>
        <w:t>p.i.r.e.</w:t>
      </w:r>
      <w:r w:rsidRPr="00140923">
        <w:rPr>
          <w:szCs w:val="24"/>
          <w:lang w:val="es-ES_tradnl" w:eastAsia="ja-JP"/>
        </w:rPr>
        <w:tab/>
      </w:r>
      <w:r w:rsidRPr="00140923">
        <w:rPr>
          <w:lang w:val="es-ES_tradnl"/>
        </w:rPr>
        <w:t>potencia isótropa radiada equivalente</w:t>
      </w:r>
    </w:p>
    <w:p w14:paraId="0B44931D" w14:textId="77777777" w:rsidR="002B37E9" w:rsidRPr="00140923" w:rsidRDefault="002B37E9" w:rsidP="002B37E9">
      <w:pPr>
        <w:tabs>
          <w:tab w:val="clear" w:pos="794"/>
          <w:tab w:val="clear" w:pos="1191"/>
          <w:tab w:val="left" w:pos="1106"/>
        </w:tabs>
        <w:rPr>
          <w:szCs w:val="24"/>
          <w:lang w:val="es-ES_tradnl" w:eastAsia="zh-CN"/>
        </w:rPr>
      </w:pPr>
      <w:r w:rsidRPr="00140923">
        <w:rPr>
          <w:szCs w:val="24"/>
          <w:lang w:val="es-ES_tradnl" w:eastAsia="zh-CN"/>
        </w:rPr>
        <w:t>PMP</w:t>
      </w:r>
      <w:r w:rsidRPr="00140923">
        <w:rPr>
          <w:szCs w:val="24"/>
          <w:lang w:val="es-ES_tradnl" w:eastAsia="zh-CN"/>
        </w:rPr>
        <w:tab/>
        <w:t>Punto a multipunto (</w:t>
      </w:r>
      <w:r w:rsidRPr="00140923">
        <w:rPr>
          <w:i/>
          <w:iCs/>
          <w:szCs w:val="24"/>
          <w:lang w:val="es-ES_tradnl" w:eastAsia="zh-CN"/>
        </w:rPr>
        <w:t>point-to-multipoint</w:t>
      </w:r>
      <w:r w:rsidRPr="00140923">
        <w:rPr>
          <w:szCs w:val="24"/>
          <w:lang w:val="es-ES_tradnl" w:eastAsia="zh-CN"/>
        </w:rPr>
        <w:t>)</w:t>
      </w:r>
    </w:p>
    <w:p w14:paraId="60CC6BD1" w14:textId="77777777" w:rsidR="002B37E9" w:rsidRPr="00140923" w:rsidRDefault="002B37E9" w:rsidP="002B37E9">
      <w:pPr>
        <w:tabs>
          <w:tab w:val="clear" w:pos="794"/>
          <w:tab w:val="clear" w:pos="1191"/>
          <w:tab w:val="left" w:pos="1106"/>
        </w:tabs>
        <w:rPr>
          <w:szCs w:val="24"/>
          <w:lang w:val="es-ES_tradnl" w:eastAsia="zh-CN"/>
        </w:rPr>
      </w:pPr>
      <w:r w:rsidRPr="00140923">
        <w:rPr>
          <w:szCs w:val="24"/>
          <w:lang w:val="es-ES_tradnl" w:eastAsia="zh-CN"/>
        </w:rPr>
        <w:t>PP</w:t>
      </w:r>
      <w:r w:rsidRPr="00140923">
        <w:rPr>
          <w:szCs w:val="24"/>
          <w:lang w:val="es-ES_tradnl" w:eastAsia="zh-CN"/>
        </w:rPr>
        <w:tab/>
        <w:t>Punto a punto (</w:t>
      </w:r>
      <w:r w:rsidRPr="00140923">
        <w:rPr>
          <w:i/>
          <w:iCs/>
          <w:szCs w:val="24"/>
          <w:lang w:val="es-ES_tradnl" w:eastAsia="zh-CN"/>
        </w:rPr>
        <w:t>point-to-point</w:t>
      </w:r>
      <w:r w:rsidRPr="00140923">
        <w:rPr>
          <w:szCs w:val="24"/>
          <w:lang w:val="es-ES_tradnl" w:eastAsia="zh-CN"/>
        </w:rPr>
        <w:t>)</w:t>
      </w:r>
    </w:p>
    <w:p w14:paraId="60AC152C" w14:textId="77777777" w:rsidR="006479D0" w:rsidRPr="00140923" w:rsidRDefault="006479D0" w:rsidP="006479D0">
      <w:pPr>
        <w:tabs>
          <w:tab w:val="clear" w:pos="794"/>
          <w:tab w:val="clear" w:pos="1191"/>
          <w:tab w:val="left" w:pos="1106"/>
        </w:tabs>
        <w:rPr>
          <w:szCs w:val="24"/>
          <w:lang w:val="es-ES_tradnl" w:eastAsia="zh-CN"/>
        </w:rPr>
      </w:pPr>
      <w:r w:rsidRPr="00140923">
        <w:rPr>
          <w:szCs w:val="24"/>
          <w:lang w:val="es-ES_tradnl" w:eastAsia="zh-CN"/>
        </w:rPr>
        <w:t>SF</w:t>
      </w:r>
      <w:r w:rsidRPr="00140923">
        <w:rPr>
          <w:szCs w:val="24"/>
          <w:lang w:val="es-ES_tradnl" w:eastAsia="zh-CN"/>
        </w:rPr>
        <w:tab/>
        <w:t>Servicio fijo</w:t>
      </w:r>
    </w:p>
    <w:p w14:paraId="26E0BF32" w14:textId="77777777" w:rsidR="002B37E9" w:rsidRPr="00140923" w:rsidRDefault="002B37E9" w:rsidP="002B37E9">
      <w:pPr>
        <w:pStyle w:val="Headingb"/>
        <w:rPr>
          <w:szCs w:val="24"/>
          <w:lang w:val="es-ES_tradnl"/>
        </w:rPr>
      </w:pPr>
      <w:r w:rsidRPr="00140923">
        <w:rPr>
          <w:lang w:val="es-ES_tradnl"/>
        </w:rPr>
        <w:t>Recomendaciones e Informes de la UIT conexos</w:t>
      </w:r>
    </w:p>
    <w:p w14:paraId="1713A5BA" w14:textId="36F2D9E5"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17" w:history="1">
        <w:r w:rsidRPr="003B367D">
          <w:rPr>
            <w:rStyle w:val="Hyperlink"/>
            <w:color w:val="auto"/>
            <w:u w:val="none"/>
            <w:lang w:val="es-ES_tradnl"/>
          </w:rPr>
          <w:t>UIT-R P.581</w:t>
        </w:r>
      </w:hyperlink>
      <w:r w:rsidRPr="00140923">
        <w:rPr>
          <w:lang w:val="es-ES_tradnl"/>
        </w:rPr>
        <w:t> – </w:t>
      </w:r>
      <w:r w:rsidRPr="004F7602">
        <w:rPr>
          <w:lang w:val="es-ES_tradnl"/>
        </w:rPr>
        <w:t>Noción de «mes más desfavorable»</w:t>
      </w:r>
    </w:p>
    <w:p w14:paraId="67C98BC3" w14:textId="77777777" w:rsidR="002B37E9" w:rsidRPr="00140923" w:rsidRDefault="002B37E9" w:rsidP="002B37E9">
      <w:pPr>
        <w:pStyle w:val="Reftext"/>
        <w:tabs>
          <w:tab w:val="clear" w:pos="1588"/>
          <w:tab w:val="clear" w:pos="1985"/>
          <w:tab w:val="left" w:pos="3261"/>
        </w:tabs>
        <w:rPr>
          <w:lang w:val="es-ES_tradnl"/>
        </w:rPr>
      </w:pPr>
      <w:r w:rsidRPr="00140923">
        <w:rPr>
          <w:lang w:val="es-ES_tradnl"/>
        </w:rPr>
        <w:lastRenderedPageBreak/>
        <w:t xml:space="preserve">Recomendación </w:t>
      </w:r>
      <w:hyperlink r:id="rId18" w:history="1">
        <w:r w:rsidRPr="00140923">
          <w:rPr>
            <w:lang w:val="es-ES_tradnl"/>
          </w:rPr>
          <w:t>UIT-R F.634</w:t>
        </w:r>
      </w:hyperlink>
      <w:r w:rsidRPr="00140923">
        <w:rPr>
          <w:lang w:val="es-ES_tradnl"/>
        </w:rPr>
        <w:t> – Objetivos en materia de características de error para radioenlaces digitales reales que forman parte de la porción de grado alto de calidad de conexiones internacionales digitales a una velocidad binaria inferior a la velocidad primaria dentro de una red digital de servicios integrados</w:t>
      </w:r>
    </w:p>
    <w:p w14:paraId="3A03A4B6" w14:textId="77777777"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19" w:history="1">
        <w:r w:rsidRPr="00140923">
          <w:rPr>
            <w:lang w:val="es-ES_tradnl"/>
          </w:rPr>
          <w:t>UIT-R F.695</w:t>
        </w:r>
      </w:hyperlink>
      <w:r w:rsidRPr="00140923">
        <w:rPr>
          <w:lang w:val="es-ES_tradnl"/>
        </w:rPr>
        <w:t> – Objetivos de disponibilidad para enlaces de relevadores radioeléctricos digitales reales que forman parte de un circuito de «grado alto» de calidad dentro de una red digital de servicios integrados</w:t>
      </w:r>
    </w:p>
    <w:p w14:paraId="38D2B109" w14:textId="77777777"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20" w:history="1">
        <w:r w:rsidRPr="00140923">
          <w:rPr>
            <w:lang w:val="es-ES_tradnl"/>
          </w:rPr>
          <w:t>UIT-R F.696</w:t>
        </w:r>
      </w:hyperlink>
      <w:r w:rsidRPr="00140923">
        <w:rPr>
          <w:lang w:val="es-ES_tradnl"/>
        </w:rPr>
        <w:t> – Objetivos de característica de error y de disponibilidad para secciones digitales ficticias de referencia que constituyen un tramo o la totalidad de la parte de grado medio de una conexión de la red digital de servicios integrados a una velocidad binaria inferior a la velocidad primaria que utilizan los sistemas de radioenlaces digitales</w:t>
      </w:r>
    </w:p>
    <w:p w14:paraId="05DE74B9" w14:textId="77777777"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21" w:history="1">
        <w:r w:rsidRPr="00140923">
          <w:rPr>
            <w:lang w:val="es-ES_tradnl"/>
          </w:rPr>
          <w:t>UIT-R F.697</w:t>
        </w:r>
      </w:hyperlink>
      <w:r w:rsidRPr="00140923">
        <w:rPr>
          <w:lang w:val="es-ES_tradnl"/>
        </w:rPr>
        <w:t> – Objetivos de característica de errores y de disponibilidad para el tramo de grado local en cada extremo de una conexión de red digital de servicios integrados a una velocidad binaria inferior a la velocidad primaria que utiliza sistemas de relevadores radioeléctricos digitales</w:t>
      </w:r>
    </w:p>
    <w:p w14:paraId="42309780" w14:textId="77777777"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22" w:history="1">
        <w:r w:rsidRPr="00140923">
          <w:rPr>
            <w:lang w:val="es-ES_tradnl"/>
          </w:rPr>
          <w:t>UIT-R F.699</w:t>
        </w:r>
      </w:hyperlink>
      <w:r w:rsidRPr="00140923">
        <w:rPr>
          <w:lang w:val="es-ES_tradnl"/>
        </w:rPr>
        <w:t> – Diagramas de radiación de referencia de antenas de sistemas inalámbricos fijos para utilizarlos en los estudios de coordinación y en la evaluación de la interferencia en la gama de frecuencias de 100 MHz a 86 GHz</w:t>
      </w:r>
    </w:p>
    <w:p w14:paraId="5D30EF7A" w14:textId="6C34E708"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23" w:history="1">
        <w:r w:rsidRPr="00140923">
          <w:rPr>
            <w:lang w:val="es-ES_tradnl"/>
          </w:rPr>
          <w:t xml:space="preserve">UIT-R </w:t>
        </w:r>
        <w:r w:rsidR="003B367D">
          <w:rPr>
            <w:lang w:val="es-ES_tradnl"/>
          </w:rPr>
          <w:t>S</w:t>
        </w:r>
        <w:r w:rsidRPr="00140923">
          <w:rPr>
            <w:lang w:val="es-ES_tradnl"/>
          </w:rPr>
          <w:t>F.766</w:t>
        </w:r>
      </w:hyperlink>
      <w:r w:rsidRPr="00140923">
        <w:rPr>
          <w:lang w:val="es-ES_tradnl"/>
        </w:rPr>
        <w:t> – Métodos para determinar los efectos de la interferencia en la calidad de funcionamiento y la disponibilidad de los sistemas de relevadores radioeléctricos terrenales y en los sistemas del servicio fijo por satélite</w:t>
      </w:r>
    </w:p>
    <w:p w14:paraId="395FFD54" w14:textId="77777777"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24" w:history="1">
        <w:r w:rsidRPr="00140923">
          <w:rPr>
            <w:lang w:val="es-ES_tradnl"/>
          </w:rPr>
          <w:t>UIT-R F.1094</w:t>
        </w:r>
      </w:hyperlink>
      <w:r w:rsidRPr="00140923">
        <w:rPr>
          <w:lang w:val="es-ES_tradnl"/>
        </w:rPr>
        <w:t> – Valores máximos admisibles de las degradaciones de la característica de error y de la disponibilidad en los sistemas inalámbricos fijos (FWS) digitales provocadas por la interferencia radioeléctrica procedente de emisiones y radiaciones de otras fuentes</w:t>
      </w:r>
    </w:p>
    <w:p w14:paraId="32864979" w14:textId="457C9286"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25" w:history="1">
        <w:r w:rsidRPr="00140923">
          <w:rPr>
            <w:lang w:val="es-ES_tradnl"/>
          </w:rPr>
          <w:t>UIT-R F.1101</w:t>
        </w:r>
      </w:hyperlink>
      <w:r w:rsidRPr="00140923">
        <w:rPr>
          <w:lang w:val="es-ES_tradnl"/>
        </w:rPr>
        <w:t> – </w:t>
      </w:r>
      <w:r w:rsidRPr="004F7602">
        <w:rPr>
          <w:lang w:val="es-ES_tradnl"/>
        </w:rPr>
        <w:t>Características de los sistemas inalámbricos fijos digitales por debajo de 17</w:t>
      </w:r>
      <w:r w:rsidRPr="00140923">
        <w:rPr>
          <w:lang w:val="es-ES_tradnl"/>
        </w:rPr>
        <w:t> </w:t>
      </w:r>
      <w:r w:rsidRPr="004F7602">
        <w:rPr>
          <w:lang w:val="es-ES_tradnl"/>
        </w:rPr>
        <w:t>GHz aproximadamente</w:t>
      </w:r>
    </w:p>
    <w:p w14:paraId="64BD6525" w14:textId="77777777"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26" w:history="1">
        <w:r w:rsidRPr="00140923">
          <w:rPr>
            <w:lang w:val="es-ES_tradnl"/>
          </w:rPr>
          <w:t>UIT-R F.1108</w:t>
        </w:r>
      </w:hyperlink>
      <w:r w:rsidRPr="00140923">
        <w:rPr>
          <w:lang w:val="es-ES_tradnl"/>
        </w:rPr>
        <w:t> – Determinación de los criterios para proteger los receptores del servicio fijo de las emisiones procedentes de estaciones espaciales situadas en órbitas de satélites no geoestacionarios y que funcionan en bandas de frecuencias compartidas</w:t>
      </w:r>
    </w:p>
    <w:p w14:paraId="50DE3380" w14:textId="77777777"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27" w:history="1">
        <w:r w:rsidRPr="00140923">
          <w:rPr>
            <w:lang w:val="es-ES_tradnl"/>
          </w:rPr>
          <w:t>UIT-R F.1245</w:t>
        </w:r>
      </w:hyperlink>
      <w:r w:rsidRPr="00140923">
        <w:rPr>
          <w:lang w:val="es-ES_tradnl"/>
        </w:rPr>
        <w:t> – Modelo matemático de diagramas de radiación media y diagramas conexos para antenas de sistemas inalámbricos fijos punto a punto para la evaluación de la interferencia en la gama de frecuencias de 1 GHz a 86 GHz</w:t>
      </w:r>
    </w:p>
    <w:p w14:paraId="776AA763" w14:textId="77777777"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28" w:history="1">
        <w:r w:rsidRPr="00140923">
          <w:rPr>
            <w:lang w:val="es-ES_tradnl"/>
          </w:rPr>
          <w:t>UIT-R F.1336</w:t>
        </w:r>
      </w:hyperlink>
      <w:r w:rsidRPr="00140923">
        <w:rPr>
          <w:lang w:val="es-ES_tradnl"/>
        </w:rPr>
        <w:t> – Diagramas de radiación de referencia de antenas omnidireccionales, sectoriales y de otros tipos de antenas de los servicios fijo y móvil para su utilización en estudios de compartición en la gama de frecuencias de 400 MHz a aproximadamente 70 GHz</w:t>
      </w:r>
    </w:p>
    <w:p w14:paraId="51A484C3" w14:textId="0DD5070A" w:rsidR="002B37E9" w:rsidRPr="004F7602" w:rsidRDefault="002B37E9" w:rsidP="004F7602">
      <w:pPr>
        <w:pStyle w:val="Reftext"/>
        <w:ind w:left="1588" w:hanging="1588"/>
        <w:rPr>
          <w:lang w:val="es-ES_tradnl" w:eastAsia="ja-JP"/>
        </w:rPr>
      </w:pPr>
      <w:r w:rsidRPr="00140923">
        <w:rPr>
          <w:lang w:val="es-ES_tradnl" w:eastAsia="ja-JP"/>
        </w:rPr>
        <w:t>Recomenda</w:t>
      </w:r>
      <w:r w:rsidRPr="004F7602">
        <w:rPr>
          <w:lang w:val="es-ES_tradnl" w:eastAsia="ja-JP"/>
        </w:rPr>
        <w:t>c</w:t>
      </w:r>
      <w:r w:rsidRPr="00140923">
        <w:rPr>
          <w:lang w:val="es-ES_tradnl" w:eastAsia="ja-JP"/>
        </w:rPr>
        <w:t>i</w:t>
      </w:r>
      <w:r w:rsidRPr="004F7602">
        <w:rPr>
          <w:lang w:val="es-ES_tradnl" w:eastAsia="ja-JP"/>
        </w:rPr>
        <w:t>ó</w:t>
      </w:r>
      <w:r w:rsidRPr="00140923">
        <w:rPr>
          <w:lang w:val="es-ES_tradnl" w:eastAsia="ja-JP"/>
        </w:rPr>
        <w:t xml:space="preserve">n </w:t>
      </w:r>
      <w:hyperlink r:id="rId29" w:history="1">
        <w:r w:rsidRPr="003B367D">
          <w:rPr>
            <w:rStyle w:val="Hyperlink"/>
            <w:color w:val="auto"/>
            <w:u w:val="none"/>
            <w:lang w:val="es-ES_tradnl"/>
          </w:rPr>
          <w:t>UIT-R SM.1448</w:t>
        </w:r>
      </w:hyperlink>
      <w:r w:rsidRPr="00140923">
        <w:rPr>
          <w:lang w:val="es-ES_tradnl"/>
        </w:rPr>
        <w:t> </w:t>
      </w:r>
      <w:r w:rsidRPr="00140923">
        <w:rPr>
          <w:lang w:val="es-ES_tradnl" w:eastAsia="ja-JP"/>
        </w:rPr>
        <w:t>– </w:t>
      </w:r>
      <w:r w:rsidRPr="004F7602">
        <w:rPr>
          <w:lang w:val="es-ES_tradnl" w:eastAsia="ja-JP"/>
        </w:rPr>
        <w:t>Determinación de la zona de coordinación alrededor de una estación terrena</w:t>
      </w:r>
      <w:r w:rsidRPr="00140923">
        <w:rPr>
          <w:lang w:val="es-ES_tradnl" w:eastAsia="ja-JP"/>
        </w:rPr>
        <w:t xml:space="preserve"> </w:t>
      </w:r>
      <w:r w:rsidRPr="004F7602">
        <w:rPr>
          <w:lang w:val="es-ES_tradnl" w:eastAsia="ja-JP"/>
        </w:rPr>
        <w:t>en las bandas de frecuencias entre 100 MHz y 105 GHz</w:t>
      </w:r>
    </w:p>
    <w:p w14:paraId="2F861A29" w14:textId="20F99B3E"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30" w:history="1">
        <w:r w:rsidRPr="00140923">
          <w:rPr>
            <w:lang w:val="es-ES_tradnl"/>
          </w:rPr>
          <w:t>UIT-R F.1494</w:t>
        </w:r>
      </w:hyperlink>
      <w:r w:rsidRPr="00140923">
        <w:rPr>
          <w:lang w:val="es-ES_tradnl"/>
        </w:rPr>
        <w:t> – Criterios de interferencia para proteger el servicio fijo contra la interferencia combinada variable en el tiempo procedente de otros servicios que comparten la banda 10,7</w:t>
      </w:r>
      <w:r w:rsidRPr="00140923">
        <w:rPr>
          <w:lang w:val="es-ES_tradnl"/>
        </w:rPr>
        <w:noBreakHyphen/>
        <w:t>12,75 GHz a título igualmente primario</w:t>
      </w:r>
    </w:p>
    <w:p w14:paraId="46A67142" w14:textId="77777777"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31" w:history="1">
        <w:r w:rsidRPr="00140923">
          <w:rPr>
            <w:lang w:val="es-ES_tradnl"/>
          </w:rPr>
          <w:t>UIT-R F.1495</w:t>
        </w:r>
      </w:hyperlink>
      <w:r w:rsidRPr="00140923">
        <w:rPr>
          <w:lang w:val="es-ES_tradnl"/>
        </w:rPr>
        <w:t> – Criterios de interferencia para proteger al servicio fijo de la interferencia combinada variable en el tiempo procedente de los otros servicios de radiocomunicación que comparten la banda 17,7-19,3 GHz a título coprimario</w:t>
      </w:r>
    </w:p>
    <w:p w14:paraId="7A53CD0F" w14:textId="77777777" w:rsidR="002B37E9" w:rsidRPr="00140923" w:rsidRDefault="002B37E9" w:rsidP="003B367D">
      <w:pPr>
        <w:pStyle w:val="Reftext"/>
        <w:tabs>
          <w:tab w:val="clear" w:pos="1588"/>
          <w:tab w:val="clear" w:pos="1985"/>
          <w:tab w:val="left" w:pos="3261"/>
        </w:tabs>
        <w:rPr>
          <w:lang w:val="es-ES_tradnl"/>
        </w:rPr>
      </w:pPr>
      <w:r w:rsidRPr="00140923">
        <w:rPr>
          <w:lang w:val="es-ES_tradnl"/>
        </w:rPr>
        <w:t xml:space="preserve">Recomendación </w:t>
      </w:r>
      <w:hyperlink r:id="rId32" w:history="1">
        <w:r w:rsidRPr="00140923">
          <w:rPr>
            <w:lang w:val="es-ES_tradnl"/>
          </w:rPr>
          <w:t>UIT-R F.1565</w:t>
        </w:r>
      </w:hyperlink>
      <w:r w:rsidRPr="00140923">
        <w:rPr>
          <w:lang w:val="es-ES_tradnl"/>
        </w:rPr>
        <w:t> – Degradación de la calidad de funcionamiento debida a la interferencia causada por otros servicios que comparten las mismas bandas de frecuencias a título coprimario, o por otras fuentes de interferencia, con sistemas inalámbricos fijos digitales reales utilizados en los tramos internacional y nacional de un trayecto ficticio de referencia de 27 500 km a velocidad primaria o superior</w:t>
      </w:r>
    </w:p>
    <w:p w14:paraId="7BEEC1B7" w14:textId="77777777" w:rsidR="002B37E9" w:rsidRPr="00140923" w:rsidRDefault="002B37E9" w:rsidP="003B367D">
      <w:pPr>
        <w:pStyle w:val="Reftext"/>
        <w:keepNext/>
        <w:keepLines/>
        <w:tabs>
          <w:tab w:val="clear" w:pos="1588"/>
          <w:tab w:val="clear" w:pos="1985"/>
          <w:tab w:val="left" w:pos="3261"/>
        </w:tabs>
        <w:rPr>
          <w:lang w:val="es-ES_tradnl"/>
        </w:rPr>
      </w:pPr>
      <w:r w:rsidRPr="00140923">
        <w:rPr>
          <w:lang w:val="es-ES_tradnl"/>
        </w:rPr>
        <w:lastRenderedPageBreak/>
        <w:t xml:space="preserve">Recomendación </w:t>
      </w:r>
      <w:hyperlink r:id="rId33" w:history="1">
        <w:r w:rsidRPr="00140923">
          <w:rPr>
            <w:lang w:val="es-ES_tradnl"/>
          </w:rPr>
          <w:t>UIT-R F.1606</w:t>
        </w:r>
      </w:hyperlink>
      <w:r w:rsidRPr="00140923">
        <w:rPr>
          <w:lang w:val="es-ES_tradnl"/>
        </w:rPr>
        <w:t> – Criterios de interferencia para la protección de sistemas inalámbricos fijos contra la interferencia combinada variable en el tiempo ocasionada por satélites no geoestacionarios que funcionan en otros servicios que comparten las bandas 37-40 GHz y 40,5-42,5 GHz también a título primario</w:t>
      </w:r>
    </w:p>
    <w:p w14:paraId="118A80B2" w14:textId="1E88A248" w:rsidR="002B37E9" w:rsidRPr="00140923" w:rsidRDefault="002B37E9" w:rsidP="003B367D">
      <w:pPr>
        <w:pStyle w:val="Reftext"/>
        <w:tabs>
          <w:tab w:val="clear" w:pos="1588"/>
          <w:tab w:val="clear" w:pos="1985"/>
          <w:tab w:val="left" w:pos="3261"/>
        </w:tabs>
        <w:rPr>
          <w:lang w:val="es-ES_tradnl" w:eastAsia="ja-JP"/>
        </w:rPr>
      </w:pPr>
      <w:r w:rsidRPr="00140923">
        <w:rPr>
          <w:lang w:val="es-ES_tradnl"/>
        </w:rPr>
        <w:t xml:space="preserve">Recomendación </w:t>
      </w:r>
      <w:hyperlink r:id="rId34" w:history="1">
        <w:r w:rsidRPr="003B367D">
          <w:rPr>
            <w:rStyle w:val="Hyperlink"/>
            <w:color w:val="auto"/>
            <w:u w:val="none"/>
            <w:lang w:val="es-ES_tradnl"/>
          </w:rPr>
          <w:t>UIT-R SF.1650</w:t>
        </w:r>
      </w:hyperlink>
      <w:r w:rsidRPr="00140923">
        <w:rPr>
          <w:lang w:val="es-ES_tradnl" w:eastAsia="ja-JP"/>
        </w:rPr>
        <w:t> – </w:t>
      </w:r>
      <w:r w:rsidRPr="004F7602">
        <w:rPr>
          <w:lang w:val="es-ES_tradnl" w:eastAsia="ja-JP"/>
        </w:rPr>
        <w:t>Distancia mínima desde la línea de base a partir de la cual las estaciones terrenas en movimiento situadas a bordo de barcos no deben causar interferencia al servicio terrenal en las bandas de frecuencias 5</w:t>
      </w:r>
      <w:r w:rsidR="003B367D">
        <w:rPr>
          <w:lang w:val="es-ES_tradnl" w:eastAsia="ja-JP"/>
        </w:rPr>
        <w:t> </w:t>
      </w:r>
      <w:r w:rsidRPr="004F7602">
        <w:rPr>
          <w:lang w:val="es-ES_tradnl" w:eastAsia="ja-JP"/>
        </w:rPr>
        <w:t>925-6</w:t>
      </w:r>
      <w:r w:rsidR="003B367D">
        <w:rPr>
          <w:lang w:val="es-ES_tradnl" w:eastAsia="ja-JP"/>
        </w:rPr>
        <w:t> </w:t>
      </w:r>
      <w:r w:rsidRPr="004F7602">
        <w:rPr>
          <w:lang w:val="es-ES_tradnl" w:eastAsia="ja-JP"/>
        </w:rPr>
        <w:t>425</w:t>
      </w:r>
      <w:r w:rsidR="003B367D">
        <w:rPr>
          <w:lang w:val="es-ES_tradnl" w:eastAsia="ja-JP"/>
        </w:rPr>
        <w:t> </w:t>
      </w:r>
      <w:r w:rsidRPr="004F7602">
        <w:rPr>
          <w:lang w:val="es-ES_tradnl" w:eastAsia="ja-JP"/>
        </w:rPr>
        <w:t>MHz y 14-14,5</w:t>
      </w:r>
      <w:r w:rsidR="003B367D">
        <w:rPr>
          <w:lang w:val="es-ES_tradnl" w:eastAsia="ja-JP"/>
        </w:rPr>
        <w:t> </w:t>
      </w:r>
      <w:r w:rsidRPr="004F7602">
        <w:rPr>
          <w:lang w:val="es-ES_tradnl" w:eastAsia="ja-JP"/>
        </w:rPr>
        <w:t>GH</w:t>
      </w:r>
      <w:r w:rsidR="003B367D">
        <w:rPr>
          <w:lang w:val="es-ES_tradnl" w:eastAsia="ja-JP"/>
        </w:rPr>
        <w:t>z</w:t>
      </w:r>
    </w:p>
    <w:p w14:paraId="0977DFD8" w14:textId="77777777" w:rsidR="002B37E9" w:rsidRPr="00140923" w:rsidRDefault="002B37E9" w:rsidP="002B37E9">
      <w:pPr>
        <w:pStyle w:val="Reftext"/>
        <w:tabs>
          <w:tab w:val="clear" w:pos="1588"/>
          <w:tab w:val="clear" w:pos="1985"/>
          <w:tab w:val="left" w:pos="3261"/>
        </w:tabs>
        <w:rPr>
          <w:lang w:val="es-ES_tradnl"/>
        </w:rPr>
      </w:pPr>
      <w:r w:rsidRPr="00140923">
        <w:rPr>
          <w:lang w:val="es-ES_tradnl"/>
        </w:rPr>
        <w:t xml:space="preserve">Recomendación </w:t>
      </w:r>
      <w:hyperlink r:id="rId35" w:history="1">
        <w:r w:rsidRPr="00140923">
          <w:rPr>
            <w:lang w:val="es-ES_tradnl"/>
          </w:rPr>
          <w:t>UIT-R F.1668</w:t>
        </w:r>
      </w:hyperlink>
      <w:r w:rsidRPr="00140923">
        <w:rPr>
          <w:lang w:val="es-ES_tradnl"/>
        </w:rPr>
        <w:t> – Objetivos de característica de error para los enlaces inalámbricos fijos digitales utilizados en las conexiones ficticias de referencia y trayectos ficticios de referencia de 27 500 km</w:t>
      </w:r>
    </w:p>
    <w:p w14:paraId="56D31744" w14:textId="1E879D62" w:rsidR="002B37E9" w:rsidRPr="00140923" w:rsidRDefault="002B37E9" w:rsidP="002B37E9">
      <w:pPr>
        <w:pStyle w:val="Reftext"/>
        <w:tabs>
          <w:tab w:val="clear" w:pos="1588"/>
          <w:tab w:val="clear" w:pos="1985"/>
          <w:tab w:val="left" w:pos="3119"/>
        </w:tabs>
        <w:rPr>
          <w:lang w:val="es-ES_tradnl"/>
        </w:rPr>
      </w:pPr>
      <w:r w:rsidRPr="00140923">
        <w:rPr>
          <w:lang w:val="es-ES_tradnl"/>
        </w:rPr>
        <w:t xml:space="preserve">Recomendación </w:t>
      </w:r>
      <w:hyperlink r:id="rId36" w:history="1">
        <w:r w:rsidRPr="00140923">
          <w:rPr>
            <w:lang w:val="es-ES_tradnl"/>
          </w:rPr>
          <w:t>UIT-R F.1669</w:t>
        </w:r>
      </w:hyperlink>
      <w:r w:rsidRPr="00140923">
        <w:rPr>
          <w:lang w:val="es-ES_tradnl"/>
        </w:rPr>
        <w:t> – Criterios de interferencia de los sistemas inalámbricos fijos que funcionan en las bandas 37-40 GHz y 40,5-42,5 GHz con respecto a los satélites en la órbita geoestacionaria</w:t>
      </w:r>
    </w:p>
    <w:p w14:paraId="7B307593" w14:textId="77777777" w:rsidR="002B37E9" w:rsidRPr="00140923" w:rsidRDefault="002B37E9" w:rsidP="002B37E9">
      <w:pPr>
        <w:pStyle w:val="Reftext"/>
        <w:tabs>
          <w:tab w:val="clear" w:pos="1588"/>
          <w:tab w:val="clear" w:pos="1985"/>
          <w:tab w:val="left" w:pos="3119"/>
        </w:tabs>
        <w:rPr>
          <w:lang w:val="es-ES_tradnl"/>
        </w:rPr>
      </w:pPr>
      <w:r w:rsidRPr="00140923">
        <w:rPr>
          <w:lang w:val="es-ES_tradnl"/>
        </w:rPr>
        <w:t xml:space="preserve">Recomendación </w:t>
      </w:r>
      <w:hyperlink r:id="rId37" w:history="1">
        <w:r w:rsidRPr="00140923">
          <w:rPr>
            <w:lang w:val="es-ES_tradnl"/>
          </w:rPr>
          <w:t>UIT-R F.1703</w:t>
        </w:r>
      </w:hyperlink>
      <w:r w:rsidRPr="00140923">
        <w:rPr>
          <w:lang w:val="es-ES_tradnl"/>
        </w:rPr>
        <w:t> – Objetivos de disponibilidad para enlaces inalámbricos fijos digitales reales utilizados en las conexiones ficticias de referencia y trayectos ficticios de referencia de 27 500 km</w:t>
      </w:r>
    </w:p>
    <w:p w14:paraId="0D1B7B7F" w14:textId="6DFEA0ED" w:rsidR="002B37E9" w:rsidRPr="00140923" w:rsidRDefault="002B37E9" w:rsidP="002B37E9">
      <w:pPr>
        <w:pStyle w:val="Reftext"/>
        <w:tabs>
          <w:tab w:val="clear" w:pos="1985"/>
          <w:tab w:val="left" w:pos="3261"/>
        </w:tabs>
        <w:ind w:left="1588" w:hanging="1588"/>
        <w:rPr>
          <w:lang w:val="es-ES_tradnl" w:eastAsia="ja-JP"/>
        </w:rPr>
      </w:pPr>
      <w:bookmarkStart w:id="3" w:name="_Hlk166721159"/>
      <w:r w:rsidRPr="003B367D">
        <w:rPr>
          <w:lang w:val="es-ES_tradnl" w:eastAsia="ja-JP"/>
        </w:rPr>
        <w:t xml:space="preserve">Recomendación </w:t>
      </w:r>
      <w:hyperlink r:id="rId38" w:history="1">
        <w:r w:rsidRPr="003B367D">
          <w:rPr>
            <w:rStyle w:val="Hyperlink"/>
            <w:color w:val="auto"/>
            <w:u w:val="none"/>
            <w:lang w:val="es-ES_tradnl" w:eastAsia="ja-JP"/>
          </w:rPr>
          <w:t>UIT-R F.</w:t>
        </w:r>
        <w:r w:rsidR="003B367D" w:rsidRPr="003B367D">
          <w:rPr>
            <w:rStyle w:val="Hyperlink"/>
            <w:color w:val="auto"/>
            <w:u w:val="none"/>
            <w:lang w:val="es-ES_tradnl" w:eastAsia="ja-JP"/>
          </w:rPr>
          <w:t>2086</w:t>
        </w:r>
      </w:hyperlink>
      <w:r w:rsidR="00B76F31" w:rsidRPr="00140923">
        <w:rPr>
          <w:lang w:val="es-ES_tradnl" w:eastAsia="ja-JP"/>
        </w:rPr>
        <w:t> </w:t>
      </w:r>
      <w:r w:rsidRPr="00140923">
        <w:rPr>
          <w:lang w:val="es-ES_tradnl" w:eastAsia="ja-JP"/>
        </w:rPr>
        <w:t>–</w:t>
      </w:r>
      <w:bookmarkEnd w:id="3"/>
      <w:r w:rsidR="00B76F31" w:rsidRPr="00140923">
        <w:rPr>
          <w:lang w:val="es-ES_tradnl" w:eastAsia="ja-JP"/>
        </w:rPr>
        <w:t> </w:t>
      </w:r>
      <w:r w:rsidRPr="004F7602">
        <w:rPr>
          <w:lang w:val="es-ES_tradnl" w:eastAsia="ja-JP"/>
        </w:rPr>
        <w:t>Casos de implantación de sistemas punto a punto en el servicio fijo</w:t>
      </w:r>
    </w:p>
    <w:p w14:paraId="725D6A9C" w14:textId="3A318EF8" w:rsidR="002B37E9" w:rsidRPr="00140923" w:rsidRDefault="002B37E9" w:rsidP="004F7602">
      <w:pPr>
        <w:pStyle w:val="Reftext"/>
        <w:tabs>
          <w:tab w:val="left" w:pos="3261"/>
        </w:tabs>
        <w:ind w:left="1588" w:hanging="1588"/>
        <w:rPr>
          <w:lang w:val="es-ES_tradnl"/>
        </w:rPr>
      </w:pPr>
      <w:r w:rsidRPr="004F7602">
        <w:rPr>
          <w:lang w:val="es-ES_tradnl" w:eastAsia="ja-JP"/>
        </w:rPr>
        <w:t xml:space="preserve">Informe </w:t>
      </w:r>
      <w:hyperlink r:id="rId39" w:history="1">
        <w:r w:rsidRPr="003B367D">
          <w:rPr>
            <w:rStyle w:val="Hyperlink"/>
            <w:color w:val="auto"/>
            <w:u w:val="none"/>
            <w:lang w:val="es-ES_tradnl" w:eastAsia="ja-JP"/>
          </w:rPr>
          <w:t>UIT</w:t>
        </w:r>
        <w:r w:rsidRPr="003B367D">
          <w:rPr>
            <w:rStyle w:val="Hyperlink"/>
            <w:color w:val="auto"/>
            <w:u w:val="none"/>
            <w:lang w:val="es-ES_tradnl"/>
          </w:rPr>
          <w:t>-R F.2108</w:t>
        </w:r>
      </w:hyperlink>
      <w:r w:rsidR="00B76F31" w:rsidRPr="00140923">
        <w:rPr>
          <w:lang w:val="es-ES_tradnl" w:eastAsia="ja-JP"/>
        </w:rPr>
        <w:t> </w:t>
      </w:r>
      <w:r w:rsidRPr="00140923">
        <w:rPr>
          <w:lang w:val="es-ES_tradnl" w:eastAsia="ja-JP"/>
        </w:rPr>
        <w:t>–</w:t>
      </w:r>
      <w:r w:rsidR="00B76F31" w:rsidRPr="00140923">
        <w:rPr>
          <w:lang w:val="es-ES_tradnl" w:eastAsia="ja-JP"/>
        </w:rPr>
        <w:t> </w:t>
      </w:r>
      <w:r w:rsidRPr="004F7602">
        <w:rPr>
          <w:lang w:val="es-ES_tradnl" w:eastAsia="ja-JP"/>
        </w:rPr>
        <w:t>Parámetros de los sistemas del servicio fijo para diferentes bandas de frecuencias</w:t>
      </w:r>
    </w:p>
    <w:p w14:paraId="04CFDAB6" w14:textId="77777777" w:rsidR="002B37E9" w:rsidRPr="00140923" w:rsidRDefault="002B37E9" w:rsidP="002B37E9">
      <w:pPr>
        <w:pStyle w:val="Reftext"/>
        <w:tabs>
          <w:tab w:val="clear" w:pos="1588"/>
          <w:tab w:val="clear" w:pos="1985"/>
          <w:tab w:val="left" w:pos="3119"/>
        </w:tabs>
        <w:rPr>
          <w:lang w:val="es-ES_tradnl"/>
        </w:rPr>
      </w:pPr>
      <w:r w:rsidRPr="00140923">
        <w:rPr>
          <w:lang w:val="es-ES_tradnl"/>
        </w:rPr>
        <w:t xml:space="preserve">Recomendación </w:t>
      </w:r>
      <w:hyperlink r:id="rId40" w:history="1">
        <w:r w:rsidRPr="00140923">
          <w:rPr>
            <w:lang w:val="es-ES_tradnl"/>
          </w:rPr>
          <w:t>UIT-T G.826</w:t>
        </w:r>
      </w:hyperlink>
      <w:r w:rsidRPr="00140923">
        <w:rPr>
          <w:lang w:val="es-ES_tradnl"/>
        </w:rPr>
        <w:t> – Parámetros y objetivos de las características de error de extremo a extremo para conexiones y trayectos digitales internacionales de velocidad binaria constante</w:t>
      </w:r>
    </w:p>
    <w:p w14:paraId="35062B4B" w14:textId="2382ADE2" w:rsidR="002B37E9" w:rsidRPr="00140923" w:rsidRDefault="002B37E9" w:rsidP="002B37E9">
      <w:pPr>
        <w:pStyle w:val="Reftext"/>
        <w:tabs>
          <w:tab w:val="clear" w:pos="1588"/>
          <w:tab w:val="clear" w:pos="1985"/>
          <w:tab w:val="left" w:pos="3119"/>
        </w:tabs>
        <w:rPr>
          <w:lang w:val="es-ES_tradnl"/>
        </w:rPr>
      </w:pPr>
      <w:r w:rsidRPr="00140923">
        <w:rPr>
          <w:lang w:val="es-ES_tradnl"/>
        </w:rPr>
        <w:t xml:space="preserve">Recomendación </w:t>
      </w:r>
      <w:hyperlink r:id="rId41" w:history="1">
        <w:r w:rsidRPr="00140923">
          <w:rPr>
            <w:lang w:val="es-ES_tradnl"/>
          </w:rPr>
          <w:t>UIT-T</w:t>
        </w:r>
        <w:r w:rsidR="003B367D">
          <w:rPr>
            <w:lang w:val="es-ES_tradnl"/>
          </w:rPr>
          <w:t> </w:t>
        </w:r>
        <w:r w:rsidRPr="00140923">
          <w:rPr>
            <w:lang w:val="es-ES_tradnl"/>
          </w:rPr>
          <w:t>G.827</w:t>
        </w:r>
      </w:hyperlink>
      <w:r w:rsidRPr="00140923">
        <w:rPr>
          <w:lang w:val="es-ES_tradnl"/>
        </w:rPr>
        <w:t> – Parámetros y objetivos de disponibilidad para trayectos digitales internacionales de extremo a extremo de velocidad binaria constante</w:t>
      </w:r>
    </w:p>
    <w:p w14:paraId="48B7B868" w14:textId="77777777" w:rsidR="002B37E9" w:rsidRPr="00140923" w:rsidRDefault="002B37E9" w:rsidP="002B37E9">
      <w:pPr>
        <w:pStyle w:val="Reftext"/>
        <w:tabs>
          <w:tab w:val="clear" w:pos="1588"/>
          <w:tab w:val="clear" w:pos="1985"/>
          <w:tab w:val="left" w:pos="3119"/>
        </w:tabs>
        <w:rPr>
          <w:lang w:val="es-ES_tradnl"/>
        </w:rPr>
      </w:pPr>
      <w:r w:rsidRPr="00140923">
        <w:rPr>
          <w:lang w:val="es-ES_tradnl"/>
        </w:rPr>
        <w:t xml:space="preserve">Recomendación </w:t>
      </w:r>
      <w:hyperlink r:id="rId42" w:history="1">
        <w:r w:rsidRPr="00140923">
          <w:rPr>
            <w:lang w:val="es-ES_tradnl"/>
          </w:rPr>
          <w:t>UIT-T G.828</w:t>
        </w:r>
      </w:hyperlink>
      <w:r w:rsidRPr="00140923">
        <w:rPr>
          <w:lang w:val="es-ES_tradnl"/>
        </w:rPr>
        <w:t> – Parámetros y objetivos de característica de error para trayectos digitales síncronos internacionales de velocidad binaria constante</w:t>
      </w:r>
    </w:p>
    <w:p w14:paraId="4B2A57A8" w14:textId="77777777" w:rsidR="002B37E9" w:rsidRPr="00140923" w:rsidRDefault="002B37E9" w:rsidP="002B37E9">
      <w:pPr>
        <w:pStyle w:val="Reftext"/>
        <w:tabs>
          <w:tab w:val="clear" w:pos="1588"/>
          <w:tab w:val="clear" w:pos="1985"/>
          <w:tab w:val="left" w:pos="3119"/>
        </w:tabs>
        <w:rPr>
          <w:lang w:val="es-ES_tradnl"/>
        </w:rPr>
      </w:pPr>
      <w:r w:rsidRPr="00140923">
        <w:rPr>
          <w:lang w:val="es-ES_tradnl"/>
        </w:rPr>
        <w:t xml:space="preserve">Recomendación </w:t>
      </w:r>
      <w:hyperlink r:id="rId43" w:history="1">
        <w:r w:rsidRPr="00140923">
          <w:rPr>
            <w:lang w:val="es-ES_tradnl"/>
          </w:rPr>
          <w:t>UIT-T G.829</w:t>
        </w:r>
      </w:hyperlink>
      <w:r w:rsidRPr="00140923">
        <w:rPr>
          <w:lang w:val="es-ES_tradnl"/>
        </w:rPr>
        <w:t> – Eventos de característica de error para secciones múltiplex y de regeneración de la jerarquía digital síncrona</w:t>
      </w:r>
    </w:p>
    <w:p w14:paraId="161CABFF" w14:textId="77777777" w:rsidR="002B37E9" w:rsidRPr="00140923" w:rsidRDefault="002B37E9" w:rsidP="002B37E9">
      <w:pPr>
        <w:pStyle w:val="Normalaftertitle"/>
        <w:rPr>
          <w:lang w:val="es-ES_tradnl"/>
        </w:rPr>
      </w:pPr>
      <w:r w:rsidRPr="00140923">
        <w:rPr>
          <w:lang w:val="es-ES_tradnl"/>
        </w:rPr>
        <w:t>La Asamblea de Radiocomunicaciones de la UIT,</w:t>
      </w:r>
    </w:p>
    <w:p w14:paraId="64FF1027" w14:textId="77777777" w:rsidR="002B37E9" w:rsidRPr="00140923" w:rsidRDefault="002B37E9" w:rsidP="002B37E9">
      <w:pPr>
        <w:pStyle w:val="Call"/>
        <w:rPr>
          <w:lang w:val="es-ES_tradnl"/>
        </w:rPr>
      </w:pPr>
      <w:r w:rsidRPr="00140923">
        <w:rPr>
          <w:lang w:val="es-ES_tradnl"/>
        </w:rPr>
        <w:t>considerando</w:t>
      </w:r>
    </w:p>
    <w:p w14:paraId="281BA30D" w14:textId="77777777" w:rsidR="002B37E9" w:rsidRPr="00140923" w:rsidRDefault="002B37E9" w:rsidP="002B37E9">
      <w:pPr>
        <w:rPr>
          <w:lang w:val="es-ES_tradnl"/>
        </w:rPr>
      </w:pPr>
      <w:r w:rsidRPr="00140923">
        <w:rPr>
          <w:i/>
          <w:iCs/>
          <w:lang w:val="es-ES_tradnl"/>
        </w:rPr>
        <w:t>a)</w:t>
      </w:r>
      <w:r w:rsidRPr="00140923">
        <w:rPr>
          <w:lang w:val="es-ES_tradnl"/>
        </w:rPr>
        <w:tab/>
        <w:t>que es necesario establecer criterios de compartición entre el servicio fijo y otros servicios y sus aplicaciones asociadas en las bandas de frecuencias en que ambos servicios están atribuidos con igualdad de derechos;</w:t>
      </w:r>
    </w:p>
    <w:p w14:paraId="474AFF5E" w14:textId="77777777" w:rsidR="002B37E9" w:rsidRPr="00140923" w:rsidRDefault="002B37E9" w:rsidP="002B37E9">
      <w:pPr>
        <w:rPr>
          <w:lang w:val="es-ES_tradnl"/>
        </w:rPr>
      </w:pPr>
      <w:r w:rsidRPr="00140923">
        <w:rPr>
          <w:i/>
          <w:iCs/>
          <w:lang w:val="es-ES_tradnl"/>
        </w:rPr>
        <w:t>b)</w:t>
      </w:r>
      <w:r w:rsidRPr="00140923">
        <w:rPr>
          <w:lang w:val="es-ES_tradnl"/>
        </w:rPr>
        <w:tab/>
        <w:t>que la compartición puede realizarse determinando los valores admisibles de las degradaciones de la calidad de funcionamiento y de la disponibilidad de los sistemas inalámbricos fijos causadas por la interferencia procedente de otros servicios radioeléctricos que tienen atribuciones en las mismas bandas de frecuencias que el servicio fijo con igualdad de derechos;</w:t>
      </w:r>
    </w:p>
    <w:p w14:paraId="2333843B" w14:textId="77777777" w:rsidR="002B37E9" w:rsidRPr="00140923" w:rsidRDefault="002B37E9" w:rsidP="002B37E9">
      <w:pPr>
        <w:rPr>
          <w:lang w:val="es-ES_tradnl"/>
        </w:rPr>
      </w:pPr>
      <w:r w:rsidRPr="00140923">
        <w:rPr>
          <w:i/>
          <w:iCs/>
          <w:lang w:val="es-ES_tradnl"/>
        </w:rPr>
        <w:t>c)</w:t>
      </w:r>
      <w:r w:rsidRPr="00140923">
        <w:rPr>
          <w:lang w:val="es-ES_tradnl"/>
        </w:rPr>
        <w:tab/>
        <w:t>que, a efectos de la compatibilidad entre el servicio fijo y los sistemas de otros servicios, incluidas sus aplicaciones asociadas, con atribuciones en la misma banda a título secundario, también es necesario tener en cuenta las emisiones no deseadas de otros sistemas de servicios fuera de la banda considerada, que caen en una banda atribuida al servicio fijo a título primario, y las emisiones procedentes de fuentes distintas a los servicios radioeléctricos;</w:t>
      </w:r>
    </w:p>
    <w:p w14:paraId="0A647F10" w14:textId="77777777" w:rsidR="002B37E9" w:rsidRPr="00140923" w:rsidRDefault="002B37E9" w:rsidP="002B37E9">
      <w:pPr>
        <w:rPr>
          <w:lang w:val="es-ES_tradnl"/>
        </w:rPr>
      </w:pPr>
      <w:r w:rsidRPr="00140923">
        <w:rPr>
          <w:i/>
          <w:iCs/>
          <w:lang w:val="es-ES_tradnl"/>
        </w:rPr>
        <w:t>d)</w:t>
      </w:r>
      <w:r w:rsidRPr="00140923">
        <w:rPr>
          <w:lang w:val="es-ES_tradnl"/>
        </w:rPr>
        <w:tab/>
        <w:t>que hay que establecer los principios para la distribución de la degradación de la calidad de funcionamiento y de la disponibilidad en los distintos elementos del sistema inalámbrico fijo y entre cada fuente de interferencia;</w:t>
      </w:r>
    </w:p>
    <w:p w14:paraId="4C6B420F" w14:textId="77777777" w:rsidR="002B37E9" w:rsidRPr="00140923" w:rsidRDefault="002B37E9" w:rsidP="002B37E9">
      <w:pPr>
        <w:rPr>
          <w:lang w:val="es-ES_tradnl"/>
        </w:rPr>
      </w:pPr>
      <w:r w:rsidRPr="00140923">
        <w:rPr>
          <w:i/>
          <w:iCs/>
          <w:lang w:val="es-ES_tradnl"/>
        </w:rPr>
        <w:t>e)</w:t>
      </w:r>
      <w:r w:rsidRPr="00140923">
        <w:rPr>
          <w:lang w:val="es-ES_tradnl"/>
        </w:rPr>
        <w:tab/>
        <w:t>que las características técnicas de los sistemas suelen determinarse con miras a la derivación de criterios de interferencia que correspondan a la degradación admisible de la calidad de funcionamiento y de la disponibilidad del sistema inalámbrico fijo;</w:t>
      </w:r>
    </w:p>
    <w:p w14:paraId="49D20A99" w14:textId="77777777" w:rsidR="002B37E9" w:rsidRPr="00140923" w:rsidRDefault="002B37E9" w:rsidP="002B37E9">
      <w:pPr>
        <w:rPr>
          <w:lang w:val="es-ES_tradnl"/>
        </w:rPr>
      </w:pPr>
      <w:r w:rsidRPr="00140923">
        <w:rPr>
          <w:i/>
          <w:iCs/>
          <w:lang w:val="es-ES_tradnl"/>
        </w:rPr>
        <w:lastRenderedPageBreak/>
        <w:t>f)</w:t>
      </w:r>
      <w:r w:rsidRPr="00140923">
        <w:rPr>
          <w:lang w:val="es-ES_tradnl"/>
        </w:rPr>
        <w:tab/>
        <w:t>que la calidad de funcionamiento y la disponibilidad pueden degradarse como resultado de la interferencia a largo plazo y de corta duración y que, por tanto, es necesario establecer criterios de interferencia a largo plazo y de corta duración;</w:t>
      </w:r>
    </w:p>
    <w:p w14:paraId="19ED5E8F" w14:textId="77777777" w:rsidR="002B37E9" w:rsidRPr="00140923" w:rsidRDefault="002B37E9" w:rsidP="002B37E9">
      <w:pPr>
        <w:rPr>
          <w:lang w:val="es-ES_tradnl"/>
        </w:rPr>
      </w:pPr>
      <w:r w:rsidRPr="00140923">
        <w:rPr>
          <w:i/>
          <w:iCs/>
          <w:lang w:val="es-ES_tradnl"/>
        </w:rPr>
        <w:t>g)</w:t>
      </w:r>
      <w:r w:rsidRPr="00140923">
        <w:rPr>
          <w:lang w:val="es-ES_tradnl"/>
        </w:rPr>
        <w:tab/>
        <w:t>que resulta útil para otras Comisiones de Estudio del UIT-R disponer de una metodología básica para formular criterios de compartición para el servicio fijo;</w:t>
      </w:r>
    </w:p>
    <w:p w14:paraId="67F73D4E" w14:textId="5511295F" w:rsidR="002B37E9" w:rsidRPr="003B367D" w:rsidRDefault="002B37E9" w:rsidP="002B37E9">
      <w:pPr>
        <w:rPr>
          <w:lang w:val="es-ES_tradnl"/>
        </w:rPr>
      </w:pPr>
      <w:r w:rsidRPr="004F7602">
        <w:rPr>
          <w:i/>
          <w:iCs/>
          <w:lang w:val="es-ES_tradnl"/>
        </w:rPr>
        <w:t>h)</w:t>
      </w:r>
      <w:r w:rsidRPr="00140923">
        <w:rPr>
          <w:lang w:val="es-ES_tradnl"/>
        </w:rPr>
        <w:tab/>
        <w:t xml:space="preserve">que las características de los sistemas fijos digitales y analógicos basados en las anteriores </w:t>
      </w:r>
      <w:r w:rsidRPr="003B367D">
        <w:rPr>
          <w:lang w:val="es-ES_tradnl"/>
        </w:rPr>
        <w:t xml:space="preserve">versiones de la Recomendación se recogen en el Informe </w:t>
      </w:r>
      <w:hyperlink r:id="rId44" w:history="1">
        <w:r w:rsidRPr="003B367D">
          <w:rPr>
            <w:rStyle w:val="Hyperlink"/>
            <w:color w:val="auto"/>
            <w:u w:val="none"/>
            <w:lang w:val="es-ES_tradnl"/>
          </w:rPr>
          <w:t>UIT-R F.2108</w:t>
        </w:r>
      </w:hyperlink>
      <w:r w:rsidRPr="003B367D">
        <w:rPr>
          <w:lang w:val="es-ES_tradnl"/>
        </w:rPr>
        <w:t>,</w:t>
      </w:r>
    </w:p>
    <w:p w14:paraId="12F7D75E" w14:textId="77777777" w:rsidR="002B37E9" w:rsidRPr="00140923" w:rsidRDefault="002B37E9" w:rsidP="004F7602">
      <w:pPr>
        <w:pStyle w:val="Call"/>
        <w:rPr>
          <w:lang w:val="es-ES_tradnl"/>
        </w:rPr>
      </w:pPr>
      <w:r w:rsidRPr="00140923">
        <w:rPr>
          <w:lang w:val="es-ES_tradnl"/>
        </w:rPr>
        <w:t>reconociendo</w:t>
      </w:r>
    </w:p>
    <w:p w14:paraId="38053D66" w14:textId="09E37BE4" w:rsidR="002B37E9" w:rsidRPr="00140923" w:rsidRDefault="002B37E9" w:rsidP="002B37E9">
      <w:pPr>
        <w:rPr>
          <w:lang w:val="es-ES_tradnl"/>
        </w:rPr>
      </w:pPr>
      <w:r w:rsidRPr="004F7602">
        <w:rPr>
          <w:i/>
          <w:iCs/>
          <w:lang w:val="es-ES_tradnl"/>
        </w:rPr>
        <w:t>a</w:t>
      </w:r>
      <w:r w:rsidRPr="00140923">
        <w:rPr>
          <w:i/>
          <w:iCs/>
          <w:lang w:val="es-ES_tradnl"/>
        </w:rPr>
        <w:t>)</w:t>
      </w:r>
      <w:r w:rsidRPr="00140923">
        <w:rPr>
          <w:lang w:val="es-ES_tradnl"/>
        </w:rPr>
        <w:tab/>
        <w:t xml:space="preserve">que la Recomendación </w:t>
      </w:r>
      <w:hyperlink r:id="rId45" w:history="1">
        <w:r w:rsidRPr="003B367D">
          <w:rPr>
            <w:rStyle w:val="Hyperlink"/>
            <w:color w:val="auto"/>
            <w:u w:val="none"/>
            <w:lang w:val="es-ES_tradnl"/>
          </w:rPr>
          <w:t>UIT-R F.1094</w:t>
        </w:r>
      </w:hyperlink>
      <w:r w:rsidRPr="00140923">
        <w:rPr>
          <w:lang w:val="es-ES_tradnl"/>
        </w:rPr>
        <w:t xml:space="preserve"> ofrece el principio general de distribución de las degradaciones de la calidad de funcionamiento y de la disponibilidad para el servicio fijo causadas por interferencia de otros servicios o fuentes;</w:t>
      </w:r>
    </w:p>
    <w:p w14:paraId="3C11356A" w14:textId="6B87516F" w:rsidR="002B37E9" w:rsidRPr="00140923" w:rsidRDefault="002B37E9" w:rsidP="002B37E9">
      <w:pPr>
        <w:rPr>
          <w:lang w:val="es-ES_tradnl"/>
        </w:rPr>
      </w:pPr>
      <w:r w:rsidRPr="003B367D">
        <w:rPr>
          <w:i/>
          <w:iCs/>
          <w:lang w:val="es-ES_tradnl"/>
        </w:rPr>
        <w:t>b)</w:t>
      </w:r>
      <w:r w:rsidRPr="003B367D">
        <w:rPr>
          <w:lang w:val="es-ES_tradnl"/>
        </w:rPr>
        <w:tab/>
        <w:t xml:space="preserve">que la Recomendación </w:t>
      </w:r>
      <w:hyperlink r:id="rId46" w:history="1">
        <w:r w:rsidRPr="003B367D">
          <w:rPr>
            <w:rStyle w:val="Hyperlink"/>
            <w:color w:val="auto"/>
            <w:u w:val="none"/>
            <w:lang w:val="es-ES_tradnl"/>
          </w:rPr>
          <w:t>UIT-R F.2086</w:t>
        </w:r>
      </w:hyperlink>
      <w:r w:rsidRPr="003B367D">
        <w:rPr>
          <w:lang w:val="es-ES_tradnl"/>
        </w:rPr>
        <w:t xml:space="preserve"> proporciona información sobre las características de </w:t>
      </w:r>
      <w:r w:rsidRPr="004F7602">
        <w:rPr>
          <w:lang w:val="es-ES_tradnl"/>
        </w:rPr>
        <w:t xml:space="preserve">despliegue que pueden utilizarse al estudiar la compartición o la interferencia entre sistemas punto a punto del </w:t>
      </w:r>
      <w:r w:rsidRPr="00140923">
        <w:rPr>
          <w:lang w:val="es-ES_tradnl"/>
        </w:rPr>
        <w:t>servicio fijo</w:t>
      </w:r>
      <w:r w:rsidRPr="004F7602">
        <w:rPr>
          <w:lang w:val="es-ES_tradnl"/>
        </w:rPr>
        <w:t xml:space="preserve"> y otros sistemas/aplicaciones del </w:t>
      </w:r>
      <w:r w:rsidRPr="00140923">
        <w:rPr>
          <w:lang w:val="es-ES_tradnl"/>
        </w:rPr>
        <w:t xml:space="preserve">servicio fijo </w:t>
      </w:r>
      <w:r w:rsidRPr="004F7602">
        <w:rPr>
          <w:lang w:val="es-ES_tradnl"/>
        </w:rPr>
        <w:t>y otros servicios cuando no se dispone de información más específica</w:t>
      </w:r>
      <w:r w:rsidRPr="00140923">
        <w:rPr>
          <w:lang w:val="es-ES_tradnl"/>
        </w:rPr>
        <w:t>,</w:t>
      </w:r>
    </w:p>
    <w:p w14:paraId="7B3B08A8" w14:textId="77777777" w:rsidR="002B37E9" w:rsidRPr="00140923" w:rsidRDefault="002B37E9" w:rsidP="002B37E9">
      <w:pPr>
        <w:pStyle w:val="Call"/>
        <w:rPr>
          <w:lang w:val="es-ES_tradnl"/>
        </w:rPr>
      </w:pPr>
      <w:r w:rsidRPr="00140923">
        <w:rPr>
          <w:lang w:val="es-ES_tradnl"/>
        </w:rPr>
        <w:t>recomienda</w:t>
      </w:r>
    </w:p>
    <w:p w14:paraId="22C81D7A" w14:textId="77777777" w:rsidR="002B37E9" w:rsidRPr="00140923" w:rsidRDefault="002B37E9" w:rsidP="002B37E9">
      <w:pPr>
        <w:rPr>
          <w:lang w:val="es-ES_tradnl"/>
        </w:rPr>
      </w:pPr>
      <w:r w:rsidRPr="003B367D">
        <w:rPr>
          <w:bCs/>
          <w:lang w:val="es-ES_tradnl"/>
        </w:rPr>
        <w:t>1</w:t>
      </w:r>
      <w:r w:rsidRPr="003B367D">
        <w:rPr>
          <w:bCs/>
          <w:lang w:val="es-ES_tradnl"/>
        </w:rPr>
        <w:tab/>
      </w:r>
      <w:r w:rsidRPr="00140923">
        <w:rPr>
          <w:lang w:val="es-ES_tradnl"/>
        </w:rPr>
        <w:t>que la formulación de criterios de compartición y la evaluación de las condiciones de interferencia entre el servicio fijo y otros servicios y fuentes de interferencia se considere de acuerdo con los principios descritos en el Anexo 1;</w:t>
      </w:r>
    </w:p>
    <w:p w14:paraId="721FA251" w14:textId="1FB7B95E" w:rsidR="002B37E9" w:rsidRPr="00140923" w:rsidRDefault="002B37E9" w:rsidP="002B37E9">
      <w:pPr>
        <w:rPr>
          <w:lang w:val="es-ES_tradnl"/>
        </w:rPr>
      </w:pPr>
      <w:r w:rsidRPr="003B367D">
        <w:rPr>
          <w:bCs/>
          <w:lang w:val="es-ES_tradnl"/>
        </w:rPr>
        <w:t>2</w:t>
      </w:r>
      <w:r w:rsidRPr="003B367D">
        <w:rPr>
          <w:bCs/>
          <w:lang w:val="es-ES_tradnl"/>
        </w:rPr>
        <w:tab/>
      </w:r>
      <w:r w:rsidRPr="00140923">
        <w:rPr>
          <w:lang w:val="es-ES_tradnl"/>
        </w:rPr>
        <w:t>que la información proporcionada en el Anexo 2 se considere como orientación para determinar las características técnicas y los parámetros de sistema típicos de los sistemas inalámbricos fijos digitales del servicio fijo que también es necesario considerar al establecer criterios para la compartición con otros servicios;</w:t>
      </w:r>
    </w:p>
    <w:p w14:paraId="42A2E4D4" w14:textId="77777777" w:rsidR="002B37E9" w:rsidRDefault="002B37E9" w:rsidP="002B37E9">
      <w:pPr>
        <w:rPr>
          <w:lang w:val="es-ES_tradnl"/>
        </w:rPr>
      </w:pPr>
      <w:r w:rsidRPr="003B367D">
        <w:rPr>
          <w:lang w:val="es-ES_tradnl"/>
        </w:rPr>
        <w:t>3</w:t>
      </w:r>
      <w:r w:rsidRPr="003B367D">
        <w:rPr>
          <w:lang w:val="es-ES_tradnl"/>
        </w:rPr>
        <w:tab/>
      </w:r>
      <w:r w:rsidRPr="00140923">
        <w:rPr>
          <w:lang w:val="es-ES_tradnl"/>
        </w:rPr>
        <w:t>que se pueden utilizar los parámetros de sistema de los Cuadros del Anexo 3 como información complementaria para las bandas en las que el Anexo 2 no ofrece parámetros típicos.</w:t>
      </w:r>
    </w:p>
    <w:p w14:paraId="2E405BCE" w14:textId="77777777" w:rsidR="003B367D" w:rsidRDefault="003B367D" w:rsidP="002B37E9">
      <w:pPr>
        <w:rPr>
          <w:lang w:val="es-ES_tradnl"/>
        </w:rPr>
      </w:pPr>
    </w:p>
    <w:p w14:paraId="48F9F86E" w14:textId="77777777" w:rsidR="003B367D" w:rsidRPr="00140923" w:rsidRDefault="003B367D" w:rsidP="002B37E9">
      <w:pPr>
        <w:rPr>
          <w:lang w:val="es-ES_tradnl"/>
        </w:rPr>
      </w:pPr>
    </w:p>
    <w:p w14:paraId="4D8944C7" w14:textId="77777777" w:rsidR="002B37E9" w:rsidRPr="00140923" w:rsidRDefault="002B37E9" w:rsidP="002B37E9">
      <w:pPr>
        <w:jc w:val="center"/>
        <w:rPr>
          <w:lang w:val="es-ES_tradnl" w:eastAsia="ja-JP"/>
        </w:rPr>
      </w:pPr>
      <w:r w:rsidRPr="00140923">
        <w:rPr>
          <w:lang w:val="es-ES_tradnl" w:eastAsia="ja-JP"/>
        </w:rPr>
        <w:t>ÍNDICE</w:t>
      </w:r>
    </w:p>
    <w:p w14:paraId="00A28021" w14:textId="75905BF5" w:rsidR="006479D0" w:rsidRPr="00257993" w:rsidRDefault="006479D0" w:rsidP="006479D0">
      <w:pPr>
        <w:pStyle w:val="toc0"/>
        <w:jc w:val="right"/>
        <w:rPr>
          <w:lang w:eastAsia="ja-JP"/>
        </w:rPr>
      </w:pPr>
      <w:bookmarkStart w:id="4" w:name="_Toc107643555"/>
      <w:r>
        <w:rPr>
          <w:lang w:eastAsia="ja-JP"/>
        </w:rPr>
        <w:t>P</w:t>
      </w:r>
      <w:r>
        <w:rPr>
          <w:lang w:eastAsia="ja-JP"/>
        </w:rPr>
        <w:t>á</w:t>
      </w:r>
      <w:r>
        <w:rPr>
          <w:lang w:eastAsia="ja-JP"/>
        </w:rPr>
        <w:t>g</w:t>
      </w:r>
      <w:r>
        <w:rPr>
          <w:lang w:eastAsia="ja-JP"/>
        </w:rPr>
        <w:t>ina</w:t>
      </w:r>
    </w:p>
    <w:p w14:paraId="454550CE" w14:textId="5333C25C" w:rsidR="002B37E9" w:rsidRPr="00140923" w:rsidRDefault="002B37E9" w:rsidP="002B37E9">
      <w:pPr>
        <w:pStyle w:val="TOC1"/>
        <w:rPr>
          <w:rFonts w:asciiTheme="minorHAnsi" w:eastAsiaTheme="minorEastAsia" w:hAnsiTheme="minorHAnsi" w:cstheme="minorBidi"/>
          <w:sz w:val="22"/>
          <w:szCs w:val="22"/>
          <w:lang w:val="es-ES_tradnl" w:eastAsia="en-GB"/>
        </w:rPr>
      </w:pPr>
      <w:r w:rsidRPr="00140923">
        <w:rPr>
          <w:lang w:val="es-ES_tradnl"/>
        </w:rPr>
        <w:fldChar w:fldCharType="begin"/>
      </w:r>
      <w:r w:rsidRPr="00140923">
        <w:rPr>
          <w:lang w:val="es-ES_tradnl"/>
        </w:rPr>
        <w:instrText xml:space="preserve"> TOC \o "1-2" \h \z \t "Annex_NoTitle;1;Appendix_NoTitle;1" </w:instrText>
      </w:r>
      <w:r w:rsidRPr="00140923">
        <w:rPr>
          <w:lang w:val="es-ES_tradnl"/>
        </w:rPr>
        <w:fldChar w:fldCharType="separate"/>
      </w:r>
      <w:hyperlink w:anchor="_Toc39157062" w:history="1">
        <w:r w:rsidRPr="00140923">
          <w:rPr>
            <w:rStyle w:val="Hyperlink"/>
            <w:lang w:val="es-ES_tradnl"/>
          </w:rPr>
          <w:t>Anexo 1 – Consideraciones básicas relativas a la formulación de criterios de compartición</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_Toc39157062 \h </w:instrText>
        </w:r>
        <w:r w:rsidRPr="00140923">
          <w:rPr>
            <w:webHidden/>
            <w:lang w:val="es-ES_tradnl"/>
          </w:rPr>
        </w:r>
        <w:r w:rsidRPr="00140923">
          <w:rPr>
            <w:webHidden/>
            <w:lang w:val="es-ES_tradnl"/>
          </w:rPr>
          <w:fldChar w:fldCharType="separate"/>
        </w:r>
        <w:r w:rsidR="00D23F34">
          <w:rPr>
            <w:noProof/>
            <w:webHidden/>
            <w:lang w:val="es-ES_tradnl"/>
          </w:rPr>
          <w:t>6</w:t>
        </w:r>
        <w:r w:rsidRPr="00140923">
          <w:rPr>
            <w:webHidden/>
            <w:lang w:val="es-ES_tradnl"/>
          </w:rPr>
          <w:fldChar w:fldCharType="end"/>
        </w:r>
      </w:hyperlink>
    </w:p>
    <w:p w14:paraId="0F39CA40" w14:textId="02CEB101" w:rsidR="002B37E9" w:rsidRPr="00140923" w:rsidRDefault="002B37E9" w:rsidP="002B37E9">
      <w:pPr>
        <w:pStyle w:val="TOC1"/>
        <w:rPr>
          <w:rFonts w:asciiTheme="minorHAnsi" w:eastAsiaTheme="minorEastAsia" w:hAnsiTheme="minorHAnsi" w:cstheme="minorBidi"/>
          <w:sz w:val="22"/>
          <w:szCs w:val="22"/>
          <w:lang w:val="es-ES_tradnl" w:eastAsia="en-GB"/>
        </w:rPr>
      </w:pPr>
      <w:hyperlink w:anchor="_Toc39157063" w:history="1">
        <w:r w:rsidRPr="00140923">
          <w:rPr>
            <w:rStyle w:val="Hyperlink"/>
            <w:lang w:val="es-ES_tradnl"/>
          </w:rPr>
          <w:t>1</w:t>
        </w:r>
        <w:r w:rsidRPr="00140923">
          <w:rPr>
            <w:rFonts w:asciiTheme="minorHAnsi" w:eastAsiaTheme="minorEastAsia" w:hAnsiTheme="minorHAnsi" w:cstheme="minorBidi"/>
            <w:sz w:val="22"/>
            <w:szCs w:val="22"/>
            <w:lang w:val="es-ES_tradnl" w:eastAsia="en-GB"/>
          </w:rPr>
          <w:tab/>
        </w:r>
        <w:r w:rsidRPr="00140923">
          <w:rPr>
            <w:rStyle w:val="Hyperlink"/>
            <w:lang w:val="es-ES_tradnl"/>
          </w:rPr>
          <w:t>Objetivo de calidad de funcionamiento global</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_Toc39157063 \h </w:instrText>
        </w:r>
        <w:r w:rsidRPr="00140923">
          <w:rPr>
            <w:webHidden/>
            <w:lang w:val="es-ES_tradnl"/>
          </w:rPr>
        </w:r>
        <w:r w:rsidRPr="00140923">
          <w:rPr>
            <w:webHidden/>
            <w:lang w:val="es-ES_tradnl"/>
          </w:rPr>
          <w:fldChar w:fldCharType="separate"/>
        </w:r>
        <w:r w:rsidR="00D23F34">
          <w:rPr>
            <w:noProof/>
            <w:webHidden/>
            <w:lang w:val="es-ES_tradnl"/>
          </w:rPr>
          <w:t>6</w:t>
        </w:r>
        <w:r w:rsidRPr="00140923">
          <w:rPr>
            <w:webHidden/>
            <w:lang w:val="es-ES_tradnl"/>
          </w:rPr>
          <w:fldChar w:fldCharType="end"/>
        </w:r>
      </w:hyperlink>
    </w:p>
    <w:p w14:paraId="3710C3CE" w14:textId="327CBDDC"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64" w:history="1">
        <w:r w:rsidRPr="00140923">
          <w:rPr>
            <w:rStyle w:val="Hyperlink"/>
            <w:lang w:val="es-ES_tradnl"/>
          </w:rPr>
          <w:t>1.1</w:t>
        </w:r>
        <w:r w:rsidRPr="00140923">
          <w:rPr>
            <w:rFonts w:asciiTheme="minorHAnsi" w:eastAsiaTheme="minorEastAsia" w:hAnsiTheme="minorHAnsi" w:cstheme="minorBidi"/>
            <w:sz w:val="22"/>
            <w:szCs w:val="22"/>
            <w:lang w:val="es-ES_tradnl" w:eastAsia="en-GB"/>
          </w:rPr>
          <w:tab/>
        </w:r>
        <w:r w:rsidRPr="00140923">
          <w:rPr>
            <w:rStyle w:val="Hyperlink"/>
            <w:lang w:val="es-ES_tradnl"/>
          </w:rPr>
          <w:t>Objetivos de característica de error y de disponibilidad</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_Toc39157064 \h </w:instrText>
        </w:r>
        <w:r w:rsidRPr="00140923">
          <w:rPr>
            <w:webHidden/>
            <w:lang w:val="es-ES_tradnl"/>
          </w:rPr>
        </w:r>
        <w:r w:rsidRPr="00140923">
          <w:rPr>
            <w:webHidden/>
            <w:lang w:val="es-ES_tradnl"/>
          </w:rPr>
          <w:fldChar w:fldCharType="separate"/>
        </w:r>
        <w:r w:rsidR="00D23F34">
          <w:rPr>
            <w:noProof/>
            <w:webHidden/>
            <w:lang w:val="es-ES_tradnl"/>
          </w:rPr>
          <w:t>6</w:t>
        </w:r>
        <w:r w:rsidRPr="00140923">
          <w:rPr>
            <w:webHidden/>
            <w:lang w:val="es-ES_tradnl"/>
          </w:rPr>
          <w:fldChar w:fldCharType="end"/>
        </w:r>
      </w:hyperlink>
    </w:p>
    <w:p w14:paraId="1934856A" w14:textId="0437B492" w:rsidR="002B37E9" w:rsidRPr="00140923" w:rsidRDefault="002B37E9" w:rsidP="002B37E9">
      <w:pPr>
        <w:pStyle w:val="TOC1"/>
        <w:rPr>
          <w:rFonts w:asciiTheme="minorHAnsi" w:eastAsiaTheme="minorEastAsia" w:hAnsiTheme="minorHAnsi" w:cstheme="minorBidi"/>
          <w:sz w:val="22"/>
          <w:szCs w:val="22"/>
          <w:lang w:val="es-ES_tradnl" w:eastAsia="en-GB"/>
        </w:rPr>
      </w:pPr>
      <w:hyperlink w:anchor="_Toc39157065" w:history="1">
        <w:r w:rsidRPr="00140923">
          <w:rPr>
            <w:rStyle w:val="Hyperlink"/>
            <w:lang w:val="es-ES_tradnl"/>
          </w:rPr>
          <w:t>2</w:t>
        </w:r>
        <w:r w:rsidRPr="00140923">
          <w:rPr>
            <w:rFonts w:asciiTheme="minorHAnsi" w:eastAsiaTheme="minorEastAsia" w:hAnsiTheme="minorHAnsi" w:cstheme="minorBidi"/>
            <w:sz w:val="22"/>
            <w:szCs w:val="22"/>
            <w:lang w:val="es-ES_tradnl" w:eastAsia="en-GB"/>
          </w:rPr>
          <w:tab/>
        </w:r>
        <w:r w:rsidRPr="00140923">
          <w:rPr>
            <w:rStyle w:val="Hyperlink"/>
            <w:lang w:val="es-ES_tradnl"/>
          </w:rPr>
          <w:t>Subdivisión del objetivo de calidad de funcionamiento y de disponibilidad</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_Toc39157065 \h </w:instrText>
        </w:r>
        <w:r w:rsidRPr="00140923">
          <w:rPr>
            <w:webHidden/>
            <w:lang w:val="es-ES_tradnl"/>
          </w:rPr>
        </w:r>
        <w:r w:rsidRPr="00140923">
          <w:rPr>
            <w:webHidden/>
            <w:lang w:val="es-ES_tradnl"/>
          </w:rPr>
          <w:fldChar w:fldCharType="separate"/>
        </w:r>
        <w:r w:rsidR="00D23F34">
          <w:rPr>
            <w:noProof/>
            <w:webHidden/>
            <w:lang w:val="es-ES_tradnl"/>
          </w:rPr>
          <w:t>8</w:t>
        </w:r>
        <w:r w:rsidRPr="00140923">
          <w:rPr>
            <w:webHidden/>
            <w:lang w:val="es-ES_tradnl"/>
          </w:rPr>
          <w:fldChar w:fldCharType="end"/>
        </w:r>
      </w:hyperlink>
    </w:p>
    <w:p w14:paraId="0EEEE33E" w14:textId="541AB3B1"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66" w:history="1">
        <w:r w:rsidRPr="00140923">
          <w:rPr>
            <w:rStyle w:val="Hyperlink"/>
            <w:lang w:val="es-ES_tradnl"/>
          </w:rPr>
          <w:t>2.1</w:t>
        </w:r>
        <w:r w:rsidRPr="00140923">
          <w:rPr>
            <w:rFonts w:asciiTheme="minorHAnsi" w:eastAsiaTheme="minorEastAsia" w:hAnsiTheme="minorHAnsi" w:cstheme="minorBidi"/>
            <w:sz w:val="22"/>
            <w:szCs w:val="22"/>
            <w:lang w:val="es-ES_tradnl" w:eastAsia="en-GB"/>
          </w:rPr>
          <w:tab/>
        </w:r>
        <w:r w:rsidRPr="00140923">
          <w:rPr>
            <w:rStyle w:val="Hyperlink"/>
            <w:lang w:val="es-ES_tradnl"/>
          </w:rPr>
          <w:t>Distribución del objetivo de característica de error y disponibilidad de una sección</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_Toc39157066 \h </w:instrText>
        </w:r>
        <w:r w:rsidRPr="00140923">
          <w:rPr>
            <w:webHidden/>
            <w:lang w:val="es-ES_tradnl"/>
          </w:rPr>
        </w:r>
        <w:r w:rsidRPr="00140923">
          <w:rPr>
            <w:webHidden/>
            <w:lang w:val="es-ES_tradnl"/>
          </w:rPr>
          <w:fldChar w:fldCharType="separate"/>
        </w:r>
        <w:r w:rsidR="00D23F34">
          <w:rPr>
            <w:noProof/>
            <w:webHidden/>
            <w:lang w:val="es-ES_tradnl"/>
          </w:rPr>
          <w:t>8</w:t>
        </w:r>
        <w:r w:rsidRPr="00140923">
          <w:rPr>
            <w:webHidden/>
            <w:lang w:val="es-ES_tradnl"/>
          </w:rPr>
          <w:fldChar w:fldCharType="end"/>
        </w:r>
      </w:hyperlink>
    </w:p>
    <w:p w14:paraId="7D9069AE" w14:textId="20CE32F0"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67" w:history="1">
        <w:r w:rsidRPr="00140923">
          <w:rPr>
            <w:rStyle w:val="Hyperlink"/>
            <w:lang w:val="es-ES_tradnl"/>
          </w:rPr>
          <w:t>2.2</w:t>
        </w:r>
        <w:r w:rsidRPr="00140923">
          <w:rPr>
            <w:rFonts w:asciiTheme="minorHAnsi" w:eastAsiaTheme="minorEastAsia" w:hAnsiTheme="minorHAnsi" w:cstheme="minorBidi"/>
            <w:sz w:val="22"/>
            <w:szCs w:val="22"/>
            <w:lang w:val="es-ES_tradnl" w:eastAsia="en-GB"/>
          </w:rPr>
          <w:tab/>
        </w:r>
        <w:r w:rsidRPr="00140923">
          <w:rPr>
            <w:rStyle w:val="Hyperlink"/>
            <w:lang w:val="es-ES_tradnl"/>
          </w:rPr>
          <w:t>Distribución de la degradación de la calidad de funcionamiento y la disponibilidad de distintos servicios</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_Toc39157067 \h </w:instrText>
        </w:r>
        <w:r w:rsidRPr="00140923">
          <w:rPr>
            <w:webHidden/>
            <w:lang w:val="es-ES_tradnl"/>
          </w:rPr>
        </w:r>
        <w:r w:rsidRPr="00140923">
          <w:rPr>
            <w:webHidden/>
            <w:lang w:val="es-ES_tradnl"/>
          </w:rPr>
          <w:fldChar w:fldCharType="separate"/>
        </w:r>
        <w:r w:rsidR="00D23F34">
          <w:rPr>
            <w:noProof/>
            <w:webHidden/>
            <w:lang w:val="es-ES_tradnl"/>
          </w:rPr>
          <w:t>8</w:t>
        </w:r>
        <w:r w:rsidRPr="00140923">
          <w:rPr>
            <w:webHidden/>
            <w:lang w:val="es-ES_tradnl"/>
          </w:rPr>
          <w:fldChar w:fldCharType="end"/>
        </w:r>
      </w:hyperlink>
    </w:p>
    <w:p w14:paraId="28334634" w14:textId="0074C8B5" w:rsidR="002B37E9" w:rsidRPr="00140923" w:rsidRDefault="002B37E9" w:rsidP="002B37E9">
      <w:pPr>
        <w:pStyle w:val="TOC1"/>
        <w:rPr>
          <w:rFonts w:asciiTheme="minorHAnsi" w:eastAsiaTheme="minorEastAsia" w:hAnsiTheme="minorHAnsi" w:cstheme="minorBidi"/>
          <w:sz w:val="22"/>
          <w:szCs w:val="22"/>
          <w:lang w:val="es-ES_tradnl" w:eastAsia="en-GB"/>
        </w:rPr>
      </w:pPr>
      <w:hyperlink w:anchor="_Toc39157068" w:history="1">
        <w:r w:rsidRPr="00140923">
          <w:rPr>
            <w:rStyle w:val="Hyperlink"/>
            <w:lang w:val="es-ES_tradnl"/>
          </w:rPr>
          <w:t>3</w:t>
        </w:r>
        <w:r w:rsidRPr="00140923">
          <w:rPr>
            <w:rFonts w:asciiTheme="minorHAnsi" w:eastAsiaTheme="minorEastAsia" w:hAnsiTheme="minorHAnsi" w:cstheme="minorBidi"/>
            <w:sz w:val="22"/>
            <w:szCs w:val="22"/>
            <w:lang w:val="es-ES_tradnl" w:eastAsia="en-GB"/>
          </w:rPr>
          <w:tab/>
        </w:r>
        <w:r w:rsidRPr="00140923">
          <w:rPr>
            <w:rStyle w:val="Hyperlink"/>
            <w:lang w:val="es-ES_tradnl"/>
          </w:rPr>
          <w:t>Características de la interferencia</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_Toc39157068 \h </w:instrText>
        </w:r>
        <w:r w:rsidRPr="00140923">
          <w:rPr>
            <w:webHidden/>
            <w:lang w:val="es-ES_tradnl"/>
          </w:rPr>
        </w:r>
        <w:r w:rsidRPr="00140923">
          <w:rPr>
            <w:webHidden/>
            <w:lang w:val="es-ES_tradnl"/>
          </w:rPr>
          <w:fldChar w:fldCharType="separate"/>
        </w:r>
        <w:r w:rsidR="00D23F34">
          <w:rPr>
            <w:noProof/>
            <w:webHidden/>
            <w:lang w:val="es-ES_tradnl"/>
          </w:rPr>
          <w:t>9</w:t>
        </w:r>
        <w:r w:rsidRPr="00140923">
          <w:rPr>
            <w:webHidden/>
            <w:lang w:val="es-ES_tradnl"/>
          </w:rPr>
          <w:fldChar w:fldCharType="end"/>
        </w:r>
      </w:hyperlink>
    </w:p>
    <w:p w14:paraId="167D0DBA" w14:textId="77777777" w:rsidR="006479D0" w:rsidRPr="00257993" w:rsidRDefault="006479D0" w:rsidP="006479D0">
      <w:pPr>
        <w:pStyle w:val="toc0"/>
        <w:keepNext/>
        <w:keepLines/>
        <w:jc w:val="right"/>
        <w:rPr>
          <w:lang w:eastAsia="ja-JP"/>
        </w:rPr>
      </w:pPr>
      <w:r>
        <w:rPr>
          <w:lang w:eastAsia="ja-JP"/>
        </w:rPr>
        <w:lastRenderedPageBreak/>
        <w:t>Página</w:t>
      </w:r>
    </w:p>
    <w:p w14:paraId="5218F475" w14:textId="2F887D78" w:rsidR="002B37E9" w:rsidRPr="00140923" w:rsidRDefault="002B37E9" w:rsidP="006479D0">
      <w:pPr>
        <w:pStyle w:val="TOC1"/>
        <w:keepNext/>
        <w:rPr>
          <w:rFonts w:asciiTheme="minorHAnsi" w:eastAsiaTheme="minorEastAsia" w:hAnsiTheme="minorHAnsi" w:cstheme="minorBidi"/>
          <w:sz w:val="22"/>
          <w:szCs w:val="22"/>
          <w:lang w:val="es-ES_tradnl" w:eastAsia="en-GB"/>
        </w:rPr>
      </w:pPr>
      <w:hyperlink w:anchor="_Toc39157069" w:history="1">
        <w:r w:rsidRPr="00140923">
          <w:rPr>
            <w:rStyle w:val="Hyperlink"/>
            <w:lang w:val="es-ES_tradnl"/>
          </w:rPr>
          <w:t>4</w:t>
        </w:r>
        <w:r w:rsidRPr="00140923">
          <w:rPr>
            <w:rFonts w:asciiTheme="minorHAnsi" w:eastAsiaTheme="minorEastAsia" w:hAnsiTheme="minorHAnsi" w:cstheme="minorBidi"/>
            <w:sz w:val="22"/>
            <w:szCs w:val="22"/>
            <w:lang w:val="es-ES_tradnl" w:eastAsia="en-GB"/>
          </w:rPr>
          <w:tab/>
        </w:r>
        <w:r w:rsidRPr="00140923">
          <w:rPr>
            <w:rStyle w:val="Hyperlink"/>
            <w:lang w:val="es-ES_tradnl"/>
          </w:rPr>
          <w:t>Consideraciones sobre la degradación permitida de la calidad de funcionamiento/ disponibilidad provocada por interferencia y criterios de interferencia conexos</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_Toc39157069 \h </w:instrText>
        </w:r>
        <w:r w:rsidRPr="00140923">
          <w:rPr>
            <w:webHidden/>
            <w:lang w:val="es-ES_tradnl"/>
          </w:rPr>
        </w:r>
        <w:r w:rsidRPr="00140923">
          <w:rPr>
            <w:webHidden/>
            <w:lang w:val="es-ES_tradnl"/>
          </w:rPr>
          <w:fldChar w:fldCharType="separate"/>
        </w:r>
        <w:r w:rsidR="00D23F34">
          <w:rPr>
            <w:noProof/>
            <w:webHidden/>
            <w:lang w:val="es-ES_tradnl"/>
          </w:rPr>
          <w:t>9</w:t>
        </w:r>
        <w:r w:rsidRPr="00140923">
          <w:rPr>
            <w:webHidden/>
            <w:lang w:val="es-ES_tradnl"/>
          </w:rPr>
          <w:fldChar w:fldCharType="end"/>
        </w:r>
      </w:hyperlink>
    </w:p>
    <w:p w14:paraId="226715DB" w14:textId="5D8C81AB"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70" w:history="1">
        <w:r w:rsidRPr="00140923">
          <w:rPr>
            <w:rStyle w:val="Hyperlink"/>
            <w:lang w:val="es-ES_tradnl"/>
          </w:rPr>
          <w:t>4.1</w:t>
        </w:r>
        <w:r w:rsidRPr="00140923">
          <w:rPr>
            <w:rFonts w:asciiTheme="minorHAnsi" w:eastAsiaTheme="minorEastAsia" w:hAnsiTheme="minorHAnsi" w:cstheme="minorBidi"/>
            <w:sz w:val="22"/>
            <w:szCs w:val="22"/>
            <w:lang w:val="es-ES_tradnl" w:eastAsia="en-GB"/>
          </w:rPr>
          <w:tab/>
        </w:r>
        <w:r w:rsidRPr="00140923">
          <w:rPr>
            <w:rStyle w:val="Hyperlink"/>
            <w:lang w:val="es-ES_tradnl"/>
          </w:rPr>
          <w:t>Interferencia a largo plazo</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_Toc39157070 \h </w:instrText>
        </w:r>
        <w:r w:rsidRPr="00140923">
          <w:rPr>
            <w:webHidden/>
            <w:lang w:val="es-ES_tradnl"/>
          </w:rPr>
        </w:r>
        <w:r w:rsidRPr="00140923">
          <w:rPr>
            <w:webHidden/>
            <w:lang w:val="es-ES_tradnl"/>
          </w:rPr>
          <w:fldChar w:fldCharType="separate"/>
        </w:r>
        <w:r w:rsidR="00D23F34">
          <w:rPr>
            <w:noProof/>
            <w:webHidden/>
            <w:lang w:val="es-ES_tradnl"/>
          </w:rPr>
          <w:t>12</w:t>
        </w:r>
        <w:r w:rsidRPr="00140923">
          <w:rPr>
            <w:webHidden/>
            <w:lang w:val="es-ES_tradnl"/>
          </w:rPr>
          <w:fldChar w:fldCharType="end"/>
        </w:r>
      </w:hyperlink>
    </w:p>
    <w:p w14:paraId="67BE34DE" w14:textId="1FE74C84"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71" w:history="1">
        <w:r w:rsidRPr="00140923">
          <w:rPr>
            <w:rStyle w:val="Hyperlink"/>
            <w:lang w:val="es-ES_tradnl"/>
          </w:rPr>
          <w:t>4.2</w:t>
        </w:r>
        <w:r w:rsidRPr="00140923">
          <w:rPr>
            <w:rFonts w:asciiTheme="minorHAnsi" w:eastAsiaTheme="minorEastAsia" w:hAnsiTheme="minorHAnsi" w:cstheme="minorBidi"/>
            <w:sz w:val="22"/>
            <w:szCs w:val="22"/>
            <w:lang w:val="es-ES_tradnl" w:eastAsia="en-GB"/>
          </w:rPr>
          <w:tab/>
        </w:r>
        <w:r w:rsidRPr="00140923">
          <w:rPr>
            <w:rStyle w:val="Hyperlink"/>
            <w:lang w:val="es-ES_tradnl"/>
          </w:rPr>
          <w:t>Interferencia de corta duración</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_Toc39157071 \h </w:instrText>
        </w:r>
        <w:r w:rsidRPr="00140923">
          <w:rPr>
            <w:webHidden/>
            <w:lang w:val="es-ES_tradnl"/>
          </w:rPr>
        </w:r>
        <w:r w:rsidRPr="00140923">
          <w:rPr>
            <w:webHidden/>
            <w:lang w:val="es-ES_tradnl"/>
          </w:rPr>
          <w:fldChar w:fldCharType="separate"/>
        </w:r>
        <w:r w:rsidR="00D23F34">
          <w:rPr>
            <w:noProof/>
            <w:webHidden/>
            <w:lang w:val="es-ES_tradnl"/>
          </w:rPr>
          <w:t>16</w:t>
        </w:r>
        <w:r w:rsidRPr="00140923">
          <w:rPr>
            <w:webHidden/>
            <w:lang w:val="es-ES_tradnl"/>
          </w:rPr>
          <w:fldChar w:fldCharType="end"/>
        </w:r>
      </w:hyperlink>
    </w:p>
    <w:p w14:paraId="0461F54C" w14:textId="5026F77D" w:rsidR="002B37E9" w:rsidRPr="00140923" w:rsidRDefault="002B37E9" w:rsidP="002B37E9">
      <w:pPr>
        <w:pStyle w:val="TOC1"/>
        <w:rPr>
          <w:rFonts w:asciiTheme="minorHAnsi" w:eastAsiaTheme="minorEastAsia" w:hAnsiTheme="minorHAnsi" w:cstheme="minorBidi"/>
          <w:sz w:val="22"/>
          <w:szCs w:val="22"/>
          <w:lang w:val="es-ES_tradnl" w:eastAsia="en-GB"/>
        </w:rPr>
      </w:pPr>
      <w:hyperlink w:anchor="_Toc39157072" w:history="1">
        <w:r w:rsidRPr="00140923">
          <w:rPr>
            <w:rStyle w:val="Hyperlink"/>
            <w:lang w:val="es-ES_tradnl" w:eastAsia="zh-CN"/>
          </w:rPr>
          <w:t>5</w:t>
        </w:r>
        <w:r w:rsidRPr="00140923">
          <w:rPr>
            <w:rFonts w:asciiTheme="minorHAnsi" w:eastAsiaTheme="minorEastAsia" w:hAnsiTheme="minorHAnsi" w:cstheme="minorBidi"/>
            <w:sz w:val="22"/>
            <w:szCs w:val="22"/>
            <w:lang w:val="es-ES_tradnl" w:eastAsia="en-GB"/>
          </w:rPr>
          <w:tab/>
        </w:r>
        <w:r w:rsidRPr="00140923">
          <w:rPr>
            <w:rStyle w:val="Hyperlink"/>
            <w:lang w:val="es-ES_tradnl" w:eastAsia="zh-CN"/>
          </w:rPr>
          <w:t>Uso del control automático de la potencia del transmisor en los sistemas digitales</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_Toc39157072 \h </w:instrText>
        </w:r>
        <w:r w:rsidRPr="00140923">
          <w:rPr>
            <w:webHidden/>
            <w:lang w:val="es-ES_tradnl"/>
          </w:rPr>
        </w:r>
        <w:r w:rsidRPr="00140923">
          <w:rPr>
            <w:webHidden/>
            <w:lang w:val="es-ES_tradnl"/>
          </w:rPr>
          <w:fldChar w:fldCharType="separate"/>
        </w:r>
        <w:r w:rsidR="00D23F34">
          <w:rPr>
            <w:noProof/>
            <w:webHidden/>
            <w:lang w:val="es-ES_tradnl"/>
          </w:rPr>
          <w:t>17</w:t>
        </w:r>
        <w:r w:rsidRPr="00140923">
          <w:rPr>
            <w:webHidden/>
            <w:lang w:val="es-ES_tradnl"/>
          </w:rPr>
          <w:fldChar w:fldCharType="end"/>
        </w:r>
      </w:hyperlink>
    </w:p>
    <w:p w14:paraId="3D0C09ED" w14:textId="2297ADCD" w:rsidR="002B37E9" w:rsidRPr="00140923" w:rsidRDefault="002B37E9" w:rsidP="002B37E9">
      <w:pPr>
        <w:pStyle w:val="TOC1"/>
        <w:rPr>
          <w:rFonts w:asciiTheme="minorHAnsi" w:eastAsiaTheme="minorEastAsia" w:hAnsiTheme="minorHAnsi" w:cstheme="minorBidi"/>
          <w:sz w:val="22"/>
          <w:szCs w:val="22"/>
          <w:lang w:val="es-ES_tradnl" w:eastAsia="en-GB"/>
        </w:rPr>
      </w:pPr>
      <w:hyperlink w:anchor="_Toc39157073" w:history="1">
        <w:r w:rsidRPr="00140923">
          <w:rPr>
            <w:rStyle w:val="Hyperlink"/>
            <w:lang w:val="es-ES_tradnl"/>
          </w:rPr>
          <w:t>6</w:t>
        </w:r>
        <w:r w:rsidRPr="00140923">
          <w:rPr>
            <w:rFonts w:asciiTheme="minorHAnsi" w:eastAsiaTheme="minorEastAsia" w:hAnsiTheme="minorHAnsi" w:cstheme="minorBidi"/>
            <w:sz w:val="22"/>
            <w:szCs w:val="22"/>
            <w:lang w:val="es-ES_tradnl" w:eastAsia="en-GB"/>
          </w:rPr>
          <w:tab/>
        </w:r>
        <w:r w:rsidRPr="00140923">
          <w:rPr>
            <w:rStyle w:val="Hyperlink"/>
            <w:lang w:val="es-ES_tradnl"/>
          </w:rPr>
          <w:t>Cálculo de niveles de interferencia real</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_Toc39157073 \h </w:instrText>
        </w:r>
        <w:r w:rsidRPr="00140923">
          <w:rPr>
            <w:webHidden/>
            <w:lang w:val="es-ES_tradnl"/>
          </w:rPr>
        </w:r>
        <w:r w:rsidRPr="00140923">
          <w:rPr>
            <w:webHidden/>
            <w:lang w:val="es-ES_tradnl"/>
          </w:rPr>
          <w:fldChar w:fldCharType="separate"/>
        </w:r>
        <w:r w:rsidR="00D23F34">
          <w:rPr>
            <w:noProof/>
            <w:webHidden/>
            <w:lang w:val="es-ES_tradnl"/>
          </w:rPr>
          <w:t>17</w:t>
        </w:r>
        <w:r w:rsidRPr="00140923">
          <w:rPr>
            <w:webHidden/>
            <w:lang w:val="es-ES_tradnl"/>
          </w:rPr>
          <w:fldChar w:fldCharType="end"/>
        </w:r>
      </w:hyperlink>
    </w:p>
    <w:p w14:paraId="11E58E1C" w14:textId="26F8D54B" w:rsidR="002B37E9" w:rsidRPr="00140923" w:rsidRDefault="002B37E9" w:rsidP="002B37E9">
      <w:pPr>
        <w:pStyle w:val="TOC1"/>
        <w:rPr>
          <w:rFonts w:asciiTheme="minorHAnsi" w:eastAsiaTheme="minorEastAsia" w:hAnsiTheme="minorHAnsi" w:cstheme="minorBidi"/>
          <w:sz w:val="22"/>
          <w:szCs w:val="22"/>
          <w:lang w:val="es-ES_tradnl" w:eastAsia="en-GB"/>
        </w:rPr>
      </w:pPr>
      <w:hyperlink w:anchor="_Toc39157074" w:history="1">
        <w:r w:rsidRPr="00140923">
          <w:rPr>
            <w:rStyle w:val="Hyperlink"/>
            <w:lang w:val="es-ES_tradnl"/>
          </w:rPr>
          <w:t>Anexo 2 – Parámetros de los sistemas digitales del servicio fijo que han de considerarse para los estudios de compartición/compatibilidad</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_Toc39157074 \h </w:instrText>
        </w:r>
        <w:r w:rsidRPr="00140923">
          <w:rPr>
            <w:webHidden/>
            <w:lang w:val="es-ES_tradnl"/>
          </w:rPr>
        </w:r>
        <w:r w:rsidRPr="00140923">
          <w:rPr>
            <w:webHidden/>
            <w:lang w:val="es-ES_tradnl"/>
          </w:rPr>
          <w:fldChar w:fldCharType="separate"/>
        </w:r>
        <w:r w:rsidR="00D23F34">
          <w:rPr>
            <w:noProof/>
            <w:webHidden/>
            <w:lang w:val="es-ES_tradnl"/>
          </w:rPr>
          <w:t>18</w:t>
        </w:r>
        <w:r w:rsidRPr="00140923">
          <w:rPr>
            <w:webHidden/>
            <w:lang w:val="es-ES_tradnl"/>
          </w:rPr>
          <w:fldChar w:fldCharType="end"/>
        </w:r>
      </w:hyperlink>
    </w:p>
    <w:p w14:paraId="2E8986D0" w14:textId="3CFDB6A5" w:rsidR="002B37E9" w:rsidRPr="00140923" w:rsidRDefault="002B37E9" w:rsidP="002B37E9">
      <w:pPr>
        <w:pStyle w:val="TOC1"/>
        <w:rPr>
          <w:rFonts w:asciiTheme="minorHAnsi" w:eastAsiaTheme="minorEastAsia" w:hAnsiTheme="minorHAnsi" w:cstheme="minorBidi"/>
          <w:sz w:val="22"/>
          <w:szCs w:val="22"/>
          <w:lang w:val="es-ES_tradnl" w:eastAsia="en-GB"/>
        </w:rPr>
      </w:pPr>
      <w:hyperlink w:anchor="_Toc39157075" w:history="1">
        <w:r w:rsidRPr="00140923">
          <w:rPr>
            <w:rStyle w:val="Hyperlink"/>
            <w:lang w:val="es-ES_tradnl"/>
          </w:rPr>
          <w:t>1</w:t>
        </w:r>
        <w:r w:rsidRPr="00140923">
          <w:rPr>
            <w:rFonts w:asciiTheme="minorHAnsi" w:eastAsiaTheme="minorEastAsia" w:hAnsiTheme="minorHAnsi" w:cstheme="minorBidi"/>
            <w:sz w:val="22"/>
            <w:szCs w:val="22"/>
            <w:lang w:val="es-ES_tradnl" w:eastAsia="en-GB"/>
          </w:rPr>
          <w:tab/>
        </w:r>
        <w:r w:rsidRPr="00140923">
          <w:rPr>
            <w:rStyle w:val="Hyperlink"/>
            <w:lang w:val="es-ES_tradnl"/>
          </w:rPr>
          <w:t>Introducción</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_Toc39157075 \h </w:instrText>
        </w:r>
        <w:r w:rsidRPr="00140923">
          <w:rPr>
            <w:webHidden/>
            <w:lang w:val="es-ES_tradnl"/>
          </w:rPr>
        </w:r>
        <w:r w:rsidRPr="00140923">
          <w:rPr>
            <w:webHidden/>
            <w:lang w:val="es-ES_tradnl"/>
          </w:rPr>
          <w:fldChar w:fldCharType="separate"/>
        </w:r>
        <w:r w:rsidR="00D23F34">
          <w:rPr>
            <w:noProof/>
            <w:webHidden/>
            <w:lang w:val="es-ES_tradnl"/>
          </w:rPr>
          <w:t>18</w:t>
        </w:r>
        <w:r w:rsidRPr="00140923">
          <w:rPr>
            <w:webHidden/>
            <w:lang w:val="es-ES_tradnl"/>
          </w:rPr>
          <w:fldChar w:fldCharType="end"/>
        </w:r>
      </w:hyperlink>
    </w:p>
    <w:p w14:paraId="6D05ADB4" w14:textId="04A5E054" w:rsidR="002B37E9" w:rsidRPr="00140923" w:rsidRDefault="002B37E9" w:rsidP="002B37E9">
      <w:pPr>
        <w:pStyle w:val="TOC1"/>
        <w:rPr>
          <w:rFonts w:asciiTheme="minorHAnsi" w:eastAsiaTheme="minorEastAsia" w:hAnsiTheme="minorHAnsi" w:cstheme="minorBidi"/>
          <w:sz w:val="22"/>
          <w:szCs w:val="22"/>
          <w:lang w:val="es-ES_tradnl" w:eastAsia="en-GB"/>
        </w:rPr>
      </w:pPr>
      <w:hyperlink w:anchor="_Toc39157076" w:history="1">
        <w:r w:rsidRPr="00140923">
          <w:rPr>
            <w:rStyle w:val="Hyperlink"/>
            <w:lang w:val="es-ES_tradnl"/>
          </w:rPr>
          <w:t>2</w:t>
        </w:r>
        <w:r w:rsidRPr="00140923">
          <w:rPr>
            <w:rFonts w:asciiTheme="minorHAnsi" w:eastAsiaTheme="minorEastAsia" w:hAnsiTheme="minorHAnsi" w:cstheme="minorBidi"/>
            <w:sz w:val="22"/>
            <w:szCs w:val="22"/>
            <w:lang w:val="es-ES_tradnl" w:eastAsia="en-GB"/>
          </w:rPr>
          <w:tab/>
        </w:r>
        <w:r w:rsidRPr="00140923">
          <w:rPr>
            <w:rStyle w:val="Hyperlink"/>
            <w:lang w:val="es-ES_tradnl"/>
          </w:rPr>
          <w:t>Caracterización del transmisor</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_Toc39157076 \h </w:instrText>
        </w:r>
        <w:r w:rsidRPr="00140923">
          <w:rPr>
            <w:webHidden/>
            <w:lang w:val="es-ES_tradnl"/>
          </w:rPr>
        </w:r>
        <w:r w:rsidRPr="00140923">
          <w:rPr>
            <w:webHidden/>
            <w:lang w:val="es-ES_tradnl"/>
          </w:rPr>
          <w:fldChar w:fldCharType="separate"/>
        </w:r>
        <w:r w:rsidR="00D23F34">
          <w:rPr>
            <w:noProof/>
            <w:webHidden/>
            <w:lang w:val="es-ES_tradnl"/>
          </w:rPr>
          <w:t>18</w:t>
        </w:r>
        <w:r w:rsidRPr="00140923">
          <w:rPr>
            <w:webHidden/>
            <w:lang w:val="es-ES_tradnl"/>
          </w:rPr>
          <w:fldChar w:fldCharType="end"/>
        </w:r>
      </w:hyperlink>
    </w:p>
    <w:p w14:paraId="0DE5D1EC" w14:textId="71148419"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77" w:history="1">
        <w:r w:rsidRPr="00140923">
          <w:rPr>
            <w:rStyle w:val="Hyperlink"/>
            <w:lang w:val="es-ES_tradnl"/>
          </w:rPr>
          <w:t>2.1</w:t>
        </w:r>
        <w:r w:rsidRPr="00140923">
          <w:rPr>
            <w:rFonts w:asciiTheme="minorHAnsi" w:eastAsiaTheme="minorEastAsia" w:hAnsiTheme="minorHAnsi" w:cstheme="minorBidi"/>
            <w:sz w:val="22"/>
            <w:szCs w:val="22"/>
            <w:lang w:val="es-ES_tradnl" w:eastAsia="en-GB"/>
          </w:rPr>
          <w:tab/>
        </w:r>
        <w:r w:rsidRPr="00140923">
          <w:rPr>
            <w:rStyle w:val="Hyperlink"/>
            <w:lang w:val="es-ES_tradnl"/>
          </w:rPr>
          <w:t>Parámetros de los equipos</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_Toc39157077 \h </w:instrText>
        </w:r>
        <w:r w:rsidRPr="00140923">
          <w:rPr>
            <w:webHidden/>
            <w:lang w:val="es-ES_tradnl"/>
          </w:rPr>
        </w:r>
        <w:r w:rsidRPr="00140923">
          <w:rPr>
            <w:webHidden/>
            <w:lang w:val="es-ES_tradnl"/>
          </w:rPr>
          <w:fldChar w:fldCharType="separate"/>
        </w:r>
        <w:r w:rsidR="00D23F34">
          <w:rPr>
            <w:noProof/>
            <w:webHidden/>
            <w:lang w:val="es-ES_tradnl"/>
          </w:rPr>
          <w:t>18</w:t>
        </w:r>
        <w:r w:rsidRPr="00140923">
          <w:rPr>
            <w:webHidden/>
            <w:lang w:val="es-ES_tradnl"/>
          </w:rPr>
          <w:fldChar w:fldCharType="end"/>
        </w:r>
      </w:hyperlink>
    </w:p>
    <w:p w14:paraId="44B30434" w14:textId="54EEE219"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78" w:history="1">
        <w:r w:rsidRPr="00140923">
          <w:rPr>
            <w:rStyle w:val="Hyperlink"/>
            <w:lang w:val="es-ES_tradnl"/>
          </w:rPr>
          <w:t>2.2</w:t>
        </w:r>
        <w:r w:rsidRPr="00140923">
          <w:rPr>
            <w:rFonts w:asciiTheme="minorHAnsi" w:eastAsiaTheme="minorEastAsia" w:hAnsiTheme="minorHAnsi" w:cstheme="minorBidi"/>
            <w:sz w:val="22"/>
            <w:szCs w:val="22"/>
            <w:lang w:val="es-ES_tradnl" w:eastAsia="en-GB"/>
          </w:rPr>
          <w:tab/>
        </w:r>
        <w:r w:rsidRPr="00140923">
          <w:rPr>
            <w:rStyle w:val="Hyperlink"/>
            <w:lang w:val="es-ES_tradnl"/>
          </w:rPr>
          <w:t>Distribución estadística por todo el territorio</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_Toc39157078 \h </w:instrText>
        </w:r>
        <w:r w:rsidRPr="00140923">
          <w:rPr>
            <w:webHidden/>
            <w:lang w:val="es-ES_tradnl"/>
          </w:rPr>
        </w:r>
        <w:r w:rsidRPr="00140923">
          <w:rPr>
            <w:webHidden/>
            <w:lang w:val="es-ES_tradnl"/>
          </w:rPr>
          <w:fldChar w:fldCharType="separate"/>
        </w:r>
        <w:r w:rsidR="00D23F34">
          <w:rPr>
            <w:noProof/>
            <w:webHidden/>
            <w:lang w:val="es-ES_tradnl"/>
          </w:rPr>
          <w:t>19</w:t>
        </w:r>
        <w:r w:rsidRPr="00140923">
          <w:rPr>
            <w:webHidden/>
            <w:lang w:val="es-ES_tradnl"/>
          </w:rPr>
          <w:fldChar w:fldCharType="end"/>
        </w:r>
      </w:hyperlink>
    </w:p>
    <w:p w14:paraId="22B524F2" w14:textId="100306FD" w:rsidR="002B37E9" w:rsidRPr="00140923" w:rsidRDefault="002B37E9" w:rsidP="002B37E9">
      <w:pPr>
        <w:pStyle w:val="TOC1"/>
        <w:rPr>
          <w:rFonts w:asciiTheme="minorHAnsi" w:eastAsiaTheme="minorEastAsia" w:hAnsiTheme="minorHAnsi" w:cstheme="minorBidi"/>
          <w:sz w:val="22"/>
          <w:szCs w:val="22"/>
          <w:lang w:val="es-ES_tradnl" w:eastAsia="en-GB"/>
        </w:rPr>
      </w:pPr>
      <w:hyperlink w:anchor="_Toc39157079" w:history="1">
        <w:r w:rsidRPr="00140923">
          <w:rPr>
            <w:rStyle w:val="Hyperlink"/>
            <w:lang w:val="es-ES_tradnl"/>
          </w:rPr>
          <w:t>3</w:t>
        </w:r>
        <w:r w:rsidRPr="00140923">
          <w:rPr>
            <w:rFonts w:asciiTheme="minorHAnsi" w:eastAsiaTheme="minorEastAsia" w:hAnsiTheme="minorHAnsi" w:cstheme="minorBidi"/>
            <w:sz w:val="22"/>
            <w:szCs w:val="22"/>
            <w:lang w:val="es-ES_tradnl" w:eastAsia="en-GB"/>
          </w:rPr>
          <w:tab/>
        </w:r>
        <w:r w:rsidRPr="00140923">
          <w:rPr>
            <w:rStyle w:val="Hyperlink"/>
            <w:lang w:val="es-ES_tradnl"/>
          </w:rPr>
          <w:t>Caracterización del receptor</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_Toc39157079 \h </w:instrText>
        </w:r>
        <w:r w:rsidRPr="00140923">
          <w:rPr>
            <w:webHidden/>
            <w:lang w:val="es-ES_tradnl"/>
          </w:rPr>
        </w:r>
        <w:r w:rsidRPr="00140923">
          <w:rPr>
            <w:webHidden/>
            <w:lang w:val="es-ES_tradnl"/>
          </w:rPr>
          <w:fldChar w:fldCharType="separate"/>
        </w:r>
        <w:r w:rsidR="00D23F34">
          <w:rPr>
            <w:noProof/>
            <w:webHidden/>
            <w:lang w:val="es-ES_tradnl"/>
          </w:rPr>
          <w:t>20</w:t>
        </w:r>
        <w:r w:rsidRPr="00140923">
          <w:rPr>
            <w:webHidden/>
            <w:lang w:val="es-ES_tradnl"/>
          </w:rPr>
          <w:fldChar w:fldCharType="end"/>
        </w:r>
      </w:hyperlink>
    </w:p>
    <w:p w14:paraId="1A571A87" w14:textId="492714CA"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80" w:history="1">
        <w:r w:rsidRPr="00140923">
          <w:rPr>
            <w:rStyle w:val="Hyperlink"/>
            <w:lang w:val="es-ES_tradnl"/>
          </w:rPr>
          <w:t>3.1</w:t>
        </w:r>
        <w:r w:rsidRPr="00140923">
          <w:rPr>
            <w:rFonts w:asciiTheme="minorHAnsi" w:eastAsiaTheme="minorEastAsia" w:hAnsiTheme="minorHAnsi" w:cstheme="minorBidi"/>
            <w:sz w:val="22"/>
            <w:szCs w:val="22"/>
            <w:lang w:val="es-ES_tradnl" w:eastAsia="en-GB"/>
          </w:rPr>
          <w:tab/>
        </w:r>
        <w:r w:rsidRPr="00140923">
          <w:rPr>
            <w:rStyle w:val="Hyperlink"/>
            <w:lang w:val="es-ES_tradnl"/>
          </w:rPr>
          <w:t>Parámetros del equipo</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_Toc39157080 \h </w:instrText>
        </w:r>
        <w:r w:rsidRPr="00140923">
          <w:rPr>
            <w:webHidden/>
            <w:lang w:val="es-ES_tradnl"/>
          </w:rPr>
        </w:r>
        <w:r w:rsidRPr="00140923">
          <w:rPr>
            <w:webHidden/>
            <w:lang w:val="es-ES_tradnl"/>
          </w:rPr>
          <w:fldChar w:fldCharType="separate"/>
        </w:r>
        <w:r w:rsidR="00D23F34">
          <w:rPr>
            <w:noProof/>
            <w:webHidden/>
            <w:lang w:val="es-ES_tradnl"/>
          </w:rPr>
          <w:t>20</w:t>
        </w:r>
        <w:r w:rsidRPr="00140923">
          <w:rPr>
            <w:webHidden/>
            <w:lang w:val="es-ES_tradnl"/>
          </w:rPr>
          <w:fldChar w:fldCharType="end"/>
        </w:r>
      </w:hyperlink>
    </w:p>
    <w:p w14:paraId="1AA172E1" w14:textId="16BDC885"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81" w:history="1">
        <w:r w:rsidRPr="00140923">
          <w:rPr>
            <w:rStyle w:val="Hyperlink"/>
            <w:lang w:val="es-ES_tradnl"/>
          </w:rPr>
          <w:t>3.2</w:t>
        </w:r>
        <w:r w:rsidRPr="00140923">
          <w:rPr>
            <w:rFonts w:asciiTheme="minorHAnsi" w:eastAsiaTheme="minorEastAsia" w:hAnsiTheme="minorHAnsi" w:cstheme="minorBidi"/>
            <w:sz w:val="22"/>
            <w:szCs w:val="22"/>
            <w:lang w:val="es-ES_tradnl" w:eastAsia="en-GB"/>
          </w:rPr>
          <w:tab/>
        </w:r>
        <w:r w:rsidRPr="00140923">
          <w:rPr>
            <w:rStyle w:val="Hyperlink"/>
            <w:lang w:val="es-ES_tradnl"/>
          </w:rPr>
          <w:t>Interferencia admisible</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_Toc39157081 \h </w:instrText>
        </w:r>
        <w:r w:rsidRPr="00140923">
          <w:rPr>
            <w:webHidden/>
            <w:lang w:val="es-ES_tradnl"/>
          </w:rPr>
        </w:r>
        <w:r w:rsidRPr="00140923">
          <w:rPr>
            <w:webHidden/>
            <w:lang w:val="es-ES_tradnl"/>
          </w:rPr>
          <w:fldChar w:fldCharType="separate"/>
        </w:r>
        <w:r w:rsidR="00D23F34">
          <w:rPr>
            <w:noProof/>
            <w:webHidden/>
            <w:lang w:val="es-ES_tradnl"/>
          </w:rPr>
          <w:t>21</w:t>
        </w:r>
        <w:r w:rsidRPr="00140923">
          <w:rPr>
            <w:webHidden/>
            <w:lang w:val="es-ES_tradnl"/>
          </w:rPr>
          <w:fldChar w:fldCharType="end"/>
        </w:r>
      </w:hyperlink>
    </w:p>
    <w:p w14:paraId="3EC0E04E" w14:textId="7D67C47C" w:rsidR="002B37E9" w:rsidRPr="00140923" w:rsidRDefault="002B37E9" w:rsidP="002B37E9">
      <w:pPr>
        <w:pStyle w:val="TOC1"/>
        <w:rPr>
          <w:rFonts w:asciiTheme="minorHAnsi" w:eastAsiaTheme="minorEastAsia" w:hAnsiTheme="minorHAnsi" w:cstheme="minorBidi"/>
          <w:sz w:val="22"/>
          <w:szCs w:val="22"/>
          <w:lang w:val="es-ES_tradnl" w:eastAsia="en-GB"/>
        </w:rPr>
      </w:pPr>
      <w:hyperlink w:anchor="_Toc39157082" w:history="1">
        <w:r w:rsidRPr="00140923">
          <w:rPr>
            <w:rStyle w:val="Hyperlink"/>
            <w:lang w:val="es-ES_tradnl"/>
          </w:rPr>
          <w:t>4</w:t>
        </w:r>
        <w:r w:rsidRPr="00140923">
          <w:rPr>
            <w:rFonts w:asciiTheme="minorHAnsi" w:eastAsiaTheme="minorEastAsia" w:hAnsiTheme="minorHAnsi" w:cstheme="minorBidi"/>
            <w:sz w:val="22"/>
            <w:szCs w:val="22"/>
            <w:lang w:val="es-ES_tradnl" w:eastAsia="en-GB"/>
          </w:rPr>
          <w:tab/>
        </w:r>
        <w:r w:rsidRPr="00140923">
          <w:rPr>
            <w:rStyle w:val="Hyperlink"/>
            <w:lang w:val="es-ES_tradnl"/>
          </w:rPr>
          <w:t>Cuadros de parámetros de sistema</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_Toc39157082 \h </w:instrText>
        </w:r>
        <w:r w:rsidRPr="00140923">
          <w:rPr>
            <w:webHidden/>
            <w:lang w:val="es-ES_tradnl"/>
          </w:rPr>
        </w:r>
        <w:r w:rsidRPr="00140923">
          <w:rPr>
            <w:webHidden/>
            <w:lang w:val="es-ES_tradnl"/>
          </w:rPr>
          <w:fldChar w:fldCharType="separate"/>
        </w:r>
        <w:r w:rsidR="00D23F34">
          <w:rPr>
            <w:noProof/>
            <w:webHidden/>
            <w:lang w:val="es-ES_tradnl"/>
          </w:rPr>
          <w:t>21</w:t>
        </w:r>
        <w:r w:rsidRPr="00140923">
          <w:rPr>
            <w:webHidden/>
            <w:lang w:val="es-ES_tradnl"/>
          </w:rPr>
          <w:fldChar w:fldCharType="end"/>
        </w:r>
      </w:hyperlink>
    </w:p>
    <w:p w14:paraId="0869DD84" w14:textId="722B4165"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83" w:history="1">
        <w:r w:rsidRPr="00140923">
          <w:rPr>
            <w:rStyle w:val="Hyperlink"/>
            <w:lang w:val="es-ES_tradnl"/>
          </w:rPr>
          <w:t>4.1</w:t>
        </w:r>
        <w:r w:rsidRPr="00140923">
          <w:rPr>
            <w:rFonts w:asciiTheme="minorHAnsi" w:eastAsiaTheme="minorEastAsia" w:hAnsiTheme="minorHAnsi" w:cstheme="minorBidi"/>
            <w:sz w:val="22"/>
            <w:szCs w:val="22"/>
            <w:lang w:val="es-ES_tradnl" w:eastAsia="en-GB"/>
          </w:rPr>
          <w:tab/>
        </w:r>
        <w:r w:rsidRPr="00140923">
          <w:rPr>
            <w:rStyle w:val="Hyperlink"/>
            <w:lang w:val="es-ES_tradnl"/>
          </w:rPr>
          <w:t>Gama de frecuencias y su Recomendación UIT-R de referencia conexa</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_Toc39157083 \h </w:instrText>
        </w:r>
        <w:r w:rsidRPr="00140923">
          <w:rPr>
            <w:webHidden/>
            <w:lang w:val="es-ES_tradnl"/>
          </w:rPr>
        </w:r>
        <w:r w:rsidRPr="00140923">
          <w:rPr>
            <w:webHidden/>
            <w:lang w:val="es-ES_tradnl"/>
          </w:rPr>
          <w:fldChar w:fldCharType="separate"/>
        </w:r>
        <w:r w:rsidR="00D23F34">
          <w:rPr>
            <w:noProof/>
            <w:webHidden/>
            <w:lang w:val="es-ES_tradnl"/>
          </w:rPr>
          <w:t>21</w:t>
        </w:r>
        <w:r w:rsidRPr="00140923">
          <w:rPr>
            <w:webHidden/>
            <w:lang w:val="es-ES_tradnl"/>
          </w:rPr>
          <w:fldChar w:fldCharType="end"/>
        </w:r>
      </w:hyperlink>
    </w:p>
    <w:p w14:paraId="6063C7E0" w14:textId="2F479554"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84" w:history="1">
        <w:r w:rsidRPr="00140923">
          <w:rPr>
            <w:rStyle w:val="Hyperlink"/>
            <w:lang w:val="es-ES_tradnl"/>
          </w:rPr>
          <w:t>4.2</w:t>
        </w:r>
        <w:r w:rsidRPr="00140923">
          <w:rPr>
            <w:rFonts w:asciiTheme="minorHAnsi" w:eastAsiaTheme="minorEastAsia" w:hAnsiTheme="minorHAnsi" w:cstheme="minorBidi"/>
            <w:sz w:val="22"/>
            <w:szCs w:val="22"/>
            <w:lang w:val="es-ES_tradnl" w:eastAsia="en-GB"/>
          </w:rPr>
          <w:tab/>
        </w:r>
        <w:r w:rsidRPr="00140923">
          <w:rPr>
            <w:rStyle w:val="Hyperlink"/>
            <w:lang w:val="es-ES_tradnl"/>
          </w:rPr>
          <w:t>Formato de modulación</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_Toc39157084 \h </w:instrText>
        </w:r>
        <w:r w:rsidRPr="00140923">
          <w:rPr>
            <w:webHidden/>
            <w:lang w:val="es-ES_tradnl"/>
          </w:rPr>
        </w:r>
        <w:r w:rsidRPr="00140923">
          <w:rPr>
            <w:webHidden/>
            <w:lang w:val="es-ES_tradnl"/>
          </w:rPr>
          <w:fldChar w:fldCharType="separate"/>
        </w:r>
        <w:r w:rsidR="00D23F34">
          <w:rPr>
            <w:noProof/>
            <w:webHidden/>
            <w:lang w:val="es-ES_tradnl"/>
          </w:rPr>
          <w:t>22</w:t>
        </w:r>
        <w:r w:rsidRPr="00140923">
          <w:rPr>
            <w:webHidden/>
            <w:lang w:val="es-ES_tradnl"/>
          </w:rPr>
          <w:fldChar w:fldCharType="end"/>
        </w:r>
      </w:hyperlink>
    </w:p>
    <w:p w14:paraId="6EF7BBAE" w14:textId="59CBF428"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85" w:history="1">
        <w:r w:rsidRPr="00140923">
          <w:rPr>
            <w:rStyle w:val="Hyperlink"/>
            <w:lang w:val="es-ES_tradnl"/>
          </w:rPr>
          <w:t>4.3</w:t>
        </w:r>
        <w:r w:rsidRPr="00140923">
          <w:rPr>
            <w:rFonts w:asciiTheme="minorHAnsi" w:eastAsiaTheme="minorEastAsia" w:hAnsiTheme="minorHAnsi" w:cstheme="minorBidi"/>
            <w:sz w:val="22"/>
            <w:szCs w:val="22"/>
            <w:lang w:val="es-ES_tradnl" w:eastAsia="en-GB"/>
          </w:rPr>
          <w:tab/>
        </w:r>
        <w:r w:rsidRPr="00140923">
          <w:rPr>
            <w:rStyle w:val="Hyperlink"/>
            <w:lang w:val="es-ES_tradnl"/>
          </w:rPr>
          <w:t>Separación entre canales y anchura de banda de ruido del receptor</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_Toc39157085 \h </w:instrText>
        </w:r>
        <w:r w:rsidRPr="00140923">
          <w:rPr>
            <w:webHidden/>
            <w:lang w:val="es-ES_tradnl"/>
          </w:rPr>
        </w:r>
        <w:r w:rsidRPr="00140923">
          <w:rPr>
            <w:webHidden/>
            <w:lang w:val="es-ES_tradnl"/>
          </w:rPr>
          <w:fldChar w:fldCharType="separate"/>
        </w:r>
        <w:r w:rsidR="00D23F34">
          <w:rPr>
            <w:noProof/>
            <w:webHidden/>
            <w:lang w:val="es-ES_tradnl"/>
          </w:rPr>
          <w:t>22</w:t>
        </w:r>
        <w:r w:rsidRPr="00140923">
          <w:rPr>
            <w:webHidden/>
            <w:lang w:val="es-ES_tradnl"/>
          </w:rPr>
          <w:fldChar w:fldCharType="end"/>
        </w:r>
      </w:hyperlink>
    </w:p>
    <w:p w14:paraId="30E80436" w14:textId="6157CB7F"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86" w:history="1">
        <w:r w:rsidRPr="00140923">
          <w:rPr>
            <w:rStyle w:val="Hyperlink"/>
            <w:lang w:val="es-ES_tradnl"/>
          </w:rPr>
          <w:t>4.4</w:t>
        </w:r>
        <w:r w:rsidRPr="00140923">
          <w:rPr>
            <w:rFonts w:asciiTheme="minorHAnsi" w:eastAsiaTheme="minorEastAsia" w:hAnsiTheme="minorHAnsi" w:cstheme="minorBidi"/>
            <w:sz w:val="22"/>
            <w:szCs w:val="22"/>
            <w:lang w:val="es-ES_tradnl" w:eastAsia="en-GB"/>
          </w:rPr>
          <w:tab/>
        </w:r>
        <w:r w:rsidRPr="00140923">
          <w:rPr>
            <w:rStyle w:val="Hyperlink"/>
            <w:lang w:val="es-ES_tradnl"/>
          </w:rPr>
          <w:t>Gama de potencia de salida del transmisor (dBW)</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_Toc39157086 \h </w:instrText>
        </w:r>
        <w:r w:rsidRPr="00140923">
          <w:rPr>
            <w:webHidden/>
            <w:lang w:val="es-ES_tradnl"/>
          </w:rPr>
        </w:r>
        <w:r w:rsidRPr="00140923">
          <w:rPr>
            <w:webHidden/>
            <w:lang w:val="es-ES_tradnl"/>
          </w:rPr>
          <w:fldChar w:fldCharType="separate"/>
        </w:r>
        <w:r w:rsidR="00D23F34">
          <w:rPr>
            <w:noProof/>
            <w:webHidden/>
            <w:lang w:val="es-ES_tradnl"/>
          </w:rPr>
          <w:t>22</w:t>
        </w:r>
        <w:r w:rsidRPr="00140923">
          <w:rPr>
            <w:webHidden/>
            <w:lang w:val="es-ES_tradnl"/>
          </w:rPr>
          <w:fldChar w:fldCharType="end"/>
        </w:r>
      </w:hyperlink>
    </w:p>
    <w:p w14:paraId="4FF66B26" w14:textId="662E090A"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87" w:history="1">
        <w:r w:rsidRPr="00140923">
          <w:rPr>
            <w:rStyle w:val="Hyperlink"/>
            <w:lang w:val="es-ES_tradnl"/>
          </w:rPr>
          <w:t>4.5</w:t>
        </w:r>
        <w:r w:rsidRPr="00140923">
          <w:rPr>
            <w:rFonts w:asciiTheme="minorHAnsi" w:eastAsiaTheme="minorEastAsia" w:hAnsiTheme="minorHAnsi" w:cstheme="minorBidi"/>
            <w:sz w:val="22"/>
            <w:szCs w:val="22"/>
            <w:lang w:val="es-ES_tradnl" w:eastAsia="en-GB"/>
          </w:rPr>
          <w:tab/>
        </w:r>
        <w:r w:rsidRPr="00140923">
          <w:rPr>
            <w:rStyle w:val="Hyperlink"/>
            <w:lang w:val="es-ES_tradnl"/>
          </w:rPr>
          <w:t>Gama de densidad de potencia de salida del transmisor (dBW/MHz)</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_Toc39157087 \h </w:instrText>
        </w:r>
        <w:r w:rsidRPr="00140923">
          <w:rPr>
            <w:webHidden/>
            <w:lang w:val="es-ES_tradnl"/>
          </w:rPr>
        </w:r>
        <w:r w:rsidRPr="00140923">
          <w:rPr>
            <w:webHidden/>
            <w:lang w:val="es-ES_tradnl"/>
          </w:rPr>
          <w:fldChar w:fldCharType="separate"/>
        </w:r>
        <w:r w:rsidR="00D23F34">
          <w:rPr>
            <w:noProof/>
            <w:webHidden/>
            <w:lang w:val="es-ES_tradnl"/>
          </w:rPr>
          <w:t>23</w:t>
        </w:r>
        <w:r w:rsidRPr="00140923">
          <w:rPr>
            <w:webHidden/>
            <w:lang w:val="es-ES_tradnl"/>
          </w:rPr>
          <w:fldChar w:fldCharType="end"/>
        </w:r>
      </w:hyperlink>
    </w:p>
    <w:p w14:paraId="3B798159" w14:textId="0074AF94"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88" w:history="1">
        <w:r w:rsidRPr="00140923">
          <w:rPr>
            <w:rStyle w:val="Hyperlink"/>
            <w:lang w:val="es-ES_tradnl"/>
          </w:rPr>
          <w:t>4.</w:t>
        </w:r>
        <w:r w:rsidRPr="00140923">
          <w:rPr>
            <w:rStyle w:val="Hyperlink"/>
            <w:lang w:val="es-ES_tradnl" w:eastAsia="ja-JP"/>
          </w:rPr>
          <w:t>6</w:t>
        </w:r>
        <w:r w:rsidRPr="00140923">
          <w:rPr>
            <w:rFonts w:asciiTheme="minorHAnsi" w:eastAsiaTheme="minorEastAsia" w:hAnsiTheme="minorHAnsi" w:cstheme="minorBidi"/>
            <w:sz w:val="22"/>
            <w:szCs w:val="22"/>
            <w:lang w:val="es-ES_tradnl" w:eastAsia="en-GB"/>
          </w:rPr>
          <w:tab/>
        </w:r>
        <w:r w:rsidRPr="00140923">
          <w:rPr>
            <w:rStyle w:val="Hyperlink"/>
            <w:lang w:val="es-ES_tradnl"/>
          </w:rPr>
          <w:t>Gama de pérdidas del alimentador/multiplexor (dB)</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_Toc39157088 \h </w:instrText>
        </w:r>
        <w:r w:rsidRPr="00140923">
          <w:rPr>
            <w:webHidden/>
            <w:lang w:val="es-ES_tradnl"/>
          </w:rPr>
        </w:r>
        <w:r w:rsidRPr="00140923">
          <w:rPr>
            <w:webHidden/>
            <w:lang w:val="es-ES_tradnl"/>
          </w:rPr>
          <w:fldChar w:fldCharType="separate"/>
        </w:r>
        <w:r w:rsidR="00D23F34">
          <w:rPr>
            <w:noProof/>
            <w:webHidden/>
            <w:lang w:val="es-ES_tradnl"/>
          </w:rPr>
          <w:t>23</w:t>
        </w:r>
        <w:r w:rsidRPr="00140923">
          <w:rPr>
            <w:webHidden/>
            <w:lang w:val="es-ES_tradnl"/>
          </w:rPr>
          <w:fldChar w:fldCharType="end"/>
        </w:r>
      </w:hyperlink>
    </w:p>
    <w:p w14:paraId="3F64066E" w14:textId="33717D4C"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89" w:history="1">
        <w:r w:rsidRPr="00140923">
          <w:rPr>
            <w:rStyle w:val="Hyperlink"/>
            <w:lang w:val="es-ES_tradnl"/>
          </w:rPr>
          <w:t>4.</w:t>
        </w:r>
        <w:r w:rsidRPr="00140923">
          <w:rPr>
            <w:rStyle w:val="Hyperlink"/>
            <w:lang w:val="es-ES_tradnl" w:eastAsia="ja-JP"/>
          </w:rPr>
          <w:t>7</w:t>
        </w:r>
        <w:r w:rsidRPr="00140923">
          <w:rPr>
            <w:rFonts w:asciiTheme="minorHAnsi" w:eastAsiaTheme="minorEastAsia" w:hAnsiTheme="minorHAnsi" w:cstheme="minorBidi"/>
            <w:sz w:val="22"/>
            <w:szCs w:val="22"/>
            <w:lang w:val="es-ES_tradnl" w:eastAsia="en-GB"/>
          </w:rPr>
          <w:tab/>
        </w:r>
        <w:r w:rsidRPr="00140923">
          <w:rPr>
            <w:rStyle w:val="Hyperlink"/>
            <w:lang w:val="es-ES_tradnl"/>
          </w:rPr>
          <w:t>Gama de ganancia de antena (dBi) (punto a punto) o gama de tipo y ganancia de antena (dBi) (punto a multipunto)</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_Toc39157089 \h </w:instrText>
        </w:r>
        <w:r w:rsidRPr="00140923">
          <w:rPr>
            <w:webHidden/>
            <w:lang w:val="es-ES_tradnl"/>
          </w:rPr>
        </w:r>
        <w:r w:rsidRPr="00140923">
          <w:rPr>
            <w:webHidden/>
            <w:lang w:val="es-ES_tradnl"/>
          </w:rPr>
          <w:fldChar w:fldCharType="separate"/>
        </w:r>
        <w:r w:rsidR="00D23F34">
          <w:rPr>
            <w:noProof/>
            <w:webHidden/>
            <w:lang w:val="es-ES_tradnl"/>
          </w:rPr>
          <w:t>23</w:t>
        </w:r>
        <w:r w:rsidRPr="00140923">
          <w:rPr>
            <w:webHidden/>
            <w:lang w:val="es-ES_tradnl"/>
          </w:rPr>
          <w:fldChar w:fldCharType="end"/>
        </w:r>
      </w:hyperlink>
    </w:p>
    <w:p w14:paraId="7B576E4B" w14:textId="7940AF55"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90" w:history="1">
        <w:r w:rsidRPr="00140923">
          <w:rPr>
            <w:rStyle w:val="Hyperlink"/>
            <w:lang w:val="es-ES_tradnl"/>
          </w:rPr>
          <w:t>4.</w:t>
        </w:r>
        <w:r w:rsidRPr="00140923">
          <w:rPr>
            <w:rStyle w:val="Hyperlink"/>
            <w:lang w:val="es-ES_tradnl" w:eastAsia="ja-JP"/>
          </w:rPr>
          <w:t>8</w:t>
        </w:r>
        <w:r w:rsidRPr="00140923">
          <w:rPr>
            <w:rFonts w:asciiTheme="minorHAnsi" w:eastAsiaTheme="minorEastAsia" w:hAnsiTheme="minorHAnsi" w:cstheme="minorBidi"/>
            <w:sz w:val="22"/>
            <w:szCs w:val="22"/>
            <w:lang w:val="es-ES_tradnl" w:eastAsia="en-GB"/>
          </w:rPr>
          <w:tab/>
        </w:r>
        <w:r w:rsidRPr="00140923">
          <w:rPr>
            <w:rStyle w:val="Hyperlink"/>
            <w:lang w:val="es-ES_tradnl"/>
          </w:rPr>
          <w:t>Gama de p.i.r.e. (dBW)</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_Toc39157090 \h </w:instrText>
        </w:r>
        <w:r w:rsidRPr="00140923">
          <w:rPr>
            <w:webHidden/>
            <w:lang w:val="es-ES_tradnl"/>
          </w:rPr>
        </w:r>
        <w:r w:rsidRPr="00140923">
          <w:rPr>
            <w:webHidden/>
            <w:lang w:val="es-ES_tradnl"/>
          </w:rPr>
          <w:fldChar w:fldCharType="separate"/>
        </w:r>
        <w:r w:rsidR="00D23F34">
          <w:rPr>
            <w:noProof/>
            <w:webHidden/>
            <w:lang w:val="es-ES_tradnl"/>
          </w:rPr>
          <w:t>24</w:t>
        </w:r>
        <w:r w:rsidRPr="00140923">
          <w:rPr>
            <w:webHidden/>
            <w:lang w:val="es-ES_tradnl"/>
          </w:rPr>
          <w:fldChar w:fldCharType="end"/>
        </w:r>
      </w:hyperlink>
    </w:p>
    <w:p w14:paraId="642F2642" w14:textId="4D2A639E"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91" w:history="1">
        <w:r w:rsidRPr="00140923">
          <w:rPr>
            <w:rStyle w:val="Hyperlink"/>
            <w:lang w:val="es-ES_tradnl"/>
          </w:rPr>
          <w:t>4.9</w:t>
        </w:r>
        <w:r w:rsidRPr="00140923">
          <w:rPr>
            <w:rFonts w:asciiTheme="minorHAnsi" w:eastAsiaTheme="minorEastAsia" w:hAnsiTheme="minorHAnsi" w:cstheme="minorBidi"/>
            <w:sz w:val="22"/>
            <w:szCs w:val="22"/>
            <w:lang w:val="es-ES_tradnl" w:eastAsia="en-GB"/>
          </w:rPr>
          <w:tab/>
        </w:r>
        <w:r w:rsidRPr="00140923">
          <w:rPr>
            <w:rStyle w:val="Hyperlink"/>
            <w:lang w:val="es-ES_tradnl"/>
          </w:rPr>
          <w:t>Gama de densidad de p.i.r.e. (dBW/MHz)</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_Toc39157091 \h </w:instrText>
        </w:r>
        <w:r w:rsidRPr="00140923">
          <w:rPr>
            <w:webHidden/>
            <w:lang w:val="es-ES_tradnl"/>
          </w:rPr>
        </w:r>
        <w:r w:rsidRPr="00140923">
          <w:rPr>
            <w:webHidden/>
            <w:lang w:val="es-ES_tradnl"/>
          </w:rPr>
          <w:fldChar w:fldCharType="separate"/>
        </w:r>
        <w:r w:rsidR="00D23F34">
          <w:rPr>
            <w:noProof/>
            <w:webHidden/>
            <w:lang w:val="es-ES_tradnl"/>
          </w:rPr>
          <w:t>24</w:t>
        </w:r>
        <w:r w:rsidRPr="00140923">
          <w:rPr>
            <w:webHidden/>
            <w:lang w:val="es-ES_tradnl"/>
          </w:rPr>
          <w:fldChar w:fldCharType="end"/>
        </w:r>
      </w:hyperlink>
    </w:p>
    <w:p w14:paraId="7FDBAB48" w14:textId="20062FE1"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92" w:history="1">
        <w:r w:rsidRPr="00140923">
          <w:rPr>
            <w:rStyle w:val="Hyperlink"/>
            <w:lang w:val="es-ES_tradnl"/>
          </w:rPr>
          <w:t>4.</w:t>
        </w:r>
        <w:r w:rsidRPr="00140923">
          <w:rPr>
            <w:rStyle w:val="Hyperlink"/>
            <w:lang w:val="es-ES_tradnl" w:eastAsia="ja-JP"/>
          </w:rPr>
          <w:t>10</w:t>
        </w:r>
        <w:r w:rsidRPr="00140923">
          <w:rPr>
            <w:rFonts w:asciiTheme="minorHAnsi" w:eastAsiaTheme="minorEastAsia" w:hAnsiTheme="minorHAnsi" w:cstheme="minorBidi"/>
            <w:sz w:val="22"/>
            <w:szCs w:val="22"/>
            <w:lang w:val="es-ES_tradnl" w:eastAsia="en-GB"/>
          </w:rPr>
          <w:tab/>
        </w:r>
        <w:r w:rsidRPr="00140923">
          <w:rPr>
            <w:rStyle w:val="Hyperlink"/>
            <w:lang w:val="es-ES_tradnl"/>
          </w:rPr>
          <w:t>Factor de ruido típico del receptor (dB)</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_Toc39157092 \h </w:instrText>
        </w:r>
        <w:r w:rsidRPr="00140923">
          <w:rPr>
            <w:webHidden/>
            <w:lang w:val="es-ES_tradnl"/>
          </w:rPr>
        </w:r>
        <w:r w:rsidRPr="00140923">
          <w:rPr>
            <w:webHidden/>
            <w:lang w:val="es-ES_tradnl"/>
          </w:rPr>
          <w:fldChar w:fldCharType="separate"/>
        </w:r>
        <w:r w:rsidR="00D23F34">
          <w:rPr>
            <w:noProof/>
            <w:webHidden/>
            <w:lang w:val="es-ES_tradnl"/>
          </w:rPr>
          <w:t>24</w:t>
        </w:r>
        <w:r w:rsidRPr="00140923">
          <w:rPr>
            <w:webHidden/>
            <w:lang w:val="es-ES_tradnl"/>
          </w:rPr>
          <w:fldChar w:fldCharType="end"/>
        </w:r>
      </w:hyperlink>
    </w:p>
    <w:p w14:paraId="2946EC48" w14:textId="2910AB3C"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93" w:history="1">
        <w:r w:rsidRPr="00140923">
          <w:rPr>
            <w:rStyle w:val="Hyperlink"/>
            <w:lang w:val="es-ES_tradnl"/>
          </w:rPr>
          <w:t>4.</w:t>
        </w:r>
        <w:r w:rsidRPr="00140923">
          <w:rPr>
            <w:rStyle w:val="Hyperlink"/>
            <w:lang w:val="es-ES_tradnl" w:eastAsia="ja-JP"/>
          </w:rPr>
          <w:t>11</w:t>
        </w:r>
        <w:r w:rsidRPr="00140923">
          <w:rPr>
            <w:rFonts w:asciiTheme="minorHAnsi" w:eastAsiaTheme="minorEastAsia" w:hAnsiTheme="minorHAnsi" w:cstheme="minorBidi"/>
            <w:sz w:val="22"/>
            <w:szCs w:val="22"/>
            <w:lang w:val="es-ES_tradnl" w:eastAsia="en-GB"/>
          </w:rPr>
          <w:tab/>
        </w:r>
        <w:r w:rsidRPr="00140923">
          <w:rPr>
            <w:rStyle w:val="Hyperlink"/>
            <w:lang w:val="es-ES_tradnl"/>
          </w:rPr>
          <w:t>Densidad de potencia de ruido típica del receptor (dBW/MHz)</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_Toc39157093 \h </w:instrText>
        </w:r>
        <w:r w:rsidRPr="00140923">
          <w:rPr>
            <w:webHidden/>
            <w:lang w:val="es-ES_tradnl"/>
          </w:rPr>
        </w:r>
        <w:r w:rsidRPr="00140923">
          <w:rPr>
            <w:webHidden/>
            <w:lang w:val="es-ES_tradnl"/>
          </w:rPr>
          <w:fldChar w:fldCharType="separate"/>
        </w:r>
        <w:r w:rsidR="00D23F34">
          <w:rPr>
            <w:noProof/>
            <w:webHidden/>
            <w:lang w:val="es-ES_tradnl"/>
          </w:rPr>
          <w:t>24</w:t>
        </w:r>
        <w:r w:rsidRPr="00140923">
          <w:rPr>
            <w:webHidden/>
            <w:lang w:val="es-ES_tradnl"/>
          </w:rPr>
          <w:fldChar w:fldCharType="end"/>
        </w:r>
      </w:hyperlink>
    </w:p>
    <w:p w14:paraId="20E35B34" w14:textId="4FE96D2E"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94" w:history="1">
        <w:r w:rsidRPr="00140923">
          <w:rPr>
            <w:rStyle w:val="Hyperlink"/>
            <w:lang w:val="es-ES_tradnl"/>
          </w:rPr>
          <w:t>4.1</w:t>
        </w:r>
        <w:r w:rsidRPr="00140923">
          <w:rPr>
            <w:rStyle w:val="Hyperlink"/>
            <w:lang w:val="es-ES_tradnl" w:eastAsia="ja-JP"/>
          </w:rPr>
          <w:t>2</w:t>
        </w:r>
        <w:r w:rsidRPr="00140923">
          <w:rPr>
            <w:rFonts w:asciiTheme="minorHAnsi" w:eastAsiaTheme="minorEastAsia" w:hAnsiTheme="minorHAnsi" w:cstheme="minorBidi"/>
            <w:sz w:val="22"/>
            <w:szCs w:val="22"/>
            <w:lang w:val="es-ES_tradnl" w:eastAsia="en-GB"/>
          </w:rPr>
          <w:tab/>
        </w:r>
        <w:r w:rsidRPr="00140923">
          <w:rPr>
            <w:rStyle w:val="Hyperlink"/>
            <w:lang w:val="es-ES_tradnl"/>
          </w:rPr>
          <w:t>Nivel de entrada normalizado del receptor para una BER de 1 </w:t>
        </w:r>
        <w:r w:rsidRPr="00140923">
          <w:rPr>
            <w:rStyle w:val="Hyperlink"/>
            <w:lang w:val="es-ES_tradnl"/>
          </w:rPr>
          <w:sym w:font="Symbol" w:char="F0B4"/>
        </w:r>
        <w:r w:rsidRPr="00140923">
          <w:rPr>
            <w:rStyle w:val="Hyperlink"/>
            <w:lang w:val="es-ES_tradnl"/>
          </w:rPr>
          <w:t> 10</w:t>
        </w:r>
        <w:r w:rsidRPr="00140923">
          <w:rPr>
            <w:rStyle w:val="Hyperlink"/>
            <w:vertAlign w:val="superscript"/>
            <w:lang w:val="es-ES_tradnl"/>
          </w:rPr>
          <w:t>−6</w:t>
        </w:r>
        <w:r w:rsidRPr="00140923">
          <w:rPr>
            <w:rStyle w:val="Hyperlink"/>
            <w:lang w:val="es-ES_tradnl"/>
          </w:rPr>
          <w:t xml:space="preserve"> (dBW/MHz)</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_Toc39157094 \h </w:instrText>
        </w:r>
        <w:r w:rsidRPr="00140923">
          <w:rPr>
            <w:webHidden/>
            <w:lang w:val="es-ES_tradnl"/>
          </w:rPr>
        </w:r>
        <w:r w:rsidRPr="00140923">
          <w:rPr>
            <w:webHidden/>
            <w:lang w:val="es-ES_tradnl"/>
          </w:rPr>
          <w:fldChar w:fldCharType="separate"/>
        </w:r>
        <w:r w:rsidR="00D23F34">
          <w:rPr>
            <w:noProof/>
            <w:webHidden/>
            <w:lang w:val="es-ES_tradnl"/>
          </w:rPr>
          <w:t>25</w:t>
        </w:r>
        <w:r w:rsidRPr="00140923">
          <w:rPr>
            <w:webHidden/>
            <w:lang w:val="es-ES_tradnl"/>
          </w:rPr>
          <w:fldChar w:fldCharType="end"/>
        </w:r>
      </w:hyperlink>
    </w:p>
    <w:p w14:paraId="4D2E9396" w14:textId="4943EB3C"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95" w:history="1">
        <w:r w:rsidRPr="00140923">
          <w:rPr>
            <w:rStyle w:val="Hyperlink"/>
            <w:lang w:val="es-ES_tradnl"/>
          </w:rPr>
          <w:t>4.1</w:t>
        </w:r>
        <w:r w:rsidRPr="00140923">
          <w:rPr>
            <w:rStyle w:val="Hyperlink"/>
            <w:lang w:val="es-ES_tradnl" w:eastAsia="ja-JP"/>
          </w:rPr>
          <w:t>3</w:t>
        </w:r>
        <w:r w:rsidRPr="00140923">
          <w:rPr>
            <w:rFonts w:asciiTheme="minorHAnsi" w:eastAsiaTheme="minorEastAsia" w:hAnsiTheme="minorHAnsi" w:cstheme="minorBidi"/>
            <w:sz w:val="22"/>
            <w:szCs w:val="22"/>
            <w:lang w:val="es-ES_tradnl" w:eastAsia="en-GB"/>
          </w:rPr>
          <w:tab/>
        </w:r>
        <w:r w:rsidRPr="00140923">
          <w:rPr>
            <w:rStyle w:val="Hyperlink"/>
            <w:lang w:val="es-ES_tradnl"/>
          </w:rPr>
          <w:t>Densidad de potencia de interferencia a largo plazo nominal (dBW/MHz)</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_Toc39157095 \h </w:instrText>
        </w:r>
        <w:r w:rsidRPr="00140923">
          <w:rPr>
            <w:webHidden/>
            <w:lang w:val="es-ES_tradnl"/>
          </w:rPr>
        </w:r>
        <w:r w:rsidRPr="00140923">
          <w:rPr>
            <w:webHidden/>
            <w:lang w:val="es-ES_tradnl"/>
          </w:rPr>
          <w:fldChar w:fldCharType="separate"/>
        </w:r>
        <w:r w:rsidR="00D23F34">
          <w:rPr>
            <w:noProof/>
            <w:webHidden/>
            <w:lang w:val="es-ES_tradnl"/>
          </w:rPr>
          <w:t>25</w:t>
        </w:r>
        <w:r w:rsidRPr="00140923">
          <w:rPr>
            <w:webHidden/>
            <w:lang w:val="es-ES_tradnl"/>
          </w:rPr>
          <w:fldChar w:fldCharType="end"/>
        </w:r>
      </w:hyperlink>
    </w:p>
    <w:p w14:paraId="0EE0B617" w14:textId="30F60FB2" w:rsidR="002B37E9" w:rsidRPr="00140923" w:rsidRDefault="002B37E9" w:rsidP="002B37E9">
      <w:pPr>
        <w:pStyle w:val="TOC2"/>
        <w:rPr>
          <w:rFonts w:asciiTheme="minorHAnsi" w:eastAsiaTheme="minorEastAsia" w:hAnsiTheme="minorHAnsi" w:cstheme="minorBidi"/>
          <w:sz w:val="22"/>
          <w:szCs w:val="22"/>
          <w:lang w:val="es-ES_tradnl" w:eastAsia="en-GB"/>
        </w:rPr>
      </w:pPr>
      <w:hyperlink w:anchor="_Toc39157096" w:history="1">
        <w:r w:rsidRPr="00140923">
          <w:rPr>
            <w:rStyle w:val="Hyperlink"/>
            <w:lang w:val="es-ES_tradnl"/>
          </w:rPr>
          <w:t>4.1</w:t>
        </w:r>
        <w:r w:rsidRPr="00140923">
          <w:rPr>
            <w:rStyle w:val="Hyperlink"/>
            <w:lang w:val="es-ES_tradnl" w:eastAsia="ja-JP"/>
          </w:rPr>
          <w:t>4</w:t>
        </w:r>
        <w:r w:rsidRPr="00140923">
          <w:rPr>
            <w:rFonts w:asciiTheme="minorHAnsi" w:eastAsiaTheme="minorEastAsia" w:hAnsiTheme="minorHAnsi" w:cstheme="minorBidi"/>
            <w:sz w:val="22"/>
            <w:szCs w:val="22"/>
            <w:lang w:val="es-ES_tradnl" w:eastAsia="en-GB"/>
          </w:rPr>
          <w:tab/>
        </w:r>
        <w:r w:rsidRPr="00140923">
          <w:rPr>
            <w:rStyle w:val="Hyperlink"/>
            <w:lang w:val="es-ES_tradnl"/>
          </w:rPr>
          <w:t>Información adicional (nivel de entrada del receptor nominal)</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_Toc39157096 \h </w:instrText>
        </w:r>
        <w:r w:rsidRPr="00140923">
          <w:rPr>
            <w:webHidden/>
            <w:lang w:val="es-ES_tradnl"/>
          </w:rPr>
        </w:r>
        <w:r w:rsidRPr="00140923">
          <w:rPr>
            <w:webHidden/>
            <w:lang w:val="es-ES_tradnl"/>
          </w:rPr>
          <w:fldChar w:fldCharType="separate"/>
        </w:r>
        <w:r w:rsidR="00D23F34">
          <w:rPr>
            <w:noProof/>
            <w:webHidden/>
            <w:lang w:val="es-ES_tradnl"/>
          </w:rPr>
          <w:t>26</w:t>
        </w:r>
        <w:r w:rsidRPr="00140923">
          <w:rPr>
            <w:webHidden/>
            <w:lang w:val="es-ES_tradnl"/>
          </w:rPr>
          <w:fldChar w:fldCharType="end"/>
        </w:r>
      </w:hyperlink>
    </w:p>
    <w:p w14:paraId="2D40E157" w14:textId="77777777" w:rsidR="006479D0" w:rsidRPr="00257993" w:rsidRDefault="006479D0" w:rsidP="006479D0">
      <w:pPr>
        <w:pStyle w:val="toc0"/>
        <w:keepNext/>
        <w:keepLines/>
        <w:jc w:val="right"/>
        <w:rPr>
          <w:lang w:eastAsia="ja-JP"/>
        </w:rPr>
      </w:pPr>
      <w:r>
        <w:rPr>
          <w:lang w:eastAsia="ja-JP"/>
        </w:rPr>
        <w:lastRenderedPageBreak/>
        <w:t>Página</w:t>
      </w:r>
    </w:p>
    <w:p w14:paraId="5DB6469A" w14:textId="21D29978" w:rsidR="002B37E9" w:rsidRPr="00140923" w:rsidRDefault="002B37E9" w:rsidP="002B37E9">
      <w:pPr>
        <w:pStyle w:val="TOC1"/>
        <w:rPr>
          <w:rFonts w:asciiTheme="minorHAnsi" w:eastAsiaTheme="minorEastAsia" w:hAnsiTheme="minorHAnsi" w:cstheme="minorBidi"/>
          <w:sz w:val="22"/>
          <w:szCs w:val="22"/>
          <w:lang w:val="es-ES_tradnl" w:eastAsia="en-GB"/>
        </w:rPr>
      </w:pPr>
      <w:hyperlink w:anchor="_Toc39157097" w:history="1">
        <w:r w:rsidRPr="00140923">
          <w:rPr>
            <w:rStyle w:val="Hyperlink"/>
            <w:lang w:val="es-ES_tradnl"/>
          </w:rPr>
          <w:t>Adjunto 1 al Anexo 2 – Ejemplos de estudios de distribuciones estadísticas</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_Toc39157097 \h </w:instrText>
        </w:r>
        <w:r w:rsidRPr="00140923">
          <w:rPr>
            <w:webHidden/>
            <w:lang w:val="es-ES_tradnl"/>
          </w:rPr>
        </w:r>
        <w:r w:rsidRPr="00140923">
          <w:rPr>
            <w:webHidden/>
            <w:lang w:val="es-ES_tradnl"/>
          </w:rPr>
          <w:fldChar w:fldCharType="separate"/>
        </w:r>
        <w:r w:rsidR="00D23F34">
          <w:rPr>
            <w:noProof/>
            <w:webHidden/>
            <w:lang w:val="es-ES_tradnl"/>
          </w:rPr>
          <w:t>40</w:t>
        </w:r>
        <w:r w:rsidRPr="00140923">
          <w:rPr>
            <w:webHidden/>
            <w:lang w:val="es-ES_tradnl"/>
          </w:rPr>
          <w:fldChar w:fldCharType="end"/>
        </w:r>
      </w:hyperlink>
    </w:p>
    <w:p w14:paraId="34BF6F44" w14:textId="3510A61B" w:rsidR="002B37E9" w:rsidRPr="00140923" w:rsidRDefault="002B37E9" w:rsidP="002B37E9">
      <w:pPr>
        <w:pStyle w:val="TOC1"/>
        <w:rPr>
          <w:rFonts w:asciiTheme="minorHAnsi" w:eastAsiaTheme="minorEastAsia" w:hAnsiTheme="minorHAnsi" w:cstheme="minorBidi"/>
          <w:sz w:val="22"/>
          <w:szCs w:val="22"/>
          <w:lang w:val="es-ES_tradnl" w:eastAsia="en-GB"/>
        </w:rPr>
      </w:pPr>
      <w:hyperlink w:anchor="_Toc39157098" w:history="1">
        <w:r w:rsidRPr="00140923">
          <w:rPr>
            <w:rStyle w:val="Hyperlink"/>
            <w:lang w:val="es-ES_tradnl"/>
          </w:rPr>
          <w:t>Anexo 3 – Otros parámetros de sistema específicos del servicio fijo</w:t>
        </w:r>
        <w:r w:rsidRPr="00140923">
          <w:rPr>
            <w:webHidden/>
            <w:lang w:val="es-ES_tradnl"/>
          </w:rPr>
          <w:tab/>
        </w:r>
        <w:r w:rsidRPr="00140923">
          <w:rPr>
            <w:webHidden/>
            <w:lang w:val="es-ES_tradnl"/>
          </w:rPr>
          <w:tab/>
        </w:r>
        <w:r w:rsidRPr="00140923">
          <w:rPr>
            <w:webHidden/>
            <w:lang w:val="es-ES_tradnl"/>
          </w:rPr>
          <w:fldChar w:fldCharType="begin"/>
        </w:r>
        <w:r w:rsidRPr="00140923">
          <w:rPr>
            <w:webHidden/>
            <w:lang w:val="es-ES_tradnl"/>
          </w:rPr>
          <w:instrText xml:space="preserve"> PAGEREF _Toc39157098 \h </w:instrText>
        </w:r>
        <w:r w:rsidRPr="00140923">
          <w:rPr>
            <w:webHidden/>
            <w:lang w:val="es-ES_tradnl"/>
          </w:rPr>
        </w:r>
        <w:r w:rsidRPr="00140923">
          <w:rPr>
            <w:webHidden/>
            <w:lang w:val="es-ES_tradnl"/>
          </w:rPr>
          <w:fldChar w:fldCharType="separate"/>
        </w:r>
        <w:r w:rsidR="00D23F34">
          <w:rPr>
            <w:noProof/>
            <w:webHidden/>
            <w:lang w:val="es-ES_tradnl"/>
          </w:rPr>
          <w:t>41</w:t>
        </w:r>
        <w:r w:rsidRPr="00140923">
          <w:rPr>
            <w:webHidden/>
            <w:lang w:val="es-ES_tradnl"/>
          </w:rPr>
          <w:fldChar w:fldCharType="end"/>
        </w:r>
      </w:hyperlink>
    </w:p>
    <w:p w14:paraId="6EA67FE9" w14:textId="77777777" w:rsidR="003B367D" w:rsidRDefault="002B37E9" w:rsidP="002B37E9">
      <w:pPr>
        <w:rPr>
          <w:lang w:val="es-ES_tradnl"/>
        </w:rPr>
      </w:pPr>
      <w:r w:rsidRPr="00140923">
        <w:rPr>
          <w:lang w:val="es-ES_tradnl"/>
        </w:rPr>
        <w:fldChar w:fldCharType="end"/>
      </w:r>
    </w:p>
    <w:p w14:paraId="5A281A3D" w14:textId="77777777" w:rsidR="003B367D" w:rsidRDefault="003B367D" w:rsidP="002B37E9">
      <w:pPr>
        <w:rPr>
          <w:lang w:val="es-ES_tradnl"/>
        </w:rPr>
      </w:pPr>
    </w:p>
    <w:p w14:paraId="6E518E43" w14:textId="77777777" w:rsidR="002B37E9" w:rsidRPr="00140923" w:rsidRDefault="002B37E9" w:rsidP="002B37E9">
      <w:pPr>
        <w:pStyle w:val="AnnexNoTitle"/>
        <w:rPr>
          <w:lang w:val="es-ES_tradnl"/>
        </w:rPr>
      </w:pPr>
      <w:bookmarkStart w:id="5" w:name="_Toc39157062"/>
      <w:r w:rsidRPr="00140923">
        <w:rPr>
          <w:lang w:val="es-ES_tradnl"/>
        </w:rPr>
        <w:t>Anexo 1</w:t>
      </w:r>
      <w:r w:rsidRPr="00140923">
        <w:rPr>
          <w:lang w:val="es-ES_tradnl"/>
        </w:rPr>
        <w:br/>
      </w:r>
      <w:r w:rsidRPr="00140923">
        <w:rPr>
          <w:lang w:val="es-ES_tradnl"/>
        </w:rPr>
        <w:br/>
        <w:t>Consideraciones básicas relativas a la formulación</w:t>
      </w:r>
      <w:r w:rsidRPr="00140923">
        <w:rPr>
          <w:lang w:val="es-ES_tradnl"/>
        </w:rPr>
        <w:br/>
        <w:t>de criterios de compartición</w:t>
      </w:r>
      <w:bookmarkEnd w:id="4"/>
      <w:bookmarkEnd w:id="5"/>
    </w:p>
    <w:p w14:paraId="49CB833F" w14:textId="77777777" w:rsidR="002B37E9" w:rsidRPr="00140923" w:rsidRDefault="002B37E9" w:rsidP="002B37E9">
      <w:pPr>
        <w:pStyle w:val="Heading1"/>
        <w:rPr>
          <w:lang w:val="es-ES_tradnl"/>
        </w:rPr>
      </w:pPr>
      <w:bookmarkStart w:id="6" w:name="_Toc107643556"/>
      <w:bookmarkStart w:id="7" w:name="_Toc39157063"/>
      <w:r w:rsidRPr="00140923">
        <w:rPr>
          <w:lang w:val="es-ES_tradnl"/>
        </w:rPr>
        <w:t>1</w:t>
      </w:r>
      <w:r w:rsidRPr="00140923">
        <w:rPr>
          <w:lang w:val="es-ES_tradnl"/>
        </w:rPr>
        <w:tab/>
        <w:t>Objetivo de calidad de funcionamiento global</w:t>
      </w:r>
      <w:bookmarkEnd w:id="6"/>
      <w:bookmarkEnd w:id="7"/>
    </w:p>
    <w:p w14:paraId="1F76D8BD" w14:textId="77777777" w:rsidR="002B37E9" w:rsidRPr="00140923" w:rsidRDefault="002B37E9" w:rsidP="002B37E9">
      <w:pPr>
        <w:rPr>
          <w:lang w:val="es-ES_tradnl"/>
        </w:rPr>
      </w:pPr>
      <w:r w:rsidRPr="00140923">
        <w:rPr>
          <w:lang w:val="es-ES_tradnl"/>
        </w:rPr>
        <w:t>Una de las funciones de los planificadores de servicios de radiocomunicaciones es diseñar y realizar una red de transmisión que satisfaga los objetivos de calidad de funcionamiento establecidos por el UIT-T y el UIT-R. Por consiguiente, es importante que los sistemas reales puedan cumplir los objetivos de diseño apropiados, habida cuenta de la utilización creciente del espectro radioeléctrico. Existen diversas Recomendaciones UIT-R de la Serie F relacionadas con el objetivo de calidad de funcionamiento global para distintos tipos de circuito.</w:t>
      </w:r>
    </w:p>
    <w:p w14:paraId="2D657DC3" w14:textId="77777777" w:rsidR="002B37E9" w:rsidRPr="00140923" w:rsidRDefault="002B37E9" w:rsidP="002B37E9">
      <w:pPr>
        <w:pStyle w:val="Heading2"/>
        <w:rPr>
          <w:lang w:val="es-ES_tradnl"/>
        </w:rPr>
      </w:pPr>
      <w:bookmarkStart w:id="8" w:name="_Toc107643557"/>
      <w:bookmarkStart w:id="9" w:name="_Toc39157064"/>
      <w:r w:rsidRPr="00140923">
        <w:rPr>
          <w:lang w:val="es-ES_tradnl"/>
        </w:rPr>
        <w:t>1.1</w:t>
      </w:r>
      <w:r w:rsidRPr="00140923">
        <w:rPr>
          <w:lang w:val="es-ES_tradnl"/>
        </w:rPr>
        <w:tab/>
        <w:t>Objetivos de característica de error y de disponibilidad</w:t>
      </w:r>
      <w:bookmarkEnd w:id="8"/>
      <w:bookmarkEnd w:id="9"/>
    </w:p>
    <w:p w14:paraId="29967709" w14:textId="77777777" w:rsidR="002B37E9" w:rsidRPr="00140923" w:rsidRDefault="002B37E9" w:rsidP="002B37E9">
      <w:pPr>
        <w:pStyle w:val="Heading3"/>
        <w:rPr>
          <w:lang w:val="es-ES_tradnl"/>
        </w:rPr>
      </w:pPr>
      <w:r w:rsidRPr="00140923">
        <w:rPr>
          <w:lang w:val="es-ES_tradnl"/>
        </w:rPr>
        <w:t>1.1.1</w:t>
      </w:r>
      <w:r w:rsidRPr="00140923">
        <w:rPr>
          <w:lang w:val="es-ES_tradnl"/>
        </w:rPr>
        <w:tab/>
        <w:t>Recomendación de referencia del UIT-T y del UIT-R</w:t>
      </w:r>
    </w:p>
    <w:p w14:paraId="0C615BE8" w14:textId="0FDA5E8C" w:rsidR="002B37E9" w:rsidRPr="003B367D" w:rsidRDefault="002B37E9" w:rsidP="002B37E9">
      <w:pPr>
        <w:rPr>
          <w:lang w:val="es-ES_tradnl"/>
        </w:rPr>
      </w:pPr>
      <w:r w:rsidRPr="003B367D">
        <w:rPr>
          <w:lang w:val="es-ES_tradnl"/>
        </w:rPr>
        <w:t xml:space="preserve">En la Recomendación </w:t>
      </w:r>
      <w:hyperlink r:id="rId47" w:history="1">
        <w:r w:rsidRPr="003B367D">
          <w:rPr>
            <w:rStyle w:val="Hyperlink"/>
            <w:color w:val="auto"/>
            <w:u w:val="none"/>
            <w:lang w:val="es-ES_tradnl"/>
          </w:rPr>
          <w:t>UIT-R F.1668</w:t>
        </w:r>
      </w:hyperlink>
      <w:r w:rsidRPr="003B367D">
        <w:rPr>
          <w:lang w:val="es-ES_tradnl"/>
        </w:rPr>
        <w:t xml:space="preserve">, basada en las Recomendaciones </w:t>
      </w:r>
      <w:hyperlink r:id="rId48" w:history="1">
        <w:r w:rsidRPr="003B367D">
          <w:rPr>
            <w:rStyle w:val="Hyperlink"/>
            <w:color w:val="auto"/>
            <w:u w:val="none"/>
            <w:lang w:val="es-ES_tradnl"/>
          </w:rPr>
          <w:t>UIT-T G.826</w:t>
        </w:r>
      </w:hyperlink>
      <w:r w:rsidRPr="003B367D">
        <w:rPr>
          <w:lang w:val="es-ES_tradnl"/>
        </w:rPr>
        <w:t xml:space="preserve">, </w:t>
      </w:r>
      <w:hyperlink r:id="rId49" w:history="1">
        <w:r w:rsidRPr="003B367D">
          <w:rPr>
            <w:rStyle w:val="Hyperlink"/>
            <w:color w:val="auto"/>
            <w:u w:val="none"/>
            <w:lang w:val="es-ES_tradnl"/>
          </w:rPr>
          <w:t>UIT-T G.828</w:t>
        </w:r>
      </w:hyperlink>
      <w:r w:rsidRPr="003B367D">
        <w:rPr>
          <w:lang w:val="es-ES_tradnl"/>
        </w:rPr>
        <w:t xml:space="preserve"> y </w:t>
      </w:r>
      <w:hyperlink r:id="rId50" w:history="1">
        <w:r w:rsidRPr="003B367D">
          <w:rPr>
            <w:rStyle w:val="Hyperlink"/>
            <w:color w:val="auto"/>
            <w:u w:val="none"/>
            <w:lang w:val="es-ES_tradnl"/>
          </w:rPr>
          <w:t>UIT</w:t>
        </w:r>
        <w:r w:rsidRPr="003B367D">
          <w:rPr>
            <w:rStyle w:val="Hyperlink"/>
            <w:color w:val="auto"/>
            <w:u w:val="none"/>
            <w:lang w:val="es-ES_tradnl"/>
          </w:rPr>
          <w:noBreakHyphen/>
          <w:t>T G.829</w:t>
        </w:r>
      </w:hyperlink>
      <w:r w:rsidRPr="003B367D">
        <w:rPr>
          <w:lang w:val="es-ES_tradnl"/>
        </w:rPr>
        <w:t>, se estipulan los objetivos de característica de error para los enlaces inalámbricos fijos digitales reales utilizados en conexiones y trayectos ficticios de referencia de 27 500 km. Esta es la única Recomendación en la que se definen los objetivos de característica de error para todos los enlaces inalámbricos fijos digitales reales.</w:t>
      </w:r>
    </w:p>
    <w:p w14:paraId="0E0F7946" w14:textId="6CF595D2" w:rsidR="002B37E9" w:rsidRPr="003B367D" w:rsidRDefault="002B37E9" w:rsidP="002B37E9">
      <w:pPr>
        <w:pStyle w:val="Note"/>
        <w:rPr>
          <w:szCs w:val="22"/>
          <w:lang w:val="es-ES_tradnl" w:eastAsia="ja-JP"/>
        </w:rPr>
      </w:pPr>
      <w:r w:rsidRPr="003B367D">
        <w:rPr>
          <w:szCs w:val="22"/>
          <w:lang w:val="es-ES_tradnl" w:eastAsia="ja-JP"/>
        </w:rPr>
        <w:t xml:space="preserve">NOTA 1 – La aplicabilidad de las antiguas Recomendaciones </w:t>
      </w:r>
      <w:hyperlink r:id="rId51" w:history="1">
        <w:r w:rsidRPr="003B367D">
          <w:rPr>
            <w:rStyle w:val="Hyperlink"/>
            <w:color w:val="auto"/>
            <w:szCs w:val="22"/>
            <w:u w:val="none"/>
            <w:lang w:val="es-ES_tradnl" w:eastAsia="ja-JP"/>
          </w:rPr>
          <w:t>UIT-R</w:t>
        </w:r>
        <w:r w:rsidRPr="003B367D">
          <w:rPr>
            <w:rStyle w:val="Hyperlink"/>
            <w:color w:val="auto"/>
            <w:szCs w:val="22"/>
            <w:u w:val="none"/>
            <w:lang w:val="es-ES_tradnl"/>
          </w:rPr>
          <w:t>-R F.634</w:t>
        </w:r>
      </w:hyperlink>
      <w:r w:rsidRPr="003B367D">
        <w:rPr>
          <w:szCs w:val="22"/>
          <w:lang w:val="es-ES_tradnl"/>
        </w:rPr>
        <w:t xml:space="preserve">, </w:t>
      </w:r>
      <w:hyperlink r:id="rId52" w:history="1">
        <w:r w:rsidRPr="003B367D">
          <w:rPr>
            <w:rStyle w:val="Hyperlink"/>
            <w:color w:val="auto"/>
            <w:szCs w:val="22"/>
            <w:u w:val="none"/>
            <w:lang w:val="es-ES_tradnl"/>
          </w:rPr>
          <w:t>UIT-R F.696</w:t>
        </w:r>
      </w:hyperlink>
      <w:r w:rsidRPr="003B367D">
        <w:rPr>
          <w:szCs w:val="22"/>
          <w:lang w:val="es-ES_tradnl"/>
        </w:rPr>
        <w:t xml:space="preserve"> y </w:t>
      </w:r>
      <w:hyperlink r:id="rId53" w:history="1">
        <w:r w:rsidRPr="003B367D">
          <w:rPr>
            <w:rStyle w:val="Hyperlink"/>
            <w:color w:val="auto"/>
            <w:szCs w:val="22"/>
            <w:u w:val="none"/>
            <w:lang w:val="es-ES_tradnl"/>
          </w:rPr>
          <w:t>UIT-R F.697</w:t>
        </w:r>
      </w:hyperlink>
      <w:r w:rsidRPr="003B367D">
        <w:rPr>
          <w:szCs w:val="22"/>
          <w:lang w:val="es-ES_tradnl"/>
        </w:rPr>
        <w:t xml:space="preserve"> está limitada a los sistemas diseñados antes de la aprobación de la Recomendación UIT</w:t>
      </w:r>
      <w:r w:rsidRPr="003B367D">
        <w:rPr>
          <w:szCs w:val="22"/>
          <w:lang w:val="es-ES_tradnl" w:eastAsia="ja-JP"/>
        </w:rPr>
        <w:noBreakHyphen/>
        <w:t xml:space="preserve">T G.826 </w:t>
      </w:r>
      <w:r w:rsidRPr="003B367D">
        <w:rPr>
          <w:szCs w:val="22"/>
          <w:lang w:val="es-ES_tradnl"/>
        </w:rPr>
        <w:t>(diciembre de 2002).</w:t>
      </w:r>
    </w:p>
    <w:p w14:paraId="02AC296E" w14:textId="5BBF124C" w:rsidR="002B37E9" w:rsidRPr="003B367D" w:rsidRDefault="002B37E9" w:rsidP="002B37E9">
      <w:pPr>
        <w:rPr>
          <w:lang w:val="es-ES_tradnl"/>
        </w:rPr>
      </w:pPr>
      <w:r w:rsidRPr="003B367D">
        <w:rPr>
          <w:lang w:val="es-ES_tradnl"/>
        </w:rPr>
        <w:t xml:space="preserve">En la Recomendación </w:t>
      </w:r>
      <w:hyperlink r:id="rId54" w:history="1">
        <w:r w:rsidRPr="003B367D">
          <w:rPr>
            <w:rStyle w:val="Hyperlink"/>
            <w:color w:val="auto"/>
            <w:u w:val="none"/>
            <w:lang w:val="es-ES_tradnl"/>
          </w:rPr>
          <w:t>UIT-R F.1703</w:t>
        </w:r>
      </w:hyperlink>
      <w:r w:rsidRPr="003B367D">
        <w:rPr>
          <w:lang w:val="es-ES_tradnl"/>
        </w:rPr>
        <w:t xml:space="preserve">, basada en la Recomendación </w:t>
      </w:r>
      <w:hyperlink r:id="rId55" w:history="1">
        <w:r w:rsidRPr="003B367D">
          <w:rPr>
            <w:rStyle w:val="Hyperlink"/>
            <w:color w:val="auto"/>
            <w:u w:val="none"/>
            <w:lang w:val="es-ES_tradnl"/>
          </w:rPr>
          <w:t>UIT-T G.827</w:t>
        </w:r>
      </w:hyperlink>
      <w:r w:rsidRPr="003B367D">
        <w:rPr>
          <w:lang w:val="es-ES_tradnl"/>
        </w:rPr>
        <w:t>, se estipulan los objetivos de disponibilidad para los enlaces inalámbricos fijos digitales reales utilizados en conexiones y trayectos ficticios de referencia de 27 500 km. Esta es la única Recomendación en la que se definen objetivos de disponibilidad para todos los enlaces inalámbricos fijos digitales reales.</w:t>
      </w:r>
    </w:p>
    <w:p w14:paraId="21BE20E0" w14:textId="229551EA" w:rsidR="002B37E9" w:rsidRPr="003B367D" w:rsidRDefault="002B37E9" w:rsidP="002B37E9">
      <w:pPr>
        <w:pStyle w:val="Note"/>
        <w:rPr>
          <w:lang w:val="es-ES_tradnl"/>
        </w:rPr>
      </w:pPr>
      <w:r w:rsidRPr="003B367D">
        <w:rPr>
          <w:lang w:val="es-ES_tradnl" w:eastAsia="ja-JP"/>
        </w:rPr>
        <w:t>NOTA 2 – </w:t>
      </w:r>
      <w:r w:rsidRPr="003B367D">
        <w:rPr>
          <w:lang w:val="es-ES_tradnl"/>
        </w:rPr>
        <w:t xml:space="preserve">La aplicabilidad de las antiguas Recomendaciones </w:t>
      </w:r>
      <w:hyperlink r:id="rId56" w:history="1">
        <w:r w:rsidRPr="003B367D">
          <w:rPr>
            <w:rStyle w:val="Hyperlink"/>
            <w:color w:val="auto"/>
            <w:u w:val="none"/>
            <w:lang w:val="es-ES_tradnl"/>
          </w:rPr>
          <w:t>UIT-R F.695</w:t>
        </w:r>
      </w:hyperlink>
      <w:r w:rsidRPr="003B367D">
        <w:rPr>
          <w:lang w:val="es-ES_tradnl"/>
        </w:rPr>
        <w:t xml:space="preserve">, </w:t>
      </w:r>
      <w:hyperlink r:id="rId57" w:history="1">
        <w:r w:rsidRPr="003B367D">
          <w:rPr>
            <w:rStyle w:val="Hyperlink"/>
            <w:color w:val="auto"/>
            <w:u w:val="none"/>
            <w:lang w:val="es-ES_tradnl"/>
          </w:rPr>
          <w:t>UIT-R F.696</w:t>
        </w:r>
      </w:hyperlink>
      <w:r w:rsidRPr="003B367D">
        <w:rPr>
          <w:lang w:val="es-ES_tradnl"/>
        </w:rPr>
        <w:t xml:space="preserve"> y </w:t>
      </w:r>
      <w:hyperlink r:id="rId58" w:history="1">
        <w:r w:rsidRPr="003B367D">
          <w:rPr>
            <w:rStyle w:val="Hyperlink"/>
            <w:color w:val="auto"/>
            <w:u w:val="none"/>
            <w:lang w:val="es-ES_tradnl"/>
          </w:rPr>
          <w:t>UIT-R F.697</w:t>
        </w:r>
      </w:hyperlink>
      <w:r w:rsidRPr="003B367D">
        <w:rPr>
          <w:lang w:val="es-ES_tradnl"/>
        </w:rPr>
        <w:t xml:space="preserve"> está limitada a los sistemas diseñados antes de la aprobación de la Recomendación </w:t>
      </w:r>
      <w:hyperlink r:id="rId59" w:history="1">
        <w:r w:rsidRPr="003B367D">
          <w:rPr>
            <w:rStyle w:val="Hyperlink"/>
            <w:color w:val="auto"/>
            <w:u w:val="none"/>
            <w:lang w:val="es-ES_tradnl"/>
          </w:rPr>
          <w:t>UIT-R F.1703</w:t>
        </w:r>
      </w:hyperlink>
      <w:r w:rsidRPr="003B367D">
        <w:rPr>
          <w:lang w:val="es-ES_tradnl"/>
        </w:rPr>
        <w:t xml:space="preserve"> (enero de 2005).</w:t>
      </w:r>
    </w:p>
    <w:p w14:paraId="160008E5" w14:textId="77777777" w:rsidR="002B37E9" w:rsidRPr="00140923" w:rsidRDefault="002B37E9" w:rsidP="002B37E9">
      <w:pPr>
        <w:rPr>
          <w:lang w:val="es-ES_tradnl"/>
        </w:rPr>
      </w:pPr>
      <w:r w:rsidRPr="00140923">
        <w:rPr>
          <w:lang w:val="es-ES_tradnl"/>
        </w:rPr>
        <w:t xml:space="preserve">La mayoría de las nuevas aplicaciones están diseñadas para sistemas que utilizan un solo salto, o un número reducido de ellos (por ejemplo, para conexión de retroceso a las redes celulares o para conexión de zonas distantes con las redes de área metropolitana). No obstante, la protección contra la interferencia de cada salto sigue basándose en la Recomendación citada </w:t>
      </w:r>
      <w:r w:rsidRPr="00140923">
        <w:rPr>
          <w:i/>
          <w:iCs/>
          <w:lang w:val="es-ES_tradnl"/>
        </w:rPr>
        <w:t>supra</w:t>
      </w:r>
      <w:r w:rsidRPr="00140923">
        <w:rPr>
          <w:lang w:val="es-ES_tradnl"/>
        </w:rPr>
        <w:t>.</w:t>
      </w:r>
    </w:p>
    <w:p w14:paraId="1A6209AB" w14:textId="77777777" w:rsidR="002B37E9" w:rsidRPr="00140923" w:rsidRDefault="002B37E9" w:rsidP="002B37E9">
      <w:pPr>
        <w:pStyle w:val="Heading3"/>
        <w:rPr>
          <w:lang w:val="es-ES_tradnl"/>
        </w:rPr>
      </w:pPr>
      <w:bookmarkStart w:id="10" w:name="_Toc107643558"/>
      <w:r w:rsidRPr="00140923">
        <w:rPr>
          <w:lang w:val="es-ES_tradnl"/>
        </w:rPr>
        <w:lastRenderedPageBreak/>
        <w:t>1.1.2</w:t>
      </w:r>
      <w:r w:rsidRPr="00140923">
        <w:rPr>
          <w:lang w:val="es-ES_tradnl"/>
        </w:rPr>
        <w:tab/>
        <w:t>Base temporal para la evaluación</w:t>
      </w:r>
    </w:p>
    <w:p w14:paraId="3E199BBF" w14:textId="77777777" w:rsidR="002B37E9" w:rsidRPr="00140923" w:rsidRDefault="002B37E9" w:rsidP="002B37E9">
      <w:pPr>
        <w:pStyle w:val="Heading4"/>
        <w:rPr>
          <w:lang w:val="es-ES_tradnl"/>
        </w:rPr>
      </w:pPr>
      <w:r w:rsidRPr="00140923">
        <w:rPr>
          <w:lang w:val="es-ES_tradnl"/>
        </w:rPr>
        <w:t>1.1.2.1</w:t>
      </w:r>
      <w:r w:rsidRPr="00140923">
        <w:rPr>
          <w:lang w:val="es-ES_tradnl"/>
        </w:rPr>
        <w:tab/>
        <w:t>Principios generales</w:t>
      </w:r>
    </w:p>
    <w:p w14:paraId="7778B1D2" w14:textId="77777777" w:rsidR="002B37E9" w:rsidRPr="00140923" w:rsidRDefault="002B37E9" w:rsidP="002B37E9">
      <w:pPr>
        <w:rPr>
          <w:lang w:val="es-ES_tradnl" w:eastAsia="ja-JP"/>
        </w:rPr>
      </w:pPr>
      <w:r w:rsidRPr="00140923">
        <w:rPr>
          <w:lang w:val="es-ES_tradnl" w:eastAsia="ja-JP"/>
        </w:rPr>
        <w:t>La evaluación de la disponibilidad se realiza sobre la base de periodos de un año, conforme a lo establecido en la Recomendación UIT-T G.827 y es independiente de los medios de transporte reales.</w:t>
      </w:r>
    </w:p>
    <w:p w14:paraId="6C4AB169" w14:textId="5C981209" w:rsidR="002B37E9" w:rsidRPr="003B367D" w:rsidRDefault="002B37E9" w:rsidP="002B37E9">
      <w:pPr>
        <w:rPr>
          <w:lang w:val="es-ES_tradnl" w:eastAsia="ja-JP"/>
        </w:rPr>
      </w:pPr>
      <w:r w:rsidRPr="00140923">
        <w:rPr>
          <w:lang w:val="es-ES_tradnl" w:eastAsia="ja-JP"/>
        </w:rPr>
        <w:t xml:space="preserve">La evaluación de la característica de error se realiza sobre la base de periodos de un mes, conforme a lo establecido en la Recomendación UIT-T G.826 y es independiente de los medios de transporte reales. En particular, puesto que la propagación radioeléctrica se caracteriza por una gran variabilidad en función de la estación y el clima, se busca alcanzar los objetivos en el mes más desfavorable </w:t>
      </w:r>
      <w:r w:rsidRPr="003B367D">
        <w:rPr>
          <w:lang w:val="es-ES_tradnl" w:eastAsia="ja-JP"/>
        </w:rPr>
        <w:t xml:space="preserve">(concepto que se aclara en la Recomendación </w:t>
      </w:r>
      <w:hyperlink r:id="rId60" w:history="1">
        <w:r w:rsidRPr="003B367D">
          <w:rPr>
            <w:rStyle w:val="Hyperlink"/>
            <w:color w:val="auto"/>
            <w:u w:val="none"/>
            <w:lang w:val="es-ES_tradnl" w:eastAsia="ja-JP"/>
          </w:rPr>
          <w:t>UIT-R P.581</w:t>
        </w:r>
      </w:hyperlink>
      <w:r w:rsidRPr="003B367D">
        <w:rPr>
          <w:lang w:val="es-ES_tradnl" w:eastAsia="ja-JP"/>
        </w:rPr>
        <w:t>).</w:t>
      </w:r>
    </w:p>
    <w:p w14:paraId="0884E72F" w14:textId="77777777" w:rsidR="002B37E9" w:rsidRPr="00140923" w:rsidRDefault="002B37E9" w:rsidP="002B37E9">
      <w:pPr>
        <w:rPr>
          <w:lang w:val="es-ES_tradnl" w:eastAsia="ja-JP"/>
        </w:rPr>
      </w:pPr>
      <w:r w:rsidRPr="00140923">
        <w:rPr>
          <w:lang w:val="es-ES_tradnl"/>
        </w:rPr>
        <w:t>En caso necesario, y a efectos de predicción, la conversión de las estadísticas anuales en estadísticas del mes más desfavorable se aborda en la Recomendación UIT-R P.841.</w:t>
      </w:r>
    </w:p>
    <w:p w14:paraId="6DA5A80D" w14:textId="77777777" w:rsidR="002B37E9" w:rsidRPr="00140923" w:rsidRDefault="002B37E9" w:rsidP="002B37E9">
      <w:pPr>
        <w:rPr>
          <w:lang w:val="es-ES_tradnl" w:eastAsia="ja-JP"/>
        </w:rPr>
      </w:pPr>
      <w:r w:rsidRPr="00140923">
        <w:rPr>
          <w:lang w:val="es-ES_tradnl" w:eastAsia="ja-JP"/>
        </w:rPr>
        <w:t xml:space="preserve">En el caso de las conexiones radioeléctricas afectadas por la interferencia causada por alguna fuente, la característica de error global y las evaluaciones de la disponibilidad contemplan el efecto de interferencia adicional dentro del adecuado marco temporal descrito </w:t>
      </w:r>
      <w:r w:rsidRPr="00140923">
        <w:rPr>
          <w:i/>
          <w:iCs/>
          <w:lang w:val="es-ES_tradnl" w:eastAsia="ja-JP"/>
        </w:rPr>
        <w:t>supra</w:t>
      </w:r>
      <w:r w:rsidRPr="00140923">
        <w:rPr>
          <w:lang w:val="es-ES_tradnl" w:eastAsia="ja-JP"/>
        </w:rPr>
        <w:t>.</w:t>
      </w:r>
    </w:p>
    <w:p w14:paraId="072CDA7C" w14:textId="77777777" w:rsidR="002B37E9" w:rsidRPr="00140923" w:rsidRDefault="002B37E9" w:rsidP="002B37E9">
      <w:pPr>
        <w:rPr>
          <w:lang w:val="es-ES_tradnl" w:eastAsia="ja-JP"/>
        </w:rPr>
      </w:pPr>
      <w:r w:rsidRPr="00140923">
        <w:rPr>
          <w:lang w:val="es-ES_tradnl" w:eastAsia="ja-JP"/>
        </w:rPr>
        <w:t>Es preciso señalar que los conceptos de interferencia «a largo plazo» y «de corta duración» (véanse los § 4.1 y 4.2 del presente Anexo 1) no tienen una correlación directa con la base temporal «mensual» o «anual». Ambos tipos de interferencia, dependiendo de su variabilidad de tiempo y el nivel de ésta, pueden en principio afectar a la «característica de error» (mensualmente), pero únicamente la interferencia superior a 10 segundos consecutivos puede afectar a la «disponibilidad» (anual) de los sistemas del servicio fijo.</w:t>
      </w:r>
    </w:p>
    <w:p w14:paraId="5EC67FEA" w14:textId="77777777" w:rsidR="002B37E9" w:rsidRPr="00140923" w:rsidRDefault="002B37E9" w:rsidP="002B37E9">
      <w:pPr>
        <w:rPr>
          <w:lang w:val="es-ES_tradnl" w:eastAsia="ja-JP"/>
        </w:rPr>
      </w:pPr>
      <w:r w:rsidRPr="00140923">
        <w:rPr>
          <w:lang w:val="es-ES_tradnl" w:eastAsia="ja-JP"/>
        </w:rPr>
        <w:t>Normalmente la consideración anterior sólo será necesaria en la interferencia a largo plazo, aunque en casos especiales también puede abarcar la interferencia de corta duración.</w:t>
      </w:r>
    </w:p>
    <w:p w14:paraId="00262F0B" w14:textId="77777777" w:rsidR="002B37E9" w:rsidRPr="00140923" w:rsidRDefault="002B37E9" w:rsidP="002B37E9">
      <w:pPr>
        <w:pStyle w:val="Heading4"/>
        <w:rPr>
          <w:lang w:val="es-ES_tradnl" w:eastAsia="ja-JP"/>
        </w:rPr>
      </w:pPr>
      <w:r w:rsidRPr="00140923">
        <w:rPr>
          <w:lang w:val="es-ES_tradnl" w:eastAsia="ja-JP"/>
        </w:rPr>
        <w:t>1.1.2.2</w:t>
      </w:r>
      <w:r w:rsidRPr="00140923">
        <w:rPr>
          <w:lang w:val="es-ES_tradnl" w:eastAsia="ja-JP"/>
        </w:rPr>
        <w:tab/>
        <w:t>Aplicaciones prácticas</w:t>
      </w:r>
    </w:p>
    <w:p w14:paraId="53E77636" w14:textId="77777777" w:rsidR="002B37E9" w:rsidRPr="00140923" w:rsidRDefault="002B37E9" w:rsidP="002B37E9">
      <w:pPr>
        <w:rPr>
          <w:lang w:val="es-ES_tradnl" w:eastAsia="ja-JP"/>
        </w:rPr>
      </w:pPr>
      <w:r w:rsidRPr="00140923">
        <w:rPr>
          <w:lang w:val="es-ES_tradnl" w:eastAsia="ja-JP"/>
        </w:rPr>
        <w:t>De acuerdo con los principios descritos anteriormente, siempre que se da una situación de compartición o compatibilidad con los sistemas del servicio fijo, se necesitan estudios distintos para evaluar por separado el impacto de la interferencia en la disponibilidad del servicio fijo (anualmente) y la característica de error del sistema fijo (mensualmente).</w:t>
      </w:r>
    </w:p>
    <w:p w14:paraId="71AEDED1" w14:textId="77777777" w:rsidR="002B37E9" w:rsidRPr="00140923" w:rsidRDefault="002B37E9" w:rsidP="002B37E9">
      <w:pPr>
        <w:rPr>
          <w:lang w:val="es-ES_tradnl" w:eastAsia="ja-JP"/>
        </w:rPr>
      </w:pPr>
      <w:r w:rsidRPr="00140923">
        <w:rPr>
          <w:lang w:val="es-ES_tradnl" w:eastAsia="ja-JP"/>
        </w:rPr>
        <w:t>Sin embargo, en algunos casos prácticos, no se necesitan ambos estudios en razón de la situación física prevista de los trayectos deseado y no deseado.</w:t>
      </w:r>
    </w:p>
    <w:p w14:paraId="5CA6E10C" w14:textId="77777777" w:rsidR="002B37E9" w:rsidRPr="00140923" w:rsidRDefault="002B37E9" w:rsidP="002B37E9">
      <w:pPr>
        <w:rPr>
          <w:lang w:val="es-ES_tradnl" w:eastAsia="ja-JP"/>
        </w:rPr>
      </w:pPr>
      <w:r w:rsidRPr="00140923">
        <w:rPr>
          <w:lang w:val="es-ES_tradnl" w:eastAsia="ja-JP"/>
        </w:rPr>
        <w:t>En particular, cuando la interferencia afecta constantemente al dispositivo víctima del servicio fijo (por ejemplo, desde una estación espacial geoestacionaria), se asume generalmente que el nivel de interferencia aceptable debe ser suficientemente bajo para no afectar al umbral de disponibilidad del sistema del servicio fijo, sobre una base anual. En tal caso, garantizando que la degradación de la disponibilidad del servicio fijo sea adecuada, se asume generalmente que toda degradación de la «característica de error» estaría dentro de unos límites aceptables (en cualquier mes) y no se necesita ningún estudio específico.</w:t>
      </w:r>
    </w:p>
    <w:p w14:paraId="09148392" w14:textId="4382E26F" w:rsidR="002B37E9" w:rsidRPr="003B367D" w:rsidRDefault="002B37E9" w:rsidP="002B37E9">
      <w:pPr>
        <w:rPr>
          <w:lang w:val="es-ES_tradnl" w:eastAsia="ja-JP"/>
        </w:rPr>
      </w:pPr>
      <w:r w:rsidRPr="00140923">
        <w:rPr>
          <w:lang w:val="es-ES_tradnl" w:eastAsia="ja-JP"/>
        </w:rPr>
        <w:t xml:space="preserve">Por el contrario, cuando la interferencia en el dispositivo víctima del servicio fijo varía de forma relativamente rápida (por ejemplo, desde una estación espacial no geoestacionaria), se asume generalmente que, debido a los trayectos deseado y no deseado sin correlación, el nivel de interferencia aceptable puede ser mayor, de modo que la degradación de la «característica de error» predominará sobre la posible degradación de la «disponibilidad». En tal caso, el estudio de la degradación de la «característica de error» deberá realizarse en el «mes más desfavorable» (véanse </w:t>
      </w:r>
      <w:r w:rsidRPr="003B367D">
        <w:rPr>
          <w:lang w:val="es-ES_tradnl" w:eastAsia="ja-JP"/>
        </w:rPr>
        <w:t xml:space="preserve">los ejemplos de las Recomendaciones </w:t>
      </w:r>
      <w:hyperlink r:id="rId61" w:history="1">
        <w:r w:rsidRPr="003B367D">
          <w:rPr>
            <w:rStyle w:val="Hyperlink"/>
            <w:color w:val="auto"/>
            <w:u w:val="none"/>
            <w:lang w:val="es-ES_tradnl" w:eastAsia="ja-JP"/>
          </w:rPr>
          <w:t>UIT-R F.1108</w:t>
        </w:r>
      </w:hyperlink>
      <w:r w:rsidRPr="003B367D">
        <w:rPr>
          <w:lang w:val="es-ES_tradnl" w:eastAsia="ja-JP"/>
        </w:rPr>
        <w:t xml:space="preserve"> y </w:t>
      </w:r>
      <w:hyperlink r:id="rId62" w:history="1">
        <w:r w:rsidRPr="003B367D">
          <w:rPr>
            <w:rStyle w:val="Hyperlink"/>
            <w:color w:val="auto"/>
            <w:u w:val="none"/>
            <w:lang w:val="es-ES_tradnl" w:eastAsia="ja-JP"/>
          </w:rPr>
          <w:t>UIT-R F.1495</w:t>
        </w:r>
      </w:hyperlink>
      <w:r w:rsidRPr="003B367D">
        <w:rPr>
          <w:lang w:val="es-ES_tradnl" w:eastAsia="ja-JP"/>
        </w:rPr>
        <w:t>).</w:t>
      </w:r>
    </w:p>
    <w:p w14:paraId="73083554" w14:textId="77777777" w:rsidR="002B37E9" w:rsidRPr="00140923" w:rsidRDefault="002B37E9" w:rsidP="006479D0">
      <w:pPr>
        <w:keepNext/>
        <w:keepLines/>
        <w:rPr>
          <w:lang w:val="es-ES_tradnl" w:eastAsia="ja-JP"/>
        </w:rPr>
      </w:pPr>
      <w:r w:rsidRPr="00140923">
        <w:rPr>
          <w:lang w:val="es-ES_tradnl" w:eastAsia="ja-JP"/>
        </w:rPr>
        <w:lastRenderedPageBreak/>
        <w:t>En principio, se prevé que cuando la variabilidad de la interferencia disminuya (situaciones cuasi estáticas), podría haber un umbral de velocidad en el que las degradaciones de la «disponibilidad» y de la «característica de error» resulten igualmente afectadas. En tales casos, se deberían realizar estudios específicos para ambos casos, con sus adecuadas bases temporales.</w:t>
      </w:r>
    </w:p>
    <w:p w14:paraId="1CF2C7B0" w14:textId="77777777" w:rsidR="002B37E9" w:rsidRPr="00140923" w:rsidRDefault="002B37E9" w:rsidP="002B37E9">
      <w:pPr>
        <w:pStyle w:val="Heading1"/>
        <w:rPr>
          <w:lang w:val="es-ES_tradnl"/>
        </w:rPr>
      </w:pPr>
      <w:bookmarkStart w:id="11" w:name="_Toc39157065"/>
      <w:r w:rsidRPr="00140923">
        <w:rPr>
          <w:lang w:val="es-ES_tradnl"/>
        </w:rPr>
        <w:t>2</w:t>
      </w:r>
      <w:r w:rsidRPr="00140923">
        <w:rPr>
          <w:lang w:val="es-ES_tradnl"/>
        </w:rPr>
        <w:tab/>
        <w:t>Subdivisión del objetivo de calidad de funcionamiento y de disponibilidad</w:t>
      </w:r>
      <w:bookmarkEnd w:id="10"/>
      <w:bookmarkEnd w:id="11"/>
    </w:p>
    <w:p w14:paraId="28E35B45" w14:textId="77777777" w:rsidR="002B37E9" w:rsidRPr="00140923" w:rsidRDefault="002B37E9" w:rsidP="002B37E9">
      <w:pPr>
        <w:rPr>
          <w:lang w:val="es-ES_tradnl"/>
        </w:rPr>
      </w:pPr>
      <w:r w:rsidRPr="00140923">
        <w:rPr>
          <w:lang w:val="es-ES_tradnl"/>
        </w:rPr>
        <w:t>En el punto anterior se han indicado los objetivos de calidad de funcionamiento global para conexiones de referencia digitales y analógicas. Sin embargo, en la práctica, hay un gran número de posibles fuentes de interferencia que contribuyen a la degradación de la calidad de funcionamiento de un sistema inalámbrico fijo. Con el fin de disponer de un método práctico para la planificación, es necesario subdividir los objetivos de calidad de funcionamiento global entre cada sección de las conexiones ficticias de referencia globales y el trayecto ficticio de referencia y, dentro de las secciones, distribuir el objetivo de calidad de funcionamiento entre las diversas fuentes.</w:t>
      </w:r>
    </w:p>
    <w:p w14:paraId="35311F9D" w14:textId="77777777" w:rsidR="002B37E9" w:rsidRPr="00140923" w:rsidRDefault="002B37E9" w:rsidP="002B37E9">
      <w:pPr>
        <w:pStyle w:val="Heading2"/>
        <w:rPr>
          <w:lang w:val="es-ES_tradnl"/>
        </w:rPr>
      </w:pPr>
      <w:bookmarkStart w:id="12" w:name="_Toc107643559"/>
      <w:bookmarkStart w:id="13" w:name="_Toc39157066"/>
      <w:r w:rsidRPr="00140923">
        <w:rPr>
          <w:lang w:val="es-ES_tradnl"/>
        </w:rPr>
        <w:t>2.1</w:t>
      </w:r>
      <w:r w:rsidRPr="00140923">
        <w:rPr>
          <w:lang w:val="es-ES_tradnl"/>
        </w:rPr>
        <w:tab/>
        <w:t>Distribución del objetivo de característica de error y disponibilidad de una sección</w:t>
      </w:r>
      <w:bookmarkEnd w:id="12"/>
      <w:bookmarkEnd w:id="13"/>
    </w:p>
    <w:p w14:paraId="389690B1" w14:textId="670A259F" w:rsidR="002B37E9" w:rsidRPr="00140923" w:rsidRDefault="002B37E9" w:rsidP="002B37E9">
      <w:pPr>
        <w:rPr>
          <w:lang w:val="es-ES_tradnl"/>
        </w:rPr>
      </w:pPr>
      <w:r w:rsidRPr="003B367D">
        <w:rPr>
          <w:lang w:val="es-ES_tradnl"/>
        </w:rPr>
        <w:t xml:space="preserve">Este asunto se trata en la Recomendación </w:t>
      </w:r>
      <w:hyperlink r:id="rId63" w:history="1">
        <w:r w:rsidRPr="003B367D">
          <w:rPr>
            <w:rStyle w:val="Hyperlink"/>
            <w:color w:val="auto"/>
            <w:u w:val="none"/>
            <w:lang w:val="es-ES_tradnl"/>
          </w:rPr>
          <w:t>UIT-R F.1094</w:t>
        </w:r>
      </w:hyperlink>
      <w:r w:rsidRPr="003B367D">
        <w:rPr>
          <w:lang w:val="es-ES_tradnl"/>
        </w:rPr>
        <w:t xml:space="preserve">. El objetivo de calidad de funcionamiento </w:t>
      </w:r>
      <w:r w:rsidRPr="00140923">
        <w:rPr>
          <w:lang w:val="es-ES_tradnl"/>
        </w:rPr>
        <w:t>admisible se divide en un elemento de </w:t>
      </w:r>
      <w:r w:rsidRPr="00140923">
        <w:rPr>
          <w:i/>
          <w:lang w:val="es-ES_tradnl"/>
        </w:rPr>
        <w:t>X</w:t>
      </w:r>
      <w:r w:rsidRPr="00140923">
        <w:rPr>
          <w:lang w:val="es-ES_tradnl"/>
        </w:rPr>
        <w:t xml:space="preserve">% para la porción del servicio fijo, </w:t>
      </w:r>
      <w:r w:rsidRPr="00140923">
        <w:rPr>
          <w:i/>
          <w:lang w:val="es-ES_tradnl"/>
        </w:rPr>
        <w:t>Y</w:t>
      </w:r>
      <w:r w:rsidRPr="00140923">
        <w:rPr>
          <w:lang w:val="es-ES_tradnl"/>
        </w:rPr>
        <w:t xml:space="preserve">% para la compartición de frecuencias en atribuciones a título primario y </w:t>
      </w:r>
      <w:r w:rsidRPr="00140923">
        <w:rPr>
          <w:i/>
          <w:lang w:val="es-ES_tradnl"/>
        </w:rPr>
        <w:t>Z</w:t>
      </w:r>
      <w:r w:rsidRPr="00140923">
        <w:rPr>
          <w:lang w:val="es-ES_tradnl"/>
        </w:rPr>
        <w:t xml:space="preserve">% para otras fuentes de interferencia (obsérvese que </w:t>
      </w:r>
      <w:r w:rsidRPr="00140923">
        <w:rPr>
          <w:i/>
          <w:lang w:val="es-ES_tradnl"/>
        </w:rPr>
        <w:t>X</w:t>
      </w:r>
      <w:r w:rsidRPr="00140923">
        <w:rPr>
          <w:lang w:val="es-ES_tradnl"/>
        </w:rPr>
        <w:t>% + </w:t>
      </w:r>
      <w:r w:rsidRPr="00140923">
        <w:rPr>
          <w:i/>
          <w:lang w:val="es-ES_tradnl"/>
        </w:rPr>
        <w:t>Y</w:t>
      </w:r>
      <w:r w:rsidRPr="00140923">
        <w:rPr>
          <w:lang w:val="es-ES_tradnl"/>
        </w:rPr>
        <w:t>% + </w:t>
      </w:r>
      <w:r w:rsidRPr="00140923">
        <w:rPr>
          <w:i/>
          <w:lang w:val="es-ES_tradnl"/>
        </w:rPr>
        <w:t>Z</w:t>
      </w:r>
      <w:r w:rsidRPr="00140923">
        <w:rPr>
          <w:lang w:val="es-ES_tradnl"/>
        </w:rPr>
        <w:t xml:space="preserve">% = 100%, donde </w:t>
      </w:r>
      <w:r w:rsidRPr="00140923">
        <w:rPr>
          <w:i/>
          <w:iCs/>
          <w:lang w:val="es-ES_tradnl"/>
        </w:rPr>
        <w:t>X</w:t>
      </w:r>
      <w:r w:rsidRPr="00140923">
        <w:rPr>
          <w:lang w:val="es-ES_tradnl"/>
        </w:rPr>
        <w:t xml:space="preserve">, </w:t>
      </w:r>
      <w:r w:rsidRPr="00140923">
        <w:rPr>
          <w:i/>
          <w:iCs/>
          <w:lang w:val="es-ES_tradnl"/>
        </w:rPr>
        <w:t>Y</w:t>
      </w:r>
      <w:r w:rsidRPr="00140923">
        <w:rPr>
          <w:lang w:val="es-ES_tradnl"/>
        </w:rPr>
        <w:t xml:space="preserve"> </w:t>
      </w:r>
      <w:r w:rsidRPr="00140923">
        <w:rPr>
          <w:i/>
          <w:iCs/>
          <w:lang w:val="es-ES_tradnl"/>
        </w:rPr>
        <w:t>Z</w:t>
      </w:r>
      <w:r w:rsidRPr="00140923">
        <w:rPr>
          <w:lang w:val="es-ES_tradnl"/>
        </w:rPr>
        <w:t xml:space="preserve"> tienen generalmente los valores 89%, 10% y 1%, respectivamente). Puede haber otra subdivisión del margen de </w:t>
      </w:r>
      <w:r w:rsidRPr="00140923">
        <w:rPr>
          <w:i/>
          <w:lang w:val="es-ES_tradnl"/>
        </w:rPr>
        <w:t>X</w:t>
      </w:r>
      <w:r w:rsidRPr="00140923">
        <w:rPr>
          <w:lang w:val="es-ES_tradnl"/>
        </w:rPr>
        <w:t>% para satisfacer necesidades locales y podría distribuirse de manera que se satisfaga el grado de servicio (véase § 4.1.3).</w:t>
      </w:r>
    </w:p>
    <w:p w14:paraId="0339BB29" w14:textId="77777777" w:rsidR="002B37E9" w:rsidRPr="00140923" w:rsidRDefault="002B37E9" w:rsidP="002B37E9">
      <w:pPr>
        <w:rPr>
          <w:lang w:val="es-ES_tradnl"/>
        </w:rPr>
      </w:pPr>
      <w:r w:rsidRPr="00140923">
        <w:rPr>
          <w:lang w:val="es-ES_tradnl"/>
        </w:rPr>
        <w:t>Un punto particular que debe señalarse es que una fuente de interferencia (digamos, un transmisor), puede afectar a más de un salto de un sistema.</w:t>
      </w:r>
    </w:p>
    <w:p w14:paraId="58CDB3BD" w14:textId="77777777" w:rsidR="002B37E9" w:rsidRPr="00140923" w:rsidRDefault="002B37E9" w:rsidP="002B37E9">
      <w:pPr>
        <w:pStyle w:val="Heading2"/>
        <w:rPr>
          <w:lang w:val="es-ES_tradnl"/>
        </w:rPr>
      </w:pPr>
      <w:bookmarkStart w:id="14" w:name="_Toc39157067"/>
      <w:bookmarkStart w:id="15" w:name="_Toc107643560"/>
      <w:r w:rsidRPr="00140923">
        <w:rPr>
          <w:lang w:val="es-ES_tradnl"/>
        </w:rPr>
        <w:t>2.2</w:t>
      </w:r>
      <w:r w:rsidRPr="00140923">
        <w:rPr>
          <w:lang w:val="es-ES_tradnl"/>
        </w:rPr>
        <w:tab/>
        <w:t>Distribución de la degradación de la calidad de funcionamiento y la disponibilidad de distintos servicios</w:t>
      </w:r>
      <w:bookmarkEnd w:id="14"/>
    </w:p>
    <w:p w14:paraId="66753B11" w14:textId="77777777" w:rsidR="002B37E9" w:rsidRPr="00140923" w:rsidRDefault="002B37E9" w:rsidP="002B37E9">
      <w:pPr>
        <w:rPr>
          <w:lang w:val="es-ES_tradnl"/>
        </w:rPr>
      </w:pPr>
      <w:r w:rsidRPr="00140923">
        <w:rPr>
          <w:lang w:val="es-ES_tradnl"/>
        </w:rPr>
        <w:t>Al establecer los criterios de compartición con otros servicios primarios, puede ser necesario considerar la distribución de los objetivos de característica de error y los objetivos de característica de disponibilidad para interferencia de corta duración e interferencia a largo plazo (véase la parte introductoria de § 4). A continuación, se debe tomar en consideración lo siguiente:</w:t>
      </w:r>
    </w:p>
    <w:p w14:paraId="3A67F11D" w14:textId="27058523" w:rsidR="002B37E9" w:rsidRPr="003B367D" w:rsidRDefault="002B37E9" w:rsidP="002B37E9">
      <w:pPr>
        <w:pStyle w:val="enumlev1"/>
        <w:rPr>
          <w:lang w:val="es-ES_tradnl"/>
        </w:rPr>
      </w:pPr>
      <w:r w:rsidRPr="00140923">
        <w:rPr>
          <w:lang w:val="es-ES_tradnl"/>
        </w:rPr>
        <w:t>a)</w:t>
      </w:r>
      <w:r w:rsidRPr="00140923">
        <w:rPr>
          <w:lang w:val="es-ES_tradnl"/>
        </w:rPr>
        <w:tab/>
        <w:t xml:space="preserve">Para la banda compartida por el servicio fijo y un servicio de radiocomunicaciones a título primario, la degradación de la calidad de funcionamiento/disponibilidad </w:t>
      </w:r>
      <w:r w:rsidRPr="00140923">
        <w:rPr>
          <w:i/>
          <w:lang w:val="es-ES_tradnl"/>
        </w:rPr>
        <w:t>Y</w:t>
      </w:r>
      <w:r w:rsidRPr="00140923">
        <w:rPr>
          <w:lang w:val="es-ES_tradnl"/>
        </w:rPr>
        <w:t xml:space="preserve">1% del servicio fijo provocada por la interferencia procedente de otros servicios no debería superar el 10% </w:t>
      </w:r>
      <w:r w:rsidRPr="003B367D">
        <w:rPr>
          <w:lang w:val="es-ES_tradnl"/>
        </w:rPr>
        <w:t xml:space="preserve">del objetivo de conformidad con la Recomendación </w:t>
      </w:r>
      <w:hyperlink r:id="rId64" w:history="1">
        <w:r w:rsidRPr="003B367D">
          <w:rPr>
            <w:rStyle w:val="Hyperlink"/>
            <w:color w:val="auto"/>
            <w:u w:val="none"/>
            <w:lang w:val="es-ES_tradnl"/>
          </w:rPr>
          <w:t>UIT-R F.1094</w:t>
        </w:r>
      </w:hyperlink>
      <w:r w:rsidRPr="003B367D">
        <w:rPr>
          <w:lang w:val="es-ES_tradnl"/>
        </w:rPr>
        <w:t>.</w:t>
      </w:r>
    </w:p>
    <w:p w14:paraId="4099BBA1" w14:textId="77777777" w:rsidR="002B37E9" w:rsidRPr="00140923" w:rsidRDefault="002B37E9" w:rsidP="002B37E9">
      <w:pPr>
        <w:pStyle w:val="enumlev1"/>
        <w:rPr>
          <w:lang w:val="es-ES_tradnl"/>
        </w:rPr>
      </w:pPr>
      <w:r w:rsidRPr="00140923">
        <w:rPr>
          <w:lang w:val="es-ES_tradnl"/>
        </w:rPr>
        <w:t>b)</w:t>
      </w:r>
      <w:r w:rsidRPr="00140923">
        <w:rPr>
          <w:lang w:val="es-ES_tradnl"/>
        </w:rPr>
        <w:tab/>
        <w:t xml:space="preserve">Tras el establecimiento de los criterios de compartición con el primer servicio con atribuciones coprimarias, la degradación de la calidad de funcionamiento/disponibilidad </w:t>
      </w:r>
      <w:r w:rsidRPr="00140923">
        <w:rPr>
          <w:i/>
          <w:lang w:val="es-ES_tradnl"/>
        </w:rPr>
        <w:t>Y</w:t>
      </w:r>
      <w:r w:rsidRPr="00140923">
        <w:rPr>
          <w:lang w:val="es-ES_tradnl"/>
        </w:rPr>
        <w:t xml:space="preserve">2% del servicio fijo provocada por la interferencia procedente de otro servicio con atribuciones coprimarias que comparte la misma banda podría hacerse del siguiente modo: </w:t>
      </w:r>
    </w:p>
    <w:p w14:paraId="64BFDE03" w14:textId="77777777" w:rsidR="002B37E9" w:rsidRPr="00140923" w:rsidRDefault="002B37E9" w:rsidP="002B37E9">
      <w:pPr>
        <w:pStyle w:val="enumlev2"/>
        <w:rPr>
          <w:lang w:val="es-ES_tradnl"/>
        </w:rPr>
      </w:pPr>
      <w:r w:rsidRPr="00140923">
        <w:rPr>
          <w:lang w:val="es-ES_tradnl"/>
        </w:rPr>
        <w:t>–</w:t>
      </w:r>
      <w:r w:rsidRPr="00140923">
        <w:rPr>
          <w:lang w:val="es-ES_tradnl"/>
        </w:rPr>
        <w:tab/>
        <w:t xml:space="preserve">se debe examinar detenidamente el entorno de interferencias múltiples causadas por ambos servicios, en particular el caso que lleva al límite admisible de </w:t>
      </w:r>
      <w:r w:rsidRPr="00140923">
        <w:rPr>
          <w:i/>
          <w:lang w:val="es-ES_tradnl"/>
        </w:rPr>
        <w:t>Y</w:t>
      </w:r>
      <w:r w:rsidRPr="00140923">
        <w:rPr>
          <w:lang w:val="es-ES_tradnl"/>
        </w:rPr>
        <w:t>1% y que recibe simultáneamente la interferencia añadida del segundo servicio con atribuciones coprimarias;</w:t>
      </w:r>
    </w:p>
    <w:p w14:paraId="2FB500B8" w14:textId="77777777" w:rsidR="002B37E9" w:rsidRPr="00140923" w:rsidRDefault="002B37E9" w:rsidP="002B37E9">
      <w:pPr>
        <w:pStyle w:val="enumlev2"/>
        <w:rPr>
          <w:lang w:val="es-ES_tradnl"/>
        </w:rPr>
      </w:pPr>
      <w:r w:rsidRPr="00140923">
        <w:rPr>
          <w:lang w:val="es-ES_tradnl"/>
        </w:rPr>
        <w:t>–</w:t>
      </w:r>
      <w:r w:rsidRPr="00140923">
        <w:rPr>
          <w:lang w:val="es-ES_tradnl"/>
        </w:rPr>
        <w:tab/>
        <w:t xml:space="preserve">a continuación el límite de </w:t>
      </w:r>
      <w:r w:rsidRPr="00140923">
        <w:rPr>
          <w:i/>
          <w:lang w:val="es-ES_tradnl"/>
        </w:rPr>
        <w:t>Y</w:t>
      </w:r>
      <w:r w:rsidRPr="00140923">
        <w:rPr>
          <w:lang w:val="es-ES_tradnl"/>
        </w:rPr>
        <w:t>2 se podría obtener a partir de un modelo típico de interferencia para el servicio fijo y para el segundo servicio con atribuciones coprimarias teniendo asimismo en cuenta el posible efecto del primer servicio en ese modelo.</w:t>
      </w:r>
    </w:p>
    <w:p w14:paraId="4DE94E56" w14:textId="77777777" w:rsidR="002B37E9" w:rsidRPr="00140923" w:rsidRDefault="002B37E9" w:rsidP="002B37E9">
      <w:pPr>
        <w:pStyle w:val="Heading1"/>
        <w:rPr>
          <w:lang w:val="es-ES_tradnl"/>
        </w:rPr>
      </w:pPr>
      <w:bookmarkStart w:id="16" w:name="_Toc39157068"/>
      <w:r w:rsidRPr="00140923">
        <w:rPr>
          <w:lang w:val="es-ES_tradnl"/>
        </w:rPr>
        <w:lastRenderedPageBreak/>
        <w:t>3</w:t>
      </w:r>
      <w:r w:rsidRPr="00140923">
        <w:rPr>
          <w:lang w:val="es-ES_tradnl"/>
        </w:rPr>
        <w:tab/>
        <w:t>Características de la interferencia</w:t>
      </w:r>
      <w:bookmarkEnd w:id="15"/>
      <w:bookmarkEnd w:id="16"/>
    </w:p>
    <w:p w14:paraId="0A6F1BA0" w14:textId="77777777" w:rsidR="002B37E9" w:rsidRPr="00140923" w:rsidRDefault="002B37E9" w:rsidP="002B37E9">
      <w:pPr>
        <w:rPr>
          <w:lang w:val="es-ES_tradnl"/>
        </w:rPr>
      </w:pPr>
      <w:r w:rsidRPr="00140923">
        <w:rPr>
          <w:lang w:val="es-ES_tradnl"/>
        </w:rPr>
        <w:t>Es necesario disponer de información sobre los niveles de interferencia causados por otros servicios, que degradarían la calidad de funcionamiento del sistema en magnitudes específicas. Esto se facilitaría si, con la asistencia de otras Comisiones de Estudio, se elaborase un cuadro con información sobre las características de las emisiones.</w:t>
      </w:r>
    </w:p>
    <w:p w14:paraId="63838F8E" w14:textId="77777777" w:rsidR="002B37E9" w:rsidRPr="00140923" w:rsidRDefault="002B37E9" w:rsidP="002B37E9">
      <w:pPr>
        <w:rPr>
          <w:lang w:val="es-ES_tradnl"/>
        </w:rPr>
      </w:pPr>
      <w:r w:rsidRPr="00140923">
        <w:rPr>
          <w:lang w:val="es-ES_tradnl"/>
        </w:rPr>
        <w:t>Merece considerar dos categorías de interferencia:</w:t>
      </w:r>
    </w:p>
    <w:p w14:paraId="492730E6" w14:textId="3CFF184E" w:rsidR="002B37E9" w:rsidRPr="003B367D" w:rsidRDefault="002B37E9" w:rsidP="002B37E9">
      <w:pPr>
        <w:pStyle w:val="enumlev1"/>
        <w:rPr>
          <w:lang w:val="es-ES_tradnl"/>
        </w:rPr>
      </w:pPr>
      <w:r w:rsidRPr="00140923">
        <w:rPr>
          <w:lang w:val="es-ES_tradnl"/>
        </w:rPr>
        <w:t>–</w:t>
      </w:r>
      <w:r w:rsidRPr="00140923">
        <w:rPr>
          <w:lang w:val="es-ES_tradnl"/>
        </w:rPr>
        <w:tab/>
        <w:t xml:space="preserve">para los estudios de compartición – la interferencia producida por servicios que comparten la misma banda a título primario que es probable esté dentro de la anchura de banda del receptor de modulaciones digitales, ya sea de onda continua o emisiones en ráfagas. Puede hacerse referencia a los textos existentes en las Recomendaciones UIT-R de las series F y SF (por </w:t>
      </w:r>
      <w:r w:rsidRPr="003B367D">
        <w:rPr>
          <w:lang w:val="es-ES_tradnl"/>
        </w:rPr>
        <w:t>ejemplo, la Recomendación </w:t>
      </w:r>
      <w:hyperlink r:id="rId65" w:history="1">
        <w:r w:rsidRPr="003B367D">
          <w:rPr>
            <w:rStyle w:val="Hyperlink"/>
            <w:color w:val="auto"/>
            <w:u w:val="none"/>
            <w:lang w:val="es-ES_tradnl"/>
          </w:rPr>
          <w:t>UIT-R SF.766</w:t>
        </w:r>
      </w:hyperlink>
      <w:r w:rsidRPr="003B367D">
        <w:rPr>
          <w:lang w:val="es-ES_tradnl"/>
        </w:rPr>
        <w:t>);</w:t>
      </w:r>
    </w:p>
    <w:p w14:paraId="7F8BBA1F" w14:textId="77777777" w:rsidR="002B37E9" w:rsidRPr="00140923" w:rsidRDefault="002B37E9" w:rsidP="002B37E9">
      <w:pPr>
        <w:pStyle w:val="enumlev1"/>
        <w:keepNext/>
        <w:keepLines/>
        <w:rPr>
          <w:lang w:val="es-ES_tradnl"/>
        </w:rPr>
      </w:pPr>
      <w:r w:rsidRPr="00140923">
        <w:rPr>
          <w:lang w:val="es-ES_tradnl"/>
        </w:rPr>
        <w:t>–</w:t>
      </w:r>
      <w:r w:rsidRPr="00140923">
        <w:rPr>
          <w:lang w:val="es-ES_tradnl"/>
        </w:rPr>
        <w:tab/>
        <w:t>para los estudios de compatibilidad – las emisiones de sistemas distintos a los que comparten la misma banda a título primario, que podrían ser numerosas y diversas, producidas por emisión continua o de impulsos y/o en ráfagas, y que pueden considerarse de una manera similar a las emisiones no esenciales descritas. Esas emisiones podrían proceder de sistemas/aplicaciones que funcionan en la misma banda a título secundario, así como de emisiones no deseadas de sistemas que funcionan en otras bandas.</w:t>
      </w:r>
    </w:p>
    <w:p w14:paraId="2E703DE9" w14:textId="77777777" w:rsidR="002B37E9" w:rsidRPr="00140923" w:rsidRDefault="002B37E9" w:rsidP="002B37E9">
      <w:pPr>
        <w:rPr>
          <w:lang w:val="es-ES_tradnl"/>
        </w:rPr>
      </w:pPr>
      <w:r w:rsidRPr="00140923">
        <w:rPr>
          <w:lang w:val="es-ES_tradnl"/>
        </w:rPr>
        <w:t>Por último, podría prepararse otro cuadro, también con la asistencia de otras Comisiones de Estudio de Radiocomunicaciones, en el que se comparasen los niveles de interferencia o ruido gaussiano requeridos para producir una degradación especificada de la calidad de funcionamiento del canal.</w:t>
      </w:r>
    </w:p>
    <w:p w14:paraId="2303D6DB" w14:textId="77777777" w:rsidR="002B37E9" w:rsidRPr="00140923" w:rsidRDefault="002B37E9" w:rsidP="002B37E9">
      <w:pPr>
        <w:pStyle w:val="Heading1"/>
        <w:rPr>
          <w:lang w:val="es-ES_tradnl"/>
        </w:rPr>
      </w:pPr>
      <w:bookmarkStart w:id="17" w:name="_Toc107643561"/>
      <w:bookmarkStart w:id="18" w:name="_Toc39157069"/>
      <w:r w:rsidRPr="00140923">
        <w:rPr>
          <w:lang w:val="es-ES_tradnl"/>
        </w:rPr>
        <w:t>4</w:t>
      </w:r>
      <w:r w:rsidRPr="00140923">
        <w:rPr>
          <w:lang w:val="es-ES_tradnl"/>
        </w:rPr>
        <w:tab/>
      </w:r>
      <w:bookmarkEnd w:id="17"/>
      <w:r w:rsidRPr="00140923">
        <w:rPr>
          <w:lang w:val="es-ES_tradnl"/>
        </w:rPr>
        <w:t>Consideraciones sobre la degradación permitida de la calidad de funcionamiento/</w:t>
      </w:r>
      <w:r w:rsidRPr="00140923">
        <w:rPr>
          <w:lang w:val="es-ES_tradnl"/>
        </w:rPr>
        <w:br/>
        <w:t>disponibilidad provocada por interferencia y criterios de interferencia conexos</w:t>
      </w:r>
      <w:bookmarkEnd w:id="18"/>
    </w:p>
    <w:p w14:paraId="655666C6" w14:textId="77777777" w:rsidR="002B37E9" w:rsidRPr="00140923" w:rsidRDefault="002B37E9" w:rsidP="002B37E9">
      <w:pPr>
        <w:rPr>
          <w:lang w:val="es-ES_tradnl"/>
        </w:rPr>
      </w:pPr>
      <w:r w:rsidRPr="00140923">
        <w:rPr>
          <w:lang w:val="es-ES_tradnl"/>
        </w:rPr>
        <w:t>Los métodos para caracterizar los niveles de interferencia a sistemas inalámbricos fijos comprenden la densidad de flujo de potencia (DFP), el nivel de potencia a la entrada de la antena o el nivel de potencia a la entrada del receptor. Debe señalarse que todos esos métodos figuran en las Recomendaciones UIT-R de las Series F y SF.</w:t>
      </w:r>
    </w:p>
    <w:p w14:paraId="3EB1A441" w14:textId="6C77710D" w:rsidR="002B37E9" w:rsidRPr="00140923" w:rsidRDefault="002B37E9" w:rsidP="002B37E9">
      <w:pPr>
        <w:rPr>
          <w:lang w:val="es-ES_tradnl" w:eastAsia="ja-JP"/>
        </w:rPr>
      </w:pPr>
      <w:bookmarkStart w:id="19" w:name="_Toc107643562"/>
      <w:r w:rsidRPr="00140923">
        <w:rPr>
          <w:lang w:val="es-ES_tradnl"/>
        </w:rPr>
        <w:t>En general, la potencia recibida a consecuencia de una fuente de interferencia no es constante, sino que fluctúa debido a las condiciones de propagación variables del trayecto de interferencia o bien al movimiento del transmisor interferente. Las condiciones de propagación que más influyen en los trayectos de interferencia son la propagación por conductos y la dispersión troposférica. Las condiciones de propagación, incluido el desvanecimiento causado por trayectos múltiples, la lluvia y la difracción, también pueden provocar variaciones en la potencia recibida de la señal deseada (desvanecimiento de sistema), por lo que el sistema debe tener un adecuado margen de desvanecimiento. Las variaciones en la potencia recibida de las señales deseada e interferente pueden o no estar relacionadas en función de la banda de frecuencias y la geometría de la interferencia.</w:t>
      </w:r>
    </w:p>
    <w:p w14:paraId="3FF721C9" w14:textId="77777777" w:rsidR="002B37E9" w:rsidRPr="00140923" w:rsidRDefault="002B37E9" w:rsidP="002B37E9">
      <w:pPr>
        <w:rPr>
          <w:lang w:val="es-ES_tradnl"/>
        </w:rPr>
      </w:pPr>
      <w:r w:rsidRPr="00140923">
        <w:rPr>
          <w:lang w:val="es-ES_tradnl"/>
        </w:rPr>
        <w:t>A fin de simplificar el análisis de la interferencia, se estudia por separado la interferencia de corta duración, término utilizado para describir los niveles más elevados de potencia de interferencia que ocurren en un lapso temporal menor del 1%, y la interferencia a largo plazo, que describe el tiempo restante de la distribución de la potencia de interferencia.</w:t>
      </w:r>
    </w:p>
    <w:p w14:paraId="06D80380" w14:textId="5A7E11D2" w:rsidR="002B37E9" w:rsidRPr="00140923" w:rsidRDefault="002B37E9" w:rsidP="002B37E9">
      <w:pPr>
        <w:rPr>
          <w:lang w:val="es-ES_tradnl" w:eastAsia="ja-JP"/>
        </w:rPr>
      </w:pPr>
      <w:r w:rsidRPr="00140923">
        <w:rPr>
          <w:lang w:val="es-ES_tradnl"/>
        </w:rPr>
        <w:t xml:space="preserve">Cuando se desvanece la señal deseada, el porcentaje de tiempo para el cual se rebasa el umbral de calidad de funcionamiento aumentará ligeramente debido a la potencia de interferencia presente al desvanecerse la señal cerca del umbral. Teniendo en cuenta la interferencia en estas condiciones, ésta se considera interferencia a largo plazo. La interferencia a largo plazo degrada la característica de error y la disponibilidad de un sistema al reducir el margen de desvanecimiento con que se cuenta para proteger el sistema del servicio fijo contra el desvanecimiento. En los estudios de compartición y compatibilidad, la interferencia a largo plazo generalmente se caracteriza como la potencia de </w:t>
      </w:r>
      <w:r w:rsidRPr="00140923">
        <w:rPr>
          <w:lang w:val="es-ES_tradnl"/>
        </w:rPr>
        <w:lastRenderedPageBreak/>
        <w:t>interferencia que supera el 20% del tiempo a la entrada del receptor víctima. Este es el nivel de potencia utilizado en los Cuadros 2</w:t>
      </w:r>
      <w:r w:rsidRPr="00140923">
        <w:rPr>
          <w:lang w:val="es-ES_tradnl" w:eastAsia="ja-JP"/>
        </w:rPr>
        <w:t>,</w:t>
      </w:r>
      <w:r w:rsidRPr="00140923">
        <w:rPr>
          <w:lang w:val="es-ES_tradnl"/>
        </w:rPr>
        <w:t xml:space="preserve"> 3 y 4 en los § 4.1.1 y 4.1.2. Para los porcentajes de tiempo aplicados a los criterios de protección, véase </w:t>
      </w:r>
      <w:r w:rsidR="006479D0">
        <w:rPr>
          <w:lang w:val="es-ES_tradnl"/>
        </w:rPr>
        <w:t xml:space="preserve">el </w:t>
      </w:r>
      <w:r w:rsidRPr="00140923">
        <w:rPr>
          <w:lang w:val="es-ES_tradnl"/>
        </w:rPr>
        <w:t>§ 1.1.2.</w:t>
      </w:r>
    </w:p>
    <w:p w14:paraId="280AF30F" w14:textId="18F5800B" w:rsidR="002B37E9" w:rsidRPr="006F5C69" w:rsidRDefault="002B37E9" w:rsidP="003B367D">
      <w:pPr>
        <w:keepNext/>
        <w:keepLines/>
        <w:rPr>
          <w:lang w:val="es-ES_tradnl" w:eastAsia="ja-JP"/>
        </w:rPr>
      </w:pPr>
      <w:r w:rsidRPr="00140923">
        <w:rPr>
          <w:lang w:val="es-ES_tradnl"/>
        </w:rPr>
        <w:t xml:space="preserve">La interferencia de corta duración debería considerarse por separado debido a que la potencia de interferencia puede ser suficientemente alta para producir degradación incluso cuando no se ha producido desvanecimiento en la señal deseada. Para resultar aceptable, esa interferencia deberá ocurrir de forma bastante excepcional y en eventos de corta duración. Uno de los criterios de interferencia de corta duración se establece teniendo en cuenta la potencia de interferencia necesaria para provocar un defecto particular de la característica de error (por ejemplo, un segundo con errores) cuando no se ha producido desvanecimiento en la señal deseada. Este es el enfoque adoptado en el </w:t>
      </w:r>
      <w:r w:rsidRPr="006F5C69">
        <w:rPr>
          <w:lang w:val="es-ES_tradnl"/>
        </w:rPr>
        <w:t>Apéndice </w:t>
      </w:r>
      <w:r w:rsidRPr="006479D0">
        <w:rPr>
          <w:b/>
          <w:bCs/>
          <w:lang w:val="es-ES_tradnl"/>
        </w:rPr>
        <w:t>7</w:t>
      </w:r>
      <w:r w:rsidRPr="006F5C69">
        <w:rPr>
          <w:lang w:val="es-ES_tradnl"/>
        </w:rPr>
        <w:t xml:space="preserve"> del RR y en las Recomendaciones </w:t>
      </w:r>
      <w:hyperlink r:id="rId66" w:history="1">
        <w:r w:rsidRPr="006F5C69">
          <w:rPr>
            <w:rStyle w:val="Hyperlink"/>
            <w:color w:val="auto"/>
            <w:u w:val="none"/>
            <w:lang w:val="es-ES_tradnl"/>
          </w:rPr>
          <w:t>UIT-R SM.1448</w:t>
        </w:r>
      </w:hyperlink>
      <w:r w:rsidRPr="006F5C69">
        <w:rPr>
          <w:lang w:val="es-ES_tradnl"/>
        </w:rPr>
        <w:t xml:space="preserve">, </w:t>
      </w:r>
      <w:hyperlink r:id="rId67" w:history="1">
        <w:r w:rsidRPr="006F5C69">
          <w:rPr>
            <w:rStyle w:val="Hyperlink"/>
            <w:color w:val="auto"/>
            <w:u w:val="none"/>
            <w:lang w:val="es-ES_tradnl"/>
          </w:rPr>
          <w:t>UIT-R F.1494</w:t>
        </w:r>
      </w:hyperlink>
      <w:r w:rsidRPr="006F5C69">
        <w:rPr>
          <w:lang w:val="es-ES_tradnl"/>
        </w:rPr>
        <w:t xml:space="preserve">, </w:t>
      </w:r>
      <w:hyperlink r:id="rId68" w:history="1">
        <w:r w:rsidRPr="006F5C69">
          <w:rPr>
            <w:rStyle w:val="Hyperlink"/>
            <w:color w:val="auto"/>
            <w:u w:val="none"/>
            <w:lang w:val="es-ES_tradnl"/>
          </w:rPr>
          <w:t>UIT</w:t>
        </w:r>
        <w:r w:rsidRPr="006F5C69">
          <w:rPr>
            <w:rStyle w:val="Hyperlink"/>
            <w:color w:val="auto"/>
            <w:u w:val="none"/>
            <w:lang w:val="es-ES_tradnl"/>
          </w:rPr>
          <w:noBreakHyphen/>
          <w:t>R F.1495</w:t>
        </w:r>
      </w:hyperlink>
      <w:r w:rsidRPr="006F5C69">
        <w:rPr>
          <w:lang w:val="es-ES_tradnl"/>
        </w:rPr>
        <w:t xml:space="preserve">, </w:t>
      </w:r>
      <w:hyperlink r:id="rId69" w:history="1">
        <w:r w:rsidRPr="006F5C69">
          <w:rPr>
            <w:rStyle w:val="Hyperlink"/>
            <w:color w:val="auto"/>
            <w:u w:val="none"/>
            <w:lang w:val="es-ES_tradnl"/>
          </w:rPr>
          <w:t>UIT</w:t>
        </w:r>
        <w:r w:rsidRPr="006F5C69">
          <w:rPr>
            <w:rStyle w:val="Hyperlink"/>
            <w:color w:val="auto"/>
            <w:u w:val="none"/>
            <w:lang w:val="es-ES_tradnl"/>
          </w:rPr>
          <w:noBreakHyphen/>
          <w:t>R F.1606</w:t>
        </w:r>
      </w:hyperlink>
      <w:r w:rsidRPr="006F5C69">
        <w:rPr>
          <w:lang w:val="es-ES_tradnl"/>
        </w:rPr>
        <w:t xml:space="preserve">, </w:t>
      </w:r>
      <w:hyperlink r:id="rId70" w:history="1">
        <w:r w:rsidRPr="006F5C69">
          <w:rPr>
            <w:rStyle w:val="Hyperlink"/>
            <w:color w:val="auto"/>
            <w:u w:val="none"/>
            <w:lang w:val="es-ES_tradnl"/>
          </w:rPr>
          <w:t>UIT-R F.1669</w:t>
        </w:r>
      </w:hyperlink>
      <w:r w:rsidRPr="006F5C69">
        <w:rPr>
          <w:lang w:val="es-ES_tradnl"/>
        </w:rPr>
        <w:t xml:space="preserve"> y </w:t>
      </w:r>
      <w:hyperlink r:id="rId71" w:history="1">
        <w:r w:rsidRPr="006F5C69">
          <w:rPr>
            <w:rStyle w:val="Hyperlink"/>
            <w:color w:val="auto"/>
            <w:u w:val="none"/>
            <w:lang w:val="es-ES_tradnl"/>
          </w:rPr>
          <w:t>UIT-R SF.1650</w:t>
        </w:r>
      </w:hyperlink>
      <w:r w:rsidRPr="006F5C69">
        <w:rPr>
          <w:lang w:val="es-ES_tradnl"/>
        </w:rPr>
        <w:t>.</w:t>
      </w:r>
    </w:p>
    <w:p w14:paraId="471B4AB5" w14:textId="77777777" w:rsidR="002B37E9" w:rsidRPr="00140923" w:rsidRDefault="002B37E9" w:rsidP="002B37E9">
      <w:pPr>
        <w:rPr>
          <w:lang w:val="es-ES_tradnl"/>
        </w:rPr>
      </w:pPr>
      <w:r w:rsidRPr="00140923">
        <w:rPr>
          <w:lang w:val="es-ES_tradnl"/>
        </w:rPr>
        <w:t>Habida cuenta de que los defectos de característica de error permisibles sólo pueden producirse para porcentajes de tiempo mucho menores del 1% si se quieren lograr los objetivos de característica de error, es necesario que en los estudios de interferencia de corta duración se conozca la potencia de interferencia que supera los porcentajes de tiempo con definición menor del 1%. El criterio de interferencia para un defecto particular de característica de error viene especificado por el nivel de potencia (en relación con el ruido del receptor) y el porcentaje de tiempo atribuido para ese defecto.</w:t>
      </w:r>
    </w:p>
    <w:p w14:paraId="7D0DEDCC" w14:textId="527D3DF4" w:rsidR="002B37E9" w:rsidRPr="006F5C69" w:rsidRDefault="002B37E9" w:rsidP="002B37E9">
      <w:pPr>
        <w:rPr>
          <w:lang w:val="es-ES_tradnl" w:eastAsia="ja-JP"/>
        </w:rPr>
      </w:pPr>
      <w:r w:rsidRPr="00140923">
        <w:rPr>
          <w:lang w:val="es-ES_tradnl"/>
        </w:rPr>
        <w:t xml:space="preserve">En los estudios de compartición y compatibilidad en las bandas de frecuencias en las que el desvanecimiento por trayectos múltiples es la degradación dominante debida a la propagación para los receptores del servicio fijo (principalmente en las bandas de frecuencias inferiores a </w:t>
      </w:r>
      <w:r w:rsidRPr="00140923">
        <w:rPr>
          <w:lang w:val="es-ES_tradnl" w:eastAsia="ja-JP"/>
        </w:rPr>
        <w:t xml:space="preserve">15 GHz), no </w:t>
      </w:r>
      <w:r w:rsidRPr="006F5C69">
        <w:rPr>
          <w:lang w:val="es-ES_tradnl" w:eastAsia="ja-JP"/>
        </w:rPr>
        <w:t xml:space="preserve">hay relación entre los desvanecimientos de los trayectos deseados y los trayectos interferentes. Bajo estas condiciones, la Recomendación </w:t>
      </w:r>
      <w:hyperlink r:id="rId72" w:history="1">
        <w:r w:rsidRPr="006F5C69">
          <w:rPr>
            <w:rStyle w:val="Hyperlink"/>
            <w:color w:val="auto"/>
            <w:u w:val="none"/>
            <w:lang w:val="es-ES_tradnl" w:eastAsia="ja-JP"/>
          </w:rPr>
          <w:t>UIT-R F.1108</w:t>
        </w:r>
      </w:hyperlink>
      <w:r w:rsidRPr="006F5C69">
        <w:rPr>
          <w:lang w:val="es-ES_tradnl" w:eastAsia="ja-JP"/>
        </w:rPr>
        <w:t xml:space="preserve"> introdujo el método de la degradación fraccionaria de la calidad de funcionamiento (DFC), mediante el cual se muestra que es procedente utilizar el valor medio de la potencia de interferencia como valor crítico para la potencia de interferencia a largo plazo. Sin embargo, en este cálculo, la potencia media debe determinarse excluyendo los lapsos de tiempo en que la potencia de interferencia supera el límite utilizado para los criterios de interferencia de corta duración. (En la Recomendación </w:t>
      </w:r>
      <w:hyperlink r:id="rId73" w:history="1">
        <w:r w:rsidR="006F5C69" w:rsidRPr="006F5C69">
          <w:rPr>
            <w:rStyle w:val="Hyperlink"/>
            <w:color w:val="auto"/>
            <w:u w:val="none"/>
            <w:lang w:val="es-ES_tradnl" w:eastAsia="ja-JP"/>
          </w:rPr>
          <w:t>UIT-R F.1108</w:t>
        </w:r>
      </w:hyperlink>
      <w:r w:rsidRPr="006F5C69">
        <w:rPr>
          <w:lang w:val="es-ES_tradnl" w:eastAsia="ja-JP"/>
        </w:rPr>
        <w:t xml:space="preserve"> se muestra un ejemplo pertinente aplicado a satélites no geoestacionarios.)</w:t>
      </w:r>
    </w:p>
    <w:p w14:paraId="03F1965A" w14:textId="37E04ECA" w:rsidR="002B37E9" w:rsidRPr="00140923" w:rsidRDefault="002B37E9" w:rsidP="006479D0">
      <w:pPr>
        <w:rPr>
          <w:lang w:val="es-ES_tradnl" w:eastAsia="ja-JP"/>
        </w:rPr>
      </w:pPr>
      <w:r w:rsidRPr="00140923">
        <w:rPr>
          <w:lang w:val="es-ES_tradnl" w:eastAsia="ja-JP"/>
        </w:rPr>
        <w:t>En las bandas de frecuencias en que la lluvia es el factor dominante de desvanecimiento, no es conveniente utilizar DFC para estudiar la interferencia a largo plazo por dos motivos, a saber:</w:t>
      </w:r>
      <w:r w:rsidR="006479D0">
        <w:rPr>
          <w:lang w:val="es-ES_tradnl" w:eastAsia="ja-JP"/>
        </w:rPr>
        <w:t xml:space="preserve"> </w:t>
      </w:r>
      <w:r w:rsidRPr="00140923">
        <w:rPr>
          <w:lang w:val="es-ES_tradnl" w:eastAsia="ja-JP"/>
        </w:rPr>
        <w:t>1)</w:t>
      </w:r>
      <w:r w:rsidR="006479D0">
        <w:rPr>
          <w:lang w:val="es-ES_tradnl" w:eastAsia="ja-JP"/>
        </w:rPr>
        <w:t xml:space="preserve"> l</w:t>
      </w:r>
      <w:r w:rsidRPr="00140923">
        <w:rPr>
          <w:lang w:val="es-ES_tradnl" w:eastAsia="ja-JP"/>
        </w:rPr>
        <w:t>a distribución del desvanecimiento de la señal deseada debe ser independiente de la distribución de la potencia de interferencia recibida de modo que su densidad conjunta de distribución se pueda representar por el producto de las densidades individuales de distribución</w:t>
      </w:r>
      <w:r w:rsidR="006479D0">
        <w:rPr>
          <w:lang w:val="es-ES_tradnl" w:eastAsia="ja-JP"/>
        </w:rPr>
        <w:t xml:space="preserve">; </w:t>
      </w:r>
      <w:r w:rsidRPr="00140923">
        <w:rPr>
          <w:lang w:val="es-ES_tradnl" w:eastAsia="ja-JP"/>
        </w:rPr>
        <w:t>2)</w:t>
      </w:r>
      <w:r w:rsidR="006479D0">
        <w:rPr>
          <w:lang w:val="es-ES_tradnl" w:eastAsia="ja-JP"/>
        </w:rPr>
        <w:t xml:space="preserve"> e</w:t>
      </w:r>
      <w:r w:rsidRPr="00140923">
        <w:rPr>
          <w:lang w:val="es-ES_tradnl" w:eastAsia="ja-JP"/>
        </w:rPr>
        <w:t>l porcentaje de tiempo en que se supera una profundidad de desvanecimiento de la señal deseada debe disminuir en un factor de 10 para un aumento de 10 dB en la profundidad de desvanecimiento.</w:t>
      </w:r>
      <w:r w:rsidR="006479D0">
        <w:rPr>
          <w:lang w:val="es-ES_tradnl" w:eastAsia="ja-JP"/>
        </w:rPr>
        <w:t xml:space="preserve"> </w:t>
      </w:r>
      <w:r w:rsidRPr="00140923">
        <w:rPr>
          <w:lang w:val="es-ES_tradnl" w:eastAsia="ja-JP"/>
        </w:rPr>
        <w:t xml:space="preserve">Esta es la característica del desvanecimiento por trayectos múltiples señalada en la Recomendación </w:t>
      </w:r>
      <w:hyperlink r:id="rId74" w:history="1">
        <w:r w:rsidRPr="006479D0">
          <w:rPr>
            <w:rStyle w:val="Hyperlink"/>
            <w:color w:val="auto"/>
            <w:u w:val="none"/>
            <w:lang w:val="es-ES_tradnl" w:eastAsia="ja-JP"/>
          </w:rPr>
          <w:t>UIT-R P.530</w:t>
        </w:r>
      </w:hyperlink>
      <w:r w:rsidRPr="00140923">
        <w:rPr>
          <w:lang w:val="es-ES_tradnl" w:eastAsia="ja-JP"/>
        </w:rPr>
        <w:t>. En esas bandas, se considera suficiente garantizar que toda degradación de los requisitos de característica de error y de disponibilidad atribuidos a la interferencia a largo plazo se cumplan utilizando el nivel de la interferencia variable en el tiempo que represente el 20% de definición de tiempo para el criterio de interferencia a largo plazo, y que la distribución de la potencia de interferencia cumpla los criterios de degradación de la característica de error elaborados para la interferencia de corta duración. Cuando el porcentaje de tiempo de la potencia de interferencia esté entre el definido para los criterios de corta duración (&lt; 1% del tiempo) y el definido para los criterios a largo plazo (&gt; 20% del tiempo), la evaluación se podría realizar caso por caso, pero también habría que tener en cuenta tales consideraciones cuando se alcancen niveles de potencia de interferencia menores de los previstos para el 20% del tiempo.</w:t>
      </w:r>
    </w:p>
    <w:p w14:paraId="6621B330" w14:textId="77777777" w:rsidR="002B37E9" w:rsidRPr="00140923" w:rsidRDefault="002B37E9" w:rsidP="006F5C69">
      <w:pPr>
        <w:keepNext/>
        <w:keepLines/>
        <w:rPr>
          <w:lang w:val="es-ES_tradnl" w:eastAsia="ja-JP"/>
        </w:rPr>
      </w:pPr>
      <w:r w:rsidRPr="00140923">
        <w:rPr>
          <w:lang w:val="es-ES_tradnl" w:eastAsia="ja-JP"/>
        </w:rPr>
        <w:lastRenderedPageBreak/>
        <w:t>En el caso de las emisiones interferentes de impulsos continuos o en ráfagas, su efecto en los sistemas del servicio fijo debería calcularse en función del mecanismo de acoplamiento para la interferencia y no de las características del ciclo de trabajo de la señal interferente. (Por ejemplo, una emisión de radar con un ciclo de trabajo menor del 1% debería evaluarse como interferencia a largo plazo y/o como interferencia de corta duración, según proceda.)</w:t>
      </w:r>
    </w:p>
    <w:p w14:paraId="35E436FE" w14:textId="77777777" w:rsidR="002B37E9" w:rsidRPr="00140923" w:rsidRDefault="002B37E9" w:rsidP="002B37E9">
      <w:pPr>
        <w:rPr>
          <w:lang w:val="es-ES_tradnl" w:eastAsia="ja-JP"/>
        </w:rPr>
      </w:pPr>
      <w:r w:rsidRPr="00140923">
        <w:rPr>
          <w:lang w:val="es-ES_tradnl"/>
        </w:rPr>
        <w:t>El número y los valores de los criterios de interferencia necesarios para proteger un sistema inalámbrico fijo dependerán de las características de dicho sistema y de la fuente de interferencia. En el caso de la interferencia variable en el tiempo, puede que no resulte adecuado un solo criterio de interferencia; en algunas Recomendaciones se han especificado dos o tres valores, correspondientes a la interferencia a largo plazo (20% del tiempo) y de corta duración (&lt; 1% del tiempo).</w:t>
      </w:r>
    </w:p>
    <w:p w14:paraId="0F1E8019" w14:textId="77777777" w:rsidR="002B37E9" w:rsidRPr="00140923" w:rsidRDefault="002B37E9" w:rsidP="002B37E9">
      <w:pPr>
        <w:rPr>
          <w:lang w:val="es-ES_tradnl" w:eastAsia="ja-JP"/>
        </w:rPr>
      </w:pPr>
      <w:r w:rsidRPr="00140923">
        <w:rPr>
          <w:lang w:val="es-ES_tradnl"/>
        </w:rPr>
        <w:t>Cabe observar que los eventos en que la característica de error se degrada son eventos de muy corta duración a causa de los requisitos estrictos para lograr los objetivos de característica de error.</w:t>
      </w:r>
    </w:p>
    <w:p w14:paraId="2025000C" w14:textId="0C763F65" w:rsidR="002B37E9" w:rsidRPr="006F5C69" w:rsidRDefault="002B37E9" w:rsidP="002B37E9">
      <w:pPr>
        <w:rPr>
          <w:lang w:val="es-ES_tradnl" w:eastAsia="ja-JP"/>
        </w:rPr>
      </w:pPr>
      <w:r w:rsidRPr="00140923">
        <w:rPr>
          <w:lang w:val="es-ES_tradnl"/>
        </w:rPr>
        <w:t xml:space="preserve">El número de criterios de interferencia de corta duración corresponde al número de criterios de característica de error adecuados para el escenario de compartición. El porcentaje exacto de tiempo conexo al criterio de interferencia de corta duración está relacionado con el objetivo de calidad de funcionamiento para el sistema objeto de estudio; se puede consultar más información sobre el </w:t>
      </w:r>
      <w:r w:rsidRPr="006F5C69">
        <w:rPr>
          <w:lang w:val="es-ES_tradnl"/>
        </w:rPr>
        <w:t xml:space="preserve">cumplimiento de los objetivos de interferencia de corta duración en las Recomendaciones </w:t>
      </w:r>
      <w:hyperlink r:id="rId75" w:history="1">
        <w:r w:rsidRPr="006F5C69">
          <w:rPr>
            <w:rStyle w:val="Hyperlink"/>
            <w:color w:val="auto"/>
            <w:u w:val="none"/>
            <w:lang w:val="es-ES_tradnl"/>
          </w:rPr>
          <w:t>UIT</w:t>
        </w:r>
        <w:r w:rsidRPr="006F5C69">
          <w:rPr>
            <w:rStyle w:val="Hyperlink"/>
            <w:color w:val="auto"/>
            <w:u w:val="none"/>
            <w:lang w:val="es-ES_tradnl"/>
          </w:rPr>
          <w:noBreakHyphen/>
          <w:t>R F.1494</w:t>
        </w:r>
      </w:hyperlink>
      <w:r w:rsidRPr="006F5C69">
        <w:rPr>
          <w:lang w:val="es-ES_tradnl"/>
        </w:rPr>
        <w:t xml:space="preserve">, </w:t>
      </w:r>
      <w:hyperlink r:id="rId76" w:history="1">
        <w:r w:rsidRPr="006F5C69">
          <w:rPr>
            <w:rStyle w:val="Hyperlink"/>
            <w:color w:val="auto"/>
            <w:u w:val="none"/>
            <w:lang w:val="es-ES_tradnl"/>
          </w:rPr>
          <w:t>UIT-R F.1495</w:t>
        </w:r>
      </w:hyperlink>
      <w:r w:rsidRPr="006F5C69">
        <w:rPr>
          <w:lang w:val="es-ES_tradnl"/>
        </w:rPr>
        <w:t xml:space="preserve"> y </w:t>
      </w:r>
      <w:hyperlink r:id="rId77" w:history="1">
        <w:r w:rsidRPr="006F5C69">
          <w:rPr>
            <w:rStyle w:val="Hyperlink"/>
            <w:color w:val="auto"/>
            <w:u w:val="none"/>
            <w:lang w:val="es-ES_tradnl"/>
          </w:rPr>
          <w:t>UIT-R F.1606</w:t>
        </w:r>
      </w:hyperlink>
      <w:r w:rsidRPr="006F5C69">
        <w:rPr>
          <w:lang w:val="es-ES_tradnl"/>
        </w:rPr>
        <w:t>, todas las cuales tratan criterios de protección aplicables a la interferencia variable en el tiempo.</w:t>
      </w:r>
    </w:p>
    <w:p w14:paraId="467F9258" w14:textId="77777777" w:rsidR="002B37E9" w:rsidRPr="00140923" w:rsidRDefault="002B37E9" w:rsidP="002B37E9">
      <w:pPr>
        <w:rPr>
          <w:lang w:val="es-ES_tradnl" w:eastAsia="ja-JP"/>
        </w:rPr>
      </w:pPr>
      <w:r w:rsidRPr="00140923">
        <w:rPr>
          <w:lang w:val="es-ES_tradnl"/>
        </w:rPr>
        <w:t>En el Cuadro 1 se recogen las referencias relativas a los objetivos de calidad de funcionamiento/</w:t>
      </w:r>
      <w:r w:rsidRPr="00140923">
        <w:rPr>
          <w:lang w:val="es-ES_tradnl"/>
        </w:rPr>
        <w:br/>
        <w:t>disponibilidad y a la compartición entre el servicio fijo y otros servicios primarios en relación con la interferencia provocada en el servicio fijo.</w:t>
      </w:r>
    </w:p>
    <w:p w14:paraId="271E0679" w14:textId="77777777" w:rsidR="002B37E9" w:rsidRPr="00140923" w:rsidRDefault="002B37E9" w:rsidP="002B37E9">
      <w:pPr>
        <w:rPr>
          <w:lang w:val="es-ES_tradnl" w:eastAsia="ja-JP"/>
        </w:rPr>
      </w:pPr>
      <w:r w:rsidRPr="00140923">
        <w:rPr>
          <w:lang w:val="es-ES_tradnl"/>
        </w:rPr>
        <w:t>Los objetivos de característica de error y de disponibilidad se pueden cumplir independientemente de si son el resultado de la interferencia de corta duración como de la interferencia a largo plazo.</w:t>
      </w:r>
    </w:p>
    <w:p w14:paraId="45EB14E4" w14:textId="77777777" w:rsidR="002B37E9" w:rsidRPr="00140923" w:rsidRDefault="002B37E9" w:rsidP="002B37E9">
      <w:pPr>
        <w:pStyle w:val="TableNo"/>
        <w:rPr>
          <w:lang w:val="es-ES_tradnl" w:eastAsia="ja-JP"/>
        </w:rPr>
      </w:pPr>
      <w:r w:rsidRPr="00140923">
        <w:rPr>
          <w:lang w:val="es-ES_tradnl"/>
        </w:rPr>
        <w:t>CUADRO 1</w:t>
      </w:r>
    </w:p>
    <w:p w14:paraId="668D4CDC" w14:textId="77777777" w:rsidR="002B37E9" w:rsidRPr="00140923" w:rsidRDefault="002B37E9" w:rsidP="002B37E9">
      <w:pPr>
        <w:pStyle w:val="Tabletitle"/>
        <w:rPr>
          <w:lang w:val="es-ES_tradnl"/>
        </w:rPr>
      </w:pPr>
      <w:r w:rsidRPr="00140923">
        <w:rPr>
          <w:lang w:val="es-ES_tradnl"/>
        </w:rPr>
        <w:t xml:space="preserve">Recomendaciones del UIT-R relativas a la compartición de frecuencias </w:t>
      </w:r>
      <w:r w:rsidRPr="00140923">
        <w:rPr>
          <w:lang w:val="es-ES_tradnl"/>
        </w:rPr>
        <w:br/>
        <w:t>entre el servicio fijo y otros servicios primarios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72"/>
        <w:gridCol w:w="7773"/>
      </w:tblGrid>
      <w:tr w:rsidR="002B37E9" w:rsidRPr="00140923" w14:paraId="5957CA4B" w14:textId="77777777" w:rsidTr="00226764">
        <w:trPr>
          <w:cantSplit/>
          <w:trHeight w:val="20"/>
          <w:tblHeader/>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14:paraId="55CA928D" w14:textId="77777777" w:rsidR="002B37E9" w:rsidRPr="00140923" w:rsidRDefault="002B37E9" w:rsidP="00226764">
            <w:pPr>
              <w:pStyle w:val="Tablehead"/>
              <w:rPr>
                <w:lang w:val="es-ES_tradnl"/>
              </w:rPr>
            </w:pPr>
            <w:r w:rsidRPr="00140923">
              <w:rPr>
                <w:lang w:val="es-ES_tradnl"/>
              </w:rPr>
              <w:t>Recomendación UIT-R</w:t>
            </w:r>
          </w:p>
        </w:tc>
        <w:tc>
          <w:tcPr>
            <w:tcW w:w="7773" w:type="dxa"/>
            <w:tcBorders>
              <w:top w:val="single" w:sz="4" w:space="0" w:color="auto"/>
              <w:left w:val="single" w:sz="4" w:space="0" w:color="auto"/>
              <w:bottom w:val="single" w:sz="4" w:space="0" w:color="auto"/>
              <w:right w:val="single" w:sz="4" w:space="0" w:color="auto"/>
            </w:tcBorders>
            <w:vAlign w:val="center"/>
            <w:hideMark/>
          </w:tcPr>
          <w:p w14:paraId="57650403" w14:textId="77777777" w:rsidR="002B37E9" w:rsidRPr="00140923" w:rsidRDefault="002B37E9" w:rsidP="00226764">
            <w:pPr>
              <w:pStyle w:val="Tablehead"/>
              <w:rPr>
                <w:lang w:val="es-ES_tradnl"/>
              </w:rPr>
            </w:pPr>
            <w:r w:rsidRPr="00140923">
              <w:rPr>
                <w:lang w:val="es-ES_tradnl"/>
              </w:rPr>
              <w:t>Título</w:t>
            </w:r>
          </w:p>
        </w:tc>
      </w:tr>
      <w:tr w:rsidR="002B37E9" w:rsidRPr="00140923" w14:paraId="6C0B1998" w14:textId="77777777" w:rsidTr="00226764">
        <w:trPr>
          <w:cantSplit/>
          <w:trHeight w:val="20"/>
          <w:jc w:val="center"/>
        </w:trPr>
        <w:tc>
          <w:tcPr>
            <w:tcW w:w="1872" w:type="dxa"/>
            <w:tcBorders>
              <w:top w:val="single" w:sz="4" w:space="0" w:color="auto"/>
              <w:left w:val="single" w:sz="4" w:space="0" w:color="auto"/>
              <w:bottom w:val="single" w:sz="4" w:space="0" w:color="auto"/>
              <w:right w:val="single" w:sz="4" w:space="0" w:color="auto"/>
            </w:tcBorders>
            <w:hideMark/>
          </w:tcPr>
          <w:p w14:paraId="17F88BF8" w14:textId="77777777" w:rsidR="002B37E9" w:rsidRPr="00140923" w:rsidRDefault="002B37E9" w:rsidP="00226764">
            <w:pPr>
              <w:pStyle w:val="Tabletext"/>
              <w:jc w:val="center"/>
              <w:rPr>
                <w:lang w:val="es-ES_tradnl"/>
              </w:rPr>
            </w:pPr>
            <w:r w:rsidRPr="00140923">
              <w:rPr>
                <w:lang w:val="es-ES_tradnl"/>
              </w:rPr>
              <w:t>F.1094</w:t>
            </w:r>
          </w:p>
        </w:tc>
        <w:tc>
          <w:tcPr>
            <w:tcW w:w="7773" w:type="dxa"/>
            <w:tcBorders>
              <w:top w:val="single" w:sz="4" w:space="0" w:color="auto"/>
              <w:left w:val="single" w:sz="4" w:space="0" w:color="auto"/>
              <w:bottom w:val="single" w:sz="4" w:space="0" w:color="auto"/>
              <w:right w:val="single" w:sz="4" w:space="0" w:color="auto"/>
            </w:tcBorders>
            <w:hideMark/>
          </w:tcPr>
          <w:p w14:paraId="351E7213" w14:textId="77777777" w:rsidR="002B37E9" w:rsidRPr="00140923" w:rsidRDefault="002B37E9" w:rsidP="006F5C69">
            <w:pPr>
              <w:pStyle w:val="Tabletext"/>
              <w:jc w:val="left"/>
              <w:rPr>
                <w:lang w:val="es-ES_tradnl"/>
              </w:rPr>
            </w:pPr>
            <w:r w:rsidRPr="00140923">
              <w:rPr>
                <w:lang w:val="es-ES_tradnl"/>
              </w:rPr>
              <w:t>Valores máximos admisibles de las degradaciones de la característica de error y de la disponibilidad en los sistemas de radioenlaces digitales provocadas por la interferencia procedente de emisiones y radiaciones de otras fuentes</w:t>
            </w:r>
          </w:p>
        </w:tc>
      </w:tr>
      <w:tr w:rsidR="002B37E9" w:rsidRPr="00140923" w14:paraId="2EEE12CC" w14:textId="77777777" w:rsidTr="00226764">
        <w:trPr>
          <w:cantSplit/>
          <w:trHeight w:val="20"/>
          <w:jc w:val="center"/>
        </w:trPr>
        <w:tc>
          <w:tcPr>
            <w:tcW w:w="1872" w:type="dxa"/>
            <w:tcBorders>
              <w:top w:val="single" w:sz="4" w:space="0" w:color="auto"/>
              <w:left w:val="single" w:sz="4" w:space="0" w:color="auto"/>
              <w:bottom w:val="single" w:sz="4" w:space="0" w:color="auto"/>
              <w:right w:val="single" w:sz="4" w:space="0" w:color="auto"/>
            </w:tcBorders>
            <w:hideMark/>
          </w:tcPr>
          <w:p w14:paraId="00E1BC22" w14:textId="77777777" w:rsidR="002B37E9" w:rsidRPr="00140923" w:rsidRDefault="002B37E9" w:rsidP="00226764">
            <w:pPr>
              <w:pStyle w:val="Tabletext"/>
              <w:jc w:val="center"/>
              <w:rPr>
                <w:lang w:val="es-ES_tradnl" w:eastAsia="ja-JP"/>
              </w:rPr>
            </w:pPr>
            <w:r w:rsidRPr="00140923">
              <w:rPr>
                <w:lang w:val="es-ES_tradnl" w:eastAsia="ja-JP"/>
              </w:rPr>
              <w:t>F.1108</w:t>
            </w:r>
          </w:p>
        </w:tc>
        <w:tc>
          <w:tcPr>
            <w:tcW w:w="7773" w:type="dxa"/>
            <w:tcBorders>
              <w:top w:val="single" w:sz="4" w:space="0" w:color="auto"/>
              <w:left w:val="single" w:sz="4" w:space="0" w:color="auto"/>
              <w:bottom w:val="single" w:sz="4" w:space="0" w:color="auto"/>
              <w:right w:val="single" w:sz="4" w:space="0" w:color="auto"/>
            </w:tcBorders>
            <w:hideMark/>
          </w:tcPr>
          <w:p w14:paraId="6EFB04A5" w14:textId="77777777" w:rsidR="002B37E9" w:rsidRPr="00140923" w:rsidRDefault="002B37E9" w:rsidP="006F5C69">
            <w:pPr>
              <w:pStyle w:val="Tabletext"/>
              <w:jc w:val="left"/>
              <w:rPr>
                <w:lang w:val="es-ES_tradnl"/>
              </w:rPr>
            </w:pPr>
            <w:r w:rsidRPr="00140923">
              <w:rPr>
                <w:lang w:val="es-ES_tradnl"/>
              </w:rPr>
              <w:t>Determinación de los criterios para proteger los receptores del servicio fijo contra las emisiones procedentes de estaciones espaciales situadas en órbitas de satélites no geoestacionarios y que funcionan en bandas de frecuencias compartidas</w:t>
            </w:r>
          </w:p>
        </w:tc>
      </w:tr>
      <w:tr w:rsidR="002B37E9" w:rsidRPr="00140923" w14:paraId="3BED63A0" w14:textId="77777777" w:rsidTr="00226764">
        <w:trPr>
          <w:cantSplit/>
          <w:trHeight w:val="20"/>
          <w:jc w:val="center"/>
        </w:trPr>
        <w:tc>
          <w:tcPr>
            <w:tcW w:w="1872" w:type="dxa"/>
            <w:tcBorders>
              <w:top w:val="single" w:sz="4" w:space="0" w:color="auto"/>
              <w:left w:val="single" w:sz="4" w:space="0" w:color="auto"/>
              <w:bottom w:val="single" w:sz="4" w:space="0" w:color="auto"/>
              <w:right w:val="single" w:sz="4" w:space="0" w:color="auto"/>
            </w:tcBorders>
            <w:hideMark/>
          </w:tcPr>
          <w:p w14:paraId="7E53EDDA" w14:textId="77777777" w:rsidR="002B37E9" w:rsidRPr="00140923" w:rsidRDefault="002B37E9" w:rsidP="00226764">
            <w:pPr>
              <w:pStyle w:val="Tabletext"/>
              <w:jc w:val="center"/>
              <w:rPr>
                <w:lang w:val="es-ES_tradnl"/>
              </w:rPr>
            </w:pPr>
            <w:r w:rsidRPr="00140923">
              <w:rPr>
                <w:lang w:val="es-ES_tradnl" w:eastAsia="ja-JP"/>
              </w:rPr>
              <w:t>F.1334</w:t>
            </w:r>
          </w:p>
        </w:tc>
        <w:tc>
          <w:tcPr>
            <w:tcW w:w="7773" w:type="dxa"/>
            <w:tcBorders>
              <w:top w:val="single" w:sz="4" w:space="0" w:color="auto"/>
              <w:left w:val="single" w:sz="4" w:space="0" w:color="auto"/>
              <w:bottom w:val="single" w:sz="4" w:space="0" w:color="auto"/>
              <w:right w:val="single" w:sz="4" w:space="0" w:color="auto"/>
            </w:tcBorders>
            <w:hideMark/>
          </w:tcPr>
          <w:p w14:paraId="74D8CAEA" w14:textId="77777777" w:rsidR="002B37E9" w:rsidRPr="00140923" w:rsidRDefault="002B37E9" w:rsidP="006F5C69">
            <w:pPr>
              <w:pStyle w:val="Tabletext"/>
              <w:jc w:val="left"/>
              <w:rPr>
                <w:lang w:val="es-ES_tradnl"/>
              </w:rPr>
            </w:pPr>
            <w:r w:rsidRPr="00140923">
              <w:rPr>
                <w:lang w:val="es-ES_tradnl"/>
              </w:rPr>
              <w:t>Criterios de protección para sistemas del servicio fijo que comparten las mismas bandas de frecuencias en la gama de 1 a 3 GHz con el servicio móvil terrestre</w:t>
            </w:r>
          </w:p>
        </w:tc>
      </w:tr>
      <w:tr w:rsidR="002B37E9" w:rsidRPr="00140923" w14:paraId="4199EB5F" w14:textId="77777777" w:rsidTr="00226764">
        <w:trPr>
          <w:cantSplit/>
          <w:trHeight w:val="20"/>
          <w:jc w:val="center"/>
        </w:trPr>
        <w:tc>
          <w:tcPr>
            <w:tcW w:w="1872" w:type="dxa"/>
            <w:tcBorders>
              <w:top w:val="single" w:sz="4" w:space="0" w:color="auto"/>
              <w:left w:val="single" w:sz="4" w:space="0" w:color="auto"/>
              <w:bottom w:val="single" w:sz="4" w:space="0" w:color="auto"/>
              <w:right w:val="single" w:sz="4" w:space="0" w:color="auto"/>
            </w:tcBorders>
            <w:hideMark/>
          </w:tcPr>
          <w:p w14:paraId="1D13CB44" w14:textId="77777777" w:rsidR="002B37E9" w:rsidRPr="00140923" w:rsidRDefault="002B37E9" w:rsidP="00226764">
            <w:pPr>
              <w:pStyle w:val="Tabletext"/>
              <w:jc w:val="center"/>
              <w:rPr>
                <w:lang w:val="es-ES_tradnl"/>
              </w:rPr>
            </w:pPr>
            <w:r w:rsidRPr="00140923">
              <w:rPr>
                <w:lang w:val="es-ES_tradnl" w:eastAsia="ja-JP"/>
              </w:rPr>
              <w:t>F.1338</w:t>
            </w:r>
          </w:p>
        </w:tc>
        <w:tc>
          <w:tcPr>
            <w:tcW w:w="7773" w:type="dxa"/>
            <w:tcBorders>
              <w:top w:val="single" w:sz="4" w:space="0" w:color="auto"/>
              <w:left w:val="single" w:sz="4" w:space="0" w:color="auto"/>
              <w:bottom w:val="single" w:sz="4" w:space="0" w:color="auto"/>
              <w:right w:val="single" w:sz="4" w:space="0" w:color="auto"/>
            </w:tcBorders>
            <w:hideMark/>
          </w:tcPr>
          <w:p w14:paraId="1B69B6E3" w14:textId="77777777" w:rsidR="002B37E9" w:rsidRPr="00140923" w:rsidRDefault="002B37E9" w:rsidP="006F5C69">
            <w:pPr>
              <w:pStyle w:val="Tabletext"/>
              <w:jc w:val="left"/>
              <w:rPr>
                <w:lang w:val="es-ES_tradnl"/>
              </w:rPr>
            </w:pPr>
            <w:r w:rsidRPr="00140923">
              <w:rPr>
                <w:lang w:val="es-ES_tradnl"/>
              </w:rPr>
              <w:t>Niveles umbrales para determinar la necesidad de coordinación entre determinados sistemas del servicio de radiodifusión por satélite (sonora) en la órbita de los satélites geoestacionarios para las transmisiones espacio-Tierra y el servicio fijo en la banda 1 452</w:t>
            </w:r>
            <w:r w:rsidRPr="00140923">
              <w:rPr>
                <w:lang w:val="es-ES_tradnl"/>
              </w:rPr>
              <w:noBreakHyphen/>
              <w:t>1 492 MHz</w:t>
            </w:r>
          </w:p>
        </w:tc>
      </w:tr>
      <w:tr w:rsidR="002B37E9" w:rsidRPr="00140923" w14:paraId="1E374B4D" w14:textId="77777777" w:rsidTr="00226764">
        <w:trPr>
          <w:cantSplit/>
          <w:trHeight w:val="20"/>
          <w:jc w:val="center"/>
        </w:trPr>
        <w:tc>
          <w:tcPr>
            <w:tcW w:w="1872" w:type="dxa"/>
            <w:tcBorders>
              <w:top w:val="single" w:sz="4" w:space="0" w:color="auto"/>
              <w:left w:val="single" w:sz="4" w:space="0" w:color="auto"/>
              <w:bottom w:val="single" w:sz="4" w:space="0" w:color="auto"/>
              <w:right w:val="single" w:sz="4" w:space="0" w:color="auto"/>
            </w:tcBorders>
            <w:hideMark/>
          </w:tcPr>
          <w:p w14:paraId="48E76B3C" w14:textId="77777777" w:rsidR="002B37E9" w:rsidRPr="00140923" w:rsidRDefault="002B37E9" w:rsidP="00226764">
            <w:pPr>
              <w:pStyle w:val="Tabletext"/>
              <w:jc w:val="center"/>
              <w:rPr>
                <w:lang w:val="es-ES_tradnl"/>
              </w:rPr>
            </w:pPr>
            <w:r w:rsidRPr="00140923">
              <w:rPr>
                <w:lang w:val="es-ES_tradnl"/>
              </w:rPr>
              <w:t>F.1494</w:t>
            </w:r>
          </w:p>
        </w:tc>
        <w:tc>
          <w:tcPr>
            <w:tcW w:w="7773" w:type="dxa"/>
            <w:tcBorders>
              <w:top w:val="single" w:sz="4" w:space="0" w:color="auto"/>
              <w:left w:val="single" w:sz="4" w:space="0" w:color="auto"/>
              <w:bottom w:val="single" w:sz="4" w:space="0" w:color="auto"/>
              <w:right w:val="single" w:sz="4" w:space="0" w:color="auto"/>
            </w:tcBorders>
            <w:hideMark/>
          </w:tcPr>
          <w:p w14:paraId="7109C0D3" w14:textId="77777777" w:rsidR="002B37E9" w:rsidRPr="00140923" w:rsidRDefault="002B37E9" w:rsidP="006F5C69">
            <w:pPr>
              <w:pStyle w:val="Tabletext"/>
              <w:jc w:val="left"/>
              <w:rPr>
                <w:lang w:val="es-ES_tradnl"/>
              </w:rPr>
            </w:pPr>
            <w:r w:rsidRPr="00140923">
              <w:rPr>
                <w:lang w:val="es-ES_tradnl"/>
              </w:rPr>
              <w:t>Criterios de interferencia para proteger el servicio fijo contra la interferencia combinada variable en el tiempo procedente de otros servicios que comparten la banda 10,7</w:t>
            </w:r>
            <w:r w:rsidRPr="00140923">
              <w:rPr>
                <w:lang w:val="es-ES_tradnl"/>
              </w:rPr>
              <w:noBreakHyphen/>
              <w:t>12,75 GHz a título igualmente primario</w:t>
            </w:r>
          </w:p>
        </w:tc>
      </w:tr>
    </w:tbl>
    <w:p w14:paraId="103A4CC8" w14:textId="12FBD286" w:rsidR="006F5C69" w:rsidRDefault="006F5C69" w:rsidP="006F5C69">
      <w:pPr>
        <w:pStyle w:val="TableNo"/>
      </w:pPr>
      <w:r w:rsidRPr="00140923">
        <w:rPr>
          <w:lang w:val="es-ES_tradnl"/>
        </w:rPr>
        <w:lastRenderedPageBreak/>
        <w:t>CUADRO 1 (</w:t>
      </w:r>
      <w:r w:rsidRPr="00140923">
        <w:rPr>
          <w:i/>
          <w:iCs/>
          <w:lang w:val="es-ES_tradnl"/>
        </w:rPr>
        <w:t>fin</w:t>
      </w:r>
      <w:r w:rsidRPr="00140923">
        <w:rPr>
          <w:lang w:val="es-ES_tradnl"/>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72"/>
        <w:gridCol w:w="7773"/>
      </w:tblGrid>
      <w:tr w:rsidR="006F5C69" w:rsidRPr="00140923" w14:paraId="1428FB0E" w14:textId="77777777" w:rsidTr="00F15E98">
        <w:trPr>
          <w:cantSplit/>
          <w:trHeight w:val="20"/>
          <w:tblHeader/>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14:paraId="735308AE" w14:textId="77777777" w:rsidR="006F5C69" w:rsidRPr="00140923" w:rsidRDefault="006F5C69" w:rsidP="00F15E98">
            <w:pPr>
              <w:pStyle w:val="Tablehead"/>
              <w:rPr>
                <w:lang w:val="es-ES_tradnl"/>
              </w:rPr>
            </w:pPr>
            <w:r w:rsidRPr="00140923">
              <w:rPr>
                <w:lang w:val="es-ES_tradnl"/>
              </w:rPr>
              <w:t>Recomendación UIT-R</w:t>
            </w:r>
          </w:p>
        </w:tc>
        <w:tc>
          <w:tcPr>
            <w:tcW w:w="7773" w:type="dxa"/>
            <w:tcBorders>
              <w:top w:val="single" w:sz="4" w:space="0" w:color="auto"/>
              <w:left w:val="single" w:sz="4" w:space="0" w:color="auto"/>
              <w:bottom w:val="single" w:sz="4" w:space="0" w:color="auto"/>
              <w:right w:val="single" w:sz="4" w:space="0" w:color="auto"/>
            </w:tcBorders>
            <w:vAlign w:val="center"/>
            <w:hideMark/>
          </w:tcPr>
          <w:p w14:paraId="5380EDA0" w14:textId="77777777" w:rsidR="006F5C69" w:rsidRPr="00140923" w:rsidRDefault="006F5C69" w:rsidP="00F15E98">
            <w:pPr>
              <w:pStyle w:val="Tablehead"/>
              <w:rPr>
                <w:lang w:val="es-ES_tradnl"/>
              </w:rPr>
            </w:pPr>
            <w:r w:rsidRPr="00140923">
              <w:rPr>
                <w:lang w:val="es-ES_tradnl"/>
              </w:rPr>
              <w:t>Título</w:t>
            </w:r>
          </w:p>
        </w:tc>
      </w:tr>
      <w:tr w:rsidR="002B37E9" w:rsidRPr="00140923" w14:paraId="219D3CBD" w14:textId="77777777" w:rsidTr="00226764">
        <w:trPr>
          <w:cantSplit/>
          <w:trHeight w:val="20"/>
          <w:jc w:val="center"/>
        </w:trPr>
        <w:tc>
          <w:tcPr>
            <w:tcW w:w="1872" w:type="dxa"/>
            <w:tcBorders>
              <w:top w:val="single" w:sz="4" w:space="0" w:color="auto"/>
              <w:left w:val="single" w:sz="4" w:space="0" w:color="auto"/>
              <w:bottom w:val="single" w:sz="4" w:space="0" w:color="auto"/>
              <w:right w:val="single" w:sz="4" w:space="0" w:color="auto"/>
            </w:tcBorders>
            <w:hideMark/>
          </w:tcPr>
          <w:p w14:paraId="4A508B22" w14:textId="77777777" w:rsidR="002B37E9" w:rsidRPr="00140923" w:rsidRDefault="002B37E9" w:rsidP="00226764">
            <w:pPr>
              <w:pStyle w:val="Tabletext"/>
              <w:jc w:val="center"/>
              <w:rPr>
                <w:lang w:val="es-ES_tradnl"/>
              </w:rPr>
            </w:pPr>
            <w:r w:rsidRPr="00140923">
              <w:rPr>
                <w:lang w:val="es-ES_tradnl"/>
              </w:rPr>
              <w:t>F.1495</w:t>
            </w:r>
          </w:p>
        </w:tc>
        <w:tc>
          <w:tcPr>
            <w:tcW w:w="7773" w:type="dxa"/>
            <w:tcBorders>
              <w:top w:val="single" w:sz="4" w:space="0" w:color="auto"/>
              <w:left w:val="single" w:sz="4" w:space="0" w:color="auto"/>
              <w:bottom w:val="single" w:sz="4" w:space="0" w:color="auto"/>
              <w:right w:val="single" w:sz="4" w:space="0" w:color="auto"/>
            </w:tcBorders>
            <w:hideMark/>
          </w:tcPr>
          <w:p w14:paraId="0EF6801B" w14:textId="77777777" w:rsidR="002B37E9" w:rsidRPr="00140923" w:rsidRDefault="002B37E9" w:rsidP="006F5C69">
            <w:pPr>
              <w:pStyle w:val="Tabletext"/>
              <w:jc w:val="left"/>
              <w:rPr>
                <w:lang w:val="es-ES_tradnl"/>
              </w:rPr>
            </w:pPr>
            <w:r w:rsidRPr="00140923">
              <w:rPr>
                <w:lang w:val="es-ES_tradnl"/>
              </w:rPr>
              <w:t>Criterios de interferencia para proteger el servicio fijo de la interferencia combinada variable en el tiempo procedente de los otros servicios que comparten la banda 17,7</w:t>
            </w:r>
            <w:r w:rsidRPr="00140923">
              <w:rPr>
                <w:lang w:val="es-ES_tradnl"/>
              </w:rPr>
              <w:noBreakHyphen/>
              <w:t>19,3 GHz a título primario</w:t>
            </w:r>
          </w:p>
        </w:tc>
      </w:tr>
      <w:tr w:rsidR="002B37E9" w:rsidRPr="00140923" w14:paraId="7CB8D921" w14:textId="77777777" w:rsidTr="00226764">
        <w:trPr>
          <w:cantSplit/>
          <w:trHeight w:val="20"/>
          <w:jc w:val="center"/>
        </w:trPr>
        <w:tc>
          <w:tcPr>
            <w:tcW w:w="1872" w:type="dxa"/>
            <w:tcBorders>
              <w:top w:val="single" w:sz="4" w:space="0" w:color="auto"/>
              <w:left w:val="single" w:sz="4" w:space="0" w:color="auto"/>
              <w:bottom w:val="single" w:sz="4" w:space="0" w:color="auto"/>
              <w:right w:val="single" w:sz="4" w:space="0" w:color="auto"/>
            </w:tcBorders>
            <w:hideMark/>
          </w:tcPr>
          <w:p w14:paraId="282FE997" w14:textId="77777777" w:rsidR="002B37E9" w:rsidRPr="00140923" w:rsidRDefault="002B37E9" w:rsidP="00226764">
            <w:pPr>
              <w:pStyle w:val="Tabletext"/>
              <w:jc w:val="center"/>
              <w:rPr>
                <w:lang w:val="es-ES_tradnl"/>
              </w:rPr>
            </w:pPr>
            <w:r w:rsidRPr="00140923">
              <w:rPr>
                <w:lang w:val="es-ES_tradnl"/>
              </w:rPr>
              <w:t>F.1565</w:t>
            </w:r>
          </w:p>
        </w:tc>
        <w:tc>
          <w:tcPr>
            <w:tcW w:w="7773" w:type="dxa"/>
            <w:tcBorders>
              <w:top w:val="single" w:sz="4" w:space="0" w:color="auto"/>
              <w:left w:val="single" w:sz="4" w:space="0" w:color="auto"/>
              <w:bottom w:val="single" w:sz="4" w:space="0" w:color="auto"/>
              <w:right w:val="single" w:sz="4" w:space="0" w:color="auto"/>
            </w:tcBorders>
            <w:hideMark/>
          </w:tcPr>
          <w:p w14:paraId="512111E8" w14:textId="77777777" w:rsidR="002B37E9" w:rsidRPr="00140923" w:rsidRDefault="002B37E9" w:rsidP="006F5C69">
            <w:pPr>
              <w:pStyle w:val="Tabletext"/>
              <w:jc w:val="left"/>
              <w:rPr>
                <w:lang w:val="es-ES_tradnl"/>
              </w:rPr>
            </w:pPr>
            <w:r w:rsidRPr="00140923">
              <w:rPr>
                <w:lang w:val="es-ES_tradnl"/>
              </w:rPr>
              <w:t>Degradación de la calidad de funcionamiento debida a la interferencia causada por otros servicios que comparten las mismas bandas de frecuencias con sistemas inalámbricos fijos digitales reales utilizados en los tramos internacional y nacional de un trayecto ficticio de referencia de 27 500 km a velocidad primaria o superior</w:t>
            </w:r>
          </w:p>
        </w:tc>
      </w:tr>
      <w:tr w:rsidR="002B37E9" w:rsidRPr="00140923" w14:paraId="6BC7E0FE" w14:textId="77777777" w:rsidTr="00226764">
        <w:trPr>
          <w:cantSplit/>
          <w:trHeight w:val="20"/>
          <w:jc w:val="center"/>
        </w:trPr>
        <w:tc>
          <w:tcPr>
            <w:tcW w:w="1872" w:type="dxa"/>
            <w:tcBorders>
              <w:top w:val="single" w:sz="4" w:space="0" w:color="auto"/>
              <w:left w:val="single" w:sz="4" w:space="0" w:color="auto"/>
              <w:bottom w:val="single" w:sz="4" w:space="0" w:color="auto"/>
              <w:right w:val="single" w:sz="4" w:space="0" w:color="auto"/>
            </w:tcBorders>
            <w:hideMark/>
          </w:tcPr>
          <w:p w14:paraId="5A6EBDC0" w14:textId="77777777" w:rsidR="002B37E9" w:rsidRPr="00140923" w:rsidRDefault="002B37E9" w:rsidP="00226764">
            <w:pPr>
              <w:pStyle w:val="Tabletext"/>
              <w:jc w:val="center"/>
              <w:rPr>
                <w:lang w:val="es-ES_tradnl"/>
              </w:rPr>
            </w:pPr>
            <w:r w:rsidRPr="00140923">
              <w:rPr>
                <w:lang w:val="es-ES_tradnl"/>
              </w:rPr>
              <w:t>F.1606</w:t>
            </w:r>
          </w:p>
        </w:tc>
        <w:tc>
          <w:tcPr>
            <w:tcW w:w="7773" w:type="dxa"/>
            <w:tcBorders>
              <w:top w:val="single" w:sz="4" w:space="0" w:color="auto"/>
              <w:left w:val="single" w:sz="4" w:space="0" w:color="auto"/>
              <w:bottom w:val="single" w:sz="4" w:space="0" w:color="auto"/>
              <w:right w:val="single" w:sz="4" w:space="0" w:color="auto"/>
            </w:tcBorders>
            <w:hideMark/>
          </w:tcPr>
          <w:p w14:paraId="657244D7" w14:textId="77777777" w:rsidR="002B37E9" w:rsidRPr="00140923" w:rsidRDefault="002B37E9" w:rsidP="006F5C69">
            <w:pPr>
              <w:pStyle w:val="Tabletext"/>
              <w:jc w:val="left"/>
              <w:rPr>
                <w:lang w:val="es-ES_tradnl"/>
              </w:rPr>
            </w:pPr>
            <w:r w:rsidRPr="00140923">
              <w:rPr>
                <w:lang w:val="es-ES_tradnl"/>
              </w:rPr>
              <w:t>Criterios de interferencia para la protección de sistemas inalámbricos fijos contra la interferencia combinada variable en el tiempo ocasionada por satélites no geoestacionarios que funcionan en otros servicios que comparten las bandas 37</w:t>
            </w:r>
            <w:r w:rsidRPr="00140923">
              <w:rPr>
                <w:lang w:val="es-ES_tradnl"/>
              </w:rPr>
              <w:noBreakHyphen/>
              <w:t>40 GHz y 40,5</w:t>
            </w:r>
            <w:r w:rsidRPr="00140923">
              <w:rPr>
                <w:lang w:val="es-ES_tradnl"/>
              </w:rPr>
              <w:noBreakHyphen/>
              <w:t>42,5 GHz también a título primario</w:t>
            </w:r>
          </w:p>
        </w:tc>
      </w:tr>
      <w:tr w:rsidR="002B37E9" w:rsidRPr="00140923" w14:paraId="034F81B3" w14:textId="77777777" w:rsidTr="00226764">
        <w:trPr>
          <w:cantSplit/>
          <w:trHeight w:val="20"/>
          <w:jc w:val="center"/>
        </w:trPr>
        <w:tc>
          <w:tcPr>
            <w:tcW w:w="1872" w:type="dxa"/>
            <w:tcBorders>
              <w:top w:val="single" w:sz="4" w:space="0" w:color="auto"/>
              <w:left w:val="single" w:sz="4" w:space="0" w:color="auto"/>
              <w:bottom w:val="single" w:sz="4" w:space="0" w:color="auto"/>
              <w:right w:val="single" w:sz="4" w:space="0" w:color="auto"/>
            </w:tcBorders>
            <w:hideMark/>
          </w:tcPr>
          <w:p w14:paraId="4C141C35" w14:textId="77777777" w:rsidR="002B37E9" w:rsidRPr="00140923" w:rsidRDefault="002B37E9" w:rsidP="00226764">
            <w:pPr>
              <w:pStyle w:val="Tabletext"/>
              <w:jc w:val="center"/>
              <w:rPr>
                <w:lang w:val="es-ES_tradnl"/>
              </w:rPr>
            </w:pPr>
            <w:r w:rsidRPr="00140923">
              <w:rPr>
                <w:lang w:val="es-ES_tradnl"/>
              </w:rPr>
              <w:t>F.1668</w:t>
            </w:r>
          </w:p>
        </w:tc>
        <w:tc>
          <w:tcPr>
            <w:tcW w:w="7773" w:type="dxa"/>
            <w:tcBorders>
              <w:top w:val="single" w:sz="4" w:space="0" w:color="auto"/>
              <w:left w:val="single" w:sz="4" w:space="0" w:color="auto"/>
              <w:bottom w:val="single" w:sz="4" w:space="0" w:color="auto"/>
              <w:right w:val="single" w:sz="4" w:space="0" w:color="auto"/>
            </w:tcBorders>
            <w:hideMark/>
          </w:tcPr>
          <w:p w14:paraId="3A8B0BC6" w14:textId="77777777" w:rsidR="002B37E9" w:rsidRPr="00140923" w:rsidRDefault="002B37E9" w:rsidP="006F5C69">
            <w:pPr>
              <w:pStyle w:val="Tabletext"/>
              <w:jc w:val="left"/>
              <w:rPr>
                <w:lang w:val="es-ES_tradnl"/>
              </w:rPr>
            </w:pPr>
            <w:r w:rsidRPr="00140923">
              <w:rPr>
                <w:lang w:val="es-ES_tradnl"/>
              </w:rPr>
              <w:t>Objetivos de característica de error para los enlaces inalámbricos fijos digitales utilizados en las conexiones ficticias de referencia y trayectos ficticios de referencia de 27 500 km</w:t>
            </w:r>
          </w:p>
        </w:tc>
      </w:tr>
      <w:tr w:rsidR="002B37E9" w:rsidRPr="00140923" w14:paraId="299AFA24" w14:textId="77777777" w:rsidTr="00226764">
        <w:trPr>
          <w:cantSplit/>
          <w:trHeight w:val="20"/>
          <w:jc w:val="center"/>
        </w:trPr>
        <w:tc>
          <w:tcPr>
            <w:tcW w:w="1872" w:type="dxa"/>
            <w:tcBorders>
              <w:top w:val="single" w:sz="4" w:space="0" w:color="auto"/>
              <w:left w:val="single" w:sz="4" w:space="0" w:color="auto"/>
              <w:bottom w:val="single" w:sz="4" w:space="0" w:color="auto"/>
              <w:right w:val="single" w:sz="4" w:space="0" w:color="auto"/>
            </w:tcBorders>
            <w:hideMark/>
          </w:tcPr>
          <w:p w14:paraId="1C2F708B" w14:textId="77777777" w:rsidR="002B37E9" w:rsidRPr="00140923" w:rsidRDefault="002B37E9" w:rsidP="00226764">
            <w:pPr>
              <w:pStyle w:val="Tabletext"/>
              <w:jc w:val="center"/>
              <w:rPr>
                <w:lang w:val="es-ES_tradnl"/>
              </w:rPr>
            </w:pPr>
            <w:r w:rsidRPr="00140923">
              <w:rPr>
                <w:lang w:val="es-ES_tradnl"/>
              </w:rPr>
              <w:t>F.1669</w:t>
            </w:r>
          </w:p>
        </w:tc>
        <w:tc>
          <w:tcPr>
            <w:tcW w:w="7773" w:type="dxa"/>
            <w:tcBorders>
              <w:top w:val="single" w:sz="4" w:space="0" w:color="auto"/>
              <w:left w:val="single" w:sz="4" w:space="0" w:color="auto"/>
              <w:bottom w:val="single" w:sz="4" w:space="0" w:color="auto"/>
              <w:right w:val="single" w:sz="4" w:space="0" w:color="auto"/>
            </w:tcBorders>
            <w:hideMark/>
          </w:tcPr>
          <w:p w14:paraId="62FD4708" w14:textId="77777777" w:rsidR="002B37E9" w:rsidRPr="00140923" w:rsidRDefault="002B37E9" w:rsidP="006F5C69">
            <w:pPr>
              <w:pStyle w:val="Tabletext"/>
              <w:jc w:val="left"/>
              <w:rPr>
                <w:lang w:val="es-ES_tradnl"/>
              </w:rPr>
            </w:pPr>
            <w:r w:rsidRPr="00140923">
              <w:rPr>
                <w:lang w:val="es-ES_tradnl"/>
              </w:rPr>
              <w:t>Criterios de interferencia de los sistemas inalámbricos fijos que funcionan en las bandas 37</w:t>
            </w:r>
            <w:r w:rsidRPr="00140923">
              <w:rPr>
                <w:lang w:val="es-ES_tradnl"/>
              </w:rPr>
              <w:noBreakHyphen/>
              <w:t>40 GHz y 40,5</w:t>
            </w:r>
            <w:r w:rsidRPr="00140923">
              <w:rPr>
                <w:lang w:val="es-ES_tradnl"/>
              </w:rPr>
              <w:noBreakHyphen/>
              <w:t>42,5 GHz con respecto a los satélites geoestacionarios</w:t>
            </w:r>
          </w:p>
        </w:tc>
      </w:tr>
      <w:tr w:rsidR="002B37E9" w:rsidRPr="00140923" w14:paraId="4F017766" w14:textId="77777777" w:rsidTr="00226764">
        <w:trPr>
          <w:cantSplit/>
          <w:trHeight w:val="20"/>
          <w:jc w:val="center"/>
        </w:trPr>
        <w:tc>
          <w:tcPr>
            <w:tcW w:w="1872" w:type="dxa"/>
            <w:tcBorders>
              <w:top w:val="single" w:sz="4" w:space="0" w:color="auto"/>
              <w:left w:val="single" w:sz="4" w:space="0" w:color="auto"/>
              <w:bottom w:val="single" w:sz="4" w:space="0" w:color="auto"/>
              <w:right w:val="single" w:sz="4" w:space="0" w:color="auto"/>
            </w:tcBorders>
            <w:hideMark/>
          </w:tcPr>
          <w:p w14:paraId="397AF0B3" w14:textId="77777777" w:rsidR="002B37E9" w:rsidRPr="00140923" w:rsidRDefault="002B37E9" w:rsidP="00226764">
            <w:pPr>
              <w:pStyle w:val="Tabletext"/>
              <w:jc w:val="center"/>
              <w:rPr>
                <w:lang w:val="es-ES_tradnl" w:eastAsia="ja-JP"/>
              </w:rPr>
            </w:pPr>
            <w:r w:rsidRPr="00140923">
              <w:rPr>
                <w:lang w:val="es-ES_tradnl" w:eastAsia="ja-JP"/>
              </w:rPr>
              <w:t>F.1670</w:t>
            </w:r>
          </w:p>
        </w:tc>
        <w:tc>
          <w:tcPr>
            <w:tcW w:w="7773" w:type="dxa"/>
            <w:tcBorders>
              <w:top w:val="single" w:sz="4" w:space="0" w:color="auto"/>
              <w:left w:val="single" w:sz="4" w:space="0" w:color="auto"/>
              <w:bottom w:val="single" w:sz="4" w:space="0" w:color="auto"/>
              <w:right w:val="single" w:sz="4" w:space="0" w:color="auto"/>
            </w:tcBorders>
            <w:hideMark/>
          </w:tcPr>
          <w:p w14:paraId="3C70D0A7" w14:textId="77777777" w:rsidR="002B37E9" w:rsidRPr="00140923" w:rsidRDefault="002B37E9" w:rsidP="006F5C69">
            <w:pPr>
              <w:pStyle w:val="Tabletext"/>
              <w:jc w:val="left"/>
              <w:rPr>
                <w:lang w:val="es-ES_tradnl"/>
              </w:rPr>
            </w:pPr>
            <w:r w:rsidRPr="00140923">
              <w:rPr>
                <w:lang w:val="es-ES_tradnl"/>
              </w:rPr>
              <w:t>Protección de los sistemas inalámbricos fijos contra los sistemas de radiodifusión digital de señal de vídeo y de audio terrenales en las bandas compartidas de ondas métricas y decimétricas</w:t>
            </w:r>
          </w:p>
        </w:tc>
      </w:tr>
      <w:tr w:rsidR="002B37E9" w:rsidRPr="00140923" w14:paraId="03ACD0CC" w14:textId="77777777" w:rsidTr="00226764">
        <w:trPr>
          <w:cantSplit/>
          <w:trHeight w:val="20"/>
          <w:jc w:val="center"/>
        </w:trPr>
        <w:tc>
          <w:tcPr>
            <w:tcW w:w="1872" w:type="dxa"/>
            <w:tcBorders>
              <w:top w:val="single" w:sz="4" w:space="0" w:color="auto"/>
              <w:left w:val="single" w:sz="4" w:space="0" w:color="auto"/>
              <w:bottom w:val="single" w:sz="4" w:space="0" w:color="auto"/>
              <w:right w:val="single" w:sz="4" w:space="0" w:color="auto"/>
            </w:tcBorders>
            <w:hideMark/>
          </w:tcPr>
          <w:p w14:paraId="064E7101" w14:textId="77777777" w:rsidR="002B37E9" w:rsidRPr="00140923" w:rsidRDefault="002B37E9" w:rsidP="00226764">
            <w:pPr>
              <w:pStyle w:val="Tabletext"/>
              <w:jc w:val="center"/>
              <w:rPr>
                <w:lang w:val="es-ES_tradnl"/>
              </w:rPr>
            </w:pPr>
            <w:r w:rsidRPr="00140923">
              <w:rPr>
                <w:lang w:val="es-ES_tradnl"/>
              </w:rPr>
              <w:t>F.1703</w:t>
            </w:r>
          </w:p>
        </w:tc>
        <w:tc>
          <w:tcPr>
            <w:tcW w:w="7773" w:type="dxa"/>
            <w:tcBorders>
              <w:top w:val="single" w:sz="4" w:space="0" w:color="auto"/>
              <w:left w:val="single" w:sz="4" w:space="0" w:color="auto"/>
              <w:bottom w:val="single" w:sz="4" w:space="0" w:color="auto"/>
              <w:right w:val="single" w:sz="4" w:space="0" w:color="auto"/>
            </w:tcBorders>
            <w:hideMark/>
          </w:tcPr>
          <w:p w14:paraId="0A51EAE4" w14:textId="77777777" w:rsidR="002B37E9" w:rsidRPr="00140923" w:rsidRDefault="002B37E9" w:rsidP="006F5C69">
            <w:pPr>
              <w:pStyle w:val="Tabletext"/>
              <w:jc w:val="left"/>
              <w:rPr>
                <w:lang w:val="es-ES_tradnl"/>
              </w:rPr>
            </w:pPr>
            <w:r w:rsidRPr="00140923">
              <w:rPr>
                <w:lang w:val="es-ES_tradnl"/>
              </w:rPr>
              <w:t>Objetivos de disponibilidad para enlaces inalámbricos fijos digitales reales utilizados en las conexiones ficticias de referencia y trayectos ficticios de referencia de 27 500 km</w:t>
            </w:r>
          </w:p>
        </w:tc>
      </w:tr>
      <w:tr w:rsidR="002B37E9" w:rsidRPr="00140923" w14:paraId="555FB326" w14:textId="77777777" w:rsidTr="00226764">
        <w:trPr>
          <w:cantSplit/>
          <w:jc w:val="center"/>
        </w:trPr>
        <w:tc>
          <w:tcPr>
            <w:tcW w:w="1872" w:type="dxa"/>
            <w:tcBorders>
              <w:top w:val="single" w:sz="4" w:space="0" w:color="auto"/>
              <w:left w:val="single" w:sz="4" w:space="0" w:color="auto"/>
              <w:bottom w:val="single" w:sz="4" w:space="0" w:color="auto"/>
              <w:right w:val="single" w:sz="4" w:space="0" w:color="auto"/>
            </w:tcBorders>
            <w:hideMark/>
          </w:tcPr>
          <w:p w14:paraId="17D2DCC8" w14:textId="77777777" w:rsidR="002B37E9" w:rsidRPr="00140923" w:rsidRDefault="002B37E9" w:rsidP="00226764">
            <w:pPr>
              <w:pStyle w:val="Tabletext"/>
              <w:jc w:val="center"/>
              <w:rPr>
                <w:lang w:val="es-ES_tradnl"/>
              </w:rPr>
            </w:pPr>
            <w:r w:rsidRPr="00140923">
              <w:rPr>
                <w:lang w:val="es-ES_tradnl"/>
              </w:rPr>
              <w:t>F.1706</w:t>
            </w:r>
          </w:p>
        </w:tc>
        <w:tc>
          <w:tcPr>
            <w:tcW w:w="7773" w:type="dxa"/>
            <w:tcBorders>
              <w:top w:val="single" w:sz="4" w:space="0" w:color="auto"/>
              <w:left w:val="single" w:sz="4" w:space="0" w:color="auto"/>
              <w:bottom w:val="single" w:sz="4" w:space="0" w:color="auto"/>
              <w:right w:val="single" w:sz="4" w:space="0" w:color="auto"/>
            </w:tcBorders>
            <w:hideMark/>
          </w:tcPr>
          <w:p w14:paraId="0F6CA0C1" w14:textId="77777777" w:rsidR="002B37E9" w:rsidRPr="00140923" w:rsidRDefault="002B37E9" w:rsidP="006F5C69">
            <w:pPr>
              <w:pStyle w:val="Tabletext"/>
              <w:jc w:val="left"/>
              <w:rPr>
                <w:lang w:val="es-ES_tradnl"/>
              </w:rPr>
            </w:pPr>
            <w:r w:rsidRPr="00140923">
              <w:rPr>
                <w:lang w:val="es-ES_tradnl"/>
              </w:rPr>
              <w:t>Criterios de protección para los sistemas inalámbricos fijos punto a punto que comparten la misma banda de frecuencias con los sistemas de acceso inalámbrico nómada en la gama de 4 a 6 GHz</w:t>
            </w:r>
          </w:p>
        </w:tc>
      </w:tr>
      <w:tr w:rsidR="002B37E9" w:rsidRPr="00140923" w14:paraId="28B2EFE4" w14:textId="77777777" w:rsidTr="00226764">
        <w:trPr>
          <w:cantSplit/>
          <w:jc w:val="center"/>
        </w:trPr>
        <w:tc>
          <w:tcPr>
            <w:tcW w:w="1872" w:type="dxa"/>
            <w:tcBorders>
              <w:top w:val="single" w:sz="4" w:space="0" w:color="auto"/>
              <w:left w:val="single" w:sz="4" w:space="0" w:color="auto"/>
              <w:bottom w:val="single" w:sz="4" w:space="0" w:color="auto"/>
              <w:right w:val="single" w:sz="4" w:space="0" w:color="auto"/>
            </w:tcBorders>
            <w:hideMark/>
          </w:tcPr>
          <w:p w14:paraId="5368AAFF" w14:textId="77777777" w:rsidR="002B37E9" w:rsidRPr="00140923" w:rsidRDefault="002B37E9" w:rsidP="00226764">
            <w:pPr>
              <w:pStyle w:val="Tabletext"/>
              <w:jc w:val="center"/>
              <w:rPr>
                <w:lang w:val="es-ES_tradnl"/>
              </w:rPr>
            </w:pPr>
            <w:r w:rsidRPr="00140923">
              <w:rPr>
                <w:lang w:val="es-ES_tradnl"/>
              </w:rPr>
              <w:t>SF.1006</w:t>
            </w:r>
          </w:p>
        </w:tc>
        <w:tc>
          <w:tcPr>
            <w:tcW w:w="7773" w:type="dxa"/>
            <w:tcBorders>
              <w:top w:val="single" w:sz="4" w:space="0" w:color="auto"/>
              <w:left w:val="single" w:sz="4" w:space="0" w:color="auto"/>
              <w:bottom w:val="single" w:sz="4" w:space="0" w:color="auto"/>
              <w:right w:val="single" w:sz="4" w:space="0" w:color="auto"/>
            </w:tcBorders>
            <w:hideMark/>
          </w:tcPr>
          <w:p w14:paraId="7174CB94" w14:textId="77777777" w:rsidR="002B37E9" w:rsidRPr="00140923" w:rsidRDefault="002B37E9" w:rsidP="006F5C69">
            <w:pPr>
              <w:pStyle w:val="Tabletext"/>
              <w:jc w:val="left"/>
              <w:rPr>
                <w:lang w:val="es-ES_tradnl"/>
              </w:rPr>
            </w:pPr>
            <w:r w:rsidRPr="00140923">
              <w:rPr>
                <w:lang w:val="es-ES_tradnl"/>
              </w:rPr>
              <w:t>Determinación de la interferencia potencial entre estaciones terrenas del servicio fijo por satélite y estaciones del servicio fijo</w:t>
            </w:r>
          </w:p>
        </w:tc>
      </w:tr>
      <w:tr w:rsidR="002B37E9" w:rsidRPr="00140923" w14:paraId="3862A849" w14:textId="77777777" w:rsidTr="00226764">
        <w:trPr>
          <w:cantSplit/>
          <w:jc w:val="center"/>
        </w:trPr>
        <w:tc>
          <w:tcPr>
            <w:tcW w:w="1872" w:type="dxa"/>
            <w:tcBorders>
              <w:top w:val="single" w:sz="4" w:space="0" w:color="auto"/>
              <w:left w:val="single" w:sz="4" w:space="0" w:color="auto"/>
              <w:bottom w:val="single" w:sz="4" w:space="0" w:color="auto"/>
              <w:right w:val="single" w:sz="4" w:space="0" w:color="auto"/>
            </w:tcBorders>
            <w:hideMark/>
          </w:tcPr>
          <w:p w14:paraId="73A9D2DE" w14:textId="77777777" w:rsidR="002B37E9" w:rsidRPr="00140923" w:rsidRDefault="002B37E9" w:rsidP="00226764">
            <w:pPr>
              <w:pStyle w:val="Tabletext"/>
              <w:jc w:val="center"/>
              <w:rPr>
                <w:lang w:val="es-ES_tradnl"/>
              </w:rPr>
            </w:pPr>
            <w:r w:rsidRPr="00140923">
              <w:rPr>
                <w:lang w:val="es-ES_tradnl"/>
              </w:rPr>
              <w:t>SF.1650</w:t>
            </w:r>
          </w:p>
        </w:tc>
        <w:tc>
          <w:tcPr>
            <w:tcW w:w="7773" w:type="dxa"/>
            <w:tcBorders>
              <w:top w:val="single" w:sz="4" w:space="0" w:color="auto"/>
              <w:left w:val="single" w:sz="4" w:space="0" w:color="auto"/>
              <w:bottom w:val="single" w:sz="4" w:space="0" w:color="auto"/>
              <w:right w:val="single" w:sz="4" w:space="0" w:color="auto"/>
            </w:tcBorders>
            <w:hideMark/>
          </w:tcPr>
          <w:p w14:paraId="550B9512" w14:textId="77777777" w:rsidR="002B37E9" w:rsidRPr="00140923" w:rsidRDefault="002B37E9" w:rsidP="006F5C69">
            <w:pPr>
              <w:pStyle w:val="Tabletext"/>
              <w:jc w:val="left"/>
              <w:rPr>
                <w:lang w:val="es-ES_tradnl"/>
              </w:rPr>
            </w:pPr>
            <w:r w:rsidRPr="00140923">
              <w:rPr>
                <w:lang w:val="es-ES_tradnl"/>
              </w:rPr>
              <w:t>Distancia mínima desde la línea de base a partir de la cual las estaciones terrenas en movimiento situadas a bordo de barcos no deben causar interferencia al servicio terrenal en las bandas de frecuencias 5 925</w:t>
            </w:r>
            <w:r w:rsidRPr="00140923">
              <w:rPr>
                <w:lang w:val="es-ES_tradnl"/>
              </w:rPr>
              <w:noBreakHyphen/>
              <w:t>6 425 MHz y 14</w:t>
            </w:r>
            <w:r w:rsidRPr="00140923">
              <w:rPr>
                <w:lang w:val="es-ES_tradnl"/>
              </w:rPr>
              <w:noBreakHyphen/>
              <w:t>14,5 GHz</w:t>
            </w:r>
          </w:p>
        </w:tc>
      </w:tr>
    </w:tbl>
    <w:p w14:paraId="3BDEBCB4" w14:textId="77777777" w:rsidR="002B37E9" w:rsidRPr="00140923" w:rsidRDefault="002B37E9" w:rsidP="002B37E9">
      <w:pPr>
        <w:pStyle w:val="Heading2"/>
        <w:rPr>
          <w:lang w:val="es-ES_tradnl" w:eastAsia="ja-JP"/>
        </w:rPr>
      </w:pPr>
      <w:bookmarkStart w:id="20" w:name="_Toc39157070"/>
      <w:r w:rsidRPr="00140923">
        <w:rPr>
          <w:lang w:val="es-ES_tradnl"/>
        </w:rPr>
        <w:t>4.1</w:t>
      </w:r>
      <w:r w:rsidRPr="00140923">
        <w:rPr>
          <w:lang w:val="es-ES_tradnl"/>
        </w:rPr>
        <w:tab/>
        <w:t>Interferencia a largo plazo</w:t>
      </w:r>
      <w:bookmarkEnd w:id="20"/>
    </w:p>
    <w:p w14:paraId="6AFA2A77" w14:textId="5F832083" w:rsidR="002B37E9" w:rsidRPr="00140923" w:rsidRDefault="002B37E9" w:rsidP="002B37E9">
      <w:pPr>
        <w:rPr>
          <w:lang w:val="es-ES_tradnl"/>
        </w:rPr>
      </w:pPr>
      <w:r w:rsidRPr="006F5C69">
        <w:rPr>
          <w:lang w:val="es-ES_tradnl"/>
        </w:rPr>
        <w:t xml:space="preserve">En la Recomendación </w:t>
      </w:r>
      <w:hyperlink r:id="rId78" w:history="1">
        <w:r w:rsidRPr="006F5C69">
          <w:rPr>
            <w:rStyle w:val="Hyperlink"/>
            <w:color w:val="auto"/>
            <w:u w:val="none"/>
            <w:lang w:val="es-ES_tradnl"/>
          </w:rPr>
          <w:t>UIT-R F.1094</w:t>
        </w:r>
      </w:hyperlink>
      <w:r w:rsidRPr="006F5C69">
        <w:rPr>
          <w:lang w:val="es-ES_tradnl"/>
        </w:rPr>
        <w:t xml:space="preserve"> se establecen las bases para la distribución de los objetivos de </w:t>
      </w:r>
      <w:r w:rsidRPr="00140923">
        <w:rPr>
          <w:lang w:val="es-ES_tradnl"/>
        </w:rPr>
        <w:t>característica de error y de característica de disponibilidad.</w:t>
      </w:r>
    </w:p>
    <w:p w14:paraId="1A3C18B6" w14:textId="77777777" w:rsidR="002B37E9" w:rsidRPr="00140923" w:rsidRDefault="002B37E9" w:rsidP="002B37E9">
      <w:pPr>
        <w:rPr>
          <w:lang w:val="es-ES_tradnl"/>
        </w:rPr>
      </w:pPr>
      <w:r w:rsidRPr="00140923">
        <w:rPr>
          <w:lang w:val="es-ES_tradnl"/>
        </w:rPr>
        <w:t>En esta sección se estudian las relaciones entre las cuestiones a), b) y c) reseñadas a continuación sin considerar la interferencia de corta duración:</w:t>
      </w:r>
    </w:p>
    <w:p w14:paraId="0E8CACCD" w14:textId="3247E562" w:rsidR="002B37E9" w:rsidRPr="006F5C69" w:rsidRDefault="002B37E9" w:rsidP="002B37E9">
      <w:pPr>
        <w:pStyle w:val="enumlev1"/>
        <w:rPr>
          <w:lang w:val="es-ES_tradnl"/>
        </w:rPr>
      </w:pPr>
      <w:r w:rsidRPr="006F5C69">
        <w:rPr>
          <w:lang w:val="es-ES_tradnl"/>
        </w:rPr>
        <w:t>a)</w:t>
      </w:r>
      <w:r w:rsidRPr="006F5C69">
        <w:rPr>
          <w:lang w:val="es-ES_tradnl"/>
        </w:rPr>
        <w:tab/>
        <w:t xml:space="preserve">Degradación de la característica de error o de la característica de disponibilidad a raíz de la interferencia procedente del servicio coprimario, especificada claramente como del 10% en la Recomendación </w:t>
      </w:r>
      <w:hyperlink r:id="rId79" w:history="1">
        <w:r w:rsidRPr="006F5C69">
          <w:rPr>
            <w:rStyle w:val="Hyperlink"/>
            <w:color w:val="auto"/>
            <w:u w:val="none"/>
            <w:lang w:val="es-ES_tradnl"/>
          </w:rPr>
          <w:t>UIT-R F.1094</w:t>
        </w:r>
      </w:hyperlink>
      <w:r w:rsidRPr="006F5C69">
        <w:rPr>
          <w:lang w:val="es-ES_tradnl"/>
        </w:rPr>
        <w:t xml:space="preserve"> (así como en la Recomendación </w:t>
      </w:r>
      <w:hyperlink r:id="rId80" w:history="1">
        <w:r w:rsidRPr="006F5C69">
          <w:rPr>
            <w:rStyle w:val="Hyperlink"/>
            <w:color w:val="auto"/>
            <w:u w:val="none"/>
            <w:lang w:val="es-ES_tradnl"/>
          </w:rPr>
          <w:t>UIT-R F.1565</w:t>
        </w:r>
      </w:hyperlink>
      <w:r w:rsidRPr="006F5C69">
        <w:rPr>
          <w:lang w:val="es-ES_tradnl"/>
        </w:rPr>
        <w:t>).</w:t>
      </w:r>
    </w:p>
    <w:p w14:paraId="45CDEE2B" w14:textId="79980813" w:rsidR="002B37E9" w:rsidRPr="00140923" w:rsidRDefault="002B37E9" w:rsidP="002B37E9">
      <w:pPr>
        <w:pStyle w:val="enumlev1"/>
        <w:rPr>
          <w:lang w:val="es-ES_tradnl"/>
        </w:rPr>
      </w:pPr>
      <w:r w:rsidRPr="00140923">
        <w:rPr>
          <w:lang w:val="es-ES_tradnl"/>
        </w:rPr>
        <w:t>b)</w:t>
      </w:r>
      <w:r w:rsidRPr="00140923">
        <w:rPr>
          <w:lang w:val="es-ES_tradnl"/>
        </w:rPr>
        <w:tab/>
        <w:t xml:space="preserve">Degradación de la característica de error o de la característica de disponibilidad a raíz de la interferencia procedente de otras fuentes y aplicaciones distintas de las coprimarias en la banda de frecuencias considerada, especificada claramente como del 1% en la </w:t>
      </w:r>
      <w:r w:rsidRPr="006F5C69">
        <w:rPr>
          <w:lang w:val="es-ES_tradnl"/>
        </w:rPr>
        <w:t xml:space="preserve">Recomendación </w:t>
      </w:r>
      <w:hyperlink r:id="rId81" w:history="1">
        <w:r w:rsidRPr="006F5C69">
          <w:rPr>
            <w:rStyle w:val="Hyperlink"/>
            <w:color w:val="auto"/>
            <w:u w:val="none"/>
            <w:lang w:val="es-ES_tradnl"/>
          </w:rPr>
          <w:t>UIT-R F.1094</w:t>
        </w:r>
      </w:hyperlink>
      <w:r w:rsidRPr="006F5C69">
        <w:rPr>
          <w:lang w:val="es-ES_tradnl"/>
        </w:rPr>
        <w:t xml:space="preserve"> (y utilizada en estudios de compatibilidad, tales como los </w:t>
      </w:r>
      <w:r w:rsidRPr="00140923">
        <w:rPr>
          <w:lang w:val="es-ES_tradnl"/>
        </w:rPr>
        <w:t xml:space="preserve">incluidos en la Recomendación UIT-R SM.1756, en la que se aborda la interferencia de banda ultraancha). En la práctica, el valor obtenido conforme al apartado </w:t>
      </w:r>
      <w:r w:rsidRPr="00140923">
        <w:rPr>
          <w:i/>
          <w:iCs/>
          <w:lang w:val="es-ES_tradnl"/>
        </w:rPr>
        <w:t>a)</w:t>
      </w:r>
      <w:r w:rsidRPr="00140923">
        <w:rPr>
          <w:lang w:val="es-ES_tradnl"/>
        </w:rPr>
        <w:t xml:space="preserve"> debería dividirse por 10.</w:t>
      </w:r>
    </w:p>
    <w:p w14:paraId="0836BC38" w14:textId="77777777" w:rsidR="002B37E9" w:rsidRPr="00140923" w:rsidRDefault="002B37E9" w:rsidP="002B37E9">
      <w:pPr>
        <w:pStyle w:val="enumlev1"/>
        <w:rPr>
          <w:lang w:val="es-ES_tradnl" w:eastAsia="ja-JP"/>
        </w:rPr>
      </w:pPr>
      <w:r w:rsidRPr="00140923">
        <w:rPr>
          <w:lang w:val="es-ES_tradnl"/>
        </w:rPr>
        <w:lastRenderedPageBreak/>
        <w:t>c)</w:t>
      </w:r>
      <w:r w:rsidRPr="00140923">
        <w:rPr>
          <w:lang w:val="es-ES_tradnl"/>
        </w:rPr>
        <w:tab/>
        <w:t>Degradación en el margen de desvanecimiento provocada por la interferencia, que se calcula directamente a partir del valor (</w:t>
      </w:r>
      <w:r w:rsidRPr="00140923">
        <w:rPr>
          <w:i/>
          <w:lang w:val="es-ES_tradnl"/>
        </w:rPr>
        <w:t>I</w:t>
      </w:r>
      <w:r w:rsidRPr="00140923">
        <w:rPr>
          <w:lang w:val="es-ES_tradnl"/>
        </w:rPr>
        <w:t>/</w:t>
      </w:r>
      <w:r w:rsidRPr="00140923">
        <w:rPr>
          <w:i/>
          <w:lang w:val="es-ES_tradnl"/>
        </w:rPr>
        <w:t>N</w:t>
      </w:r>
      <w:r w:rsidRPr="00140923">
        <w:rPr>
          <w:lang w:val="es-ES_tradnl"/>
        </w:rPr>
        <w:t>), de la forma siguiente: 10 log ((</w:t>
      </w:r>
      <w:r w:rsidRPr="00140923">
        <w:rPr>
          <w:i/>
          <w:lang w:val="es-ES_tradnl"/>
        </w:rPr>
        <w:t>N </w:t>
      </w:r>
      <w:r w:rsidRPr="00140923">
        <w:rPr>
          <w:lang w:val="es-ES_tradnl"/>
        </w:rPr>
        <w:t>+ </w:t>
      </w:r>
      <w:r w:rsidRPr="00140923">
        <w:rPr>
          <w:i/>
          <w:lang w:val="es-ES_tradnl"/>
        </w:rPr>
        <w:t>I</w:t>
      </w:r>
      <w:r w:rsidRPr="00140923">
        <w:rPr>
          <w:lang w:val="es-ES_tradnl"/>
        </w:rPr>
        <w:t>)/</w:t>
      </w:r>
      <w:r w:rsidRPr="00140923">
        <w:rPr>
          <w:i/>
          <w:lang w:val="es-ES_tradnl"/>
        </w:rPr>
        <w:t>N</w:t>
      </w:r>
      <w:r w:rsidRPr="00140923">
        <w:rPr>
          <w:lang w:val="es-ES_tradnl" w:eastAsia="ja-JP"/>
        </w:rPr>
        <w:t>)</w:t>
      </w:r>
      <w:r w:rsidRPr="00140923">
        <w:rPr>
          <w:lang w:val="es-ES_tradnl"/>
        </w:rPr>
        <w:t xml:space="preserve"> = 10 log ((1 + (</w:t>
      </w:r>
      <w:r w:rsidRPr="00140923">
        <w:rPr>
          <w:i/>
          <w:lang w:val="es-ES_tradnl"/>
        </w:rPr>
        <w:t>I</w:t>
      </w:r>
      <w:r w:rsidRPr="00140923">
        <w:rPr>
          <w:lang w:val="es-ES_tradnl"/>
        </w:rPr>
        <w:t>/</w:t>
      </w:r>
      <w:r w:rsidRPr="00140923">
        <w:rPr>
          <w:i/>
          <w:lang w:val="es-ES_tradnl"/>
        </w:rPr>
        <w:t>N</w:t>
      </w:r>
      <w:r w:rsidRPr="00140923">
        <w:rPr>
          <w:lang w:val="es-ES_tradnl"/>
        </w:rPr>
        <w:t>))) (dB).</w:t>
      </w:r>
    </w:p>
    <w:p w14:paraId="36DF6698" w14:textId="79D77F2E" w:rsidR="002B37E9" w:rsidRPr="00140923" w:rsidRDefault="002B37E9" w:rsidP="002B37E9">
      <w:pPr>
        <w:rPr>
          <w:lang w:val="es-ES_tradnl" w:eastAsia="ja-JP"/>
        </w:rPr>
      </w:pPr>
      <w:r w:rsidRPr="00140923">
        <w:rPr>
          <w:lang w:val="es-ES_tradnl" w:eastAsia="ja-JP"/>
        </w:rPr>
        <w:t xml:space="preserve">Cabe señalar que la relación </w:t>
      </w:r>
      <w:r w:rsidRPr="00140923">
        <w:rPr>
          <w:i/>
          <w:lang w:val="es-ES_tradnl" w:eastAsia="ja-JP"/>
        </w:rPr>
        <w:t>I</w:t>
      </w:r>
      <w:r w:rsidRPr="00140923">
        <w:rPr>
          <w:lang w:val="es-ES_tradnl" w:eastAsia="ja-JP"/>
        </w:rPr>
        <w:t>/</w:t>
      </w:r>
      <w:r w:rsidRPr="00140923">
        <w:rPr>
          <w:i/>
          <w:lang w:val="es-ES_tradnl" w:eastAsia="ja-JP"/>
        </w:rPr>
        <w:t>N</w:t>
      </w:r>
      <w:r w:rsidRPr="00140923">
        <w:rPr>
          <w:lang w:val="es-ES_tradnl" w:eastAsia="ja-JP"/>
        </w:rPr>
        <w:t xml:space="preserve"> generalmente se define en función de la potencia media (valor cuadrático medio (RMS)) de ruido e interferencia; sin embargo, en lo que atañe a emisiones de interferencia de impulsos continuos o en ráfagas, la relación entre la potencia de cresta y la potencia media podría desempeñar un importante papel para definir los criterios de protección.</w:t>
      </w:r>
    </w:p>
    <w:p w14:paraId="336F9C2D" w14:textId="4062AEB5" w:rsidR="002B37E9" w:rsidRPr="006479D0" w:rsidRDefault="002B37E9" w:rsidP="002B37E9">
      <w:pPr>
        <w:keepNext/>
        <w:keepLines/>
        <w:rPr>
          <w:lang w:val="es-ES_tradnl" w:eastAsia="ja-JP"/>
        </w:rPr>
      </w:pPr>
      <w:r w:rsidRPr="00140923">
        <w:rPr>
          <w:lang w:val="es-ES_tradnl" w:eastAsia="ja-JP"/>
        </w:rPr>
        <w:t>Cuando la relación entre la potencia de cresta y la potencia media es muy alta y la anchura de banda del receptor del servicio fijo es grande, puede que resulte necesario tener en cuenta un objetivo de </w:t>
      </w:r>
      <w:r w:rsidRPr="00140923">
        <w:rPr>
          <w:i/>
          <w:lang w:val="es-ES_tradnl" w:eastAsia="ja-JP"/>
        </w:rPr>
        <w:t>I</w:t>
      </w:r>
      <w:r w:rsidRPr="00140923">
        <w:rPr>
          <w:lang w:val="es-ES_tradnl" w:eastAsia="ja-JP"/>
        </w:rPr>
        <w:t>/</w:t>
      </w:r>
      <w:r w:rsidRPr="00140923">
        <w:rPr>
          <w:i/>
          <w:lang w:val="es-ES_tradnl" w:eastAsia="ja-JP"/>
        </w:rPr>
        <w:t>N</w:t>
      </w:r>
      <w:r w:rsidRPr="00140923">
        <w:rPr>
          <w:lang w:val="es-ES_tradnl" w:eastAsia="ja-JP"/>
        </w:rPr>
        <w:t xml:space="preserve"> en relación con la interferencia de cresta integrada en el conjunto de la anchura de banda víctima para evaluar correctamente la degradación del margen de desvanecimiento provocada por la interferencia. Los antecedentes sobre el efecto de valores elevados de interferencia de cresta y los criterios de protección figuran, para la interferencia de radar, en la Recomendación </w:t>
      </w:r>
      <w:hyperlink r:id="rId82" w:history="1">
        <w:r w:rsidRPr="006479D0">
          <w:rPr>
            <w:rStyle w:val="Hyperlink"/>
            <w:color w:val="auto"/>
            <w:u w:val="none"/>
            <w:lang w:val="es-ES_tradnl" w:eastAsia="ja-JP"/>
          </w:rPr>
          <w:t>UIT-R F.1097</w:t>
        </w:r>
      </w:hyperlink>
      <w:r w:rsidRPr="00140923">
        <w:rPr>
          <w:lang w:val="es-ES_tradnl" w:eastAsia="ja-JP"/>
        </w:rPr>
        <w:t xml:space="preserve">; y para la interferencia ocasionada por radares de corto alcance de banda ultraancha (UWB), en la </w:t>
      </w:r>
      <w:r w:rsidRPr="006479D0">
        <w:rPr>
          <w:lang w:val="es-ES_tradnl" w:eastAsia="ja-JP"/>
        </w:rPr>
        <w:t xml:space="preserve">Recomendación </w:t>
      </w:r>
      <w:hyperlink r:id="rId83" w:history="1">
        <w:r w:rsidRPr="006479D0">
          <w:rPr>
            <w:rStyle w:val="Hyperlink"/>
            <w:color w:val="auto"/>
            <w:u w:val="none"/>
            <w:lang w:val="es-ES_tradnl" w:eastAsia="ja-JP"/>
          </w:rPr>
          <w:t>UIT-R SM.1757</w:t>
        </w:r>
      </w:hyperlink>
      <w:r w:rsidRPr="006479D0">
        <w:rPr>
          <w:lang w:val="es-ES_tradnl" w:eastAsia="ja-JP"/>
        </w:rPr>
        <w:t xml:space="preserve">, y de forma más detallada en el Informe </w:t>
      </w:r>
      <w:hyperlink r:id="rId84" w:history="1">
        <w:r w:rsidRPr="006479D0">
          <w:rPr>
            <w:rStyle w:val="Hyperlink"/>
            <w:color w:val="auto"/>
            <w:u w:val="none"/>
            <w:lang w:val="es-ES_tradnl" w:eastAsia="ja-JP"/>
          </w:rPr>
          <w:t>UIT-R SM.2057</w:t>
        </w:r>
      </w:hyperlink>
      <w:r w:rsidRPr="006479D0">
        <w:rPr>
          <w:lang w:val="es-ES_tradnl" w:eastAsia="ja-JP"/>
        </w:rPr>
        <w:t>.</w:t>
      </w:r>
    </w:p>
    <w:p w14:paraId="5BC744B6" w14:textId="77777777" w:rsidR="002B37E9" w:rsidRPr="00140923" w:rsidRDefault="002B37E9" w:rsidP="002B37E9">
      <w:pPr>
        <w:rPr>
          <w:lang w:val="es-ES_tradnl" w:eastAsia="ja-JP"/>
        </w:rPr>
      </w:pPr>
      <w:r w:rsidRPr="00140923">
        <w:rPr>
          <w:lang w:val="es-ES_tradnl" w:eastAsia="ja-JP"/>
        </w:rPr>
        <w:t>En las secciones que siguen, se ofrece orientación únicamente para los casos más habituales en que resulta apropiada la evaluación de la potencia de la interferencia media (RMS).</w:t>
      </w:r>
    </w:p>
    <w:p w14:paraId="06A3D635" w14:textId="77777777" w:rsidR="002B37E9" w:rsidRPr="00140923" w:rsidRDefault="002B37E9" w:rsidP="002B37E9">
      <w:pPr>
        <w:pStyle w:val="Heading3"/>
        <w:rPr>
          <w:lang w:val="es-ES_tradnl"/>
        </w:rPr>
      </w:pPr>
      <w:r w:rsidRPr="00140923">
        <w:rPr>
          <w:lang w:val="es-ES_tradnl"/>
        </w:rPr>
        <w:t>4.1.1</w:t>
      </w:r>
      <w:r w:rsidRPr="00140923">
        <w:rPr>
          <w:lang w:val="es-ES_tradnl"/>
        </w:rPr>
        <w:tab/>
        <w:t>Efecto de la reducción del margen de desvanecimiento cuando los trayectos múltiples son un factor dominante</w:t>
      </w:r>
    </w:p>
    <w:p w14:paraId="565D6BCC" w14:textId="77777777" w:rsidR="002B37E9" w:rsidRPr="00140923" w:rsidRDefault="002B37E9" w:rsidP="002B37E9">
      <w:pPr>
        <w:rPr>
          <w:lang w:val="es-ES_tradnl"/>
        </w:rPr>
      </w:pPr>
      <w:r w:rsidRPr="00140923">
        <w:rPr>
          <w:lang w:val="es-ES_tradnl"/>
        </w:rPr>
        <w:t>En los casos en que la calidad de funcionamiento de los sistemas digitales depende principalmente del desvanecimiento por trayectos múltiples (por ejemplo en frecuencias por debajo de alrededor de 17 GHz), la introducción de otra interferencia acumulada de 10 dB por debajo del umbral de ruido del sistema causa un 10% de aumento del tiempo en que la relación portadora/ruido más interferencia (</w:t>
      </w:r>
      <w:r w:rsidRPr="00140923">
        <w:rPr>
          <w:i/>
          <w:lang w:val="es-ES_tradnl"/>
        </w:rPr>
        <w:t>C</w:t>
      </w:r>
      <w:r w:rsidRPr="00140923">
        <w:rPr>
          <w:lang w:val="es-ES_tradnl"/>
        </w:rPr>
        <w:t>/(</w:t>
      </w:r>
      <w:r w:rsidRPr="00140923">
        <w:rPr>
          <w:i/>
          <w:lang w:val="es-ES_tradnl"/>
        </w:rPr>
        <w:t>N </w:t>
      </w:r>
      <w:r w:rsidRPr="00140923">
        <w:rPr>
          <w:lang w:val="es-ES_tradnl"/>
        </w:rPr>
        <w:t>+ </w:t>
      </w:r>
      <w:r w:rsidRPr="00140923">
        <w:rPr>
          <w:i/>
          <w:lang w:val="es-ES_tradnl"/>
        </w:rPr>
        <w:t>I</w:t>
      </w:r>
      <w:r w:rsidRPr="00140923">
        <w:rPr>
          <w:lang w:val="es-ES_tradnl"/>
        </w:rPr>
        <w:t>)) del sistema está por debajo de un valor crítico. Asimismo en lo que respecta a los objetivos de la característica de error se deberá tener en cuenta toda característica temporal de la exposición del servicio fijo a la interferencia para determinar la degradación de la calidad de funcionamiento.</w:t>
      </w:r>
    </w:p>
    <w:p w14:paraId="58FD41F5" w14:textId="77777777" w:rsidR="002B37E9" w:rsidRPr="00140923" w:rsidRDefault="002B37E9" w:rsidP="002B37E9">
      <w:pPr>
        <w:rPr>
          <w:lang w:val="es-ES_tradnl"/>
        </w:rPr>
      </w:pPr>
      <w:r w:rsidRPr="00140923">
        <w:rPr>
          <w:lang w:val="es-ES_tradnl"/>
        </w:rPr>
        <w:t>Además, es preciso señalar que muchos sistemas inalámbricos fijos emplean recepción con diversidad de espacio en las bandas en que el efecto de desvanecimiento dominante son los trayectos múltiples, y que la potencia de recepción en sistemas que emplean diversidad está sometida a una distribución más moderada que la del desvanecimiento de Rayleigh. Por consiguiente, esos sistemas logran la misma calidad de funcionamiento que las aplicaciones que no emplean diversidad, pero con un margen de desvanecimiento mucho menor. La misma degradación en el margen de desvanecimiento tendrá un efecto mayor en sistemas con recepción por diversidad provocando alrededor del doble de la degradación de la característica de error. En el Cuadro 2 se muestran las relaciones que mantienen las anteriores variables para tres valores (</w:t>
      </w:r>
      <w:r w:rsidRPr="00140923">
        <w:rPr>
          <w:i/>
          <w:lang w:val="es-ES_tradnl"/>
        </w:rPr>
        <w:t>I</w:t>
      </w:r>
      <w:r w:rsidRPr="00140923">
        <w:rPr>
          <w:lang w:val="es-ES_tradnl"/>
        </w:rPr>
        <w:t>/</w:t>
      </w:r>
      <w:r w:rsidRPr="00140923">
        <w:rPr>
          <w:i/>
          <w:lang w:val="es-ES_tradnl"/>
        </w:rPr>
        <w:t>N</w:t>
      </w:r>
      <w:r w:rsidRPr="00140923">
        <w:rPr>
          <w:lang w:val="es-ES_tradnl"/>
        </w:rPr>
        <w:t>).</w:t>
      </w:r>
    </w:p>
    <w:p w14:paraId="06D82D79" w14:textId="77777777" w:rsidR="002B37E9" w:rsidRPr="00140923" w:rsidRDefault="002B37E9" w:rsidP="006F5C69">
      <w:pPr>
        <w:pStyle w:val="TableNo"/>
        <w:keepLines/>
        <w:rPr>
          <w:lang w:val="es-ES_tradnl"/>
        </w:rPr>
      </w:pPr>
      <w:r w:rsidRPr="00140923">
        <w:rPr>
          <w:lang w:val="es-ES_tradnl"/>
        </w:rPr>
        <w:lastRenderedPageBreak/>
        <w:t>CUADRO 2</w:t>
      </w:r>
    </w:p>
    <w:p w14:paraId="2E5529CA" w14:textId="634B391D" w:rsidR="002B37E9" w:rsidRPr="00140923" w:rsidRDefault="002B37E9" w:rsidP="006F5C69">
      <w:pPr>
        <w:pStyle w:val="Tabletitle"/>
        <w:keepLines/>
        <w:rPr>
          <w:lang w:val="es-ES_tradnl"/>
        </w:rPr>
      </w:pPr>
      <w:r w:rsidRPr="00140923">
        <w:rPr>
          <w:lang w:val="es-ES_tradnl"/>
        </w:rPr>
        <w:t>Degradación en la característica de error provocada por el desvanecimiento</w:t>
      </w:r>
      <w:r w:rsidRPr="00140923">
        <w:rPr>
          <w:lang w:val="es-ES_tradnl"/>
        </w:rPr>
        <w:br/>
        <w:t>por trayectos múltiples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2383"/>
        <w:gridCol w:w="2440"/>
        <w:gridCol w:w="2440"/>
      </w:tblGrid>
      <w:tr w:rsidR="002B37E9" w:rsidRPr="00140923" w14:paraId="0BF9B772" w14:textId="77777777" w:rsidTr="006F5C69">
        <w:trPr>
          <w:cantSplit/>
          <w:trHeight w:val="20"/>
          <w:jc w:val="center"/>
        </w:trPr>
        <w:tc>
          <w:tcPr>
            <w:tcW w:w="2382" w:type="dxa"/>
            <w:vMerge w:val="restart"/>
            <w:tcBorders>
              <w:top w:val="single" w:sz="4" w:space="0" w:color="auto"/>
              <w:left w:val="single" w:sz="4" w:space="0" w:color="auto"/>
              <w:bottom w:val="single" w:sz="4" w:space="0" w:color="auto"/>
              <w:right w:val="single" w:sz="4" w:space="0" w:color="auto"/>
            </w:tcBorders>
            <w:vAlign w:val="center"/>
            <w:hideMark/>
          </w:tcPr>
          <w:p w14:paraId="1430F204" w14:textId="77777777" w:rsidR="002B37E9" w:rsidRPr="00140923" w:rsidRDefault="002B37E9" w:rsidP="006F5C69">
            <w:pPr>
              <w:pStyle w:val="Tablehead"/>
              <w:keepLines/>
              <w:rPr>
                <w:lang w:val="es-ES_tradnl"/>
              </w:rPr>
            </w:pPr>
            <w:r w:rsidRPr="00140923">
              <w:rPr>
                <w:lang w:val="es-ES_tradnl"/>
              </w:rPr>
              <w:t>Nivel de interferencia relativo al ruido térmico del receptor</w:t>
            </w:r>
            <w:r w:rsidRPr="00140923">
              <w:rPr>
                <w:lang w:val="es-ES_tradnl"/>
              </w:rPr>
              <w:br/>
              <w:t>(dB)</w:t>
            </w:r>
          </w:p>
        </w:tc>
        <w:tc>
          <w:tcPr>
            <w:tcW w:w="2383" w:type="dxa"/>
            <w:vMerge w:val="restart"/>
            <w:tcBorders>
              <w:top w:val="single" w:sz="4" w:space="0" w:color="auto"/>
              <w:left w:val="single" w:sz="4" w:space="0" w:color="auto"/>
              <w:bottom w:val="single" w:sz="4" w:space="0" w:color="auto"/>
              <w:right w:val="single" w:sz="4" w:space="0" w:color="auto"/>
            </w:tcBorders>
            <w:vAlign w:val="center"/>
            <w:hideMark/>
          </w:tcPr>
          <w:p w14:paraId="34C14FCE" w14:textId="77777777" w:rsidR="002B37E9" w:rsidRPr="00140923" w:rsidRDefault="002B37E9" w:rsidP="006F5C69">
            <w:pPr>
              <w:pStyle w:val="Tablehead"/>
              <w:keepLines/>
              <w:ind w:left="-85" w:right="-85"/>
              <w:rPr>
                <w:lang w:val="es-ES_tradnl"/>
              </w:rPr>
            </w:pPr>
            <w:r w:rsidRPr="00140923">
              <w:rPr>
                <w:lang w:val="es-ES_tradnl"/>
              </w:rPr>
              <w:t xml:space="preserve">Degradación resultante en el margen de desvanecimiento </w:t>
            </w:r>
            <w:r w:rsidRPr="00140923">
              <w:rPr>
                <w:lang w:val="es-ES_tradnl"/>
              </w:rPr>
              <w:br/>
              <w:t>(dB)</w:t>
            </w:r>
          </w:p>
        </w:tc>
        <w:tc>
          <w:tcPr>
            <w:tcW w:w="4880" w:type="dxa"/>
            <w:gridSpan w:val="2"/>
            <w:tcBorders>
              <w:top w:val="single" w:sz="4" w:space="0" w:color="auto"/>
              <w:left w:val="single" w:sz="4" w:space="0" w:color="auto"/>
              <w:bottom w:val="single" w:sz="4" w:space="0" w:color="auto"/>
              <w:right w:val="single" w:sz="4" w:space="0" w:color="auto"/>
            </w:tcBorders>
            <w:vAlign w:val="center"/>
            <w:hideMark/>
          </w:tcPr>
          <w:p w14:paraId="771F6F32" w14:textId="77777777" w:rsidR="002B37E9" w:rsidRPr="00140923" w:rsidRDefault="002B37E9" w:rsidP="006F5C69">
            <w:pPr>
              <w:pStyle w:val="Tablehead"/>
              <w:keepLines/>
              <w:ind w:left="-85" w:right="-85"/>
              <w:rPr>
                <w:lang w:val="es-ES_tradnl"/>
              </w:rPr>
            </w:pPr>
            <w:r w:rsidRPr="00140923">
              <w:rPr>
                <w:lang w:val="es-ES_tradnl"/>
              </w:rPr>
              <w:t>Degradación resultante en la característica</w:t>
            </w:r>
            <w:r w:rsidRPr="00140923">
              <w:rPr>
                <w:lang w:val="es-ES_tradnl"/>
              </w:rPr>
              <w:br/>
              <w:t>de error</w:t>
            </w:r>
            <w:r w:rsidRPr="00140923">
              <w:rPr>
                <w:vertAlign w:val="superscript"/>
                <w:lang w:val="es-ES_tradnl"/>
              </w:rPr>
              <w:t>(1)</w:t>
            </w:r>
          </w:p>
        </w:tc>
      </w:tr>
      <w:tr w:rsidR="002B37E9" w:rsidRPr="00140923" w14:paraId="41B23AC5" w14:textId="77777777" w:rsidTr="006F5C69">
        <w:trPr>
          <w:cantSplit/>
          <w:trHeight w:val="20"/>
          <w:jc w:val="center"/>
        </w:trPr>
        <w:tc>
          <w:tcPr>
            <w:tcW w:w="2382" w:type="dxa"/>
            <w:vMerge/>
            <w:tcBorders>
              <w:top w:val="single" w:sz="4" w:space="0" w:color="auto"/>
              <w:left w:val="single" w:sz="4" w:space="0" w:color="auto"/>
              <w:bottom w:val="single" w:sz="4" w:space="0" w:color="auto"/>
              <w:right w:val="single" w:sz="4" w:space="0" w:color="auto"/>
            </w:tcBorders>
            <w:vAlign w:val="center"/>
            <w:hideMark/>
          </w:tcPr>
          <w:p w14:paraId="05FF41A5" w14:textId="77777777" w:rsidR="002B37E9" w:rsidRPr="00140923" w:rsidRDefault="002B37E9" w:rsidP="006F5C69">
            <w:pPr>
              <w:keepNext/>
              <w:keepLines/>
              <w:tabs>
                <w:tab w:val="clear" w:pos="794"/>
                <w:tab w:val="clear" w:pos="1191"/>
                <w:tab w:val="clear" w:pos="1588"/>
                <w:tab w:val="clear" w:pos="1985"/>
              </w:tabs>
              <w:overflowPunct/>
              <w:autoSpaceDE/>
              <w:autoSpaceDN/>
              <w:adjustRightInd/>
              <w:spacing w:before="0"/>
              <w:jc w:val="left"/>
              <w:rPr>
                <w:b/>
                <w:sz w:val="22"/>
                <w:lang w:val="es-ES_tradnl"/>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14:paraId="2C861762" w14:textId="77777777" w:rsidR="002B37E9" w:rsidRPr="00140923" w:rsidRDefault="002B37E9" w:rsidP="006F5C69">
            <w:pPr>
              <w:keepNext/>
              <w:keepLines/>
              <w:tabs>
                <w:tab w:val="clear" w:pos="794"/>
                <w:tab w:val="clear" w:pos="1191"/>
                <w:tab w:val="clear" w:pos="1588"/>
                <w:tab w:val="clear" w:pos="1985"/>
              </w:tabs>
              <w:overflowPunct/>
              <w:autoSpaceDE/>
              <w:autoSpaceDN/>
              <w:adjustRightInd/>
              <w:spacing w:before="0"/>
              <w:jc w:val="left"/>
              <w:rPr>
                <w:b/>
                <w:sz w:val="22"/>
                <w:lang w:val="es-ES_tradnl"/>
              </w:rPr>
            </w:pPr>
          </w:p>
        </w:tc>
        <w:tc>
          <w:tcPr>
            <w:tcW w:w="2440" w:type="dxa"/>
            <w:tcBorders>
              <w:top w:val="single" w:sz="4" w:space="0" w:color="auto"/>
              <w:left w:val="single" w:sz="4" w:space="0" w:color="auto"/>
              <w:bottom w:val="single" w:sz="4" w:space="0" w:color="auto"/>
              <w:right w:val="single" w:sz="4" w:space="0" w:color="auto"/>
            </w:tcBorders>
            <w:vAlign w:val="center"/>
            <w:hideMark/>
          </w:tcPr>
          <w:p w14:paraId="2F3BC62C" w14:textId="77777777" w:rsidR="002B37E9" w:rsidRPr="00140923" w:rsidRDefault="002B37E9" w:rsidP="006F5C69">
            <w:pPr>
              <w:pStyle w:val="Tablehead"/>
              <w:keepLines/>
              <w:rPr>
                <w:lang w:val="es-ES_tradnl"/>
              </w:rPr>
            </w:pPr>
            <w:r w:rsidRPr="00140923">
              <w:rPr>
                <w:lang w:val="es-ES_tradnl"/>
              </w:rPr>
              <w:t>Sistemas sin</w:t>
            </w:r>
            <w:r w:rsidRPr="00140923">
              <w:rPr>
                <w:lang w:val="es-ES_tradnl"/>
              </w:rPr>
              <w:br/>
              <w:t>diversidad de espacio</w:t>
            </w:r>
          </w:p>
        </w:tc>
        <w:tc>
          <w:tcPr>
            <w:tcW w:w="2440" w:type="dxa"/>
            <w:tcBorders>
              <w:top w:val="single" w:sz="4" w:space="0" w:color="auto"/>
              <w:left w:val="single" w:sz="4" w:space="0" w:color="auto"/>
              <w:bottom w:val="single" w:sz="4" w:space="0" w:color="auto"/>
              <w:right w:val="single" w:sz="4" w:space="0" w:color="auto"/>
            </w:tcBorders>
            <w:vAlign w:val="center"/>
            <w:hideMark/>
          </w:tcPr>
          <w:p w14:paraId="232E48F9" w14:textId="77777777" w:rsidR="002B37E9" w:rsidRPr="00140923" w:rsidRDefault="002B37E9" w:rsidP="006F5C69">
            <w:pPr>
              <w:pStyle w:val="Tablehead"/>
              <w:keepLines/>
              <w:rPr>
                <w:lang w:val="es-ES_tradnl"/>
              </w:rPr>
            </w:pPr>
            <w:r w:rsidRPr="00140923">
              <w:rPr>
                <w:lang w:val="es-ES_tradnl"/>
              </w:rPr>
              <w:t>Sistemas con</w:t>
            </w:r>
            <w:r w:rsidRPr="00140923">
              <w:rPr>
                <w:lang w:val="es-ES_tradnl"/>
              </w:rPr>
              <w:br/>
              <w:t>diversidad de espacio</w:t>
            </w:r>
          </w:p>
        </w:tc>
      </w:tr>
      <w:tr w:rsidR="002B37E9" w:rsidRPr="00140923" w14:paraId="00624EA3" w14:textId="77777777" w:rsidTr="006F5C69">
        <w:trPr>
          <w:jc w:val="center"/>
        </w:trPr>
        <w:tc>
          <w:tcPr>
            <w:tcW w:w="2382" w:type="dxa"/>
            <w:tcBorders>
              <w:top w:val="single" w:sz="4" w:space="0" w:color="auto"/>
              <w:left w:val="single" w:sz="4" w:space="0" w:color="auto"/>
              <w:bottom w:val="single" w:sz="4" w:space="0" w:color="auto"/>
              <w:right w:val="single" w:sz="4" w:space="0" w:color="auto"/>
            </w:tcBorders>
            <w:hideMark/>
          </w:tcPr>
          <w:p w14:paraId="6D8567E3" w14:textId="03F3487D" w:rsidR="002B37E9" w:rsidRPr="00140923" w:rsidRDefault="006F5C69" w:rsidP="006F5C69">
            <w:pPr>
              <w:pStyle w:val="Tabletext"/>
              <w:keepNext/>
              <w:keepLines/>
              <w:jc w:val="center"/>
              <w:rPr>
                <w:lang w:val="es-ES_tradnl"/>
              </w:rPr>
            </w:pPr>
            <w:r w:rsidRPr="006F5C69">
              <w:rPr>
                <w:lang w:val="es-ES_tradnl"/>
              </w:rPr>
              <w:t>−</w:t>
            </w:r>
            <w:r w:rsidR="002B37E9" w:rsidRPr="00140923">
              <w:rPr>
                <w:lang w:val="es-ES_tradnl"/>
              </w:rPr>
              <w:t>6</w:t>
            </w:r>
          </w:p>
        </w:tc>
        <w:tc>
          <w:tcPr>
            <w:tcW w:w="2383" w:type="dxa"/>
            <w:tcBorders>
              <w:top w:val="single" w:sz="4" w:space="0" w:color="auto"/>
              <w:left w:val="single" w:sz="4" w:space="0" w:color="auto"/>
              <w:bottom w:val="single" w:sz="4" w:space="0" w:color="auto"/>
              <w:right w:val="single" w:sz="4" w:space="0" w:color="auto"/>
            </w:tcBorders>
            <w:hideMark/>
          </w:tcPr>
          <w:p w14:paraId="31EF64E1" w14:textId="77777777" w:rsidR="002B37E9" w:rsidRPr="00140923" w:rsidRDefault="002B37E9" w:rsidP="006F5C69">
            <w:pPr>
              <w:pStyle w:val="Tabletext"/>
              <w:keepNext/>
              <w:keepLines/>
              <w:jc w:val="center"/>
              <w:rPr>
                <w:lang w:val="es-ES_tradnl"/>
              </w:rPr>
            </w:pPr>
            <w:r w:rsidRPr="00140923">
              <w:rPr>
                <w:lang w:val="es-ES_tradnl"/>
              </w:rPr>
              <w:t>1</w:t>
            </w:r>
          </w:p>
        </w:tc>
        <w:tc>
          <w:tcPr>
            <w:tcW w:w="2440" w:type="dxa"/>
            <w:tcBorders>
              <w:top w:val="single" w:sz="4" w:space="0" w:color="auto"/>
              <w:left w:val="single" w:sz="4" w:space="0" w:color="auto"/>
              <w:bottom w:val="single" w:sz="4" w:space="0" w:color="auto"/>
              <w:right w:val="single" w:sz="4" w:space="0" w:color="auto"/>
            </w:tcBorders>
            <w:hideMark/>
          </w:tcPr>
          <w:p w14:paraId="47FDD77E" w14:textId="77777777" w:rsidR="002B37E9" w:rsidRPr="00140923" w:rsidRDefault="002B37E9" w:rsidP="006F5C69">
            <w:pPr>
              <w:pStyle w:val="Tabletext"/>
              <w:keepNext/>
              <w:keepLines/>
              <w:jc w:val="center"/>
              <w:rPr>
                <w:lang w:val="es-ES_tradnl"/>
              </w:rPr>
            </w:pPr>
            <w:r w:rsidRPr="00140923">
              <w:rPr>
                <w:lang w:val="es-ES_tradnl"/>
              </w:rPr>
              <w:t>25%</w:t>
            </w:r>
          </w:p>
        </w:tc>
        <w:tc>
          <w:tcPr>
            <w:tcW w:w="2440" w:type="dxa"/>
            <w:tcBorders>
              <w:top w:val="single" w:sz="4" w:space="0" w:color="auto"/>
              <w:left w:val="single" w:sz="4" w:space="0" w:color="auto"/>
              <w:bottom w:val="single" w:sz="4" w:space="0" w:color="auto"/>
              <w:right w:val="single" w:sz="4" w:space="0" w:color="auto"/>
            </w:tcBorders>
            <w:hideMark/>
          </w:tcPr>
          <w:p w14:paraId="7040C8C0" w14:textId="77777777" w:rsidR="002B37E9" w:rsidRPr="00140923" w:rsidRDefault="002B37E9" w:rsidP="006F5C69">
            <w:pPr>
              <w:pStyle w:val="Tabletext"/>
              <w:keepNext/>
              <w:keepLines/>
              <w:jc w:val="center"/>
              <w:rPr>
                <w:lang w:val="es-ES_tradnl"/>
              </w:rPr>
            </w:pPr>
            <w:r w:rsidRPr="00140923">
              <w:rPr>
                <w:lang w:val="es-ES_tradnl"/>
              </w:rPr>
              <w:t>50%</w:t>
            </w:r>
          </w:p>
        </w:tc>
      </w:tr>
      <w:tr w:rsidR="002B37E9" w:rsidRPr="00140923" w14:paraId="3589F361" w14:textId="77777777" w:rsidTr="006F5C69">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14:paraId="566F7172" w14:textId="11D3BFFA" w:rsidR="002B37E9" w:rsidRPr="00140923" w:rsidRDefault="006F5C69" w:rsidP="00226764">
            <w:pPr>
              <w:pStyle w:val="Tabletext"/>
              <w:keepNext/>
              <w:keepLines/>
              <w:jc w:val="center"/>
              <w:rPr>
                <w:lang w:val="es-ES_tradnl"/>
              </w:rPr>
            </w:pPr>
            <w:r w:rsidRPr="006F5C69">
              <w:rPr>
                <w:lang w:val="es-ES_tradnl"/>
              </w:rPr>
              <w:t>−</w:t>
            </w:r>
            <w:r w:rsidR="002B37E9" w:rsidRPr="00140923">
              <w:rPr>
                <w:lang w:val="es-ES_tradnl"/>
              </w:rPr>
              <w:t>10</w:t>
            </w:r>
          </w:p>
        </w:tc>
        <w:tc>
          <w:tcPr>
            <w:tcW w:w="2383" w:type="dxa"/>
            <w:tcBorders>
              <w:top w:val="single" w:sz="4" w:space="0" w:color="auto"/>
              <w:left w:val="single" w:sz="4" w:space="0" w:color="auto"/>
              <w:bottom w:val="single" w:sz="4" w:space="0" w:color="auto"/>
              <w:right w:val="single" w:sz="4" w:space="0" w:color="auto"/>
            </w:tcBorders>
            <w:hideMark/>
          </w:tcPr>
          <w:p w14:paraId="0C5FFF08" w14:textId="77777777" w:rsidR="002B37E9" w:rsidRPr="00140923" w:rsidRDefault="002B37E9" w:rsidP="00226764">
            <w:pPr>
              <w:pStyle w:val="Tabletext"/>
              <w:keepNext/>
              <w:keepLines/>
              <w:jc w:val="center"/>
              <w:rPr>
                <w:lang w:val="es-ES_tradnl"/>
              </w:rPr>
            </w:pPr>
            <w:r w:rsidRPr="00140923">
              <w:rPr>
                <w:lang w:val="es-ES_tradnl"/>
              </w:rPr>
              <w:t>0,5</w:t>
            </w:r>
          </w:p>
        </w:tc>
        <w:tc>
          <w:tcPr>
            <w:tcW w:w="2440" w:type="dxa"/>
            <w:tcBorders>
              <w:top w:val="single" w:sz="4" w:space="0" w:color="auto"/>
              <w:left w:val="single" w:sz="4" w:space="0" w:color="auto"/>
              <w:bottom w:val="single" w:sz="4" w:space="0" w:color="auto"/>
              <w:right w:val="single" w:sz="4" w:space="0" w:color="auto"/>
            </w:tcBorders>
            <w:hideMark/>
          </w:tcPr>
          <w:p w14:paraId="59C784E3" w14:textId="77777777" w:rsidR="002B37E9" w:rsidRPr="00140923" w:rsidRDefault="002B37E9" w:rsidP="00226764">
            <w:pPr>
              <w:pStyle w:val="Tabletext"/>
              <w:keepNext/>
              <w:keepLines/>
              <w:jc w:val="center"/>
              <w:rPr>
                <w:bCs/>
                <w:lang w:val="es-ES_tradnl"/>
              </w:rPr>
            </w:pPr>
            <w:r w:rsidRPr="00140923">
              <w:rPr>
                <w:bCs/>
                <w:lang w:val="es-ES_tradnl"/>
              </w:rPr>
              <w:t>10%</w:t>
            </w:r>
          </w:p>
        </w:tc>
        <w:tc>
          <w:tcPr>
            <w:tcW w:w="2440" w:type="dxa"/>
            <w:tcBorders>
              <w:top w:val="single" w:sz="4" w:space="0" w:color="auto"/>
              <w:left w:val="single" w:sz="4" w:space="0" w:color="auto"/>
              <w:bottom w:val="single" w:sz="4" w:space="0" w:color="auto"/>
              <w:right w:val="single" w:sz="4" w:space="0" w:color="auto"/>
            </w:tcBorders>
            <w:hideMark/>
          </w:tcPr>
          <w:p w14:paraId="5641CE08" w14:textId="77777777" w:rsidR="002B37E9" w:rsidRPr="00140923" w:rsidRDefault="002B37E9" w:rsidP="00226764">
            <w:pPr>
              <w:pStyle w:val="Tabletext"/>
              <w:keepNext/>
              <w:keepLines/>
              <w:jc w:val="center"/>
              <w:rPr>
                <w:bCs/>
                <w:lang w:val="es-ES_tradnl"/>
              </w:rPr>
            </w:pPr>
            <w:r w:rsidRPr="00140923">
              <w:rPr>
                <w:bCs/>
                <w:lang w:val="es-ES_tradnl"/>
              </w:rPr>
              <w:t>20%</w:t>
            </w:r>
          </w:p>
        </w:tc>
      </w:tr>
      <w:tr w:rsidR="002B37E9" w:rsidRPr="00140923" w14:paraId="16072910" w14:textId="77777777" w:rsidTr="006F5C69">
        <w:trPr>
          <w:jc w:val="center"/>
        </w:trPr>
        <w:tc>
          <w:tcPr>
            <w:tcW w:w="2382" w:type="dxa"/>
            <w:tcBorders>
              <w:top w:val="single" w:sz="4" w:space="0" w:color="auto"/>
              <w:left w:val="single" w:sz="4" w:space="0" w:color="auto"/>
              <w:bottom w:val="single" w:sz="4" w:space="0" w:color="auto"/>
              <w:right w:val="single" w:sz="4" w:space="0" w:color="auto"/>
            </w:tcBorders>
            <w:hideMark/>
          </w:tcPr>
          <w:p w14:paraId="084AAE5A" w14:textId="4B039FBC" w:rsidR="002B37E9" w:rsidRPr="00140923" w:rsidRDefault="006F5C69" w:rsidP="00226764">
            <w:pPr>
              <w:pStyle w:val="Tabletext"/>
              <w:keepNext/>
              <w:keepLines/>
              <w:jc w:val="center"/>
              <w:rPr>
                <w:lang w:val="es-ES_tradnl"/>
              </w:rPr>
            </w:pPr>
            <w:r w:rsidRPr="006F5C69">
              <w:rPr>
                <w:lang w:val="es-ES_tradnl"/>
              </w:rPr>
              <w:t>−</w:t>
            </w:r>
            <w:r w:rsidR="002B37E9" w:rsidRPr="00140923">
              <w:rPr>
                <w:lang w:val="es-ES_tradnl"/>
              </w:rPr>
              <w:t>13</w:t>
            </w:r>
          </w:p>
        </w:tc>
        <w:tc>
          <w:tcPr>
            <w:tcW w:w="2383" w:type="dxa"/>
            <w:tcBorders>
              <w:top w:val="single" w:sz="4" w:space="0" w:color="auto"/>
              <w:left w:val="single" w:sz="4" w:space="0" w:color="auto"/>
              <w:bottom w:val="single" w:sz="4" w:space="0" w:color="auto"/>
              <w:right w:val="single" w:sz="4" w:space="0" w:color="auto"/>
            </w:tcBorders>
            <w:hideMark/>
          </w:tcPr>
          <w:p w14:paraId="340F6B91" w14:textId="77777777" w:rsidR="002B37E9" w:rsidRPr="00140923" w:rsidRDefault="002B37E9" w:rsidP="00226764">
            <w:pPr>
              <w:pStyle w:val="Tabletext"/>
              <w:keepNext/>
              <w:keepLines/>
              <w:jc w:val="center"/>
              <w:rPr>
                <w:lang w:val="es-ES_tradnl"/>
              </w:rPr>
            </w:pPr>
            <w:r w:rsidRPr="00140923">
              <w:rPr>
                <w:lang w:val="es-ES_tradnl"/>
              </w:rPr>
              <w:t>0,2</w:t>
            </w:r>
          </w:p>
        </w:tc>
        <w:tc>
          <w:tcPr>
            <w:tcW w:w="2440" w:type="dxa"/>
            <w:tcBorders>
              <w:top w:val="single" w:sz="4" w:space="0" w:color="auto"/>
              <w:left w:val="single" w:sz="4" w:space="0" w:color="auto"/>
              <w:bottom w:val="single" w:sz="4" w:space="0" w:color="auto"/>
              <w:right w:val="single" w:sz="4" w:space="0" w:color="auto"/>
            </w:tcBorders>
            <w:hideMark/>
          </w:tcPr>
          <w:p w14:paraId="4E9E6E58" w14:textId="77777777" w:rsidR="002B37E9" w:rsidRPr="00140923" w:rsidRDefault="002B37E9" w:rsidP="00226764">
            <w:pPr>
              <w:pStyle w:val="Tabletext"/>
              <w:keepNext/>
              <w:keepLines/>
              <w:jc w:val="center"/>
              <w:rPr>
                <w:bCs/>
                <w:lang w:val="es-ES_tradnl"/>
              </w:rPr>
            </w:pPr>
            <w:r w:rsidRPr="00140923">
              <w:rPr>
                <w:bCs/>
                <w:lang w:val="es-ES_tradnl"/>
              </w:rPr>
              <w:t>5%</w:t>
            </w:r>
          </w:p>
        </w:tc>
        <w:tc>
          <w:tcPr>
            <w:tcW w:w="2440" w:type="dxa"/>
            <w:tcBorders>
              <w:top w:val="single" w:sz="4" w:space="0" w:color="auto"/>
              <w:left w:val="single" w:sz="4" w:space="0" w:color="auto"/>
              <w:bottom w:val="single" w:sz="4" w:space="0" w:color="auto"/>
              <w:right w:val="single" w:sz="4" w:space="0" w:color="auto"/>
            </w:tcBorders>
            <w:hideMark/>
          </w:tcPr>
          <w:p w14:paraId="2EFC098D" w14:textId="77777777" w:rsidR="002B37E9" w:rsidRPr="00140923" w:rsidRDefault="002B37E9" w:rsidP="00226764">
            <w:pPr>
              <w:pStyle w:val="Tabletext"/>
              <w:keepNext/>
              <w:keepLines/>
              <w:jc w:val="center"/>
              <w:rPr>
                <w:bCs/>
                <w:lang w:val="es-ES_tradnl"/>
              </w:rPr>
            </w:pPr>
            <w:r w:rsidRPr="00140923">
              <w:rPr>
                <w:bCs/>
                <w:lang w:val="es-ES_tradnl"/>
              </w:rPr>
              <w:t>10%</w:t>
            </w:r>
          </w:p>
        </w:tc>
      </w:tr>
      <w:tr w:rsidR="002B37E9" w:rsidRPr="00140923" w14:paraId="5950AD00" w14:textId="77777777" w:rsidTr="006F5C69">
        <w:trPr>
          <w:jc w:val="center"/>
        </w:trPr>
        <w:tc>
          <w:tcPr>
            <w:tcW w:w="9645" w:type="dxa"/>
            <w:gridSpan w:val="4"/>
            <w:tcBorders>
              <w:top w:val="single" w:sz="4" w:space="0" w:color="auto"/>
              <w:left w:val="nil"/>
              <w:bottom w:val="nil"/>
              <w:right w:val="nil"/>
            </w:tcBorders>
            <w:hideMark/>
          </w:tcPr>
          <w:p w14:paraId="2BBEFF30" w14:textId="77777777" w:rsidR="002B37E9" w:rsidRPr="00140923" w:rsidRDefault="002B37E9" w:rsidP="00226764">
            <w:pPr>
              <w:pStyle w:val="Tablelegend"/>
              <w:rPr>
                <w:b/>
                <w:lang w:val="es-ES_tradnl"/>
              </w:rPr>
            </w:pPr>
            <w:r w:rsidRPr="00140923">
              <w:rPr>
                <w:vertAlign w:val="superscript"/>
                <w:lang w:val="es-ES_tradnl"/>
              </w:rPr>
              <w:t>(1)</w:t>
            </w:r>
            <w:r w:rsidRPr="00140923">
              <w:rPr>
                <w:lang w:val="es-ES_tradnl"/>
              </w:rPr>
              <w:tab/>
              <w:t>Se consideran el desvanecimiento por trayectos múltiples sujeto a la distribución de Rayleigh y el efecto típico de la diversidad de espacio. Los valores serían diferentes para diferentes distribuciones de desvanecimiento.</w:t>
            </w:r>
          </w:p>
        </w:tc>
      </w:tr>
    </w:tbl>
    <w:p w14:paraId="670F9745" w14:textId="77777777" w:rsidR="006F5C69" w:rsidRPr="006F5C69" w:rsidRDefault="006F5C69" w:rsidP="006F5C69">
      <w:pPr>
        <w:pStyle w:val="Tablefin"/>
        <w:rPr>
          <w:lang w:eastAsia="zh-CN"/>
        </w:rPr>
      </w:pPr>
    </w:p>
    <w:p w14:paraId="0709CDAB" w14:textId="41EBA4A4" w:rsidR="002B37E9" w:rsidRPr="00140923" w:rsidRDefault="002B37E9" w:rsidP="002B37E9">
      <w:pPr>
        <w:pStyle w:val="Heading3"/>
        <w:rPr>
          <w:lang w:val="es-ES_tradnl"/>
        </w:rPr>
      </w:pPr>
      <w:r w:rsidRPr="00140923">
        <w:rPr>
          <w:lang w:val="es-ES_tradnl"/>
        </w:rPr>
        <w:t>4.1.2</w:t>
      </w:r>
      <w:r w:rsidRPr="00140923">
        <w:rPr>
          <w:lang w:val="es-ES_tradnl"/>
        </w:rPr>
        <w:tab/>
        <w:t>Efecto de la reducción del margen de desvanecimiento en las bandas donde la lluvia es un factor dominante</w:t>
      </w:r>
    </w:p>
    <w:p w14:paraId="1E23C57B" w14:textId="77777777" w:rsidR="002B37E9" w:rsidRPr="00140923" w:rsidRDefault="002B37E9" w:rsidP="002B37E9">
      <w:pPr>
        <w:keepNext/>
        <w:keepLines/>
        <w:rPr>
          <w:lang w:val="es-ES_tradnl"/>
        </w:rPr>
      </w:pPr>
      <w:r w:rsidRPr="00140923">
        <w:rPr>
          <w:lang w:val="es-ES_tradnl"/>
        </w:rPr>
        <w:t>En caso de lluvia, la relación entre:</w:t>
      </w:r>
    </w:p>
    <w:p w14:paraId="5D5BC78A" w14:textId="77777777" w:rsidR="002B37E9" w:rsidRPr="00140923" w:rsidRDefault="002B37E9" w:rsidP="002B37E9">
      <w:pPr>
        <w:pStyle w:val="enumlev1"/>
        <w:keepNext/>
        <w:keepLines/>
        <w:rPr>
          <w:lang w:val="es-ES_tradnl"/>
        </w:rPr>
      </w:pPr>
      <w:r w:rsidRPr="00140923">
        <w:rPr>
          <w:lang w:val="es-ES_tradnl"/>
        </w:rPr>
        <w:t>a)</w:t>
      </w:r>
      <w:r w:rsidRPr="00140923">
        <w:rPr>
          <w:lang w:val="es-ES_tradnl"/>
        </w:rPr>
        <w:tab/>
        <w:t>la degradación de la característica de disponibilidad debida a la interferencia; y</w:t>
      </w:r>
    </w:p>
    <w:p w14:paraId="2502DA64" w14:textId="77777777" w:rsidR="002B37E9" w:rsidRPr="00140923" w:rsidRDefault="002B37E9" w:rsidP="002B37E9">
      <w:pPr>
        <w:pStyle w:val="enumlev1"/>
        <w:rPr>
          <w:lang w:val="es-ES_tradnl"/>
        </w:rPr>
      </w:pPr>
      <w:r w:rsidRPr="00140923">
        <w:rPr>
          <w:lang w:val="es-ES_tradnl"/>
        </w:rPr>
        <w:t>b)</w:t>
      </w:r>
      <w:r w:rsidRPr="00140923">
        <w:rPr>
          <w:lang w:val="es-ES_tradnl"/>
        </w:rPr>
        <w:tab/>
        <w:t>la degradación del margen de desvanecimiento debida a la interferencia,</w:t>
      </w:r>
    </w:p>
    <w:p w14:paraId="7980FF53" w14:textId="408310B0" w:rsidR="002B37E9" w:rsidRPr="00140923" w:rsidRDefault="002B37E9" w:rsidP="002B37E9">
      <w:pPr>
        <w:rPr>
          <w:lang w:val="es-ES_tradnl"/>
        </w:rPr>
      </w:pPr>
      <w:r w:rsidRPr="00140923">
        <w:rPr>
          <w:lang w:val="es-ES_tradnl"/>
        </w:rPr>
        <w:t>no es sencilla, puesto que la distribución de la atenuación por lluvia varía en función de muchos parámetros, por ejemplo, la frecuencia radioeléctrica, la zona hidrometeorológica, la longitud del enlace y el objetivo especificado de la característica de disponibilidad.</w:t>
      </w:r>
    </w:p>
    <w:p w14:paraId="64CFFA8D" w14:textId="77777777" w:rsidR="002B37E9" w:rsidRPr="00140923" w:rsidRDefault="002B37E9" w:rsidP="002B37E9">
      <w:pPr>
        <w:rPr>
          <w:lang w:val="es-ES_tradnl"/>
        </w:rPr>
      </w:pPr>
      <w:r w:rsidRPr="00140923">
        <w:rPr>
          <w:lang w:val="es-ES_tradnl"/>
        </w:rPr>
        <w:t>La utilización de los parámetros y distribuciones probabilistas típicos se describe en la Recomendación UIT-R P.530, y en los Cuadros 3 y 4 se ofrecen ejemplos de resultados de cálculo con relaciones entre el valor (</w:t>
      </w:r>
      <w:r w:rsidRPr="00140923">
        <w:rPr>
          <w:i/>
          <w:lang w:val="es-ES_tradnl"/>
        </w:rPr>
        <w:t>I</w:t>
      </w:r>
      <w:r w:rsidRPr="00140923">
        <w:rPr>
          <w:lang w:val="es-ES_tradnl"/>
        </w:rPr>
        <w:t>/</w:t>
      </w:r>
      <w:r w:rsidRPr="00140923">
        <w:rPr>
          <w:i/>
          <w:lang w:val="es-ES_tradnl"/>
        </w:rPr>
        <w:t>N</w:t>
      </w:r>
      <w:r w:rsidRPr="00140923">
        <w:rPr>
          <w:lang w:val="es-ES_tradnl"/>
        </w:rPr>
        <w:t>) y la degradación de la característica de disponibilidad resultante con una longitud de los saltos de 6 km y 3 km, respectivamente. Las cifras de los Cuadros 3 y 4, se interpretan, por ejemplo, considerando que si el margen nominal de 42,9 dB se degrada en un 1 dB (hasta 41,9 dB), la característica de disponibilidad del enlace especificada para una relación de indisponibilidad de 0,001% en ausencia de interferencia aumentará a 0,001 085% (aumento del 8,5%) con interferencia.</w:t>
      </w:r>
    </w:p>
    <w:p w14:paraId="19CBE68A" w14:textId="77777777" w:rsidR="002B37E9" w:rsidRPr="00140923" w:rsidRDefault="002B37E9" w:rsidP="002B37E9">
      <w:pPr>
        <w:rPr>
          <w:lang w:val="es-ES_tradnl"/>
        </w:rPr>
      </w:pPr>
      <w:r w:rsidRPr="00140923">
        <w:rPr>
          <w:lang w:val="es-ES_tradnl"/>
        </w:rPr>
        <w:t>Se observa en general que la degradación resultante en la característica de disponibilidad es mayor en los sistemas que tienen un margen de desvanecimiento nominal más reducido. Al elaborar un criterio de compartición en función del valor de (</w:t>
      </w:r>
      <w:r w:rsidRPr="00140923">
        <w:rPr>
          <w:i/>
          <w:lang w:val="es-ES_tradnl"/>
        </w:rPr>
        <w:t>I</w:t>
      </w:r>
      <w:r w:rsidRPr="00140923">
        <w:rPr>
          <w:lang w:val="es-ES_tradnl"/>
        </w:rPr>
        <w:t>/</w:t>
      </w:r>
      <w:r w:rsidRPr="00140923">
        <w:rPr>
          <w:i/>
          <w:lang w:val="es-ES_tradnl"/>
        </w:rPr>
        <w:t>N</w:t>
      </w:r>
      <w:r w:rsidRPr="00140923">
        <w:rPr>
          <w:lang w:val="es-ES_tradnl"/>
        </w:rPr>
        <w:t>), los diseñadores de sistemas deberían considerar todos los parámetros conexos, incluida la información sobre propagación.</w:t>
      </w:r>
    </w:p>
    <w:p w14:paraId="3E580484" w14:textId="6BF4D8A1" w:rsidR="002B37E9" w:rsidRPr="00140923" w:rsidRDefault="002B37E9" w:rsidP="002B37E9">
      <w:pPr>
        <w:rPr>
          <w:lang w:val="es-ES_tradnl" w:eastAsia="ja-JP"/>
        </w:rPr>
      </w:pPr>
      <w:r w:rsidRPr="00140923">
        <w:rPr>
          <w:lang w:val="es-ES_tradnl"/>
        </w:rPr>
        <w:t xml:space="preserve">Cabe señalar que los ejemplos de cálculo de las degradaciones resultantes de la característica de disponibilidad y el margen de desvanecimiento de los Cuadros 3 y 4 se basan en un desvanecimiento por lluvia no correlacionado. Si se tiene en cuenta el desvanecimiento por lluvia correlacionado, los </w:t>
      </w:r>
      <w:r w:rsidRPr="006F5C69">
        <w:rPr>
          <w:lang w:val="es-ES_tradnl"/>
        </w:rPr>
        <w:t xml:space="preserve">valores resultantes pueden reducirse. En la Recomendación </w:t>
      </w:r>
      <w:hyperlink r:id="rId85" w:history="1">
        <w:r w:rsidRPr="006F5C69">
          <w:rPr>
            <w:rStyle w:val="Hyperlink"/>
            <w:color w:val="auto"/>
            <w:u w:val="none"/>
            <w:lang w:val="es-ES_tradnl"/>
          </w:rPr>
          <w:t>UIT-R F.1669</w:t>
        </w:r>
      </w:hyperlink>
      <w:r w:rsidRPr="006F5C69">
        <w:rPr>
          <w:lang w:val="es-ES_tradnl"/>
        </w:rPr>
        <w:t xml:space="preserve"> se ofrece un ejemplo de </w:t>
      </w:r>
      <w:r w:rsidRPr="00140923">
        <w:rPr>
          <w:lang w:val="es-ES_tradnl"/>
        </w:rPr>
        <w:t>este efecto.</w:t>
      </w:r>
    </w:p>
    <w:p w14:paraId="51B20143" w14:textId="77777777" w:rsidR="002B37E9" w:rsidRPr="00140923" w:rsidRDefault="002B37E9" w:rsidP="006F5C69">
      <w:pPr>
        <w:pStyle w:val="TableNo"/>
        <w:keepLines/>
        <w:widowControl w:val="0"/>
        <w:rPr>
          <w:lang w:val="es-ES_tradnl"/>
        </w:rPr>
      </w:pPr>
      <w:r w:rsidRPr="00140923">
        <w:rPr>
          <w:lang w:val="es-ES_tradnl"/>
        </w:rPr>
        <w:lastRenderedPageBreak/>
        <w:t>CUADRO 3</w:t>
      </w:r>
    </w:p>
    <w:p w14:paraId="34E741DB" w14:textId="77777777" w:rsidR="002B37E9" w:rsidRPr="00140923" w:rsidRDefault="002B37E9" w:rsidP="006F5C69">
      <w:pPr>
        <w:pStyle w:val="Tabletitle"/>
        <w:keepLines/>
        <w:widowControl w:val="0"/>
        <w:rPr>
          <w:lang w:val="es-ES_tradnl"/>
        </w:rPr>
      </w:pPr>
      <w:r w:rsidRPr="00140923">
        <w:rPr>
          <w:lang w:val="es-ES_tradnl"/>
        </w:rPr>
        <w:t xml:space="preserve">Degradación de la característica de desvanecimiento debida al desvanecimiento por lluvia </w:t>
      </w:r>
      <w:r w:rsidRPr="00140923">
        <w:rPr>
          <w:lang w:val="es-ES_tradnl"/>
        </w:rPr>
        <w:br/>
        <w:t>(radiofrecuencia: 23 GHz, longitud del enlace: 6 km)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466"/>
        <w:gridCol w:w="1353"/>
        <w:gridCol w:w="987"/>
        <w:gridCol w:w="1803"/>
        <w:gridCol w:w="987"/>
        <w:gridCol w:w="1803"/>
      </w:tblGrid>
      <w:tr w:rsidR="002B37E9" w:rsidRPr="00140923" w14:paraId="1770A374" w14:textId="77777777" w:rsidTr="006479D0">
        <w:trPr>
          <w:cantSplit/>
          <w:trHeight w:val="588"/>
          <w:jc w:val="center"/>
        </w:trPr>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26D63239" w14:textId="77777777" w:rsidR="002B37E9" w:rsidRPr="00140923" w:rsidRDefault="002B37E9" w:rsidP="006F5C69">
            <w:pPr>
              <w:pStyle w:val="Tablehead"/>
              <w:keepLines/>
              <w:ind w:left="-57" w:right="-57"/>
              <w:rPr>
                <w:lang w:val="es-ES_tradnl"/>
              </w:rPr>
            </w:pPr>
            <w:r w:rsidRPr="00140923">
              <w:rPr>
                <w:lang w:val="es-ES_tradnl"/>
              </w:rPr>
              <w:t>Clima (la intensidad de la lluvia se supera para el 0,01%</w:t>
            </w:r>
            <w:r w:rsidRPr="00140923">
              <w:rPr>
                <w:lang w:val="es-ES_tradnl"/>
              </w:rPr>
              <w:br/>
              <w:t>del tiempo)</w:t>
            </w: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14:paraId="02516903" w14:textId="77777777" w:rsidR="002B37E9" w:rsidRPr="00140923" w:rsidRDefault="002B37E9" w:rsidP="006F5C69">
            <w:pPr>
              <w:pStyle w:val="Tablehead"/>
              <w:keepLines/>
              <w:rPr>
                <w:lang w:val="es-ES_tradnl"/>
              </w:rPr>
            </w:pPr>
            <w:r w:rsidRPr="00140923">
              <w:rPr>
                <w:lang w:val="es-ES_tradnl"/>
              </w:rPr>
              <w:t>Nivel de interferencia con respecto al ruido térmico del receptor (dB)</w:t>
            </w:r>
          </w:p>
        </w:tc>
        <w:tc>
          <w:tcPr>
            <w:tcW w:w="1361" w:type="dxa"/>
            <w:vMerge w:val="restart"/>
            <w:tcBorders>
              <w:top w:val="single" w:sz="4" w:space="0" w:color="auto"/>
              <w:left w:val="single" w:sz="4" w:space="0" w:color="auto"/>
              <w:bottom w:val="single" w:sz="4" w:space="0" w:color="auto"/>
              <w:right w:val="single" w:sz="4" w:space="0" w:color="auto"/>
            </w:tcBorders>
            <w:vAlign w:val="center"/>
            <w:hideMark/>
          </w:tcPr>
          <w:p w14:paraId="08364354" w14:textId="77777777" w:rsidR="002B37E9" w:rsidRPr="00140923" w:rsidRDefault="002B37E9" w:rsidP="006F5C69">
            <w:pPr>
              <w:pStyle w:val="Tablehead"/>
              <w:keepLines/>
              <w:ind w:left="-57" w:right="-57"/>
              <w:rPr>
                <w:lang w:val="es-ES_tradnl"/>
              </w:rPr>
            </w:pPr>
            <w:r w:rsidRPr="00140923">
              <w:rPr>
                <w:lang w:val="es-ES_tradnl"/>
              </w:rPr>
              <w:t xml:space="preserve">Degradación resultante </w:t>
            </w:r>
            <w:r w:rsidRPr="00140923">
              <w:rPr>
                <w:lang w:val="es-ES_tradnl"/>
              </w:rPr>
              <w:br/>
              <w:t>en margen (dB)</w:t>
            </w:r>
          </w:p>
        </w:tc>
        <w:tc>
          <w:tcPr>
            <w:tcW w:w="2806" w:type="dxa"/>
            <w:gridSpan w:val="2"/>
            <w:tcBorders>
              <w:top w:val="single" w:sz="4" w:space="0" w:color="auto"/>
              <w:left w:val="single" w:sz="4" w:space="0" w:color="auto"/>
              <w:bottom w:val="single" w:sz="4" w:space="0" w:color="auto"/>
              <w:right w:val="single" w:sz="4" w:space="0" w:color="auto"/>
            </w:tcBorders>
            <w:vAlign w:val="center"/>
            <w:hideMark/>
          </w:tcPr>
          <w:p w14:paraId="24C19994" w14:textId="77777777" w:rsidR="002B37E9" w:rsidRPr="00140923" w:rsidRDefault="002B37E9" w:rsidP="006F5C69">
            <w:pPr>
              <w:pStyle w:val="Tablehead"/>
              <w:keepLines/>
              <w:rPr>
                <w:lang w:val="es-ES_tradnl"/>
              </w:rPr>
            </w:pPr>
            <w:r w:rsidRPr="00140923">
              <w:rPr>
                <w:lang w:val="es-ES_tradnl"/>
              </w:rPr>
              <w:t>Característica de disponibilidad especificada sin interferencia: relación de indisponibilidad del 0,01%</w:t>
            </w:r>
          </w:p>
        </w:tc>
        <w:tc>
          <w:tcPr>
            <w:tcW w:w="2806" w:type="dxa"/>
            <w:gridSpan w:val="2"/>
            <w:tcBorders>
              <w:top w:val="single" w:sz="4" w:space="0" w:color="auto"/>
              <w:left w:val="single" w:sz="4" w:space="0" w:color="auto"/>
              <w:bottom w:val="single" w:sz="4" w:space="0" w:color="auto"/>
              <w:right w:val="single" w:sz="4" w:space="0" w:color="auto"/>
            </w:tcBorders>
            <w:vAlign w:val="center"/>
            <w:hideMark/>
          </w:tcPr>
          <w:p w14:paraId="322D85BE" w14:textId="77777777" w:rsidR="002B37E9" w:rsidRPr="00140923" w:rsidRDefault="002B37E9" w:rsidP="006F5C69">
            <w:pPr>
              <w:pStyle w:val="Tablehead"/>
              <w:keepLines/>
              <w:rPr>
                <w:lang w:val="es-ES_tradnl"/>
              </w:rPr>
            </w:pPr>
            <w:r w:rsidRPr="00140923">
              <w:rPr>
                <w:lang w:val="es-ES_tradnl"/>
              </w:rPr>
              <w:t>Característica de disponibilidad especificada sin interferencia: relación de indisponibilidad del 0,001%</w:t>
            </w:r>
          </w:p>
        </w:tc>
      </w:tr>
      <w:tr w:rsidR="002B37E9" w:rsidRPr="00140923" w14:paraId="46C74489" w14:textId="77777777" w:rsidTr="006479D0">
        <w:trPr>
          <w:cantSplit/>
          <w:trHeight w:val="421"/>
          <w:jc w:val="center"/>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573B57AB"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b/>
                <w:sz w:val="22"/>
                <w:lang w:val="es-ES_tradnl"/>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A9F17FF"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b/>
                <w:sz w:val="22"/>
                <w:lang w:val="es-ES_tradnl"/>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4685DC3"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b/>
                <w:sz w:val="22"/>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2E1F0A9" w14:textId="77777777" w:rsidR="002B37E9" w:rsidRPr="00140923" w:rsidRDefault="002B37E9" w:rsidP="00226764">
            <w:pPr>
              <w:pStyle w:val="Tablehead"/>
              <w:rPr>
                <w:lang w:val="es-ES_tradnl"/>
              </w:rPr>
            </w:pPr>
            <w:r w:rsidRPr="00140923">
              <w:rPr>
                <w:lang w:val="es-ES_tradnl"/>
              </w:rPr>
              <w:t>Margen nominal</w:t>
            </w:r>
            <w:r w:rsidRPr="00140923">
              <w:rPr>
                <w:lang w:val="es-ES_tradnl"/>
              </w:rPr>
              <w:br/>
              <w:t>(dB)</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0DA4FAD" w14:textId="77777777" w:rsidR="002B37E9" w:rsidRPr="00140923" w:rsidRDefault="002B37E9" w:rsidP="00226764">
            <w:pPr>
              <w:pStyle w:val="Tablehead"/>
              <w:rPr>
                <w:lang w:val="es-ES_tradnl"/>
              </w:rPr>
            </w:pPr>
            <w:r w:rsidRPr="00140923">
              <w:rPr>
                <w:lang w:val="es-ES_tradnl"/>
              </w:rPr>
              <w:t>Degradación resultante de la característica de disponibilidad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F4FE0" w14:textId="77777777" w:rsidR="002B37E9" w:rsidRPr="00140923" w:rsidRDefault="002B37E9" w:rsidP="00226764">
            <w:pPr>
              <w:pStyle w:val="Tablehead"/>
              <w:rPr>
                <w:lang w:val="es-ES_tradnl"/>
              </w:rPr>
            </w:pPr>
            <w:r w:rsidRPr="00140923">
              <w:rPr>
                <w:lang w:val="es-ES_tradnl"/>
              </w:rPr>
              <w:t>Margen nominal</w:t>
            </w:r>
            <w:r w:rsidRPr="00140923">
              <w:rPr>
                <w:lang w:val="es-ES_tradnl"/>
              </w:rPr>
              <w:br/>
              <w:t>(dB)</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C182EC5" w14:textId="77777777" w:rsidR="002B37E9" w:rsidRPr="00140923" w:rsidRDefault="002B37E9" w:rsidP="00226764">
            <w:pPr>
              <w:pStyle w:val="Tablehead"/>
              <w:rPr>
                <w:lang w:val="es-ES_tradnl"/>
              </w:rPr>
            </w:pPr>
            <w:r w:rsidRPr="00140923">
              <w:rPr>
                <w:lang w:val="es-ES_tradnl"/>
              </w:rPr>
              <w:t>Degradación resultante de la característica de disponibilidad</w:t>
            </w:r>
          </w:p>
        </w:tc>
      </w:tr>
      <w:tr w:rsidR="002B37E9" w:rsidRPr="00140923" w14:paraId="3F00E36D" w14:textId="77777777" w:rsidTr="006479D0">
        <w:trPr>
          <w:cantSplit/>
          <w:trHeight w:val="353"/>
          <w:jc w:val="center"/>
        </w:trPr>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659D171B" w14:textId="77777777" w:rsidR="002B37E9" w:rsidRPr="00140923" w:rsidRDefault="002B37E9" w:rsidP="00226764">
            <w:pPr>
              <w:pStyle w:val="Tabletext"/>
              <w:widowControl w:val="0"/>
              <w:jc w:val="center"/>
              <w:rPr>
                <w:szCs w:val="22"/>
                <w:lang w:val="es-ES_tradnl"/>
              </w:rPr>
            </w:pPr>
            <w:r w:rsidRPr="00140923">
              <w:rPr>
                <w:szCs w:val="22"/>
                <w:lang w:val="es-ES_tradnl"/>
              </w:rPr>
              <w:t>32 mm/h</w:t>
            </w:r>
          </w:p>
        </w:tc>
        <w:tc>
          <w:tcPr>
            <w:tcW w:w="1474" w:type="dxa"/>
            <w:tcBorders>
              <w:top w:val="single" w:sz="4" w:space="0" w:color="auto"/>
              <w:left w:val="single" w:sz="4" w:space="0" w:color="auto"/>
              <w:bottom w:val="single" w:sz="4" w:space="0" w:color="auto"/>
              <w:right w:val="single" w:sz="4" w:space="0" w:color="auto"/>
            </w:tcBorders>
            <w:hideMark/>
          </w:tcPr>
          <w:p w14:paraId="568C50C2" w14:textId="0FE873F7" w:rsidR="002B37E9" w:rsidRPr="00140923" w:rsidRDefault="006F5C69" w:rsidP="00226764">
            <w:pPr>
              <w:pStyle w:val="Tabletext"/>
              <w:widowControl w:val="0"/>
              <w:jc w:val="center"/>
              <w:rPr>
                <w:szCs w:val="22"/>
                <w:lang w:val="es-ES_tradnl"/>
              </w:rPr>
            </w:pPr>
            <w:r w:rsidRPr="006F5C69">
              <w:rPr>
                <w:lang w:val="es-ES_tradnl"/>
              </w:rPr>
              <w:t>−</w:t>
            </w:r>
            <w:r w:rsidR="002B37E9" w:rsidRPr="00140923">
              <w:rPr>
                <w:szCs w:val="22"/>
                <w:lang w:val="es-ES_tradnl"/>
              </w:rPr>
              <w:t>6</w:t>
            </w:r>
          </w:p>
        </w:tc>
        <w:tc>
          <w:tcPr>
            <w:tcW w:w="1361" w:type="dxa"/>
            <w:tcBorders>
              <w:top w:val="single" w:sz="4" w:space="0" w:color="auto"/>
              <w:left w:val="single" w:sz="4" w:space="0" w:color="auto"/>
              <w:bottom w:val="single" w:sz="4" w:space="0" w:color="auto"/>
              <w:right w:val="single" w:sz="4" w:space="0" w:color="auto"/>
            </w:tcBorders>
            <w:hideMark/>
          </w:tcPr>
          <w:p w14:paraId="6002F62B" w14:textId="77777777" w:rsidR="002B37E9" w:rsidRPr="00140923" w:rsidRDefault="002B37E9" w:rsidP="00226764">
            <w:pPr>
              <w:pStyle w:val="Tabletext"/>
              <w:widowControl w:val="0"/>
              <w:jc w:val="center"/>
              <w:rPr>
                <w:szCs w:val="22"/>
                <w:lang w:val="es-ES_tradnl"/>
              </w:rPr>
            </w:pPr>
            <w:r w:rsidRPr="00140923">
              <w:rPr>
                <w:szCs w:val="22"/>
                <w:lang w:val="es-ES_tradnl"/>
              </w:rPr>
              <w:t>1</w:t>
            </w:r>
          </w:p>
        </w:tc>
        <w:tc>
          <w:tcPr>
            <w:tcW w:w="992" w:type="dxa"/>
            <w:tcBorders>
              <w:top w:val="single" w:sz="4" w:space="0" w:color="auto"/>
              <w:left w:val="single" w:sz="4" w:space="0" w:color="auto"/>
              <w:bottom w:val="single" w:sz="4" w:space="0" w:color="auto"/>
              <w:right w:val="single" w:sz="4" w:space="0" w:color="auto"/>
            </w:tcBorders>
            <w:hideMark/>
          </w:tcPr>
          <w:p w14:paraId="6CAACBB3" w14:textId="77777777" w:rsidR="002B37E9" w:rsidRPr="00140923" w:rsidRDefault="002B37E9" w:rsidP="00226764">
            <w:pPr>
              <w:pStyle w:val="Tabletext"/>
              <w:widowControl w:val="0"/>
              <w:jc w:val="center"/>
              <w:rPr>
                <w:szCs w:val="22"/>
                <w:lang w:val="es-ES_tradnl"/>
              </w:rPr>
            </w:pPr>
            <w:r w:rsidRPr="00140923">
              <w:rPr>
                <w:szCs w:val="22"/>
                <w:lang w:val="es-ES_tradnl"/>
              </w:rPr>
              <w:t>20,1</w:t>
            </w:r>
          </w:p>
        </w:tc>
        <w:tc>
          <w:tcPr>
            <w:tcW w:w="1814" w:type="dxa"/>
            <w:tcBorders>
              <w:top w:val="single" w:sz="4" w:space="0" w:color="auto"/>
              <w:left w:val="single" w:sz="4" w:space="0" w:color="auto"/>
              <w:bottom w:val="single" w:sz="4" w:space="0" w:color="auto"/>
              <w:right w:val="single" w:sz="4" w:space="0" w:color="auto"/>
            </w:tcBorders>
            <w:hideMark/>
          </w:tcPr>
          <w:p w14:paraId="6F558A6F" w14:textId="77777777" w:rsidR="002B37E9" w:rsidRPr="00140923" w:rsidRDefault="002B37E9" w:rsidP="00226764">
            <w:pPr>
              <w:pStyle w:val="Tabletext"/>
              <w:widowControl w:val="0"/>
              <w:jc w:val="center"/>
              <w:rPr>
                <w:szCs w:val="22"/>
                <w:lang w:val="es-ES_tradnl"/>
              </w:rPr>
            </w:pPr>
            <w:r w:rsidRPr="00140923">
              <w:rPr>
                <w:szCs w:val="22"/>
                <w:lang w:val="es-ES_tradnl"/>
              </w:rPr>
              <w:t>14,6%</w:t>
            </w:r>
          </w:p>
        </w:tc>
        <w:tc>
          <w:tcPr>
            <w:tcW w:w="992" w:type="dxa"/>
            <w:tcBorders>
              <w:top w:val="single" w:sz="4" w:space="0" w:color="auto"/>
              <w:left w:val="single" w:sz="4" w:space="0" w:color="auto"/>
              <w:bottom w:val="single" w:sz="4" w:space="0" w:color="auto"/>
              <w:right w:val="single" w:sz="4" w:space="0" w:color="auto"/>
            </w:tcBorders>
            <w:hideMark/>
          </w:tcPr>
          <w:p w14:paraId="3FACC0A1" w14:textId="77777777" w:rsidR="002B37E9" w:rsidRPr="00140923" w:rsidRDefault="002B37E9" w:rsidP="00226764">
            <w:pPr>
              <w:pStyle w:val="Tabletext"/>
              <w:widowControl w:val="0"/>
              <w:jc w:val="center"/>
              <w:rPr>
                <w:szCs w:val="22"/>
                <w:lang w:val="es-ES_tradnl"/>
              </w:rPr>
            </w:pPr>
            <w:r w:rsidRPr="00140923">
              <w:rPr>
                <w:szCs w:val="22"/>
                <w:lang w:val="es-ES_tradnl"/>
              </w:rPr>
              <w:t>42,9</w:t>
            </w:r>
          </w:p>
        </w:tc>
        <w:tc>
          <w:tcPr>
            <w:tcW w:w="1814" w:type="dxa"/>
            <w:tcBorders>
              <w:top w:val="single" w:sz="4" w:space="0" w:color="auto"/>
              <w:left w:val="single" w:sz="4" w:space="0" w:color="auto"/>
              <w:bottom w:val="single" w:sz="4" w:space="0" w:color="auto"/>
              <w:right w:val="single" w:sz="4" w:space="0" w:color="auto"/>
            </w:tcBorders>
            <w:hideMark/>
          </w:tcPr>
          <w:p w14:paraId="6166C783" w14:textId="77777777" w:rsidR="002B37E9" w:rsidRPr="00140923" w:rsidRDefault="002B37E9" w:rsidP="00226764">
            <w:pPr>
              <w:pStyle w:val="Tabletext"/>
              <w:widowControl w:val="0"/>
              <w:jc w:val="center"/>
              <w:rPr>
                <w:szCs w:val="22"/>
                <w:lang w:val="es-ES_tradnl"/>
              </w:rPr>
            </w:pPr>
            <w:r w:rsidRPr="00140923">
              <w:rPr>
                <w:szCs w:val="22"/>
                <w:lang w:val="es-ES_tradnl"/>
              </w:rPr>
              <w:t>8,5%</w:t>
            </w:r>
          </w:p>
        </w:tc>
      </w:tr>
      <w:tr w:rsidR="002B37E9" w:rsidRPr="00140923" w14:paraId="57A1DA5E" w14:textId="77777777" w:rsidTr="006479D0">
        <w:trPr>
          <w:cantSplit/>
          <w:trHeight w:val="273"/>
          <w:jc w:val="center"/>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2021A996"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2"/>
                <w:szCs w:val="22"/>
                <w:lang w:val="es-ES_tradnl"/>
              </w:rPr>
            </w:pPr>
          </w:p>
        </w:tc>
        <w:tc>
          <w:tcPr>
            <w:tcW w:w="1474" w:type="dxa"/>
            <w:tcBorders>
              <w:top w:val="single" w:sz="4" w:space="0" w:color="auto"/>
              <w:left w:val="single" w:sz="4" w:space="0" w:color="auto"/>
              <w:bottom w:val="single" w:sz="4" w:space="0" w:color="auto"/>
              <w:right w:val="single" w:sz="4" w:space="0" w:color="auto"/>
            </w:tcBorders>
            <w:vAlign w:val="center"/>
            <w:hideMark/>
          </w:tcPr>
          <w:p w14:paraId="4673A2ED" w14:textId="67D42431" w:rsidR="002B37E9" w:rsidRPr="00140923" w:rsidRDefault="006F5C69" w:rsidP="00226764">
            <w:pPr>
              <w:pStyle w:val="Tabletext"/>
              <w:widowControl w:val="0"/>
              <w:jc w:val="center"/>
              <w:rPr>
                <w:szCs w:val="22"/>
                <w:lang w:val="es-ES_tradnl"/>
              </w:rPr>
            </w:pPr>
            <w:r w:rsidRPr="006F5C69">
              <w:rPr>
                <w:lang w:val="es-ES_tradnl"/>
              </w:rPr>
              <w:t>−</w:t>
            </w:r>
            <w:r w:rsidR="002B37E9" w:rsidRPr="00140923">
              <w:rPr>
                <w:szCs w:val="22"/>
                <w:lang w:val="es-ES_tradnl"/>
              </w:rPr>
              <w:t>10</w:t>
            </w:r>
          </w:p>
        </w:tc>
        <w:tc>
          <w:tcPr>
            <w:tcW w:w="1361" w:type="dxa"/>
            <w:tcBorders>
              <w:top w:val="single" w:sz="4" w:space="0" w:color="auto"/>
              <w:left w:val="single" w:sz="4" w:space="0" w:color="auto"/>
              <w:bottom w:val="single" w:sz="4" w:space="0" w:color="auto"/>
              <w:right w:val="single" w:sz="4" w:space="0" w:color="auto"/>
            </w:tcBorders>
            <w:hideMark/>
          </w:tcPr>
          <w:p w14:paraId="5D3E4A38" w14:textId="77777777" w:rsidR="002B37E9" w:rsidRPr="00140923" w:rsidRDefault="002B37E9" w:rsidP="00226764">
            <w:pPr>
              <w:pStyle w:val="Tabletext"/>
              <w:widowControl w:val="0"/>
              <w:jc w:val="center"/>
              <w:rPr>
                <w:szCs w:val="22"/>
                <w:lang w:val="es-ES_tradnl"/>
              </w:rPr>
            </w:pPr>
            <w:r w:rsidRPr="00140923">
              <w:rPr>
                <w:szCs w:val="22"/>
                <w:lang w:val="es-ES_tradnl"/>
              </w:rPr>
              <w:t>0,5</w:t>
            </w:r>
          </w:p>
        </w:tc>
        <w:tc>
          <w:tcPr>
            <w:tcW w:w="992" w:type="dxa"/>
            <w:tcBorders>
              <w:top w:val="single" w:sz="4" w:space="0" w:color="auto"/>
              <w:left w:val="single" w:sz="4" w:space="0" w:color="auto"/>
              <w:bottom w:val="single" w:sz="4" w:space="0" w:color="auto"/>
              <w:right w:val="single" w:sz="4" w:space="0" w:color="auto"/>
            </w:tcBorders>
            <w:hideMark/>
          </w:tcPr>
          <w:p w14:paraId="39B2244E" w14:textId="77777777" w:rsidR="002B37E9" w:rsidRPr="00140923" w:rsidRDefault="002B37E9" w:rsidP="00226764">
            <w:pPr>
              <w:pStyle w:val="Tabletext"/>
              <w:widowControl w:val="0"/>
              <w:jc w:val="center"/>
              <w:rPr>
                <w:szCs w:val="22"/>
                <w:lang w:val="es-ES_tradnl"/>
              </w:rPr>
            </w:pPr>
            <w:r w:rsidRPr="00140923">
              <w:rPr>
                <w:szCs w:val="22"/>
                <w:lang w:val="es-ES_tradnl"/>
              </w:rPr>
              <w:t>20,1</w:t>
            </w:r>
          </w:p>
        </w:tc>
        <w:tc>
          <w:tcPr>
            <w:tcW w:w="1814" w:type="dxa"/>
            <w:tcBorders>
              <w:top w:val="single" w:sz="4" w:space="0" w:color="auto"/>
              <w:left w:val="single" w:sz="4" w:space="0" w:color="auto"/>
              <w:bottom w:val="single" w:sz="4" w:space="0" w:color="auto"/>
              <w:right w:val="single" w:sz="4" w:space="0" w:color="auto"/>
            </w:tcBorders>
            <w:hideMark/>
          </w:tcPr>
          <w:p w14:paraId="022795A3" w14:textId="77777777" w:rsidR="002B37E9" w:rsidRPr="00140923" w:rsidRDefault="002B37E9" w:rsidP="00226764">
            <w:pPr>
              <w:pStyle w:val="Tabletext"/>
              <w:widowControl w:val="0"/>
              <w:jc w:val="center"/>
              <w:rPr>
                <w:szCs w:val="22"/>
                <w:lang w:val="es-ES_tradnl"/>
              </w:rPr>
            </w:pPr>
            <w:r w:rsidRPr="00140923">
              <w:rPr>
                <w:szCs w:val="22"/>
                <w:lang w:val="es-ES_tradnl"/>
              </w:rPr>
              <w:t>7,0%</w:t>
            </w:r>
          </w:p>
        </w:tc>
        <w:tc>
          <w:tcPr>
            <w:tcW w:w="992" w:type="dxa"/>
            <w:tcBorders>
              <w:top w:val="single" w:sz="4" w:space="0" w:color="auto"/>
              <w:left w:val="single" w:sz="4" w:space="0" w:color="auto"/>
              <w:bottom w:val="single" w:sz="4" w:space="0" w:color="auto"/>
              <w:right w:val="single" w:sz="4" w:space="0" w:color="auto"/>
            </w:tcBorders>
            <w:hideMark/>
          </w:tcPr>
          <w:p w14:paraId="43A444C3" w14:textId="77777777" w:rsidR="002B37E9" w:rsidRPr="00140923" w:rsidRDefault="002B37E9" w:rsidP="00226764">
            <w:pPr>
              <w:pStyle w:val="Tabletext"/>
              <w:widowControl w:val="0"/>
              <w:jc w:val="center"/>
              <w:rPr>
                <w:szCs w:val="22"/>
                <w:lang w:val="es-ES_tradnl"/>
              </w:rPr>
            </w:pPr>
            <w:r w:rsidRPr="00140923">
              <w:rPr>
                <w:szCs w:val="22"/>
                <w:lang w:val="es-ES_tradnl"/>
              </w:rPr>
              <w:t>42,9</w:t>
            </w:r>
          </w:p>
        </w:tc>
        <w:tc>
          <w:tcPr>
            <w:tcW w:w="1814" w:type="dxa"/>
            <w:tcBorders>
              <w:top w:val="single" w:sz="4" w:space="0" w:color="auto"/>
              <w:left w:val="single" w:sz="4" w:space="0" w:color="auto"/>
              <w:bottom w:val="single" w:sz="4" w:space="0" w:color="auto"/>
              <w:right w:val="single" w:sz="4" w:space="0" w:color="auto"/>
            </w:tcBorders>
            <w:hideMark/>
          </w:tcPr>
          <w:p w14:paraId="0FEECFAD" w14:textId="77777777" w:rsidR="002B37E9" w:rsidRPr="00140923" w:rsidRDefault="002B37E9" w:rsidP="00226764">
            <w:pPr>
              <w:pStyle w:val="Tabletext"/>
              <w:widowControl w:val="0"/>
              <w:jc w:val="center"/>
              <w:rPr>
                <w:szCs w:val="22"/>
                <w:lang w:val="es-ES_tradnl"/>
              </w:rPr>
            </w:pPr>
            <w:r w:rsidRPr="00140923">
              <w:rPr>
                <w:szCs w:val="22"/>
                <w:lang w:val="es-ES_tradnl"/>
              </w:rPr>
              <w:t>4,2%</w:t>
            </w:r>
          </w:p>
        </w:tc>
      </w:tr>
      <w:tr w:rsidR="002B37E9" w:rsidRPr="00140923" w14:paraId="547C5786" w14:textId="77777777" w:rsidTr="006479D0">
        <w:trPr>
          <w:cantSplit/>
          <w:jc w:val="center"/>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77431CAA"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2"/>
                <w:szCs w:val="22"/>
                <w:lang w:val="es-ES_tradnl"/>
              </w:rPr>
            </w:pPr>
          </w:p>
        </w:tc>
        <w:tc>
          <w:tcPr>
            <w:tcW w:w="1474" w:type="dxa"/>
            <w:tcBorders>
              <w:top w:val="single" w:sz="4" w:space="0" w:color="auto"/>
              <w:left w:val="single" w:sz="4" w:space="0" w:color="auto"/>
              <w:bottom w:val="single" w:sz="4" w:space="0" w:color="auto"/>
              <w:right w:val="single" w:sz="4" w:space="0" w:color="auto"/>
            </w:tcBorders>
            <w:hideMark/>
          </w:tcPr>
          <w:p w14:paraId="64AFA1C3" w14:textId="14F4E22D" w:rsidR="002B37E9" w:rsidRPr="00140923" w:rsidRDefault="006F5C69" w:rsidP="00226764">
            <w:pPr>
              <w:pStyle w:val="Tabletext"/>
              <w:widowControl w:val="0"/>
              <w:jc w:val="center"/>
              <w:rPr>
                <w:szCs w:val="22"/>
                <w:lang w:val="es-ES_tradnl"/>
              </w:rPr>
            </w:pPr>
            <w:r w:rsidRPr="006F5C69">
              <w:rPr>
                <w:lang w:val="es-ES_tradnl"/>
              </w:rPr>
              <w:t>−</w:t>
            </w:r>
            <w:r w:rsidR="002B37E9" w:rsidRPr="00140923">
              <w:rPr>
                <w:szCs w:val="22"/>
                <w:lang w:val="es-ES_tradnl"/>
              </w:rPr>
              <w:t>13</w:t>
            </w:r>
          </w:p>
        </w:tc>
        <w:tc>
          <w:tcPr>
            <w:tcW w:w="1361" w:type="dxa"/>
            <w:tcBorders>
              <w:top w:val="single" w:sz="4" w:space="0" w:color="auto"/>
              <w:left w:val="single" w:sz="4" w:space="0" w:color="auto"/>
              <w:bottom w:val="single" w:sz="4" w:space="0" w:color="auto"/>
              <w:right w:val="single" w:sz="4" w:space="0" w:color="auto"/>
            </w:tcBorders>
            <w:hideMark/>
          </w:tcPr>
          <w:p w14:paraId="40DDA75B" w14:textId="77777777" w:rsidR="002B37E9" w:rsidRPr="00140923" w:rsidRDefault="002B37E9" w:rsidP="00226764">
            <w:pPr>
              <w:pStyle w:val="Tabletext"/>
              <w:widowControl w:val="0"/>
              <w:jc w:val="center"/>
              <w:rPr>
                <w:szCs w:val="22"/>
                <w:lang w:val="es-ES_tradnl"/>
              </w:rPr>
            </w:pPr>
            <w:r w:rsidRPr="00140923">
              <w:rPr>
                <w:szCs w:val="22"/>
                <w:lang w:val="es-ES_tradnl"/>
              </w:rPr>
              <w:t>0,2</w:t>
            </w:r>
          </w:p>
        </w:tc>
        <w:tc>
          <w:tcPr>
            <w:tcW w:w="992" w:type="dxa"/>
            <w:tcBorders>
              <w:top w:val="single" w:sz="4" w:space="0" w:color="auto"/>
              <w:left w:val="single" w:sz="4" w:space="0" w:color="auto"/>
              <w:bottom w:val="single" w:sz="4" w:space="0" w:color="auto"/>
              <w:right w:val="single" w:sz="4" w:space="0" w:color="auto"/>
            </w:tcBorders>
            <w:hideMark/>
          </w:tcPr>
          <w:p w14:paraId="126A2F05" w14:textId="77777777" w:rsidR="002B37E9" w:rsidRPr="00140923" w:rsidRDefault="002B37E9" w:rsidP="00226764">
            <w:pPr>
              <w:pStyle w:val="Tabletext"/>
              <w:widowControl w:val="0"/>
              <w:jc w:val="center"/>
              <w:rPr>
                <w:szCs w:val="22"/>
                <w:lang w:val="es-ES_tradnl"/>
              </w:rPr>
            </w:pPr>
            <w:r w:rsidRPr="00140923">
              <w:rPr>
                <w:szCs w:val="22"/>
                <w:lang w:val="es-ES_tradnl"/>
              </w:rPr>
              <w:t>20,1</w:t>
            </w:r>
          </w:p>
        </w:tc>
        <w:tc>
          <w:tcPr>
            <w:tcW w:w="1814" w:type="dxa"/>
            <w:tcBorders>
              <w:top w:val="single" w:sz="4" w:space="0" w:color="auto"/>
              <w:left w:val="single" w:sz="4" w:space="0" w:color="auto"/>
              <w:bottom w:val="single" w:sz="4" w:space="0" w:color="auto"/>
              <w:right w:val="single" w:sz="4" w:space="0" w:color="auto"/>
            </w:tcBorders>
            <w:hideMark/>
          </w:tcPr>
          <w:p w14:paraId="0E9A87F2" w14:textId="77777777" w:rsidR="002B37E9" w:rsidRPr="00140923" w:rsidRDefault="002B37E9" w:rsidP="00226764">
            <w:pPr>
              <w:pStyle w:val="Tabletext"/>
              <w:widowControl w:val="0"/>
              <w:jc w:val="center"/>
              <w:rPr>
                <w:szCs w:val="22"/>
                <w:lang w:val="es-ES_tradnl"/>
              </w:rPr>
            </w:pPr>
            <w:r w:rsidRPr="00140923">
              <w:rPr>
                <w:szCs w:val="22"/>
                <w:lang w:val="es-ES_tradnl"/>
              </w:rPr>
              <w:t>2,8%</w:t>
            </w:r>
          </w:p>
        </w:tc>
        <w:tc>
          <w:tcPr>
            <w:tcW w:w="992" w:type="dxa"/>
            <w:tcBorders>
              <w:top w:val="single" w:sz="4" w:space="0" w:color="auto"/>
              <w:left w:val="single" w:sz="4" w:space="0" w:color="auto"/>
              <w:bottom w:val="single" w:sz="4" w:space="0" w:color="auto"/>
              <w:right w:val="single" w:sz="4" w:space="0" w:color="auto"/>
            </w:tcBorders>
            <w:hideMark/>
          </w:tcPr>
          <w:p w14:paraId="595DFA12" w14:textId="77777777" w:rsidR="002B37E9" w:rsidRPr="00140923" w:rsidRDefault="002B37E9" w:rsidP="00226764">
            <w:pPr>
              <w:pStyle w:val="Tabletext"/>
              <w:widowControl w:val="0"/>
              <w:jc w:val="center"/>
              <w:rPr>
                <w:szCs w:val="22"/>
                <w:lang w:val="es-ES_tradnl"/>
              </w:rPr>
            </w:pPr>
            <w:r w:rsidRPr="00140923">
              <w:rPr>
                <w:szCs w:val="22"/>
                <w:lang w:val="es-ES_tradnl"/>
              </w:rPr>
              <w:t>42,9</w:t>
            </w:r>
          </w:p>
        </w:tc>
        <w:tc>
          <w:tcPr>
            <w:tcW w:w="1814" w:type="dxa"/>
            <w:tcBorders>
              <w:top w:val="single" w:sz="4" w:space="0" w:color="auto"/>
              <w:left w:val="single" w:sz="4" w:space="0" w:color="auto"/>
              <w:bottom w:val="single" w:sz="4" w:space="0" w:color="auto"/>
              <w:right w:val="single" w:sz="4" w:space="0" w:color="auto"/>
            </w:tcBorders>
            <w:hideMark/>
          </w:tcPr>
          <w:p w14:paraId="054F765C" w14:textId="77777777" w:rsidR="002B37E9" w:rsidRPr="00140923" w:rsidRDefault="002B37E9" w:rsidP="00226764">
            <w:pPr>
              <w:pStyle w:val="Tabletext"/>
              <w:widowControl w:val="0"/>
              <w:jc w:val="center"/>
              <w:rPr>
                <w:szCs w:val="22"/>
                <w:lang w:val="es-ES_tradnl"/>
              </w:rPr>
            </w:pPr>
            <w:r w:rsidRPr="00140923">
              <w:rPr>
                <w:szCs w:val="22"/>
                <w:lang w:val="es-ES_tradnl"/>
              </w:rPr>
              <w:t>1,7%</w:t>
            </w:r>
          </w:p>
        </w:tc>
      </w:tr>
      <w:tr w:rsidR="002B37E9" w:rsidRPr="00140923" w14:paraId="28939A2C" w14:textId="77777777" w:rsidTr="006479D0">
        <w:trPr>
          <w:cantSplit/>
          <w:jc w:val="center"/>
        </w:trPr>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4136A10C" w14:textId="77777777" w:rsidR="002B37E9" w:rsidRPr="00140923" w:rsidRDefault="002B37E9" w:rsidP="00226764">
            <w:pPr>
              <w:pStyle w:val="Tabletext"/>
              <w:widowControl w:val="0"/>
              <w:jc w:val="center"/>
              <w:rPr>
                <w:szCs w:val="22"/>
                <w:lang w:val="es-ES_tradnl"/>
              </w:rPr>
            </w:pPr>
            <w:r w:rsidRPr="00140923">
              <w:rPr>
                <w:szCs w:val="22"/>
                <w:lang w:val="es-ES_tradnl"/>
              </w:rPr>
              <w:t>22 mm/h</w:t>
            </w:r>
          </w:p>
        </w:tc>
        <w:tc>
          <w:tcPr>
            <w:tcW w:w="1474" w:type="dxa"/>
            <w:tcBorders>
              <w:top w:val="single" w:sz="4" w:space="0" w:color="auto"/>
              <w:left w:val="single" w:sz="4" w:space="0" w:color="auto"/>
              <w:bottom w:val="single" w:sz="4" w:space="0" w:color="auto"/>
              <w:right w:val="single" w:sz="4" w:space="0" w:color="auto"/>
            </w:tcBorders>
            <w:hideMark/>
          </w:tcPr>
          <w:p w14:paraId="67CD1C61" w14:textId="69F99AFC" w:rsidR="002B37E9" w:rsidRPr="00140923" w:rsidRDefault="006F5C69" w:rsidP="00226764">
            <w:pPr>
              <w:pStyle w:val="Tabletext"/>
              <w:widowControl w:val="0"/>
              <w:jc w:val="center"/>
              <w:rPr>
                <w:szCs w:val="22"/>
                <w:lang w:val="es-ES_tradnl"/>
              </w:rPr>
            </w:pPr>
            <w:r w:rsidRPr="006F5C69">
              <w:rPr>
                <w:lang w:val="es-ES_tradnl"/>
              </w:rPr>
              <w:t>−</w:t>
            </w:r>
            <w:r w:rsidR="002B37E9" w:rsidRPr="00140923">
              <w:rPr>
                <w:szCs w:val="22"/>
                <w:lang w:val="es-ES_tradnl"/>
              </w:rPr>
              <w:t>6</w:t>
            </w:r>
          </w:p>
        </w:tc>
        <w:tc>
          <w:tcPr>
            <w:tcW w:w="1361" w:type="dxa"/>
            <w:tcBorders>
              <w:top w:val="single" w:sz="4" w:space="0" w:color="auto"/>
              <w:left w:val="single" w:sz="4" w:space="0" w:color="auto"/>
              <w:bottom w:val="single" w:sz="4" w:space="0" w:color="auto"/>
              <w:right w:val="single" w:sz="4" w:space="0" w:color="auto"/>
            </w:tcBorders>
            <w:hideMark/>
          </w:tcPr>
          <w:p w14:paraId="42C698F8" w14:textId="77777777" w:rsidR="002B37E9" w:rsidRPr="00140923" w:rsidRDefault="002B37E9" w:rsidP="00226764">
            <w:pPr>
              <w:pStyle w:val="Tabletext"/>
              <w:widowControl w:val="0"/>
              <w:jc w:val="center"/>
              <w:rPr>
                <w:szCs w:val="22"/>
                <w:lang w:val="es-ES_tradnl"/>
              </w:rPr>
            </w:pPr>
            <w:r w:rsidRPr="00140923">
              <w:rPr>
                <w:szCs w:val="22"/>
                <w:lang w:val="es-ES_tradnl"/>
              </w:rPr>
              <w:t>1</w:t>
            </w:r>
          </w:p>
        </w:tc>
        <w:tc>
          <w:tcPr>
            <w:tcW w:w="992" w:type="dxa"/>
            <w:tcBorders>
              <w:top w:val="single" w:sz="4" w:space="0" w:color="auto"/>
              <w:left w:val="single" w:sz="4" w:space="0" w:color="auto"/>
              <w:bottom w:val="single" w:sz="4" w:space="0" w:color="auto"/>
              <w:right w:val="single" w:sz="4" w:space="0" w:color="auto"/>
            </w:tcBorders>
            <w:hideMark/>
          </w:tcPr>
          <w:p w14:paraId="57E732DE" w14:textId="77777777" w:rsidR="002B37E9" w:rsidRPr="00140923" w:rsidRDefault="002B37E9" w:rsidP="00226764">
            <w:pPr>
              <w:pStyle w:val="Tabletext"/>
              <w:widowControl w:val="0"/>
              <w:jc w:val="center"/>
              <w:rPr>
                <w:szCs w:val="22"/>
                <w:lang w:val="es-ES_tradnl"/>
              </w:rPr>
            </w:pPr>
            <w:r w:rsidRPr="00140923">
              <w:rPr>
                <w:szCs w:val="22"/>
                <w:lang w:val="es-ES_tradnl"/>
              </w:rPr>
              <w:t>13,8</w:t>
            </w:r>
          </w:p>
        </w:tc>
        <w:tc>
          <w:tcPr>
            <w:tcW w:w="1814" w:type="dxa"/>
            <w:tcBorders>
              <w:top w:val="single" w:sz="4" w:space="0" w:color="auto"/>
              <w:left w:val="single" w:sz="4" w:space="0" w:color="auto"/>
              <w:bottom w:val="single" w:sz="4" w:space="0" w:color="auto"/>
              <w:right w:val="single" w:sz="4" w:space="0" w:color="auto"/>
            </w:tcBorders>
            <w:hideMark/>
          </w:tcPr>
          <w:p w14:paraId="5B974125" w14:textId="77777777" w:rsidR="002B37E9" w:rsidRPr="00140923" w:rsidRDefault="002B37E9" w:rsidP="00226764">
            <w:pPr>
              <w:pStyle w:val="Tabletext"/>
              <w:widowControl w:val="0"/>
              <w:jc w:val="center"/>
              <w:rPr>
                <w:szCs w:val="22"/>
                <w:lang w:val="es-ES_tradnl"/>
              </w:rPr>
            </w:pPr>
            <w:r w:rsidRPr="00140923">
              <w:rPr>
                <w:szCs w:val="22"/>
                <w:lang w:val="es-ES_tradnl"/>
              </w:rPr>
              <w:t>22,0%</w:t>
            </w:r>
          </w:p>
        </w:tc>
        <w:tc>
          <w:tcPr>
            <w:tcW w:w="992" w:type="dxa"/>
            <w:tcBorders>
              <w:top w:val="single" w:sz="4" w:space="0" w:color="auto"/>
              <w:left w:val="single" w:sz="4" w:space="0" w:color="auto"/>
              <w:bottom w:val="single" w:sz="4" w:space="0" w:color="auto"/>
              <w:right w:val="single" w:sz="4" w:space="0" w:color="auto"/>
            </w:tcBorders>
            <w:hideMark/>
          </w:tcPr>
          <w:p w14:paraId="54AB01C1" w14:textId="77777777" w:rsidR="002B37E9" w:rsidRPr="00140923" w:rsidRDefault="002B37E9" w:rsidP="00226764">
            <w:pPr>
              <w:pStyle w:val="Tabletext"/>
              <w:widowControl w:val="0"/>
              <w:jc w:val="center"/>
              <w:rPr>
                <w:szCs w:val="22"/>
                <w:lang w:val="es-ES_tradnl"/>
              </w:rPr>
            </w:pPr>
            <w:r w:rsidRPr="00140923">
              <w:rPr>
                <w:szCs w:val="22"/>
                <w:lang w:val="es-ES_tradnl"/>
              </w:rPr>
              <w:t>29,6</w:t>
            </w:r>
          </w:p>
        </w:tc>
        <w:tc>
          <w:tcPr>
            <w:tcW w:w="1814" w:type="dxa"/>
            <w:tcBorders>
              <w:top w:val="single" w:sz="4" w:space="0" w:color="auto"/>
              <w:left w:val="single" w:sz="4" w:space="0" w:color="auto"/>
              <w:bottom w:val="single" w:sz="4" w:space="0" w:color="auto"/>
              <w:right w:val="single" w:sz="4" w:space="0" w:color="auto"/>
            </w:tcBorders>
            <w:hideMark/>
          </w:tcPr>
          <w:p w14:paraId="3F6F36BC" w14:textId="77777777" w:rsidR="002B37E9" w:rsidRPr="00140923" w:rsidRDefault="002B37E9" w:rsidP="00226764">
            <w:pPr>
              <w:pStyle w:val="Tabletext"/>
              <w:widowControl w:val="0"/>
              <w:jc w:val="center"/>
              <w:rPr>
                <w:szCs w:val="22"/>
                <w:lang w:val="es-ES_tradnl"/>
              </w:rPr>
            </w:pPr>
            <w:r w:rsidRPr="00140923">
              <w:rPr>
                <w:szCs w:val="22"/>
                <w:lang w:val="es-ES_tradnl"/>
              </w:rPr>
              <w:t>12,6%</w:t>
            </w:r>
          </w:p>
        </w:tc>
      </w:tr>
      <w:tr w:rsidR="002B37E9" w:rsidRPr="00140923" w14:paraId="2A4A2354" w14:textId="77777777" w:rsidTr="006479D0">
        <w:trPr>
          <w:cantSplit/>
          <w:jc w:val="center"/>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418E5596"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2"/>
                <w:szCs w:val="22"/>
                <w:lang w:val="es-ES_tradnl"/>
              </w:rPr>
            </w:pPr>
          </w:p>
        </w:tc>
        <w:tc>
          <w:tcPr>
            <w:tcW w:w="1474" w:type="dxa"/>
            <w:tcBorders>
              <w:top w:val="single" w:sz="4" w:space="0" w:color="auto"/>
              <w:left w:val="single" w:sz="4" w:space="0" w:color="auto"/>
              <w:bottom w:val="single" w:sz="4" w:space="0" w:color="auto"/>
              <w:right w:val="single" w:sz="4" w:space="0" w:color="auto"/>
            </w:tcBorders>
            <w:vAlign w:val="center"/>
            <w:hideMark/>
          </w:tcPr>
          <w:p w14:paraId="0C763FE6" w14:textId="1EEA0E72" w:rsidR="002B37E9" w:rsidRPr="00140923" w:rsidRDefault="006F5C69" w:rsidP="00226764">
            <w:pPr>
              <w:pStyle w:val="Tabletext"/>
              <w:widowControl w:val="0"/>
              <w:jc w:val="center"/>
              <w:rPr>
                <w:szCs w:val="22"/>
                <w:lang w:val="es-ES_tradnl"/>
              </w:rPr>
            </w:pPr>
            <w:r w:rsidRPr="006F5C69">
              <w:rPr>
                <w:lang w:val="es-ES_tradnl"/>
              </w:rPr>
              <w:t>−</w:t>
            </w:r>
            <w:r w:rsidR="002B37E9" w:rsidRPr="00140923">
              <w:rPr>
                <w:szCs w:val="22"/>
                <w:lang w:val="es-ES_tradnl"/>
              </w:rPr>
              <w:t>10</w:t>
            </w:r>
          </w:p>
        </w:tc>
        <w:tc>
          <w:tcPr>
            <w:tcW w:w="1361" w:type="dxa"/>
            <w:tcBorders>
              <w:top w:val="single" w:sz="4" w:space="0" w:color="auto"/>
              <w:left w:val="single" w:sz="4" w:space="0" w:color="auto"/>
              <w:bottom w:val="single" w:sz="4" w:space="0" w:color="auto"/>
              <w:right w:val="single" w:sz="4" w:space="0" w:color="auto"/>
            </w:tcBorders>
            <w:hideMark/>
          </w:tcPr>
          <w:p w14:paraId="2F7E1D51" w14:textId="77777777" w:rsidR="002B37E9" w:rsidRPr="00140923" w:rsidRDefault="002B37E9" w:rsidP="00226764">
            <w:pPr>
              <w:pStyle w:val="Tabletext"/>
              <w:widowControl w:val="0"/>
              <w:jc w:val="center"/>
              <w:rPr>
                <w:szCs w:val="22"/>
                <w:lang w:val="es-ES_tradnl"/>
              </w:rPr>
            </w:pPr>
            <w:r w:rsidRPr="00140923">
              <w:rPr>
                <w:szCs w:val="22"/>
                <w:lang w:val="es-ES_tradnl"/>
              </w:rPr>
              <w:t>0,5</w:t>
            </w:r>
          </w:p>
        </w:tc>
        <w:tc>
          <w:tcPr>
            <w:tcW w:w="992" w:type="dxa"/>
            <w:tcBorders>
              <w:top w:val="single" w:sz="4" w:space="0" w:color="auto"/>
              <w:left w:val="single" w:sz="4" w:space="0" w:color="auto"/>
              <w:bottom w:val="single" w:sz="4" w:space="0" w:color="auto"/>
              <w:right w:val="single" w:sz="4" w:space="0" w:color="auto"/>
            </w:tcBorders>
            <w:hideMark/>
          </w:tcPr>
          <w:p w14:paraId="14378033" w14:textId="77777777" w:rsidR="002B37E9" w:rsidRPr="00140923" w:rsidRDefault="002B37E9" w:rsidP="00226764">
            <w:pPr>
              <w:pStyle w:val="Tabletext"/>
              <w:widowControl w:val="0"/>
              <w:jc w:val="center"/>
              <w:rPr>
                <w:szCs w:val="22"/>
                <w:lang w:val="es-ES_tradnl"/>
              </w:rPr>
            </w:pPr>
            <w:r w:rsidRPr="00140923">
              <w:rPr>
                <w:szCs w:val="22"/>
                <w:lang w:val="es-ES_tradnl"/>
              </w:rPr>
              <w:t>13,8</w:t>
            </w:r>
          </w:p>
        </w:tc>
        <w:tc>
          <w:tcPr>
            <w:tcW w:w="1814" w:type="dxa"/>
            <w:tcBorders>
              <w:top w:val="single" w:sz="4" w:space="0" w:color="auto"/>
              <w:left w:val="single" w:sz="4" w:space="0" w:color="auto"/>
              <w:bottom w:val="single" w:sz="4" w:space="0" w:color="auto"/>
              <w:right w:val="single" w:sz="4" w:space="0" w:color="auto"/>
            </w:tcBorders>
            <w:hideMark/>
          </w:tcPr>
          <w:p w14:paraId="303DDADA" w14:textId="77777777" w:rsidR="002B37E9" w:rsidRPr="00140923" w:rsidRDefault="002B37E9" w:rsidP="00226764">
            <w:pPr>
              <w:pStyle w:val="Tabletext"/>
              <w:widowControl w:val="0"/>
              <w:jc w:val="center"/>
              <w:rPr>
                <w:szCs w:val="22"/>
                <w:lang w:val="es-ES_tradnl"/>
              </w:rPr>
            </w:pPr>
            <w:r w:rsidRPr="00140923">
              <w:rPr>
                <w:szCs w:val="22"/>
                <w:lang w:val="es-ES_tradnl"/>
              </w:rPr>
              <w:t>10,3%</w:t>
            </w:r>
          </w:p>
        </w:tc>
        <w:tc>
          <w:tcPr>
            <w:tcW w:w="992" w:type="dxa"/>
            <w:tcBorders>
              <w:top w:val="single" w:sz="4" w:space="0" w:color="auto"/>
              <w:left w:val="single" w:sz="4" w:space="0" w:color="auto"/>
              <w:bottom w:val="single" w:sz="4" w:space="0" w:color="auto"/>
              <w:right w:val="single" w:sz="4" w:space="0" w:color="auto"/>
            </w:tcBorders>
            <w:hideMark/>
          </w:tcPr>
          <w:p w14:paraId="5001AB1F" w14:textId="77777777" w:rsidR="002B37E9" w:rsidRPr="00140923" w:rsidRDefault="002B37E9" w:rsidP="00226764">
            <w:pPr>
              <w:pStyle w:val="Tabletext"/>
              <w:widowControl w:val="0"/>
              <w:jc w:val="center"/>
              <w:rPr>
                <w:szCs w:val="22"/>
                <w:lang w:val="es-ES_tradnl"/>
              </w:rPr>
            </w:pPr>
            <w:r w:rsidRPr="00140923">
              <w:rPr>
                <w:szCs w:val="22"/>
                <w:lang w:val="es-ES_tradnl"/>
              </w:rPr>
              <w:t>29,6</w:t>
            </w:r>
          </w:p>
        </w:tc>
        <w:tc>
          <w:tcPr>
            <w:tcW w:w="1814" w:type="dxa"/>
            <w:tcBorders>
              <w:top w:val="single" w:sz="4" w:space="0" w:color="auto"/>
              <w:left w:val="single" w:sz="4" w:space="0" w:color="auto"/>
              <w:bottom w:val="single" w:sz="4" w:space="0" w:color="auto"/>
              <w:right w:val="single" w:sz="4" w:space="0" w:color="auto"/>
            </w:tcBorders>
            <w:hideMark/>
          </w:tcPr>
          <w:p w14:paraId="6B0E9A80" w14:textId="77777777" w:rsidR="002B37E9" w:rsidRPr="00140923" w:rsidRDefault="002B37E9" w:rsidP="00226764">
            <w:pPr>
              <w:pStyle w:val="Tabletext"/>
              <w:widowControl w:val="0"/>
              <w:jc w:val="center"/>
              <w:rPr>
                <w:szCs w:val="22"/>
                <w:lang w:val="es-ES_tradnl"/>
              </w:rPr>
            </w:pPr>
            <w:r w:rsidRPr="00140923">
              <w:rPr>
                <w:szCs w:val="22"/>
                <w:lang w:val="es-ES_tradnl"/>
              </w:rPr>
              <w:t>6,1%</w:t>
            </w:r>
          </w:p>
        </w:tc>
      </w:tr>
      <w:tr w:rsidR="002B37E9" w:rsidRPr="00140923" w14:paraId="38748036" w14:textId="77777777" w:rsidTr="006479D0">
        <w:trPr>
          <w:cantSplit/>
          <w:jc w:val="center"/>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793A06AF"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2"/>
                <w:szCs w:val="22"/>
                <w:lang w:val="es-ES_tradnl"/>
              </w:rPr>
            </w:pPr>
          </w:p>
        </w:tc>
        <w:tc>
          <w:tcPr>
            <w:tcW w:w="1474" w:type="dxa"/>
            <w:tcBorders>
              <w:top w:val="single" w:sz="4" w:space="0" w:color="auto"/>
              <w:left w:val="single" w:sz="4" w:space="0" w:color="auto"/>
              <w:bottom w:val="single" w:sz="4" w:space="0" w:color="auto"/>
              <w:right w:val="single" w:sz="4" w:space="0" w:color="auto"/>
            </w:tcBorders>
            <w:hideMark/>
          </w:tcPr>
          <w:p w14:paraId="421F581E" w14:textId="22B2EB9A" w:rsidR="002B37E9" w:rsidRPr="00140923" w:rsidRDefault="006F5C69" w:rsidP="00226764">
            <w:pPr>
              <w:pStyle w:val="Tabletext"/>
              <w:widowControl w:val="0"/>
              <w:jc w:val="center"/>
              <w:rPr>
                <w:szCs w:val="22"/>
                <w:lang w:val="es-ES_tradnl"/>
              </w:rPr>
            </w:pPr>
            <w:r w:rsidRPr="006F5C69">
              <w:rPr>
                <w:lang w:val="es-ES_tradnl"/>
              </w:rPr>
              <w:t>−</w:t>
            </w:r>
            <w:r w:rsidR="002B37E9" w:rsidRPr="00140923">
              <w:rPr>
                <w:szCs w:val="22"/>
                <w:lang w:val="es-ES_tradnl"/>
              </w:rPr>
              <w:t>13</w:t>
            </w:r>
          </w:p>
        </w:tc>
        <w:tc>
          <w:tcPr>
            <w:tcW w:w="1361" w:type="dxa"/>
            <w:tcBorders>
              <w:top w:val="single" w:sz="4" w:space="0" w:color="auto"/>
              <w:left w:val="single" w:sz="4" w:space="0" w:color="auto"/>
              <w:bottom w:val="single" w:sz="4" w:space="0" w:color="auto"/>
              <w:right w:val="single" w:sz="4" w:space="0" w:color="auto"/>
            </w:tcBorders>
            <w:hideMark/>
          </w:tcPr>
          <w:p w14:paraId="47844A25" w14:textId="77777777" w:rsidR="002B37E9" w:rsidRPr="00140923" w:rsidRDefault="002B37E9" w:rsidP="00226764">
            <w:pPr>
              <w:pStyle w:val="Tabletext"/>
              <w:widowControl w:val="0"/>
              <w:jc w:val="center"/>
              <w:rPr>
                <w:szCs w:val="22"/>
                <w:lang w:val="es-ES_tradnl"/>
              </w:rPr>
            </w:pPr>
            <w:r w:rsidRPr="00140923">
              <w:rPr>
                <w:szCs w:val="22"/>
                <w:lang w:val="es-ES_tradnl"/>
              </w:rPr>
              <w:t>0,2</w:t>
            </w:r>
          </w:p>
        </w:tc>
        <w:tc>
          <w:tcPr>
            <w:tcW w:w="992" w:type="dxa"/>
            <w:tcBorders>
              <w:top w:val="single" w:sz="4" w:space="0" w:color="auto"/>
              <w:left w:val="single" w:sz="4" w:space="0" w:color="auto"/>
              <w:bottom w:val="single" w:sz="4" w:space="0" w:color="auto"/>
              <w:right w:val="single" w:sz="4" w:space="0" w:color="auto"/>
            </w:tcBorders>
            <w:hideMark/>
          </w:tcPr>
          <w:p w14:paraId="391D3FB7" w14:textId="77777777" w:rsidR="002B37E9" w:rsidRPr="00140923" w:rsidRDefault="002B37E9" w:rsidP="00226764">
            <w:pPr>
              <w:pStyle w:val="Tabletext"/>
              <w:widowControl w:val="0"/>
              <w:jc w:val="center"/>
              <w:rPr>
                <w:szCs w:val="22"/>
                <w:lang w:val="es-ES_tradnl"/>
              </w:rPr>
            </w:pPr>
            <w:r w:rsidRPr="00140923">
              <w:rPr>
                <w:szCs w:val="22"/>
                <w:lang w:val="es-ES_tradnl"/>
              </w:rPr>
              <w:t>13,8</w:t>
            </w:r>
          </w:p>
        </w:tc>
        <w:tc>
          <w:tcPr>
            <w:tcW w:w="1814" w:type="dxa"/>
            <w:tcBorders>
              <w:top w:val="single" w:sz="4" w:space="0" w:color="auto"/>
              <w:left w:val="single" w:sz="4" w:space="0" w:color="auto"/>
              <w:bottom w:val="single" w:sz="4" w:space="0" w:color="auto"/>
              <w:right w:val="single" w:sz="4" w:space="0" w:color="auto"/>
            </w:tcBorders>
            <w:hideMark/>
          </w:tcPr>
          <w:p w14:paraId="322213E4" w14:textId="77777777" w:rsidR="002B37E9" w:rsidRPr="00140923" w:rsidRDefault="002B37E9" w:rsidP="00226764">
            <w:pPr>
              <w:pStyle w:val="Tabletext"/>
              <w:widowControl w:val="0"/>
              <w:jc w:val="center"/>
              <w:rPr>
                <w:szCs w:val="22"/>
                <w:lang w:val="es-ES_tradnl"/>
              </w:rPr>
            </w:pPr>
            <w:r w:rsidRPr="00140923">
              <w:rPr>
                <w:szCs w:val="22"/>
                <w:lang w:val="es-ES_tradnl"/>
              </w:rPr>
              <w:t>4,0%</w:t>
            </w:r>
          </w:p>
        </w:tc>
        <w:tc>
          <w:tcPr>
            <w:tcW w:w="992" w:type="dxa"/>
            <w:tcBorders>
              <w:top w:val="single" w:sz="4" w:space="0" w:color="auto"/>
              <w:left w:val="single" w:sz="4" w:space="0" w:color="auto"/>
              <w:bottom w:val="single" w:sz="4" w:space="0" w:color="auto"/>
              <w:right w:val="single" w:sz="4" w:space="0" w:color="auto"/>
            </w:tcBorders>
            <w:hideMark/>
          </w:tcPr>
          <w:p w14:paraId="6061E572" w14:textId="77777777" w:rsidR="002B37E9" w:rsidRPr="00140923" w:rsidRDefault="002B37E9" w:rsidP="00226764">
            <w:pPr>
              <w:pStyle w:val="Tabletext"/>
              <w:widowControl w:val="0"/>
              <w:jc w:val="center"/>
              <w:rPr>
                <w:szCs w:val="22"/>
                <w:lang w:val="es-ES_tradnl"/>
              </w:rPr>
            </w:pPr>
            <w:r w:rsidRPr="00140923">
              <w:rPr>
                <w:szCs w:val="22"/>
                <w:lang w:val="es-ES_tradnl"/>
              </w:rPr>
              <w:t>29,6</w:t>
            </w:r>
          </w:p>
        </w:tc>
        <w:tc>
          <w:tcPr>
            <w:tcW w:w="1814" w:type="dxa"/>
            <w:tcBorders>
              <w:top w:val="single" w:sz="4" w:space="0" w:color="auto"/>
              <w:left w:val="single" w:sz="4" w:space="0" w:color="auto"/>
              <w:bottom w:val="single" w:sz="4" w:space="0" w:color="auto"/>
              <w:right w:val="single" w:sz="4" w:space="0" w:color="auto"/>
            </w:tcBorders>
            <w:hideMark/>
          </w:tcPr>
          <w:p w14:paraId="26AC3B87" w14:textId="77777777" w:rsidR="002B37E9" w:rsidRPr="00140923" w:rsidRDefault="002B37E9" w:rsidP="00226764">
            <w:pPr>
              <w:pStyle w:val="Tabletext"/>
              <w:widowControl w:val="0"/>
              <w:jc w:val="center"/>
              <w:rPr>
                <w:szCs w:val="22"/>
                <w:lang w:val="es-ES_tradnl"/>
              </w:rPr>
            </w:pPr>
            <w:r w:rsidRPr="00140923">
              <w:rPr>
                <w:szCs w:val="22"/>
                <w:lang w:val="es-ES_tradnl"/>
              </w:rPr>
              <w:t>2,4%</w:t>
            </w:r>
          </w:p>
        </w:tc>
      </w:tr>
    </w:tbl>
    <w:p w14:paraId="68676D1C" w14:textId="77777777" w:rsidR="002B37E9" w:rsidRPr="00140923" w:rsidRDefault="002B37E9" w:rsidP="002B37E9">
      <w:pPr>
        <w:pStyle w:val="Tablefin"/>
        <w:rPr>
          <w:lang w:val="es-ES_tradnl"/>
        </w:rPr>
      </w:pPr>
    </w:p>
    <w:p w14:paraId="62D1AEAD" w14:textId="77777777" w:rsidR="002B37E9" w:rsidRPr="00140923" w:rsidRDefault="002B37E9" w:rsidP="002B37E9">
      <w:pPr>
        <w:pStyle w:val="TableNo"/>
        <w:keepNext w:val="0"/>
        <w:widowControl w:val="0"/>
        <w:rPr>
          <w:lang w:val="es-ES_tradnl" w:eastAsia="ja-JP"/>
        </w:rPr>
      </w:pPr>
      <w:r w:rsidRPr="00140923">
        <w:rPr>
          <w:lang w:val="es-ES_tradnl" w:eastAsia="ja-JP"/>
        </w:rPr>
        <w:t>CUADRO 4</w:t>
      </w:r>
    </w:p>
    <w:p w14:paraId="21270515" w14:textId="77777777" w:rsidR="002B37E9" w:rsidRPr="00140923" w:rsidRDefault="002B37E9" w:rsidP="002B37E9">
      <w:pPr>
        <w:pStyle w:val="Tabletitle"/>
        <w:keepNext w:val="0"/>
        <w:widowControl w:val="0"/>
        <w:rPr>
          <w:lang w:val="es-ES_tradnl"/>
        </w:rPr>
      </w:pPr>
      <w:r w:rsidRPr="00140923">
        <w:rPr>
          <w:lang w:val="es-ES_tradnl"/>
        </w:rPr>
        <w:t xml:space="preserve">Degradación de la característica de desvanecimiento debida al desvanecimiento por lluvia </w:t>
      </w:r>
      <w:r w:rsidRPr="00140923">
        <w:rPr>
          <w:lang w:val="es-ES_tradnl"/>
        </w:rPr>
        <w:br/>
        <w:t>(radiofrecuencia: 23 GHz, longitud del enlace: 3 km)</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1446"/>
        <w:gridCol w:w="1361"/>
        <w:gridCol w:w="992"/>
        <w:gridCol w:w="1814"/>
        <w:gridCol w:w="992"/>
        <w:gridCol w:w="1814"/>
      </w:tblGrid>
      <w:tr w:rsidR="002B37E9" w:rsidRPr="00140923" w14:paraId="79C116EF" w14:textId="77777777" w:rsidTr="00226764">
        <w:trPr>
          <w:cantSplit/>
          <w:trHeight w:val="588"/>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hideMark/>
          </w:tcPr>
          <w:p w14:paraId="70FAAF1F" w14:textId="77777777" w:rsidR="002B37E9" w:rsidRPr="00140923" w:rsidRDefault="002B37E9" w:rsidP="00226764">
            <w:pPr>
              <w:pStyle w:val="Tablehead"/>
              <w:ind w:left="-57" w:right="-57"/>
              <w:rPr>
                <w:lang w:val="es-ES_tradnl"/>
              </w:rPr>
            </w:pPr>
            <w:r w:rsidRPr="00140923">
              <w:rPr>
                <w:lang w:val="es-ES_tradnl"/>
              </w:rPr>
              <w:t>Clima (la intensidad de la lluvia se supera para el 0,01%</w:t>
            </w:r>
            <w:r w:rsidRPr="00140923">
              <w:rPr>
                <w:lang w:val="es-ES_tradnl"/>
              </w:rPr>
              <w:br/>
              <w:t>del tiempo)</w:t>
            </w: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5C1D36D0" w14:textId="77777777" w:rsidR="002B37E9" w:rsidRPr="00140923" w:rsidRDefault="002B37E9" w:rsidP="00226764">
            <w:pPr>
              <w:pStyle w:val="Tablehead"/>
              <w:rPr>
                <w:lang w:val="es-ES_tradnl"/>
              </w:rPr>
            </w:pPr>
            <w:r w:rsidRPr="00140923">
              <w:rPr>
                <w:lang w:val="es-ES_tradnl"/>
              </w:rPr>
              <w:t>Nivel de interferencia con respecto al ruido térmico del receptor</w:t>
            </w:r>
            <w:r w:rsidRPr="00140923">
              <w:rPr>
                <w:lang w:val="es-ES_tradnl"/>
              </w:rPr>
              <w:br/>
              <w:t>(dB)</w:t>
            </w:r>
          </w:p>
        </w:tc>
        <w:tc>
          <w:tcPr>
            <w:tcW w:w="1361" w:type="dxa"/>
            <w:vMerge w:val="restart"/>
            <w:tcBorders>
              <w:top w:val="single" w:sz="4" w:space="0" w:color="auto"/>
              <w:left w:val="single" w:sz="4" w:space="0" w:color="auto"/>
              <w:bottom w:val="single" w:sz="4" w:space="0" w:color="auto"/>
              <w:right w:val="single" w:sz="4" w:space="0" w:color="auto"/>
            </w:tcBorders>
            <w:vAlign w:val="center"/>
            <w:hideMark/>
          </w:tcPr>
          <w:p w14:paraId="67CCC1D2" w14:textId="77777777" w:rsidR="002B37E9" w:rsidRPr="00140923" w:rsidRDefault="002B37E9" w:rsidP="00226764">
            <w:pPr>
              <w:pStyle w:val="Tablehead"/>
              <w:ind w:left="-57" w:right="-57"/>
              <w:rPr>
                <w:lang w:val="es-ES_tradnl"/>
              </w:rPr>
            </w:pPr>
            <w:r w:rsidRPr="00140923">
              <w:rPr>
                <w:lang w:val="es-ES_tradnl"/>
              </w:rPr>
              <w:t xml:space="preserve">Degradación resultante </w:t>
            </w:r>
            <w:r w:rsidRPr="00140923">
              <w:rPr>
                <w:lang w:val="es-ES_tradnl"/>
              </w:rPr>
              <w:br/>
              <w:t>en margen (dB)</w:t>
            </w:r>
          </w:p>
        </w:tc>
        <w:tc>
          <w:tcPr>
            <w:tcW w:w="2806" w:type="dxa"/>
            <w:gridSpan w:val="2"/>
            <w:tcBorders>
              <w:top w:val="single" w:sz="4" w:space="0" w:color="auto"/>
              <w:left w:val="single" w:sz="4" w:space="0" w:color="auto"/>
              <w:bottom w:val="single" w:sz="4" w:space="0" w:color="auto"/>
              <w:right w:val="single" w:sz="4" w:space="0" w:color="auto"/>
            </w:tcBorders>
            <w:vAlign w:val="center"/>
            <w:hideMark/>
          </w:tcPr>
          <w:p w14:paraId="35348396" w14:textId="77777777" w:rsidR="002B37E9" w:rsidRPr="00140923" w:rsidRDefault="002B37E9" w:rsidP="00226764">
            <w:pPr>
              <w:pStyle w:val="Tablehead"/>
              <w:rPr>
                <w:lang w:val="es-ES_tradnl"/>
              </w:rPr>
            </w:pPr>
            <w:r w:rsidRPr="00140923">
              <w:rPr>
                <w:lang w:val="es-ES_tradnl"/>
              </w:rPr>
              <w:t>Característica de disponibilidad especificada sin interferencia: relación de indisponibilidad del 0,01%</w:t>
            </w:r>
          </w:p>
        </w:tc>
        <w:tc>
          <w:tcPr>
            <w:tcW w:w="2806" w:type="dxa"/>
            <w:gridSpan w:val="2"/>
            <w:tcBorders>
              <w:top w:val="single" w:sz="4" w:space="0" w:color="auto"/>
              <w:left w:val="single" w:sz="4" w:space="0" w:color="auto"/>
              <w:bottom w:val="single" w:sz="4" w:space="0" w:color="auto"/>
              <w:right w:val="single" w:sz="4" w:space="0" w:color="auto"/>
            </w:tcBorders>
            <w:vAlign w:val="center"/>
            <w:hideMark/>
          </w:tcPr>
          <w:p w14:paraId="3AA8D35B" w14:textId="77777777" w:rsidR="002B37E9" w:rsidRPr="00140923" w:rsidRDefault="002B37E9" w:rsidP="00226764">
            <w:pPr>
              <w:pStyle w:val="Tablehead"/>
              <w:rPr>
                <w:lang w:val="es-ES_tradnl"/>
              </w:rPr>
            </w:pPr>
            <w:r w:rsidRPr="00140923">
              <w:rPr>
                <w:lang w:val="es-ES_tradnl"/>
              </w:rPr>
              <w:t>Característica de disponibilidad especificada sin interferencia: relación de indisponibilidad del 0,001%</w:t>
            </w:r>
          </w:p>
        </w:tc>
      </w:tr>
      <w:tr w:rsidR="002B37E9" w:rsidRPr="00140923" w14:paraId="1876201D" w14:textId="77777777" w:rsidTr="00226764">
        <w:trPr>
          <w:cantSplit/>
          <w:trHeight w:val="421"/>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7F99B699" w14:textId="77777777" w:rsidR="002B37E9" w:rsidRPr="00140923" w:rsidRDefault="002B37E9" w:rsidP="00226764">
            <w:pPr>
              <w:rPr>
                <w:b/>
                <w:sz w:val="22"/>
                <w:lang w:val="es-ES_tradnl"/>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46FEFB73" w14:textId="77777777" w:rsidR="002B37E9" w:rsidRPr="00140923" w:rsidRDefault="002B37E9" w:rsidP="00226764">
            <w:pPr>
              <w:rPr>
                <w:b/>
                <w:sz w:val="22"/>
                <w:lang w:val="es-ES_tradnl"/>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3F014BF6" w14:textId="77777777" w:rsidR="002B37E9" w:rsidRPr="00140923" w:rsidRDefault="002B37E9" w:rsidP="00226764">
            <w:pPr>
              <w:rPr>
                <w:b/>
                <w:sz w:val="22"/>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FCBE666" w14:textId="77777777" w:rsidR="002B37E9" w:rsidRPr="00140923" w:rsidRDefault="002B37E9" w:rsidP="00226764">
            <w:pPr>
              <w:pStyle w:val="Tablehead"/>
              <w:rPr>
                <w:lang w:val="es-ES_tradnl"/>
              </w:rPr>
            </w:pPr>
            <w:r w:rsidRPr="00140923">
              <w:rPr>
                <w:lang w:val="es-ES_tradnl"/>
              </w:rPr>
              <w:t>Margen nominal</w:t>
            </w:r>
            <w:r w:rsidRPr="00140923">
              <w:rPr>
                <w:lang w:val="es-ES_tradnl"/>
              </w:rPr>
              <w:br/>
              <w:t>(dB)</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C529C37" w14:textId="77777777" w:rsidR="002B37E9" w:rsidRPr="00140923" w:rsidRDefault="002B37E9" w:rsidP="00226764">
            <w:pPr>
              <w:pStyle w:val="Tablehead"/>
              <w:rPr>
                <w:lang w:val="es-ES_tradnl"/>
              </w:rPr>
            </w:pPr>
            <w:r w:rsidRPr="00140923">
              <w:rPr>
                <w:lang w:val="es-ES_tradnl"/>
              </w:rPr>
              <w:t>Degradación resultante de la característica de disponibilidad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3FB68F" w14:textId="77777777" w:rsidR="002B37E9" w:rsidRPr="00140923" w:rsidRDefault="002B37E9" w:rsidP="00226764">
            <w:pPr>
              <w:pStyle w:val="Tablehead"/>
              <w:rPr>
                <w:lang w:val="es-ES_tradnl"/>
              </w:rPr>
            </w:pPr>
            <w:r w:rsidRPr="00140923">
              <w:rPr>
                <w:lang w:val="es-ES_tradnl"/>
              </w:rPr>
              <w:t>Margen nominal</w:t>
            </w:r>
            <w:r w:rsidRPr="00140923">
              <w:rPr>
                <w:lang w:val="es-ES_tradnl"/>
              </w:rPr>
              <w:br/>
              <w:t>(dB)</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F4B57DA" w14:textId="77777777" w:rsidR="002B37E9" w:rsidRPr="00140923" w:rsidRDefault="002B37E9" w:rsidP="00226764">
            <w:pPr>
              <w:pStyle w:val="Tablehead"/>
              <w:rPr>
                <w:lang w:val="es-ES_tradnl"/>
              </w:rPr>
            </w:pPr>
            <w:r w:rsidRPr="00140923">
              <w:rPr>
                <w:lang w:val="es-ES_tradnl"/>
              </w:rPr>
              <w:t>Degradación resultante de la característica de disponibilidad</w:t>
            </w:r>
          </w:p>
        </w:tc>
      </w:tr>
      <w:tr w:rsidR="002B37E9" w:rsidRPr="006F5C69" w14:paraId="4DDA67E2" w14:textId="77777777" w:rsidTr="006F5C69">
        <w:trPr>
          <w:cantSplit/>
          <w:trHeight w:val="156"/>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hideMark/>
          </w:tcPr>
          <w:p w14:paraId="06BAAAD1"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32 mm/h</w:t>
            </w:r>
          </w:p>
        </w:tc>
        <w:tc>
          <w:tcPr>
            <w:tcW w:w="1446" w:type="dxa"/>
            <w:tcBorders>
              <w:top w:val="single" w:sz="4" w:space="0" w:color="auto"/>
              <w:left w:val="single" w:sz="4" w:space="0" w:color="auto"/>
              <w:bottom w:val="single" w:sz="4" w:space="0" w:color="auto"/>
              <w:right w:val="single" w:sz="4" w:space="0" w:color="auto"/>
            </w:tcBorders>
            <w:hideMark/>
          </w:tcPr>
          <w:p w14:paraId="4237C2D5" w14:textId="2B5EB467" w:rsidR="002B37E9" w:rsidRPr="006F5C69" w:rsidRDefault="006F5C69" w:rsidP="00226764">
            <w:pPr>
              <w:pStyle w:val="Tabletext"/>
              <w:widowControl w:val="0"/>
              <w:spacing w:before="10" w:after="10"/>
              <w:jc w:val="center"/>
              <w:rPr>
                <w:szCs w:val="22"/>
                <w:lang w:val="es-ES_tradnl"/>
              </w:rPr>
            </w:pPr>
            <w:r w:rsidRPr="006F5C69">
              <w:rPr>
                <w:szCs w:val="22"/>
                <w:lang w:val="es-ES_tradnl"/>
              </w:rPr>
              <w:t>−</w:t>
            </w:r>
            <w:r w:rsidR="002B37E9" w:rsidRPr="006F5C69">
              <w:rPr>
                <w:szCs w:val="22"/>
                <w:lang w:val="es-ES_tradnl"/>
              </w:rPr>
              <w:t>6</w:t>
            </w:r>
          </w:p>
        </w:tc>
        <w:tc>
          <w:tcPr>
            <w:tcW w:w="1361" w:type="dxa"/>
            <w:tcBorders>
              <w:top w:val="single" w:sz="4" w:space="0" w:color="auto"/>
              <w:left w:val="single" w:sz="4" w:space="0" w:color="auto"/>
              <w:bottom w:val="single" w:sz="4" w:space="0" w:color="auto"/>
              <w:right w:val="single" w:sz="4" w:space="0" w:color="auto"/>
            </w:tcBorders>
            <w:hideMark/>
          </w:tcPr>
          <w:p w14:paraId="703A33FA"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1</w:t>
            </w:r>
          </w:p>
        </w:tc>
        <w:tc>
          <w:tcPr>
            <w:tcW w:w="992" w:type="dxa"/>
            <w:tcBorders>
              <w:top w:val="single" w:sz="4" w:space="0" w:color="auto"/>
              <w:left w:val="single" w:sz="4" w:space="0" w:color="auto"/>
              <w:bottom w:val="single" w:sz="4" w:space="0" w:color="auto"/>
              <w:right w:val="single" w:sz="4" w:space="0" w:color="auto"/>
            </w:tcBorders>
            <w:hideMark/>
          </w:tcPr>
          <w:p w14:paraId="03E8EC6B"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11,2</w:t>
            </w:r>
          </w:p>
        </w:tc>
        <w:tc>
          <w:tcPr>
            <w:tcW w:w="1814" w:type="dxa"/>
            <w:tcBorders>
              <w:top w:val="single" w:sz="4" w:space="0" w:color="auto"/>
              <w:left w:val="single" w:sz="4" w:space="0" w:color="auto"/>
              <w:bottom w:val="single" w:sz="4" w:space="0" w:color="auto"/>
              <w:right w:val="single" w:sz="4" w:space="0" w:color="auto"/>
            </w:tcBorders>
            <w:hideMark/>
          </w:tcPr>
          <w:p w14:paraId="19C27C3F"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27,8%</w:t>
            </w:r>
          </w:p>
        </w:tc>
        <w:tc>
          <w:tcPr>
            <w:tcW w:w="992" w:type="dxa"/>
            <w:tcBorders>
              <w:top w:val="single" w:sz="4" w:space="0" w:color="auto"/>
              <w:left w:val="single" w:sz="4" w:space="0" w:color="auto"/>
              <w:bottom w:val="single" w:sz="4" w:space="0" w:color="auto"/>
              <w:right w:val="single" w:sz="4" w:space="0" w:color="auto"/>
            </w:tcBorders>
            <w:hideMark/>
          </w:tcPr>
          <w:p w14:paraId="55253947"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24,1</w:t>
            </w:r>
          </w:p>
        </w:tc>
        <w:tc>
          <w:tcPr>
            <w:tcW w:w="1814" w:type="dxa"/>
            <w:tcBorders>
              <w:top w:val="single" w:sz="4" w:space="0" w:color="auto"/>
              <w:left w:val="single" w:sz="4" w:space="0" w:color="auto"/>
              <w:bottom w:val="single" w:sz="4" w:space="0" w:color="auto"/>
              <w:right w:val="single" w:sz="4" w:space="0" w:color="auto"/>
            </w:tcBorders>
            <w:hideMark/>
          </w:tcPr>
          <w:p w14:paraId="10134212"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15,7%</w:t>
            </w:r>
          </w:p>
        </w:tc>
      </w:tr>
      <w:tr w:rsidR="002B37E9" w:rsidRPr="006F5C69" w14:paraId="00E2C7B7" w14:textId="77777777" w:rsidTr="00226764">
        <w:trPr>
          <w:cantSplit/>
          <w:trHeight w:val="273"/>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4ED01D8C" w14:textId="77777777" w:rsidR="002B37E9" w:rsidRPr="006F5C69" w:rsidRDefault="002B37E9" w:rsidP="00226764">
            <w:pPr>
              <w:tabs>
                <w:tab w:val="clear" w:pos="794"/>
                <w:tab w:val="clear" w:pos="1191"/>
                <w:tab w:val="clear" w:pos="1588"/>
                <w:tab w:val="clear" w:pos="1985"/>
              </w:tabs>
              <w:overflowPunct/>
              <w:autoSpaceDE/>
              <w:autoSpaceDN/>
              <w:adjustRightInd/>
              <w:spacing w:before="0"/>
              <w:jc w:val="left"/>
              <w:rPr>
                <w:sz w:val="22"/>
                <w:szCs w:val="22"/>
                <w:lang w:val="es-ES_tradnl"/>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210A5289" w14:textId="576C6F83" w:rsidR="002B37E9" w:rsidRPr="006F5C69" w:rsidRDefault="006F5C69" w:rsidP="00226764">
            <w:pPr>
              <w:pStyle w:val="Tabletext"/>
              <w:widowControl w:val="0"/>
              <w:spacing w:before="10" w:after="10"/>
              <w:jc w:val="center"/>
              <w:rPr>
                <w:szCs w:val="22"/>
                <w:lang w:val="es-ES_tradnl"/>
              </w:rPr>
            </w:pPr>
            <w:r w:rsidRPr="006F5C69">
              <w:rPr>
                <w:szCs w:val="22"/>
                <w:lang w:val="es-ES_tradnl"/>
              </w:rPr>
              <w:t>−</w:t>
            </w:r>
            <w:r w:rsidR="002B37E9" w:rsidRPr="006F5C69">
              <w:rPr>
                <w:szCs w:val="22"/>
                <w:lang w:val="es-ES_tradnl"/>
              </w:rPr>
              <w:t>10</w:t>
            </w:r>
          </w:p>
        </w:tc>
        <w:tc>
          <w:tcPr>
            <w:tcW w:w="1361" w:type="dxa"/>
            <w:tcBorders>
              <w:top w:val="single" w:sz="4" w:space="0" w:color="auto"/>
              <w:left w:val="single" w:sz="4" w:space="0" w:color="auto"/>
              <w:bottom w:val="single" w:sz="4" w:space="0" w:color="auto"/>
              <w:right w:val="single" w:sz="4" w:space="0" w:color="auto"/>
            </w:tcBorders>
            <w:hideMark/>
          </w:tcPr>
          <w:p w14:paraId="240D20F9"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0,5</w:t>
            </w:r>
          </w:p>
        </w:tc>
        <w:tc>
          <w:tcPr>
            <w:tcW w:w="992" w:type="dxa"/>
            <w:tcBorders>
              <w:top w:val="single" w:sz="4" w:space="0" w:color="auto"/>
              <w:left w:val="single" w:sz="4" w:space="0" w:color="auto"/>
              <w:bottom w:val="single" w:sz="4" w:space="0" w:color="auto"/>
              <w:right w:val="single" w:sz="4" w:space="0" w:color="auto"/>
            </w:tcBorders>
            <w:hideMark/>
          </w:tcPr>
          <w:p w14:paraId="26B6A3B6"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11,2</w:t>
            </w:r>
          </w:p>
        </w:tc>
        <w:tc>
          <w:tcPr>
            <w:tcW w:w="1814" w:type="dxa"/>
            <w:tcBorders>
              <w:top w:val="single" w:sz="4" w:space="0" w:color="auto"/>
              <w:left w:val="single" w:sz="4" w:space="0" w:color="auto"/>
              <w:bottom w:val="single" w:sz="4" w:space="0" w:color="auto"/>
              <w:right w:val="single" w:sz="4" w:space="0" w:color="auto"/>
            </w:tcBorders>
            <w:hideMark/>
          </w:tcPr>
          <w:p w14:paraId="47B339E2"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12,7%</w:t>
            </w:r>
          </w:p>
        </w:tc>
        <w:tc>
          <w:tcPr>
            <w:tcW w:w="992" w:type="dxa"/>
            <w:tcBorders>
              <w:top w:val="single" w:sz="4" w:space="0" w:color="auto"/>
              <w:left w:val="single" w:sz="4" w:space="0" w:color="auto"/>
              <w:bottom w:val="single" w:sz="4" w:space="0" w:color="auto"/>
              <w:right w:val="single" w:sz="4" w:space="0" w:color="auto"/>
            </w:tcBorders>
            <w:hideMark/>
          </w:tcPr>
          <w:p w14:paraId="41C078DB"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24,1</w:t>
            </w:r>
          </w:p>
        </w:tc>
        <w:tc>
          <w:tcPr>
            <w:tcW w:w="1814" w:type="dxa"/>
            <w:tcBorders>
              <w:top w:val="single" w:sz="4" w:space="0" w:color="auto"/>
              <w:left w:val="single" w:sz="4" w:space="0" w:color="auto"/>
              <w:bottom w:val="single" w:sz="4" w:space="0" w:color="auto"/>
              <w:right w:val="single" w:sz="4" w:space="0" w:color="auto"/>
            </w:tcBorders>
            <w:hideMark/>
          </w:tcPr>
          <w:p w14:paraId="0FE936AA"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7,5%</w:t>
            </w:r>
          </w:p>
        </w:tc>
      </w:tr>
      <w:tr w:rsidR="002B37E9" w:rsidRPr="006F5C69" w14:paraId="72A2DA91" w14:textId="77777777" w:rsidTr="00226764">
        <w:trPr>
          <w:cantSplit/>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1714748D" w14:textId="77777777" w:rsidR="002B37E9" w:rsidRPr="006F5C69" w:rsidRDefault="002B37E9" w:rsidP="00226764">
            <w:pPr>
              <w:tabs>
                <w:tab w:val="clear" w:pos="794"/>
                <w:tab w:val="clear" w:pos="1191"/>
                <w:tab w:val="clear" w:pos="1588"/>
                <w:tab w:val="clear" w:pos="1985"/>
              </w:tabs>
              <w:overflowPunct/>
              <w:autoSpaceDE/>
              <w:autoSpaceDN/>
              <w:adjustRightInd/>
              <w:spacing w:before="0"/>
              <w:jc w:val="left"/>
              <w:rPr>
                <w:sz w:val="22"/>
                <w:szCs w:val="22"/>
                <w:lang w:val="es-ES_tradnl"/>
              </w:rPr>
            </w:pPr>
          </w:p>
        </w:tc>
        <w:tc>
          <w:tcPr>
            <w:tcW w:w="1446" w:type="dxa"/>
            <w:tcBorders>
              <w:top w:val="single" w:sz="4" w:space="0" w:color="auto"/>
              <w:left w:val="single" w:sz="4" w:space="0" w:color="auto"/>
              <w:bottom w:val="single" w:sz="4" w:space="0" w:color="auto"/>
              <w:right w:val="single" w:sz="4" w:space="0" w:color="auto"/>
            </w:tcBorders>
            <w:hideMark/>
          </w:tcPr>
          <w:p w14:paraId="06C7FA21" w14:textId="1BED3E24" w:rsidR="002B37E9" w:rsidRPr="006F5C69" w:rsidRDefault="006F5C69" w:rsidP="00226764">
            <w:pPr>
              <w:pStyle w:val="Tabletext"/>
              <w:widowControl w:val="0"/>
              <w:spacing w:before="10" w:after="10"/>
              <w:jc w:val="center"/>
              <w:rPr>
                <w:szCs w:val="22"/>
                <w:lang w:val="es-ES_tradnl"/>
              </w:rPr>
            </w:pPr>
            <w:r w:rsidRPr="006F5C69">
              <w:rPr>
                <w:szCs w:val="22"/>
                <w:lang w:val="es-ES_tradnl"/>
              </w:rPr>
              <w:t>−</w:t>
            </w:r>
            <w:r w:rsidR="002B37E9" w:rsidRPr="006F5C69">
              <w:rPr>
                <w:szCs w:val="22"/>
                <w:lang w:val="es-ES_tradnl"/>
              </w:rPr>
              <w:t>13</w:t>
            </w:r>
          </w:p>
        </w:tc>
        <w:tc>
          <w:tcPr>
            <w:tcW w:w="1361" w:type="dxa"/>
            <w:tcBorders>
              <w:top w:val="single" w:sz="4" w:space="0" w:color="auto"/>
              <w:left w:val="single" w:sz="4" w:space="0" w:color="auto"/>
              <w:bottom w:val="single" w:sz="4" w:space="0" w:color="auto"/>
              <w:right w:val="single" w:sz="4" w:space="0" w:color="auto"/>
            </w:tcBorders>
            <w:hideMark/>
          </w:tcPr>
          <w:p w14:paraId="40D365BE"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0,2</w:t>
            </w:r>
          </w:p>
        </w:tc>
        <w:tc>
          <w:tcPr>
            <w:tcW w:w="992" w:type="dxa"/>
            <w:tcBorders>
              <w:top w:val="single" w:sz="4" w:space="0" w:color="auto"/>
              <w:left w:val="single" w:sz="4" w:space="0" w:color="auto"/>
              <w:bottom w:val="single" w:sz="4" w:space="0" w:color="auto"/>
              <w:right w:val="single" w:sz="4" w:space="0" w:color="auto"/>
            </w:tcBorders>
            <w:hideMark/>
          </w:tcPr>
          <w:p w14:paraId="08F3107E"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11,2</w:t>
            </w:r>
          </w:p>
        </w:tc>
        <w:tc>
          <w:tcPr>
            <w:tcW w:w="1814" w:type="dxa"/>
            <w:tcBorders>
              <w:top w:val="single" w:sz="4" w:space="0" w:color="auto"/>
              <w:left w:val="single" w:sz="4" w:space="0" w:color="auto"/>
              <w:bottom w:val="single" w:sz="4" w:space="0" w:color="auto"/>
              <w:right w:val="single" w:sz="4" w:space="0" w:color="auto"/>
            </w:tcBorders>
            <w:hideMark/>
          </w:tcPr>
          <w:p w14:paraId="6FCC6120"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4,8%</w:t>
            </w:r>
          </w:p>
        </w:tc>
        <w:tc>
          <w:tcPr>
            <w:tcW w:w="992" w:type="dxa"/>
            <w:tcBorders>
              <w:top w:val="single" w:sz="4" w:space="0" w:color="auto"/>
              <w:left w:val="single" w:sz="4" w:space="0" w:color="auto"/>
              <w:bottom w:val="single" w:sz="4" w:space="0" w:color="auto"/>
              <w:right w:val="single" w:sz="4" w:space="0" w:color="auto"/>
            </w:tcBorders>
            <w:hideMark/>
          </w:tcPr>
          <w:p w14:paraId="0EB7010A"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24,1</w:t>
            </w:r>
          </w:p>
        </w:tc>
        <w:tc>
          <w:tcPr>
            <w:tcW w:w="1814" w:type="dxa"/>
            <w:tcBorders>
              <w:top w:val="single" w:sz="4" w:space="0" w:color="auto"/>
              <w:left w:val="single" w:sz="4" w:space="0" w:color="auto"/>
              <w:bottom w:val="single" w:sz="4" w:space="0" w:color="auto"/>
              <w:right w:val="single" w:sz="4" w:space="0" w:color="auto"/>
            </w:tcBorders>
            <w:hideMark/>
          </w:tcPr>
          <w:p w14:paraId="1DAF8C37"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2,9%</w:t>
            </w:r>
          </w:p>
        </w:tc>
      </w:tr>
      <w:tr w:rsidR="002B37E9" w:rsidRPr="006F5C69" w14:paraId="6E12A40E" w14:textId="77777777" w:rsidTr="00226764">
        <w:trPr>
          <w:cantSplit/>
          <w:jc w:val="center"/>
        </w:trPr>
        <w:tc>
          <w:tcPr>
            <w:tcW w:w="1219" w:type="dxa"/>
            <w:vMerge w:val="restart"/>
            <w:tcBorders>
              <w:top w:val="single" w:sz="4" w:space="0" w:color="auto"/>
              <w:left w:val="single" w:sz="4" w:space="0" w:color="auto"/>
              <w:right w:val="single" w:sz="4" w:space="0" w:color="auto"/>
            </w:tcBorders>
            <w:vAlign w:val="center"/>
            <w:hideMark/>
          </w:tcPr>
          <w:p w14:paraId="6CA7DC8B"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22 mm/h</w:t>
            </w:r>
          </w:p>
        </w:tc>
        <w:tc>
          <w:tcPr>
            <w:tcW w:w="1446" w:type="dxa"/>
            <w:tcBorders>
              <w:top w:val="single" w:sz="4" w:space="0" w:color="auto"/>
              <w:left w:val="single" w:sz="4" w:space="0" w:color="auto"/>
              <w:bottom w:val="single" w:sz="4" w:space="0" w:color="auto"/>
              <w:right w:val="single" w:sz="4" w:space="0" w:color="auto"/>
            </w:tcBorders>
            <w:hideMark/>
          </w:tcPr>
          <w:p w14:paraId="7EC4A1AD" w14:textId="72F64FD0" w:rsidR="002B37E9" w:rsidRPr="006F5C69" w:rsidRDefault="006F5C69" w:rsidP="00226764">
            <w:pPr>
              <w:pStyle w:val="Tabletext"/>
              <w:widowControl w:val="0"/>
              <w:spacing w:before="10" w:after="10"/>
              <w:jc w:val="center"/>
              <w:rPr>
                <w:szCs w:val="22"/>
                <w:lang w:val="es-ES_tradnl"/>
              </w:rPr>
            </w:pPr>
            <w:r w:rsidRPr="006F5C69">
              <w:rPr>
                <w:szCs w:val="22"/>
                <w:lang w:val="es-ES_tradnl"/>
              </w:rPr>
              <w:t>−</w:t>
            </w:r>
            <w:r w:rsidR="002B37E9" w:rsidRPr="006F5C69">
              <w:rPr>
                <w:szCs w:val="22"/>
                <w:lang w:val="es-ES_tradnl"/>
              </w:rPr>
              <w:t>6</w:t>
            </w:r>
          </w:p>
        </w:tc>
        <w:tc>
          <w:tcPr>
            <w:tcW w:w="1361" w:type="dxa"/>
            <w:tcBorders>
              <w:top w:val="single" w:sz="4" w:space="0" w:color="auto"/>
              <w:left w:val="single" w:sz="4" w:space="0" w:color="auto"/>
              <w:bottom w:val="single" w:sz="4" w:space="0" w:color="auto"/>
              <w:right w:val="single" w:sz="4" w:space="0" w:color="auto"/>
            </w:tcBorders>
            <w:hideMark/>
          </w:tcPr>
          <w:p w14:paraId="587B5A50"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1</w:t>
            </w:r>
          </w:p>
        </w:tc>
        <w:tc>
          <w:tcPr>
            <w:tcW w:w="992" w:type="dxa"/>
            <w:tcBorders>
              <w:top w:val="single" w:sz="4" w:space="0" w:color="auto"/>
              <w:left w:val="single" w:sz="4" w:space="0" w:color="auto"/>
              <w:bottom w:val="single" w:sz="4" w:space="0" w:color="auto"/>
              <w:right w:val="single" w:sz="4" w:space="0" w:color="auto"/>
            </w:tcBorders>
            <w:hideMark/>
          </w:tcPr>
          <w:p w14:paraId="0F44A1A2"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7,6</w:t>
            </w:r>
          </w:p>
        </w:tc>
        <w:tc>
          <w:tcPr>
            <w:tcW w:w="1814" w:type="dxa"/>
            <w:tcBorders>
              <w:top w:val="single" w:sz="4" w:space="0" w:color="auto"/>
              <w:left w:val="single" w:sz="4" w:space="0" w:color="auto"/>
              <w:bottom w:val="single" w:sz="4" w:space="0" w:color="auto"/>
              <w:right w:val="single" w:sz="4" w:space="0" w:color="auto"/>
            </w:tcBorders>
            <w:hideMark/>
          </w:tcPr>
          <w:p w14:paraId="56F96CE9"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44,3%</w:t>
            </w:r>
          </w:p>
        </w:tc>
        <w:tc>
          <w:tcPr>
            <w:tcW w:w="992" w:type="dxa"/>
            <w:tcBorders>
              <w:top w:val="single" w:sz="4" w:space="0" w:color="auto"/>
              <w:left w:val="single" w:sz="4" w:space="0" w:color="auto"/>
              <w:bottom w:val="single" w:sz="4" w:space="0" w:color="auto"/>
              <w:right w:val="single" w:sz="4" w:space="0" w:color="auto"/>
            </w:tcBorders>
            <w:hideMark/>
          </w:tcPr>
          <w:p w14:paraId="39D4152A"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16,3</w:t>
            </w:r>
          </w:p>
        </w:tc>
        <w:tc>
          <w:tcPr>
            <w:tcW w:w="1814" w:type="dxa"/>
            <w:tcBorders>
              <w:top w:val="single" w:sz="4" w:space="0" w:color="auto"/>
              <w:left w:val="single" w:sz="4" w:space="0" w:color="auto"/>
              <w:bottom w:val="single" w:sz="4" w:space="0" w:color="auto"/>
              <w:right w:val="single" w:sz="4" w:space="0" w:color="auto"/>
            </w:tcBorders>
            <w:hideMark/>
          </w:tcPr>
          <w:p w14:paraId="183CC307"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24,2%</w:t>
            </w:r>
          </w:p>
        </w:tc>
      </w:tr>
      <w:tr w:rsidR="002B37E9" w:rsidRPr="006F5C69" w14:paraId="05557799" w14:textId="77777777" w:rsidTr="00226764">
        <w:trPr>
          <w:cantSplit/>
          <w:jc w:val="center"/>
        </w:trPr>
        <w:tc>
          <w:tcPr>
            <w:tcW w:w="1219" w:type="dxa"/>
            <w:vMerge/>
            <w:tcBorders>
              <w:left w:val="single" w:sz="4" w:space="0" w:color="auto"/>
              <w:right w:val="single" w:sz="4" w:space="0" w:color="auto"/>
            </w:tcBorders>
            <w:vAlign w:val="center"/>
            <w:hideMark/>
          </w:tcPr>
          <w:p w14:paraId="5C2C95FC" w14:textId="77777777" w:rsidR="002B37E9" w:rsidRPr="006F5C69" w:rsidRDefault="002B37E9" w:rsidP="00226764">
            <w:pPr>
              <w:tabs>
                <w:tab w:val="clear" w:pos="794"/>
                <w:tab w:val="clear" w:pos="1191"/>
                <w:tab w:val="clear" w:pos="1588"/>
                <w:tab w:val="clear" w:pos="1985"/>
              </w:tabs>
              <w:overflowPunct/>
              <w:autoSpaceDE/>
              <w:autoSpaceDN/>
              <w:adjustRightInd/>
              <w:spacing w:before="0"/>
              <w:jc w:val="left"/>
              <w:rPr>
                <w:sz w:val="22"/>
                <w:szCs w:val="22"/>
                <w:lang w:val="es-ES_tradnl"/>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3582C9C7" w14:textId="3572601B" w:rsidR="002B37E9" w:rsidRPr="006F5C69" w:rsidRDefault="006F5C69" w:rsidP="00226764">
            <w:pPr>
              <w:pStyle w:val="Tabletext"/>
              <w:widowControl w:val="0"/>
              <w:spacing w:before="10" w:after="10"/>
              <w:jc w:val="center"/>
              <w:rPr>
                <w:szCs w:val="22"/>
                <w:lang w:val="es-ES_tradnl"/>
              </w:rPr>
            </w:pPr>
            <w:r w:rsidRPr="006F5C69">
              <w:rPr>
                <w:szCs w:val="22"/>
                <w:lang w:val="es-ES_tradnl"/>
              </w:rPr>
              <w:t>−</w:t>
            </w:r>
            <w:r w:rsidR="002B37E9" w:rsidRPr="006F5C69">
              <w:rPr>
                <w:szCs w:val="22"/>
                <w:lang w:val="es-ES_tradnl"/>
              </w:rPr>
              <w:t>10</w:t>
            </w:r>
          </w:p>
        </w:tc>
        <w:tc>
          <w:tcPr>
            <w:tcW w:w="1361" w:type="dxa"/>
            <w:tcBorders>
              <w:top w:val="single" w:sz="4" w:space="0" w:color="auto"/>
              <w:left w:val="single" w:sz="4" w:space="0" w:color="auto"/>
              <w:bottom w:val="single" w:sz="4" w:space="0" w:color="auto"/>
              <w:right w:val="single" w:sz="4" w:space="0" w:color="auto"/>
            </w:tcBorders>
            <w:hideMark/>
          </w:tcPr>
          <w:p w14:paraId="758399FA"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0,5</w:t>
            </w:r>
          </w:p>
        </w:tc>
        <w:tc>
          <w:tcPr>
            <w:tcW w:w="992" w:type="dxa"/>
            <w:tcBorders>
              <w:top w:val="single" w:sz="4" w:space="0" w:color="auto"/>
              <w:left w:val="single" w:sz="4" w:space="0" w:color="auto"/>
              <w:bottom w:val="single" w:sz="4" w:space="0" w:color="auto"/>
              <w:right w:val="single" w:sz="4" w:space="0" w:color="auto"/>
            </w:tcBorders>
            <w:hideMark/>
          </w:tcPr>
          <w:p w14:paraId="54B6FEFC"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7,6</w:t>
            </w:r>
          </w:p>
        </w:tc>
        <w:tc>
          <w:tcPr>
            <w:tcW w:w="1814" w:type="dxa"/>
            <w:tcBorders>
              <w:top w:val="single" w:sz="4" w:space="0" w:color="auto"/>
              <w:left w:val="single" w:sz="4" w:space="0" w:color="auto"/>
              <w:bottom w:val="single" w:sz="4" w:space="0" w:color="auto"/>
              <w:right w:val="single" w:sz="4" w:space="0" w:color="auto"/>
            </w:tcBorders>
            <w:hideMark/>
          </w:tcPr>
          <w:p w14:paraId="0B60EA6F"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19,5%</w:t>
            </w:r>
          </w:p>
        </w:tc>
        <w:tc>
          <w:tcPr>
            <w:tcW w:w="992" w:type="dxa"/>
            <w:tcBorders>
              <w:top w:val="single" w:sz="4" w:space="0" w:color="auto"/>
              <w:left w:val="single" w:sz="4" w:space="0" w:color="auto"/>
              <w:bottom w:val="single" w:sz="4" w:space="0" w:color="auto"/>
              <w:right w:val="single" w:sz="4" w:space="0" w:color="auto"/>
            </w:tcBorders>
            <w:hideMark/>
          </w:tcPr>
          <w:p w14:paraId="200E527B"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16,3</w:t>
            </w:r>
          </w:p>
        </w:tc>
        <w:tc>
          <w:tcPr>
            <w:tcW w:w="1814" w:type="dxa"/>
            <w:tcBorders>
              <w:top w:val="single" w:sz="4" w:space="0" w:color="auto"/>
              <w:left w:val="single" w:sz="4" w:space="0" w:color="auto"/>
              <w:bottom w:val="single" w:sz="4" w:space="0" w:color="auto"/>
              <w:right w:val="single" w:sz="4" w:space="0" w:color="auto"/>
            </w:tcBorders>
            <w:hideMark/>
          </w:tcPr>
          <w:p w14:paraId="607F0E53"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11,4%</w:t>
            </w:r>
          </w:p>
        </w:tc>
      </w:tr>
      <w:tr w:rsidR="002B37E9" w:rsidRPr="006F5C69" w14:paraId="6D57357B" w14:textId="77777777" w:rsidTr="00226764">
        <w:trPr>
          <w:cantSplit/>
          <w:jc w:val="center"/>
        </w:trPr>
        <w:tc>
          <w:tcPr>
            <w:tcW w:w="1219" w:type="dxa"/>
            <w:vMerge/>
            <w:tcBorders>
              <w:left w:val="single" w:sz="4" w:space="0" w:color="auto"/>
              <w:bottom w:val="single" w:sz="4" w:space="0" w:color="auto"/>
              <w:right w:val="single" w:sz="4" w:space="0" w:color="auto"/>
            </w:tcBorders>
            <w:vAlign w:val="center"/>
            <w:hideMark/>
          </w:tcPr>
          <w:p w14:paraId="3AD9DC35" w14:textId="77777777" w:rsidR="002B37E9" w:rsidRPr="006F5C69" w:rsidRDefault="002B37E9" w:rsidP="00226764">
            <w:pPr>
              <w:tabs>
                <w:tab w:val="clear" w:pos="794"/>
                <w:tab w:val="clear" w:pos="1191"/>
                <w:tab w:val="clear" w:pos="1588"/>
                <w:tab w:val="clear" w:pos="1985"/>
              </w:tabs>
              <w:overflowPunct/>
              <w:autoSpaceDE/>
              <w:autoSpaceDN/>
              <w:adjustRightInd/>
              <w:spacing w:before="0"/>
              <w:jc w:val="left"/>
              <w:rPr>
                <w:sz w:val="22"/>
                <w:szCs w:val="22"/>
                <w:lang w:val="es-ES_tradnl"/>
              </w:rPr>
            </w:pPr>
          </w:p>
        </w:tc>
        <w:tc>
          <w:tcPr>
            <w:tcW w:w="1446" w:type="dxa"/>
            <w:tcBorders>
              <w:top w:val="single" w:sz="4" w:space="0" w:color="auto"/>
              <w:left w:val="single" w:sz="4" w:space="0" w:color="auto"/>
              <w:bottom w:val="single" w:sz="4" w:space="0" w:color="auto"/>
              <w:right w:val="single" w:sz="4" w:space="0" w:color="auto"/>
            </w:tcBorders>
            <w:hideMark/>
          </w:tcPr>
          <w:p w14:paraId="52E1BCDD" w14:textId="69510A1D" w:rsidR="002B37E9" w:rsidRPr="006F5C69" w:rsidRDefault="006F5C69" w:rsidP="00226764">
            <w:pPr>
              <w:pStyle w:val="Tabletext"/>
              <w:widowControl w:val="0"/>
              <w:spacing w:before="10" w:after="10"/>
              <w:jc w:val="center"/>
              <w:rPr>
                <w:szCs w:val="22"/>
                <w:lang w:val="es-ES_tradnl"/>
              </w:rPr>
            </w:pPr>
            <w:r w:rsidRPr="006F5C69">
              <w:rPr>
                <w:szCs w:val="22"/>
                <w:lang w:val="es-ES_tradnl"/>
              </w:rPr>
              <w:t>−</w:t>
            </w:r>
            <w:r w:rsidR="002B37E9" w:rsidRPr="006F5C69">
              <w:rPr>
                <w:szCs w:val="22"/>
                <w:lang w:val="es-ES_tradnl"/>
              </w:rPr>
              <w:t>13</w:t>
            </w:r>
          </w:p>
        </w:tc>
        <w:tc>
          <w:tcPr>
            <w:tcW w:w="1361" w:type="dxa"/>
            <w:tcBorders>
              <w:top w:val="single" w:sz="4" w:space="0" w:color="auto"/>
              <w:left w:val="single" w:sz="4" w:space="0" w:color="auto"/>
              <w:bottom w:val="single" w:sz="4" w:space="0" w:color="auto"/>
              <w:right w:val="single" w:sz="4" w:space="0" w:color="auto"/>
            </w:tcBorders>
            <w:hideMark/>
          </w:tcPr>
          <w:p w14:paraId="39173B6F"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0,2</w:t>
            </w:r>
          </w:p>
        </w:tc>
        <w:tc>
          <w:tcPr>
            <w:tcW w:w="992" w:type="dxa"/>
            <w:tcBorders>
              <w:top w:val="single" w:sz="4" w:space="0" w:color="auto"/>
              <w:left w:val="single" w:sz="4" w:space="0" w:color="auto"/>
              <w:bottom w:val="single" w:sz="4" w:space="0" w:color="auto"/>
              <w:right w:val="single" w:sz="4" w:space="0" w:color="auto"/>
            </w:tcBorders>
            <w:hideMark/>
          </w:tcPr>
          <w:p w14:paraId="4B4FE04C"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7,6</w:t>
            </w:r>
          </w:p>
        </w:tc>
        <w:tc>
          <w:tcPr>
            <w:tcW w:w="1814" w:type="dxa"/>
            <w:tcBorders>
              <w:top w:val="single" w:sz="4" w:space="0" w:color="auto"/>
              <w:left w:val="single" w:sz="4" w:space="0" w:color="auto"/>
              <w:bottom w:val="single" w:sz="4" w:space="0" w:color="auto"/>
              <w:right w:val="single" w:sz="4" w:space="0" w:color="auto"/>
            </w:tcBorders>
            <w:hideMark/>
          </w:tcPr>
          <w:p w14:paraId="525CAEAE"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7,2%</w:t>
            </w:r>
          </w:p>
        </w:tc>
        <w:tc>
          <w:tcPr>
            <w:tcW w:w="992" w:type="dxa"/>
            <w:tcBorders>
              <w:top w:val="single" w:sz="4" w:space="0" w:color="auto"/>
              <w:left w:val="single" w:sz="4" w:space="0" w:color="auto"/>
              <w:bottom w:val="single" w:sz="4" w:space="0" w:color="auto"/>
              <w:right w:val="single" w:sz="4" w:space="0" w:color="auto"/>
            </w:tcBorders>
            <w:hideMark/>
          </w:tcPr>
          <w:p w14:paraId="48A638B4"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16,3</w:t>
            </w:r>
          </w:p>
        </w:tc>
        <w:tc>
          <w:tcPr>
            <w:tcW w:w="1814" w:type="dxa"/>
            <w:tcBorders>
              <w:top w:val="single" w:sz="4" w:space="0" w:color="auto"/>
              <w:left w:val="single" w:sz="4" w:space="0" w:color="auto"/>
              <w:bottom w:val="single" w:sz="4" w:space="0" w:color="auto"/>
              <w:right w:val="single" w:sz="4" w:space="0" w:color="auto"/>
            </w:tcBorders>
            <w:hideMark/>
          </w:tcPr>
          <w:p w14:paraId="2BDA3605" w14:textId="77777777" w:rsidR="002B37E9" w:rsidRPr="006F5C69" w:rsidRDefault="002B37E9" w:rsidP="00226764">
            <w:pPr>
              <w:pStyle w:val="Tabletext"/>
              <w:widowControl w:val="0"/>
              <w:spacing w:before="10" w:after="10"/>
              <w:jc w:val="center"/>
              <w:rPr>
                <w:szCs w:val="22"/>
                <w:lang w:val="es-ES_tradnl"/>
              </w:rPr>
            </w:pPr>
            <w:r w:rsidRPr="006F5C69">
              <w:rPr>
                <w:szCs w:val="22"/>
                <w:lang w:val="es-ES_tradnl"/>
              </w:rPr>
              <w:t>4,5%</w:t>
            </w:r>
          </w:p>
        </w:tc>
      </w:tr>
    </w:tbl>
    <w:p w14:paraId="2E78DE8A" w14:textId="77777777" w:rsidR="006F5C69" w:rsidRPr="00140923" w:rsidRDefault="006F5C69" w:rsidP="006F5C69">
      <w:pPr>
        <w:pStyle w:val="Tablefin"/>
        <w:rPr>
          <w:lang w:val="es-ES_tradnl"/>
        </w:rPr>
      </w:pPr>
    </w:p>
    <w:p w14:paraId="45AB9D74" w14:textId="77777777" w:rsidR="002B37E9" w:rsidRPr="00140923" w:rsidRDefault="002B37E9" w:rsidP="002B37E9">
      <w:pPr>
        <w:pStyle w:val="Heading3"/>
        <w:rPr>
          <w:lang w:val="es-ES_tradnl"/>
        </w:rPr>
      </w:pPr>
      <w:r w:rsidRPr="00140923">
        <w:rPr>
          <w:lang w:val="es-ES_tradnl"/>
        </w:rPr>
        <w:t>4.1.3</w:t>
      </w:r>
      <w:r w:rsidRPr="00140923">
        <w:rPr>
          <w:lang w:val="es-ES_tradnl"/>
        </w:rPr>
        <w:tab/>
        <w:t>Efecto combinado del ruido térmico del receptor y del ruido debido a interferencia</w:t>
      </w:r>
    </w:p>
    <w:p w14:paraId="63C44906" w14:textId="7D1561BA" w:rsidR="002B37E9" w:rsidRPr="00140923" w:rsidRDefault="002B37E9" w:rsidP="002B37E9">
      <w:pPr>
        <w:rPr>
          <w:lang w:val="es-ES_tradnl"/>
        </w:rPr>
      </w:pPr>
      <w:r w:rsidRPr="00140923">
        <w:rPr>
          <w:lang w:val="es-ES_tradnl"/>
        </w:rPr>
        <w:t>Los cálculos de los Cuadros 2 y 3 de las secciones precedentes se refieren al nivel de potencia correspondiente al «ruido térmico del receptor». En la práctica, el nivel de referencia normalmente será un nivel de ruido efectivo que comprenda todo el ruido en el sistema de recepción así como la interferencia supuesta dentro del servicio fijo, como en el caso de la parte </w:t>
      </w:r>
      <w:r w:rsidRPr="00140923">
        <w:rPr>
          <w:i/>
          <w:lang w:val="es-ES_tradnl"/>
        </w:rPr>
        <w:t>X</w:t>
      </w:r>
      <w:r w:rsidRPr="00140923">
        <w:rPr>
          <w:lang w:val="es-ES_tradnl"/>
        </w:rPr>
        <w:t xml:space="preserve"> definida en la </w:t>
      </w:r>
      <w:r w:rsidRPr="006F5C69">
        <w:rPr>
          <w:lang w:val="es-ES_tradnl"/>
        </w:rPr>
        <w:t xml:space="preserve">Recomendación </w:t>
      </w:r>
      <w:hyperlink r:id="rId86" w:history="1">
        <w:r w:rsidRPr="006F5C69">
          <w:rPr>
            <w:rStyle w:val="Hyperlink"/>
            <w:color w:val="auto"/>
            <w:u w:val="none"/>
            <w:lang w:val="es-ES_tradnl"/>
          </w:rPr>
          <w:t>UIT-R F.1094</w:t>
        </w:r>
      </w:hyperlink>
      <w:r w:rsidRPr="006F5C69">
        <w:rPr>
          <w:lang w:val="es-ES_tradnl"/>
        </w:rPr>
        <w:t xml:space="preserve">. Obsérvese que la interferencia de otros servicios también se referirá </w:t>
      </w:r>
      <w:r w:rsidRPr="00140923">
        <w:rPr>
          <w:lang w:val="es-ES_tradnl"/>
        </w:rPr>
        <w:t xml:space="preserve">a este nivel efectivo. Por consiguiente, el aumento del valor supuesto para la interferencia del propio </w:t>
      </w:r>
      <w:r w:rsidRPr="00140923">
        <w:rPr>
          <w:lang w:val="es-ES_tradnl"/>
        </w:rPr>
        <w:lastRenderedPageBreak/>
        <w:t>servicio redundará en una disminución de la degradación admisible de la calidad de funcionamiento en un nivel dado de potencia de interferencia debida a otros servicios.</w:t>
      </w:r>
    </w:p>
    <w:p w14:paraId="7C325BDE" w14:textId="77777777" w:rsidR="002B37E9" w:rsidRPr="00140923" w:rsidRDefault="002B37E9" w:rsidP="002B37E9">
      <w:pPr>
        <w:pStyle w:val="Heading3"/>
        <w:rPr>
          <w:lang w:val="es-ES_tradnl" w:eastAsia="ja-JP"/>
        </w:rPr>
      </w:pPr>
      <w:r w:rsidRPr="00140923">
        <w:rPr>
          <w:lang w:val="es-ES_tradnl"/>
        </w:rPr>
        <w:t>4.1.4</w:t>
      </w:r>
      <w:r w:rsidRPr="00140923">
        <w:rPr>
          <w:lang w:val="es-ES_tradnl"/>
        </w:rPr>
        <w:tab/>
        <w:t>Degradación de las características de error y de disponibilidad en enlaces de múltiples saltos</w:t>
      </w:r>
    </w:p>
    <w:p w14:paraId="32FB5B0C" w14:textId="453EFA2D" w:rsidR="002B37E9" w:rsidRPr="00140923" w:rsidRDefault="002B37E9" w:rsidP="002B37E9">
      <w:pPr>
        <w:rPr>
          <w:lang w:val="es-ES_tradnl"/>
        </w:rPr>
      </w:pPr>
      <w:r w:rsidRPr="00140923">
        <w:rPr>
          <w:lang w:val="es-ES_tradnl"/>
        </w:rPr>
        <w:t xml:space="preserve">En la Recomendación </w:t>
      </w:r>
      <w:hyperlink r:id="rId87" w:history="1">
        <w:r w:rsidRPr="006F5C69">
          <w:rPr>
            <w:rStyle w:val="Hyperlink"/>
            <w:color w:val="auto"/>
            <w:u w:val="none"/>
            <w:lang w:val="es-ES_tradnl"/>
          </w:rPr>
          <w:t>UIT-R F.1565</w:t>
        </w:r>
      </w:hyperlink>
      <w:r w:rsidRPr="00140923">
        <w:rPr>
          <w:lang w:val="es-ES_tradnl"/>
        </w:rPr>
        <w:t>, la degradación de la característica de error de los sistemas inalámbricos fijos reales debida a la interferencia procedente de otros servicios coprimarios se especifica para cada sección de la conexión ficticia de referencia. Más concretamente, la degradación de la característica de error de los sistemas inalámbricos fijos reales se podría calcular para la parte íntegra de una sección de recorrido corto entre centrales y de una sección de red de acceso. En el caso de la sección de recorrido largo entre centrales, 50 km es la longitud mínima del enlace para la que se especifica el objetivo de característica de error.</w:t>
      </w:r>
    </w:p>
    <w:p w14:paraId="6FE09786" w14:textId="2EA715A7" w:rsidR="002B37E9" w:rsidRPr="00140923" w:rsidRDefault="002B37E9" w:rsidP="002B37E9">
      <w:pPr>
        <w:rPr>
          <w:lang w:val="es-ES_tradnl"/>
        </w:rPr>
      </w:pPr>
      <w:r w:rsidRPr="00140923">
        <w:rPr>
          <w:lang w:val="es-ES_tradnl"/>
        </w:rPr>
        <w:t xml:space="preserve">Cabe señalar que, en caso de instalarse sistemas inalámbricos fijos de múltiples secciones en los que todas las secciones de red de acceso de recorrido corto entre centrales o de recorrido largo entre secciones sean menores de 50 km, no es necesario que el objetivo de característica de error para la interferencia especificado en la Recomendación </w:t>
      </w:r>
      <w:hyperlink r:id="rId88" w:history="1">
        <w:r w:rsidR="006F5C69" w:rsidRPr="006F5C69">
          <w:rPr>
            <w:rStyle w:val="Hyperlink"/>
            <w:color w:val="auto"/>
            <w:u w:val="none"/>
            <w:lang w:val="es-ES_tradnl"/>
          </w:rPr>
          <w:t>UIT-R F.1565</w:t>
        </w:r>
      </w:hyperlink>
      <w:r w:rsidRPr="00140923">
        <w:rPr>
          <w:lang w:val="es-ES_tradnl"/>
        </w:rPr>
        <w:t xml:space="preserve"> se aplique a secciones individuales sino al enlace de múltiples secciones en total.</w:t>
      </w:r>
    </w:p>
    <w:p w14:paraId="1621EA6A" w14:textId="3FA6818A" w:rsidR="002B37E9" w:rsidRPr="00140923" w:rsidRDefault="002B37E9" w:rsidP="002B37E9">
      <w:pPr>
        <w:rPr>
          <w:lang w:val="es-ES_tradnl"/>
        </w:rPr>
      </w:pPr>
      <w:r w:rsidRPr="00140923">
        <w:rPr>
          <w:lang w:val="es-ES_tradnl"/>
        </w:rPr>
        <w:t xml:space="preserve">Consideraciones similares podrían aplicarse para la atribución del objetivo de característica de </w:t>
      </w:r>
      <w:r w:rsidRPr="006F5C69">
        <w:rPr>
          <w:lang w:val="es-ES_tradnl"/>
        </w:rPr>
        <w:t xml:space="preserve">disponibilidad especificado en la Recomendación </w:t>
      </w:r>
      <w:hyperlink r:id="rId89" w:history="1">
        <w:r w:rsidRPr="006F5C69">
          <w:rPr>
            <w:rStyle w:val="Hyperlink"/>
            <w:color w:val="auto"/>
            <w:u w:val="none"/>
            <w:lang w:val="es-ES_tradnl"/>
          </w:rPr>
          <w:t>UIT-R F.1703</w:t>
        </w:r>
      </w:hyperlink>
      <w:r w:rsidRPr="006F5C69">
        <w:rPr>
          <w:lang w:val="es-ES_tradnl" w:eastAsia="ja-JP"/>
        </w:rPr>
        <w:t xml:space="preserve"> teniendo en cuenta que un enlace </w:t>
      </w:r>
      <w:r w:rsidRPr="00140923">
        <w:rPr>
          <w:lang w:val="es-ES_tradnl" w:eastAsia="ja-JP"/>
        </w:rPr>
        <w:t>solamente se considera disponible si ambos sentidos están disponibles.</w:t>
      </w:r>
    </w:p>
    <w:p w14:paraId="2E2AAC5E" w14:textId="77777777" w:rsidR="002B37E9" w:rsidRPr="00140923" w:rsidRDefault="002B37E9" w:rsidP="002B37E9">
      <w:pPr>
        <w:keepNext/>
        <w:keepLines/>
        <w:rPr>
          <w:lang w:val="es-ES_tradnl" w:eastAsia="ja-JP"/>
        </w:rPr>
      </w:pPr>
      <w:r w:rsidRPr="00140923">
        <w:rPr>
          <w:lang w:val="es-ES_tradnl"/>
        </w:rPr>
        <w:t>Lo anterior debería tenerse en cuenta en el entorno de compartición en el que la interferencia no ocurre de forma significativa en todos los saltos, sino que afecta únicamente a saltos concretos. Por ejemplo, si sólo hay un salto expuesto a la interferencia dentro del sistema inalámbrico fijo de N saltos que constituye toda la sección, la degradación resultante de las características de error y de disponibilidad se debería atribuir al salto expuesto como se muestra en la condición de cálculo de los Cuadros 2, 3 y 4.</w:t>
      </w:r>
    </w:p>
    <w:p w14:paraId="36234D0B" w14:textId="77777777" w:rsidR="002B37E9" w:rsidRPr="00140923" w:rsidRDefault="002B37E9" w:rsidP="002B37E9">
      <w:pPr>
        <w:pStyle w:val="Heading2"/>
        <w:rPr>
          <w:lang w:val="es-ES_tradnl"/>
        </w:rPr>
      </w:pPr>
      <w:bookmarkStart w:id="21" w:name="_Toc39157071"/>
      <w:r w:rsidRPr="00140923">
        <w:rPr>
          <w:lang w:val="es-ES_tradnl"/>
        </w:rPr>
        <w:t>4.2</w:t>
      </w:r>
      <w:r w:rsidRPr="00140923">
        <w:rPr>
          <w:lang w:val="es-ES_tradnl"/>
        </w:rPr>
        <w:tab/>
        <w:t>Interferencia de corta duración</w:t>
      </w:r>
      <w:bookmarkEnd w:id="21"/>
    </w:p>
    <w:p w14:paraId="034F6FFF" w14:textId="77777777" w:rsidR="002B37E9" w:rsidRPr="00140923" w:rsidRDefault="002B37E9" w:rsidP="002B37E9">
      <w:pPr>
        <w:rPr>
          <w:lang w:val="es-ES_tradnl"/>
        </w:rPr>
      </w:pPr>
      <w:r w:rsidRPr="00140923">
        <w:rPr>
          <w:lang w:val="es-ES_tradnl"/>
        </w:rPr>
        <w:t>Un sistema debe cumplir sus objetivos de característica de error y de disponibilidad independientemente de si las degradaciones admisibles se deben a eventos de interferencia de corta duración o a largo plazo. En este sentido, es preciso considerar las degradaciones atribuidas a la interferencia de corta duración junto con las atribuidas a la interferencia a largo plazo, de modo que su suma no supere la degradación de la calidad de funcionamiento permitida. En el caso de la interferencia procedente de fuentes coprimarias, la degradación total de las características de error y los objetivos de disponibilidad debida a la interferencia tanto a corto como a largo plazo debería limitarse al 10%; en el caso de la interferencia procedente de fuentes no coprimarias, la degradación total debería limitarse al 1%.</w:t>
      </w:r>
    </w:p>
    <w:p w14:paraId="19884AAD" w14:textId="77777777" w:rsidR="002B37E9" w:rsidRPr="00140923" w:rsidRDefault="002B37E9" w:rsidP="002B37E9">
      <w:pPr>
        <w:rPr>
          <w:lang w:val="es-ES_tradnl"/>
        </w:rPr>
      </w:pPr>
      <w:r w:rsidRPr="00140923">
        <w:rPr>
          <w:lang w:val="es-ES_tradnl"/>
        </w:rPr>
        <w:t>El cálculo de los niveles de interferencia de corta duración permitidos, y los porcentajes de tiempo conexos, es un proceso complejo. Habida cuenta de que ese cálculo se detalla en diversas Recomendaciones del UIT-R en vigor para la compartición coprimaria en distintas situaciones y bandas de frecuencias, no se recoge en la presente Recomendación.</w:t>
      </w:r>
    </w:p>
    <w:p w14:paraId="1CA59BCE" w14:textId="3A0973D5" w:rsidR="002B37E9" w:rsidRPr="006F5C69" w:rsidRDefault="002B37E9" w:rsidP="002B37E9">
      <w:pPr>
        <w:rPr>
          <w:lang w:val="es-ES_tradnl" w:eastAsia="ja-JP"/>
        </w:rPr>
      </w:pPr>
      <w:r w:rsidRPr="006F5C69">
        <w:rPr>
          <w:lang w:val="es-ES_tradnl"/>
        </w:rPr>
        <w:t xml:space="preserve">Los procedimientos descritos en las Recomendaciones </w:t>
      </w:r>
      <w:hyperlink r:id="rId90" w:history="1">
        <w:r w:rsidRPr="006F5C69">
          <w:rPr>
            <w:rStyle w:val="Hyperlink"/>
            <w:color w:val="auto"/>
            <w:u w:val="none"/>
            <w:lang w:val="es-ES_tradnl"/>
          </w:rPr>
          <w:t>UIT-R F.1494</w:t>
        </w:r>
      </w:hyperlink>
      <w:r w:rsidRPr="006F5C69">
        <w:rPr>
          <w:lang w:val="es-ES_tradnl"/>
        </w:rPr>
        <w:t xml:space="preserve">, </w:t>
      </w:r>
      <w:hyperlink r:id="rId91" w:history="1">
        <w:r w:rsidRPr="006F5C69">
          <w:rPr>
            <w:rStyle w:val="Hyperlink"/>
            <w:color w:val="auto"/>
            <w:u w:val="none"/>
            <w:lang w:val="es-ES_tradnl"/>
          </w:rPr>
          <w:t>UIT-R F.1495</w:t>
        </w:r>
      </w:hyperlink>
      <w:r w:rsidRPr="006F5C69">
        <w:rPr>
          <w:lang w:val="es-ES_tradnl"/>
        </w:rPr>
        <w:t xml:space="preserve"> y </w:t>
      </w:r>
      <w:hyperlink r:id="rId92" w:history="1">
        <w:r w:rsidRPr="006F5C69">
          <w:rPr>
            <w:rStyle w:val="Hyperlink"/>
            <w:color w:val="auto"/>
            <w:u w:val="none"/>
            <w:lang w:val="es-ES_tradnl"/>
          </w:rPr>
          <w:t>UIT</w:t>
        </w:r>
        <w:r w:rsidRPr="006F5C69">
          <w:rPr>
            <w:rStyle w:val="Hyperlink"/>
            <w:color w:val="auto"/>
            <w:u w:val="none"/>
            <w:lang w:val="es-ES_tradnl"/>
          </w:rPr>
          <w:noBreakHyphen/>
          <w:t>R F.1606</w:t>
        </w:r>
      </w:hyperlink>
      <w:r w:rsidRPr="006F5C69">
        <w:rPr>
          <w:lang w:val="es-ES_tradnl"/>
        </w:rPr>
        <w:t xml:space="preserve">, y en el Anexo 5 al Informe </w:t>
      </w:r>
      <w:hyperlink r:id="rId93" w:history="1">
        <w:r w:rsidRPr="006F5C69">
          <w:rPr>
            <w:rStyle w:val="Hyperlink"/>
            <w:color w:val="auto"/>
            <w:u w:val="none"/>
            <w:lang w:val="es-ES_tradnl"/>
          </w:rPr>
          <w:t>UIT-R M.2119</w:t>
        </w:r>
      </w:hyperlink>
      <w:r w:rsidRPr="006F5C69">
        <w:rPr>
          <w:lang w:val="es-ES_tradnl"/>
        </w:rPr>
        <w:t xml:space="preserve"> contienen ejemplos de elaboración de criterios de interferencia de corta duración.</w:t>
      </w:r>
    </w:p>
    <w:p w14:paraId="1856E6DC" w14:textId="77777777" w:rsidR="002B37E9" w:rsidRPr="00140923" w:rsidRDefault="002B37E9" w:rsidP="002B37E9">
      <w:pPr>
        <w:pStyle w:val="Heading1"/>
        <w:rPr>
          <w:b w:val="0"/>
          <w:lang w:val="es-ES_tradnl" w:eastAsia="zh-CN"/>
        </w:rPr>
      </w:pPr>
      <w:bookmarkStart w:id="22" w:name="_Toc39157072"/>
      <w:r w:rsidRPr="00140923">
        <w:rPr>
          <w:lang w:val="es-ES_tradnl" w:eastAsia="zh-CN"/>
        </w:rPr>
        <w:lastRenderedPageBreak/>
        <w:t>5</w:t>
      </w:r>
      <w:r w:rsidRPr="00140923">
        <w:rPr>
          <w:lang w:val="es-ES_tradnl" w:eastAsia="zh-CN"/>
        </w:rPr>
        <w:tab/>
        <w:t>Uso del control automático de la potencia del transmisor en los sistemas digitales</w:t>
      </w:r>
      <w:bookmarkEnd w:id="22"/>
    </w:p>
    <w:p w14:paraId="0BC98D17" w14:textId="5C626C16" w:rsidR="006F5C69" w:rsidRDefault="002B37E9" w:rsidP="002B37E9">
      <w:pPr>
        <w:rPr>
          <w:lang w:val="es-ES_tradnl" w:eastAsia="zh-CN"/>
        </w:rPr>
      </w:pPr>
      <w:r w:rsidRPr="00140923">
        <w:rPr>
          <w:lang w:val="es-ES_tradnl" w:eastAsia="zh-CN"/>
        </w:rPr>
        <w:t>Los sistemas del servicio fijo en algunas bandas de frecuencias pueden hacer uso del control automático de la potencia del transmisor (</w:t>
      </w:r>
      <w:r w:rsidRPr="00140923">
        <w:rPr>
          <w:bCs/>
          <w:lang w:val="es-ES_tradnl" w:eastAsia="zh-CN"/>
        </w:rPr>
        <w:t xml:space="preserve">ATPC). El </w:t>
      </w:r>
      <w:r w:rsidRPr="00140923">
        <w:rPr>
          <w:lang w:val="es-ES_tradnl" w:eastAsia="zh-CN"/>
        </w:rPr>
        <w:t>ATPC se activa generalmente por el nivel de la señal recibida por debajo de un umbral previamente definido; en algunos casos, un umbral de degradación de la tasa de errores en los bits (BER) podría complementar al algoritmo de activación ATPC. Cuando sea de aplicación, el ATPC se puede tener en cuenta al realizar estudios de compartición relacionados con el servicio fijo. Tales estudios deberían considerar el nivel máximo de potencia transmitida, el alcance del ATPC y la distribución de los niveles de potencia en el servicio fijo con respecto al tiempo debido a la variación de pérdida de propagación.</w:t>
      </w:r>
    </w:p>
    <w:p w14:paraId="58E3422A" w14:textId="3540DDE9" w:rsidR="002B37E9" w:rsidRPr="006F5C69" w:rsidRDefault="002B37E9" w:rsidP="002B37E9">
      <w:pPr>
        <w:rPr>
          <w:lang w:val="es-ES_tradnl" w:eastAsia="zh-CN"/>
        </w:rPr>
      </w:pPr>
      <w:r w:rsidRPr="00140923">
        <w:rPr>
          <w:lang w:val="es-ES_tradnl" w:eastAsia="zh-CN"/>
        </w:rPr>
        <w:t xml:space="preserve">En presencia de interferencia relativamente alta (por ejemplo cuando se considera la interferencia de corta duración), esta distribución puede ser difícil de determinar puesto que el nivel de interferencia podría causar la activación del ATPC (por ejemplo desencadenar el umbral de BER) o impedir su activación (por ejemplo impidiendo que se alcance el umbral de la señal recibida) de una manera impredecible. Para los análisis de compartición entre servicios, en la evaluación de la interferencia de corta duración en los sistemas equipados con ATPC se debería utilizar, no obstante, la potencia a largo plazo del transmisor deseado en lugar de su máxima potencia, a menos que la fuente de la interferencia tenga las mismas configuraciones de los trayectos de propagación. Por ejemplo, si el trayecto de la interferencia tiene su origen en una estación de satélite, no existe ninguna relación con el trayecto deseado del servicio fijo. En tales casos, se debe suponer que la potencia del transmisor deseado está en su nivel más bajo. No obstante, si el trayecto de la interferencia tiene su origen en una fuente terrenal, se puede suponer alguna relación de desvanecimiento (véase la Nota a continuación). En ese caso, la supuesta potencia deseada podría ser la máxima potencia del alcance del ATPC. Se puede consultar más información sobre el ATPC en las Recomendaciones </w:t>
      </w:r>
      <w:hyperlink r:id="rId94" w:history="1">
        <w:r w:rsidRPr="006F5C69">
          <w:rPr>
            <w:rStyle w:val="Hyperlink"/>
            <w:color w:val="auto"/>
            <w:u w:val="none"/>
            <w:lang w:val="es-ES_tradnl" w:eastAsia="zh-CN"/>
          </w:rPr>
          <w:t>UIT</w:t>
        </w:r>
        <w:r w:rsidR="006F5C69" w:rsidRPr="006F5C69">
          <w:rPr>
            <w:rStyle w:val="Hyperlink"/>
            <w:color w:val="auto"/>
            <w:u w:val="none"/>
            <w:lang w:val="es-ES_tradnl" w:eastAsia="zh-CN"/>
          </w:rPr>
          <w:noBreakHyphen/>
        </w:r>
        <w:r w:rsidRPr="006F5C69">
          <w:rPr>
            <w:rStyle w:val="Hyperlink"/>
            <w:color w:val="auto"/>
            <w:u w:val="none"/>
            <w:lang w:val="es-ES_tradnl" w:eastAsia="zh-CN"/>
          </w:rPr>
          <w:t>R F.1494</w:t>
        </w:r>
      </w:hyperlink>
      <w:r w:rsidRPr="006F5C69">
        <w:rPr>
          <w:lang w:val="es-ES_tradnl" w:eastAsia="zh-CN"/>
        </w:rPr>
        <w:t xml:space="preserve">, </w:t>
      </w:r>
      <w:hyperlink r:id="rId95" w:history="1">
        <w:r w:rsidRPr="006F5C69">
          <w:rPr>
            <w:rStyle w:val="Hyperlink"/>
            <w:color w:val="auto"/>
            <w:u w:val="none"/>
            <w:lang w:val="es-ES_tradnl" w:eastAsia="zh-CN"/>
          </w:rPr>
          <w:t>UIT-R F.1495</w:t>
        </w:r>
      </w:hyperlink>
      <w:r w:rsidRPr="006F5C69">
        <w:rPr>
          <w:lang w:val="es-ES_tradnl" w:eastAsia="zh-CN"/>
        </w:rPr>
        <w:t xml:space="preserve">, </w:t>
      </w:r>
      <w:hyperlink r:id="rId96" w:history="1">
        <w:r w:rsidRPr="006F5C69">
          <w:rPr>
            <w:rStyle w:val="Hyperlink"/>
            <w:color w:val="auto"/>
            <w:u w:val="none"/>
            <w:lang w:val="es-ES_tradnl" w:eastAsia="zh-CN"/>
          </w:rPr>
          <w:t>UIT-R F.1606</w:t>
        </w:r>
      </w:hyperlink>
      <w:r w:rsidRPr="006F5C69">
        <w:rPr>
          <w:lang w:val="es-ES_tradnl" w:eastAsia="zh-CN"/>
        </w:rPr>
        <w:t xml:space="preserve"> y </w:t>
      </w:r>
      <w:hyperlink r:id="rId97" w:history="1">
        <w:r w:rsidRPr="006F5C69">
          <w:rPr>
            <w:rStyle w:val="Hyperlink"/>
            <w:color w:val="auto"/>
            <w:u w:val="none"/>
            <w:lang w:val="es-ES_tradnl" w:eastAsia="zh-CN"/>
          </w:rPr>
          <w:t>UIT-R F.1669</w:t>
        </w:r>
      </w:hyperlink>
      <w:r w:rsidRPr="006F5C69">
        <w:rPr>
          <w:lang w:val="es-ES_tradnl" w:eastAsia="zh-CN"/>
        </w:rPr>
        <w:t>.</w:t>
      </w:r>
    </w:p>
    <w:p w14:paraId="216E2099" w14:textId="77777777" w:rsidR="002B37E9" w:rsidRPr="00140923" w:rsidRDefault="002B37E9" w:rsidP="002B37E9">
      <w:pPr>
        <w:pStyle w:val="Note"/>
        <w:rPr>
          <w:lang w:val="es-ES_tradnl" w:eastAsia="zh-CN"/>
        </w:rPr>
      </w:pPr>
      <w:r w:rsidRPr="00140923">
        <w:rPr>
          <w:lang w:val="es-ES_tradnl"/>
        </w:rPr>
        <w:t>NOTA – Este es el caso más general con las bandas de frecuencias por encima de 17 GHz, en las que la lluvia es el factor dominante que afecta a la propagación del enlace; por ejemplo, las Recomendaciones UIT</w:t>
      </w:r>
      <w:r w:rsidRPr="00140923">
        <w:rPr>
          <w:lang w:val="es-ES_tradnl"/>
        </w:rPr>
        <w:noBreakHyphen/>
        <w:t>R P.452 y UIT-R P.839 dan información sobre el tamaño de la célula y la distribución de la intensidad de lluvia (en acimut y dirección de elevación) dentro de las células. En las bandas de frecuencias bajas, en que el factor dominante son los trayectos múltiples, no existe correlación entre la profundidad del desvanecimiento en el trayecto de la señal deseada y el trayecto de la interferencia</w:t>
      </w:r>
      <w:r w:rsidRPr="00140923">
        <w:rPr>
          <w:lang w:val="es-ES_tradnl" w:eastAsia="zh-CN"/>
        </w:rPr>
        <w:t>.</w:t>
      </w:r>
    </w:p>
    <w:p w14:paraId="18E5512C" w14:textId="77777777" w:rsidR="002B37E9" w:rsidRPr="00140923" w:rsidRDefault="002B37E9" w:rsidP="002B37E9">
      <w:pPr>
        <w:pStyle w:val="Heading1"/>
        <w:rPr>
          <w:lang w:val="es-ES_tradnl"/>
        </w:rPr>
      </w:pPr>
      <w:bookmarkStart w:id="23" w:name="_Toc39157073"/>
      <w:r w:rsidRPr="00140923">
        <w:rPr>
          <w:lang w:val="es-ES_tradnl"/>
        </w:rPr>
        <w:t>6</w:t>
      </w:r>
      <w:r w:rsidRPr="00140923">
        <w:rPr>
          <w:lang w:val="es-ES_tradnl"/>
        </w:rPr>
        <w:tab/>
        <w:t>Cálculo de niveles de interferencia real</w:t>
      </w:r>
      <w:bookmarkEnd w:id="19"/>
      <w:bookmarkEnd w:id="23"/>
    </w:p>
    <w:p w14:paraId="3067B251" w14:textId="77777777" w:rsidR="002B37E9" w:rsidRDefault="002B37E9" w:rsidP="002B37E9">
      <w:pPr>
        <w:rPr>
          <w:lang w:val="es-ES_tradnl"/>
        </w:rPr>
      </w:pPr>
      <w:r w:rsidRPr="00140923">
        <w:rPr>
          <w:lang w:val="es-ES_tradnl"/>
        </w:rPr>
        <w:t>Con el fin de completar el análisis de compartición, debe evaluarse la probabilidad de la interferencia que llega a la entrada de la antena. Para ello habrá que tener en cuenta modelos de propagación actualizados y factores del trayecto, que se describen en los Informes UIT-R y en las Recomendaciones UIT-R de la Serie P. No es probable que un solo modelo baste para todas las aplicaciones posibles. El cálculo de la pérdida de transmisión incluirá también factores tales como las pérdidas por absorción, las pérdidas por difracción, las pérdidas por dispersión, la pérdida por acoplamiento de polarización, la pérdida por acoplamiento entre la abertura y el medio de transmisión y el efecto de la propagación por trayectos múltiples. Asimismo, puede ser necesario tener que considerar los niveles de interferencia global y de interferencia procedente de una sola fuente.</w:t>
      </w:r>
    </w:p>
    <w:p w14:paraId="2B40FD1A" w14:textId="77777777" w:rsidR="006F5C69" w:rsidRDefault="006F5C69" w:rsidP="002B37E9">
      <w:pPr>
        <w:rPr>
          <w:lang w:val="es-ES_tradnl"/>
        </w:rPr>
      </w:pPr>
    </w:p>
    <w:p w14:paraId="06969507" w14:textId="77777777" w:rsidR="006F5C69" w:rsidRPr="00140923" w:rsidRDefault="006F5C69" w:rsidP="002B37E9">
      <w:pPr>
        <w:rPr>
          <w:lang w:val="es-ES_tradnl"/>
        </w:rPr>
      </w:pPr>
    </w:p>
    <w:p w14:paraId="53205547" w14:textId="77777777" w:rsidR="002B37E9" w:rsidRPr="00140923" w:rsidRDefault="002B37E9" w:rsidP="002B37E9">
      <w:pPr>
        <w:pStyle w:val="AnnexNoTitle"/>
        <w:rPr>
          <w:lang w:val="es-ES_tradnl"/>
        </w:rPr>
      </w:pPr>
      <w:bookmarkStart w:id="24" w:name="_Toc107643563"/>
      <w:bookmarkStart w:id="25" w:name="_Toc39157074"/>
      <w:r w:rsidRPr="00140923">
        <w:rPr>
          <w:lang w:val="es-ES_tradnl"/>
        </w:rPr>
        <w:lastRenderedPageBreak/>
        <w:t>Anexo 2</w:t>
      </w:r>
      <w:r w:rsidRPr="00140923">
        <w:rPr>
          <w:lang w:val="es-ES_tradnl"/>
        </w:rPr>
        <w:br/>
      </w:r>
      <w:r w:rsidRPr="00140923">
        <w:rPr>
          <w:lang w:val="es-ES_tradnl"/>
        </w:rPr>
        <w:br/>
        <w:t>Parámetros de los sistemas digitales del servicio fijo que han de considerarse para los estudios de compartición/compatibilidad</w:t>
      </w:r>
      <w:bookmarkEnd w:id="24"/>
      <w:bookmarkEnd w:id="25"/>
    </w:p>
    <w:p w14:paraId="1A7464C7" w14:textId="77777777" w:rsidR="002B37E9" w:rsidRPr="00140923" w:rsidRDefault="002B37E9" w:rsidP="002B37E9">
      <w:pPr>
        <w:pStyle w:val="Heading1"/>
        <w:spacing w:before="400"/>
        <w:rPr>
          <w:lang w:val="es-ES_tradnl"/>
        </w:rPr>
      </w:pPr>
      <w:bookmarkStart w:id="26" w:name="_Toc107643564"/>
      <w:bookmarkStart w:id="27" w:name="_Toc39157075"/>
      <w:r w:rsidRPr="00140923">
        <w:rPr>
          <w:lang w:val="es-ES_tradnl"/>
        </w:rPr>
        <w:t>1</w:t>
      </w:r>
      <w:r w:rsidRPr="00140923">
        <w:rPr>
          <w:lang w:val="es-ES_tradnl"/>
        </w:rPr>
        <w:tab/>
        <w:t>Introducción</w:t>
      </w:r>
      <w:bookmarkEnd w:id="26"/>
      <w:bookmarkEnd w:id="27"/>
    </w:p>
    <w:p w14:paraId="7E4AF3EA" w14:textId="77777777" w:rsidR="002B37E9" w:rsidRPr="00140923" w:rsidRDefault="002B37E9" w:rsidP="002B37E9">
      <w:pPr>
        <w:rPr>
          <w:lang w:val="es-ES_tradnl"/>
        </w:rPr>
      </w:pPr>
      <w:r w:rsidRPr="00140923">
        <w:rPr>
          <w:lang w:val="es-ES_tradnl"/>
        </w:rPr>
        <w:t>Con el fin de calcular las degradaciones de la calidad de funcionamiento y de la disponibilidad, es necesario conocer las características de los sistemas inalámbricos fijos. Hay una gran variedad de sistemas inalámbricos fijos en explotación o que se están desarrollando para satisfacer necesidades futuras. Esta variedad de parámetros de sistema se puede generalizar mediante sistemas representativos para gamas de frecuencias específicas en las que el funcionamiento de los equipos sea sistemáticamente similar. En este Anexo se proporcionan detalles de los parámetros clave de los sistemas radioeléctricos requeridos para la evaluación y los cálculos de la interferencia en relación con los estudios de compartición de frecuencias con otros servicios. Los parámetros de sistema se presentan en forma tabular para el número mínimo de gamas de frecuencias requeridas para realizar estudios de compartición entre el servicio fijo y otros servicios.</w:t>
      </w:r>
    </w:p>
    <w:p w14:paraId="1C7C5F1B" w14:textId="77777777" w:rsidR="002B37E9" w:rsidRPr="00140923" w:rsidRDefault="002B37E9" w:rsidP="002B37E9">
      <w:pPr>
        <w:pStyle w:val="Heading1"/>
        <w:rPr>
          <w:lang w:val="es-ES_tradnl"/>
        </w:rPr>
      </w:pPr>
      <w:bookmarkStart w:id="28" w:name="_Toc107643565"/>
      <w:bookmarkStart w:id="29" w:name="_Toc39157076"/>
      <w:r w:rsidRPr="00140923">
        <w:rPr>
          <w:lang w:val="es-ES_tradnl"/>
        </w:rPr>
        <w:t>2</w:t>
      </w:r>
      <w:r w:rsidRPr="00140923">
        <w:rPr>
          <w:lang w:val="es-ES_tradnl"/>
        </w:rPr>
        <w:tab/>
        <w:t>Caracterización del transmisor</w:t>
      </w:r>
      <w:bookmarkEnd w:id="28"/>
      <w:bookmarkEnd w:id="29"/>
    </w:p>
    <w:p w14:paraId="6A595577" w14:textId="77777777" w:rsidR="002B37E9" w:rsidRPr="00140923" w:rsidRDefault="002B37E9" w:rsidP="002B37E9">
      <w:pPr>
        <w:pStyle w:val="Heading2"/>
        <w:rPr>
          <w:lang w:val="es-ES_tradnl"/>
        </w:rPr>
      </w:pPr>
      <w:bookmarkStart w:id="30" w:name="_Toc39157077"/>
      <w:r w:rsidRPr="00140923">
        <w:rPr>
          <w:lang w:val="es-ES_tradnl"/>
        </w:rPr>
        <w:t>2.1</w:t>
      </w:r>
      <w:r w:rsidRPr="00140923">
        <w:rPr>
          <w:lang w:val="es-ES_tradnl"/>
        </w:rPr>
        <w:tab/>
        <w:t>Parámetros de los equipos</w:t>
      </w:r>
      <w:bookmarkEnd w:id="30"/>
    </w:p>
    <w:p w14:paraId="00309B17" w14:textId="77777777" w:rsidR="002B37E9" w:rsidRPr="00140923" w:rsidRDefault="002B37E9" w:rsidP="002B37E9">
      <w:pPr>
        <w:rPr>
          <w:lang w:val="es-ES_tradnl"/>
        </w:rPr>
      </w:pPr>
      <w:r w:rsidRPr="00140923">
        <w:rPr>
          <w:lang w:val="es-ES_tradnl"/>
        </w:rPr>
        <w:t>Los parámetros básicos del transmisor necesarios para evaluar la interferencia potencial a otros servicios son:</w:t>
      </w:r>
    </w:p>
    <w:p w14:paraId="63BA6133" w14:textId="77777777" w:rsidR="002B37E9" w:rsidRPr="00140923" w:rsidRDefault="002B37E9" w:rsidP="002B37E9">
      <w:pPr>
        <w:pStyle w:val="enumlev1"/>
        <w:rPr>
          <w:lang w:val="es-ES_tradnl"/>
        </w:rPr>
      </w:pPr>
      <w:r w:rsidRPr="00140923">
        <w:rPr>
          <w:lang w:val="es-ES_tradnl"/>
        </w:rPr>
        <w:t>–</w:t>
      </w:r>
      <w:r w:rsidRPr="00140923">
        <w:rPr>
          <w:lang w:val="es-ES_tradnl"/>
        </w:rPr>
        <w:tab/>
        <w:t>la frecuencia portadora;</w:t>
      </w:r>
    </w:p>
    <w:p w14:paraId="002FC2F1" w14:textId="77777777" w:rsidR="002B37E9" w:rsidRPr="00140923" w:rsidRDefault="002B37E9" w:rsidP="002B37E9">
      <w:pPr>
        <w:pStyle w:val="enumlev1"/>
        <w:rPr>
          <w:lang w:val="es-ES_tradnl"/>
        </w:rPr>
      </w:pPr>
      <w:r w:rsidRPr="00140923">
        <w:rPr>
          <w:lang w:val="es-ES_tradnl"/>
        </w:rPr>
        <w:t>–</w:t>
      </w:r>
      <w:r w:rsidRPr="00140923">
        <w:rPr>
          <w:lang w:val="es-ES_tradnl"/>
        </w:rPr>
        <w:tab/>
        <w:t>las características espectrales (por ejemplo, anchura de banda y densidad de potencia del transmisor);</w:t>
      </w:r>
    </w:p>
    <w:p w14:paraId="43563825" w14:textId="77777777" w:rsidR="002B37E9" w:rsidRPr="00140923" w:rsidRDefault="002B37E9" w:rsidP="002B37E9">
      <w:pPr>
        <w:pStyle w:val="enumlev1"/>
        <w:rPr>
          <w:lang w:val="es-ES_tradnl"/>
        </w:rPr>
      </w:pPr>
      <w:r w:rsidRPr="00140923">
        <w:rPr>
          <w:lang w:val="es-ES_tradnl"/>
        </w:rPr>
        <w:t>–</w:t>
      </w:r>
      <w:r w:rsidRPr="00140923">
        <w:rPr>
          <w:lang w:val="es-ES_tradnl"/>
        </w:rPr>
        <w:tab/>
        <w:t>la potencia isótropa radiada equivalente (p.i.r.e.);</w:t>
      </w:r>
    </w:p>
    <w:p w14:paraId="5DB4BDCE" w14:textId="77777777" w:rsidR="002B37E9" w:rsidRPr="00140923" w:rsidRDefault="002B37E9" w:rsidP="002B37E9">
      <w:pPr>
        <w:pStyle w:val="enumlev1"/>
        <w:rPr>
          <w:lang w:val="es-ES_tradnl"/>
        </w:rPr>
      </w:pPr>
      <w:r w:rsidRPr="00140923">
        <w:rPr>
          <w:lang w:val="es-ES_tradnl"/>
        </w:rPr>
        <w:t>–</w:t>
      </w:r>
      <w:r w:rsidRPr="00140923">
        <w:rPr>
          <w:lang w:val="es-ES_tradnl"/>
        </w:rPr>
        <w:tab/>
        <w:t>el diagrama de radiación de la antena.</w:t>
      </w:r>
    </w:p>
    <w:p w14:paraId="79E2724E" w14:textId="77777777" w:rsidR="002B37E9" w:rsidRPr="00140923" w:rsidRDefault="002B37E9" w:rsidP="002B37E9">
      <w:pPr>
        <w:rPr>
          <w:lang w:val="es-ES_tradnl"/>
        </w:rPr>
      </w:pPr>
      <w:r w:rsidRPr="00140923">
        <w:rPr>
          <w:lang w:val="es-ES_tradnl"/>
        </w:rPr>
        <w:t>Las frecuencias de trabajo corresponden normalmente a disposiciones de canales de radiofrecuencia especificadas en Recomendaciones del UIT-R. El tipo de modulación y la disposición de los canales de radiofrecuencia darán una orientación de las características espectrales de las emisiones para las evaluaciones estadísticas genéricas en las que sólo se tiene en cuenta habitualmente la situación de interferencia en el mismo canal. Sin embargo, para realizar cálculos deterministas (estación por estación) de compartición se necesitará una plantilla de las características espectrales que han de especificarse de modo que pueda calcularse cualquier rechazo por desplazamiento de frecuencia para una determinada separación de frecuencias de las portadoras de las señales deseada/interferente.</w:t>
      </w:r>
    </w:p>
    <w:p w14:paraId="7F481ECE" w14:textId="77777777" w:rsidR="002B37E9" w:rsidRPr="00140923" w:rsidRDefault="002B37E9" w:rsidP="002B37E9">
      <w:pPr>
        <w:rPr>
          <w:lang w:val="es-ES_tradnl"/>
        </w:rPr>
      </w:pPr>
      <w:r w:rsidRPr="00140923">
        <w:rPr>
          <w:lang w:val="es-ES_tradnl"/>
        </w:rPr>
        <w:t>La p.i.r.e. del transmisor se calcula a partir de la potencia del transmisor, de las pérdidas de alimentador/multiplexor y de la ganancia de la antena. En principio, el valor máximo de p.i.r.e. correspondería a una ganancia máxima de la antena, a pérdidas mínimas de alimentador/multiplexor y a una potencia de salida máxima del transmisor, lo que representa el potencial de interferencia más desfavorable a otros servicios; no obstante, cuando los estudios de compartición/compatibilidad requieran una evaluación estadística de una combinación de un gran número de estaciones interferentes del servicio fijo o cuando la situación de interferencia potencial pueda aparecer aleatoriamente en una zona geográfica extensa, podría no resultar apropiado utilizar el caso más desfavorable absoluto y es más adecuado utilizar una gama de valores en una distribución estadística aleatoria (o de otro tipo conveniente para el caso).</w:t>
      </w:r>
    </w:p>
    <w:p w14:paraId="0CD2CA70" w14:textId="77777777" w:rsidR="002B37E9" w:rsidRPr="00140923" w:rsidRDefault="002B37E9" w:rsidP="002B37E9">
      <w:pPr>
        <w:rPr>
          <w:lang w:val="es-ES_tradnl"/>
        </w:rPr>
      </w:pPr>
      <w:r w:rsidRPr="00140923">
        <w:rPr>
          <w:lang w:val="es-ES_tradnl"/>
        </w:rPr>
        <w:lastRenderedPageBreak/>
        <w:t xml:space="preserve">Es necesario conocer los diagramas de radiación de las antenas para realizar estudios de compartición detallados. </w:t>
      </w:r>
      <w:bookmarkStart w:id="31" w:name="_Toc107643566"/>
      <w:r w:rsidRPr="00140923">
        <w:rPr>
          <w:lang w:val="es-ES_tradnl"/>
        </w:rPr>
        <w:t>En los casos en que no se disponga de diagramas medidos, se deberán utilizar los diagramas de radiación de referencia de las siguientes Recomendaciones:</w:t>
      </w:r>
    </w:p>
    <w:p w14:paraId="0DACD912" w14:textId="4CE6FCE2" w:rsidR="002B37E9" w:rsidRPr="003B5ABD" w:rsidRDefault="002B37E9" w:rsidP="002B37E9">
      <w:pPr>
        <w:pStyle w:val="enumlev1"/>
        <w:rPr>
          <w:lang w:val="es-ES_tradnl"/>
        </w:rPr>
      </w:pPr>
      <w:r w:rsidRPr="003B5ABD">
        <w:rPr>
          <w:lang w:val="es-ES_tradnl"/>
        </w:rPr>
        <w:t>–</w:t>
      </w:r>
      <w:r w:rsidRPr="003B5ABD">
        <w:rPr>
          <w:lang w:val="es-ES_tradnl"/>
        </w:rPr>
        <w:tab/>
        <w:t>Recomendación </w:t>
      </w:r>
      <w:hyperlink r:id="rId98" w:history="1">
        <w:r w:rsidRPr="003B5ABD">
          <w:rPr>
            <w:rStyle w:val="Hyperlink"/>
            <w:color w:val="auto"/>
            <w:u w:val="none"/>
            <w:lang w:val="es-ES_tradnl"/>
          </w:rPr>
          <w:t>UIT-R F.699</w:t>
        </w:r>
      </w:hyperlink>
      <w:r w:rsidRPr="003B5ABD">
        <w:rPr>
          <w:lang w:val="es-ES_tradnl"/>
        </w:rPr>
        <w:t> – Diagramas de radiación de referencia de antenas de sistemas inalámbricos fijos para utilizarlos en los estudios de coordinación y en la evaluación de la interferencia en la gama de frecuencias de 100 MHz a 86 GHz;</w:t>
      </w:r>
    </w:p>
    <w:p w14:paraId="3B104BB9" w14:textId="7B86C019" w:rsidR="002B37E9" w:rsidRPr="003B5ABD" w:rsidRDefault="002B37E9" w:rsidP="002B37E9">
      <w:pPr>
        <w:pStyle w:val="enumlev1"/>
        <w:rPr>
          <w:lang w:val="es-ES_tradnl"/>
        </w:rPr>
      </w:pPr>
      <w:r w:rsidRPr="003B5ABD">
        <w:rPr>
          <w:lang w:val="es-ES_tradnl"/>
        </w:rPr>
        <w:t>–</w:t>
      </w:r>
      <w:r w:rsidRPr="003B5ABD">
        <w:rPr>
          <w:lang w:val="es-ES_tradnl"/>
        </w:rPr>
        <w:tab/>
        <w:t>Recomendación </w:t>
      </w:r>
      <w:hyperlink r:id="rId99" w:history="1">
        <w:r w:rsidRPr="003B5ABD">
          <w:rPr>
            <w:rStyle w:val="Hyperlink"/>
            <w:color w:val="auto"/>
            <w:u w:val="none"/>
            <w:lang w:val="es-ES_tradnl"/>
          </w:rPr>
          <w:t>UIT-R F.1245</w:t>
        </w:r>
      </w:hyperlink>
      <w:r w:rsidRPr="003B5ABD">
        <w:rPr>
          <w:lang w:val="es-ES_tradnl"/>
        </w:rPr>
        <w:t> – Modelo matemático de diagramas de radiación media y diagramas conexos para antenas de sistemas fijos inalámbricos punto a punto con visibilidad directa para aplicarlo en ciertos estudios de coordinación y en la evaluación de la interferencia en la gama de frecuencias de 1 GHz a 86 GHz, y</w:t>
      </w:r>
    </w:p>
    <w:p w14:paraId="7B35DD48" w14:textId="5E14AA28" w:rsidR="002B37E9" w:rsidRPr="003B5ABD" w:rsidRDefault="002B37E9" w:rsidP="003B5ABD">
      <w:pPr>
        <w:pStyle w:val="enumlev1"/>
        <w:rPr>
          <w:lang w:val="es-ES_tradnl"/>
        </w:rPr>
      </w:pPr>
      <w:r w:rsidRPr="003B5ABD">
        <w:rPr>
          <w:lang w:val="es-ES_tradnl"/>
        </w:rPr>
        <w:t>–</w:t>
      </w:r>
      <w:r w:rsidRPr="003B5ABD">
        <w:rPr>
          <w:lang w:val="es-ES_tradnl"/>
        </w:rPr>
        <w:tab/>
        <w:t>Recomendación </w:t>
      </w:r>
      <w:hyperlink r:id="rId100" w:history="1">
        <w:r w:rsidRPr="003B5ABD">
          <w:rPr>
            <w:rStyle w:val="Hyperlink"/>
            <w:color w:val="auto"/>
            <w:u w:val="none"/>
            <w:lang w:val="es-ES_tradnl"/>
          </w:rPr>
          <w:t>UIT-R F.1336</w:t>
        </w:r>
      </w:hyperlink>
      <w:r w:rsidRPr="003B5ABD">
        <w:rPr>
          <w:lang w:val="es-ES_tradnl"/>
        </w:rPr>
        <w:t> – Diagramas de radiación de referencia de antenas omnidireccionales, sectoriales y otros tipos de antenas de los servicios fijo y móvil para su utilización en estudios de compartición en la gama de frecuencias de 400 MHz a aproximadamente 70 GHz.</w:t>
      </w:r>
    </w:p>
    <w:p w14:paraId="5C7714A2" w14:textId="77777777" w:rsidR="002B37E9" w:rsidRPr="00140923" w:rsidRDefault="002B37E9" w:rsidP="002B37E9">
      <w:pPr>
        <w:pStyle w:val="Heading2"/>
        <w:rPr>
          <w:lang w:val="es-ES_tradnl"/>
        </w:rPr>
      </w:pPr>
      <w:bookmarkStart w:id="32" w:name="_Toc39157078"/>
      <w:r w:rsidRPr="00140923">
        <w:rPr>
          <w:lang w:val="es-ES_tradnl"/>
        </w:rPr>
        <w:t>2.2</w:t>
      </w:r>
      <w:r w:rsidRPr="00140923">
        <w:rPr>
          <w:lang w:val="es-ES_tradnl"/>
        </w:rPr>
        <w:tab/>
        <w:t>Distribución estadística por todo el territorio</w:t>
      </w:r>
      <w:bookmarkEnd w:id="32"/>
    </w:p>
    <w:p w14:paraId="5F5F5FE5" w14:textId="77777777" w:rsidR="002B37E9" w:rsidRPr="00140923" w:rsidRDefault="002B37E9" w:rsidP="002B37E9">
      <w:pPr>
        <w:rPr>
          <w:lang w:val="es-ES_tradnl"/>
        </w:rPr>
      </w:pPr>
      <w:r w:rsidRPr="00140923">
        <w:rPr>
          <w:lang w:val="es-ES_tradnl"/>
        </w:rPr>
        <w:t>En el pasado, los enlaces del servicio fijo se utilizaban principalmente para conexiones interurbanas multicanal de múltiples saltos orientadas alrededor de las direcciones conocidas entre centrales de conmutación de grandes ciudades o conexiones rurales en zonas alejadas. En el caso de ambas aplicaciones, generalmente era necesario que, por motivos de economía de la red, cada salto se diseñara de la forma más extensa que permitiera la tecnología para el comportamiento esperado de propagación. Esto se traducía, para la gran mayoría de los enlaces del servicio fijo, en el uso general de la máxima potencia de salida posible asociada a la mayor antena.</w:t>
      </w:r>
    </w:p>
    <w:p w14:paraId="68EEB43F" w14:textId="77777777" w:rsidR="002B37E9" w:rsidRPr="00140923" w:rsidRDefault="002B37E9" w:rsidP="002B37E9">
      <w:pPr>
        <w:rPr>
          <w:lang w:val="es-ES_tradnl"/>
        </w:rPr>
      </w:pPr>
      <w:r w:rsidRPr="00140923">
        <w:rPr>
          <w:lang w:val="es-ES_tradnl"/>
        </w:rPr>
        <w:t>Por consiguiente, la máxima p.i.r.e. posible del transmisor coincidía, en la práctica con la p.i.r.e. prevista para los estudios de compartición. Además, la densidad de estaciones del servicio fijo por todo el territorio era muy reducida, con unas pocas grandes estaciones de telecomunicaciones donde convergían todos los enlaces interurbanos.</w:t>
      </w:r>
    </w:p>
    <w:p w14:paraId="2885CFD9" w14:textId="77777777" w:rsidR="002B37E9" w:rsidRPr="00140923" w:rsidRDefault="002B37E9" w:rsidP="002B37E9">
      <w:pPr>
        <w:rPr>
          <w:lang w:val="es-ES_tradnl"/>
        </w:rPr>
      </w:pPr>
      <w:r w:rsidRPr="00140923">
        <w:rPr>
          <w:lang w:val="es-ES_tradnl"/>
        </w:rPr>
        <w:t>Actualmente, con la llegada de las redes móviles y la necesidad de conexiones de datos inalámbricas en las redes de acceso se ha modificado la distribución típica de las longitudes de los enlaces; ahora se definen principalmente con arreglo a diferentes consideraciones sobre la cobertura de los sistemas celulares (es decir, distancia entre las estaciones de base que se van a conectar a través de enlaces del servicio fijo) o la ubicación geográfica de centros de datos de clientes privados con respecto al punto de acceso a la red central más cercano.</w:t>
      </w:r>
    </w:p>
    <w:p w14:paraId="30836E15" w14:textId="77777777" w:rsidR="002B37E9" w:rsidRPr="00140923" w:rsidRDefault="002B37E9" w:rsidP="002B37E9">
      <w:pPr>
        <w:rPr>
          <w:lang w:val="es-ES_tradnl"/>
        </w:rPr>
      </w:pPr>
      <w:r w:rsidRPr="00140923">
        <w:rPr>
          <w:lang w:val="es-ES_tradnl"/>
        </w:rPr>
        <w:t>A raíz de ello, en las zonas pobladas se implantaron redes del servicio fijo más densas, que requerían:</w:t>
      </w:r>
    </w:p>
    <w:p w14:paraId="3D22E296" w14:textId="77777777" w:rsidR="002B37E9" w:rsidRPr="00140923" w:rsidRDefault="002B37E9" w:rsidP="002B37E9">
      <w:pPr>
        <w:pStyle w:val="enumlev1"/>
        <w:rPr>
          <w:lang w:val="es-ES_tradnl"/>
        </w:rPr>
      </w:pPr>
      <w:r w:rsidRPr="00140923">
        <w:rPr>
          <w:lang w:val="es-ES_tradnl"/>
        </w:rPr>
        <w:t>–</w:t>
      </w:r>
      <w:r w:rsidRPr="00140923">
        <w:rPr>
          <w:lang w:val="es-ES_tradnl"/>
        </w:rPr>
        <w:tab/>
        <w:t>saltos más cortos, desplegados de forma aleatoria por todo el territorio;</w:t>
      </w:r>
    </w:p>
    <w:p w14:paraId="7E5B6EDA" w14:textId="77777777" w:rsidR="002B37E9" w:rsidRPr="00140923" w:rsidRDefault="002B37E9" w:rsidP="002B37E9">
      <w:pPr>
        <w:pStyle w:val="enumlev1"/>
        <w:rPr>
          <w:lang w:val="es-ES_tradnl"/>
        </w:rPr>
      </w:pPr>
      <w:r w:rsidRPr="00140923">
        <w:rPr>
          <w:lang w:val="es-ES_tradnl"/>
        </w:rPr>
        <w:t>–</w:t>
      </w:r>
      <w:r w:rsidRPr="00140923">
        <w:rPr>
          <w:lang w:val="es-ES_tradnl"/>
        </w:rPr>
        <w:tab/>
        <w:t>longitudes de salto significativamente distintas en la misma zona geográfica;</w:t>
      </w:r>
    </w:p>
    <w:p w14:paraId="14B8A3A6" w14:textId="77777777" w:rsidR="002B37E9" w:rsidRPr="00140923" w:rsidRDefault="002B37E9" w:rsidP="002B37E9">
      <w:pPr>
        <w:pStyle w:val="enumlev1"/>
        <w:rPr>
          <w:lang w:val="es-ES_tradnl"/>
        </w:rPr>
      </w:pPr>
      <w:r w:rsidRPr="00140923">
        <w:rPr>
          <w:lang w:val="es-ES_tradnl"/>
        </w:rPr>
        <w:t>–</w:t>
      </w:r>
      <w:r w:rsidRPr="00140923">
        <w:rPr>
          <w:lang w:val="es-ES_tradnl"/>
        </w:rPr>
        <w:tab/>
        <w:t>una cuidadosa coordinación de la red;</w:t>
      </w:r>
    </w:p>
    <w:p w14:paraId="0A6AD3ED" w14:textId="77777777" w:rsidR="002B37E9" w:rsidRPr="00140923" w:rsidRDefault="002B37E9" w:rsidP="002B37E9">
      <w:pPr>
        <w:pStyle w:val="enumlev1"/>
        <w:rPr>
          <w:lang w:val="es-ES_tradnl"/>
        </w:rPr>
      </w:pPr>
      <w:r w:rsidRPr="00140923">
        <w:rPr>
          <w:lang w:val="es-ES_tradnl"/>
        </w:rPr>
        <w:t>–</w:t>
      </w:r>
      <w:r w:rsidRPr="00140923">
        <w:rPr>
          <w:lang w:val="es-ES_tradnl"/>
        </w:rPr>
        <w:tab/>
        <w:t>p.i.r.e. diferentes impuestas, en función de los distintos enlaces, por las normas de concesión de licencias para minimizar la interferencia y maximizar la eficacia de utilización del espectro.</w:t>
      </w:r>
    </w:p>
    <w:p w14:paraId="3F50DC8D" w14:textId="77777777" w:rsidR="002B37E9" w:rsidRPr="00140923" w:rsidRDefault="002B37E9" w:rsidP="002B37E9">
      <w:pPr>
        <w:rPr>
          <w:lang w:val="es-ES_tradnl" w:eastAsia="ja-JP"/>
        </w:rPr>
      </w:pPr>
      <w:r w:rsidRPr="00140923">
        <w:rPr>
          <w:lang w:val="es-ES_tradnl"/>
        </w:rPr>
        <w:t>Las anteriores consideraciones, aplicadas a los estudios de compartición, condujeron a la necesidad de lograr un escenario de implantación de tipo probabilista en el que la p.i.r.e. se ampliara, según la longitud del enlace, dentro de una gama de valores y las direcciones de los enlaces se distribuyeran aleatoriamente por todo el espectro acimutal y una gama más amplia de ángulos de elevación.</w:t>
      </w:r>
    </w:p>
    <w:p w14:paraId="1C29E292" w14:textId="77777777" w:rsidR="002B37E9" w:rsidRPr="00140923" w:rsidRDefault="002B37E9" w:rsidP="003B5ABD">
      <w:pPr>
        <w:keepNext/>
        <w:keepLines/>
        <w:rPr>
          <w:lang w:val="es-ES_tradnl" w:eastAsia="ja-JP"/>
        </w:rPr>
      </w:pPr>
      <w:r w:rsidRPr="00140923">
        <w:rPr>
          <w:lang w:val="es-ES_tradnl"/>
        </w:rPr>
        <w:lastRenderedPageBreak/>
        <w:t>La máxima longitud del enlace posible disminuye conforme aumenta la frecuencia de funcionamiento, debido a los niveles fijos de potencia de salida en conformidad con los requisitos reglamentarios nacionales de las administraciones y a una mayor atenuación de la propagación. Por consiguiente, para cada banda, el límite superior de p.i.r.e. está condicionado por la máxima disponibilidad en el mercado, mientras que el límite inferior está, en la práctica, condicionado por la longitud mínima de enlace «rentable» en la banda. De hecho, entre la mayoría de las condiciones de concesión de licencias figura una tasa por enlace que disminuye conforme aumenta la banda de funcionamiento; en consecuencia, se incentiva económicamente al usuario para que utilice bandas superiores (para las cuales el equipo también es más económico) para los enlaces más cortos en lugar de sólo reducir la p.i.r.e. en bandas inferiores.</w:t>
      </w:r>
    </w:p>
    <w:p w14:paraId="0DE5AA3F" w14:textId="6532C94E" w:rsidR="002B37E9" w:rsidRPr="00140923" w:rsidRDefault="002B37E9" w:rsidP="002B37E9">
      <w:pPr>
        <w:rPr>
          <w:lang w:val="es-ES_tradnl"/>
        </w:rPr>
      </w:pPr>
      <w:r w:rsidRPr="00140923">
        <w:rPr>
          <w:lang w:val="es-ES_tradnl"/>
        </w:rPr>
        <w:t>Por consiguiente, las gamas de potencia de salida y de p.i.r.e. reseñadas en los Cuadros 6 a 15 ofrece la gama apreciable de valores útiles para los estudios de probabilidades.</w:t>
      </w:r>
    </w:p>
    <w:p w14:paraId="3EC0F6FF" w14:textId="77777777" w:rsidR="002B37E9" w:rsidRPr="00140923" w:rsidRDefault="002B37E9" w:rsidP="002B37E9">
      <w:pPr>
        <w:rPr>
          <w:lang w:val="es-ES_tradnl"/>
        </w:rPr>
      </w:pPr>
      <w:r w:rsidRPr="00140923">
        <w:rPr>
          <w:lang w:val="es-ES_tradnl"/>
        </w:rPr>
        <w:t>Habida cuenta de que la función de distribución de las longitudes de los enlaces está en definitiva relacionada con la distribución geográfica de las estaciones de base móviles o de las instalaciones de los clientes, no se puede suponer que la distribución estadística de la p.i.r.e. sea de tipo «gaussiano», sino que debería evaluarse caso por caso. En el Adjunto 1 al presente Anexo se muestran ejemplos de los cálculos al respecto.</w:t>
      </w:r>
    </w:p>
    <w:p w14:paraId="0BD072C0" w14:textId="77777777" w:rsidR="002B37E9" w:rsidRPr="00140923" w:rsidRDefault="002B37E9" w:rsidP="002B37E9">
      <w:pPr>
        <w:rPr>
          <w:i/>
          <w:lang w:val="es-ES_tradnl" w:eastAsia="ja-JP"/>
        </w:rPr>
      </w:pPr>
      <w:r w:rsidRPr="00140923">
        <w:rPr>
          <w:lang w:val="es-ES_tradnl" w:eastAsia="ja-JP"/>
        </w:rPr>
        <w:t>Para elaborar un modelo probabilista preciso, los modelos de compartición deberían distribuir los enlaces del servicio fijo según una disposición nodal con distribución aleatoria por toda la zona geográfica. Se debe suponer un factor ponderado para las ubicaciones urbanas, suburbanas y rurales, que identifique a grandes rasgos las características del servicio fijo utilizado en promedio, a fin de distribuir con mayor exactitud los nodos fijos. El factor de ponderación depende de la clase de servicio fijo que se va a instalar y debería calcularse caso por caso. La subdivisión porcentual real en esas zonas geográficas puede variar de un país a otro. Por ejemplo, en un país, se utilizan los valores de 60% / 30% / 10% para las ubicaciones urbanas, suburbanas y rurales, respectivamente.</w:t>
      </w:r>
    </w:p>
    <w:p w14:paraId="56CEE89F" w14:textId="77777777" w:rsidR="002B37E9" w:rsidRPr="00140923" w:rsidRDefault="002B37E9" w:rsidP="002B37E9">
      <w:pPr>
        <w:pStyle w:val="Heading1"/>
        <w:rPr>
          <w:lang w:val="es-ES_tradnl"/>
        </w:rPr>
      </w:pPr>
      <w:bookmarkStart w:id="33" w:name="_Toc39157079"/>
      <w:r w:rsidRPr="00140923">
        <w:rPr>
          <w:lang w:val="es-ES_tradnl"/>
        </w:rPr>
        <w:t>3</w:t>
      </w:r>
      <w:r w:rsidRPr="00140923">
        <w:rPr>
          <w:lang w:val="es-ES_tradnl"/>
        </w:rPr>
        <w:tab/>
        <w:t>Caracterización del receptor</w:t>
      </w:r>
      <w:bookmarkEnd w:id="31"/>
      <w:bookmarkEnd w:id="33"/>
    </w:p>
    <w:p w14:paraId="5ABEF06E" w14:textId="77777777" w:rsidR="002B37E9" w:rsidRPr="00140923" w:rsidRDefault="002B37E9" w:rsidP="002B37E9">
      <w:pPr>
        <w:pStyle w:val="Heading2"/>
        <w:rPr>
          <w:lang w:val="es-ES_tradnl"/>
        </w:rPr>
      </w:pPr>
      <w:bookmarkStart w:id="34" w:name="_Toc107643567"/>
      <w:bookmarkStart w:id="35" w:name="_Toc39157080"/>
      <w:r w:rsidRPr="00140923">
        <w:rPr>
          <w:lang w:val="es-ES_tradnl"/>
        </w:rPr>
        <w:t>3.1</w:t>
      </w:r>
      <w:r w:rsidRPr="00140923">
        <w:rPr>
          <w:lang w:val="es-ES_tradnl"/>
        </w:rPr>
        <w:tab/>
        <w:t>Parámetros del equipo</w:t>
      </w:r>
      <w:bookmarkEnd w:id="34"/>
      <w:bookmarkEnd w:id="35"/>
    </w:p>
    <w:p w14:paraId="6A1A8F8A" w14:textId="77777777" w:rsidR="002B37E9" w:rsidRPr="00140923" w:rsidRDefault="002B37E9" w:rsidP="002B37E9">
      <w:pPr>
        <w:rPr>
          <w:lang w:val="es-ES_tradnl"/>
        </w:rPr>
      </w:pPr>
      <w:r w:rsidRPr="00140923">
        <w:rPr>
          <w:lang w:val="es-ES_tradnl"/>
        </w:rPr>
        <w:t>Para evaluar los efectos de la interferencia causada al servicio fijo por otros servicios hay que conocer las características de calidad de funcionamiento del receptor radioeléctrico. Los siguientes parámetros del receptor son importantes para los estudios de compartición de frecuencias:</w:t>
      </w:r>
    </w:p>
    <w:p w14:paraId="18018A56" w14:textId="77777777" w:rsidR="002B37E9" w:rsidRPr="00140923" w:rsidRDefault="002B37E9" w:rsidP="002B37E9">
      <w:pPr>
        <w:pStyle w:val="enumlev1"/>
        <w:rPr>
          <w:lang w:val="es-ES_tradnl"/>
        </w:rPr>
      </w:pPr>
      <w:r w:rsidRPr="00140923">
        <w:rPr>
          <w:lang w:val="es-ES_tradnl"/>
        </w:rPr>
        <w:t>–</w:t>
      </w:r>
      <w:r w:rsidRPr="00140923">
        <w:rPr>
          <w:lang w:val="es-ES_tradnl"/>
        </w:rPr>
        <w:tab/>
        <w:t>factor de ruido;</w:t>
      </w:r>
    </w:p>
    <w:p w14:paraId="0E24B99F" w14:textId="77777777" w:rsidR="002B37E9" w:rsidRPr="00140923" w:rsidRDefault="002B37E9" w:rsidP="002B37E9">
      <w:pPr>
        <w:pStyle w:val="enumlev1"/>
        <w:rPr>
          <w:lang w:val="es-ES_tradnl"/>
        </w:rPr>
      </w:pPr>
      <w:r w:rsidRPr="00140923">
        <w:rPr>
          <w:lang w:val="es-ES_tradnl"/>
        </w:rPr>
        <w:t>–</w:t>
      </w:r>
      <w:r w:rsidRPr="00140923">
        <w:rPr>
          <w:lang w:val="es-ES_tradnl"/>
        </w:rPr>
        <w:tab/>
        <w:t>anchura de banda de ruido;</w:t>
      </w:r>
    </w:p>
    <w:p w14:paraId="31F1BAF7" w14:textId="77777777" w:rsidR="002B37E9" w:rsidRPr="00140923" w:rsidRDefault="002B37E9" w:rsidP="002B37E9">
      <w:pPr>
        <w:pStyle w:val="enumlev1"/>
        <w:rPr>
          <w:lang w:val="es-ES_tradnl"/>
        </w:rPr>
      </w:pPr>
      <w:r w:rsidRPr="00140923">
        <w:rPr>
          <w:lang w:val="es-ES_tradnl"/>
        </w:rPr>
        <w:t>–</w:t>
      </w:r>
      <w:r w:rsidRPr="00140923">
        <w:rPr>
          <w:lang w:val="es-ES_tradnl"/>
        </w:rPr>
        <w:tab/>
        <w:t>densidad de potencia del ruido térmico del receptor;</w:t>
      </w:r>
    </w:p>
    <w:p w14:paraId="219E6408" w14:textId="56F1E560" w:rsidR="002B37E9" w:rsidRPr="00140923" w:rsidRDefault="002B37E9" w:rsidP="002B37E9">
      <w:pPr>
        <w:pStyle w:val="enumlev1"/>
        <w:rPr>
          <w:lang w:val="es-ES_tradnl"/>
        </w:rPr>
      </w:pPr>
      <w:r w:rsidRPr="00140923">
        <w:rPr>
          <w:lang w:val="es-ES_tradnl"/>
        </w:rPr>
        <w:t>–</w:t>
      </w:r>
      <w:r w:rsidRPr="00140923">
        <w:rPr>
          <w:lang w:val="es-ES_tradnl"/>
        </w:rPr>
        <w:tab/>
        <w:t>potencia de la señal recibida para una proporción de bits erróneos (BER) de 1 </w:t>
      </w:r>
      <w:r w:rsidR="00B233F6">
        <w:rPr>
          <w:rFonts w:asciiTheme="majorBidi" w:hAnsiTheme="majorBidi" w:cstheme="majorBidi"/>
          <w:lang w:val="es-ES_tradnl"/>
        </w:rPr>
        <w:t>×</w:t>
      </w:r>
      <w:r w:rsidRPr="00140923">
        <w:rPr>
          <w:lang w:val="es-ES_tradnl"/>
        </w:rPr>
        <w:t> 10</w:t>
      </w:r>
      <w:r w:rsidR="00B233F6" w:rsidRPr="00B233F6">
        <w:rPr>
          <w:vertAlign w:val="superscript"/>
          <w:lang w:val="es-ES_tradnl"/>
        </w:rPr>
        <w:t>−</w:t>
      </w:r>
      <w:r w:rsidRPr="00140923">
        <w:rPr>
          <w:vertAlign w:val="superscript"/>
          <w:lang w:val="es-ES_tradnl"/>
        </w:rPr>
        <w:t>3</w:t>
      </w:r>
      <w:r w:rsidRPr="00140923">
        <w:rPr>
          <w:lang w:val="es-ES_tradnl"/>
        </w:rPr>
        <w:t>,</w:t>
      </w:r>
      <w:r w:rsidR="00B233F6">
        <w:rPr>
          <w:lang w:val="es-ES_tradnl"/>
        </w:rPr>
        <w:t xml:space="preserve"> </w:t>
      </w:r>
      <w:r w:rsidRPr="00140923">
        <w:rPr>
          <w:lang w:val="es-ES_tradnl"/>
        </w:rPr>
        <w:t>1 </w:t>
      </w:r>
      <w:r w:rsidR="00B233F6">
        <w:rPr>
          <w:rFonts w:asciiTheme="majorBidi" w:hAnsiTheme="majorBidi" w:cstheme="majorBidi"/>
          <w:lang w:val="es-ES_tradnl"/>
        </w:rPr>
        <w:t>×</w:t>
      </w:r>
      <w:r w:rsidRPr="00140923">
        <w:rPr>
          <w:lang w:val="es-ES_tradnl"/>
        </w:rPr>
        <w:t> 10</w:t>
      </w:r>
      <w:r w:rsidR="00B233F6" w:rsidRPr="00B233F6">
        <w:rPr>
          <w:vertAlign w:val="superscript"/>
          <w:lang w:val="es-ES_tradnl"/>
        </w:rPr>
        <w:t>−</w:t>
      </w:r>
      <w:r w:rsidRPr="00140923">
        <w:rPr>
          <w:vertAlign w:val="superscript"/>
          <w:lang w:val="es-ES_tradnl"/>
        </w:rPr>
        <w:t>6</w:t>
      </w:r>
      <w:r w:rsidRPr="00140923">
        <w:rPr>
          <w:lang w:val="es-ES_tradnl"/>
        </w:rPr>
        <w:t>, 1 </w:t>
      </w:r>
      <w:r w:rsidR="00B233F6">
        <w:rPr>
          <w:rFonts w:asciiTheme="majorBidi" w:hAnsiTheme="majorBidi" w:cstheme="majorBidi"/>
          <w:lang w:val="es-ES_tradnl"/>
        </w:rPr>
        <w:t>×</w:t>
      </w:r>
      <w:r w:rsidRPr="00140923">
        <w:rPr>
          <w:lang w:val="es-ES_tradnl"/>
        </w:rPr>
        <w:t> 10</w:t>
      </w:r>
      <w:r w:rsidR="00B233F6" w:rsidRPr="00B233F6">
        <w:rPr>
          <w:vertAlign w:val="superscript"/>
          <w:lang w:val="es-ES_tradnl"/>
        </w:rPr>
        <w:t>−</w:t>
      </w:r>
      <w:r w:rsidRPr="00140923">
        <w:rPr>
          <w:vertAlign w:val="superscript"/>
          <w:lang w:val="es-ES_tradnl"/>
        </w:rPr>
        <w:t>10</w:t>
      </w:r>
      <w:r w:rsidRPr="00140923">
        <w:rPr>
          <w:lang w:val="es-ES_tradnl"/>
        </w:rPr>
        <w:t xml:space="preserve"> (corrección posterior al error) (véase la Nota 1);</w:t>
      </w:r>
    </w:p>
    <w:p w14:paraId="547059A0" w14:textId="77777777" w:rsidR="002B37E9" w:rsidRPr="00140923" w:rsidRDefault="002B37E9" w:rsidP="002B37E9">
      <w:pPr>
        <w:pStyle w:val="enumlev1"/>
        <w:rPr>
          <w:lang w:val="es-ES_tradnl"/>
        </w:rPr>
      </w:pPr>
      <w:r w:rsidRPr="00140923">
        <w:rPr>
          <w:lang w:val="es-ES_tradnl"/>
        </w:rPr>
        <w:t>–</w:t>
      </w:r>
      <w:r w:rsidRPr="00140923">
        <w:rPr>
          <w:lang w:val="es-ES_tradnl"/>
        </w:rPr>
        <w:tab/>
        <w:t>nivel de entrada nominal del receptor.</w:t>
      </w:r>
    </w:p>
    <w:p w14:paraId="752B3D57" w14:textId="22E49026" w:rsidR="002B37E9" w:rsidRPr="00140923" w:rsidRDefault="002B37E9" w:rsidP="002B37E9">
      <w:pPr>
        <w:pStyle w:val="Note"/>
        <w:rPr>
          <w:lang w:val="es-ES_tradnl"/>
        </w:rPr>
      </w:pPr>
      <w:r w:rsidRPr="00140923">
        <w:rPr>
          <w:lang w:val="es-ES_tradnl"/>
        </w:rPr>
        <w:t>NOTA 1 – Normalmente, para los sistemas no codificados, el nivel de portadora correspondiente a una BER de 1 </w:t>
      </w:r>
      <w:r w:rsidR="00B233F6" w:rsidRPr="00B233F6">
        <w:rPr>
          <w:lang w:val="es-ES_tradnl"/>
        </w:rPr>
        <w:t>×</w:t>
      </w:r>
      <w:r w:rsidRPr="00140923">
        <w:rPr>
          <w:lang w:val="es-ES_tradnl"/>
        </w:rPr>
        <w:t> 10</w:t>
      </w:r>
      <w:r w:rsidR="00B233F6" w:rsidRPr="00B233F6">
        <w:rPr>
          <w:vertAlign w:val="superscript"/>
          <w:lang w:val="es-ES_tradnl"/>
        </w:rPr>
        <w:t>−</w:t>
      </w:r>
      <w:r w:rsidRPr="00140923">
        <w:rPr>
          <w:vertAlign w:val="superscript"/>
          <w:lang w:val="es-ES_tradnl"/>
        </w:rPr>
        <w:t>6</w:t>
      </w:r>
      <w:r w:rsidRPr="00140923">
        <w:rPr>
          <w:lang w:val="es-ES_tradnl"/>
        </w:rPr>
        <w:t xml:space="preserve"> es de unos 4 dB más alta que para la BER de 1 </w:t>
      </w:r>
      <w:r w:rsidR="00B233F6" w:rsidRPr="00B233F6">
        <w:rPr>
          <w:lang w:val="es-ES_tradnl"/>
        </w:rPr>
        <w:t>×</w:t>
      </w:r>
      <w:r w:rsidRPr="00140923">
        <w:rPr>
          <w:lang w:val="es-ES_tradnl"/>
        </w:rPr>
        <w:t> 10</w:t>
      </w:r>
      <w:r w:rsidR="00B233F6" w:rsidRPr="00B233F6">
        <w:rPr>
          <w:vertAlign w:val="superscript"/>
          <w:lang w:val="es-ES_tradnl"/>
        </w:rPr>
        <w:t>−</w:t>
      </w:r>
      <w:r w:rsidRPr="00140923">
        <w:rPr>
          <w:vertAlign w:val="superscript"/>
          <w:lang w:val="es-ES_tradnl"/>
        </w:rPr>
        <w:t>3</w:t>
      </w:r>
      <w:r w:rsidRPr="00140923">
        <w:rPr>
          <w:lang w:val="es-ES_tradnl"/>
        </w:rPr>
        <w:t>; la diferencia del nivel de portadora entre puntos de BER 1 </w:t>
      </w:r>
      <w:r w:rsidR="00B233F6" w:rsidRPr="00B233F6">
        <w:rPr>
          <w:lang w:val="es-ES_tradnl"/>
        </w:rPr>
        <w:t>×</w:t>
      </w:r>
      <w:r w:rsidRPr="00140923">
        <w:rPr>
          <w:lang w:val="es-ES_tradnl"/>
        </w:rPr>
        <w:t> 10</w:t>
      </w:r>
      <w:r w:rsidRPr="00140923">
        <w:rPr>
          <w:vertAlign w:val="superscript"/>
          <w:lang w:val="es-ES_tradnl"/>
        </w:rPr>
        <w:t>−6</w:t>
      </w:r>
      <w:r w:rsidRPr="00140923">
        <w:rPr>
          <w:lang w:val="es-ES_tradnl"/>
        </w:rPr>
        <w:t xml:space="preserve"> y 1 </w:t>
      </w:r>
      <w:r w:rsidR="00B233F6" w:rsidRPr="00B233F6">
        <w:rPr>
          <w:lang w:val="es-ES_tradnl"/>
        </w:rPr>
        <w:t>×</w:t>
      </w:r>
      <w:r w:rsidRPr="00140923">
        <w:rPr>
          <w:lang w:val="es-ES_tradnl"/>
        </w:rPr>
        <w:t> 10</w:t>
      </w:r>
      <w:r w:rsidRPr="00140923">
        <w:rPr>
          <w:vertAlign w:val="superscript"/>
          <w:lang w:val="es-ES_tradnl"/>
        </w:rPr>
        <w:t>−10</w:t>
      </w:r>
      <w:r w:rsidRPr="00140923">
        <w:rPr>
          <w:lang w:val="es-ES_tradnl"/>
        </w:rPr>
        <w:t xml:space="preserve"> es también aproximadamente de 4 dB. Para dispositivos de radiocomunicaciones que utilizan corrección de errores en </w:t>
      </w:r>
      <w:proofErr w:type="gramStart"/>
      <w:r w:rsidRPr="00140923">
        <w:rPr>
          <w:lang w:val="es-ES_tradnl"/>
        </w:rPr>
        <w:t>recepción</w:t>
      </w:r>
      <w:proofErr w:type="gramEnd"/>
      <w:r w:rsidRPr="00140923">
        <w:rPr>
          <w:lang w:val="es-ES_tradnl"/>
        </w:rPr>
        <w:t xml:space="preserve"> (FEC), el nivel de portadora correspondiente a una BER de 1 </w:t>
      </w:r>
      <w:r w:rsidR="00B233F6" w:rsidRPr="00B233F6">
        <w:rPr>
          <w:lang w:val="es-ES_tradnl"/>
        </w:rPr>
        <w:t>×</w:t>
      </w:r>
      <w:r w:rsidRPr="00140923">
        <w:rPr>
          <w:lang w:val="es-ES_tradnl"/>
        </w:rPr>
        <w:t> 10</w:t>
      </w:r>
      <w:r w:rsidRPr="00140923">
        <w:rPr>
          <w:vertAlign w:val="superscript"/>
          <w:lang w:val="es-ES_tradnl"/>
        </w:rPr>
        <w:t>−6</w:t>
      </w:r>
      <w:r w:rsidRPr="00140923">
        <w:rPr>
          <w:lang w:val="es-ES_tradnl"/>
        </w:rPr>
        <w:t xml:space="preserve"> BER es de entre 1 y 2 dB mayor que el de una BER de 1 </w:t>
      </w:r>
      <w:r w:rsidR="00B233F6" w:rsidRPr="00B233F6">
        <w:rPr>
          <w:lang w:val="es-ES_tradnl"/>
        </w:rPr>
        <w:t>×</w:t>
      </w:r>
      <w:r w:rsidRPr="00140923">
        <w:rPr>
          <w:lang w:val="es-ES_tradnl"/>
        </w:rPr>
        <w:t> 10</w:t>
      </w:r>
      <w:r w:rsidRPr="00140923">
        <w:rPr>
          <w:vertAlign w:val="superscript"/>
          <w:lang w:val="es-ES_tradnl"/>
        </w:rPr>
        <w:t>−3</w:t>
      </w:r>
      <w:r w:rsidRPr="00140923">
        <w:rPr>
          <w:lang w:val="es-ES_tradnl"/>
        </w:rPr>
        <w:t>; la diferencia de la portadora entre 1 </w:t>
      </w:r>
      <w:r w:rsidR="00B233F6" w:rsidRPr="00B233F6">
        <w:rPr>
          <w:lang w:val="es-ES_tradnl"/>
        </w:rPr>
        <w:t>×</w:t>
      </w:r>
      <w:r w:rsidRPr="00140923">
        <w:rPr>
          <w:lang w:val="es-ES_tradnl"/>
        </w:rPr>
        <w:t> 10</w:t>
      </w:r>
      <w:r w:rsidRPr="00140923">
        <w:rPr>
          <w:vertAlign w:val="superscript"/>
          <w:lang w:val="es-ES_tradnl"/>
        </w:rPr>
        <w:t>−6</w:t>
      </w:r>
      <w:r w:rsidRPr="00140923">
        <w:rPr>
          <w:lang w:val="es-ES_tradnl"/>
        </w:rPr>
        <w:t xml:space="preserve"> y 1 </w:t>
      </w:r>
      <w:r w:rsidR="00B233F6" w:rsidRPr="00B233F6">
        <w:rPr>
          <w:lang w:val="es-ES_tradnl"/>
        </w:rPr>
        <w:t>×</w:t>
      </w:r>
      <w:r w:rsidRPr="00140923">
        <w:rPr>
          <w:lang w:val="es-ES_tradnl"/>
        </w:rPr>
        <w:t> 10</w:t>
      </w:r>
      <w:r w:rsidRPr="00140923">
        <w:rPr>
          <w:vertAlign w:val="superscript"/>
          <w:lang w:val="es-ES_tradnl"/>
        </w:rPr>
        <w:t>−10</w:t>
      </w:r>
      <w:r w:rsidRPr="00140923">
        <w:rPr>
          <w:lang w:val="es-ES_tradnl"/>
        </w:rPr>
        <w:t xml:space="preserve"> es también de 1 a 2 dB. En los cuadros que siguen a continuación, sólo se trata la potencia de señal recibida correspondiente a la BER de 1 </w:t>
      </w:r>
      <w:r w:rsidR="00B233F6" w:rsidRPr="00B233F6">
        <w:rPr>
          <w:lang w:val="es-ES_tradnl"/>
        </w:rPr>
        <w:t>×</w:t>
      </w:r>
      <w:r w:rsidRPr="00140923">
        <w:rPr>
          <w:lang w:val="es-ES_tradnl"/>
        </w:rPr>
        <w:t> 10</w:t>
      </w:r>
      <w:r w:rsidRPr="00140923">
        <w:rPr>
          <w:vertAlign w:val="superscript"/>
          <w:lang w:val="es-ES_tradnl"/>
        </w:rPr>
        <w:t>−6</w:t>
      </w:r>
      <w:r w:rsidRPr="00140923">
        <w:rPr>
          <w:lang w:val="es-ES_tradnl"/>
        </w:rPr>
        <w:t>, puesto que los parámetros correspondientes a otras BER podrían obtenerse teóricamente a partir del esquema de modulación o del efecto de corrección de errores.</w:t>
      </w:r>
    </w:p>
    <w:p w14:paraId="16DD3A3B" w14:textId="77777777" w:rsidR="002B37E9" w:rsidRPr="00140923" w:rsidRDefault="002B37E9" w:rsidP="002B37E9">
      <w:pPr>
        <w:rPr>
          <w:lang w:val="es-ES_tradnl"/>
        </w:rPr>
      </w:pPr>
      <w:r w:rsidRPr="00140923">
        <w:rPr>
          <w:lang w:val="es-ES_tradnl"/>
        </w:rPr>
        <w:lastRenderedPageBreak/>
        <w:t>Los niveles de la señal recibida y los niveles de interferencia podrán calcularse con referencia a la entrada del mezclador/amplificador de bajo nivel de ruido del receptor, de modo que serían independientes de la ganancia de la antena y de las pérdidas del alimentador/multiplexor (suponiendo que sean iguales para el transmisor y para el receptor).</w:t>
      </w:r>
    </w:p>
    <w:p w14:paraId="400F9438" w14:textId="77777777" w:rsidR="002B37E9" w:rsidRPr="00140923" w:rsidRDefault="002B37E9" w:rsidP="002B37E9">
      <w:pPr>
        <w:rPr>
          <w:lang w:val="es-ES_tradnl"/>
        </w:rPr>
      </w:pPr>
      <w:r w:rsidRPr="00140923">
        <w:rPr>
          <w:lang w:val="es-ES_tradnl"/>
        </w:rPr>
        <w:t>Debe señalarse que para efectuar cálculos de compartición deterministas (estación a estación) se necesita información sobre la selectividad de frecuencia del equipo radioeléctrico. Los estudios genéricos de compartición/compatibilidad, en la misma banda atribuida, suelen estar basados en una situación de interferencia en el mismo canal y de ahí que baste con conocer la anchura de banda del ruido.</w:t>
      </w:r>
    </w:p>
    <w:p w14:paraId="30B5F752" w14:textId="1CA9DDFB" w:rsidR="002B37E9" w:rsidRPr="00140923" w:rsidRDefault="002B37E9" w:rsidP="002B37E9">
      <w:pPr>
        <w:rPr>
          <w:lang w:val="es-ES_tradnl"/>
        </w:rPr>
      </w:pPr>
      <w:r w:rsidRPr="00140923">
        <w:rPr>
          <w:lang w:val="es-ES_tradnl"/>
        </w:rPr>
        <w:t xml:space="preserve">Los niveles de señal requeridos para BER dadas podrían obtenerse a partir del nivel calculado del ruido térmico del receptor con el fin de añadir la relación señal/ruido térmico, </w:t>
      </w:r>
      <w:r w:rsidRPr="00140923">
        <w:rPr>
          <w:i/>
          <w:lang w:val="es-ES_tradnl"/>
        </w:rPr>
        <w:t>S</w:t>
      </w:r>
      <w:r w:rsidRPr="00140923">
        <w:rPr>
          <w:lang w:val="es-ES_tradnl"/>
        </w:rPr>
        <w:t>/</w:t>
      </w:r>
      <w:r w:rsidRPr="00140923">
        <w:rPr>
          <w:i/>
          <w:lang w:val="es-ES_tradnl"/>
        </w:rPr>
        <w:t>N,</w:t>
      </w:r>
      <w:r w:rsidRPr="00140923">
        <w:rPr>
          <w:lang w:val="es-ES_tradnl"/>
        </w:rPr>
        <w:t xml:space="preserve"> requerida para </w:t>
      </w:r>
      <w:r w:rsidRPr="003B5ABD">
        <w:rPr>
          <w:lang w:val="es-ES_tradnl"/>
        </w:rPr>
        <w:t xml:space="preserve">una BER dada. En la Recomendación </w:t>
      </w:r>
      <w:hyperlink r:id="rId101" w:history="1">
        <w:r w:rsidRPr="003B5ABD">
          <w:rPr>
            <w:rStyle w:val="Hyperlink"/>
            <w:color w:val="auto"/>
            <w:u w:val="none"/>
            <w:lang w:val="es-ES_tradnl"/>
          </w:rPr>
          <w:t>UIT-R F.1101</w:t>
        </w:r>
      </w:hyperlink>
      <w:r w:rsidRPr="003B5ABD">
        <w:rPr>
          <w:lang w:val="es-ES_tradnl"/>
        </w:rPr>
        <w:t xml:space="preserve"> se puede consultar información sobre la </w:t>
      </w:r>
      <w:r w:rsidRPr="00140923">
        <w:rPr>
          <w:lang w:val="es-ES_tradnl"/>
        </w:rPr>
        <w:t>relación </w:t>
      </w:r>
      <w:r w:rsidRPr="00140923">
        <w:rPr>
          <w:i/>
          <w:lang w:val="es-ES_tradnl"/>
        </w:rPr>
        <w:t>S</w:t>
      </w:r>
      <w:r w:rsidRPr="00140923">
        <w:rPr>
          <w:lang w:val="es-ES_tradnl"/>
        </w:rPr>
        <w:t>/</w:t>
      </w:r>
      <w:r w:rsidRPr="00140923">
        <w:rPr>
          <w:i/>
          <w:lang w:val="es-ES_tradnl"/>
        </w:rPr>
        <w:t>N</w:t>
      </w:r>
      <w:r w:rsidRPr="00140923">
        <w:rPr>
          <w:lang w:val="es-ES_tradnl"/>
        </w:rPr>
        <w:t xml:space="preserve"> teórica y práctica para los formatos de modulación más comunes.</w:t>
      </w:r>
    </w:p>
    <w:p w14:paraId="4FDDC97F" w14:textId="77777777" w:rsidR="002B37E9" w:rsidRPr="00140923" w:rsidRDefault="002B37E9" w:rsidP="002B37E9">
      <w:pPr>
        <w:pStyle w:val="Heading2"/>
        <w:rPr>
          <w:lang w:val="es-ES_tradnl"/>
        </w:rPr>
      </w:pPr>
      <w:bookmarkStart w:id="36" w:name="_Toc107643568"/>
      <w:bookmarkStart w:id="37" w:name="_Toc39157081"/>
      <w:r w:rsidRPr="00140923">
        <w:rPr>
          <w:lang w:val="es-ES_tradnl"/>
        </w:rPr>
        <w:t>3.2</w:t>
      </w:r>
      <w:r w:rsidRPr="00140923">
        <w:rPr>
          <w:lang w:val="es-ES_tradnl"/>
        </w:rPr>
        <w:tab/>
        <w:t>Interferencia admisible</w:t>
      </w:r>
      <w:bookmarkEnd w:id="36"/>
      <w:bookmarkEnd w:id="37"/>
    </w:p>
    <w:p w14:paraId="0A87FCA2" w14:textId="77777777" w:rsidR="002B37E9" w:rsidRPr="00140923" w:rsidRDefault="002B37E9" w:rsidP="002B37E9">
      <w:pPr>
        <w:rPr>
          <w:lang w:val="es-ES_tradnl"/>
        </w:rPr>
      </w:pPr>
      <w:r w:rsidRPr="00140923">
        <w:rPr>
          <w:lang w:val="es-ES_tradnl"/>
        </w:rPr>
        <w:t>Es necesario especificar niveles máximos de interferencia para porcentajes de tiempo largos y cortos. Cuando se especifica interferencia a largo plazo global, si puede producirse interferencia de múltiples fuentes simultáneamente, debe señalarse que los criterios de interferencia de una sola fuente serán correspondientemente más bajos. En el caso de interferencia de corta duración, los porcentajes de tiempo de interés se relacionarán con los objetivos de calidad de funcionamiento del sistema.</w:t>
      </w:r>
    </w:p>
    <w:p w14:paraId="1DF3911F" w14:textId="77777777" w:rsidR="002B37E9" w:rsidRPr="00140923" w:rsidRDefault="002B37E9" w:rsidP="002B37E9">
      <w:pPr>
        <w:rPr>
          <w:lang w:val="es-ES_tradnl"/>
        </w:rPr>
      </w:pPr>
      <w:r w:rsidRPr="00140923">
        <w:rPr>
          <w:lang w:val="es-ES_tradnl"/>
        </w:rPr>
        <w:t>Los niveles de interferencia a largo plazo y de corta duración, y los porcentajes de tiempo asociados deben calcularse individualmente para cada tipo de sistema de acuerdo con los principios descritos en el Anexo 1.</w:t>
      </w:r>
    </w:p>
    <w:p w14:paraId="24130391" w14:textId="77777777" w:rsidR="002B37E9" w:rsidRPr="00140923" w:rsidRDefault="002B37E9" w:rsidP="002B37E9">
      <w:pPr>
        <w:pStyle w:val="Heading1"/>
        <w:rPr>
          <w:lang w:val="es-ES_tradnl"/>
        </w:rPr>
      </w:pPr>
      <w:bookmarkStart w:id="38" w:name="_Toc107643569"/>
      <w:bookmarkStart w:id="39" w:name="_Toc39157082"/>
      <w:r w:rsidRPr="00140923">
        <w:rPr>
          <w:lang w:val="es-ES_tradnl"/>
        </w:rPr>
        <w:t>4</w:t>
      </w:r>
      <w:r w:rsidRPr="00140923">
        <w:rPr>
          <w:lang w:val="es-ES_tradnl"/>
        </w:rPr>
        <w:tab/>
        <w:t>Cuadros de parámetros de sistema</w:t>
      </w:r>
      <w:bookmarkEnd w:id="38"/>
      <w:bookmarkEnd w:id="39"/>
    </w:p>
    <w:p w14:paraId="087C9916" w14:textId="77777777" w:rsidR="002B37E9" w:rsidRPr="00140923" w:rsidRDefault="002B37E9" w:rsidP="002B37E9">
      <w:pPr>
        <w:rPr>
          <w:lang w:val="es-ES_tradnl" w:eastAsia="ja-JP"/>
        </w:rPr>
      </w:pPr>
      <w:r w:rsidRPr="00140923">
        <w:rPr>
          <w:lang w:val="es-ES_tradnl"/>
        </w:rPr>
        <w:t>Los Cuadros 6 a 14 muestran valores representativos de parámetros con el fin de utilizarlos en los estudios de compartición/compatibilidad del servicio inalámbrico fijo digital que actualmente se emplean en diversas bandas de frecuencias.</w:t>
      </w:r>
    </w:p>
    <w:p w14:paraId="2F099871" w14:textId="77777777" w:rsidR="002B37E9" w:rsidRPr="00140923" w:rsidRDefault="002B37E9" w:rsidP="002B37E9">
      <w:pPr>
        <w:rPr>
          <w:lang w:val="es-ES_tradnl" w:eastAsia="ja-JP"/>
        </w:rPr>
      </w:pPr>
      <w:r w:rsidRPr="00140923">
        <w:rPr>
          <w:lang w:val="es-ES_tradnl"/>
        </w:rPr>
        <w:t>En la mayoría de las bandas, una gran variedad (por ejemplo en lo que respecta a distancia entre canales y formatos de modulación) de servicios inalámbricos fijos están presentes en el mundo; su utilización efectiva en una zona geográfica depende de las atribuciones y necesidades regionales y nacionales. Por consiguiente, los parámetros de sistema que figuran en los cuadros no son representativos de ningún sistema del servicio fijo real, sino que representan un promedio o una gama de valores esperada que son adecuados para los estudios de compartición/compatibilidad</w:t>
      </w:r>
      <w:r w:rsidRPr="00140923">
        <w:rPr>
          <w:lang w:val="es-ES_tradnl" w:eastAsia="ja-JP"/>
        </w:rPr>
        <w:t>.</w:t>
      </w:r>
    </w:p>
    <w:p w14:paraId="1E29EA6A" w14:textId="77777777" w:rsidR="002B37E9" w:rsidRPr="00140923" w:rsidRDefault="002B37E9" w:rsidP="002B37E9">
      <w:pPr>
        <w:rPr>
          <w:lang w:val="es-ES_tradnl"/>
        </w:rPr>
      </w:pPr>
      <w:r w:rsidRPr="00140923">
        <w:rPr>
          <w:lang w:val="es-ES_tradnl"/>
        </w:rPr>
        <w:t xml:space="preserve">En cada fila de los Cuadros se toma en consideración un parámetro específico (o su gama esperada) que se ha definido u obtenido de acuerdo con los principios descritos en los siguientes párrafos. </w:t>
      </w:r>
      <w:r w:rsidRPr="004F7602">
        <w:rPr>
          <w:lang w:val="es-ES_tradnl"/>
        </w:rPr>
        <w:t>En consecuencia, es importante tener en cuenta estos principios, así como otros factores, al seleccionar parámetros de servicios inalámbricos fijos específicos de los cuadros siguientes para que el conjunto global de parámetros de servicios inalámbricos fijos utilizado sea representativo en los estudios de compartición y compatibilidad.</w:t>
      </w:r>
    </w:p>
    <w:p w14:paraId="4912A34C" w14:textId="77777777" w:rsidR="002B37E9" w:rsidRPr="00140923" w:rsidRDefault="002B37E9" w:rsidP="002B37E9">
      <w:pPr>
        <w:pStyle w:val="Heading2"/>
        <w:rPr>
          <w:lang w:val="es-ES_tradnl"/>
        </w:rPr>
      </w:pPr>
      <w:bookmarkStart w:id="40" w:name="_Toc39157083"/>
      <w:r w:rsidRPr="00140923">
        <w:rPr>
          <w:lang w:val="es-ES_tradnl"/>
        </w:rPr>
        <w:t>4.1</w:t>
      </w:r>
      <w:r w:rsidRPr="00140923">
        <w:rPr>
          <w:lang w:val="es-ES_tradnl"/>
        </w:rPr>
        <w:tab/>
        <w:t>Gama de frecuencias y su Recomendación UIT-R de referencia conexa</w:t>
      </w:r>
      <w:bookmarkEnd w:id="40"/>
    </w:p>
    <w:p w14:paraId="6B0F7CB0" w14:textId="77777777" w:rsidR="002B37E9" w:rsidRPr="00140923" w:rsidRDefault="002B37E9" w:rsidP="002B37E9">
      <w:pPr>
        <w:rPr>
          <w:lang w:val="es-ES_tradnl"/>
        </w:rPr>
      </w:pPr>
      <w:r w:rsidRPr="00140923">
        <w:rPr>
          <w:lang w:val="es-ES_tradnl"/>
        </w:rPr>
        <w:t>La gama es aproximada y está comprendida de forma general por la Recomendación pertinente sobre disposición de radiocanales; los límites de banda reales dependen de las atribuciones regionales y nacionales al servicio fijo.</w:t>
      </w:r>
    </w:p>
    <w:p w14:paraId="4C2F6339" w14:textId="77777777" w:rsidR="002B37E9" w:rsidRPr="00140923" w:rsidRDefault="002B37E9" w:rsidP="002B37E9">
      <w:pPr>
        <w:pStyle w:val="Heading2"/>
        <w:rPr>
          <w:lang w:val="es-ES_tradnl"/>
        </w:rPr>
      </w:pPr>
      <w:bookmarkStart w:id="41" w:name="_Toc39157084"/>
      <w:r w:rsidRPr="00140923">
        <w:rPr>
          <w:lang w:val="es-ES_tradnl"/>
        </w:rPr>
        <w:lastRenderedPageBreak/>
        <w:t>4.2</w:t>
      </w:r>
      <w:r w:rsidRPr="00140923">
        <w:rPr>
          <w:lang w:val="es-ES_tradnl"/>
        </w:rPr>
        <w:tab/>
        <w:t>Formato de modulación</w:t>
      </w:r>
      <w:bookmarkEnd w:id="41"/>
    </w:p>
    <w:p w14:paraId="50FE6224" w14:textId="55FF1E6C" w:rsidR="002B37E9" w:rsidRPr="00140923" w:rsidRDefault="002B37E9" w:rsidP="002B37E9">
      <w:pPr>
        <w:rPr>
          <w:lang w:val="es-ES_tradnl"/>
        </w:rPr>
      </w:pPr>
      <w:r w:rsidRPr="00140923">
        <w:rPr>
          <w:lang w:val="es-ES_tradnl"/>
        </w:rPr>
        <w:t>Para cada gama de frecuencias las dos columnas se refieren a dos tipos de aplicaciones. La primera se supone que es representativa de sistemas más simples (por ejemplo una banda más estrecha o un formato de modulación de poca complejidad), que generalmente muestran la densidad de p.i.r.e. más alta. La segunda se supone que es representativa de sistemas más complejos (por ejemplo una banda más ancha o un formato de modulación de gran complejidad), que generalmente requieren una característica de error alta y en consecuencia se supone que son más sensibles a la interferencia.</w:t>
      </w:r>
    </w:p>
    <w:p w14:paraId="4A07D026" w14:textId="6C8F4ADC" w:rsidR="002B37E9" w:rsidRPr="00140923" w:rsidRDefault="002B37E9" w:rsidP="002B37E9">
      <w:pPr>
        <w:rPr>
          <w:lang w:val="es-ES_tradnl"/>
        </w:rPr>
      </w:pPr>
      <w:r w:rsidRPr="00140923">
        <w:rPr>
          <w:lang w:val="es-ES_tradnl"/>
        </w:rPr>
        <w:t xml:space="preserve">Generalmente en los estudios de compartición no influye la modulación, puesto que están basados en objetivos de </w:t>
      </w:r>
      <w:r w:rsidRPr="00140923">
        <w:rPr>
          <w:i/>
          <w:lang w:val="es-ES_tradnl"/>
        </w:rPr>
        <w:t>I</w:t>
      </w:r>
      <w:r w:rsidRPr="00140923">
        <w:rPr>
          <w:lang w:val="es-ES_tradnl"/>
        </w:rPr>
        <w:t>/</w:t>
      </w:r>
      <w:r w:rsidRPr="00140923">
        <w:rPr>
          <w:i/>
          <w:lang w:val="es-ES_tradnl"/>
        </w:rPr>
        <w:t>N</w:t>
      </w:r>
      <w:r w:rsidRPr="00140923">
        <w:rPr>
          <w:lang w:val="es-ES_tradnl"/>
        </w:rPr>
        <w:t>. El formato de modulación, en principio, es útil únicamente para la evaluación de los niveles de la señal en el receptor (nominal y para una BER de 1 </w:t>
      </w:r>
      <w:r w:rsidR="00B233F6" w:rsidRPr="00B233F6">
        <w:rPr>
          <w:lang w:val="es-ES_tradnl"/>
        </w:rPr>
        <w:t>×</w:t>
      </w:r>
      <w:r w:rsidRPr="00140923">
        <w:rPr>
          <w:lang w:val="es-ES_tradnl"/>
        </w:rPr>
        <w:t> 10</w:t>
      </w:r>
      <w:r w:rsidRPr="00140923">
        <w:rPr>
          <w:vertAlign w:val="superscript"/>
          <w:lang w:val="es-ES_tradnl"/>
        </w:rPr>
        <w:t>−6</w:t>
      </w:r>
      <w:r w:rsidRPr="00140923">
        <w:rPr>
          <w:lang w:val="es-ES_tradnl"/>
        </w:rPr>
        <w:t>), que se pueden utilizar para la evaluación de la interferencia de corta duración.</w:t>
      </w:r>
    </w:p>
    <w:p w14:paraId="28C9302D" w14:textId="101D4E86" w:rsidR="002B37E9" w:rsidRPr="00140923" w:rsidRDefault="002B37E9" w:rsidP="002B37E9">
      <w:pPr>
        <w:rPr>
          <w:lang w:val="es-ES_tradnl" w:eastAsia="ja-JP"/>
        </w:rPr>
      </w:pPr>
      <w:r w:rsidRPr="00140923">
        <w:rPr>
          <w:lang w:val="es-ES_tradnl"/>
        </w:rPr>
        <w:t xml:space="preserve">Cabe señalar que la tecnología de codificación y modulación adaptativas (ACM) (es decir, la velocidad de codificación o la modulación se modifica de acuerdo con la propagación y/o la situación de interferencia intrasistema) se puede utilizar para aumentar el caudal o la capacidad disponible del sistema cuando ello sea posible. </w:t>
      </w:r>
      <w:r w:rsidRPr="004F7602">
        <w:rPr>
          <w:lang w:val="es-ES_tradnl"/>
        </w:rPr>
        <w:t>En consecuencia, estos sistemas pueden funcionar con un formato de modulación tan bajo como MDP-2 (1</w:t>
      </w:r>
      <w:r w:rsidR="00B233F6">
        <w:rPr>
          <w:lang w:val="es-ES_tradnl"/>
        </w:rPr>
        <w:t> </w:t>
      </w:r>
      <w:r w:rsidRPr="004F7602">
        <w:rPr>
          <w:lang w:val="es-ES_tradnl"/>
        </w:rPr>
        <w:t xml:space="preserve">bit/símbolo) </w:t>
      </w:r>
      <w:r w:rsidRPr="00140923">
        <w:rPr>
          <w:lang w:val="es-ES_tradnl"/>
        </w:rPr>
        <w:t>en</w:t>
      </w:r>
      <w:r w:rsidRPr="004F7602">
        <w:rPr>
          <w:lang w:val="es-ES_tradnl"/>
        </w:rPr>
        <w:t xml:space="preserve"> las condiciones de propagación más desfavorables y hasta MAQ-4</w:t>
      </w:r>
      <w:r w:rsidR="003B5ABD">
        <w:rPr>
          <w:lang w:val="es-ES_tradnl"/>
        </w:rPr>
        <w:t> </w:t>
      </w:r>
      <w:r w:rsidRPr="004F7602">
        <w:rPr>
          <w:lang w:val="es-ES_tradnl"/>
        </w:rPr>
        <w:t>096 (12 bits/símbolo) en condiciones de propagación nominales.</w:t>
      </w:r>
    </w:p>
    <w:p w14:paraId="4949F72D" w14:textId="77777777" w:rsidR="002B37E9" w:rsidRPr="00140923" w:rsidRDefault="002B37E9" w:rsidP="002B37E9">
      <w:pPr>
        <w:pStyle w:val="Heading2"/>
        <w:rPr>
          <w:lang w:val="es-ES_tradnl"/>
        </w:rPr>
      </w:pPr>
      <w:bookmarkStart w:id="42" w:name="_Toc39157085"/>
      <w:r w:rsidRPr="00140923">
        <w:rPr>
          <w:lang w:val="es-ES_tradnl"/>
        </w:rPr>
        <w:t>4.3</w:t>
      </w:r>
      <w:r w:rsidRPr="00140923">
        <w:rPr>
          <w:lang w:val="es-ES_tradnl"/>
        </w:rPr>
        <w:tab/>
        <w:t>Separación entre canales y anchura de banda de ruido del receptor</w:t>
      </w:r>
      <w:bookmarkEnd w:id="42"/>
    </w:p>
    <w:p w14:paraId="359C6878" w14:textId="77777777" w:rsidR="002B37E9" w:rsidRPr="00140923" w:rsidRDefault="002B37E9" w:rsidP="002B37E9">
      <w:pPr>
        <w:rPr>
          <w:lang w:val="es-ES_tradnl"/>
        </w:rPr>
      </w:pPr>
      <w:r w:rsidRPr="00140923">
        <w:rPr>
          <w:lang w:val="es-ES_tradnl"/>
        </w:rPr>
        <w:t>La separación entre canales es necesaria para la evaluación simple de la densidad de la potencia de salida del transmisor. No obstante, en algunas bandas, la Recomendación UIT-R describe diversas separaciones entre canales, y el uso real es específico de cada país; por ese motivo se dan varios valores para la separación entre canales. La anchura de banda del ruido efectiva depende de la implementación; sin embargo, a efectos de los estudios genéricos de compartición/compatibilidad, el valor nominal generalmente se supone que es igual que la anchura de banda de canal.</w:t>
      </w:r>
    </w:p>
    <w:p w14:paraId="4C608561" w14:textId="77777777" w:rsidR="002B37E9" w:rsidRPr="00140923" w:rsidRDefault="002B37E9" w:rsidP="002B37E9">
      <w:pPr>
        <w:pStyle w:val="Heading2"/>
        <w:rPr>
          <w:lang w:val="es-ES_tradnl" w:eastAsia="ja-JP"/>
        </w:rPr>
      </w:pPr>
      <w:bookmarkStart w:id="43" w:name="_Toc39157086"/>
      <w:r w:rsidRPr="00140923">
        <w:rPr>
          <w:lang w:val="es-ES_tradnl"/>
        </w:rPr>
        <w:t>4.4</w:t>
      </w:r>
      <w:r w:rsidRPr="00140923">
        <w:rPr>
          <w:lang w:val="es-ES_tradnl"/>
        </w:rPr>
        <w:tab/>
        <w:t>Gama de potencia de salida del transmisor (dBW)</w:t>
      </w:r>
      <w:bookmarkEnd w:id="43"/>
    </w:p>
    <w:p w14:paraId="2DE9C683" w14:textId="77777777" w:rsidR="002B37E9" w:rsidRPr="00140923" w:rsidRDefault="002B37E9" w:rsidP="002B37E9">
      <w:pPr>
        <w:rPr>
          <w:lang w:val="es-ES_tradnl"/>
        </w:rPr>
      </w:pPr>
      <w:r w:rsidRPr="00140923">
        <w:rPr>
          <w:lang w:val="es-ES_tradnl"/>
        </w:rPr>
        <w:t>Cuando se aplica la coordinación de frecuencias (ya sea enlace por enlace en sistemas punto a punto, o entre células y terminales del mismo sistema punto a multipunto) para la gestión de la interferencia intraservicio (del servicio fijo sobre el servicio fijo), la p.i.r.e. (y por consiguiente la potencia de salida del transmisor) se fija a un nivel que sólo permite ofrecer el servicio, con la calidad esperada, por el enlace específico o dentro de la superficie de la célula. De ahí que la gama de potencia de salida presentada en los cuadros ofrezca información no sólo sobre la potencia máxima proporcionada por el diseño del sistema, sino también la difusión real de la potencia por un gran territorio. Los valores tienen en cuenta las pérdidas en el filtro del transmisor.</w:t>
      </w:r>
    </w:p>
    <w:p w14:paraId="7C71551F" w14:textId="1F424CFB" w:rsidR="002B37E9" w:rsidRPr="00140923" w:rsidRDefault="002B37E9" w:rsidP="002B37E9">
      <w:pPr>
        <w:rPr>
          <w:lang w:val="es-ES_tradnl"/>
        </w:rPr>
      </w:pPr>
      <w:r w:rsidRPr="004F7602">
        <w:rPr>
          <w:lang w:val="es-ES_tradnl"/>
        </w:rPr>
        <w:t>Los sistemas del servicio fijo también pueden utilizar el control automático de la potencia de transmisión (CAPT), en virtud del cual la potencia de salida del transmisor no está fija en un nivel determinado, sino que puede variar dentro de la gama posible del transmisor adaptando el nivel de potencia a las condiciones de propagación (es decir, el receptor solicita al transmisor que aumente o disminuya la potencia de salida). Por tanto, estos sistemas pueden funcionar con un nivel de potencia de salida del transmisor inferior en condiciones de propagación nominales. Esta potencia de salida nominal puede reducirse hasta −40</w:t>
      </w:r>
      <w:r w:rsidR="00B233F6">
        <w:rPr>
          <w:lang w:val="es-ES_tradnl"/>
        </w:rPr>
        <w:t> </w:t>
      </w:r>
      <w:r w:rsidRPr="004F7602">
        <w:rPr>
          <w:lang w:val="es-ES_tradnl"/>
        </w:rPr>
        <w:t>dBW, pero este límite inferior sólo se utiliza en casos excepcionales.</w:t>
      </w:r>
    </w:p>
    <w:p w14:paraId="22DB75AF" w14:textId="77777777" w:rsidR="002B37E9" w:rsidRPr="00140923" w:rsidRDefault="002B37E9" w:rsidP="002B37E9">
      <w:pPr>
        <w:pStyle w:val="Heading2"/>
        <w:ind w:left="0" w:firstLine="0"/>
        <w:rPr>
          <w:lang w:val="es-ES_tradnl"/>
        </w:rPr>
      </w:pPr>
      <w:bookmarkStart w:id="44" w:name="_Toc39157087"/>
      <w:r w:rsidRPr="00140923">
        <w:rPr>
          <w:lang w:val="es-ES_tradnl"/>
        </w:rPr>
        <w:lastRenderedPageBreak/>
        <w:t>4.5</w:t>
      </w:r>
      <w:r w:rsidRPr="00140923">
        <w:rPr>
          <w:lang w:val="es-ES_tradnl"/>
        </w:rPr>
        <w:tab/>
        <w:t>Gama de densidad de potencia de salida del transmisor (dBW/MHz)</w:t>
      </w:r>
      <w:bookmarkEnd w:id="44"/>
    </w:p>
    <w:p w14:paraId="583E71F2" w14:textId="33B6E821" w:rsidR="002B37E9" w:rsidRPr="00140923" w:rsidRDefault="002B37E9" w:rsidP="00105133">
      <w:pPr>
        <w:keepNext/>
        <w:keepLines/>
        <w:rPr>
          <w:lang w:val="es-ES_tradnl" w:eastAsia="ja-JP"/>
        </w:rPr>
      </w:pPr>
      <w:r w:rsidRPr="00140923">
        <w:rPr>
          <w:lang w:val="es-ES_tradnl"/>
        </w:rPr>
        <w:t>En los estudios de compartición/compatibilidad, pueden necesitarse determinadas densidades espectrales de potencia. La densidad de potencia de salida del transmisor se obtiene ajustando la potencia de salida del transmisor con el factor de anchura de banda, para los enlaces de la red considerada: densidad de potencia de salida del transmisor (dBW/MHz) = densidad de salida del transmisor (dBW) </w:t>
      </w:r>
      <w:r w:rsidR="00B233F6" w:rsidRPr="00B233F6">
        <w:rPr>
          <w:lang w:val="es-ES_tradnl"/>
        </w:rPr>
        <w:t>−</w:t>
      </w:r>
      <w:r w:rsidR="00B233F6">
        <w:rPr>
          <w:lang w:val="es-ES_tradnl"/>
        </w:rPr>
        <w:t> </w:t>
      </w:r>
      <w:r w:rsidRPr="00140923">
        <w:rPr>
          <w:lang w:val="es-ES_tradnl"/>
        </w:rPr>
        <w:t>10 log (separación entre canales en MHz).</w:t>
      </w:r>
    </w:p>
    <w:p w14:paraId="6EA633AB" w14:textId="77777777" w:rsidR="002B37E9" w:rsidRPr="00140923" w:rsidRDefault="002B37E9" w:rsidP="002B37E9">
      <w:pPr>
        <w:pStyle w:val="Heading2"/>
        <w:rPr>
          <w:lang w:val="es-ES_tradnl" w:eastAsia="ja-JP"/>
        </w:rPr>
      </w:pPr>
      <w:bookmarkStart w:id="45" w:name="_Toc39157088"/>
      <w:r w:rsidRPr="00140923">
        <w:rPr>
          <w:lang w:val="es-ES_tradnl"/>
        </w:rPr>
        <w:t>4.</w:t>
      </w:r>
      <w:r w:rsidRPr="00140923">
        <w:rPr>
          <w:lang w:val="es-ES_tradnl" w:eastAsia="ja-JP"/>
        </w:rPr>
        <w:t>6</w:t>
      </w:r>
      <w:r w:rsidRPr="00140923">
        <w:rPr>
          <w:lang w:val="es-ES_tradnl"/>
        </w:rPr>
        <w:tab/>
        <w:t>Gama de pérdidas del alimentador/multiplexor (dB)</w:t>
      </w:r>
      <w:bookmarkEnd w:id="45"/>
    </w:p>
    <w:p w14:paraId="79191064" w14:textId="77777777" w:rsidR="002B37E9" w:rsidRPr="00140923" w:rsidRDefault="002B37E9" w:rsidP="002B37E9">
      <w:pPr>
        <w:rPr>
          <w:lang w:val="es-ES_tradnl"/>
        </w:rPr>
      </w:pPr>
      <w:r w:rsidRPr="00140923">
        <w:rPr>
          <w:lang w:val="es-ES_tradnl"/>
        </w:rPr>
        <w:t>Hay distintas metodologías de implantación física entre la gran variedad de sistemas existentes en el mundo. Los sistemas convencionales de interior (por ejemplo con los extremos de entrada de las radiofrecuencias en un entorno protegido) asociados a las antenas montadas en torres o tejados conectadas mediante un alimentador funcionan principalmente en las bandas inferiores; los sistemas completamente exteriores (por ejemplo dentro de una montura estanca o cerca de la antena) funcionan principalmente en las bandas superiores, aunque cada vez funcionan más en bandas inferiores. Por consiguiente, pérdidas en el alimentador de 0 dB indican aplicaciones completamente exteriores, mientras que los valores altos, únicamente en bandas inferiores a 18/23 GHz, resultan de una longitud media de la línea de alimentación de ~50 m de guiaonda flexible. La fila del cuadro relativa a las pérdidas del alimentador/multiplexor refleja las pérdidas del alimentador y, de haberlas, también las pérdidas debidas a sistemas que combinan múltiples canales (excluidas las pérdidas en los filtros de canal, que se tienen en cuenta en la potencia de salida del transmisor o en el factor de ruido del receptor).</w:t>
      </w:r>
    </w:p>
    <w:p w14:paraId="5196D479" w14:textId="77777777" w:rsidR="002B37E9" w:rsidRPr="00140923" w:rsidRDefault="002B37E9" w:rsidP="002B37E9">
      <w:pPr>
        <w:pStyle w:val="Heading2"/>
        <w:rPr>
          <w:lang w:val="es-ES_tradnl"/>
        </w:rPr>
      </w:pPr>
      <w:bookmarkStart w:id="46" w:name="_Toc39157089"/>
      <w:r w:rsidRPr="00140923">
        <w:rPr>
          <w:lang w:val="es-ES_tradnl"/>
        </w:rPr>
        <w:t>4.</w:t>
      </w:r>
      <w:r w:rsidRPr="00140923">
        <w:rPr>
          <w:lang w:val="es-ES_tradnl" w:eastAsia="ja-JP"/>
        </w:rPr>
        <w:t>7</w:t>
      </w:r>
      <w:r w:rsidRPr="00140923">
        <w:rPr>
          <w:lang w:val="es-ES_tradnl"/>
        </w:rPr>
        <w:tab/>
        <w:t>Gama de ganancia de antena (dBi) (punto a punto) o gama de tipo y ganancia de antena (dBi) (punto a multipunto)</w:t>
      </w:r>
      <w:bookmarkEnd w:id="46"/>
    </w:p>
    <w:p w14:paraId="22620172" w14:textId="68F77952" w:rsidR="002B37E9" w:rsidRPr="00664A5C" w:rsidRDefault="002B37E9" w:rsidP="002B37E9">
      <w:pPr>
        <w:rPr>
          <w:lang w:val="es-ES_tradnl"/>
        </w:rPr>
      </w:pPr>
      <w:r w:rsidRPr="00664A5C">
        <w:rPr>
          <w:lang w:val="es-ES_tradnl"/>
        </w:rPr>
        <w:t xml:space="preserve">En los sistemas punto a punto, las antenas pequeñas generalmente están asociadas con pérdidas en el alimentador reducidas o nulas (por ejemplo aplicaciones en exteriores); en las Recomendaciones </w:t>
      </w:r>
      <w:hyperlink r:id="rId102" w:history="1">
        <w:r w:rsidRPr="00664A5C">
          <w:rPr>
            <w:rStyle w:val="Hyperlink"/>
            <w:color w:val="auto"/>
            <w:u w:val="none"/>
            <w:lang w:val="es-ES_tradnl"/>
          </w:rPr>
          <w:t>UIT</w:t>
        </w:r>
        <w:r w:rsidRPr="00664A5C">
          <w:rPr>
            <w:rStyle w:val="Hyperlink"/>
            <w:color w:val="auto"/>
            <w:u w:val="none"/>
            <w:lang w:val="es-ES_tradnl"/>
          </w:rPr>
          <w:noBreakHyphen/>
          <w:t>R F.699</w:t>
        </w:r>
      </w:hyperlink>
      <w:r w:rsidRPr="00664A5C">
        <w:rPr>
          <w:lang w:val="es-ES_tradnl"/>
        </w:rPr>
        <w:t xml:space="preserve"> y </w:t>
      </w:r>
      <w:hyperlink r:id="rId103" w:history="1">
        <w:r w:rsidRPr="00664A5C">
          <w:rPr>
            <w:rStyle w:val="Hyperlink"/>
            <w:color w:val="auto"/>
            <w:u w:val="none"/>
            <w:lang w:val="es-ES_tradnl"/>
          </w:rPr>
          <w:t>UIT-R F.1245</w:t>
        </w:r>
      </w:hyperlink>
      <w:r w:rsidRPr="00664A5C">
        <w:rPr>
          <w:lang w:val="es-ES_tradnl"/>
        </w:rPr>
        <w:t xml:space="preserve"> figuran diagramas de radiación de referencia al respecto. En los sistemas punto a multipunto, los tipos de antena representativos son las antenas omnidireccionales, yagi, parabólicas y sectoriales; en la Recomendación </w:t>
      </w:r>
      <w:hyperlink r:id="rId104" w:history="1">
        <w:r w:rsidRPr="00664A5C">
          <w:rPr>
            <w:rStyle w:val="Hyperlink"/>
            <w:color w:val="auto"/>
            <w:u w:val="none"/>
            <w:lang w:val="es-ES_tradnl"/>
          </w:rPr>
          <w:t>UIT-R F.1336</w:t>
        </w:r>
      </w:hyperlink>
      <w:r w:rsidRPr="00664A5C">
        <w:rPr>
          <w:lang w:val="es-ES_tradnl"/>
        </w:rPr>
        <w:t xml:space="preserve"> figuran diagramas de radiación de referencia al respecto.</w:t>
      </w:r>
    </w:p>
    <w:p w14:paraId="24DE43F0" w14:textId="77777777" w:rsidR="002B37E9" w:rsidRPr="00140923" w:rsidRDefault="002B37E9" w:rsidP="002B37E9">
      <w:pPr>
        <w:keepNext/>
        <w:keepLines/>
        <w:rPr>
          <w:lang w:val="es-ES_tradnl"/>
        </w:rPr>
      </w:pPr>
      <w:r w:rsidRPr="00140923">
        <w:rPr>
          <w:lang w:val="es-ES_tradnl"/>
        </w:rPr>
        <w:t>Es preciso prestar atención a lo siguiente:</w:t>
      </w:r>
    </w:p>
    <w:p w14:paraId="7DE119A3" w14:textId="77777777" w:rsidR="002B37E9" w:rsidRPr="00140923" w:rsidRDefault="002B37E9" w:rsidP="002B37E9">
      <w:pPr>
        <w:pStyle w:val="enumlev1"/>
        <w:rPr>
          <w:lang w:val="es-ES_tradnl" w:eastAsia="ja-JP"/>
        </w:rPr>
      </w:pPr>
      <w:r w:rsidRPr="00140923">
        <w:rPr>
          <w:lang w:val="es-ES_tradnl"/>
        </w:rPr>
        <w:t>–</w:t>
      </w:r>
      <w:r w:rsidRPr="00140923">
        <w:rPr>
          <w:lang w:val="es-ES_tradnl"/>
        </w:rPr>
        <w:tab/>
        <w:t>en los estudios de compartición, no siempre el máximo valor de ganancia de antena es el que causa la máxima interferencia. Una ganancia de antena menor posee un haz más ancho y, en determinadas situaciones, es más perjudicial, tanto si el servicio fijo es el interferido como el interferente. Esto se puede determinar según cada caso para cada situación de compartición a partir de una gama representativa dada;</w:t>
      </w:r>
    </w:p>
    <w:p w14:paraId="3FA17F0C" w14:textId="77777777" w:rsidR="002B37E9" w:rsidRPr="00140923" w:rsidRDefault="002B37E9" w:rsidP="002B37E9">
      <w:pPr>
        <w:pStyle w:val="enumlev1"/>
        <w:rPr>
          <w:b/>
          <w:lang w:val="es-ES_tradnl"/>
        </w:rPr>
      </w:pPr>
      <w:r w:rsidRPr="00140923">
        <w:rPr>
          <w:lang w:val="es-ES_tradnl"/>
        </w:rPr>
        <w:t>–</w:t>
      </w:r>
      <w:r w:rsidRPr="00140923">
        <w:rPr>
          <w:lang w:val="es-ES_tradnl"/>
        </w:rPr>
        <w:tab/>
        <w:t>la gama de ganancia es representativa de toda la población de redes, puesto que cada red se caracteriza por una distribución diferente de valores de ganancia de antena. Probablemente el valor típico se encuentre entre los valores de una gama dada, lo que también dependerá de las distintas consideraciones nacionales.</w:t>
      </w:r>
    </w:p>
    <w:p w14:paraId="3193BA83" w14:textId="77777777" w:rsidR="002B37E9" w:rsidRPr="00140923" w:rsidRDefault="002B37E9" w:rsidP="00664A5C">
      <w:pPr>
        <w:pStyle w:val="Heading2"/>
        <w:rPr>
          <w:lang w:val="es-ES_tradnl"/>
        </w:rPr>
      </w:pPr>
      <w:bookmarkStart w:id="47" w:name="_Toc39157090"/>
      <w:r w:rsidRPr="00140923">
        <w:rPr>
          <w:lang w:val="es-ES_tradnl"/>
        </w:rPr>
        <w:lastRenderedPageBreak/>
        <w:t>4.</w:t>
      </w:r>
      <w:r w:rsidRPr="00140923">
        <w:rPr>
          <w:lang w:val="es-ES_tradnl" w:eastAsia="ja-JP"/>
        </w:rPr>
        <w:t>8</w:t>
      </w:r>
      <w:r w:rsidRPr="00140923">
        <w:rPr>
          <w:lang w:val="es-ES_tradnl"/>
        </w:rPr>
        <w:tab/>
        <w:t>Gama de p.i.r.e. (dBW)</w:t>
      </w:r>
      <w:bookmarkEnd w:id="47"/>
    </w:p>
    <w:p w14:paraId="0B67148D" w14:textId="14C8FFEF" w:rsidR="002B37E9" w:rsidRPr="00140923" w:rsidRDefault="002B37E9" w:rsidP="00664A5C">
      <w:pPr>
        <w:keepNext/>
        <w:keepLines/>
        <w:rPr>
          <w:lang w:val="es-ES_tradnl" w:eastAsia="ja-JP"/>
        </w:rPr>
      </w:pPr>
      <w:r w:rsidRPr="00140923">
        <w:rPr>
          <w:lang w:val="es-ES_tradnl"/>
        </w:rPr>
        <w:t xml:space="preserve">La gama de p.i.r.e. depende de las ya descritas potencia de salida y pérdidas del alimentador, así como de la ganancia de antena como p.i.r.e. = </w:t>
      </w:r>
      <w:r w:rsidRPr="00140923">
        <w:rPr>
          <w:lang w:val="es-ES_tradnl" w:eastAsia="ja-JP"/>
        </w:rPr>
        <w:t>(potencia de salida del transmisor)</w:t>
      </w:r>
      <w:r w:rsidRPr="00140923">
        <w:rPr>
          <w:lang w:val="es-ES_tradnl"/>
        </w:rPr>
        <w:t xml:space="preserve"> + </w:t>
      </w:r>
      <w:r w:rsidRPr="00140923">
        <w:rPr>
          <w:lang w:val="es-ES_tradnl" w:eastAsia="ja-JP"/>
        </w:rPr>
        <w:t>(ganancia de antena)</w:t>
      </w:r>
      <w:r w:rsidRPr="00140923">
        <w:rPr>
          <w:lang w:val="es-ES_tradnl"/>
        </w:rPr>
        <w:t xml:space="preserve"> </w:t>
      </w:r>
      <w:r w:rsidR="00B233F6" w:rsidRPr="00B233F6">
        <w:rPr>
          <w:lang w:val="es-ES_tradnl"/>
        </w:rPr>
        <w:t>−</w:t>
      </w:r>
      <w:r w:rsidRPr="00140923">
        <w:rPr>
          <w:lang w:val="es-ES_tradnl"/>
        </w:rPr>
        <w:t xml:space="preserve"> </w:t>
      </w:r>
      <w:r w:rsidRPr="00140923">
        <w:rPr>
          <w:lang w:val="es-ES_tradnl" w:eastAsia="ja-JP"/>
        </w:rPr>
        <w:t>(pérdidas del alimentador)</w:t>
      </w:r>
      <w:r w:rsidRPr="00140923">
        <w:rPr>
          <w:lang w:val="es-ES_tradnl"/>
        </w:rPr>
        <w:t>. Sin embargo, la gama real de p.i.r.e. no se debe calcular como la suma directa de los valores superiores e inferiores puesto que se aplican las siguientes consideraciones:</w:t>
      </w:r>
    </w:p>
    <w:p w14:paraId="0C8C1A5A" w14:textId="77777777" w:rsidR="002B37E9" w:rsidRPr="00140923" w:rsidRDefault="002B37E9" w:rsidP="00664A5C">
      <w:pPr>
        <w:pStyle w:val="enumlev1"/>
        <w:keepNext/>
        <w:keepLines/>
        <w:rPr>
          <w:lang w:val="es-ES_tradnl"/>
        </w:rPr>
      </w:pPr>
      <w:r w:rsidRPr="00140923">
        <w:rPr>
          <w:lang w:val="es-ES_tradnl"/>
        </w:rPr>
        <w:t>–</w:t>
      </w:r>
      <w:r w:rsidRPr="00140923">
        <w:rPr>
          <w:lang w:val="es-ES_tradnl"/>
        </w:rPr>
        <w:tab/>
        <w:t>Cuando se conoce la gama de pérdidas del alimentador, el valor de 0 dB indica aplicaciones completamente exteriores, lo que generalmente se manifiesta con una pérdida de potencia moderada.</w:t>
      </w:r>
    </w:p>
    <w:p w14:paraId="75DB99DA" w14:textId="77777777" w:rsidR="002B37E9" w:rsidRPr="00140923" w:rsidRDefault="002B37E9" w:rsidP="002B37E9">
      <w:pPr>
        <w:pStyle w:val="enumlev1"/>
        <w:rPr>
          <w:lang w:val="es-ES_tradnl" w:eastAsia="ja-JP"/>
        </w:rPr>
      </w:pPr>
      <w:r w:rsidRPr="00140923">
        <w:rPr>
          <w:lang w:val="es-ES_tradnl"/>
        </w:rPr>
        <w:t>–</w:t>
      </w:r>
      <w:r w:rsidRPr="00140923">
        <w:rPr>
          <w:lang w:val="es-ES_tradnl"/>
        </w:rPr>
        <w:tab/>
        <w:t>Cuando se aplican límites reglamentarios, la p.i.r.e. puede no ser igual a la potencia máxima más la ganancia máxima menos la pérdida mínima del alimentador (en decibelios).</w:t>
      </w:r>
    </w:p>
    <w:p w14:paraId="04AA3204" w14:textId="77777777" w:rsidR="002B37E9" w:rsidRPr="00140923" w:rsidRDefault="002B37E9" w:rsidP="002B37E9">
      <w:pPr>
        <w:pStyle w:val="enumlev1"/>
        <w:rPr>
          <w:lang w:val="es-ES_tradnl"/>
        </w:rPr>
      </w:pPr>
      <w:r w:rsidRPr="00140923">
        <w:rPr>
          <w:lang w:val="es-ES_tradnl"/>
        </w:rPr>
        <w:t>–</w:t>
      </w:r>
      <w:r w:rsidRPr="00140923">
        <w:rPr>
          <w:lang w:val="es-ES_tradnl"/>
        </w:rPr>
        <w:tab/>
        <w:t>Los sistemas con modulación menos compleja pueden, en principio, experimentar bajas reducciones de potencia del transmisor y conseguir por tanto potencias más elevadas; sin embargo, un diseño adaptado al balance medio del enlace requerido por el mercado para esa aplicación sugiere que, por motivos de economía, se mantenga una potencia moderada. Con todo, cuando se reduce la separación entre canales se pueden obtener densidades de p.i.r.e. más elevadas (dBW/MHz).</w:t>
      </w:r>
    </w:p>
    <w:p w14:paraId="104D73A3" w14:textId="77777777" w:rsidR="002B37E9" w:rsidRPr="00140923" w:rsidRDefault="002B37E9" w:rsidP="002B37E9">
      <w:pPr>
        <w:pStyle w:val="enumlev1"/>
        <w:rPr>
          <w:lang w:val="es-ES_tradnl"/>
        </w:rPr>
      </w:pPr>
      <w:r w:rsidRPr="00140923">
        <w:rPr>
          <w:lang w:val="es-ES_tradnl"/>
        </w:rPr>
        <w:t>–</w:t>
      </w:r>
      <w:r w:rsidRPr="00140923">
        <w:rPr>
          <w:lang w:val="es-ES_tradnl"/>
        </w:rPr>
        <w:tab/>
        <w:t>Los sistemas con órdenes superiores de modulación precisan de una mayor reducción de potencia del transmisor y, cuando se asocian con sistemas de gran capacidad de banda ancha, utilizan la máxima potencia de la que disponen habitualmente. Sin embargo, la densidad de p.i.r.e. (dBW/MHz) tal vez no sea la mayor entre las aplicaciones del servicio fijo.</w:t>
      </w:r>
    </w:p>
    <w:p w14:paraId="0659DFD4" w14:textId="77777777" w:rsidR="002B37E9" w:rsidRPr="00140923" w:rsidRDefault="002B37E9" w:rsidP="002B37E9">
      <w:pPr>
        <w:pStyle w:val="enumlev1"/>
        <w:rPr>
          <w:lang w:val="es-ES_tradnl" w:eastAsia="ja-JP"/>
        </w:rPr>
      </w:pPr>
      <w:r w:rsidRPr="00140923">
        <w:rPr>
          <w:lang w:val="es-ES_tradnl"/>
        </w:rPr>
        <w:t>–</w:t>
      </w:r>
      <w:r w:rsidRPr="00140923">
        <w:rPr>
          <w:lang w:val="es-ES_tradnl"/>
        </w:rPr>
        <w:tab/>
        <w:t>En una red dada, la mayor potencia de salida del transmisor no se corresponde necesariamente con la mayor ganancia de antena.</w:t>
      </w:r>
    </w:p>
    <w:p w14:paraId="40EC708D" w14:textId="77777777" w:rsidR="002B37E9" w:rsidRPr="00140923" w:rsidRDefault="002B37E9" w:rsidP="002B37E9">
      <w:pPr>
        <w:rPr>
          <w:lang w:val="es-ES_tradnl" w:eastAsia="ja-JP"/>
        </w:rPr>
      </w:pPr>
      <w:r w:rsidRPr="00140923">
        <w:rPr>
          <w:lang w:val="es-ES_tradnl"/>
        </w:rPr>
        <w:t>La p.i.r.e. en las distintas direcciones de puntería de la antena se puede calcular teniendo en cuenta el diagrama de radiación de la antena.</w:t>
      </w:r>
    </w:p>
    <w:p w14:paraId="49A6B554" w14:textId="77777777" w:rsidR="002B37E9" w:rsidRPr="00140923" w:rsidRDefault="002B37E9" w:rsidP="002B37E9">
      <w:pPr>
        <w:pStyle w:val="Heading2"/>
        <w:rPr>
          <w:lang w:val="es-ES_tradnl"/>
        </w:rPr>
      </w:pPr>
      <w:bookmarkStart w:id="48" w:name="_Toc39157091"/>
      <w:r w:rsidRPr="00140923">
        <w:rPr>
          <w:lang w:val="es-ES_tradnl"/>
        </w:rPr>
        <w:t>4.9</w:t>
      </w:r>
      <w:r w:rsidRPr="00140923">
        <w:rPr>
          <w:lang w:val="es-ES_tradnl"/>
        </w:rPr>
        <w:tab/>
        <w:t>Gama de densidad de p.i.r.e. (dBW/MHz)</w:t>
      </w:r>
      <w:bookmarkEnd w:id="48"/>
    </w:p>
    <w:p w14:paraId="1B8724C5" w14:textId="51545BBB" w:rsidR="002B37E9" w:rsidRPr="00140923" w:rsidRDefault="002B37E9" w:rsidP="002B37E9">
      <w:pPr>
        <w:rPr>
          <w:lang w:val="es-ES_tradnl"/>
        </w:rPr>
      </w:pPr>
      <w:r w:rsidRPr="00140923">
        <w:rPr>
          <w:lang w:val="es-ES_tradnl"/>
        </w:rPr>
        <w:t xml:space="preserve">En los estudios de compartición/compatibilidad, a menudo se utiliza la densidad espectral de p.i.r.e., que se puede obtener fácilmente realizando un ajuste con el factor de anchura de banda para los enlaces en la red considerada: densidad de p.i.r.e. (dBW/MHz) = p.i.r.e. (dBW) </w:t>
      </w:r>
      <w:r w:rsidR="00A941C1" w:rsidRPr="00A941C1">
        <w:rPr>
          <w:lang w:val="es-ES_tradnl"/>
        </w:rPr>
        <w:t>−</w:t>
      </w:r>
      <w:r w:rsidRPr="00140923">
        <w:rPr>
          <w:lang w:val="es-ES_tradnl"/>
        </w:rPr>
        <w:t xml:space="preserve"> 10 log (separación entre canales, en MHz).</w:t>
      </w:r>
    </w:p>
    <w:p w14:paraId="2A9A5775" w14:textId="77777777" w:rsidR="002B37E9" w:rsidRPr="00140923" w:rsidRDefault="002B37E9" w:rsidP="002B37E9">
      <w:pPr>
        <w:rPr>
          <w:lang w:val="es-ES_tradnl"/>
        </w:rPr>
      </w:pPr>
      <w:r w:rsidRPr="00140923">
        <w:rPr>
          <w:lang w:val="es-ES_tradnl"/>
        </w:rPr>
        <w:t>En algunos casos, también se indica una moda, consistente en el parámetro estadístico para el valor que se da con mayor frecuencia.</w:t>
      </w:r>
    </w:p>
    <w:p w14:paraId="7E19FEB0" w14:textId="77777777" w:rsidR="002B37E9" w:rsidRPr="00140923" w:rsidRDefault="002B37E9" w:rsidP="002B37E9">
      <w:pPr>
        <w:pStyle w:val="Heading2"/>
        <w:rPr>
          <w:lang w:val="es-ES_tradnl"/>
        </w:rPr>
      </w:pPr>
      <w:bookmarkStart w:id="49" w:name="_Toc39157092"/>
      <w:r w:rsidRPr="00140923">
        <w:rPr>
          <w:lang w:val="es-ES_tradnl"/>
        </w:rPr>
        <w:t>4.</w:t>
      </w:r>
      <w:r w:rsidRPr="00140923">
        <w:rPr>
          <w:lang w:val="es-ES_tradnl" w:eastAsia="ja-JP"/>
        </w:rPr>
        <w:t>10</w:t>
      </w:r>
      <w:r w:rsidRPr="00140923">
        <w:rPr>
          <w:lang w:val="es-ES_tradnl"/>
        </w:rPr>
        <w:tab/>
        <w:t>Factor de ruido típico del receptor (dB)</w:t>
      </w:r>
      <w:bookmarkEnd w:id="49"/>
    </w:p>
    <w:p w14:paraId="464CA850" w14:textId="77777777" w:rsidR="002B37E9" w:rsidRPr="00140923" w:rsidRDefault="002B37E9" w:rsidP="002B37E9">
      <w:pPr>
        <w:rPr>
          <w:lang w:val="es-ES_tradnl"/>
        </w:rPr>
      </w:pPr>
      <w:r w:rsidRPr="00140923">
        <w:rPr>
          <w:lang w:val="es-ES_tradnl"/>
        </w:rPr>
        <w:t>El factor de ruido del receptor comprende las pérdidas en el filtro del receptor. La finalidad de este valor es mantener un equilibrio entre costos y eficacia para la aplicación (dependiente principalmente del balance del enlace requerido en el diseño del sistema).</w:t>
      </w:r>
    </w:p>
    <w:p w14:paraId="05E1E101" w14:textId="77777777" w:rsidR="002B37E9" w:rsidRPr="00140923" w:rsidRDefault="002B37E9" w:rsidP="002B37E9">
      <w:pPr>
        <w:pStyle w:val="Heading2"/>
        <w:ind w:left="0" w:firstLine="0"/>
        <w:rPr>
          <w:lang w:val="es-ES_tradnl"/>
        </w:rPr>
      </w:pPr>
      <w:bookmarkStart w:id="50" w:name="_Toc39157093"/>
      <w:r w:rsidRPr="00140923">
        <w:rPr>
          <w:lang w:val="es-ES_tradnl"/>
        </w:rPr>
        <w:t>4.</w:t>
      </w:r>
      <w:r w:rsidRPr="00140923">
        <w:rPr>
          <w:lang w:val="es-ES_tradnl" w:eastAsia="ja-JP"/>
        </w:rPr>
        <w:t>11</w:t>
      </w:r>
      <w:r w:rsidRPr="00140923">
        <w:rPr>
          <w:lang w:val="es-ES_tradnl"/>
        </w:rPr>
        <w:tab/>
        <w:t>Densidad de potencia de ruido típica del receptor (dBW/MHz)</w:t>
      </w:r>
      <w:bookmarkEnd w:id="50"/>
    </w:p>
    <w:p w14:paraId="458191F8" w14:textId="2D094F9C" w:rsidR="002B37E9" w:rsidRPr="00140923" w:rsidRDefault="002B37E9" w:rsidP="002B37E9">
      <w:pPr>
        <w:rPr>
          <w:lang w:val="es-ES_tradnl"/>
        </w:rPr>
      </w:pPr>
      <w:r w:rsidRPr="00140923">
        <w:rPr>
          <w:lang w:val="es-ES_tradnl" w:eastAsia="ja-JP"/>
        </w:rPr>
        <w:t xml:space="preserve">La </w:t>
      </w:r>
      <w:r w:rsidRPr="00140923">
        <w:rPr>
          <w:lang w:val="es-ES_tradnl"/>
        </w:rPr>
        <w:t xml:space="preserve">densidad de potencia de ruido típica del receptor </w:t>
      </w:r>
      <w:r w:rsidRPr="00140923">
        <w:rPr>
          <w:lang w:val="es-ES_tradnl" w:eastAsia="ja-JP"/>
        </w:rPr>
        <w:t>se obtiene a partir de la densidad de potencia del ruido térmico y se describe como</w:t>
      </w:r>
      <w:r w:rsidRPr="00140923">
        <w:rPr>
          <w:lang w:val="es-ES_tradnl"/>
        </w:rPr>
        <w:t xml:space="preserve">: </w:t>
      </w:r>
      <w:r w:rsidR="00B233F6" w:rsidRPr="00B233F6">
        <w:rPr>
          <w:lang w:val="es-ES_tradnl"/>
        </w:rPr>
        <w:t>−</w:t>
      </w:r>
      <w:r w:rsidRPr="00140923">
        <w:rPr>
          <w:lang w:val="es-ES_tradnl"/>
        </w:rPr>
        <w:t>144 dBW/MHz + valor del ruido</w:t>
      </w:r>
      <w:r w:rsidRPr="00140923">
        <w:rPr>
          <w:lang w:val="es-ES_tradnl" w:eastAsia="ja-JP"/>
        </w:rPr>
        <w:t>.</w:t>
      </w:r>
      <w:r w:rsidRPr="00140923">
        <w:rPr>
          <w:lang w:val="es-ES_tradnl"/>
        </w:rPr>
        <w:t xml:space="preserve"> La potencia absoluta de ruido del receptor se puede obtener sumando el factor de anchura de banda del ruido nominal = 10 log (separación entre canales, en MHz)).</w:t>
      </w:r>
    </w:p>
    <w:p w14:paraId="16C9B030" w14:textId="663132CC" w:rsidR="002B37E9" w:rsidRPr="00140923" w:rsidRDefault="002B37E9" w:rsidP="002B37E9">
      <w:pPr>
        <w:pStyle w:val="Heading2"/>
        <w:rPr>
          <w:lang w:val="es-ES_tradnl"/>
        </w:rPr>
      </w:pPr>
      <w:bookmarkStart w:id="51" w:name="_Toc39157094"/>
      <w:r w:rsidRPr="00140923">
        <w:rPr>
          <w:lang w:val="es-ES_tradnl"/>
        </w:rPr>
        <w:lastRenderedPageBreak/>
        <w:t>4.1</w:t>
      </w:r>
      <w:r w:rsidRPr="00140923">
        <w:rPr>
          <w:lang w:val="es-ES_tradnl" w:eastAsia="ja-JP"/>
        </w:rPr>
        <w:t>2</w:t>
      </w:r>
      <w:r w:rsidRPr="00140923">
        <w:rPr>
          <w:lang w:val="es-ES_tradnl"/>
        </w:rPr>
        <w:tab/>
        <w:t>Nivel de entrada normalizado del receptor para una BER de 1 </w:t>
      </w:r>
      <w:r w:rsidRPr="00140923">
        <w:rPr>
          <w:lang w:val="es-ES_tradnl"/>
        </w:rPr>
        <w:sym w:font="Symbol" w:char="F0B4"/>
      </w:r>
      <w:r w:rsidRPr="00140923">
        <w:rPr>
          <w:lang w:val="es-ES_tradnl"/>
        </w:rPr>
        <w:t> 10</w:t>
      </w:r>
      <w:r w:rsidR="00B233F6" w:rsidRPr="00B233F6">
        <w:rPr>
          <w:vertAlign w:val="superscript"/>
          <w:lang w:val="es-ES_tradnl"/>
        </w:rPr>
        <w:t>−</w:t>
      </w:r>
      <w:r w:rsidRPr="00140923">
        <w:rPr>
          <w:vertAlign w:val="superscript"/>
          <w:lang w:val="es-ES_tradnl"/>
        </w:rPr>
        <w:t>6</w:t>
      </w:r>
      <w:r w:rsidRPr="00140923">
        <w:rPr>
          <w:lang w:val="es-ES_tradnl"/>
        </w:rPr>
        <w:t xml:space="preserve"> (dBW/MHz)</w:t>
      </w:r>
      <w:bookmarkEnd w:id="51"/>
    </w:p>
    <w:p w14:paraId="5278D3CA" w14:textId="77777777" w:rsidR="002B37E9" w:rsidRPr="00140923" w:rsidRDefault="002B37E9" w:rsidP="002B37E9">
      <w:pPr>
        <w:rPr>
          <w:lang w:val="es-ES_tradnl"/>
        </w:rPr>
      </w:pPr>
      <w:r w:rsidRPr="00140923">
        <w:rPr>
          <w:lang w:val="es-ES_tradnl"/>
        </w:rPr>
        <w:t xml:space="preserve">El </w:t>
      </w:r>
      <w:r w:rsidRPr="00140923">
        <w:rPr>
          <w:szCs w:val="22"/>
          <w:lang w:val="es-ES_tradnl"/>
        </w:rPr>
        <w:t>nivel de entrada normalizado del receptor para una BER de</w:t>
      </w:r>
      <w:r w:rsidRPr="00140923">
        <w:rPr>
          <w:lang w:val="es-ES_tradnl"/>
        </w:rPr>
        <w:t xml:space="preserve"> 10</w:t>
      </w:r>
      <w:r w:rsidRPr="00140923">
        <w:rPr>
          <w:vertAlign w:val="superscript"/>
          <w:lang w:val="es-ES_tradnl"/>
        </w:rPr>
        <w:t>−6</w:t>
      </w:r>
      <w:r w:rsidRPr="00140923">
        <w:rPr>
          <w:lang w:val="es-ES_tradnl"/>
        </w:rPr>
        <w:t xml:space="preserve"> depende de la </w:t>
      </w:r>
      <w:r w:rsidRPr="00140923">
        <w:rPr>
          <w:i/>
          <w:lang w:val="es-ES_tradnl"/>
        </w:rPr>
        <w:t>S</w:t>
      </w:r>
      <w:r w:rsidRPr="00140923">
        <w:rPr>
          <w:lang w:val="es-ES_tradnl"/>
        </w:rPr>
        <w:t>/</w:t>
      </w:r>
      <w:r w:rsidRPr="00140923">
        <w:rPr>
          <w:i/>
          <w:lang w:val="es-ES_tradnl"/>
        </w:rPr>
        <w:t>N</w:t>
      </w:r>
      <w:r w:rsidRPr="00140923">
        <w:rPr>
          <w:lang w:val="es-ES_tradnl"/>
        </w:rPr>
        <w:t xml:space="preserve"> correspondiente para el formato de modulación real y de la anchura de banda de canal. Se puede obtener a partir de la densidad de potencia de ruido del receptor mediante la fórmula:</w:t>
      </w:r>
    </w:p>
    <w:p w14:paraId="0061C8A0" w14:textId="15A8B044" w:rsidR="002B37E9" w:rsidRPr="00140923" w:rsidRDefault="002B37E9" w:rsidP="002B37E9">
      <w:pPr>
        <w:rPr>
          <w:lang w:val="es-ES_tradnl"/>
        </w:rPr>
      </w:pPr>
      <w:r w:rsidRPr="00140923">
        <w:rPr>
          <w:lang w:val="es-ES_tradnl"/>
        </w:rPr>
        <w:t xml:space="preserve">Nivel de entrada normalizado del receptor (dBW/MHz) = Densidad de potencia de ruido del receptor (dBW/MHz) + </w:t>
      </w:r>
      <w:r w:rsidRPr="00140923">
        <w:rPr>
          <w:i/>
          <w:lang w:val="es-ES_tradnl"/>
        </w:rPr>
        <w:t>S</w:t>
      </w:r>
      <w:r w:rsidRPr="00140923">
        <w:rPr>
          <w:lang w:val="es-ES_tradnl"/>
        </w:rPr>
        <w:t>/</w:t>
      </w:r>
      <w:r w:rsidRPr="00140923">
        <w:rPr>
          <w:i/>
          <w:lang w:val="es-ES_tradnl"/>
        </w:rPr>
        <w:t>N</w:t>
      </w:r>
      <w:r w:rsidRPr="00140923">
        <w:rPr>
          <w:lang w:val="es-ES_tradnl"/>
        </w:rPr>
        <w:t xml:space="preserve"> (dB).</w:t>
      </w:r>
    </w:p>
    <w:p w14:paraId="425A463E" w14:textId="77777777" w:rsidR="002B37E9" w:rsidRPr="00140923" w:rsidRDefault="002B37E9" w:rsidP="002B37E9">
      <w:pPr>
        <w:rPr>
          <w:lang w:val="es-ES_tradnl"/>
        </w:rPr>
      </w:pPr>
      <w:r w:rsidRPr="00140923">
        <w:rPr>
          <w:lang w:val="es-ES_tradnl"/>
        </w:rPr>
        <w:t>El nivel real de entrada del receptor se obtiene añadiendo el factor de anchura de banda nominal del ruido = 10 log (separación entre canales, en MHz).</w:t>
      </w:r>
    </w:p>
    <w:p w14:paraId="1C458122" w14:textId="19D1A9B3" w:rsidR="002B37E9" w:rsidRPr="00664A5C" w:rsidRDefault="002B37E9" w:rsidP="002B37E9">
      <w:pPr>
        <w:rPr>
          <w:lang w:val="es-ES_tradnl"/>
        </w:rPr>
      </w:pPr>
      <w:r w:rsidRPr="00664A5C">
        <w:rPr>
          <w:lang w:val="es-ES_tradnl"/>
        </w:rPr>
        <w:t xml:space="preserve">En la Recomendación </w:t>
      </w:r>
      <w:hyperlink r:id="rId105" w:history="1">
        <w:r w:rsidRPr="00664A5C">
          <w:rPr>
            <w:rStyle w:val="Hyperlink"/>
            <w:color w:val="auto"/>
            <w:u w:val="none"/>
            <w:lang w:val="es-ES_tradnl"/>
          </w:rPr>
          <w:t>UIT-R F.1101</w:t>
        </w:r>
      </w:hyperlink>
      <w:r w:rsidRPr="00664A5C">
        <w:rPr>
          <w:lang w:val="es-ES_tradnl"/>
        </w:rPr>
        <w:t xml:space="preserve"> se recoge información sobre la relación </w:t>
      </w:r>
      <w:r w:rsidRPr="00664A5C">
        <w:rPr>
          <w:i/>
          <w:lang w:val="es-ES_tradnl"/>
        </w:rPr>
        <w:t>S</w:t>
      </w:r>
      <w:r w:rsidRPr="00664A5C">
        <w:rPr>
          <w:lang w:val="es-ES_tradnl"/>
        </w:rPr>
        <w:t>/</w:t>
      </w:r>
      <w:r w:rsidRPr="00664A5C">
        <w:rPr>
          <w:i/>
          <w:lang w:val="es-ES_tradnl"/>
        </w:rPr>
        <w:t>N</w:t>
      </w:r>
      <w:r w:rsidRPr="00664A5C">
        <w:rPr>
          <w:lang w:val="es-ES_tradnl"/>
        </w:rPr>
        <w:t xml:space="preserve"> teórica para diversos formatos de modulación, codificados y sin codificar. Cuando se dispone de datos sobre el valor típico esperado de </w:t>
      </w:r>
      <w:r w:rsidRPr="00664A5C">
        <w:rPr>
          <w:i/>
          <w:iCs/>
          <w:lang w:val="es-ES_tradnl" w:eastAsia="ja-JP"/>
        </w:rPr>
        <w:t>S</w:t>
      </w:r>
      <w:r w:rsidRPr="00664A5C">
        <w:rPr>
          <w:lang w:val="es-ES_tradnl" w:eastAsia="ja-JP"/>
        </w:rPr>
        <w:t>/</w:t>
      </w:r>
      <w:r w:rsidRPr="00664A5C">
        <w:rPr>
          <w:i/>
          <w:iCs/>
          <w:lang w:val="es-ES_tradnl" w:eastAsia="ja-JP"/>
        </w:rPr>
        <w:t>N</w:t>
      </w:r>
      <w:r w:rsidRPr="00664A5C">
        <w:rPr>
          <w:lang w:val="es-ES_tradnl" w:eastAsia="ja-JP"/>
        </w:rPr>
        <w:t xml:space="preserve">, incluida la ganancia de codificación, se indica en el Cuadro; en otros casos, los valores del Cuadro proceden de la Recomendación suponiendo que, en los sistemas actuales, la ganancia real de codificación recupera como mínimo las pérdidas de implementación. Cabe señalar que la Recomendación </w:t>
      </w:r>
      <w:hyperlink r:id="rId106" w:history="1">
        <w:r w:rsidR="00664A5C" w:rsidRPr="00664A5C">
          <w:rPr>
            <w:rStyle w:val="Hyperlink"/>
            <w:color w:val="auto"/>
            <w:u w:val="none"/>
            <w:lang w:val="es-ES_tradnl"/>
          </w:rPr>
          <w:t>UIT-R F.1101</w:t>
        </w:r>
      </w:hyperlink>
      <w:r w:rsidRPr="00664A5C">
        <w:rPr>
          <w:lang w:val="es-ES_tradnl" w:eastAsia="ja-JP"/>
        </w:rPr>
        <w:t xml:space="preserve"> se aplica a los sistemas del servicio fijo que operan por debajo de 17 GHz aproximadamente, tal y como se indica en el título de la Recomendación. Sin embargo, los valores teóricos de la </w:t>
      </w:r>
      <w:r w:rsidRPr="00664A5C">
        <w:rPr>
          <w:i/>
          <w:iCs/>
          <w:lang w:val="es-ES_tradnl" w:eastAsia="ja-JP"/>
        </w:rPr>
        <w:t>S</w:t>
      </w:r>
      <w:r w:rsidRPr="00B233F6">
        <w:rPr>
          <w:lang w:val="es-ES_tradnl" w:eastAsia="ja-JP"/>
        </w:rPr>
        <w:t>/</w:t>
      </w:r>
      <w:r w:rsidRPr="00664A5C">
        <w:rPr>
          <w:i/>
          <w:iCs/>
          <w:lang w:val="es-ES_tradnl" w:eastAsia="ja-JP"/>
        </w:rPr>
        <w:t>N</w:t>
      </w:r>
      <w:r w:rsidRPr="00664A5C">
        <w:rPr>
          <w:lang w:val="es-ES_tradnl" w:eastAsia="ja-JP"/>
        </w:rPr>
        <w:t xml:space="preserve"> que figuran en la Recomendación </w:t>
      </w:r>
      <w:hyperlink r:id="rId107" w:history="1">
        <w:r w:rsidR="00664A5C" w:rsidRPr="00664A5C">
          <w:rPr>
            <w:rStyle w:val="Hyperlink"/>
            <w:color w:val="auto"/>
            <w:u w:val="none"/>
            <w:lang w:val="es-ES_tradnl"/>
          </w:rPr>
          <w:t>UIT-R F.1101</w:t>
        </w:r>
      </w:hyperlink>
      <w:r w:rsidRPr="00664A5C">
        <w:rPr>
          <w:lang w:val="es-ES_tradnl" w:eastAsia="ja-JP"/>
        </w:rPr>
        <w:t xml:space="preserve"> pueden aplicarse a los sistemas del servicio fijo que operan por encima de 17 GHz.</w:t>
      </w:r>
    </w:p>
    <w:p w14:paraId="3177B797" w14:textId="77777777" w:rsidR="002B37E9" w:rsidRPr="00140923" w:rsidRDefault="002B37E9" w:rsidP="002B37E9">
      <w:pPr>
        <w:pStyle w:val="Heading2"/>
        <w:rPr>
          <w:lang w:val="es-ES_tradnl"/>
        </w:rPr>
      </w:pPr>
      <w:bookmarkStart w:id="52" w:name="_Toc39157095"/>
      <w:r w:rsidRPr="00140923">
        <w:rPr>
          <w:lang w:val="es-ES_tradnl"/>
        </w:rPr>
        <w:t>4.1</w:t>
      </w:r>
      <w:r w:rsidRPr="00140923">
        <w:rPr>
          <w:lang w:val="es-ES_tradnl" w:eastAsia="ja-JP"/>
        </w:rPr>
        <w:t>3</w:t>
      </w:r>
      <w:r w:rsidRPr="00140923">
        <w:rPr>
          <w:lang w:val="es-ES_tradnl"/>
        </w:rPr>
        <w:tab/>
        <w:t>Densidad de potencia de interferencia a largo plazo nominal (dBW/MHz)</w:t>
      </w:r>
      <w:bookmarkEnd w:id="52"/>
    </w:p>
    <w:p w14:paraId="58CAE536" w14:textId="1B3C6323" w:rsidR="002B37E9" w:rsidRPr="00140923" w:rsidRDefault="002B37E9" w:rsidP="002B37E9">
      <w:pPr>
        <w:spacing w:line="300" w:lineRule="exact"/>
        <w:rPr>
          <w:lang w:val="es-ES_tradnl" w:eastAsia="ja-JP"/>
        </w:rPr>
      </w:pPr>
      <w:r w:rsidRPr="00140923">
        <w:rPr>
          <w:lang w:val="es-ES_tradnl"/>
        </w:rPr>
        <w:t xml:space="preserve">La </w:t>
      </w:r>
      <w:r w:rsidRPr="00140923">
        <w:rPr>
          <w:szCs w:val="22"/>
          <w:lang w:val="es-ES_tradnl"/>
        </w:rPr>
        <w:t>densidad de potencia de interferencia a largo plazo que figura en los Cuadros </w:t>
      </w:r>
      <w:r w:rsidRPr="00140923">
        <w:rPr>
          <w:lang w:val="es-ES_tradnl" w:eastAsia="ja-JP"/>
        </w:rPr>
        <w:t xml:space="preserve">6 a 14 </w:t>
      </w:r>
      <w:r w:rsidRPr="00140923">
        <w:rPr>
          <w:szCs w:val="22"/>
          <w:lang w:val="es-ES_tradnl"/>
        </w:rPr>
        <w:t>en los Cuadros</w:t>
      </w:r>
      <w:r w:rsidRPr="00140923">
        <w:rPr>
          <w:lang w:val="es-ES_tradnl" w:eastAsia="ja-JP"/>
        </w:rPr>
        <w:t> </w:t>
      </w:r>
      <w:r w:rsidRPr="00140923">
        <w:rPr>
          <w:lang w:val="es-ES_tradnl"/>
        </w:rPr>
        <w:t>1</w:t>
      </w:r>
      <w:r w:rsidRPr="00140923">
        <w:rPr>
          <w:lang w:val="es-ES_tradnl" w:eastAsia="ja-JP"/>
        </w:rPr>
        <w:t>6</w:t>
      </w:r>
      <w:r w:rsidRPr="00140923">
        <w:rPr>
          <w:lang w:val="es-ES_tradnl"/>
        </w:rPr>
        <w:t xml:space="preserve"> </w:t>
      </w:r>
      <w:r w:rsidRPr="00140923">
        <w:rPr>
          <w:lang w:val="es-ES_tradnl" w:eastAsia="ja-JP"/>
        </w:rPr>
        <w:t xml:space="preserve">a 19 es igual a </w:t>
      </w:r>
      <w:r w:rsidRPr="00140923">
        <w:rPr>
          <w:i/>
          <w:iCs/>
          <w:lang w:val="es-ES_tradnl"/>
        </w:rPr>
        <w:t>N</w:t>
      </w:r>
      <w:r w:rsidRPr="00140923">
        <w:rPr>
          <w:i/>
          <w:iCs/>
          <w:vertAlign w:val="subscript"/>
          <w:lang w:val="es-ES_tradnl"/>
        </w:rPr>
        <w:t>RX</w:t>
      </w:r>
      <w:r w:rsidRPr="00140923">
        <w:rPr>
          <w:lang w:val="es-ES_tradnl"/>
        </w:rPr>
        <w:t> + </w:t>
      </w:r>
      <w:r w:rsidRPr="00140923">
        <w:rPr>
          <w:i/>
          <w:iCs/>
          <w:lang w:val="es-ES_tradnl"/>
        </w:rPr>
        <w:t>I</w:t>
      </w:r>
      <w:r w:rsidRPr="00140923">
        <w:rPr>
          <w:lang w:val="es-ES_tradnl"/>
        </w:rPr>
        <w:t>/</w:t>
      </w:r>
      <w:r w:rsidRPr="00140923">
        <w:rPr>
          <w:i/>
          <w:iCs/>
          <w:lang w:val="es-ES_tradnl"/>
        </w:rPr>
        <w:t>N</w:t>
      </w:r>
      <w:r w:rsidRPr="00140923">
        <w:rPr>
          <w:lang w:val="es-ES_tradnl"/>
        </w:rPr>
        <w:t xml:space="preserve">. La finalidad de este valor es indicar un punto de partida para los estudios de compartición o compatibilidad. Aunque se dispone de un valor de </w:t>
      </w:r>
      <w:r w:rsidRPr="00140923">
        <w:rPr>
          <w:i/>
          <w:iCs/>
          <w:lang w:val="es-ES_tradnl"/>
        </w:rPr>
        <w:t>N</w:t>
      </w:r>
      <w:r w:rsidRPr="00140923">
        <w:rPr>
          <w:i/>
          <w:iCs/>
          <w:vertAlign w:val="subscript"/>
          <w:lang w:val="es-ES_tradnl"/>
        </w:rPr>
        <w:t>RX</w:t>
      </w:r>
      <w:r w:rsidRPr="00140923">
        <w:rPr>
          <w:lang w:val="es-ES_tradnl"/>
        </w:rPr>
        <w:t xml:space="preserve"> en la segunda fila por encima de esta entrada en cada columna de estos cuadros, el valor adecuado de </w:t>
      </w:r>
      <w:r w:rsidRPr="00140923">
        <w:rPr>
          <w:i/>
          <w:iCs/>
          <w:lang w:val="es-ES_tradnl"/>
        </w:rPr>
        <w:t>I</w:t>
      </w:r>
      <w:r w:rsidRPr="00140923">
        <w:rPr>
          <w:lang w:val="es-ES_tradnl"/>
        </w:rPr>
        <w:t>/</w:t>
      </w:r>
      <w:r w:rsidRPr="00140923">
        <w:rPr>
          <w:i/>
          <w:iCs/>
          <w:lang w:val="es-ES_tradnl"/>
        </w:rPr>
        <w:t>N</w:t>
      </w:r>
      <w:r w:rsidRPr="00140923">
        <w:rPr>
          <w:lang w:val="es-ES_tradnl"/>
        </w:rPr>
        <w:t xml:space="preserve"> depende de la banda de frecuencias y las condiciones de compartición o compatibilidad, según se muestra más adelante en el Cuadro 5. En la mayoría de los casos se ha utilizado en el pasado un valor combinado de </w:t>
      </w:r>
      <w:r w:rsidR="00664A5C" w:rsidRPr="00664A5C">
        <w:rPr>
          <w:lang w:val="es-ES_tradnl"/>
        </w:rPr>
        <w:t>−</w:t>
      </w:r>
      <w:r w:rsidRPr="00140923">
        <w:rPr>
          <w:lang w:val="es-ES_tradnl"/>
        </w:rPr>
        <w:t>10 dB</w:t>
      </w:r>
      <w:r w:rsidRPr="00140923">
        <w:rPr>
          <w:lang w:val="es-ES_tradnl" w:eastAsia="ja-JP"/>
        </w:rPr>
        <w:t xml:space="preserve"> para condiciones de compartición con un servicio coprimario; sin embargo, también se han utilizado o elaborado otros valores en los estudios de compartición y compatibilidad en distintos entornos de interferencia</w:t>
      </w:r>
      <w:r w:rsidRPr="00140923">
        <w:rPr>
          <w:lang w:val="es-ES_tradnl"/>
        </w:rPr>
        <w:t xml:space="preserve">. </w:t>
      </w:r>
    </w:p>
    <w:p w14:paraId="7AC81BC9" w14:textId="4EE2C3E5" w:rsidR="002B37E9" w:rsidRPr="00140923" w:rsidRDefault="002B37E9" w:rsidP="002B37E9">
      <w:pPr>
        <w:rPr>
          <w:lang w:val="es-ES_tradnl"/>
        </w:rPr>
      </w:pPr>
      <w:r w:rsidRPr="00140923">
        <w:rPr>
          <w:lang w:val="es-ES_tradnl" w:eastAsia="ja-JP"/>
        </w:rPr>
        <w:t xml:space="preserve">En algunos casos de compartición coprimaria en bandas inferiores a 3 GHz se ha utilizado un valor de </w:t>
      </w:r>
      <w:r w:rsidR="00664A5C" w:rsidRPr="00664A5C">
        <w:rPr>
          <w:lang w:val="es-ES_tradnl" w:eastAsia="ja-JP"/>
        </w:rPr>
        <w:t>−</w:t>
      </w:r>
      <w:r w:rsidRPr="00140923">
        <w:rPr>
          <w:lang w:val="es-ES_tradnl" w:eastAsia="ja-JP"/>
        </w:rPr>
        <w:t xml:space="preserve">6 dB. Además, se ofrece más orientación para estudios de compartición en relación con más de un servicio coprimario; en el Cuadro </w:t>
      </w:r>
      <w:r w:rsidRPr="00140923">
        <w:rPr>
          <w:lang w:val="es-ES_tradnl"/>
        </w:rPr>
        <w:t xml:space="preserve">4 se ofrece orientación sobre la elección de los valores de </w:t>
      </w:r>
      <w:r w:rsidRPr="00140923">
        <w:rPr>
          <w:i/>
          <w:iCs/>
          <w:lang w:val="es-ES_tradnl"/>
        </w:rPr>
        <w:t>I</w:t>
      </w:r>
      <w:r w:rsidRPr="00140923">
        <w:rPr>
          <w:lang w:val="es-ES_tradnl"/>
        </w:rPr>
        <w:t>/</w:t>
      </w:r>
      <w:r w:rsidRPr="00140923">
        <w:rPr>
          <w:i/>
          <w:iCs/>
          <w:lang w:val="es-ES_tradnl"/>
        </w:rPr>
        <w:t>N</w:t>
      </w:r>
      <w:r w:rsidRPr="00140923">
        <w:rPr>
          <w:lang w:val="es-ES_tradnl"/>
        </w:rPr>
        <w:t xml:space="preserve"> para su uso en la determinación de una densidad de potencia de interferencia adecuada a largo plazo.</w:t>
      </w:r>
    </w:p>
    <w:p w14:paraId="69DEDFAF" w14:textId="77777777" w:rsidR="002B37E9" w:rsidRPr="00140923" w:rsidRDefault="002B37E9" w:rsidP="00664A5C">
      <w:pPr>
        <w:pStyle w:val="TableNo"/>
        <w:keepNext w:val="0"/>
        <w:rPr>
          <w:rFonts w:ascii="MS Mincho"/>
          <w:lang w:val="es-ES_tradnl" w:eastAsia="ja-JP"/>
        </w:rPr>
      </w:pPr>
      <w:r w:rsidRPr="00140923">
        <w:rPr>
          <w:lang w:val="es-ES_tradnl"/>
        </w:rPr>
        <w:t>CUADRO 5</w:t>
      </w:r>
    </w:p>
    <w:p w14:paraId="26382B8B" w14:textId="77777777" w:rsidR="002B37E9" w:rsidRPr="00140923" w:rsidRDefault="002B37E9" w:rsidP="00664A5C">
      <w:pPr>
        <w:pStyle w:val="Tabletitle"/>
        <w:keepNext w:val="0"/>
        <w:rPr>
          <w:lang w:val="es-ES_tradnl"/>
        </w:rPr>
      </w:pPr>
      <w:r w:rsidRPr="00140923">
        <w:rPr>
          <w:lang w:val="es-ES_tradnl" w:eastAsia="ja-JP"/>
        </w:rPr>
        <w:t xml:space="preserve">Orientación sobre la elección de valores de </w:t>
      </w:r>
      <w:r w:rsidRPr="00140923">
        <w:rPr>
          <w:i/>
          <w:iCs/>
          <w:lang w:val="es-ES_tradnl"/>
        </w:rPr>
        <w:t>I</w:t>
      </w:r>
      <w:r w:rsidRPr="00140923">
        <w:rPr>
          <w:lang w:val="es-ES_tradnl"/>
        </w:rPr>
        <w:t>/</w:t>
      </w:r>
      <w:r w:rsidRPr="00140923">
        <w:rPr>
          <w:i/>
          <w:iCs/>
          <w:lang w:val="es-ES_tradnl"/>
        </w:rPr>
        <w:t>N</w:t>
      </w:r>
      <w:r w:rsidRPr="00140923">
        <w:rPr>
          <w:lang w:val="es-ES_tradnl"/>
        </w:rPr>
        <w:br/>
        <w:t>para la interferencia a largo plazo</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2127"/>
        <w:gridCol w:w="2525"/>
        <w:gridCol w:w="3915"/>
      </w:tblGrid>
      <w:tr w:rsidR="002B37E9" w:rsidRPr="00140923" w14:paraId="567040D4" w14:textId="77777777" w:rsidTr="00664A5C">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3EB4DB5" w14:textId="77777777" w:rsidR="002B37E9" w:rsidRPr="00140923" w:rsidRDefault="002B37E9" w:rsidP="00664A5C">
            <w:pPr>
              <w:pStyle w:val="Tablehead"/>
              <w:keepNext w:val="0"/>
              <w:rPr>
                <w:lang w:val="es-ES_tradnl"/>
              </w:rPr>
            </w:pPr>
            <w:r w:rsidRPr="00140923">
              <w:rPr>
                <w:i/>
                <w:iCs/>
                <w:lang w:val="es-ES_tradnl"/>
              </w:rPr>
              <w:t>I</w:t>
            </w:r>
            <w:r w:rsidRPr="00140923">
              <w:rPr>
                <w:lang w:val="es-ES_tradnl"/>
              </w:rPr>
              <w:t>/</w:t>
            </w:r>
            <w:r w:rsidRPr="00140923">
              <w:rPr>
                <w:i/>
                <w:iCs/>
                <w:lang w:val="es-ES_tradnl"/>
              </w:rPr>
              <w:t>N</w:t>
            </w:r>
            <w:r w:rsidRPr="00140923">
              <w:rPr>
                <w:rFonts w:ascii="Times New Roman Bold" w:hAnsi="Times New Roman Bold" w:cs="Times New Roman Bold"/>
                <w:i/>
                <w:iCs/>
                <w:sz w:val="8"/>
                <w:szCs w:val="8"/>
                <w:lang w:val="es-ES_tradnl"/>
              </w:rPr>
              <w:t xml:space="preserve"> </w:t>
            </w:r>
            <w:r w:rsidRPr="00140923">
              <w:rPr>
                <w:vertAlign w:val="superscript"/>
                <w:lang w:val="es-ES_tradn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5110D45" w14:textId="77777777" w:rsidR="002B37E9" w:rsidRPr="00140923" w:rsidRDefault="002B37E9" w:rsidP="00664A5C">
            <w:pPr>
              <w:pStyle w:val="Tablehead"/>
              <w:keepNext w:val="0"/>
              <w:rPr>
                <w:lang w:val="es-ES_tradnl"/>
              </w:rPr>
            </w:pPr>
            <w:r w:rsidRPr="00140923">
              <w:rPr>
                <w:lang w:val="es-ES_tradnl"/>
              </w:rPr>
              <w:t>Gama de frecuencias</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A36D4D9" w14:textId="77777777" w:rsidR="002B37E9" w:rsidRPr="00140923" w:rsidRDefault="002B37E9" w:rsidP="00664A5C">
            <w:pPr>
              <w:pStyle w:val="Tablehead"/>
              <w:keepNext w:val="0"/>
              <w:rPr>
                <w:lang w:val="es-ES_tradnl"/>
              </w:rPr>
            </w:pPr>
            <w:r w:rsidRPr="00140923">
              <w:rPr>
                <w:lang w:val="es-ES_tradnl"/>
              </w:rPr>
              <w:t>Condiciones de compartición/</w:t>
            </w:r>
            <w:r w:rsidRPr="00140923">
              <w:rPr>
                <w:lang w:val="es-ES_tradnl"/>
              </w:rPr>
              <w:br/>
              <w:t>compatibilidad</w:t>
            </w:r>
            <w:r w:rsidRPr="00140923">
              <w:rPr>
                <w:vertAlign w:val="superscript"/>
                <w:lang w:val="es-ES_tradnl" w:eastAsia="ja-JP"/>
              </w:rPr>
              <w:t>(2)</w:t>
            </w:r>
          </w:p>
        </w:tc>
        <w:tc>
          <w:tcPr>
            <w:tcW w:w="3915" w:type="dxa"/>
            <w:tcBorders>
              <w:top w:val="single" w:sz="4" w:space="0" w:color="auto"/>
              <w:left w:val="single" w:sz="4" w:space="0" w:color="auto"/>
              <w:bottom w:val="single" w:sz="4" w:space="0" w:color="auto"/>
              <w:right w:val="single" w:sz="4" w:space="0" w:color="auto"/>
            </w:tcBorders>
            <w:vAlign w:val="center"/>
            <w:hideMark/>
          </w:tcPr>
          <w:p w14:paraId="24907F4C" w14:textId="77777777" w:rsidR="002B37E9" w:rsidRPr="00140923" w:rsidRDefault="002B37E9" w:rsidP="00664A5C">
            <w:pPr>
              <w:pStyle w:val="Tablehead"/>
              <w:keepNext w:val="0"/>
              <w:rPr>
                <w:lang w:val="es-ES_tradnl"/>
              </w:rPr>
            </w:pPr>
            <w:r w:rsidRPr="00140923">
              <w:rPr>
                <w:lang w:val="es-ES_tradnl"/>
              </w:rPr>
              <w:t>Observaciones y</w:t>
            </w:r>
            <w:r w:rsidRPr="00140923">
              <w:rPr>
                <w:lang w:val="es-ES_tradnl"/>
              </w:rPr>
              <w:br/>
              <w:t>Recomendaciones UIT-R</w:t>
            </w:r>
            <w:r w:rsidRPr="00140923">
              <w:rPr>
                <w:lang w:val="es-ES_tradnl"/>
              </w:rPr>
              <w:br/>
              <w:t>pertinentes</w:t>
            </w:r>
          </w:p>
        </w:tc>
      </w:tr>
      <w:tr w:rsidR="002B37E9" w:rsidRPr="00140923" w14:paraId="46B4224C" w14:textId="77777777" w:rsidTr="00664A5C">
        <w:trPr>
          <w:trHeight w:val="624"/>
          <w:jc w:val="center"/>
        </w:trPr>
        <w:tc>
          <w:tcPr>
            <w:tcW w:w="1078" w:type="dxa"/>
            <w:tcBorders>
              <w:top w:val="single" w:sz="4" w:space="0" w:color="auto"/>
              <w:left w:val="single" w:sz="4" w:space="0" w:color="auto"/>
              <w:bottom w:val="single" w:sz="4" w:space="0" w:color="auto"/>
              <w:right w:val="single" w:sz="4" w:space="0" w:color="auto"/>
            </w:tcBorders>
            <w:hideMark/>
          </w:tcPr>
          <w:p w14:paraId="2B73E407" w14:textId="4980CBB9" w:rsidR="002B37E9" w:rsidRPr="00140923" w:rsidRDefault="00B233F6" w:rsidP="00664A5C">
            <w:pPr>
              <w:pStyle w:val="Tabletext"/>
              <w:jc w:val="center"/>
              <w:rPr>
                <w:lang w:val="es-ES_tradnl"/>
              </w:rPr>
            </w:pPr>
            <w:r w:rsidRPr="00B233F6">
              <w:rPr>
                <w:lang w:val="es-ES_tradnl"/>
              </w:rPr>
              <w:t>−</w:t>
            </w:r>
            <w:r w:rsidR="002B37E9" w:rsidRPr="00140923">
              <w:rPr>
                <w:lang w:val="es-ES_tradnl"/>
              </w:rPr>
              <w:t>6 dB</w:t>
            </w:r>
          </w:p>
        </w:tc>
        <w:tc>
          <w:tcPr>
            <w:tcW w:w="2127" w:type="dxa"/>
            <w:tcBorders>
              <w:top w:val="single" w:sz="4" w:space="0" w:color="auto"/>
              <w:left w:val="single" w:sz="4" w:space="0" w:color="auto"/>
              <w:bottom w:val="single" w:sz="4" w:space="0" w:color="auto"/>
              <w:right w:val="single" w:sz="4" w:space="0" w:color="auto"/>
            </w:tcBorders>
            <w:hideMark/>
          </w:tcPr>
          <w:p w14:paraId="17FFA04F" w14:textId="77777777" w:rsidR="002B37E9" w:rsidRPr="00140923" w:rsidRDefault="002B37E9" w:rsidP="00664A5C">
            <w:pPr>
              <w:pStyle w:val="Tabletext"/>
              <w:jc w:val="center"/>
              <w:rPr>
                <w:lang w:val="es-ES_tradnl"/>
              </w:rPr>
            </w:pPr>
            <w:r w:rsidRPr="00140923">
              <w:rPr>
                <w:lang w:val="es-ES_tradnl"/>
              </w:rPr>
              <w:t>30 MHz a 3 GHz</w:t>
            </w:r>
          </w:p>
        </w:tc>
        <w:tc>
          <w:tcPr>
            <w:tcW w:w="2525" w:type="dxa"/>
            <w:vMerge w:val="restart"/>
            <w:tcBorders>
              <w:top w:val="single" w:sz="4" w:space="0" w:color="auto"/>
              <w:left w:val="single" w:sz="4" w:space="0" w:color="auto"/>
              <w:bottom w:val="single" w:sz="4" w:space="0" w:color="auto"/>
              <w:right w:val="single" w:sz="4" w:space="0" w:color="auto"/>
            </w:tcBorders>
            <w:hideMark/>
          </w:tcPr>
          <w:p w14:paraId="44B5C047" w14:textId="77777777" w:rsidR="002B37E9" w:rsidRPr="00140923" w:rsidRDefault="002B37E9" w:rsidP="00664A5C">
            <w:pPr>
              <w:pStyle w:val="Tabletext"/>
              <w:ind w:right="-113"/>
              <w:jc w:val="left"/>
              <w:rPr>
                <w:lang w:val="es-ES_tradnl"/>
              </w:rPr>
            </w:pPr>
            <w:r w:rsidRPr="00140923">
              <w:rPr>
                <w:lang w:val="es-ES_tradnl"/>
              </w:rPr>
              <w:t>Condición de compartición excepto cuando se indica en otra parte del presente Cuadro</w:t>
            </w:r>
          </w:p>
        </w:tc>
        <w:tc>
          <w:tcPr>
            <w:tcW w:w="3915" w:type="dxa"/>
            <w:vMerge w:val="restart"/>
            <w:tcBorders>
              <w:top w:val="single" w:sz="4" w:space="0" w:color="auto"/>
              <w:left w:val="single" w:sz="4" w:space="0" w:color="auto"/>
              <w:bottom w:val="single" w:sz="4" w:space="0" w:color="auto"/>
              <w:right w:val="single" w:sz="4" w:space="0" w:color="auto"/>
            </w:tcBorders>
            <w:hideMark/>
          </w:tcPr>
          <w:p w14:paraId="0B9E4BDF" w14:textId="77777777" w:rsidR="002B37E9" w:rsidRPr="00140923" w:rsidRDefault="002B37E9" w:rsidP="00664A5C">
            <w:pPr>
              <w:pStyle w:val="Tabletext"/>
              <w:jc w:val="left"/>
              <w:rPr>
                <w:lang w:val="es-ES_tradnl"/>
              </w:rPr>
            </w:pPr>
            <w:r w:rsidRPr="00140923">
              <w:rPr>
                <w:lang w:val="es-ES_tradnl"/>
              </w:rPr>
              <w:t>Valor generalmente aplicable para la interferencia combinada.</w:t>
            </w:r>
          </w:p>
          <w:p w14:paraId="52D168F3" w14:textId="77777777" w:rsidR="002B37E9" w:rsidRPr="00140923" w:rsidRDefault="002B37E9" w:rsidP="00664A5C">
            <w:pPr>
              <w:pStyle w:val="Tabletext"/>
              <w:jc w:val="left"/>
              <w:rPr>
                <w:lang w:val="es-ES_tradnl"/>
              </w:rPr>
            </w:pPr>
            <w:r w:rsidRPr="00140923">
              <w:rPr>
                <w:lang w:val="es-ES_tradnl"/>
              </w:rPr>
              <w:t>Véanse las Recomendaciones pertinentes en el Cuadro 1.</w:t>
            </w:r>
          </w:p>
        </w:tc>
      </w:tr>
      <w:tr w:rsidR="002B37E9" w:rsidRPr="00140923" w14:paraId="1B929116" w14:textId="77777777" w:rsidTr="00664A5C">
        <w:trPr>
          <w:jc w:val="center"/>
        </w:trPr>
        <w:tc>
          <w:tcPr>
            <w:tcW w:w="1078" w:type="dxa"/>
            <w:tcBorders>
              <w:top w:val="single" w:sz="4" w:space="0" w:color="auto"/>
              <w:left w:val="single" w:sz="4" w:space="0" w:color="auto"/>
              <w:bottom w:val="single" w:sz="4" w:space="0" w:color="auto"/>
              <w:right w:val="single" w:sz="4" w:space="0" w:color="auto"/>
            </w:tcBorders>
            <w:hideMark/>
          </w:tcPr>
          <w:p w14:paraId="0794864B" w14:textId="421A215A" w:rsidR="002B37E9" w:rsidRPr="00140923" w:rsidRDefault="00664A5C" w:rsidP="00664A5C">
            <w:pPr>
              <w:pStyle w:val="Tabletext"/>
              <w:jc w:val="center"/>
              <w:rPr>
                <w:lang w:val="es-ES_tradnl"/>
              </w:rPr>
            </w:pPr>
            <w:r w:rsidRPr="00664A5C">
              <w:rPr>
                <w:lang w:val="es-ES_tradnl"/>
              </w:rPr>
              <w:t>−</w:t>
            </w:r>
            <w:r w:rsidR="002B37E9" w:rsidRPr="00140923">
              <w:rPr>
                <w:lang w:val="es-ES_tradnl"/>
              </w:rPr>
              <w:t>10 dB</w:t>
            </w:r>
          </w:p>
        </w:tc>
        <w:tc>
          <w:tcPr>
            <w:tcW w:w="2127" w:type="dxa"/>
            <w:tcBorders>
              <w:top w:val="single" w:sz="4" w:space="0" w:color="auto"/>
              <w:left w:val="single" w:sz="4" w:space="0" w:color="auto"/>
              <w:bottom w:val="single" w:sz="4" w:space="0" w:color="auto"/>
              <w:right w:val="single" w:sz="4" w:space="0" w:color="auto"/>
            </w:tcBorders>
            <w:hideMark/>
          </w:tcPr>
          <w:p w14:paraId="67F0A610" w14:textId="77777777" w:rsidR="002B37E9" w:rsidRPr="00140923" w:rsidRDefault="002B37E9" w:rsidP="00664A5C">
            <w:pPr>
              <w:pStyle w:val="Tabletext"/>
              <w:jc w:val="center"/>
              <w:rPr>
                <w:lang w:val="es-ES_tradnl"/>
              </w:rPr>
            </w:pPr>
            <w:r w:rsidRPr="00140923">
              <w:rPr>
                <w:lang w:val="es-ES_tradnl"/>
              </w:rPr>
              <w:t>Por encima de 3 GHz</w:t>
            </w:r>
          </w:p>
        </w:tc>
        <w:tc>
          <w:tcPr>
            <w:tcW w:w="2525" w:type="dxa"/>
            <w:vMerge/>
            <w:tcBorders>
              <w:top w:val="single" w:sz="4" w:space="0" w:color="auto"/>
              <w:left w:val="single" w:sz="4" w:space="0" w:color="auto"/>
              <w:bottom w:val="single" w:sz="4" w:space="0" w:color="auto"/>
              <w:right w:val="single" w:sz="4" w:space="0" w:color="auto"/>
            </w:tcBorders>
            <w:vAlign w:val="center"/>
            <w:hideMark/>
          </w:tcPr>
          <w:p w14:paraId="161FA435" w14:textId="77777777" w:rsidR="002B37E9" w:rsidRPr="00140923" w:rsidRDefault="002B37E9" w:rsidP="00664A5C">
            <w:pPr>
              <w:tabs>
                <w:tab w:val="clear" w:pos="794"/>
                <w:tab w:val="clear" w:pos="1191"/>
                <w:tab w:val="clear" w:pos="1588"/>
                <w:tab w:val="clear" w:pos="1985"/>
              </w:tabs>
              <w:overflowPunct/>
              <w:autoSpaceDE/>
              <w:autoSpaceDN/>
              <w:adjustRightInd/>
              <w:spacing w:before="40" w:after="40"/>
              <w:jc w:val="left"/>
              <w:rPr>
                <w:sz w:val="22"/>
                <w:lang w:val="es-ES_tradnl"/>
              </w:rPr>
            </w:pPr>
          </w:p>
        </w:tc>
        <w:tc>
          <w:tcPr>
            <w:tcW w:w="3915" w:type="dxa"/>
            <w:vMerge/>
            <w:tcBorders>
              <w:top w:val="single" w:sz="4" w:space="0" w:color="auto"/>
              <w:left w:val="single" w:sz="4" w:space="0" w:color="auto"/>
              <w:bottom w:val="single" w:sz="4" w:space="0" w:color="auto"/>
              <w:right w:val="single" w:sz="4" w:space="0" w:color="auto"/>
            </w:tcBorders>
            <w:vAlign w:val="center"/>
            <w:hideMark/>
          </w:tcPr>
          <w:p w14:paraId="56EB4A69" w14:textId="77777777" w:rsidR="002B37E9" w:rsidRPr="00140923" w:rsidRDefault="002B37E9" w:rsidP="00664A5C">
            <w:pPr>
              <w:tabs>
                <w:tab w:val="clear" w:pos="794"/>
                <w:tab w:val="clear" w:pos="1191"/>
                <w:tab w:val="clear" w:pos="1588"/>
                <w:tab w:val="clear" w:pos="1985"/>
              </w:tabs>
              <w:overflowPunct/>
              <w:autoSpaceDE/>
              <w:autoSpaceDN/>
              <w:adjustRightInd/>
              <w:spacing w:before="40" w:after="40"/>
              <w:jc w:val="left"/>
              <w:rPr>
                <w:sz w:val="22"/>
                <w:lang w:val="es-ES_tradnl"/>
              </w:rPr>
            </w:pPr>
          </w:p>
        </w:tc>
      </w:tr>
    </w:tbl>
    <w:p w14:paraId="1797B29C" w14:textId="1AC54B15" w:rsidR="00664A5C" w:rsidRPr="00140923" w:rsidRDefault="00664A5C" w:rsidP="00664A5C">
      <w:pPr>
        <w:pStyle w:val="TableNo"/>
        <w:keepLines/>
        <w:rPr>
          <w:rFonts w:ascii="MS Mincho"/>
          <w:lang w:val="es-ES_tradnl" w:eastAsia="ja-JP"/>
        </w:rPr>
      </w:pPr>
      <w:r w:rsidRPr="00140923">
        <w:rPr>
          <w:lang w:val="es-ES_tradnl"/>
        </w:rPr>
        <w:lastRenderedPageBreak/>
        <w:t>CUADRO 5</w:t>
      </w:r>
      <w:r>
        <w:rPr>
          <w:lang w:val="es-ES_tradnl"/>
        </w:rPr>
        <w:t xml:space="preserve"> (</w:t>
      </w:r>
      <w:r w:rsidRPr="00664A5C">
        <w:rPr>
          <w:i/>
          <w:iCs/>
          <w:lang w:val="es-ES_tradnl"/>
        </w:rPr>
        <w:t>fin</w:t>
      </w:r>
      <w:r>
        <w:rPr>
          <w:lang w:val="es-ES_tradnl"/>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2127"/>
        <w:gridCol w:w="2525"/>
        <w:gridCol w:w="3915"/>
      </w:tblGrid>
      <w:tr w:rsidR="00664A5C" w:rsidRPr="00140923" w14:paraId="7CDEAB4E" w14:textId="77777777" w:rsidTr="00F15E98">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D5A3AED" w14:textId="77777777" w:rsidR="00664A5C" w:rsidRPr="00140923" w:rsidRDefault="00664A5C" w:rsidP="00664A5C">
            <w:pPr>
              <w:pStyle w:val="Tablehead"/>
              <w:keepLines/>
              <w:rPr>
                <w:lang w:val="es-ES_tradnl"/>
              </w:rPr>
            </w:pPr>
            <w:r w:rsidRPr="00140923">
              <w:rPr>
                <w:i/>
                <w:iCs/>
                <w:lang w:val="es-ES_tradnl"/>
              </w:rPr>
              <w:t>I</w:t>
            </w:r>
            <w:r w:rsidRPr="00140923">
              <w:rPr>
                <w:lang w:val="es-ES_tradnl"/>
              </w:rPr>
              <w:t>/</w:t>
            </w:r>
            <w:r w:rsidRPr="00140923">
              <w:rPr>
                <w:i/>
                <w:iCs/>
                <w:lang w:val="es-ES_tradnl"/>
              </w:rPr>
              <w:t>N</w:t>
            </w:r>
            <w:r w:rsidRPr="00140923">
              <w:rPr>
                <w:rFonts w:ascii="Times New Roman Bold" w:hAnsi="Times New Roman Bold" w:cs="Times New Roman Bold"/>
                <w:i/>
                <w:iCs/>
                <w:sz w:val="8"/>
                <w:szCs w:val="8"/>
                <w:lang w:val="es-ES_tradnl"/>
              </w:rPr>
              <w:t xml:space="preserve"> </w:t>
            </w:r>
            <w:r w:rsidRPr="00140923">
              <w:rPr>
                <w:vertAlign w:val="superscript"/>
                <w:lang w:val="es-ES_tradn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99375DB" w14:textId="77777777" w:rsidR="00664A5C" w:rsidRPr="00140923" w:rsidRDefault="00664A5C" w:rsidP="00664A5C">
            <w:pPr>
              <w:pStyle w:val="Tablehead"/>
              <w:keepLines/>
              <w:rPr>
                <w:lang w:val="es-ES_tradnl"/>
              </w:rPr>
            </w:pPr>
            <w:r w:rsidRPr="00140923">
              <w:rPr>
                <w:lang w:val="es-ES_tradnl"/>
              </w:rPr>
              <w:t>Gama de frecuencias</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91D31A5" w14:textId="77777777" w:rsidR="00664A5C" w:rsidRPr="00140923" w:rsidRDefault="00664A5C" w:rsidP="00664A5C">
            <w:pPr>
              <w:pStyle w:val="Tablehead"/>
              <w:keepLines/>
              <w:rPr>
                <w:lang w:val="es-ES_tradnl"/>
              </w:rPr>
            </w:pPr>
            <w:r w:rsidRPr="00140923">
              <w:rPr>
                <w:lang w:val="es-ES_tradnl"/>
              </w:rPr>
              <w:t>Condiciones de compartición/</w:t>
            </w:r>
            <w:r w:rsidRPr="00140923">
              <w:rPr>
                <w:lang w:val="es-ES_tradnl"/>
              </w:rPr>
              <w:br/>
              <w:t>compatibilidad</w:t>
            </w:r>
            <w:r w:rsidRPr="00140923">
              <w:rPr>
                <w:vertAlign w:val="superscript"/>
                <w:lang w:val="es-ES_tradnl" w:eastAsia="ja-JP"/>
              </w:rPr>
              <w:t>(2)</w:t>
            </w:r>
          </w:p>
        </w:tc>
        <w:tc>
          <w:tcPr>
            <w:tcW w:w="3915" w:type="dxa"/>
            <w:tcBorders>
              <w:top w:val="single" w:sz="4" w:space="0" w:color="auto"/>
              <w:left w:val="single" w:sz="4" w:space="0" w:color="auto"/>
              <w:bottom w:val="single" w:sz="4" w:space="0" w:color="auto"/>
              <w:right w:val="single" w:sz="4" w:space="0" w:color="auto"/>
            </w:tcBorders>
            <w:vAlign w:val="center"/>
            <w:hideMark/>
          </w:tcPr>
          <w:p w14:paraId="30064DAD" w14:textId="77777777" w:rsidR="00664A5C" w:rsidRPr="00140923" w:rsidRDefault="00664A5C" w:rsidP="00664A5C">
            <w:pPr>
              <w:pStyle w:val="Tablehead"/>
              <w:keepLines/>
              <w:rPr>
                <w:lang w:val="es-ES_tradnl"/>
              </w:rPr>
            </w:pPr>
            <w:r w:rsidRPr="00140923">
              <w:rPr>
                <w:lang w:val="es-ES_tradnl"/>
              </w:rPr>
              <w:t>Observaciones y</w:t>
            </w:r>
            <w:r w:rsidRPr="00140923">
              <w:rPr>
                <w:lang w:val="es-ES_tradnl"/>
              </w:rPr>
              <w:br/>
              <w:t>Recomendaciones UIT-R</w:t>
            </w:r>
            <w:r w:rsidRPr="00140923">
              <w:rPr>
                <w:lang w:val="es-ES_tradnl"/>
              </w:rPr>
              <w:br/>
              <w:t>pertinentes</w:t>
            </w:r>
          </w:p>
        </w:tc>
      </w:tr>
      <w:tr w:rsidR="002B37E9" w:rsidRPr="00140923" w14:paraId="14B0F39A" w14:textId="77777777" w:rsidTr="00664A5C">
        <w:trPr>
          <w:trHeight w:val="1879"/>
          <w:jc w:val="center"/>
        </w:trPr>
        <w:tc>
          <w:tcPr>
            <w:tcW w:w="1078" w:type="dxa"/>
            <w:tcBorders>
              <w:top w:val="single" w:sz="4" w:space="0" w:color="auto"/>
              <w:left w:val="single" w:sz="4" w:space="0" w:color="auto"/>
              <w:bottom w:val="single" w:sz="4" w:space="0" w:color="auto"/>
              <w:right w:val="single" w:sz="4" w:space="0" w:color="auto"/>
            </w:tcBorders>
            <w:hideMark/>
          </w:tcPr>
          <w:p w14:paraId="60D4C4E5" w14:textId="0C5709F6" w:rsidR="002B37E9" w:rsidRPr="00140923" w:rsidRDefault="002B37E9" w:rsidP="00664A5C">
            <w:pPr>
              <w:pStyle w:val="Tabletext"/>
              <w:jc w:val="center"/>
              <w:rPr>
                <w:lang w:val="es-ES_tradnl"/>
              </w:rPr>
            </w:pPr>
            <w:r w:rsidRPr="00140923">
              <w:rPr>
                <w:lang w:val="es-ES_tradnl"/>
              </w:rPr>
              <w:t xml:space="preserve">≤ </w:t>
            </w:r>
            <w:r w:rsidR="00664A5C" w:rsidRPr="00664A5C">
              <w:rPr>
                <w:lang w:val="es-ES_tradnl"/>
              </w:rPr>
              <w:t>−</w:t>
            </w:r>
            <w:r w:rsidRPr="00140923">
              <w:rPr>
                <w:lang w:val="es-ES_tradnl"/>
              </w:rPr>
              <w:t>6 dB</w:t>
            </w:r>
          </w:p>
        </w:tc>
        <w:tc>
          <w:tcPr>
            <w:tcW w:w="2127" w:type="dxa"/>
            <w:tcBorders>
              <w:top w:val="single" w:sz="4" w:space="0" w:color="auto"/>
              <w:left w:val="single" w:sz="4" w:space="0" w:color="auto"/>
              <w:bottom w:val="single" w:sz="4" w:space="0" w:color="auto"/>
              <w:right w:val="single" w:sz="4" w:space="0" w:color="auto"/>
            </w:tcBorders>
            <w:hideMark/>
          </w:tcPr>
          <w:p w14:paraId="5D925F1B" w14:textId="77777777" w:rsidR="002B37E9" w:rsidRPr="00140923" w:rsidRDefault="002B37E9" w:rsidP="00664A5C">
            <w:pPr>
              <w:pStyle w:val="Tabletext"/>
              <w:jc w:val="center"/>
              <w:rPr>
                <w:lang w:val="es-ES_tradnl"/>
              </w:rPr>
            </w:pPr>
            <w:r w:rsidRPr="00140923">
              <w:rPr>
                <w:lang w:val="es-ES_tradnl"/>
              </w:rPr>
              <w:t>30 MHz a 3 GHz</w:t>
            </w:r>
          </w:p>
        </w:tc>
        <w:tc>
          <w:tcPr>
            <w:tcW w:w="2525" w:type="dxa"/>
            <w:vMerge w:val="restart"/>
            <w:tcBorders>
              <w:top w:val="single" w:sz="4" w:space="0" w:color="auto"/>
              <w:left w:val="single" w:sz="4" w:space="0" w:color="auto"/>
              <w:bottom w:val="single" w:sz="4" w:space="0" w:color="auto"/>
              <w:right w:val="single" w:sz="4" w:space="0" w:color="auto"/>
            </w:tcBorders>
            <w:hideMark/>
          </w:tcPr>
          <w:p w14:paraId="53576773" w14:textId="77777777" w:rsidR="002B37E9" w:rsidRPr="00140923" w:rsidRDefault="002B37E9" w:rsidP="00664A5C">
            <w:pPr>
              <w:pStyle w:val="Tabletext"/>
              <w:jc w:val="left"/>
              <w:rPr>
                <w:lang w:val="es-ES_tradnl"/>
              </w:rPr>
            </w:pPr>
            <w:r w:rsidRPr="00140923">
              <w:rPr>
                <w:lang w:val="es-ES_tradnl"/>
              </w:rPr>
              <w:t>Compartición con más de un servicio coprimario</w:t>
            </w:r>
          </w:p>
        </w:tc>
        <w:tc>
          <w:tcPr>
            <w:tcW w:w="3915" w:type="dxa"/>
            <w:vMerge w:val="restart"/>
            <w:tcBorders>
              <w:top w:val="single" w:sz="4" w:space="0" w:color="auto"/>
              <w:left w:val="single" w:sz="4" w:space="0" w:color="auto"/>
              <w:bottom w:val="single" w:sz="4" w:space="0" w:color="auto"/>
              <w:right w:val="single" w:sz="4" w:space="0" w:color="auto"/>
            </w:tcBorders>
            <w:hideMark/>
          </w:tcPr>
          <w:p w14:paraId="5B287C0B" w14:textId="0FDF13CB" w:rsidR="002B37E9" w:rsidRPr="00140923" w:rsidRDefault="002B37E9" w:rsidP="00664A5C">
            <w:pPr>
              <w:pStyle w:val="Tabletext"/>
              <w:jc w:val="left"/>
              <w:rPr>
                <w:lang w:val="es-ES_tradnl"/>
              </w:rPr>
            </w:pPr>
            <w:r w:rsidRPr="00140923">
              <w:rPr>
                <w:lang w:val="es-ES_tradnl"/>
              </w:rPr>
              <w:t xml:space="preserve">Distribución de los objetivos de </w:t>
            </w:r>
            <w:hyperlink r:id="rId108" w:history="1">
              <w:r w:rsidRPr="00664A5C">
                <w:rPr>
                  <w:rStyle w:val="Hyperlink"/>
                  <w:color w:val="auto"/>
                  <w:u w:val="none"/>
                  <w:lang w:val="es-ES_tradnl"/>
                </w:rPr>
                <w:t>UIT</w:t>
              </w:r>
              <w:r w:rsidRPr="00664A5C">
                <w:rPr>
                  <w:rStyle w:val="Hyperlink"/>
                  <w:color w:val="auto"/>
                  <w:u w:val="none"/>
                  <w:lang w:val="es-ES_tradnl"/>
                </w:rPr>
                <w:noBreakHyphen/>
                <w:t>R F.1094</w:t>
              </w:r>
            </w:hyperlink>
            <w:r w:rsidRPr="00140923">
              <w:rPr>
                <w:lang w:val="es-ES_tradnl"/>
              </w:rPr>
              <w:t xml:space="preserve"> (véase el § 2 del Anexo 1 de la presente Recomendación).</w:t>
            </w:r>
          </w:p>
          <w:p w14:paraId="3B2BA6F6" w14:textId="5584BDF3" w:rsidR="002B37E9" w:rsidRPr="00140923" w:rsidRDefault="002B37E9" w:rsidP="00664A5C">
            <w:pPr>
              <w:pStyle w:val="Tabletext"/>
              <w:jc w:val="left"/>
              <w:rPr>
                <w:lang w:val="es-ES_tradnl"/>
              </w:rPr>
            </w:pPr>
            <w:r w:rsidRPr="00140923">
              <w:rPr>
                <w:lang w:val="es-ES_tradnl"/>
              </w:rPr>
              <w:t xml:space="preserve">Se pueden aplicar </w:t>
            </w:r>
            <w:r w:rsidR="00B233F6" w:rsidRPr="00B233F6">
              <w:rPr>
                <w:lang w:val="es-ES_tradnl"/>
              </w:rPr>
              <w:t>−</w:t>
            </w:r>
            <w:r w:rsidRPr="00140923">
              <w:rPr>
                <w:lang w:val="es-ES_tradnl"/>
              </w:rPr>
              <w:t xml:space="preserve">6 dB o </w:t>
            </w:r>
            <w:r w:rsidR="00664A5C" w:rsidRPr="00664A5C">
              <w:rPr>
                <w:lang w:val="es-ES_tradnl"/>
              </w:rPr>
              <w:t>−</w:t>
            </w:r>
            <w:r w:rsidRPr="00140923">
              <w:rPr>
                <w:lang w:val="es-ES_tradnl"/>
              </w:rPr>
              <w:t xml:space="preserve">10 dB, según convenga, cuando sea despreciable el riesgo de la interferencia simultánea procedente de las estaciones con las otras atribuciones a título coprimario. En los demás casos, se puede necesitar un criterio más estricto para calcular la interferencia combinada procedente de todos los servicios coprimarios (es decir se debe procurar que </w:t>
            </w:r>
            <w:r w:rsidR="00664A5C" w:rsidRPr="00664A5C">
              <w:rPr>
                <w:lang w:val="es-ES_tradnl"/>
              </w:rPr>
              <w:t>−</w:t>
            </w:r>
            <w:r w:rsidRPr="00140923">
              <w:rPr>
                <w:lang w:val="es-ES_tradnl"/>
              </w:rPr>
              <w:t xml:space="preserve">6 dB o </w:t>
            </w:r>
            <w:r w:rsidR="00664A5C" w:rsidRPr="00664A5C">
              <w:rPr>
                <w:lang w:val="es-ES_tradnl"/>
              </w:rPr>
              <w:t>−</w:t>
            </w:r>
            <w:r w:rsidRPr="00140923">
              <w:rPr>
                <w:lang w:val="es-ES_tradnl"/>
              </w:rPr>
              <w:t xml:space="preserve">10 dB sea el valor máximo de la </w:t>
            </w:r>
            <w:r w:rsidRPr="00140923">
              <w:rPr>
                <w:i/>
                <w:iCs/>
                <w:lang w:val="es-ES_tradnl"/>
              </w:rPr>
              <w:t>I</w:t>
            </w:r>
            <w:r w:rsidRPr="00140923">
              <w:rPr>
                <w:lang w:val="es-ES_tradnl"/>
              </w:rPr>
              <w:t>/</w:t>
            </w:r>
            <w:r w:rsidRPr="00140923">
              <w:rPr>
                <w:i/>
                <w:iCs/>
                <w:lang w:val="es-ES_tradnl"/>
              </w:rPr>
              <w:t>N</w:t>
            </w:r>
            <w:r w:rsidRPr="00140923">
              <w:rPr>
                <w:lang w:val="es-ES_tradnl"/>
              </w:rPr>
              <w:t xml:space="preserve"> combinada debida a todos los servicios coprimarios).</w:t>
            </w:r>
          </w:p>
        </w:tc>
      </w:tr>
      <w:tr w:rsidR="002B37E9" w:rsidRPr="00140923" w14:paraId="0E3A27EE" w14:textId="77777777" w:rsidTr="00664A5C">
        <w:trPr>
          <w:jc w:val="center"/>
        </w:trPr>
        <w:tc>
          <w:tcPr>
            <w:tcW w:w="1078" w:type="dxa"/>
            <w:tcBorders>
              <w:top w:val="single" w:sz="4" w:space="0" w:color="auto"/>
              <w:left w:val="single" w:sz="4" w:space="0" w:color="auto"/>
              <w:bottom w:val="single" w:sz="4" w:space="0" w:color="auto"/>
              <w:right w:val="single" w:sz="4" w:space="0" w:color="auto"/>
            </w:tcBorders>
            <w:hideMark/>
          </w:tcPr>
          <w:p w14:paraId="637E1251" w14:textId="2370901B" w:rsidR="002B37E9" w:rsidRPr="00140923" w:rsidRDefault="002B37E9" w:rsidP="00664A5C">
            <w:pPr>
              <w:pStyle w:val="Tabletext"/>
              <w:jc w:val="center"/>
              <w:rPr>
                <w:lang w:val="es-ES_tradnl"/>
              </w:rPr>
            </w:pPr>
            <w:r w:rsidRPr="00140923">
              <w:rPr>
                <w:lang w:val="es-ES_tradnl"/>
              </w:rPr>
              <w:t xml:space="preserve">≤ </w:t>
            </w:r>
            <w:r w:rsidR="00664A5C" w:rsidRPr="00664A5C">
              <w:rPr>
                <w:lang w:val="es-ES_tradnl"/>
              </w:rPr>
              <w:t>−</w:t>
            </w:r>
            <w:r w:rsidRPr="00140923">
              <w:rPr>
                <w:lang w:val="es-ES_tradnl"/>
              </w:rPr>
              <w:t>10 dB</w:t>
            </w:r>
          </w:p>
        </w:tc>
        <w:tc>
          <w:tcPr>
            <w:tcW w:w="2127" w:type="dxa"/>
            <w:tcBorders>
              <w:top w:val="single" w:sz="4" w:space="0" w:color="auto"/>
              <w:left w:val="single" w:sz="4" w:space="0" w:color="auto"/>
              <w:bottom w:val="single" w:sz="4" w:space="0" w:color="auto"/>
              <w:right w:val="single" w:sz="4" w:space="0" w:color="auto"/>
            </w:tcBorders>
            <w:hideMark/>
          </w:tcPr>
          <w:p w14:paraId="7691902E" w14:textId="77777777" w:rsidR="002B37E9" w:rsidRPr="00140923" w:rsidRDefault="002B37E9" w:rsidP="00664A5C">
            <w:pPr>
              <w:pStyle w:val="Tabletext"/>
              <w:jc w:val="center"/>
              <w:rPr>
                <w:lang w:val="es-ES_tradnl"/>
              </w:rPr>
            </w:pPr>
            <w:r w:rsidRPr="00140923">
              <w:rPr>
                <w:lang w:val="es-ES_tradnl"/>
              </w:rPr>
              <w:t>Por encima de 3 GHz</w:t>
            </w:r>
          </w:p>
        </w:tc>
        <w:tc>
          <w:tcPr>
            <w:tcW w:w="2525" w:type="dxa"/>
            <w:vMerge/>
            <w:tcBorders>
              <w:top w:val="single" w:sz="4" w:space="0" w:color="auto"/>
              <w:left w:val="single" w:sz="4" w:space="0" w:color="auto"/>
              <w:bottom w:val="single" w:sz="4" w:space="0" w:color="auto"/>
              <w:right w:val="single" w:sz="4" w:space="0" w:color="auto"/>
            </w:tcBorders>
            <w:vAlign w:val="center"/>
            <w:hideMark/>
          </w:tcPr>
          <w:p w14:paraId="49551DFC" w14:textId="77777777" w:rsidR="002B37E9" w:rsidRPr="00140923" w:rsidRDefault="002B37E9" w:rsidP="00664A5C">
            <w:pPr>
              <w:tabs>
                <w:tab w:val="clear" w:pos="794"/>
                <w:tab w:val="clear" w:pos="1191"/>
                <w:tab w:val="clear" w:pos="1588"/>
                <w:tab w:val="clear" w:pos="1985"/>
              </w:tabs>
              <w:overflowPunct/>
              <w:autoSpaceDE/>
              <w:autoSpaceDN/>
              <w:adjustRightInd/>
              <w:spacing w:before="40" w:after="40"/>
              <w:jc w:val="left"/>
              <w:rPr>
                <w:sz w:val="22"/>
                <w:lang w:val="es-ES_tradnl"/>
              </w:rPr>
            </w:pPr>
          </w:p>
        </w:tc>
        <w:tc>
          <w:tcPr>
            <w:tcW w:w="3915" w:type="dxa"/>
            <w:vMerge/>
            <w:tcBorders>
              <w:top w:val="single" w:sz="4" w:space="0" w:color="auto"/>
              <w:left w:val="single" w:sz="4" w:space="0" w:color="auto"/>
              <w:bottom w:val="single" w:sz="4" w:space="0" w:color="auto"/>
              <w:right w:val="single" w:sz="4" w:space="0" w:color="auto"/>
            </w:tcBorders>
            <w:vAlign w:val="center"/>
            <w:hideMark/>
          </w:tcPr>
          <w:p w14:paraId="616C2E54" w14:textId="77777777" w:rsidR="002B37E9" w:rsidRPr="00140923" w:rsidRDefault="002B37E9" w:rsidP="00664A5C">
            <w:pPr>
              <w:tabs>
                <w:tab w:val="clear" w:pos="794"/>
                <w:tab w:val="clear" w:pos="1191"/>
                <w:tab w:val="clear" w:pos="1588"/>
                <w:tab w:val="clear" w:pos="1985"/>
              </w:tabs>
              <w:overflowPunct/>
              <w:autoSpaceDE/>
              <w:autoSpaceDN/>
              <w:adjustRightInd/>
              <w:spacing w:before="40" w:after="40"/>
              <w:jc w:val="left"/>
              <w:rPr>
                <w:sz w:val="22"/>
                <w:lang w:val="es-ES_tradnl"/>
              </w:rPr>
            </w:pPr>
          </w:p>
        </w:tc>
      </w:tr>
      <w:tr w:rsidR="002B37E9" w:rsidRPr="00140923" w14:paraId="58A57A60" w14:textId="77777777" w:rsidTr="00664A5C">
        <w:trPr>
          <w:jc w:val="center"/>
        </w:trPr>
        <w:tc>
          <w:tcPr>
            <w:tcW w:w="1078" w:type="dxa"/>
            <w:tcBorders>
              <w:top w:val="single" w:sz="4" w:space="0" w:color="auto"/>
              <w:left w:val="single" w:sz="4" w:space="0" w:color="auto"/>
              <w:bottom w:val="single" w:sz="4" w:space="0" w:color="auto"/>
              <w:right w:val="single" w:sz="4" w:space="0" w:color="auto"/>
            </w:tcBorders>
            <w:hideMark/>
          </w:tcPr>
          <w:p w14:paraId="681AA003" w14:textId="4E2E4B88" w:rsidR="002B37E9" w:rsidRPr="00140923" w:rsidRDefault="00664A5C" w:rsidP="00664A5C">
            <w:pPr>
              <w:pStyle w:val="Tabletext"/>
              <w:jc w:val="center"/>
              <w:rPr>
                <w:lang w:val="es-ES_tradnl"/>
              </w:rPr>
            </w:pPr>
            <w:r w:rsidRPr="00664A5C">
              <w:rPr>
                <w:lang w:val="es-ES_tradnl"/>
              </w:rPr>
              <w:t>−</w:t>
            </w:r>
            <w:r w:rsidR="002B37E9" w:rsidRPr="00140923">
              <w:rPr>
                <w:lang w:val="es-ES_tradnl"/>
              </w:rPr>
              <w:t>13 dB</w:t>
            </w:r>
          </w:p>
        </w:tc>
        <w:tc>
          <w:tcPr>
            <w:tcW w:w="2127" w:type="dxa"/>
            <w:tcBorders>
              <w:top w:val="single" w:sz="4" w:space="0" w:color="auto"/>
              <w:left w:val="single" w:sz="4" w:space="0" w:color="auto"/>
              <w:bottom w:val="single" w:sz="4" w:space="0" w:color="auto"/>
              <w:right w:val="single" w:sz="4" w:space="0" w:color="auto"/>
            </w:tcBorders>
            <w:hideMark/>
          </w:tcPr>
          <w:p w14:paraId="60798906" w14:textId="77777777" w:rsidR="002B37E9" w:rsidRPr="00140923" w:rsidRDefault="002B37E9" w:rsidP="00664A5C">
            <w:pPr>
              <w:pStyle w:val="Tabletext"/>
              <w:jc w:val="center"/>
              <w:rPr>
                <w:lang w:val="es-ES_tradnl"/>
              </w:rPr>
            </w:pPr>
            <w:r w:rsidRPr="00140923">
              <w:rPr>
                <w:lang w:val="es-ES_tradnl"/>
              </w:rPr>
              <w:t>3-6 GHz</w:t>
            </w:r>
          </w:p>
        </w:tc>
        <w:tc>
          <w:tcPr>
            <w:tcW w:w="2525" w:type="dxa"/>
            <w:tcBorders>
              <w:top w:val="single" w:sz="4" w:space="0" w:color="auto"/>
              <w:left w:val="single" w:sz="4" w:space="0" w:color="auto"/>
              <w:bottom w:val="single" w:sz="4" w:space="0" w:color="auto"/>
              <w:right w:val="single" w:sz="4" w:space="0" w:color="auto"/>
            </w:tcBorders>
            <w:hideMark/>
          </w:tcPr>
          <w:p w14:paraId="318AA7A3" w14:textId="77777777" w:rsidR="002B37E9" w:rsidRPr="00140923" w:rsidRDefault="002B37E9" w:rsidP="00664A5C">
            <w:pPr>
              <w:pStyle w:val="Tabletext"/>
              <w:jc w:val="left"/>
              <w:rPr>
                <w:lang w:val="es-ES_tradnl"/>
              </w:rPr>
            </w:pPr>
            <w:r w:rsidRPr="00140923">
              <w:rPr>
                <w:lang w:val="es-ES_tradnl"/>
              </w:rPr>
              <w:t>Compatibilidad con la banda ultraancha</w:t>
            </w:r>
          </w:p>
        </w:tc>
        <w:tc>
          <w:tcPr>
            <w:tcW w:w="3915" w:type="dxa"/>
            <w:tcBorders>
              <w:top w:val="single" w:sz="4" w:space="0" w:color="auto"/>
              <w:left w:val="single" w:sz="4" w:space="0" w:color="auto"/>
              <w:bottom w:val="single" w:sz="4" w:space="0" w:color="auto"/>
              <w:right w:val="single" w:sz="4" w:space="0" w:color="auto"/>
            </w:tcBorders>
            <w:hideMark/>
          </w:tcPr>
          <w:p w14:paraId="2F4DE6BE" w14:textId="77777777" w:rsidR="002B37E9" w:rsidRPr="00140923" w:rsidRDefault="002B37E9" w:rsidP="00664A5C">
            <w:pPr>
              <w:pStyle w:val="Tabletext"/>
              <w:jc w:val="left"/>
              <w:rPr>
                <w:lang w:val="es-ES_tradnl"/>
              </w:rPr>
            </w:pPr>
            <w:r w:rsidRPr="00140923">
              <w:rPr>
                <w:lang w:val="es-ES_tradnl"/>
              </w:rPr>
              <w:t>Únicamente para terminales de acceso inalámbrico fijo en el exterior.</w:t>
            </w:r>
          </w:p>
          <w:p w14:paraId="5A99C849" w14:textId="7734AD19" w:rsidR="002B37E9" w:rsidRPr="00B233F6" w:rsidRDefault="00B233F6" w:rsidP="00664A5C">
            <w:pPr>
              <w:pStyle w:val="Tabletext"/>
              <w:jc w:val="left"/>
              <w:rPr>
                <w:lang w:val="es-ES_tradnl"/>
              </w:rPr>
            </w:pPr>
            <w:hyperlink r:id="rId109" w:history="1">
              <w:r w:rsidR="002B37E9" w:rsidRPr="00B233F6">
                <w:rPr>
                  <w:rStyle w:val="Hyperlink"/>
                  <w:color w:val="auto"/>
                  <w:u w:val="none"/>
                  <w:lang w:val="es-ES_tradnl"/>
                </w:rPr>
                <w:t>UIT-R SM.1757</w:t>
              </w:r>
            </w:hyperlink>
          </w:p>
        </w:tc>
      </w:tr>
      <w:tr w:rsidR="002B37E9" w:rsidRPr="00140923" w14:paraId="47C85B2A" w14:textId="77777777" w:rsidTr="00664A5C">
        <w:trPr>
          <w:jc w:val="center"/>
        </w:trPr>
        <w:tc>
          <w:tcPr>
            <w:tcW w:w="1078" w:type="dxa"/>
            <w:tcBorders>
              <w:top w:val="single" w:sz="4" w:space="0" w:color="auto"/>
              <w:left w:val="single" w:sz="4" w:space="0" w:color="auto"/>
              <w:bottom w:val="single" w:sz="4" w:space="0" w:color="auto"/>
              <w:right w:val="single" w:sz="4" w:space="0" w:color="auto"/>
            </w:tcBorders>
            <w:hideMark/>
          </w:tcPr>
          <w:p w14:paraId="5F549741" w14:textId="6B1AB4C2" w:rsidR="002B37E9" w:rsidRPr="00140923" w:rsidRDefault="00664A5C" w:rsidP="00664A5C">
            <w:pPr>
              <w:pStyle w:val="Tabletext"/>
              <w:jc w:val="center"/>
              <w:rPr>
                <w:lang w:val="es-ES_tradnl"/>
              </w:rPr>
            </w:pPr>
            <w:r w:rsidRPr="00664A5C">
              <w:rPr>
                <w:lang w:val="es-ES_tradnl"/>
              </w:rPr>
              <w:t>−</w:t>
            </w:r>
            <w:r w:rsidR="002B37E9" w:rsidRPr="00140923">
              <w:rPr>
                <w:lang w:val="es-ES_tradnl"/>
              </w:rPr>
              <w:t>15 dB</w:t>
            </w:r>
          </w:p>
        </w:tc>
        <w:tc>
          <w:tcPr>
            <w:tcW w:w="2127" w:type="dxa"/>
            <w:tcBorders>
              <w:top w:val="single" w:sz="4" w:space="0" w:color="auto"/>
              <w:left w:val="single" w:sz="4" w:space="0" w:color="auto"/>
              <w:bottom w:val="single" w:sz="4" w:space="0" w:color="auto"/>
              <w:right w:val="single" w:sz="4" w:space="0" w:color="auto"/>
            </w:tcBorders>
            <w:hideMark/>
          </w:tcPr>
          <w:p w14:paraId="4B3B8569" w14:textId="77777777" w:rsidR="002B37E9" w:rsidRPr="00140923" w:rsidRDefault="002B37E9" w:rsidP="00664A5C">
            <w:pPr>
              <w:pStyle w:val="Tabletext"/>
              <w:jc w:val="center"/>
              <w:rPr>
                <w:lang w:val="es-ES_tradnl"/>
              </w:rPr>
            </w:pPr>
            <w:r w:rsidRPr="00140923">
              <w:rPr>
                <w:lang w:val="es-ES_tradnl"/>
              </w:rPr>
              <w:t>27-31 GHz</w:t>
            </w:r>
          </w:p>
        </w:tc>
        <w:tc>
          <w:tcPr>
            <w:tcW w:w="2525" w:type="dxa"/>
            <w:tcBorders>
              <w:top w:val="single" w:sz="4" w:space="0" w:color="auto"/>
              <w:left w:val="single" w:sz="4" w:space="0" w:color="auto"/>
              <w:bottom w:val="single" w:sz="4" w:space="0" w:color="auto"/>
              <w:right w:val="single" w:sz="4" w:space="0" w:color="auto"/>
            </w:tcBorders>
            <w:hideMark/>
          </w:tcPr>
          <w:p w14:paraId="4579DD18" w14:textId="77777777" w:rsidR="002B37E9" w:rsidRPr="00140923" w:rsidRDefault="002B37E9" w:rsidP="00664A5C">
            <w:pPr>
              <w:pStyle w:val="Tabletext"/>
              <w:jc w:val="left"/>
              <w:rPr>
                <w:lang w:val="es-ES_tradnl"/>
              </w:rPr>
            </w:pPr>
            <w:r w:rsidRPr="00140923">
              <w:rPr>
                <w:lang w:val="es-ES_tradnl"/>
              </w:rPr>
              <w:t>Compartición con el servicio fijo que utiliza estaciones en plataformas a gran altitud (HAPS)</w:t>
            </w:r>
          </w:p>
        </w:tc>
        <w:tc>
          <w:tcPr>
            <w:tcW w:w="3915" w:type="dxa"/>
            <w:tcBorders>
              <w:top w:val="single" w:sz="4" w:space="0" w:color="auto"/>
              <w:left w:val="single" w:sz="4" w:space="0" w:color="auto"/>
              <w:bottom w:val="single" w:sz="4" w:space="0" w:color="auto"/>
              <w:right w:val="single" w:sz="4" w:space="0" w:color="auto"/>
            </w:tcBorders>
            <w:hideMark/>
          </w:tcPr>
          <w:p w14:paraId="6F23B44A" w14:textId="77777777" w:rsidR="002B37E9" w:rsidRPr="00140923" w:rsidRDefault="002B37E9" w:rsidP="00664A5C">
            <w:pPr>
              <w:pStyle w:val="Tabletext"/>
              <w:jc w:val="left"/>
              <w:rPr>
                <w:lang w:val="es-ES_tradnl"/>
              </w:rPr>
            </w:pPr>
            <w:r w:rsidRPr="00140923">
              <w:rPr>
                <w:lang w:val="es-ES_tradnl"/>
              </w:rPr>
              <w:t>UIT-R F.1609</w:t>
            </w:r>
          </w:p>
        </w:tc>
      </w:tr>
      <w:tr w:rsidR="002B37E9" w:rsidRPr="00140923" w14:paraId="57C67177" w14:textId="77777777" w:rsidTr="00664A5C">
        <w:trPr>
          <w:jc w:val="center"/>
        </w:trPr>
        <w:tc>
          <w:tcPr>
            <w:tcW w:w="1078" w:type="dxa"/>
            <w:tcBorders>
              <w:top w:val="single" w:sz="4" w:space="0" w:color="auto"/>
              <w:left w:val="single" w:sz="4" w:space="0" w:color="auto"/>
              <w:bottom w:val="single" w:sz="4" w:space="0" w:color="auto"/>
              <w:right w:val="single" w:sz="4" w:space="0" w:color="auto"/>
            </w:tcBorders>
            <w:hideMark/>
          </w:tcPr>
          <w:p w14:paraId="6C5E43D4" w14:textId="7FE6EFFC" w:rsidR="002B37E9" w:rsidRPr="00140923" w:rsidRDefault="00664A5C" w:rsidP="00664A5C">
            <w:pPr>
              <w:pStyle w:val="Tabletext"/>
              <w:jc w:val="center"/>
              <w:rPr>
                <w:lang w:val="es-ES_tradnl"/>
              </w:rPr>
            </w:pPr>
            <w:r w:rsidRPr="00664A5C">
              <w:rPr>
                <w:lang w:val="es-ES_tradnl"/>
              </w:rPr>
              <w:t>−</w:t>
            </w:r>
            <w:r w:rsidR="002B37E9" w:rsidRPr="00140923">
              <w:rPr>
                <w:lang w:val="es-ES_tradnl"/>
              </w:rPr>
              <w:t>20 dB</w:t>
            </w:r>
          </w:p>
        </w:tc>
        <w:tc>
          <w:tcPr>
            <w:tcW w:w="2127" w:type="dxa"/>
            <w:tcBorders>
              <w:top w:val="single" w:sz="4" w:space="0" w:color="auto"/>
              <w:left w:val="single" w:sz="4" w:space="0" w:color="auto"/>
              <w:bottom w:val="single" w:sz="4" w:space="0" w:color="auto"/>
              <w:right w:val="single" w:sz="4" w:space="0" w:color="auto"/>
            </w:tcBorders>
            <w:hideMark/>
          </w:tcPr>
          <w:p w14:paraId="775D1998" w14:textId="77777777" w:rsidR="002B37E9" w:rsidRPr="00140923" w:rsidRDefault="002B37E9" w:rsidP="00664A5C">
            <w:pPr>
              <w:pStyle w:val="Tabletext"/>
              <w:jc w:val="center"/>
              <w:rPr>
                <w:lang w:val="es-ES_tradnl"/>
              </w:rPr>
            </w:pPr>
            <w:r w:rsidRPr="00140923">
              <w:rPr>
                <w:lang w:val="es-ES_tradnl"/>
              </w:rPr>
              <w:t>3-8,5 GHz</w:t>
            </w:r>
          </w:p>
        </w:tc>
        <w:tc>
          <w:tcPr>
            <w:tcW w:w="2525" w:type="dxa"/>
            <w:tcBorders>
              <w:top w:val="single" w:sz="4" w:space="0" w:color="auto"/>
              <w:left w:val="single" w:sz="4" w:space="0" w:color="auto"/>
              <w:bottom w:val="single" w:sz="4" w:space="0" w:color="auto"/>
              <w:right w:val="single" w:sz="4" w:space="0" w:color="auto"/>
            </w:tcBorders>
            <w:hideMark/>
          </w:tcPr>
          <w:p w14:paraId="49ABC68B" w14:textId="77777777" w:rsidR="002B37E9" w:rsidRPr="00140923" w:rsidRDefault="002B37E9" w:rsidP="00664A5C">
            <w:pPr>
              <w:pStyle w:val="Tabletext"/>
              <w:jc w:val="left"/>
              <w:rPr>
                <w:lang w:val="es-ES_tradnl"/>
              </w:rPr>
            </w:pPr>
            <w:r w:rsidRPr="00140923">
              <w:rPr>
                <w:lang w:val="es-ES_tradnl"/>
              </w:rPr>
              <w:t>Compatibilidad con la banda ultraancha</w:t>
            </w:r>
          </w:p>
        </w:tc>
        <w:tc>
          <w:tcPr>
            <w:tcW w:w="3915" w:type="dxa"/>
            <w:tcBorders>
              <w:top w:val="single" w:sz="4" w:space="0" w:color="auto"/>
              <w:left w:val="single" w:sz="4" w:space="0" w:color="auto"/>
              <w:bottom w:val="single" w:sz="4" w:space="0" w:color="auto"/>
              <w:right w:val="single" w:sz="4" w:space="0" w:color="auto"/>
            </w:tcBorders>
            <w:hideMark/>
          </w:tcPr>
          <w:p w14:paraId="5DEC92BE" w14:textId="2D8C9C63" w:rsidR="002B37E9" w:rsidRPr="00140923" w:rsidRDefault="00B233F6" w:rsidP="00664A5C">
            <w:pPr>
              <w:pStyle w:val="Tabletext"/>
              <w:jc w:val="left"/>
              <w:rPr>
                <w:lang w:val="es-ES_tradnl"/>
              </w:rPr>
            </w:pPr>
            <w:hyperlink r:id="rId110" w:history="1">
              <w:r w:rsidRPr="00B233F6">
                <w:rPr>
                  <w:rStyle w:val="Hyperlink"/>
                  <w:color w:val="auto"/>
                  <w:u w:val="none"/>
                  <w:lang w:val="es-ES_tradnl"/>
                </w:rPr>
                <w:t>UIT-R SM.1757</w:t>
              </w:r>
            </w:hyperlink>
          </w:p>
        </w:tc>
      </w:tr>
      <w:tr w:rsidR="002B37E9" w:rsidRPr="00140923" w14:paraId="4D421906" w14:textId="77777777" w:rsidTr="00664A5C">
        <w:trPr>
          <w:jc w:val="center"/>
        </w:trPr>
        <w:tc>
          <w:tcPr>
            <w:tcW w:w="1078" w:type="dxa"/>
            <w:tcBorders>
              <w:top w:val="single" w:sz="4" w:space="0" w:color="auto"/>
              <w:left w:val="single" w:sz="4" w:space="0" w:color="auto"/>
              <w:bottom w:val="single" w:sz="4" w:space="0" w:color="auto"/>
              <w:right w:val="single" w:sz="4" w:space="0" w:color="auto"/>
            </w:tcBorders>
            <w:hideMark/>
          </w:tcPr>
          <w:p w14:paraId="72FBD864" w14:textId="36457632" w:rsidR="002B37E9" w:rsidRPr="00140923" w:rsidRDefault="00664A5C" w:rsidP="00664A5C">
            <w:pPr>
              <w:pStyle w:val="Tabletext"/>
              <w:jc w:val="center"/>
              <w:rPr>
                <w:lang w:val="es-ES_tradnl"/>
              </w:rPr>
            </w:pPr>
            <w:r w:rsidRPr="00664A5C">
              <w:rPr>
                <w:lang w:val="es-ES_tradnl"/>
              </w:rPr>
              <w:t>−</w:t>
            </w:r>
            <w:r w:rsidR="002B37E9" w:rsidRPr="00140923">
              <w:rPr>
                <w:lang w:val="es-ES_tradnl"/>
              </w:rPr>
              <w:t>20 dB</w:t>
            </w:r>
          </w:p>
        </w:tc>
        <w:tc>
          <w:tcPr>
            <w:tcW w:w="2127" w:type="dxa"/>
            <w:tcBorders>
              <w:top w:val="single" w:sz="4" w:space="0" w:color="auto"/>
              <w:left w:val="single" w:sz="4" w:space="0" w:color="auto"/>
              <w:bottom w:val="single" w:sz="4" w:space="0" w:color="auto"/>
              <w:right w:val="single" w:sz="4" w:space="0" w:color="auto"/>
            </w:tcBorders>
            <w:hideMark/>
          </w:tcPr>
          <w:p w14:paraId="42A95F53" w14:textId="77777777" w:rsidR="002B37E9" w:rsidRPr="00140923" w:rsidRDefault="002B37E9" w:rsidP="00664A5C">
            <w:pPr>
              <w:pStyle w:val="Tabletext"/>
              <w:jc w:val="center"/>
              <w:rPr>
                <w:lang w:val="es-ES_tradnl"/>
              </w:rPr>
            </w:pPr>
            <w:r w:rsidRPr="00140923">
              <w:rPr>
                <w:lang w:val="es-ES_tradnl"/>
              </w:rPr>
              <w:t>Todas</w:t>
            </w:r>
          </w:p>
        </w:tc>
        <w:tc>
          <w:tcPr>
            <w:tcW w:w="2525" w:type="dxa"/>
            <w:tcBorders>
              <w:top w:val="single" w:sz="4" w:space="0" w:color="auto"/>
              <w:left w:val="single" w:sz="4" w:space="0" w:color="auto"/>
              <w:bottom w:val="single" w:sz="4" w:space="0" w:color="auto"/>
              <w:right w:val="single" w:sz="4" w:space="0" w:color="auto"/>
            </w:tcBorders>
            <w:hideMark/>
          </w:tcPr>
          <w:p w14:paraId="76BADBAD" w14:textId="77777777" w:rsidR="002B37E9" w:rsidRPr="00140923" w:rsidRDefault="002B37E9" w:rsidP="00664A5C">
            <w:pPr>
              <w:pStyle w:val="Tabletext"/>
              <w:jc w:val="left"/>
              <w:rPr>
                <w:lang w:val="es-ES_tradnl"/>
              </w:rPr>
            </w:pPr>
            <w:r w:rsidRPr="00140923">
              <w:rPr>
                <w:lang w:val="es-ES_tradnl"/>
              </w:rPr>
              <w:t xml:space="preserve">Estudios de compatibilidad </w:t>
            </w:r>
          </w:p>
        </w:tc>
        <w:tc>
          <w:tcPr>
            <w:tcW w:w="3915" w:type="dxa"/>
            <w:tcBorders>
              <w:top w:val="single" w:sz="4" w:space="0" w:color="auto"/>
              <w:left w:val="single" w:sz="4" w:space="0" w:color="auto"/>
              <w:bottom w:val="single" w:sz="4" w:space="0" w:color="auto"/>
              <w:right w:val="single" w:sz="4" w:space="0" w:color="auto"/>
            </w:tcBorders>
            <w:hideMark/>
          </w:tcPr>
          <w:p w14:paraId="798A6498" w14:textId="09C9DCFD" w:rsidR="002B37E9" w:rsidRPr="00140923" w:rsidRDefault="00664A5C" w:rsidP="00664A5C">
            <w:pPr>
              <w:pStyle w:val="Tabletext"/>
              <w:jc w:val="left"/>
              <w:rPr>
                <w:lang w:val="es-ES_tradnl"/>
              </w:rPr>
            </w:pPr>
            <w:hyperlink r:id="rId111" w:history="1">
              <w:r w:rsidRPr="00664A5C">
                <w:rPr>
                  <w:rStyle w:val="Hyperlink"/>
                  <w:color w:val="auto"/>
                  <w:u w:val="none"/>
                  <w:lang w:val="es-ES_tradnl"/>
                </w:rPr>
                <w:t>UIT</w:t>
              </w:r>
              <w:r w:rsidRPr="00664A5C">
                <w:rPr>
                  <w:rStyle w:val="Hyperlink"/>
                  <w:color w:val="auto"/>
                  <w:u w:val="none"/>
                  <w:lang w:val="es-ES_tradnl"/>
                </w:rPr>
                <w:noBreakHyphen/>
                <w:t>R F.1094</w:t>
              </w:r>
            </w:hyperlink>
          </w:p>
        </w:tc>
      </w:tr>
      <w:tr w:rsidR="002B37E9" w:rsidRPr="00140923" w14:paraId="2912542A" w14:textId="77777777" w:rsidTr="00664A5C">
        <w:trPr>
          <w:jc w:val="center"/>
        </w:trPr>
        <w:tc>
          <w:tcPr>
            <w:tcW w:w="9645" w:type="dxa"/>
            <w:gridSpan w:val="4"/>
            <w:tcBorders>
              <w:top w:val="single" w:sz="4" w:space="0" w:color="auto"/>
              <w:left w:val="nil"/>
              <w:bottom w:val="nil"/>
              <w:right w:val="nil"/>
            </w:tcBorders>
            <w:vAlign w:val="center"/>
            <w:hideMark/>
          </w:tcPr>
          <w:p w14:paraId="7BC6D41E" w14:textId="77777777" w:rsidR="002B37E9" w:rsidRPr="00140923" w:rsidRDefault="002B37E9" w:rsidP="00664A5C">
            <w:pPr>
              <w:pStyle w:val="FootnoteText"/>
              <w:spacing w:before="40" w:after="40"/>
              <w:rPr>
                <w:lang w:val="es-ES_tradnl"/>
              </w:rPr>
            </w:pPr>
            <w:r w:rsidRPr="00140923">
              <w:rPr>
                <w:vertAlign w:val="superscript"/>
                <w:lang w:val="es-ES_tradnl"/>
              </w:rPr>
              <w:t>(1)</w:t>
            </w:r>
            <w:r w:rsidRPr="00140923">
              <w:rPr>
                <w:lang w:val="es-ES_tradnl"/>
              </w:rPr>
              <w:tab/>
              <w:t xml:space="preserve">Estos valores de </w:t>
            </w:r>
            <w:r w:rsidRPr="00140923">
              <w:rPr>
                <w:i/>
                <w:lang w:val="es-ES_tradnl"/>
              </w:rPr>
              <w:t>I</w:t>
            </w:r>
            <w:r w:rsidRPr="00140923">
              <w:rPr>
                <w:iCs/>
                <w:lang w:val="es-ES_tradnl"/>
              </w:rPr>
              <w:t>/</w:t>
            </w:r>
            <w:r w:rsidRPr="00140923">
              <w:rPr>
                <w:i/>
                <w:lang w:val="es-ES_tradnl"/>
              </w:rPr>
              <w:t>N</w:t>
            </w:r>
            <w:r w:rsidRPr="00140923">
              <w:rPr>
                <w:lang w:val="es-ES_tradnl"/>
              </w:rPr>
              <w:t xml:space="preserve"> se aplican a la interferencia combinada debida al funcionamiento del servicio fijo.</w:t>
            </w:r>
          </w:p>
          <w:p w14:paraId="15C4740B" w14:textId="77777777" w:rsidR="002B37E9" w:rsidRPr="00140923" w:rsidRDefault="002B37E9" w:rsidP="00664A5C">
            <w:pPr>
              <w:pStyle w:val="FootnoteText"/>
              <w:spacing w:before="40" w:after="40"/>
              <w:rPr>
                <w:lang w:val="es-ES_tradnl"/>
              </w:rPr>
            </w:pPr>
            <w:r w:rsidRPr="00140923">
              <w:rPr>
                <w:vertAlign w:val="superscript"/>
                <w:lang w:val="es-ES_tradnl"/>
              </w:rPr>
              <w:t>(2)</w:t>
            </w:r>
            <w:r w:rsidRPr="00140923">
              <w:rPr>
                <w:lang w:val="es-ES_tradnl"/>
              </w:rPr>
              <w:tab/>
              <w:t>A los efectos de la presente Recomendación, los estudios de compatibilidad se refieren a los estudios efectuados entre los sistemas inalámbricos fijos y:</w:t>
            </w:r>
          </w:p>
          <w:p w14:paraId="2CA48843" w14:textId="77777777" w:rsidR="002B37E9" w:rsidRPr="00140923" w:rsidRDefault="002B37E9" w:rsidP="00664A5C">
            <w:pPr>
              <w:pStyle w:val="FootnoteText"/>
              <w:spacing w:before="40" w:after="40"/>
              <w:ind w:left="482" w:hanging="482"/>
              <w:rPr>
                <w:lang w:val="es-ES_tradnl"/>
              </w:rPr>
            </w:pPr>
            <w:r w:rsidRPr="00140923">
              <w:rPr>
                <w:lang w:val="es-ES_tradnl"/>
              </w:rPr>
              <w:tab/>
              <w:t>–</w:t>
            </w:r>
            <w:r w:rsidRPr="00140923">
              <w:rPr>
                <w:lang w:val="es-ES_tradnl"/>
              </w:rPr>
              <w:tab/>
              <w:t xml:space="preserve">los sistemas de servicios que tienen una atribución a título secundario en las bandas atribuidas al servicio fijo a título primario; </w:t>
            </w:r>
          </w:p>
          <w:p w14:paraId="3F0C4A02" w14:textId="77777777" w:rsidR="002B37E9" w:rsidRPr="00140923" w:rsidRDefault="002B37E9" w:rsidP="00664A5C">
            <w:pPr>
              <w:pStyle w:val="FootnoteText"/>
              <w:spacing w:before="40" w:after="40"/>
              <w:ind w:left="482" w:hanging="482"/>
              <w:rPr>
                <w:lang w:val="es-ES_tradnl"/>
              </w:rPr>
            </w:pPr>
            <w:r w:rsidRPr="00140923">
              <w:rPr>
                <w:lang w:val="es-ES_tradnl"/>
              </w:rPr>
              <w:tab/>
              <w:t>–</w:t>
            </w:r>
            <w:r w:rsidRPr="00140923">
              <w:rPr>
                <w:lang w:val="es-ES_tradnl"/>
              </w:rPr>
              <w:tab/>
              <w:t>los sistemas de servicios con atribuciones en otras bandas (por ejemplo en bandas adyacentes);</w:t>
            </w:r>
          </w:p>
          <w:p w14:paraId="557FF622" w14:textId="77777777" w:rsidR="002B37E9" w:rsidRPr="00140923" w:rsidRDefault="002B37E9" w:rsidP="00664A5C">
            <w:pPr>
              <w:pStyle w:val="FootnoteText"/>
              <w:spacing w:before="40" w:after="40"/>
              <w:ind w:left="482" w:hanging="482"/>
              <w:rPr>
                <w:vertAlign w:val="superscript"/>
                <w:lang w:val="es-ES_tradnl"/>
              </w:rPr>
            </w:pPr>
            <w:r w:rsidRPr="00140923">
              <w:rPr>
                <w:lang w:val="es-ES_tradnl"/>
              </w:rPr>
              <w:tab/>
              <w:t>–</w:t>
            </w:r>
            <w:r w:rsidRPr="00140923">
              <w:rPr>
                <w:lang w:val="es-ES_tradnl"/>
              </w:rPr>
              <w:tab/>
              <w:t>las fuentes de emisiones distintas de los servicios de radiodifusión.</w:t>
            </w:r>
          </w:p>
        </w:tc>
      </w:tr>
    </w:tbl>
    <w:p w14:paraId="3F33929E" w14:textId="77777777" w:rsidR="002B37E9" w:rsidRPr="00140923" w:rsidRDefault="002B37E9" w:rsidP="002B37E9">
      <w:pPr>
        <w:pStyle w:val="Tablefin"/>
        <w:tabs>
          <w:tab w:val="left" w:pos="720"/>
        </w:tabs>
        <w:rPr>
          <w:lang w:val="es-ES_tradnl"/>
        </w:rPr>
      </w:pPr>
    </w:p>
    <w:p w14:paraId="388C9C8D" w14:textId="77777777" w:rsidR="002B37E9" w:rsidRPr="00140923" w:rsidRDefault="002B37E9" w:rsidP="00664A5C">
      <w:pPr>
        <w:pStyle w:val="Heading2"/>
        <w:keepNext w:val="0"/>
        <w:keepLines w:val="0"/>
        <w:rPr>
          <w:lang w:val="es-ES_tradnl" w:eastAsia="ja-JP"/>
        </w:rPr>
      </w:pPr>
      <w:bookmarkStart w:id="53" w:name="_Toc39157096"/>
      <w:r w:rsidRPr="00140923">
        <w:rPr>
          <w:lang w:val="es-ES_tradnl"/>
        </w:rPr>
        <w:t>4.1</w:t>
      </w:r>
      <w:r w:rsidRPr="00140923">
        <w:rPr>
          <w:lang w:val="es-ES_tradnl" w:eastAsia="ja-JP"/>
        </w:rPr>
        <w:t>4</w:t>
      </w:r>
      <w:r w:rsidRPr="00140923">
        <w:rPr>
          <w:lang w:val="es-ES_tradnl"/>
        </w:rPr>
        <w:tab/>
        <w:t>Información adicional (nivel de entrada del receptor nominal)</w:t>
      </w:r>
      <w:bookmarkEnd w:id="53"/>
    </w:p>
    <w:p w14:paraId="055EAF4F" w14:textId="77777777" w:rsidR="002B37E9" w:rsidRPr="00140923" w:rsidRDefault="002B37E9" w:rsidP="00664A5C">
      <w:pPr>
        <w:rPr>
          <w:lang w:val="es-ES_tradnl" w:eastAsia="ja-JP"/>
        </w:rPr>
      </w:pPr>
      <w:r w:rsidRPr="00140923">
        <w:rPr>
          <w:lang w:val="es-ES_tradnl"/>
        </w:rPr>
        <w:t xml:space="preserve">El nivel de entrada del receptor </w:t>
      </w:r>
      <w:r w:rsidRPr="00140923">
        <w:rPr>
          <w:iCs/>
          <w:lang w:val="es-ES_tradnl"/>
        </w:rPr>
        <w:t>nominal (dBW)</w:t>
      </w:r>
      <w:r w:rsidRPr="00140923">
        <w:rPr>
          <w:lang w:val="es-ES_tradnl"/>
        </w:rPr>
        <w:t xml:space="preserve"> no se menciona en los Cuadros debido a su gran variabilidad en las redes reales. Sin embargo, puede que este valor se necesite para la evaluación de la interferencia «de corta duración». El nivel de recepción nominal depende del balance específico del enlace requerido, necesario para lograr la característica de error y la disponibilidad requeridas. Además, cuando se utiliza el control automático de la potencia del transmisor (ATPC), el nivel nominal del receptor se reduce más por el alcance del ATPC. Normalmente, cuando se utiliza el ATPC, el nivel nominal del receptor debería disminuir en ~10 dB. Cuando se necesite el estudio específico, las administraciones nacionales interesadas deben suministrar los datos del nivel de entrada del receptor.</w:t>
      </w:r>
    </w:p>
    <w:p w14:paraId="1C781443" w14:textId="77777777" w:rsidR="002B37E9" w:rsidRPr="00140923" w:rsidRDefault="002B37E9" w:rsidP="00664A5C">
      <w:pPr>
        <w:rPr>
          <w:lang w:val="es-ES_tradnl" w:eastAsia="ja-JP"/>
        </w:rPr>
      </w:pPr>
      <w:r w:rsidRPr="00140923">
        <w:rPr>
          <w:lang w:val="es-ES_tradnl" w:eastAsia="ja-JP"/>
        </w:rPr>
        <w:lastRenderedPageBreak/>
        <w:t>En cualquier caso, para la función adecuada del enlace, incluido el ATPC, el nivel de entrada del receptor nominal no sería inferior a entre 10 y 15 dB por encima del nivel de entrada del receptor para una BER = 10</w:t>
      </w:r>
      <w:r w:rsidRPr="00140923">
        <w:rPr>
          <w:vertAlign w:val="superscript"/>
          <w:lang w:val="es-ES_tradnl" w:eastAsia="ja-JP"/>
        </w:rPr>
        <w:t>−6</w:t>
      </w:r>
      <w:r w:rsidRPr="00140923">
        <w:rPr>
          <w:lang w:val="es-ES_tradnl" w:eastAsia="ja-JP"/>
        </w:rPr>
        <w:t>.</w:t>
      </w:r>
    </w:p>
    <w:p w14:paraId="73618707" w14:textId="7C0C5D2D" w:rsidR="004F7602" w:rsidRDefault="002B37E9" w:rsidP="00664A5C">
      <w:pPr>
        <w:rPr>
          <w:lang w:val="es-ES_tradnl" w:eastAsia="ja-JP"/>
        </w:rPr>
      </w:pPr>
      <w:r w:rsidRPr="00140923">
        <w:rPr>
          <w:lang w:val="es-ES_tradnl" w:eastAsia="ja-JP"/>
        </w:rPr>
        <w:t>Para cada una de las gamas de frecuencias incluidas en los Cuadros 6 a 15, las dos columnas previstas comprenden los valores representativos de los sistemas más simples y de los sistemas más complejos, respectivamente (véase el § 4.2 del Anexo 2).</w:t>
      </w:r>
    </w:p>
    <w:p w14:paraId="117D1E87" w14:textId="6BFD66E6" w:rsidR="002B37E9" w:rsidRPr="00140923" w:rsidRDefault="002B37E9" w:rsidP="00664A5C">
      <w:pPr>
        <w:pStyle w:val="TableNo"/>
        <w:rPr>
          <w:lang w:val="es-ES_tradnl" w:eastAsia="ja-JP"/>
        </w:rPr>
      </w:pPr>
      <w:r w:rsidRPr="00664A5C">
        <w:t>CUADRO</w:t>
      </w:r>
      <w:r w:rsidRPr="00140923">
        <w:rPr>
          <w:lang w:val="es-ES_tradnl"/>
        </w:rPr>
        <w:t xml:space="preserve"> </w:t>
      </w:r>
      <w:r w:rsidRPr="00140923">
        <w:rPr>
          <w:lang w:val="es-ES_tradnl" w:eastAsia="ja-JP"/>
        </w:rPr>
        <w:t>6</w:t>
      </w:r>
    </w:p>
    <w:p w14:paraId="0808E9CD" w14:textId="7B5A5DCD" w:rsidR="002B37E9" w:rsidRPr="00140923" w:rsidRDefault="002B37E9" w:rsidP="002B37E9">
      <w:pPr>
        <w:pStyle w:val="Tabletitle"/>
        <w:rPr>
          <w:lang w:val="es-ES_tradnl" w:eastAsia="ja-JP"/>
        </w:rPr>
      </w:pPr>
      <w:r w:rsidRPr="00140923">
        <w:rPr>
          <w:lang w:val="es-ES_tradnl" w:eastAsia="ja-JP"/>
        </w:rPr>
        <w:t xml:space="preserve">Parámetros de sistema para los sistemas punto a </w:t>
      </w:r>
      <w:r w:rsidRPr="00140923">
        <w:rPr>
          <w:lang w:val="es-ES_tradnl"/>
        </w:rPr>
        <w:t>punto</w:t>
      </w:r>
      <w:r w:rsidRPr="00140923">
        <w:rPr>
          <w:lang w:val="es-ES_tradnl" w:eastAsia="ja-JP"/>
        </w:rPr>
        <w:t xml:space="preserve"> del servicio fijo </w:t>
      </w:r>
      <w:r w:rsidR="00664A5C">
        <w:rPr>
          <w:lang w:val="es-ES_tradnl" w:eastAsia="ja-JP"/>
        </w:rPr>
        <w:br/>
      </w:r>
      <w:r w:rsidRPr="00140923">
        <w:rPr>
          <w:lang w:val="es-ES_tradnl" w:eastAsia="ja-JP"/>
        </w:rPr>
        <w:t>en bandas atribuidas por debajo de 400 MHz</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4103"/>
      </w:tblGrid>
      <w:tr w:rsidR="002B37E9" w:rsidRPr="00140923" w14:paraId="72A943C8" w14:textId="77777777" w:rsidTr="00664A5C">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FE1F42" w14:textId="77777777" w:rsidR="002B37E9" w:rsidRPr="00140923" w:rsidRDefault="002B37E9" w:rsidP="00664A5C">
            <w:pPr>
              <w:pStyle w:val="Tablehead"/>
              <w:rPr>
                <w:lang w:val="es-ES_tradnl"/>
              </w:rPr>
            </w:pPr>
            <w:r w:rsidRPr="00140923">
              <w:rPr>
                <w:lang w:val="es-ES_tradnl" w:eastAsia="ja-JP"/>
              </w:rPr>
              <w:t xml:space="preserve">Gama de frecuencias </w:t>
            </w:r>
            <w:r w:rsidRPr="00140923">
              <w:rPr>
                <w:lang w:val="es-ES_tradnl" w:eastAsia="ja-JP"/>
              </w:rPr>
              <w:br/>
              <w:t>(MHz)</w:t>
            </w:r>
          </w:p>
        </w:tc>
        <w:tc>
          <w:tcPr>
            <w:tcW w:w="4103" w:type="dxa"/>
            <w:tcBorders>
              <w:top w:val="single" w:sz="4" w:space="0" w:color="auto"/>
              <w:left w:val="single" w:sz="4" w:space="0" w:color="auto"/>
              <w:bottom w:val="single" w:sz="4" w:space="0" w:color="auto"/>
              <w:right w:val="single" w:sz="4" w:space="0" w:color="auto"/>
            </w:tcBorders>
            <w:vAlign w:val="center"/>
            <w:hideMark/>
          </w:tcPr>
          <w:p w14:paraId="28021340" w14:textId="77777777" w:rsidR="002B37E9" w:rsidRPr="00140923" w:rsidRDefault="002B37E9" w:rsidP="00664A5C">
            <w:pPr>
              <w:pStyle w:val="Tablehead"/>
              <w:rPr>
                <w:lang w:val="es-ES_tradnl" w:eastAsia="ja-JP"/>
              </w:rPr>
            </w:pPr>
            <w:r w:rsidRPr="00140923">
              <w:rPr>
                <w:lang w:val="es-ES_tradnl" w:eastAsia="ja-JP"/>
              </w:rPr>
              <w:t>54,02-66,26</w:t>
            </w:r>
          </w:p>
        </w:tc>
      </w:tr>
      <w:tr w:rsidR="002B37E9" w:rsidRPr="00140923" w14:paraId="117CE4F9" w14:textId="77777777" w:rsidTr="00226764">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9A3F13" w14:textId="77777777" w:rsidR="002B37E9" w:rsidRPr="00140923" w:rsidRDefault="002B37E9" w:rsidP="00664A5C">
            <w:pPr>
              <w:pStyle w:val="Tabletext"/>
              <w:jc w:val="left"/>
              <w:rPr>
                <w:lang w:val="es-ES_tradnl"/>
              </w:rPr>
            </w:pPr>
            <w:r w:rsidRPr="00140923">
              <w:rPr>
                <w:lang w:val="es-ES_tradnl"/>
              </w:rPr>
              <w:t>Recomendación UIT-R de referencia</w:t>
            </w:r>
          </w:p>
        </w:tc>
        <w:tc>
          <w:tcPr>
            <w:tcW w:w="4103" w:type="dxa"/>
            <w:tcBorders>
              <w:top w:val="single" w:sz="4" w:space="0" w:color="auto"/>
              <w:left w:val="single" w:sz="4" w:space="0" w:color="auto"/>
              <w:bottom w:val="single" w:sz="4" w:space="0" w:color="auto"/>
              <w:right w:val="single" w:sz="4" w:space="0" w:color="auto"/>
            </w:tcBorders>
          </w:tcPr>
          <w:p w14:paraId="527299A3" w14:textId="77777777" w:rsidR="002B37E9" w:rsidRPr="00140923" w:rsidRDefault="002B37E9" w:rsidP="00226764">
            <w:pPr>
              <w:pStyle w:val="Tabletext"/>
              <w:jc w:val="center"/>
              <w:rPr>
                <w:lang w:val="es-ES_tradnl"/>
              </w:rPr>
            </w:pPr>
          </w:p>
        </w:tc>
      </w:tr>
      <w:tr w:rsidR="002B37E9" w:rsidRPr="00140923" w14:paraId="498BC001" w14:textId="77777777" w:rsidTr="004F7602">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68E75D" w14:textId="77777777" w:rsidR="002B37E9" w:rsidRPr="00140923" w:rsidRDefault="002B37E9" w:rsidP="00664A5C">
            <w:pPr>
              <w:pStyle w:val="Tabletext"/>
              <w:jc w:val="left"/>
              <w:rPr>
                <w:lang w:val="es-ES_tradnl"/>
              </w:rPr>
            </w:pPr>
            <w:r w:rsidRPr="00140923">
              <w:rPr>
                <w:lang w:val="es-ES_tradnl"/>
              </w:rPr>
              <w:t>Modulación</w:t>
            </w:r>
          </w:p>
        </w:tc>
        <w:tc>
          <w:tcPr>
            <w:tcW w:w="4103" w:type="dxa"/>
            <w:tcBorders>
              <w:top w:val="single" w:sz="4" w:space="0" w:color="auto"/>
              <w:left w:val="single" w:sz="4" w:space="0" w:color="auto"/>
              <w:bottom w:val="single" w:sz="4" w:space="0" w:color="auto"/>
              <w:right w:val="single" w:sz="4" w:space="0" w:color="auto"/>
            </w:tcBorders>
            <w:hideMark/>
          </w:tcPr>
          <w:p w14:paraId="7680E2DA" w14:textId="77777777" w:rsidR="002B37E9" w:rsidRPr="00140923" w:rsidRDefault="002B37E9" w:rsidP="00226764">
            <w:pPr>
              <w:pStyle w:val="Tabletext"/>
              <w:jc w:val="center"/>
              <w:rPr>
                <w:lang w:val="es-ES_tradnl"/>
              </w:rPr>
            </w:pPr>
            <w:r w:rsidRPr="004F7602">
              <w:rPr>
                <w:lang w:val="es-ES_tradnl"/>
              </w:rPr>
              <w:t>MDP-4, MAQ-16, MAQ-64, MAQ-256</w:t>
            </w:r>
          </w:p>
        </w:tc>
      </w:tr>
      <w:tr w:rsidR="002B37E9" w:rsidRPr="00140923" w14:paraId="7401A1E2" w14:textId="77777777" w:rsidTr="00226764">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51B51E" w14:textId="77777777" w:rsidR="002B37E9" w:rsidRPr="00140923" w:rsidRDefault="002B37E9" w:rsidP="00664A5C">
            <w:pPr>
              <w:pStyle w:val="Tabletext"/>
              <w:jc w:val="left"/>
              <w:rPr>
                <w:lang w:val="es-ES_tradnl"/>
              </w:rPr>
            </w:pPr>
            <w:r w:rsidRPr="00140923">
              <w:rPr>
                <w:lang w:val="es-ES_tradnl"/>
              </w:rPr>
              <w:t>Separación de canales y anchura de banda de ruido del receptor (MHz)</w:t>
            </w:r>
          </w:p>
        </w:tc>
        <w:tc>
          <w:tcPr>
            <w:tcW w:w="4103" w:type="dxa"/>
            <w:tcBorders>
              <w:top w:val="single" w:sz="4" w:space="0" w:color="auto"/>
              <w:left w:val="single" w:sz="4" w:space="0" w:color="auto"/>
              <w:bottom w:val="single" w:sz="4" w:space="0" w:color="auto"/>
              <w:right w:val="single" w:sz="4" w:space="0" w:color="auto"/>
            </w:tcBorders>
            <w:hideMark/>
          </w:tcPr>
          <w:p w14:paraId="069DEFB5" w14:textId="77777777" w:rsidR="002B37E9" w:rsidRPr="00140923" w:rsidRDefault="002B37E9" w:rsidP="00226764">
            <w:pPr>
              <w:pStyle w:val="Tabletext"/>
              <w:jc w:val="center"/>
              <w:rPr>
                <w:lang w:val="es-ES_tradnl"/>
              </w:rPr>
            </w:pPr>
            <w:r w:rsidRPr="00140923">
              <w:rPr>
                <w:lang w:val="es-ES_tradnl"/>
              </w:rPr>
              <w:t>0,12</w:t>
            </w:r>
          </w:p>
        </w:tc>
      </w:tr>
      <w:tr w:rsidR="002B37E9" w:rsidRPr="00140923" w14:paraId="6B6A6711" w14:textId="77777777" w:rsidTr="00226764">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AC3E9A" w14:textId="77777777" w:rsidR="002B37E9" w:rsidRPr="00140923" w:rsidRDefault="002B37E9" w:rsidP="00664A5C">
            <w:pPr>
              <w:pStyle w:val="Tabletext"/>
              <w:jc w:val="left"/>
              <w:rPr>
                <w:lang w:val="es-ES_tradnl"/>
              </w:rPr>
            </w:pPr>
            <w:r w:rsidRPr="00140923">
              <w:rPr>
                <w:lang w:val="es-ES_tradnl"/>
              </w:rPr>
              <w:t>Gama de potencia de salida del transmisor (dBW)</w:t>
            </w:r>
          </w:p>
        </w:tc>
        <w:tc>
          <w:tcPr>
            <w:tcW w:w="4103" w:type="dxa"/>
            <w:tcBorders>
              <w:top w:val="single" w:sz="4" w:space="0" w:color="auto"/>
              <w:left w:val="single" w:sz="4" w:space="0" w:color="auto"/>
              <w:bottom w:val="single" w:sz="4" w:space="0" w:color="auto"/>
              <w:right w:val="single" w:sz="4" w:space="0" w:color="auto"/>
            </w:tcBorders>
            <w:hideMark/>
          </w:tcPr>
          <w:p w14:paraId="53EAA28A" w14:textId="77777777" w:rsidR="002B37E9" w:rsidRPr="00140923" w:rsidRDefault="002B37E9" w:rsidP="00226764">
            <w:pPr>
              <w:pStyle w:val="Tabletext"/>
              <w:jc w:val="center"/>
              <w:rPr>
                <w:lang w:val="es-ES_tradnl"/>
              </w:rPr>
            </w:pPr>
            <w:r w:rsidRPr="00140923">
              <w:rPr>
                <w:lang w:val="es-ES_tradnl"/>
              </w:rPr>
              <w:t>10</w:t>
            </w:r>
          </w:p>
        </w:tc>
      </w:tr>
      <w:tr w:rsidR="002B37E9" w:rsidRPr="00140923" w14:paraId="5851BB11" w14:textId="77777777" w:rsidTr="00226764">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00D655" w14:textId="77777777" w:rsidR="002B37E9" w:rsidRPr="00140923" w:rsidRDefault="002B37E9" w:rsidP="00664A5C">
            <w:pPr>
              <w:pStyle w:val="Tabletext"/>
              <w:jc w:val="left"/>
              <w:rPr>
                <w:lang w:val="es-ES_tradnl"/>
              </w:rPr>
            </w:pPr>
            <w:r w:rsidRPr="00140923">
              <w:rPr>
                <w:lang w:val="es-ES_tradnl"/>
              </w:rPr>
              <w:t>Gama de densidad de potencia de salida del transmisor (dBW/MHz)</w:t>
            </w:r>
          </w:p>
        </w:tc>
        <w:tc>
          <w:tcPr>
            <w:tcW w:w="4103" w:type="dxa"/>
            <w:tcBorders>
              <w:top w:val="single" w:sz="4" w:space="0" w:color="auto"/>
              <w:left w:val="single" w:sz="4" w:space="0" w:color="auto"/>
              <w:bottom w:val="single" w:sz="4" w:space="0" w:color="auto"/>
              <w:right w:val="single" w:sz="4" w:space="0" w:color="auto"/>
            </w:tcBorders>
            <w:hideMark/>
          </w:tcPr>
          <w:p w14:paraId="772B6F17" w14:textId="77777777" w:rsidR="002B37E9" w:rsidRPr="00140923" w:rsidRDefault="002B37E9" w:rsidP="00226764">
            <w:pPr>
              <w:pStyle w:val="Tabletext"/>
              <w:jc w:val="center"/>
              <w:rPr>
                <w:lang w:val="es-ES_tradnl"/>
              </w:rPr>
            </w:pPr>
            <w:r w:rsidRPr="00140923">
              <w:rPr>
                <w:lang w:val="es-ES_tradnl"/>
              </w:rPr>
              <w:t>19,2</w:t>
            </w:r>
          </w:p>
        </w:tc>
      </w:tr>
      <w:tr w:rsidR="002B37E9" w:rsidRPr="00140923" w14:paraId="1B855CE6" w14:textId="77777777" w:rsidTr="00226764">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8262CD" w14:textId="160337E9" w:rsidR="002B37E9" w:rsidRPr="00140923" w:rsidRDefault="002B37E9" w:rsidP="00664A5C">
            <w:pPr>
              <w:pStyle w:val="Tabletext"/>
              <w:jc w:val="left"/>
              <w:rPr>
                <w:lang w:val="es-ES_tradnl"/>
              </w:rPr>
            </w:pPr>
            <w:r w:rsidRPr="00140923">
              <w:rPr>
                <w:lang w:val="es-ES_tradnl"/>
              </w:rPr>
              <w:t xml:space="preserve">Gama de pérdida del alimentador/multiplexor (dB) </w:t>
            </w:r>
          </w:p>
        </w:tc>
        <w:tc>
          <w:tcPr>
            <w:tcW w:w="4103" w:type="dxa"/>
            <w:tcBorders>
              <w:top w:val="single" w:sz="4" w:space="0" w:color="auto"/>
              <w:left w:val="single" w:sz="4" w:space="0" w:color="auto"/>
              <w:bottom w:val="single" w:sz="4" w:space="0" w:color="auto"/>
              <w:right w:val="single" w:sz="4" w:space="0" w:color="auto"/>
            </w:tcBorders>
            <w:hideMark/>
          </w:tcPr>
          <w:p w14:paraId="6F153454" w14:textId="77777777" w:rsidR="002B37E9" w:rsidRPr="00140923" w:rsidRDefault="002B37E9" w:rsidP="00226764">
            <w:pPr>
              <w:pStyle w:val="Tabletext"/>
              <w:jc w:val="center"/>
              <w:rPr>
                <w:lang w:val="es-ES_tradnl"/>
              </w:rPr>
            </w:pPr>
            <w:r w:rsidRPr="00140923">
              <w:rPr>
                <w:lang w:val="es-ES_tradnl"/>
              </w:rPr>
              <w:t>3</w:t>
            </w:r>
          </w:p>
        </w:tc>
      </w:tr>
      <w:tr w:rsidR="002B37E9" w:rsidRPr="00140923" w14:paraId="3AF21A62" w14:textId="77777777" w:rsidTr="00226764">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49AA0F" w14:textId="77777777" w:rsidR="002B37E9" w:rsidRPr="00140923" w:rsidRDefault="002B37E9" w:rsidP="00664A5C">
            <w:pPr>
              <w:pStyle w:val="Tabletext"/>
              <w:jc w:val="left"/>
              <w:rPr>
                <w:lang w:val="es-ES_tradnl"/>
              </w:rPr>
            </w:pPr>
            <w:r w:rsidRPr="00140923">
              <w:rPr>
                <w:lang w:val="es-ES_tradnl"/>
              </w:rPr>
              <w:t>Gama de ganancia (dBi) de la antena</w:t>
            </w:r>
          </w:p>
        </w:tc>
        <w:tc>
          <w:tcPr>
            <w:tcW w:w="4103" w:type="dxa"/>
            <w:tcBorders>
              <w:top w:val="single" w:sz="4" w:space="0" w:color="auto"/>
              <w:left w:val="single" w:sz="4" w:space="0" w:color="auto"/>
              <w:bottom w:val="single" w:sz="4" w:space="0" w:color="auto"/>
              <w:right w:val="single" w:sz="4" w:space="0" w:color="auto"/>
            </w:tcBorders>
            <w:hideMark/>
          </w:tcPr>
          <w:p w14:paraId="330DFEBB" w14:textId="77777777" w:rsidR="002B37E9" w:rsidRPr="00140923" w:rsidRDefault="002B37E9" w:rsidP="00226764">
            <w:pPr>
              <w:pStyle w:val="Tabletext"/>
              <w:jc w:val="center"/>
              <w:rPr>
                <w:lang w:val="es-ES_tradnl"/>
              </w:rPr>
            </w:pPr>
            <w:r w:rsidRPr="00140923">
              <w:rPr>
                <w:lang w:val="es-ES_tradnl"/>
              </w:rPr>
              <w:t>11,15 (yagi)</w:t>
            </w:r>
          </w:p>
        </w:tc>
      </w:tr>
      <w:tr w:rsidR="002B37E9" w:rsidRPr="00140923" w14:paraId="1F4D09B9" w14:textId="77777777" w:rsidTr="00226764">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EB0242" w14:textId="77777777" w:rsidR="002B37E9" w:rsidRPr="00140923" w:rsidRDefault="002B37E9" w:rsidP="00664A5C">
            <w:pPr>
              <w:pStyle w:val="Tabletext"/>
              <w:jc w:val="left"/>
              <w:rPr>
                <w:lang w:val="es-ES_tradnl"/>
              </w:rPr>
            </w:pPr>
            <w:r w:rsidRPr="00140923">
              <w:rPr>
                <w:lang w:val="es-ES_tradnl"/>
              </w:rPr>
              <w:t xml:space="preserve">Gama de la p.i.r.e. (dBW) </w:t>
            </w:r>
          </w:p>
        </w:tc>
        <w:tc>
          <w:tcPr>
            <w:tcW w:w="4103" w:type="dxa"/>
            <w:tcBorders>
              <w:top w:val="single" w:sz="4" w:space="0" w:color="auto"/>
              <w:left w:val="single" w:sz="4" w:space="0" w:color="auto"/>
              <w:bottom w:val="single" w:sz="4" w:space="0" w:color="auto"/>
              <w:right w:val="single" w:sz="4" w:space="0" w:color="auto"/>
            </w:tcBorders>
            <w:hideMark/>
          </w:tcPr>
          <w:p w14:paraId="76C283F3" w14:textId="77777777" w:rsidR="002B37E9" w:rsidRPr="00140923" w:rsidRDefault="002B37E9" w:rsidP="00226764">
            <w:pPr>
              <w:pStyle w:val="Tabletext"/>
              <w:jc w:val="center"/>
              <w:rPr>
                <w:lang w:val="es-ES_tradnl"/>
              </w:rPr>
            </w:pPr>
            <w:r w:rsidRPr="00140923">
              <w:rPr>
                <w:lang w:val="es-ES_tradnl"/>
              </w:rPr>
              <w:t>19,2</w:t>
            </w:r>
          </w:p>
        </w:tc>
      </w:tr>
      <w:tr w:rsidR="002B37E9" w:rsidRPr="00140923" w14:paraId="71483B32" w14:textId="77777777" w:rsidTr="00226764">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7ACF34" w14:textId="77777777" w:rsidR="002B37E9" w:rsidRPr="00140923" w:rsidRDefault="002B37E9" w:rsidP="00664A5C">
            <w:pPr>
              <w:pStyle w:val="Tabletext"/>
              <w:jc w:val="left"/>
              <w:rPr>
                <w:lang w:val="es-ES_tradnl"/>
              </w:rPr>
            </w:pPr>
            <w:r w:rsidRPr="00140923">
              <w:rPr>
                <w:lang w:val="es-ES_tradnl"/>
              </w:rPr>
              <w:t>Gama de densidad de p.i.r.e. (dBW/MHz)</w:t>
            </w:r>
          </w:p>
        </w:tc>
        <w:tc>
          <w:tcPr>
            <w:tcW w:w="4103" w:type="dxa"/>
            <w:tcBorders>
              <w:top w:val="single" w:sz="4" w:space="0" w:color="auto"/>
              <w:left w:val="single" w:sz="4" w:space="0" w:color="auto"/>
              <w:bottom w:val="single" w:sz="4" w:space="0" w:color="auto"/>
              <w:right w:val="single" w:sz="4" w:space="0" w:color="auto"/>
            </w:tcBorders>
            <w:hideMark/>
          </w:tcPr>
          <w:p w14:paraId="276BE54B" w14:textId="77777777" w:rsidR="002B37E9" w:rsidRPr="00140923" w:rsidRDefault="002B37E9" w:rsidP="00226764">
            <w:pPr>
              <w:pStyle w:val="Tabletext"/>
              <w:jc w:val="center"/>
              <w:rPr>
                <w:lang w:val="es-ES_tradnl"/>
              </w:rPr>
            </w:pPr>
            <w:r w:rsidRPr="00140923">
              <w:rPr>
                <w:lang w:val="es-ES_tradnl"/>
              </w:rPr>
              <w:t>27,4</w:t>
            </w:r>
          </w:p>
        </w:tc>
      </w:tr>
      <w:tr w:rsidR="002B37E9" w:rsidRPr="00140923" w14:paraId="3FC9B0F8" w14:textId="77777777" w:rsidTr="00226764">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13DBE8" w14:textId="77777777" w:rsidR="002B37E9" w:rsidRPr="00140923" w:rsidRDefault="002B37E9" w:rsidP="00664A5C">
            <w:pPr>
              <w:pStyle w:val="Tabletext"/>
              <w:jc w:val="left"/>
              <w:rPr>
                <w:lang w:val="es-ES_tradnl"/>
              </w:rPr>
            </w:pPr>
            <w:r w:rsidRPr="00140923">
              <w:rPr>
                <w:lang w:val="es-ES_tradnl"/>
              </w:rPr>
              <w:t xml:space="preserve">Factor de ruido típico del receptor (dB) </w:t>
            </w:r>
          </w:p>
        </w:tc>
        <w:tc>
          <w:tcPr>
            <w:tcW w:w="4103" w:type="dxa"/>
            <w:tcBorders>
              <w:top w:val="single" w:sz="4" w:space="0" w:color="auto"/>
              <w:left w:val="single" w:sz="4" w:space="0" w:color="auto"/>
              <w:bottom w:val="single" w:sz="4" w:space="0" w:color="auto"/>
              <w:right w:val="single" w:sz="4" w:space="0" w:color="auto"/>
            </w:tcBorders>
            <w:hideMark/>
          </w:tcPr>
          <w:p w14:paraId="43E83F1A" w14:textId="77777777" w:rsidR="002B37E9" w:rsidRPr="00140923" w:rsidRDefault="002B37E9" w:rsidP="00226764">
            <w:pPr>
              <w:pStyle w:val="Tabletext"/>
              <w:jc w:val="center"/>
              <w:rPr>
                <w:lang w:val="es-ES_tradnl"/>
              </w:rPr>
            </w:pPr>
            <w:r w:rsidRPr="00140923">
              <w:rPr>
                <w:lang w:val="es-ES_tradnl"/>
              </w:rPr>
              <w:t>6,4</w:t>
            </w:r>
          </w:p>
        </w:tc>
      </w:tr>
      <w:tr w:rsidR="002B37E9" w:rsidRPr="00140923" w14:paraId="507ED6C4" w14:textId="77777777" w:rsidTr="00226764">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9702D8" w14:textId="5B86D1CE" w:rsidR="002B37E9" w:rsidRPr="00B233F6" w:rsidRDefault="002B37E9" w:rsidP="00664A5C">
            <w:pPr>
              <w:pStyle w:val="Tabletext"/>
              <w:jc w:val="left"/>
              <w:rPr>
                <w:szCs w:val="22"/>
                <w:lang w:val="es-ES_tradnl"/>
              </w:rPr>
            </w:pPr>
            <w:r w:rsidRPr="00B233F6">
              <w:rPr>
                <w:szCs w:val="22"/>
                <w:lang w:val="es-ES_tradnl"/>
              </w:rPr>
              <w:t>Densidad de potencia de ruido típica del receptor (=</w:t>
            </w:r>
            <w:r w:rsidR="00B233F6">
              <w:rPr>
                <w:szCs w:val="22"/>
                <w:lang w:val="es-ES_tradnl"/>
              </w:rPr>
              <w:t xml:space="preserve"> </w:t>
            </w:r>
            <w:r w:rsidR="00B233F6" w:rsidRPr="00B233F6">
              <w:rPr>
                <w:i/>
                <w:iCs/>
                <w:szCs w:val="22"/>
                <w:lang w:val="es-ES_tradnl" w:eastAsia="ja-JP"/>
              </w:rPr>
              <w:t>N</w:t>
            </w:r>
            <w:r w:rsidR="00B233F6" w:rsidRPr="00B233F6">
              <w:rPr>
                <w:i/>
                <w:iCs/>
                <w:szCs w:val="22"/>
                <w:vertAlign w:val="subscript"/>
                <w:lang w:val="es-ES_tradnl"/>
              </w:rPr>
              <w:t>RX</w:t>
            </w:r>
            <w:r w:rsidRPr="00B233F6">
              <w:rPr>
                <w:szCs w:val="22"/>
                <w:lang w:val="es-ES_tradnl"/>
              </w:rPr>
              <w:t>) (dBW/MHz)</w:t>
            </w:r>
          </w:p>
        </w:tc>
        <w:tc>
          <w:tcPr>
            <w:tcW w:w="4103" w:type="dxa"/>
            <w:tcBorders>
              <w:top w:val="single" w:sz="4" w:space="0" w:color="auto"/>
              <w:left w:val="single" w:sz="4" w:space="0" w:color="auto"/>
              <w:bottom w:val="single" w:sz="4" w:space="0" w:color="auto"/>
              <w:right w:val="single" w:sz="4" w:space="0" w:color="auto"/>
            </w:tcBorders>
            <w:hideMark/>
          </w:tcPr>
          <w:p w14:paraId="3754EFC3" w14:textId="4E9A981A" w:rsidR="002B37E9" w:rsidRPr="00140923" w:rsidRDefault="00664A5C" w:rsidP="00226764">
            <w:pPr>
              <w:pStyle w:val="Tabletext"/>
              <w:jc w:val="center"/>
              <w:rPr>
                <w:lang w:val="es-ES_tradnl"/>
              </w:rPr>
            </w:pPr>
            <w:r w:rsidRPr="00664A5C">
              <w:rPr>
                <w:lang w:val="es-ES_tradnl"/>
              </w:rPr>
              <w:t>−</w:t>
            </w:r>
            <w:r w:rsidR="002B37E9" w:rsidRPr="00140923">
              <w:rPr>
                <w:lang w:val="es-ES_tradnl"/>
              </w:rPr>
              <w:t>137,6</w:t>
            </w:r>
          </w:p>
        </w:tc>
      </w:tr>
      <w:tr w:rsidR="002B37E9" w:rsidRPr="00140923" w14:paraId="722F4FA5" w14:textId="77777777" w:rsidTr="00226764">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020F9F" w14:textId="0529FD4A" w:rsidR="002B37E9" w:rsidRPr="00140923" w:rsidRDefault="002B37E9" w:rsidP="00664A5C">
            <w:pPr>
              <w:pStyle w:val="Tabletext"/>
              <w:jc w:val="left"/>
              <w:rPr>
                <w:lang w:val="es-ES_tradnl"/>
              </w:rPr>
            </w:pPr>
            <w:r w:rsidRPr="00140923">
              <w:rPr>
                <w:lang w:val="es-ES_tradnl"/>
              </w:rPr>
              <w:t>Nivel de entrada normalizado del receptor para una BER de 1 </w:t>
            </w:r>
            <w:r w:rsidR="00B233F6">
              <w:rPr>
                <w:lang w:val="es-ES_tradnl"/>
              </w:rPr>
              <w:t>×</w:t>
            </w:r>
            <w:r w:rsidRPr="00140923">
              <w:rPr>
                <w:lang w:val="es-ES_tradnl"/>
              </w:rPr>
              <w:t> </w:t>
            </w:r>
            <w:r w:rsidR="00664A5C" w:rsidRPr="00140923">
              <w:rPr>
                <w:lang w:val="es-ES_tradnl" w:eastAsia="ja-JP"/>
              </w:rPr>
              <w:t>10</w:t>
            </w:r>
            <w:r w:rsidR="00A941C1" w:rsidRPr="00A941C1">
              <w:rPr>
                <w:vertAlign w:val="superscript"/>
                <w:lang w:val="es-ES_tradnl" w:eastAsia="ja-JP"/>
              </w:rPr>
              <w:t>−</w:t>
            </w:r>
            <w:r w:rsidR="00664A5C" w:rsidRPr="00140923">
              <w:rPr>
                <w:vertAlign w:val="superscript"/>
                <w:lang w:val="es-ES_tradnl" w:eastAsia="ja-JP"/>
              </w:rPr>
              <w:t>6</w:t>
            </w:r>
            <w:r w:rsidRPr="00140923">
              <w:rPr>
                <w:lang w:val="es-ES_tradnl"/>
              </w:rPr>
              <w:t xml:space="preserve"> (dBW/MHz)</w:t>
            </w:r>
          </w:p>
        </w:tc>
        <w:tc>
          <w:tcPr>
            <w:tcW w:w="4103" w:type="dxa"/>
            <w:tcBorders>
              <w:top w:val="single" w:sz="4" w:space="0" w:color="auto"/>
              <w:left w:val="single" w:sz="4" w:space="0" w:color="auto"/>
              <w:bottom w:val="single" w:sz="4" w:space="0" w:color="auto"/>
              <w:right w:val="single" w:sz="4" w:space="0" w:color="auto"/>
            </w:tcBorders>
            <w:hideMark/>
          </w:tcPr>
          <w:p w14:paraId="431E0840" w14:textId="6F5740A0" w:rsidR="002B37E9" w:rsidRPr="00140923" w:rsidRDefault="00664A5C" w:rsidP="00226764">
            <w:pPr>
              <w:pStyle w:val="Tabletext"/>
              <w:jc w:val="center"/>
              <w:rPr>
                <w:lang w:val="es-ES_tradnl"/>
              </w:rPr>
            </w:pPr>
            <w:r w:rsidRPr="00664A5C">
              <w:rPr>
                <w:lang w:val="es-ES_tradnl"/>
              </w:rPr>
              <w:t>−</w:t>
            </w:r>
            <w:r w:rsidR="002B37E9" w:rsidRPr="00140923">
              <w:rPr>
                <w:lang w:val="es-ES_tradnl"/>
              </w:rPr>
              <w:t>111,4</w:t>
            </w:r>
          </w:p>
        </w:tc>
      </w:tr>
      <w:tr w:rsidR="002B37E9" w:rsidRPr="00140923" w14:paraId="71197780" w14:textId="77777777" w:rsidTr="00226764">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0F6953" w14:textId="77777777" w:rsidR="002B37E9" w:rsidRPr="00140923" w:rsidRDefault="002B37E9" w:rsidP="00664A5C">
            <w:pPr>
              <w:pStyle w:val="Tabletext"/>
              <w:jc w:val="left"/>
              <w:rPr>
                <w:lang w:val="es-ES_tradnl"/>
              </w:rPr>
            </w:pPr>
            <w:r w:rsidRPr="00140923">
              <w:rPr>
                <w:lang w:val="es-ES_tradnl"/>
              </w:rPr>
              <w:t xml:space="preserve">Densidad de potencia de interferencia a largo plazo nominal (dBW/MHz) </w:t>
            </w:r>
          </w:p>
        </w:tc>
        <w:tc>
          <w:tcPr>
            <w:tcW w:w="4103" w:type="dxa"/>
            <w:tcBorders>
              <w:top w:val="single" w:sz="4" w:space="0" w:color="auto"/>
              <w:left w:val="single" w:sz="4" w:space="0" w:color="auto"/>
              <w:bottom w:val="single" w:sz="4" w:space="0" w:color="auto"/>
              <w:right w:val="single" w:sz="4" w:space="0" w:color="auto"/>
            </w:tcBorders>
            <w:hideMark/>
          </w:tcPr>
          <w:p w14:paraId="16485CB6" w14:textId="3AD5693A" w:rsidR="002B37E9" w:rsidRPr="00140923" w:rsidRDefault="00664A5C" w:rsidP="00226764">
            <w:pPr>
              <w:pStyle w:val="Tabletext"/>
              <w:jc w:val="center"/>
              <w:rPr>
                <w:lang w:val="es-ES_tradnl"/>
              </w:rPr>
            </w:pPr>
            <w:r w:rsidRPr="00664A5C">
              <w:rPr>
                <w:lang w:val="es-ES_tradnl"/>
              </w:rPr>
              <w:t>−</w:t>
            </w:r>
            <w:r w:rsidR="002B37E9" w:rsidRPr="00140923">
              <w:rPr>
                <w:lang w:val="es-ES_tradnl"/>
              </w:rPr>
              <w:t>137</w:t>
            </w:r>
            <w:r w:rsidR="00B233F6">
              <w:rPr>
                <w:lang w:val="es-ES_tradnl"/>
              </w:rPr>
              <w:t>,</w:t>
            </w:r>
            <w:r w:rsidR="002B37E9" w:rsidRPr="00140923">
              <w:rPr>
                <w:lang w:val="es-ES_tradnl"/>
              </w:rPr>
              <w:t xml:space="preserve">6 + </w:t>
            </w:r>
            <w:r w:rsidR="002B37E9" w:rsidRPr="00140923">
              <w:rPr>
                <w:i/>
                <w:iCs/>
                <w:lang w:val="es-ES_tradnl"/>
              </w:rPr>
              <w:t>I</w:t>
            </w:r>
            <w:r w:rsidR="002B37E9" w:rsidRPr="00140923">
              <w:rPr>
                <w:lang w:val="es-ES_tradnl"/>
              </w:rPr>
              <w:t>/</w:t>
            </w:r>
            <w:r w:rsidR="002B37E9" w:rsidRPr="00140923">
              <w:rPr>
                <w:i/>
                <w:iCs/>
                <w:lang w:val="es-ES_tradnl"/>
              </w:rPr>
              <w:t>N</w:t>
            </w:r>
          </w:p>
        </w:tc>
      </w:tr>
    </w:tbl>
    <w:p w14:paraId="78859C76" w14:textId="77777777" w:rsidR="00664A5C" w:rsidRPr="00140923" w:rsidRDefault="00664A5C" w:rsidP="00664A5C">
      <w:pPr>
        <w:pStyle w:val="Tablefin"/>
        <w:tabs>
          <w:tab w:val="left" w:pos="720"/>
        </w:tabs>
        <w:rPr>
          <w:lang w:val="es-ES_tradnl"/>
        </w:rPr>
      </w:pPr>
    </w:p>
    <w:p w14:paraId="1AEB652A" w14:textId="77777777" w:rsidR="002B37E9" w:rsidRPr="00140923" w:rsidRDefault="002B37E9" w:rsidP="002B37E9">
      <w:pPr>
        <w:rPr>
          <w:lang w:val="es-ES_tradnl" w:eastAsia="ja-JP"/>
        </w:rPr>
      </w:pPr>
    </w:p>
    <w:p w14:paraId="5394B7FA" w14:textId="77777777" w:rsidR="002B37E9" w:rsidRPr="00140923" w:rsidRDefault="002B37E9" w:rsidP="002B37E9">
      <w:pPr>
        <w:rPr>
          <w:lang w:val="es-ES_tradnl" w:eastAsia="ja-JP"/>
        </w:rPr>
        <w:sectPr w:rsidR="002B37E9" w:rsidRPr="00140923" w:rsidSect="00E969FD">
          <w:headerReference w:type="even" r:id="rId112"/>
          <w:headerReference w:type="default" r:id="rId113"/>
          <w:footerReference w:type="default" r:id="rId114"/>
          <w:footerReference w:type="first" r:id="rId115"/>
          <w:pgSz w:w="11907" w:h="16834" w:code="9"/>
          <w:pgMar w:top="1418" w:right="1134" w:bottom="1134" w:left="1134" w:header="567" w:footer="482" w:gutter="0"/>
          <w:paperSrc w:first="15" w:other="15"/>
          <w:pgNumType w:start="1"/>
          <w:cols w:space="720"/>
          <w:docGrid w:linePitch="326"/>
        </w:sectPr>
      </w:pPr>
    </w:p>
    <w:p w14:paraId="0B62C2BF" w14:textId="77777777" w:rsidR="002B37E9" w:rsidRPr="00140923" w:rsidRDefault="002B37E9" w:rsidP="002B37E9">
      <w:pPr>
        <w:pStyle w:val="TableNo"/>
        <w:spacing w:before="120"/>
        <w:rPr>
          <w:lang w:val="es-ES_tradnl" w:eastAsia="ja-JP"/>
        </w:rPr>
      </w:pPr>
      <w:r w:rsidRPr="00140923">
        <w:rPr>
          <w:lang w:val="es-ES_tradnl"/>
        </w:rPr>
        <w:lastRenderedPageBreak/>
        <w:t xml:space="preserve">CUADRO </w:t>
      </w:r>
      <w:r w:rsidRPr="00140923">
        <w:rPr>
          <w:lang w:val="es-ES_tradnl" w:eastAsia="ja-JP"/>
        </w:rPr>
        <w:t>7</w:t>
      </w:r>
    </w:p>
    <w:p w14:paraId="66D5D374" w14:textId="77777777" w:rsidR="002B37E9" w:rsidRPr="00140923" w:rsidRDefault="002B37E9" w:rsidP="002B37E9">
      <w:pPr>
        <w:pStyle w:val="Tabletitle"/>
        <w:rPr>
          <w:lang w:val="es-ES_tradnl" w:eastAsia="ja-JP"/>
        </w:rPr>
      </w:pPr>
      <w:r w:rsidRPr="00140923">
        <w:rPr>
          <w:lang w:val="es-ES_tradnl" w:eastAsia="ja-JP"/>
        </w:rPr>
        <w:t xml:space="preserve">Parámetros de sistema para los sistemas punto a </w:t>
      </w:r>
      <w:r w:rsidRPr="00140923">
        <w:rPr>
          <w:lang w:val="es-ES_tradnl"/>
        </w:rPr>
        <w:t>punto</w:t>
      </w:r>
      <w:r w:rsidRPr="00140923">
        <w:rPr>
          <w:lang w:val="es-ES_tradnl" w:eastAsia="ja-JP"/>
        </w:rPr>
        <w:t xml:space="preserve"> del servicio fijo en bandas atribuidas entre 0,4 y 3 GHz</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1362"/>
        <w:gridCol w:w="1362"/>
        <w:gridCol w:w="1305"/>
        <w:gridCol w:w="907"/>
        <w:gridCol w:w="907"/>
        <w:gridCol w:w="850"/>
        <w:gridCol w:w="1361"/>
        <w:gridCol w:w="1247"/>
        <w:gridCol w:w="907"/>
        <w:gridCol w:w="1077"/>
      </w:tblGrid>
      <w:tr w:rsidR="002B37E9" w:rsidRPr="00140923" w14:paraId="5B1F119F"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1E0094" w14:textId="77777777" w:rsidR="002B37E9" w:rsidRPr="004F7602" w:rsidRDefault="002B37E9" w:rsidP="00664A5C">
            <w:pPr>
              <w:pStyle w:val="Tablehead"/>
              <w:rPr>
                <w:sz w:val="20"/>
                <w:lang w:val="es-ES_tradnl"/>
              </w:rPr>
            </w:pPr>
            <w:r w:rsidRPr="004F7602">
              <w:rPr>
                <w:sz w:val="20"/>
                <w:lang w:val="es-ES_tradnl"/>
              </w:rPr>
              <w:t>Gama de frecuencias</w:t>
            </w:r>
            <w:r w:rsidRPr="004F7602">
              <w:rPr>
                <w:sz w:val="20"/>
                <w:lang w:val="es-ES_tradnl"/>
              </w:rPr>
              <w:br/>
              <w:t>(GHz)</w:t>
            </w:r>
          </w:p>
        </w:tc>
        <w:tc>
          <w:tcPr>
            <w:tcW w:w="2722" w:type="dxa"/>
            <w:gridSpan w:val="2"/>
            <w:tcBorders>
              <w:top w:val="single" w:sz="4" w:space="0" w:color="auto"/>
              <w:left w:val="single" w:sz="4" w:space="0" w:color="auto"/>
              <w:bottom w:val="single" w:sz="4" w:space="0" w:color="auto"/>
              <w:right w:val="single" w:sz="4" w:space="0" w:color="auto"/>
            </w:tcBorders>
            <w:vAlign w:val="center"/>
            <w:hideMark/>
          </w:tcPr>
          <w:p w14:paraId="7E08F5C5" w14:textId="77777777" w:rsidR="002B37E9" w:rsidRPr="004F7602" w:rsidRDefault="002B37E9" w:rsidP="00226764">
            <w:pPr>
              <w:pStyle w:val="Tablehead"/>
              <w:rPr>
                <w:sz w:val="20"/>
                <w:lang w:val="es-ES_tradnl"/>
              </w:rPr>
            </w:pPr>
            <w:r w:rsidRPr="004F7602">
              <w:rPr>
                <w:sz w:val="20"/>
                <w:lang w:val="es-ES_tradnl"/>
              </w:rPr>
              <w:t>0,4061-0,450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8C975C3" w14:textId="77777777" w:rsidR="002B37E9" w:rsidRPr="004F7602" w:rsidRDefault="002B37E9" w:rsidP="00226764">
            <w:pPr>
              <w:pStyle w:val="Tablehead"/>
              <w:rPr>
                <w:sz w:val="20"/>
                <w:lang w:val="es-ES_tradnl"/>
              </w:rPr>
            </w:pPr>
            <w:r w:rsidRPr="004F7602">
              <w:rPr>
                <w:sz w:val="20"/>
                <w:lang w:val="es-ES_tradnl" w:eastAsia="ja-JP"/>
              </w:rPr>
              <w:t>0,457-0,464</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23B78299" w14:textId="77777777" w:rsidR="002B37E9" w:rsidRPr="004F7602" w:rsidRDefault="002B37E9" w:rsidP="00226764">
            <w:pPr>
              <w:pStyle w:val="Tablehead"/>
              <w:rPr>
                <w:sz w:val="20"/>
                <w:lang w:val="es-ES_tradnl"/>
              </w:rPr>
            </w:pPr>
            <w:r w:rsidRPr="004F7602">
              <w:rPr>
                <w:sz w:val="20"/>
                <w:lang w:val="es-ES_tradnl"/>
              </w:rPr>
              <w:t>1,350-1,530</w:t>
            </w:r>
          </w:p>
        </w:tc>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5219E95E" w14:textId="77777777" w:rsidR="002B37E9" w:rsidRPr="004F7602" w:rsidRDefault="002B37E9" w:rsidP="00226764">
            <w:pPr>
              <w:pStyle w:val="Tablehead"/>
              <w:rPr>
                <w:sz w:val="20"/>
                <w:lang w:val="es-ES_tradnl"/>
              </w:rPr>
            </w:pPr>
            <w:r w:rsidRPr="004F7602">
              <w:rPr>
                <w:sz w:val="20"/>
                <w:lang w:val="es-ES_tradnl"/>
              </w:rPr>
              <w:t>1,700-2,100</w:t>
            </w:r>
            <w:r w:rsidRPr="004F7602">
              <w:rPr>
                <w:sz w:val="20"/>
                <w:lang w:val="es-ES_tradnl"/>
              </w:rPr>
              <w:br/>
              <w:t>1,900-2,300</w:t>
            </w:r>
          </w:p>
        </w:tc>
        <w:tc>
          <w:tcPr>
            <w:tcW w:w="2154" w:type="dxa"/>
            <w:gridSpan w:val="2"/>
            <w:tcBorders>
              <w:top w:val="single" w:sz="4" w:space="0" w:color="auto"/>
              <w:left w:val="single" w:sz="4" w:space="0" w:color="auto"/>
              <w:bottom w:val="single" w:sz="4" w:space="0" w:color="auto"/>
              <w:right w:val="single" w:sz="4" w:space="0" w:color="auto"/>
            </w:tcBorders>
            <w:vAlign w:val="center"/>
            <w:hideMark/>
          </w:tcPr>
          <w:p w14:paraId="471AA76B" w14:textId="77777777" w:rsidR="002B37E9" w:rsidRPr="004F7602" w:rsidRDefault="002B37E9" w:rsidP="00226764">
            <w:pPr>
              <w:pStyle w:val="Tablehead"/>
              <w:rPr>
                <w:sz w:val="20"/>
                <w:lang w:val="es-ES_tradnl"/>
              </w:rPr>
            </w:pPr>
            <w:r w:rsidRPr="004F7602">
              <w:rPr>
                <w:sz w:val="20"/>
                <w:lang w:val="es-ES_tradnl"/>
              </w:rPr>
              <w:t>1,900-2,300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4959FC4" w14:textId="77777777" w:rsidR="002B37E9" w:rsidRPr="004F7602" w:rsidRDefault="002B37E9" w:rsidP="00226764">
            <w:pPr>
              <w:pStyle w:val="Tablehead"/>
              <w:ind w:left="-43" w:hanging="14"/>
              <w:rPr>
                <w:sz w:val="20"/>
                <w:lang w:val="es-ES_tradnl"/>
              </w:rPr>
            </w:pPr>
            <w:r w:rsidRPr="004F7602">
              <w:rPr>
                <w:sz w:val="20"/>
                <w:lang w:val="es-ES_tradnl"/>
              </w:rPr>
              <w:t>2,290-2,670</w:t>
            </w:r>
          </w:p>
        </w:tc>
      </w:tr>
      <w:tr w:rsidR="002B37E9" w:rsidRPr="00140923" w14:paraId="1B12E90D"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F3DE6C" w14:textId="77777777" w:rsidR="002B37E9" w:rsidRPr="00140923" w:rsidRDefault="002B37E9" w:rsidP="00226764">
            <w:pPr>
              <w:pStyle w:val="Tabletext"/>
              <w:jc w:val="left"/>
              <w:rPr>
                <w:sz w:val="18"/>
                <w:szCs w:val="18"/>
                <w:lang w:val="es-ES_tradnl"/>
              </w:rPr>
            </w:pPr>
            <w:r w:rsidRPr="00140923">
              <w:rPr>
                <w:sz w:val="18"/>
                <w:szCs w:val="18"/>
                <w:lang w:val="es-ES_tradnl"/>
              </w:rPr>
              <w:t>Recomendación UIT-R de referencia</w:t>
            </w:r>
          </w:p>
        </w:tc>
        <w:tc>
          <w:tcPr>
            <w:tcW w:w="2722" w:type="dxa"/>
            <w:gridSpan w:val="2"/>
            <w:tcBorders>
              <w:top w:val="single" w:sz="4" w:space="0" w:color="auto"/>
              <w:left w:val="single" w:sz="4" w:space="0" w:color="auto"/>
              <w:bottom w:val="single" w:sz="4" w:space="0" w:color="auto"/>
              <w:right w:val="single" w:sz="4" w:space="0" w:color="auto"/>
            </w:tcBorders>
            <w:hideMark/>
          </w:tcPr>
          <w:p w14:paraId="13A8B106"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F.</w:t>
            </w:r>
            <w:r w:rsidRPr="00140923">
              <w:rPr>
                <w:sz w:val="18"/>
                <w:szCs w:val="18"/>
                <w:lang w:val="es-ES_tradnl" w:eastAsia="ja-JP"/>
              </w:rPr>
              <w:t>1567</w:t>
            </w:r>
          </w:p>
        </w:tc>
        <w:tc>
          <w:tcPr>
            <w:tcW w:w="1304" w:type="dxa"/>
            <w:tcBorders>
              <w:top w:val="single" w:sz="4" w:space="0" w:color="auto"/>
              <w:left w:val="single" w:sz="4" w:space="0" w:color="auto"/>
              <w:bottom w:val="single" w:sz="4" w:space="0" w:color="auto"/>
              <w:right w:val="single" w:sz="4" w:space="0" w:color="auto"/>
            </w:tcBorders>
          </w:tcPr>
          <w:p w14:paraId="499BFA36" w14:textId="77777777" w:rsidR="002B37E9" w:rsidRPr="00140923" w:rsidRDefault="002B37E9" w:rsidP="00226764">
            <w:pPr>
              <w:pStyle w:val="Tabletext"/>
              <w:jc w:val="center"/>
              <w:rPr>
                <w:sz w:val="18"/>
                <w:szCs w:val="18"/>
                <w:lang w:val="es-ES_tradnl"/>
              </w:rPr>
            </w:pPr>
          </w:p>
        </w:tc>
        <w:tc>
          <w:tcPr>
            <w:tcW w:w="1814" w:type="dxa"/>
            <w:gridSpan w:val="2"/>
            <w:tcBorders>
              <w:top w:val="single" w:sz="4" w:space="0" w:color="auto"/>
              <w:left w:val="single" w:sz="4" w:space="0" w:color="auto"/>
              <w:bottom w:val="single" w:sz="4" w:space="0" w:color="auto"/>
              <w:right w:val="single" w:sz="4" w:space="0" w:color="auto"/>
            </w:tcBorders>
            <w:hideMark/>
          </w:tcPr>
          <w:p w14:paraId="7FDACAF2"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F.</w:t>
            </w:r>
            <w:r w:rsidRPr="00140923">
              <w:rPr>
                <w:sz w:val="18"/>
                <w:szCs w:val="18"/>
                <w:lang w:val="es-ES_tradnl" w:eastAsia="ja-JP"/>
              </w:rPr>
              <w:t>1242</w:t>
            </w:r>
          </w:p>
        </w:tc>
        <w:tc>
          <w:tcPr>
            <w:tcW w:w="2211" w:type="dxa"/>
            <w:gridSpan w:val="2"/>
            <w:tcBorders>
              <w:top w:val="single" w:sz="4" w:space="0" w:color="auto"/>
              <w:left w:val="single" w:sz="4" w:space="0" w:color="auto"/>
              <w:bottom w:val="single" w:sz="4" w:space="0" w:color="auto"/>
              <w:right w:val="single" w:sz="4" w:space="0" w:color="auto"/>
            </w:tcBorders>
            <w:hideMark/>
          </w:tcPr>
          <w:p w14:paraId="07A8A43F"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F.</w:t>
            </w:r>
            <w:r w:rsidRPr="00140923">
              <w:rPr>
                <w:sz w:val="18"/>
                <w:szCs w:val="18"/>
                <w:lang w:val="es-ES_tradnl" w:eastAsia="ja-JP"/>
              </w:rPr>
              <w:t>382</w:t>
            </w:r>
          </w:p>
        </w:tc>
        <w:tc>
          <w:tcPr>
            <w:tcW w:w="2154" w:type="dxa"/>
            <w:gridSpan w:val="2"/>
            <w:tcBorders>
              <w:top w:val="single" w:sz="4" w:space="0" w:color="auto"/>
              <w:left w:val="single" w:sz="4" w:space="0" w:color="auto"/>
              <w:bottom w:val="single" w:sz="4" w:space="0" w:color="auto"/>
              <w:right w:val="single" w:sz="4" w:space="0" w:color="auto"/>
            </w:tcBorders>
            <w:hideMark/>
          </w:tcPr>
          <w:p w14:paraId="6BB1C1F3"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F.</w:t>
            </w:r>
            <w:r w:rsidRPr="00140923">
              <w:rPr>
                <w:sz w:val="18"/>
                <w:szCs w:val="18"/>
                <w:lang w:val="es-ES_tradnl" w:eastAsia="ja-JP"/>
              </w:rPr>
              <w:t>1098</w:t>
            </w:r>
          </w:p>
        </w:tc>
        <w:tc>
          <w:tcPr>
            <w:tcW w:w="1077" w:type="dxa"/>
            <w:tcBorders>
              <w:top w:val="single" w:sz="4" w:space="0" w:color="auto"/>
              <w:left w:val="single" w:sz="4" w:space="0" w:color="auto"/>
              <w:bottom w:val="single" w:sz="4" w:space="0" w:color="auto"/>
              <w:right w:val="single" w:sz="4" w:space="0" w:color="auto"/>
            </w:tcBorders>
            <w:hideMark/>
          </w:tcPr>
          <w:p w14:paraId="1D6A88E8"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F.</w:t>
            </w:r>
            <w:r w:rsidRPr="00140923">
              <w:rPr>
                <w:sz w:val="18"/>
                <w:szCs w:val="18"/>
                <w:lang w:val="es-ES_tradnl" w:eastAsia="ja-JP"/>
              </w:rPr>
              <w:t>1243</w:t>
            </w:r>
          </w:p>
        </w:tc>
      </w:tr>
      <w:tr w:rsidR="002B37E9" w:rsidRPr="00140923" w14:paraId="5CF65FF3"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83571D" w14:textId="77777777" w:rsidR="002B37E9" w:rsidRPr="00140923" w:rsidRDefault="002B37E9" w:rsidP="00226764">
            <w:pPr>
              <w:pStyle w:val="Tabletext"/>
              <w:jc w:val="left"/>
              <w:rPr>
                <w:sz w:val="18"/>
                <w:szCs w:val="18"/>
                <w:lang w:val="es-ES_tradnl"/>
              </w:rPr>
            </w:pPr>
            <w:r w:rsidRPr="00140923">
              <w:rPr>
                <w:sz w:val="18"/>
                <w:szCs w:val="18"/>
                <w:lang w:val="es-ES_tradnl"/>
              </w:rPr>
              <w:t>Modulación</w:t>
            </w:r>
          </w:p>
        </w:tc>
        <w:tc>
          <w:tcPr>
            <w:tcW w:w="1361" w:type="dxa"/>
            <w:tcBorders>
              <w:top w:val="single" w:sz="4" w:space="0" w:color="auto"/>
              <w:left w:val="single" w:sz="4" w:space="0" w:color="auto"/>
              <w:bottom w:val="single" w:sz="4" w:space="0" w:color="auto"/>
              <w:right w:val="single" w:sz="4" w:space="0" w:color="auto"/>
            </w:tcBorders>
            <w:hideMark/>
          </w:tcPr>
          <w:p w14:paraId="2CB1C0A3" w14:textId="77777777" w:rsidR="002B37E9" w:rsidRPr="00140923" w:rsidRDefault="002B37E9" w:rsidP="00226764">
            <w:pPr>
              <w:pStyle w:val="Tabletext"/>
              <w:jc w:val="center"/>
              <w:rPr>
                <w:sz w:val="18"/>
                <w:szCs w:val="18"/>
                <w:lang w:val="es-ES_tradnl"/>
              </w:rPr>
            </w:pPr>
            <w:r w:rsidRPr="00140923">
              <w:rPr>
                <w:sz w:val="18"/>
                <w:szCs w:val="18"/>
                <w:lang w:val="es-ES_tradnl"/>
              </w:rPr>
              <w:t>…….</w:t>
            </w:r>
          </w:p>
        </w:tc>
        <w:tc>
          <w:tcPr>
            <w:tcW w:w="1361" w:type="dxa"/>
            <w:tcBorders>
              <w:top w:val="single" w:sz="4" w:space="0" w:color="auto"/>
              <w:left w:val="single" w:sz="4" w:space="0" w:color="auto"/>
              <w:bottom w:val="single" w:sz="4" w:space="0" w:color="auto"/>
              <w:right w:val="single" w:sz="4" w:space="0" w:color="auto"/>
            </w:tcBorders>
            <w:hideMark/>
          </w:tcPr>
          <w:p w14:paraId="3A380388"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w:t>
            </w:r>
          </w:p>
        </w:tc>
        <w:tc>
          <w:tcPr>
            <w:tcW w:w="1304" w:type="dxa"/>
            <w:tcBorders>
              <w:top w:val="single" w:sz="4" w:space="0" w:color="auto"/>
              <w:left w:val="single" w:sz="4" w:space="0" w:color="auto"/>
              <w:bottom w:val="single" w:sz="4" w:space="0" w:color="auto"/>
              <w:right w:val="single" w:sz="4" w:space="0" w:color="auto"/>
            </w:tcBorders>
            <w:hideMark/>
          </w:tcPr>
          <w:p w14:paraId="11EC5BD7" w14:textId="77777777" w:rsidR="002B37E9" w:rsidRPr="00140923" w:rsidRDefault="002B37E9" w:rsidP="00226764">
            <w:pPr>
              <w:pStyle w:val="Tabletext"/>
              <w:jc w:val="center"/>
              <w:rPr>
                <w:sz w:val="18"/>
                <w:szCs w:val="18"/>
                <w:lang w:val="es-ES_tradnl"/>
              </w:rPr>
            </w:pPr>
            <w:r w:rsidRPr="00140923">
              <w:rPr>
                <w:color w:val="000000"/>
                <w:sz w:val="18"/>
                <w:szCs w:val="18"/>
                <w:lang w:val="es-ES_tradnl"/>
              </w:rPr>
              <w:t>MDF-4,</w:t>
            </w:r>
            <w:r w:rsidRPr="00140923">
              <w:rPr>
                <w:color w:val="000000"/>
                <w:sz w:val="18"/>
                <w:szCs w:val="18"/>
                <w:lang w:val="es-ES_tradnl"/>
              </w:rPr>
              <w:br/>
              <w:t>MDP-4</w:t>
            </w:r>
          </w:p>
        </w:tc>
        <w:tc>
          <w:tcPr>
            <w:tcW w:w="907" w:type="dxa"/>
            <w:tcBorders>
              <w:top w:val="single" w:sz="4" w:space="0" w:color="auto"/>
              <w:left w:val="single" w:sz="4" w:space="0" w:color="auto"/>
              <w:bottom w:val="single" w:sz="4" w:space="0" w:color="auto"/>
              <w:right w:val="single" w:sz="4" w:space="0" w:color="auto"/>
            </w:tcBorders>
            <w:hideMark/>
          </w:tcPr>
          <w:p w14:paraId="338BFC02" w14:textId="77777777" w:rsidR="002B37E9" w:rsidRPr="00140923" w:rsidRDefault="002B37E9" w:rsidP="00226764">
            <w:pPr>
              <w:pStyle w:val="Tabletext"/>
              <w:jc w:val="center"/>
              <w:rPr>
                <w:sz w:val="18"/>
                <w:szCs w:val="18"/>
                <w:lang w:val="es-ES_tradnl"/>
              </w:rPr>
            </w:pPr>
            <w:r w:rsidRPr="00140923">
              <w:rPr>
                <w:sz w:val="18"/>
                <w:szCs w:val="18"/>
                <w:lang w:val="es-ES_tradnl"/>
              </w:rPr>
              <w:t>…….</w:t>
            </w:r>
          </w:p>
        </w:tc>
        <w:tc>
          <w:tcPr>
            <w:tcW w:w="907" w:type="dxa"/>
            <w:tcBorders>
              <w:top w:val="single" w:sz="4" w:space="0" w:color="auto"/>
              <w:left w:val="single" w:sz="4" w:space="0" w:color="auto"/>
              <w:bottom w:val="single" w:sz="4" w:space="0" w:color="auto"/>
              <w:right w:val="single" w:sz="4" w:space="0" w:color="auto"/>
            </w:tcBorders>
            <w:hideMark/>
          </w:tcPr>
          <w:p w14:paraId="1C4F9559"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w:t>
            </w:r>
          </w:p>
        </w:tc>
        <w:tc>
          <w:tcPr>
            <w:tcW w:w="850" w:type="dxa"/>
            <w:tcBorders>
              <w:top w:val="single" w:sz="4" w:space="0" w:color="auto"/>
              <w:left w:val="single" w:sz="4" w:space="0" w:color="auto"/>
              <w:bottom w:val="single" w:sz="4" w:space="0" w:color="auto"/>
              <w:right w:val="single" w:sz="4" w:space="0" w:color="auto"/>
            </w:tcBorders>
            <w:hideMark/>
          </w:tcPr>
          <w:p w14:paraId="342128C9" w14:textId="77777777" w:rsidR="002B37E9" w:rsidRPr="00140923" w:rsidRDefault="002B37E9" w:rsidP="00226764">
            <w:pPr>
              <w:pStyle w:val="Tabletext"/>
              <w:jc w:val="center"/>
              <w:rPr>
                <w:sz w:val="18"/>
                <w:szCs w:val="18"/>
                <w:lang w:val="es-ES_tradnl"/>
              </w:rPr>
            </w:pPr>
            <w:r w:rsidRPr="00140923">
              <w:rPr>
                <w:sz w:val="18"/>
                <w:szCs w:val="18"/>
                <w:lang w:val="es-ES_tradnl"/>
              </w:rPr>
              <w:t>…….</w:t>
            </w:r>
          </w:p>
        </w:tc>
        <w:tc>
          <w:tcPr>
            <w:tcW w:w="1361" w:type="dxa"/>
            <w:tcBorders>
              <w:top w:val="single" w:sz="4" w:space="0" w:color="auto"/>
              <w:left w:val="single" w:sz="4" w:space="0" w:color="auto"/>
              <w:bottom w:val="single" w:sz="4" w:space="0" w:color="auto"/>
              <w:right w:val="single" w:sz="4" w:space="0" w:color="auto"/>
            </w:tcBorders>
            <w:hideMark/>
          </w:tcPr>
          <w:p w14:paraId="77267C5C"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w:t>
            </w:r>
          </w:p>
        </w:tc>
        <w:tc>
          <w:tcPr>
            <w:tcW w:w="1247" w:type="dxa"/>
            <w:tcBorders>
              <w:top w:val="single" w:sz="4" w:space="0" w:color="auto"/>
              <w:left w:val="single" w:sz="4" w:space="0" w:color="auto"/>
              <w:bottom w:val="single" w:sz="4" w:space="0" w:color="auto"/>
              <w:right w:val="single" w:sz="4" w:space="0" w:color="auto"/>
            </w:tcBorders>
            <w:hideMark/>
          </w:tcPr>
          <w:p w14:paraId="1A7DD15B" w14:textId="77777777" w:rsidR="002B37E9" w:rsidRPr="00140923" w:rsidRDefault="002B37E9" w:rsidP="00226764">
            <w:pPr>
              <w:pStyle w:val="Tabletext"/>
              <w:jc w:val="center"/>
              <w:rPr>
                <w:sz w:val="18"/>
                <w:szCs w:val="18"/>
                <w:lang w:val="es-ES_tradnl"/>
              </w:rPr>
            </w:pPr>
            <w:r w:rsidRPr="00140923">
              <w:rPr>
                <w:sz w:val="18"/>
                <w:szCs w:val="18"/>
                <w:lang w:val="es-ES_tradnl"/>
              </w:rPr>
              <w:t>…….</w:t>
            </w:r>
          </w:p>
        </w:tc>
        <w:tc>
          <w:tcPr>
            <w:tcW w:w="907" w:type="dxa"/>
            <w:tcBorders>
              <w:top w:val="single" w:sz="4" w:space="0" w:color="auto"/>
              <w:left w:val="single" w:sz="4" w:space="0" w:color="auto"/>
              <w:bottom w:val="single" w:sz="4" w:space="0" w:color="auto"/>
              <w:right w:val="single" w:sz="4" w:space="0" w:color="auto"/>
            </w:tcBorders>
            <w:hideMark/>
          </w:tcPr>
          <w:p w14:paraId="67D55451"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w:t>
            </w:r>
          </w:p>
        </w:tc>
        <w:tc>
          <w:tcPr>
            <w:tcW w:w="1077" w:type="dxa"/>
            <w:tcBorders>
              <w:top w:val="single" w:sz="4" w:space="0" w:color="auto"/>
              <w:left w:val="single" w:sz="4" w:space="0" w:color="auto"/>
              <w:bottom w:val="single" w:sz="4" w:space="0" w:color="auto"/>
              <w:right w:val="single" w:sz="4" w:space="0" w:color="auto"/>
            </w:tcBorders>
            <w:hideMark/>
          </w:tcPr>
          <w:p w14:paraId="7E109378" w14:textId="77777777" w:rsidR="002B37E9" w:rsidRPr="00140923" w:rsidRDefault="002B37E9" w:rsidP="00226764">
            <w:pPr>
              <w:pStyle w:val="Tabletext"/>
              <w:jc w:val="center"/>
              <w:rPr>
                <w:sz w:val="18"/>
                <w:szCs w:val="18"/>
                <w:lang w:val="es-ES_tradnl"/>
              </w:rPr>
            </w:pPr>
            <w:r w:rsidRPr="00140923">
              <w:rPr>
                <w:sz w:val="18"/>
                <w:szCs w:val="18"/>
                <w:lang w:val="es-ES_tradnl"/>
              </w:rPr>
              <w:t>…….</w:t>
            </w:r>
          </w:p>
        </w:tc>
      </w:tr>
      <w:tr w:rsidR="002B37E9" w:rsidRPr="00140923" w14:paraId="60F820FC"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CBC2C5" w14:textId="77777777" w:rsidR="002B37E9" w:rsidRPr="00140923" w:rsidRDefault="002B37E9" w:rsidP="00226764">
            <w:pPr>
              <w:pStyle w:val="Tabletext"/>
              <w:tabs>
                <w:tab w:val="clear" w:pos="3119"/>
              </w:tabs>
              <w:ind w:right="-22"/>
              <w:jc w:val="left"/>
              <w:rPr>
                <w:sz w:val="18"/>
                <w:szCs w:val="18"/>
                <w:lang w:val="es-ES_tradnl"/>
              </w:rPr>
            </w:pPr>
            <w:r w:rsidRPr="00140923">
              <w:rPr>
                <w:sz w:val="18"/>
                <w:szCs w:val="18"/>
                <w:lang w:val="es-ES_tradnl"/>
              </w:rPr>
              <w:t>Separación de canales y anchura de banda de ruido del receptor (MHz)</w:t>
            </w:r>
          </w:p>
        </w:tc>
        <w:tc>
          <w:tcPr>
            <w:tcW w:w="1361" w:type="dxa"/>
            <w:tcBorders>
              <w:top w:val="single" w:sz="4" w:space="0" w:color="auto"/>
              <w:left w:val="single" w:sz="4" w:space="0" w:color="auto"/>
              <w:bottom w:val="single" w:sz="4" w:space="0" w:color="auto"/>
              <w:right w:val="single" w:sz="4" w:space="0" w:color="auto"/>
            </w:tcBorders>
            <w:hideMark/>
          </w:tcPr>
          <w:p w14:paraId="0DFBE313" w14:textId="77777777" w:rsidR="002B37E9" w:rsidRPr="00140923" w:rsidRDefault="002B37E9" w:rsidP="00226764">
            <w:pPr>
              <w:pStyle w:val="Tabletext"/>
              <w:tabs>
                <w:tab w:val="clear" w:pos="284"/>
                <w:tab w:val="clear" w:pos="567"/>
                <w:tab w:val="clear" w:pos="851"/>
                <w:tab w:val="clear" w:pos="1134"/>
                <w:tab w:val="clear" w:pos="1418"/>
                <w:tab w:val="clear" w:pos="1701"/>
                <w:tab w:val="clear" w:pos="1985"/>
                <w:tab w:val="clear" w:pos="2268"/>
              </w:tabs>
              <w:ind w:left="-80" w:hanging="28"/>
              <w:jc w:val="center"/>
              <w:rPr>
                <w:sz w:val="18"/>
                <w:szCs w:val="18"/>
                <w:lang w:val="es-ES_tradnl" w:eastAsia="ja-JP"/>
              </w:rPr>
            </w:pPr>
            <w:r w:rsidRPr="00140923">
              <w:rPr>
                <w:sz w:val="18"/>
                <w:szCs w:val="18"/>
                <w:lang w:val="es-ES_tradnl" w:eastAsia="ja-JP"/>
              </w:rPr>
              <w:t>0</w:t>
            </w:r>
            <w:r w:rsidRPr="00140923">
              <w:rPr>
                <w:sz w:val="18"/>
                <w:szCs w:val="18"/>
                <w:lang w:val="es-ES_tradnl"/>
              </w:rPr>
              <w:t>,</w:t>
            </w:r>
            <w:r w:rsidRPr="00140923">
              <w:rPr>
                <w:sz w:val="18"/>
                <w:szCs w:val="18"/>
                <w:lang w:val="es-ES_tradnl" w:eastAsia="ja-JP"/>
              </w:rPr>
              <w:t>0</w:t>
            </w:r>
            <w:r w:rsidRPr="00140923">
              <w:rPr>
                <w:sz w:val="18"/>
                <w:szCs w:val="18"/>
                <w:lang w:val="es-ES_tradnl"/>
              </w:rPr>
              <w:t>5</w:t>
            </w:r>
            <w:r w:rsidRPr="00140923">
              <w:rPr>
                <w:sz w:val="18"/>
                <w:szCs w:val="18"/>
                <w:lang w:val="es-ES_tradnl" w:eastAsia="ja-JP"/>
              </w:rPr>
              <w:t>; 0,1; 0,15; 0,2; 0,25; 0,3; 0,5; 0,6; 0,75; 1; 1,75; 3,5</w:t>
            </w:r>
          </w:p>
        </w:tc>
        <w:tc>
          <w:tcPr>
            <w:tcW w:w="1361" w:type="dxa"/>
            <w:tcBorders>
              <w:top w:val="single" w:sz="4" w:space="0" w:color="auto"/>
              <w:left w:val="single" w:sz="4" w:space="0" w:color="auto"/>
              <w:bottom w:val="single" w:sz="4" w:space="0" w:color="auto"/>
              <w:right w:val="single" w:sz="4" w:space="0" w:color="auto"/>
            </w:tcBorders>
            <w:hideMark/>
          </w:tcPr>
          <w:p w14:paraId="13430BC6" w14:textId="77777777" w:rsidR="002B37E9" w:rsidRPr="00140923" w:rsidRDefault="002B37E9" w:rsidP="00226764">
            <w:pPr>
              <w:pStyle w:val="Tabletext"/>
              <w:tabs>
                <w:tab w:val="clear" w:pos="284"/>
                <w:tab w:val="clear" w:pos="567"/>
                <w:tab w:val="clear" w:pos="851"/>
                <w:tab w:val="clear" w:pos="1134"/>
                <w:tab w:val="clear" w:pos="1418"/>
                <w:tab w:val="clear" w:pos="1701"/>
                <w:tab w:val="clear" w:pos="1985"/>
                <w:tab w:val="clear" w:pos="2268"/>
              </w:tabs>
              <w:ind w:left="-80" w:hanging="28"/>
              <w:jc w:val="center"/>
              <w:rPr>
                <w:sz w:val="18"/>
                <w:szCs w:val="18"/>
                <w:lang w:val="es-ES_tradnl"/>
              </w:rPr>
            </w:pPr>
            <w:r w:rsidRPr="00140923">
              <w:rPr>
                <w:sz w:val="18"/>
                <w:szCs w:val="18"/>
                <w:lang w:val="es-ES_tradnl" w:eastAsia="ja-JP"/>
              </w:rPr>
              <w:t>0</w:t>
            </w:r>
            <w:r w:rsidRPr="00140923">
              <w:rPr>
                <w:sz w:val="18"/>
                <w:szCs w:val="18"/>
                <w:lang w:val="es-ES_tradnl"/>
              </w:rPr>
              <w:t>,</w:t>
            </w:r>
            <w:r w:rsidRPr="00140923">
              <w:rPr>
                <w:sz w:val="18"/>
                <w:szCs w:val="18"/>
                <w:lang w:val="es-ES_tradnl" w:eastAsia="ja-JP"/>
              </w:rPr>
              <w:t>0</w:t>
            </w:r>
            <w:r w:rsidRPr="00140923">
              <w:rPr>
                <w:sz w:val="18"/>
                <w:szCs w:val="18"/>
                <w:lang w:val="es-ES_tradnl"/>
              </w:rPr>
              <w:t>5</w:t>
            </w:r>
            <w:r w:rsidRPr="00140923">
              <w:rPr>
                <w:sz w:val="18"/>
                <w:szCs w:val="18"/>
                <w:lang w:val="es-ES_tradnl" w:eastAsia="ja-JP"/>
              </w:rPr>
              <w:t>; 0,1; 0,15; 0,2; 0,25; 0,3; 0,5; 0,6; 0,75; 1; 1,75; 3,5</w:t>
            </w:r>
          </w:p>
        </w:tc>
        <w:tc>
          <w:tcPr>
            <w:tcW w:w="1304" w:type="dxa"/>
            <w:tcBorders>
              <w:top w:val="single" w:sz="4" w:space="0" w:color="auto"/>
              <w:left w:val="single" w:sz="4" w:space="0" w:color="auto"/>
              <w:bottom w:val="single" w:sz="4" w:space="0" w:color="auto"/>
              <w:right w:val="single" w:sz="4" w:space="0" w:color="auto"/>
            </w:tcBorders>
            <w:hideMark/>
          </w:tcPr>
          <w:p w14:paraId="0E27636E" w14:textId="77777777" w:rsidR="002B37E9" w:rsidRPr="00140923" w:rsidRDefault="002B37E9" w:rsidP="00226764">
            <w:pPr>
              <w:pStyle w:val="Tabletext"/>
              <w:jc w:val="center"/>
              <w:rPr>
                <w:caps/>
                <w:sz w:val="18"/>
                <w:szCs w:val="18"/>
                <w:lang w:val="es-ES_tradnl" w:eastAsia="ja-JP"/>
              </w:rPr>
            </w:pPr>
            <w:r w:rsidRPr="00140923">
              <w:rPr>
                <w:color w:val="000000"/>
                <w:sz w:val="18"/>
                <w:szCs w:val="18"/>
                <w:lang w:val="es-ES_tradnl" w:eastAsia="ja-JP"/>
              </w:rPr>
              <w:t>0</w:t>
            </w:r>
            <w:r w:rsidRPr="00140923">
              <w:rPr>
                <w:color w:val="000000"/>
                <w:sz w:val="18"/>
                <w:szCs w:val="18"/>
                <w:lang w:val="es-ES_tradnl"/>
              </w:rPr>
              <w:t>,</w:t>
            </w:r>
            <w:r w:rsidRPr="00140923">
              <w:rPr>
                <w:color w:val="000000"/>
                <w:sz w:val="18"/>
                <w:szCs w:val="18"/>
                <w:lang w:val="es-ES_tradnl" w:eastAsia="ja-JP"/>
              </w:rPr>
              <w:t>012</w:t>
            </w:r>
            <w:r w:rsidRPr="00140923">
              <w:rPr>
                <w:color w:val="000000"/>
                <w:sz w:val="18"/>
                <w:szCs w:val="18"/>
                <w:lang w:val="es-ES_tradnl"/>
              </w:rPr>
              <w:t>5</w:t>
            </w:r>
          </w:p>
        </w:tc>
        <w:tc>
          <w:tcPr>
            <w:tcW w:w="907" w:type="dxa"/>
            <w:tcBorders>
              <w:top w:val="single" w:sz="4" w:space="0" w:color="auto"/>
              <w:left w:val="single" w:sz="4" w:space="0" w:color="auto"/>
              <w:bottom w:val="single" w:sz="4" w:space="0" w:color="auto"/>
              <w:right w:val="single" w:sz="4" w:space="0" w:color="auto"/>
            </w:tcBorders>
            <w:hideMark/>
          </w:tcPr>
          <w:p w14:paraId="181E24CB" w14:textId="77777777" w:rsidR="002B37E9" w:rsidRPr="00140923" w:rsidRDefault="002B37E9" w:rsidP="00226764">
            <w:pPr>
              <w:pStyle w:val="Tabletext"/>
              <w:jc w:val="center"/>
              <w:rPr>
                <w:sz w:val="18"/>
                <w:szCs w:val="18"/>
                <w:lang w:val="es-ES_tradnl"/>
              </w:rPr>
            </w:pPr>
            <w:r w:rsidRPr="00140923">
              <w:rPr>
                <w:caps/>
                <w:sz w:val="18"/>
                <w:szCs w:val="18"/>
                <w:lang w:val="es-ES_tradnl" w:eastAsia="ja-JP"/>
              </w:rPr>
              <w:t>0,25; 0,5; 1; 2; 3,5</w:t>
            </w:r>
          </w:p>
        </w:tc>
        <w:tc>
          <w:tcPr>
            <w:tcW w:w="907" w:type="dxa"/>
            <w:tcBorders>
              <w:top w:val="single" w:sz="4" w:space="0" w:color="auto"/>
              <w:left w:val="single" w:sz="4" w:space="0" w:color="auto"/>
              <w:bottom w:val="single" w:sz="4" w:space="0" w:color="auto"/>
              <w:right w:val="single" w:sz="4" w:space="0" w:color="auto"/>
            </w:tcBorders>
            <w:hideMark/>
          </w:tcPr>
          <w:p w14:paraId="57762B34" w14:textId="77777777" w:rsidR="002B37E9" w:rsidRPr="00140923" w:rsidRDefault="002B37E9" w:rsidP="00226764">
            <w:pPr>
              <w:pStyle w:val="Tabletext"/>
              <w:jc w:val="center"/>
              <w:rPr>
                <w:sz w:val="18"/>
                <w:szCs w:val="18"/>
                <w:lang w:val="es-ES_tradnl" w:eastAsia="ja-JP"/>
              </w:rPr>
            </w:pPr>
            <w:r w:rsidRPr="00140923">
              <w:rPr>
                <w:caps/>
                <w:sz w:val="18"/>
                <w:szCs w:val="18"/>
                <w:lang w:val="es-ES_tradnl" w:eastAsia="ja-JP"/>
              </w:rPr>
              <w:t>0,25; 0,5; 1; 2; 3,5</w:t>
            </w:r>
          </w:p>
        </w:tc>
        <w:tc>
          <w:tcPr>
            <w:tcW w:w="850" w:type="dxa"/>
            <w:tcBorders>
              <w:top w:val="single" w:sz="4" w:space="0" w:color="auto"/>
              <w:left w:val="single" w:sz="4" w:space="0" w:color="auto"/>
              <w:bottom w:val="single" w:sz="4" w:space="0" w:color="auto"/>
              <w:right w:val="single" w:sz="4" w:space="0" w:color="auto"/>
            </w:tcBorders>
            <w:hideMark/>
          </w:tcPr>
          <w:p w14:paraId="6B645137"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29</w:t>
            </w:r>
          </w:p>
        </w:tc>
        <w:tc>
          <w:tcPr>
            <w:tcW w:w="1361" w:type="dxa"/>
            <w:tcBorders>
              <w:top w:val="single" w:sz="4" w:space="0" w:color="auto"/>
              <w:left w:val="single" w:sz="4" w:space="0" w:color="auto"/>
              <w:bottom w:val="single" w:sz="4" w:space="0" w:color="auto"/>
              <w:right w:val="single" w:sz="4" w:space="0" w:color="auto"/>
            </w:tcBorders>
            <w:hideMark/>
          </w:tcPr>
          <w:p w14:paraId="028C9755" w14:textId="77777777" w:rsidR="002B37E9" w:rsidRPr="00140923" w:rsidRDefault="002B37E9" w:rsidP="00226764">
            <w:pPr>
              <w:pStyle w:val="Tabletext"/>
              <w:ind w:left="-72"/>
              <w:jc w:val="center"/>
              <w:rPr>
                <w:sz w:val="18"/>
                <w:szCs w:val="18"/>
                <w:lang w:val="es-ES_tradnl" w:eastAsia="ja-JP"/>
              </w:rPr>
            </w:pPr>
            <w:r w:rsidRPr="00140923">
              <w:rPr>
                <w:sz w:val="18"/>
                <w:szCs w:val="18"/>
                <w:lang w:val="es-ES_tradnl" w:eastAsia="ja-JP"/>
              </w:rPr>
              <w:t>0</w:t>
            </w:r>
            <w:r w:rsidRPr="00140923">
              <w:rPr>
                <w:sz w:val="18"/>
                <w:szCs w:val="18"/>
                <w:lang w:val="es-ES_tradnl"/>
              </w:rPr>
              <w:t>,</w:t>
            </w:r>
            <w:r w:rsidRPr="00140923">
              <w:rPr>
                <w:sz w:val="18"/>
                <w:szCs w:val="18"/>
                <w:lang w:val="es-ES_tradnl" w:eastAsia="ja-JP"/>
              </w:rPr>
              <w:t>0</w:t>
            </w:r>
            <w:r w:rsidRPr="00140923">
              <w:rPr>
                <w:sz w:val="18"/>
                <w:szCs w:val="18"/>
                <w:lang w:val="es-ES_tradnl"/>
              </w:rPr>
              <w:t>5</w:t>
            </w:r>
            <w:r w:rsidRPr="00140923">
              <w:rPr>
                <w:sz w:val="18"/>
                <w:szCs w:val="18"/>
                <w:lang w:val="es-ES_tradnl" w:eastAsia="ja-JP"/>
              </w:rPr>
              <w:t>, 0,</w:t>
            </w:r>
            <w:r w:rsidRPr="00140923">
              <w:rPr>
                <w:sz w:val="18"/>
                <w:szCs w:val="18"/>
                <w:lang w:val="es-ES_tradnl"/>
              </w:rPr>
              <w:t>1</w:t>
            </w:r>
            <w:r w:rsidRPr="00140923">
              <w:rPr>
                <w:sz w:val="18"/>
                <w:szCs w:val="18"/>
                <w:lang w:val="es-ES_tradnl" w:eastAsia="ja-JP"/>
              </w:rPr>
              <w:t>, 0,15, 0,2, 0,25, 0,3, 0,5, 0,6, 0</w:t>
            </w:r>
            <w:r w:rsidRPr="00140923">
              <w:rPr>
                <w:sz w:val="18"/>
                <w:szCs w:val="18"/>
                <w:lang w:val="es-ES_tradnl"/>
              </w:rPr>
              <w:t xml:space="preserve">,75, </w:t>
            </w:r>
            <w:r w:rsidRPr="00140923">
              <w:rPr>
                <w:sz w:val="18"/>
                <w:szCs w:val="18"/>
                <w:lang w:val="es-ES_tradnl" w:eastAsia="ja-JP"/>
              </w:rPr>
              <w:t>1, 1,75</w:t>
            </w:r>
            <w:r w:rsidRPr="00140923">
              <w:rPr>
                <w:sz w:val="18"/>
                <w:szCs w:val="18"/>
                <w:lang w:val="es-ES_tradnl"/>
              </w:rPr>
              <w:t>, 3,5</w:t>
            </w:r>
          </w:p>
        </w:tc>
        <w:tc>
          <w:tcPr>
            <w:tcW w:w="1247" w:type="dxa"/>
            <w:tcBorders>
              <w:top w:val="single" w:sz="4" w:space="0" w:color="auto"/>
              <w:left w:val="single" w:sz="4" w:space="0" w:color="auto"/>
              <w:bottom w:val="single" w:sz="4" w:space="0" w:color="auto"/>
              <w:right w:val="single" w:sz="4" w:space="0" w:color="auto"/>
            </w:tcBorders>
            <w:hideMark/>
          </w:tcPr>
          <w:p w14:paraId="66963E2A" w14:textId="77777777" w:rsidR="002B37E9" w:rsidRPr="00140923" w:rsidRDefault="002B37E9" w:rsidP="00226764">
            <w:pPr>
              <w:pStyle w:val="Tabletext"/>
              <w:tabs>
                <w:tab w:val="clear" w:pos="284"/>
                <w:tab w:val="clear" w:pos="567"/>
                <w:tab w:val="clear" w:pos="851"/>
                <w:tab w:val="clear" w:pos="1134"/>
              </w:tabs>
              <w:ind w:left="-98" w:right="-109"/>
              <w:jc w:val="center"/>
              <w:rPr>
                <w:sz w:val="18"/>
                <w:szCs w:val="18"/>
                <w:lang w:val="es-ES_tradnl"/>
              </w:rPr>
            </w:pPr>
            <w:r w:rsidRPr="00140923">
              <w:rPr>
                <w:sz w:val="18"/>
                <w:szCs w:val="18"/>
                <w:lang w:val="es-ES_tradnl" w:eastAsia="ja-JP"/>
              </w:rPr>
              <w:t>0,0</w:t>
            </w:r>
            <w:r w:rsidRPr="00140923">
              <w:rPr>
                <w:sz w:val="18"/>
                <w:szCs w:val="18"/>
                <w:lang w:val="es-ES_tradnl"/>
              </w:rPr>
              <w:t>5</w:t>
            </w:r>
            <w:r w:rsidRPr="00140923">
              <w:rPr>
                <w:sz w:val="18"/>
                <w:szCs w:val="18"/>
                <w:lang w:val="es-ES_tradnl" w:eastAsia="ja-JP"/>
              </w:rPr>
              <w:t>, 0,</w:t>
            </w:r>
            <w:r w:rsidRPr="00140923">
              <w:rPr>
                <w:sz w:val="18"/>
                <w:szCs w:val="18"/>
                <w:lang w:val="es-ES_tradnl"/>
              </w:rPr>
              <w:t>1</w:t>
            </w:r>
            <w:r w:rsidRPr="00140923">
              <w:rPr>
                <w:sz w:val="18"/>
                <w:szCs w:val="18"/>
                <w:lang w:val="es-ES_tradnl" w:eastAsia="ja-JP"/>
              </w:rPr>
              <w:t>, 0,15, 0,2, 0,25, 0,3, 0,5, 0,6, 0</w:t>
            </w:r>
            <w:r w:rsidRPr="00140923">
              <w:rPr>
                <w:sz w:val="18"/>
                <w:szCs w:val="18"/>
                <w:lang w:val="es-ES_tradnl"/>
              </w:rPr>
              <w:t xml:space="preserve">,75, </w:t>
            </w:r>
            <w:r w:rsidRPr="00140923">
              <w:rPr>
                <w:sz w:val="18"/>
                <w:szCs w:val="18"/>
                <w:lang w:val="es-ES_tradnl" w:eastAsia="ja-JP"/>
              </w:rPr>
              <w:t>1, 1,75</w:t>
            </w:r>
            <w:r w:rsidRPr="00140923">
              <w:rPr>
                <w:sz w:val="18"/>
                <w:szCs w:val="18"/>
                <w:lang w:val="es-ES_tradnl"/>
              </w:rPr>
              <w:t>, 3,5</w:t>
            </w:r>
          </w:p>
        </w:tc>
        <w:tc>
          <w:tcPr>
            <w:tcW w:w="907" w:type="dxa"/>
            <w:tcBorders>
              <w:top w:val="single" w:sz="4" w:space="0" w:color="auto"/>
              <w:left w:val="single" w:sz="4" w:space="0" w:color="auto"/>
              <w:bottom w:val="single" w:sz="4" w:space="0" w:color="auto"/>
              <w:right w:val="single" w:sz="4" w:space="0" w:color="auto"/>
            </w:tcBorders>
            <w:hideMark/>
          </w:tcPr>
          <w:p w14:paraId="2CDBCA7F" w14:textId="77777777" w:rsidR="002B37E9" w:rsidRPr="00140923" w:rsidRDefault="002B37E9" w:rsidP="00226764">
            <w:pPr>
              <w:pStyle w:val="Tabletext"/>
              <w:jc w:val="center"/>
              <w:rPr>
                <w:sz w:val="18"/>
                <w:szCs w:val="18"/>
                <w:lang w:val="es-ES_tradnl"/>
              </w:rPr>
            </w:pPr>
            <w:r w:rsidRPr="00140923">
              <w:rPr>
                <w:caps/>
                <w:sz w:val="18"/>
                <w:szCs w:val="18"/>
                <w:lang w:val="es-ES_tradnl"/>
              </w:rPr>
              <w:t>0,25, 0,5, 1, 2, 3,5</w:t>
            </w:r>
          </w:p>
        </w:tc>
        <w:tc>
          <w:tcPr>
            <w:tcW w:w="1077" w:type="dxa"/>
            <w:tcBorders>
              <w:top w:val="single" w:sz="4" w:space="0" w:color="auto"/>
              <w:left w:val="single" w:sz="4" w:space="0" w:color="auto"/>
              <w:bottom w:val="single" w:sz="4" w:space="0" w:color="auto"/>
              <w:right w:val="single" w:sz="4" w:space="0" w:color="auto"/>
            </w:tcBorders>
            <w:hideMark/>
          </w:tcPr>
          <w:p w14:paraId="06F43093"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0,25, 0,5, 1, 2, 3,5</w:t>
            </w:r>
          </w:p>
        </w:tc>
      </w:tr>
      <w:tr w:rsidR="002B37E9" w:rsidRPr="00140923" w14:paraId="03714E33"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165C7C" w14:textId="77777777" w:rsidR="002B37E9" w:rsidRPr="00140923" w:rsidRDefault="002B37E9" w:rsidP="00226764">
            <w:pPr>
              <w:pStyle w:val="Tabletext"/>
              <w:tabs>
                <w:tab w:val="clear" w:pos="3119"/>
              </w:tabs>
              <w:ind w:right="-22" w:hanging="14"/>
              <w:jc w:val="left"/>
              <w:rPr>
                <w:sz w:val="18"/>
                <w:szCs w:val="18"/>
                <w:lang w:val="es-ES_tradnl"/>
              </w:rPr>
            </w:pPr>
            <w:r w:rsidRPr="00140923">
              <w:rPr>
                <w:sz w:val="18"/>
                <w:szCs w:val="18"/>
                <w:lang w:val="es-ES_tradnl"/>
              </w:rPr>
              <w:t>Gama de potencia de salida del transmisor (dBW)</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36E6BAF8"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Nota</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4C9F7F3B"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Nota</w:t>
            </w:r>
          </w:p>
        </w:tc>
        <w:tc>
          <w:tcPr>
            <w:tcW w:w="1304" w:type="dxa"/>
            <w:tcBorders>
              <w:top w:val="single" w:sz="4" w:space="0" w:color="auto"/>
              <w:left w:val="single" w:sz="4" w:space="0" w:color="auto"/>
              <w:bottom w:val="single" w:sz="4" w:space="0" w:color="auto"/>
              <w:right w:val="single" w:sz="4" w:space="0" w:color="auto"/>
            </w:tcBorders>
            <w:hideMark/>
          </w:tcPr>
          <w:p w14:paraId="1DE0CAAF" w14:textId="7D041465" w:rsidR="002B37E9" w:rsidRPr="00140923" w:rsidRDefault="002B37E9" w:rsidP="00226764">
            <w:pPr>
              <w:pStyle w:val="Tabletext"/>
              <w:jc w:val="center"/>
              <w:rPr>
                <w:sz w:val="18"/>
                <w:szCs w:val="18"/>
                <w:lang w:val="es-ES_tradnl" w:eastAsia="ja-JP"/>
              </w:rPr>
            </w:pPr>
            <w:r w:rsidRPr="00140923">
              <w:rPr>
                <w:color w:val="000000"/>
                <w:sz w:val="18"/>
                <w:szCs w:val="18"/>
                <w:lang w:val="es-ES_tradnl" w:eastAsia="ja-JP"/>
              </w:rPr>
              <w:t>1</w:t>
            </w:r>
            <w:r w:rsidRPr="00140923">
              <w:rPr>
                <w:color w:val="000000"/>
                <w:lang w:val="es-ES_tradnl" w:eastAsia="ja-JP"/>
              </w:rPr>
              <w:t>…</w:t>
            </w:r>
            <w:r w:rsidRPr="00140923">
              <w:rPr>
                <w:color w:val="000000"/>
                <w:sz w:val="18"/>
                <w:szCs w:val="18"/>
                <w:lang w:val="es-ES_tradnl" w:eastAsia="ja-JP"/>
              </w:rPr>
              <w:t>10</w:t>
            </w:r>
          </w:p>
        </w:tc>
        <w:tc>
          <w:tcPr>
            <w:tcW w:w="907" w:type="dxa"/>
            <w:vMerge w:val="restart"/>
            <w:tcBorders>
              <w:top w:val="single" w:sz="4" w:space="0" w:color="auto"/>
              <w:left w:val="single" w:sz="4" w:space="0" w:color="auto"/>
              <w:bottom w:val="single" w:sz="4" w:space="0" w:color="auto"/>
              <w:right w:val="single" w:sz="4" w:space="0" w:color="auto"/>
            </w:tcBorders>
          </w:tcPr>
          <w:p w14:paraId="53CC63A8" w14:textId="77777777" w:rsidR="002B37E9" w:rsidRPr="00140923" w:rsidRDefault="002B37E9" w:rsidP="00226764">
            <w:pPr>
              <w:pStyle w:val="Tabletext"/>
              <w:jc w:val="center"/>
              <w:rPr>
                <w:sz w:val="18"/>
                <w:szCs w:val="18"/>
                <w:lang w:val="es-ES_tradnl" w:eastAsia="ja-JP"/>
              </w:rPr>
            </w:pPr>
          </w:p>
        </w:tc>
        <w:tc>
          <w:tcPr>
            <w:tcW w:w="907" w:type="dxa"/>
            <w:vMerge w:val="restart"/>
            <w:tcBorders>
              <w:top w:val="single" w:sz="4" w:space="0" w:color="auto"/>
              <w:left w:val="single" w:sz="4" w:space="0" w:color="auto"/>
              <w:bottom w:val="single" w:sz="4" w:space="0" w:color="auto"/>
              <w:right w:val="single" w:sz="4" w:space="0" w:color="auto"/>
            </w:tcBorders>
            <w:hideMark/>
          </w:tcPr>
          <w:p w14:paraId="6317F3D4"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Nota</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8F1F704"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Nota</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659E169D"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Nota</w:t>
            </w:r>
          </w:p>
        </w:tc>
        <w:tc>
          <w:tcPr>
            <w:tcW w:w="1247" w:type="dxa"/>
            <w:vMerge w:val="restart"/>
            <w:tcBorders>
              <w:top w:val="single" w:sz="4" w:space="0" w:color="auto"/>
              <w:left w:val="single" w:sz="4" w:space="0" w:color="auto"/>
              <w:right w:val="single" w:sz="4" w:space="0" w:color="auto"/>
            </w:tcBorders>
            <w:hideMark/>
          </w:tcPr>
          <w:p w14:paraId="7CD66DC8"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Nota</w:t>
            </w:r>
          </w:p>
        </w:tc>
        <w:tc>
          <w:tcPr>
            <w:tcW w:w="907" w:type="dxa"/>
            <w:vMerge w:val="restart"/>
            <w:tcBorders>
              <w:top w:val="single" w:sz="4" w:space="0" w:color="auto"/>
              <w:left w:val="single" w:sz="4" w:space="0" w:color="auto"/>
              <w:right w:val="single" w:sz="4" w:space="0" w:color="auto"/>
            </w:tcBorders>
            <w:hideMark/>
          </w:tcPr>
          <w:p w14:paraId="493E8F50"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Nota</w:t>
            </w:r>
          </w:p>
        </w:tc>
        <w:tc>
          <w:tcPr>
            <w:tcW w:w="1077" w:type="dxa"/>
            <w:vMerge w:val="restart"/>
            <w:tcBorders>
              <w:top w:val="single" w:sz="4" w:space="0" w:color="auto"/>
              <w:left w:val="single" w:sz="4" w:space="0" w:color="auto"/>
              <w:right w:val="single" w:sz="4" w:space="0" w:color="auto"/>
            </w:tcBorders>
            <w:hideMark/>
          </w:tcPr>
          <w:p w14:paraId="000CBB12"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Nota</w:t>
            </w:r>
          </w:p>
        </w:tc>
      </w:tr>
      <w:tr w:rsidR="002B37E9" w:rsidRPr="00140923" w14:paraId="731B149F"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D1B7E6" w14:textId="77777777" w:rsidR="002B37E9" w:rsidRPr="00140923" w:rsidRDefault="002B37E9" w:rsidP="00226764">
            <w:pPr>
              <w:pStyle w:val="Tabletext"/>
              <w:tabs>
                <w:tab w:val="clear" w:pos="3119"/>
              </w:tabs>
              <w:ind w:right="-22" w:hanging="14"/>
              <w:jc w:val="left"/>
              <w:rPr>
                <w:sz w:val="18"/>
                <w:szCs w:val="18"/>
                <w:lang w:val="es-ES_tradnl"/>
              </w:rPr>
            </w:pPr>
            <w:r w:rsidRPr="00140923">
              <w:rPr>
                <w:sz w:val="18"/>
                <w:szCs w:val="18"/>
                <w:lang w:val="es-ES_tradnl"/>
              </w:rPr>
              <w:t>Gama de densidad de potencia de salida del transmisor (dBW/MHz)</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488AAA0"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A0662A4"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04" w:type="dxa"/>
            <w:tcBorders>
              <w:top w:val="single" w:sz="4" w:space="0" w:color="auto"/>
              <w:left w:val="single" w:sz="4" w:space="0" w:color="auto"/>
              <w:bottom w:val="single" w:sz="4" w:space="0" w:color="auto"/>
              <w:right w:val="single" w:sz="4" w:space="0" w:color="auto"/>
            </w:tcBorders>
            <w:hideMark/>
          </w:tcPr>
          <w:p w14:paraId="3202EEFE" w14:textId="562F064B" w:rsidR="002B37E9" w:rsidRPr="00140923" w:rsidRDefault="002B37E9" w:rsidP="00226764">
            <w:pPr>
              <w:pStyle w:val="Tabletext"/>
              <w:jc w:val="center"/>
              <w:rPr>
                <w:sz w:val="18"/>
                <w:szCs w:val="18"/>
                <w:lang w:val="es-ES_tradnl"/>
              </w:rPr>
            </w:pPr>
            <w:r w:rsidRPr="00140923">
              <w:rPr>
                <w:color w:val="000000"/>
                <w:sz w:val="18"/>
                <w:szCs w:val="18"/>
                <w:lang w:val="es-ES_tradnl" w:eastAsia="ja-JP"/>
              </w:rPr>
              <w:t>20</w:t>
            </w:r>
            <w:r w:rsidRPr="00140923">
              <w:rPr>
                <w:color w:val="000000"/>
                <w:lang w:val="es-ES_tradnl" w:eastAsia="ja-JP"/>
              </w:rPr>
              <w:t>…</w:t>
            </w:r>
            <w:r w:rsidRPr="00140923">
              <w:rPr>
                <w:color w:val="000000"/>
                <w:sz w:val="18"/>
                <w:szCs w:val="18"/>
                <w:lang w:val="es-ES_tradnl" w:eastAsia="ja-JP"/>
              </w:rPr>
              <w:t>29</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35974FB4"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8D98688"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C0AD697"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6D727C2"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247" w:type="dxa"/>
            <w:vMerge/>
            <w:tcBorders>
              <w:left w:val="single" w:sz="4" w:space="0" w:color="auto"/>
              <w:right w:val="single" w:sz="4" w:space="0" w:color="auto"/>
            </w:tcBorders>
            <w:vAlign w:val="center"/>
            <w:hideMark/>
          </w:tcPr>
          <w:p w14:paraId="671D3390"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left w:val="single" w:sz="4" w:space="0" w:color="auto"/>
              <w:right w:val="single" w:sz="4" w:space="0" w:color="auto"/>
            </w:tcBorders>
            <w:vAlign w:val="center"/>
            <w:hideMark/>
          </w:tcPr>
          <w:p w14:paraId="664FFF57"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077" w:type="dxa"/>
            <w:vMerge/>
            <w:tcBorders>
              <w:left w:val="single" w:sz="4" w:space="0" w:color="auto"/>
              <w:right w:val="single" w:sz="4" w:space="0" w:color="auto"/>
            </w:tcBorders>
            <w:vAlign w:val="center"/>
            <w:hideMark/>
          </w:tcPr>
          <w:p w14:paraId="26039941"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r>
      <w:tr w:rsidR="002B37E9" w:rsidRPr="00140923" w14:paraId="15D41CCF"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F318EF" w14:textId="71BA773A" w:rsidR="002B37E9" w:rsidRPr="00140923" w:rsidRDefault="002B37E9" w:rsidP="00226764">
            <w:pPr>
              <w:pStyle w:val="Tabletext"/>
              <w:tabs>
                <w:tab w:val="clear" w:pos="3119"/>
              </w:tabs>
              <w:ind w:right="-22" w:hanging="14"/>
              <w:jc w:val="left"/>
              <w:rPr>
                <w:sz w:val="18"/>
                <w:szCs w:val="18"/>
                <w:lang w:val="es-ES_tradnl"/>
              </w:rPr>
            </w:pPr>
            <w:r w:rsidRPr="00140923">
              <w:rPr>
                <w:sz w:val="18"/>
                <w:szCs w:val="18"/>
                <w:lang w:val="es-ES_tradnl"/>
              </w:rPr>
              <w:t>Gama de pérdida del alimentador/</w:t>
            </w:r>
            <w:r w:rsidRPr="00140923">
              <w:rPr>
                <w:sz w:val="18"/>
                <w:szCs w:val="18"/>
                <w:lang w:val="es-ES_tradnl"/>
              </w:rPr>
              <w:br/>
              <w:t>multiplexor (dB)</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39108EB9"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4B401976"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04" w:type="dxa"/>
            <w:tcBorders>
              <w:top w:val="single" w:sz="4" w:space="0" w:color="auto"/>
              <w:left w:val="single" w:sz="4" w:space="0" w:color="auto"/>
              <w:bottom w:val="single" w:sz="4" w:space="0" w:color="auto"/>
              <w:right w:val="single" w:sz="4" w:space="0" w:color="auto"/>
            </w:tcBorders>
            <w:hideMark/>
          </w:tcPr>
          <w:p w14:paraId="751D9DEE" w14:textId="70D0AAE2" w:rsidR="002B37E9" w:rsidRPr="00140923" w:rsidRDefault="002B37E9" w:rsidP="00226764">
            <w:pPr>
              <w:pStyle w:val="Tabletext"/>
              <w:jc w:val="center"/>
              <w:rPr>
                <w:sz w:val="18"/>
                <w:szCs w:val="18"/>
                <w:lang w:val="es-ES_tradnl" w:eastAsia="ja-JP"/>
              </w:rPr>
            </w:pPr>
            <w:r w:rsidRPr="00140923">
              <w:rPr>
                <w:color w:val="000000"/>
                <w:sz w:val="18"/>
                <w:szCs w:val="18"/>
                <w:lang w:val="es-ES_tradnl" w:eastAsia="ja-JP"/>
              </w:rPr>
              <w:t>0</w:t>
            </w:r>
            <w:r w:rsidRPr="00140923">
              <w:rPr>
                <w:color w:val="000000"/>
                <w:lang w:val="es-ES_tradnl" w:eastAsia="ja-JP"/>
              </w:rPr>
              <w:t>…</w:t>
            </w:r>
            <w:r w:rsidRPr="00140923">
              <w:rPr>
                <w:color w:val="000000"/>
                <w:sz w:val="18"/>
                <w:szCs w:val="18"/>
                <w:lang w:val="es-ES_tradnl" w:eastAsia="ja-JP"/>
              </w:rPr>
              <w:t>4</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C409A0B"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5623EBC"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0D889D"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333ED277"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247" w:type="dxa"/>
            <w:vMerge/>
            <w:tcBorders>
              <w:left w:val="single" w:sz="4" w:space="0" w:color="auto"/>
              <w:right w:val="single" w:sz="4" w:space="0" w:color="auto"/>
            </w:tcBorders>
            <w:vAlign w:val="center"/>
            <w:hideMark/>
          </w:tcPr>
          <w:p w14:paraId="0C1CFA7F"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left w:val="single" w:sz="4" w:space="0" w:color="auto"/>
              <w:right w:val="single" w:sz="4" w:space="0" w:color="auto"/>
            </w:tcBorders>
            <w:vAlign w:val="center"/>
            <w:hideMark/>
          </w:tcPr>
          <w:p w14:paraId="4EC296C1"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077" w:type="dxa"/>
            <w:vMerge/>
            <w:tcBorders>
              <w:left w:val="single" w:sz="4" w:space="0" w:color="auto"/>
              <w:right w:val="single" w:sz="4" w:space="0" w:color="auto"/>
            </w:tcBorders>
            <w:vAlign w:val="center"/>
            <w:hideMark/>
          </w:tcPr>
          <w:p w14:paraId="1A1E41EF"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r>
      <w:tr w:rsidR="002B37E9" w:rsidRPr="00140923" w14:paraId="30959C37"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61E068" w14:textId="77777777" w:rsidR="002B37E9" w:rsidRPr="00140923" w:rsidRDefault="002B37E9" w:rsidP="00226764">
            <w:pPr>
              <w:pStyle w:val="Tabletext"/>
              <w:tabs>
                <w:tab w:val="clear" w:pos="3119"/>
              </w:tabs>
              <w:ind w:right="-22" w:hanging="14"/>
              <w:jc w:val="left"/>
              <w:rPr>
                <w:sz w:val="18"/>
                <w:szCs w:val="18"/>
                <w:lang w:val="es-ES_tradnl"/>
              </w:rPr>
            </w:pPr>
            <w:r w:rsidRPr="00140923">
              <w:rPr>
                <w:sz w:val="18"/>
                <w:szCs w:val="18"/>
                <w:lang w:val="es-ES_tradnl"/>
              </w:rPr>
              <w:t>Gama de ganancia (dBi) de la antena</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16EAB9E5"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45EA3DF0"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04" w:type="dxa"/>
            <w:tcBorders>
              <w:top w:val="single" w:sz="4" w:space="0" w:color="auto"/>
              <w:left w:val="single" w:sz="4" w:space="0" w:color="auto"/>
              <w:bottom w:val="single" w:sz="4" w:space="0" w:color="auto"/>
              <w:right w:val="single" w:sz="4" w:space="0" w:color="auto"/>
            </w:tcBorders>
            <w:hideMark/>
          </w:tcPr>
          <w:p w14:paraId="4656FF6C" w14:textId="083C1DBF" w:rsidR="002B37E9" w:rsidRPr="00140923" w:rsidRDefault="002B37E9" w:rsidP="00226764">
            <w:pPr>
              <w:pStyle w:val="Tabletext"/>
              <w:jc w:val="center"/>
              <w:rPr>
                <w:sz w:val="18"/>
                <w:szCs w:val="18"/>
                <w:lang w:val="es-ES_tradnl" w:eastAsia="ja-JP"/>
              </w:rPr>
            </w:pPr>
            <w:r w:rsidRPr="00140923">
              <w:rPr>
                <w:color w:val="000000"/>
                <w:sz w:val="18"/>
                <w:szCs w:val="18"/>
                <w:lang w:val="es-ES_tradnl" w:eastAsia="ja-JP"/>
              </w:rPr>
              <w:t>11</w:t>
            </w:r>
            <w:r w:rsidRPr="00140923">
              <w:rPr>
                <w:color w:val="000000"/>
                <w:lang w:val="es-ES_tradnl" w:eastAsia="ja-JP"/>
              </w:rPr>
              <w:t>…</w:t>
            </w:r>
            <w:r w:rsidRPr="00140923">
              <w:rPr>
                <w:color w:val="000000"/>
                <w:sz w:val="18"/>
                <w:szCs w:val="18"/>
                <w:lang w:val="es-ES_tradnl" w:eastAsia="ja-JP"/>
              </w:rPr>
              <w:t>17 (yagi)</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1291A6E8"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78BCCF7F"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712455"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58BD1FB"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247" w:type="dxa"/>
            <w:vMerge/>
            <w:tcBorders>
              <w:left w:val="single" w:sz="4" w:space="0" w:color="auto"/>
              <w:right w:val="single" w:sz="4" w:space="0" w:color="auto"/>
            </w:tcBorders>
            <w:vAlign w:val="center"/>
            <w:hideMark/>
          </w:tcPr>
          <w:p w14:paraId="700362D2"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left w:val="single" w:sz="4" w:space="0" w:color="auto"/>
              <w:right w:val="single" w:sz="4" w:space="0" w:color="auto"/>
            </w:tcBorders>
            <w:vAlign w:val="center"/>
            <w:hideMark/>
          </w:tcPr>
          <w:p w14:paraId="4CF30DEC"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077" w:type="dxa"/>
            <w:vMerge/>
            <w:tcBorders>
              <w:left w:val="single" w:sz="4" w:space="0" w:color="auto"/>
              <w:right w:val="single" w:sz="4" w:space="0" w:color="auto"/>
            </w:tcBorders>
            <w:vAlign w:val="center"/>
            <w:hideMark/>
          </w:tcPr>
          <w:p w14:paraId="2369E57C"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r>
      <w:tr w:rsidR="002B37E9" w:rsidRPr="00140923" w14:paraId="4295C44D"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96BF78" w14:textId="77777777" w:rsidR="002B37E9" w:rsidRPr="00140923" w:rsidRDefault="002B37E9" w:rsidP="00226764">
            <w:pPr>
              <w:pStyle w:val="Tabletext"/>
              <w:tabs>
                <w:tab w:val="clear" w:pos="3119"/>
              </w:tabs>
              <w:ind w:right="-22" w:hanging="14"/>
              <w:jc w:val="left"/>
              <w:rPr>
                <w:sz w:val="18"/>
                <w:szCs w:val="18"/>
                <w:lang w:val="es-ES_tradnl"/>
              </w:rPr>
            </w:pPr>
            <w:r w:rsidRPr="00140923">
              <w:rPr>
                <w:sz w:val="18"/>
                <w:szCs w:val="18"/>
                <w:lang w:val="es-ES_tradnl"/>
              </w:rPr>
              <w:t>Gama de la p.i.r.e. (dBW)</w:t>
            </w:r>
            <w:r w:rsidRPr="00140923">
              <w:rPr>
                <w:sz w:val="18"/>
                <w:szCs w:val="18"/>
                <w:vertAlign w:val="superscript"/>
                <w:lang w:val="es-ES_tradnl" w:eastAsia="ja-JP"/>
              </w:rPr>
              <w:t xml:space="preserve"> </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103C6877"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8805918"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04" w:type="dxa"/>
            <w:tcBorders>
              <w:top w:val="single" w:sz="4" w:space="0" w:color="auto"/>
              <w:left w:val="single" w:sz="4" w:space="0" w:color="auto"/>
              <w:bottom w:val="single" w:sz="4" w:space="0" w:color="auto"/>
              <w:right w:val="single" w:sz="4" w:space="0" w:color="auto"/>
            </w:tcBorders>
            <w:hideMark/>
          </w:tcPr>
          <w:p w14:paraId="6EE6F2F0" w14:textId="682AFDD2" w:rsidR="002B37E9" w:rsidRPr="00140923" w:rsidRDefault="002B37E9" w:rsidP="00226764">
            <w:pPr>
              <w:pStyle w:val="Tabletext"/>
              <w:jc w:val="center"/>
              <w:rPr>
                <w:sz w:val="18"/>
                <w:szCs w:val="18"/>
                <w:lang w:val="es-ES_tradnl" w:eastAsia="ja-JP"/>
              </w:rPr>
            </w:pPr>
            <w:r w:rsidRPr="00140923">
              <w:rPr>
                <w:color w:val="000000"/>
                <w:sz w:val="18"/>
                <w:szCs w:val="18"/>
                <w:lang w:val="es-ES_tradnl" w:eastAsia="ja-JP"/>
              </w:rPr>
              <w:t>14</w:t>
            </w:r>
            <w:r w:rsidRPr="00140923">
              <w:rPr>
                <w:color w:val="000000"/>
                <w:lang w:val="es-ES_tradnl" w:eastAsia="ja-JP"/>
              </w:rPr>
              <w:t>…</w:t>
            </w:r>
            <w:r w:rsidRPr="00140923">
              <w:rPr>
                <w:color w:val="000000"/>
                <w:sz w:val="18"/>
                <w:szCs w:val="18"/>
                <w:lang w:val="es-ES_tradnl" w:eastAsia="ja-JP"/>
              </w:rPr>
              <w:t>20</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D02DFE5"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62540DA9"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D9CF272"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190DE864"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247" w:type="dxa"/>
            <w:vMerge/>
            <w:tcBorders>
              <w:left w:val="single" w:sz="4" w:space="0" w:color="auto"/>
              <w:right w:val="single" w:sz="4" w:space="0" w:color="auto"/>
            </w:tcBorders>
            <w:vAlign w:val="center"/>
            <w:hideMark/>
          </w:tcPr>
          <w:p w14:paraId="45990A29"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left w:val="single" w:sz="4" w:space="0" w:color="auto"/>
              <w:right w:val="single" w:sz="4" w:space="0" w:color="auto"/>
            </w:tcBorders>
            <w:vAlign w:val="center"/>
            <w:hideMark/>
          </w:tcPr>
          <w:p w14:paraId="1B27ABD3"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077" w:type="dxa"/>
            <w:vMerge/>
            <w:tcBorders>
              <w:left w:val="single" w:sz="4" w:space="0" w:color="auto"/>
              <w:right w:val="single" w:sz="4" w:space="0" w:color="auto"/>
            </w:tcBorders>
            <w:vAlign w:val="center"/>
            <w:hideMark/>
          </w:tcPr>
          <w:p w14:paraId="5BF78AD4"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r>
      <w:tr w:rsidR="002B37E9" w:rsidRPr="00140923" w14:paraId="708F61DA"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989D49" w14:textId="77777777" w:rsidR="002B37E9" w:rsidRPr="00140923" w:rsidRDefault="002B37E9" w:rsidP="00226764">
            <w:pPr>
              <w:pStyle w:val="Tabletext"/>
              <w:tabs>
                <w:tab w:val="clear" w:pos="3119"/>
              </w:tabs>
              <w:ind w:right="-204" w:hanging="14"/>
              <w:jc w:val="left"/>
              <w:rPr>
                <w:sz w:val="18"/>
                <w:szCs w:val="18"/>
                <w:lang w:val="es-ES_tradnl"/>
              </w:rPr>
            </w:pPr>
            <w:r w:rsidRPr="00140923">
              <w:rPr>
                <w:sz w:val="18"/>
                <w:szCs w:val="18"/>
                <w:lang w:val="es-ES_tradnl"/>
              </w:rPr>
              <w:t>Gama de densidad de p.i.r.e. (dBW/MHz)</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27D6AECC"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1FC8134"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04" w:type="dxa"/>
            <w:tcBorders>
              <w:top w:val="single" w:sz="4" w:space="0" w:color="auto"/>
              <w:left w:val="single" w:sz="4" w:space="0" w:color="auto"/>
              <w:bottom w:val="single" w:sz="4" w:space="0" w:color="auto"/>
              <w:right w:val="single" w:sz="4" w:space="0" w:color="auto"/>
            </w:tcBorders>
            <w:hideMark/>
          </w:tcPr>
          <w:p w14:paraId="7EF59176" w14:textId="4C2DABE4" w:rsidR="002B37E9" w:rsidRPr="00140923" w:rsidRDefault="002B37E9" w:rsidP="00226764">
            <w:pPr>
              <w:pStyle w:val="Tabletext"/>
              <w:jc w:val="center"/>
              <w:rPr>
                <w:sz w:val="18"/>
                <w:szCs w:val="18"/>
                <w:lang w:val="es-ES_tradnl"/>
              </w:rPr>
            </w:pPr>
            <w:r w:rsidRPr="00140923">
              <w:rPr>
                <w:color w:val="000000"/>
                <w:sz w:val="18"/>
                <w:szCs w:val="18"/>
                <w:lang w:val="es-ES_tradnl" w:eastAsia="ja-JP"/>
              </w:rPr>
              <w:t>33</w:t>
            </w:r>
            <w:r w:rsidRPr="00140923">
              <w:rPr>
                <w:color w:val="000000"/>
                <w:lang w:val="es-ES_tradnl" w:eastAsia="ja-JP"/>
              </w:rPr>
              <w:t>…</w:t>
            </w:r>
            <w:r w:rsidRPr="00140923">
              <w:rPr>
                <w:color w:val="000000"/>
                <w:sz w:val="18"/>
                <w:szCs w:val="18"/>
                <w:lang w:val="es-ES_tradnl" w:eastAsia="ja-JP"/>
              </w:rPr>
              <w:t>39</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DDA5986"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CA934AF"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56F098"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C58DAF4"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247" w:type="dxa"/>
            <w:vMerge/>
            <w:tcBorders>
              <w:left w:val="single" w:sz="4" w:space="0" w:color="auto"/>
              <w:right w:val="single" w:sz="4" w:space="0" w:color="auto"/>
            </w:tcBorders>
            <w:vAlign w:val="center"/>
            <w:hideMark/>
          </w:tcPr>
          <w:p w14:paraId="47D46D20"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left w:val="single" w:sz="4" w:space="0" w:color="auto"/>
              <w:right w:val="single" w:sz="4" w:space="0" w:color="auto"/>
            </w:tcBorders>
            <w:vAlign w:val="center"/>
            <w:hideMark/>
          </w:tcPr>
          <w:p w14:paraId="3B6B3E17"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077" w:type="dxa"/>
            <w:vMerge/>
            <w:tcBorders>
              <w:left w:val="single" w:sz="4" w:space="0" w:color="auto"/>
              <w:right w:val="single" w:sz="4" w:space="0" w:color="auto"/>
            </w:tcBorders>
            <w:vAlign w:val="center"/>
            <w:hideMark/>
          </w:tcPr>
          <w:p w14:paraId="1C39CD8D"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r>
      <w:tr w:rsidR="002B37E9" w:rsidRPr="00140923" w14:paraId="7FA5C6EE"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A9DAE9" w14:textId="20F09F91" w:rsidR="002B37E9" w:rsidRPr="00140923" w:rsidRDefault="002B37E9" w:rsidP="00226764">
            <w:pPr>
              <w:pStyle w:val="Tabletext"/>
              <w:tabs>
                <w:tab w:val="clear" w:pos="3119"/>
              </w:tabs>
              <w:ind w:right="-22" w:hanging="14"/>
              <w:jc w:val="left"/>
              <w:rPr>
                <w:sz w:val="18"/>
                <w:szCs w:val="18"/>
                <w:lang w:val="es-ES_tradnl"/>
              </w:rPr>
            </w:pPr>
            <w:r w:rsidRPr="00140923">
              <w:rPr>
                <w:sz w:val="18"/>
                <w:szCs w:val="18"/>
                <w:lang w:val="es-ES_tradnl"/>
              </w:rPr>
              <w:t>Factor de ruido típico del receptor (dB)</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A3FFA14"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369BE82"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04" w:type="dxa"/>
            <w:tcBorders>
              <w:top w:val="single" w:sz="4" w:space="0" w:color="auto"/>
              <w:left w:val="single" w:sz="4" w:space="0" w:color="auto"/>
              <w:bottom w:val="single" w:sz="4" w:space="0" w:color="auto"/>
              <w:right w:val="single" w:sz="4" w:space="0" w:color="auto"/>
            </w:tcBorders>
            <w:hideMark/>
          </w:tcPr>
          <w:p w14:paraId="6ABE7AFC" w14:textId="77777777" w:rsidR="002B37E9" w:rsidRPr="00140923" w:rsidRDefault="002B37E9" w:rsidP="00226764">
            <w:pPr>
              <w:pStyle w:val="Tabletext"/>
              <w:jc w:val="center"/>
              <w:rPr>
                <w:sz w:val="18"/>
                <w:szCs w:val="18"/>
                <w:lang w:val="es-ES_tradnl" w:eastAsia="ja-JP"/>
              </w:rPr>
            </w:pPr>
            <w:r w:rsidRPr="00140923">
              <w:rPr>
                <w:color w:val="000000"/>
                <w:sz w:val="18"/>
                <w:szCs w:val="18"/>
                <w:lang w:val="es-ES_tradnl" w:eastAsia="ja-JP"/>
              </w:rPr>
              <w:t>4</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80F5C2"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7660CFA4"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B0AC14F"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6A6E1EB"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247" w:type="dxa"/>
            <w:vMerge/>
            <w:tcBorders>
              <w:left w:val="single" w:sz="4" w:space="0" w:color="auto"/>
              <w:right w:val="single" w:sz="4" w:space="0" w:color="auto"/>
            </w:tcBorders>
            <w:vAlign w:val="center"/>
            <w:hideMark/>
          </w:tcPr>
          <w:p w14:paraId="2B35D5B4"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left w:val="single" w:sz="4" w:space="0" w:color="auto"/>
              <w:right w:val="single" w:sz="4" w:space="0" w:color="auto"/>
            </w:tcBorders>
            <w:vAlign w:val="center"/>
            <w:hideMark/>
          </w:tcPr>
          <w:p w14:paraId="4B54325B"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077" w:type="dxa"/>
            <w:vMerge/>
            <w:tcBorders>
              <w:left w:val="single" w:sz="4" w:space="0" w:color="auto"/>
              <w:right w:val="single" w:sz="4" w:space="0" w:color="auto"/>
            </w:tcBorders>
            <w:vAlign w:val="center"/>
            <w:hideMark/>
          </w:tcPr>
          <w:p w14:paraId="781CB056"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r>
      <w:tr w:rsidR="002B37E9" w:rsidRPr="00140923" w14:paraId="4B2A46C7"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CD83B0" w14:textId="77777777" w:rsidR="002B37E9" w:rsidRPr="00140923" w:rsidRDefault="002B37E9" w:rsidP="00226764">
            <w:pPr>
              <w:pStyle w:val="Tabletext"/>
              <w:tabs>
                <w:tab w:val="clear" w:pos="3119"/>
              </w:tabs>
              <w:ind w:right="-22" w:hanging="14"/>
              <w:jc w:val="left"/>
              <w:rPr>
                <w:sz w:val="18"/>
                <w:szCs w:val="18"/>
                <w:lang w:val="es-ES_tradnl"/>
              </w:rPr>
            </w:pPr>
            <w:r w:rsidRPr="00140923">
              <w:rPr>
                <w:sz w:val="18"/>
                <w:szCs w:val="18"/>
                <w:lang w:val="es-ES_tradnl"/>
              </w:rPr>
              <w:t>Densidad de potencia de ruido típica del receptor</w:t>
            </w:r>
            <w:r w:rsidRPr="00140923">
              <w:rPr>
                <w:sz w:val="18"/>
                <w:szCs w:val="18"/>
                <w:lang w:val="es-ES_tradnl" w:eastAsia="ja-JP"/>
              </w:rPr>
              <w:t xml:space="preserve"> (= </w:t>
            </w: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eastAsia="ja-JP"/>
              </w:rPr>
              <w:t xml:space="preserve">) </w:t>
            </w:r>
            <w:r w:rsidRPr="00140923">
              <w:rPr>
                <w:sz w:val="18"/>
                <w:szCs w:val="18"/>
                <w:lang w:val="es-ES_tradnl"/>
              </w:rPr>
              <w:t>(dBW/MHz)</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841A7B8"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9CBFAD6"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04" w:type="dxa"/>
            <w:tcBorders>
              <w:top w:val="single" w:sz="4" w:space="0" w:color="auto"/>
              <w:left w:val="single" w:sz="4" w:space="0" w:color="auto"/>
              <w:bottom w:val="single" w:sz="4" w:space="0" w:color="auto"/>
              <w:right w:val="single" w:sz="4" w:space="0" w:color="auto"/>
            </w:tcBorders>
            <w:hideMark/>
          </w:tcPr>
          <w:p w14:paraId="0162B80A" w14:textId="07E8BF34" w:rsidR="002B37E9" w:rsidRPr="00140923" w:rsidRDefault="00664A5C" w:rsidP="00226764">
            <w:pPr>
              <w:pStyle w:val="Tabletext"/>
              <w:jc w:val="center"/>
              <w:rPr>
                <w:sz w:val="18"/>
                <w:szCs w:val="18"/>
                <w:lang w:val="es-ES_tradnl" w:eastAsia="ja-JP"/>
              </w:rPr>
            </w:pPr>
            <w:r w:rsidRPr="00664A5C">
              <w:rPr>
                <w:sz w:val="18"/>
                <w:szCs w:val="18"/>
                <w:lang w:val="es-ES_tradnl" w:eastAsia="ja-JP"/>
              </w:rPr>
              <w:t>−</w:t>
            </w:r>
            <w:r w:rsidR="002B37E9" w:rsidRPr="00140923">
              <w:rPr>
                <w:sz w:val="18"/>
                <w:szCs w:val="18"/>
                <w:lang w:val="es-ES_tradnl" w:eastAsia="ja-JP"/>
              </w:rPr>
              <w:t>140</w:t>
            </w:r>
            <w:r w:rsidR="002B37E9" w:rsidRPr="00140923">
              <w:rPr>
                <w:sz w:val="18"/>
                <w:szCs w:val="18"/>
                <w:vertAlign w:val="superscript"/>
                <w:lang w:val="es-ES_tradnl"/>
              </w:rPr>
              <w:t xml:space="preserve"> (1)</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433B185F"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4D22CBF4"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F733F8"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8919341"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247" w:type="dxa"/>
            <w:vMerge/>
            <w:tcBorders>
              <w:left w:val="single" w:sz="4" w:space="0" w:color="auto"/>
              <w:right w:val="single" w:sz="4" w:space="0" w:color="auto"/>
            </w:tcBorders>
            <w:vAlign w:val="center"/>
            <w:hideMark/>
          </w:tcPr>
          <w:p w14:paraId="53CAD624"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left w:val="single" w:sz="4" w:space="0" w:color="auto"/>
              <w:right w:val="single" w:sz="4" w:space="0" w:color="auto"/>
            </w:tcBorders>
            <w:vAlign w:val="center"/>
            <w:hideMark/>
          </w:tcPr>
          <w:p w14:paraId="2785FF64"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077" w:type="dxa"/>
            <w:vMerge/>
            <w:tcBorders>
              <w:left w:val="single" w:sz="4" w:space="0" w:color="auto"/>
              <w:right w:val="single" w:sz="4" w:space="0" w:color="auto"/>
            </w:tcBorders>
            <w:vAlign w:val="center"/>
            <w:hideMark/>
          </w:tcPr>
          <w:p w14:paraId="5AA370C6"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r>
      <w:tr w:rsidR="002B37E9" w:rsidRPr="00140923" w14:paraId="7DFF6D97"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EA1AE2" w14:textId="5BB2348D" w:rsidR="002B37E9" w:rsidRPr="00140923" w:rsidRDefault="002B37E9" w:rsidP="00226764">
            <w:pPr>
              <w:pStyle w:val="Tabletext"/>
              <w:tabs>
                <w:tab w:val="clear" w:pos="3119"/>
              </w:tabs>
              <w:ind w:right="-22" w:hanging="14"/>
              <w:jc w:val="left"/>
              <w:rPr>
                <w:sz w:val="18"/>
                <w:szCs w:val="18"/>
                <w:lang w:val="es-ES_tradnl"/>
              </w:rPr>
            </w:pPr>
            <w:r w:rsidRPr="00140923">
              <w:rPr>
                <w:sz w:val="18"/>
                <w:szCs w:val="18"/>
                <w:lang w:val="es-ES_tradnl"/>
              </w:rPr>
              <w:t>Nivel de entrada normalizado del receptor para una BER de 1 </w:t>
            </w:r>
            <w:r w:rsidR="00B233F6" w:rsidRPr="00B233F6">
              <w:rPr>
                <w:sz w:val="18"/>
                <w:szCs w:val="18"/>
                <w:lang w:val="es-ES_tradnl"/>
              </w:rPr>
              <w:t>×</w:t>
            </w:r>
            <w:r w:rsidRPr="00140923">
              <w:rPr>
                <w:sz w:val="18"/>
                <w:szCs w:val="18"/>
                <w:lang w:val="es-ES_tradnl"/>
              </w:rPr>
              <w:t> 10</w:t>
            </w:r>
            <w:r w:rsidR="00A941C1" w:rsidRPr="00A941C1">
              <w:rPr>
                <w:sz w:val="18"/>
                <w:szCs w:val="18"/>
                <w:vertAlign w:val="superscript"/>
                <w:lang w:val="es-ES_tradnl"/>
              </w:rPr>
              <w:t>−</w:t>
            </w:r>
            <w:r w:rsidRPr="00140923">
              <w:rPr>
                <w:sz w:val="18"/>
                <w:szCs w:val="18"/>
                <w:vertAlign w:val="superscript"/>
                <w:lang w:val="es-ES_tradnl"/>
              </w:rPr>
              <w:t>6</w:t>
            </w:r>
            <w:r w:rsidRPr="00140923">
              <w:rPr>
                <w:sz w:val="18"/>
                <w:szCs w:val="18"/>
                <w:lang w:val="es-ES_tradnl"/>
              </w:rPr>
              <w:t xml:space="preserve"> (dBW/MHz) </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43161ABB"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420C4E7A"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04" w:type="dxa"/>
            <w:tcBorders>
              <w:top w:val="single" w:sz="4" w:space="0" w:color="auto"/>
              <w:left w:val="single" w:sz="4" w:space="0" w:color="auto"/>
              <w:bottom w:val="single" w:sz="4" w:space="0" w:color="auto"/>
              <w:right w:val="single" w:sz="4" w:space="0" w:color="auto"/>
            </w:tcBorders>
            <w:hideMark/>
          </w:tcPr>
          <w:p w14:paraId="6D2B704A" w14:textId="6F50D005" w:rsidR="002B37E9" w:rsidRPr="00140923" w:rsidRDefault="00664A5C" w:rsidP="00226764">
            <w:pPr>
              <w:pStyle w:val="Tabletext"/>
              <w:jc w:val="center"/>
              <w:rPr>
                <w:sz w:val="18"/>
                <w:szCs w:val="18"/>
                <w:lang w:val="es-ES_tradnl" w:eastAsia="ja-JP"/>
              </w:rPr>
            </w:pPr>
            <w:r w:rsidRPr="00664A5C">
              <w:rPr>
                <w:sz w:val="18"/>
                <w:szCs w:val="18"/>
                <w:lang w:val="es-ES_tradnl" w:eastAsia="ja-JP"/>
              </w:rPr>
              <w:t>−</w:t>
            </w:r>
            <w:r w:rsidR="002B37E9" w:rsidRPr="00140923">
              <w:rPr>
                <w:sz w:val="18"/>
                <w:szCs w:val="18"/>
                <w:lang w:val="es-ES_tradnl" w:eastAsia="ja-JP"/>
              </w:rPr>
              <w:t>121</w:t>
            </w:r>
            <w:r w:rsidR="002B37E9" w:rsidRPr="00140923">
              <w:rPr>
                <w:sz w:val="18"/>
                <w:szCs w:val="18"/>
                <w:vertAlign w:val="superscript"/>
                <w:lang w:val="es-ES_tradnl"/>
              </w:rPr>
              <w:t xml:space="preserve"> (</w:t>
            </w:r>
            <w:r w:rsidR="002B37E9" w:rsidRPr="00140923">
              <w:rPr>
                <w:sz w:val="18"/>
                <w:szCs w:val="18"/>
                <w:vertAlign w:val="superscript"/>
                <w:lang w:val="es-ES_tradnl" w:eastAsia="ja-JP"/>
              </w:rPr>
              <w:t>2</w:t>
            </w:r>
            <w:r w:rsidR="002B37E9" w:rsidRPr="00140923">
              <w:rPr>
                <w:sz w:val="18"/>
                <w:szCs w:val="18"/>
                <w:vertAlign w:val="superscript"/>
                <w:lang w:val="es-ES_tradnl"/>
              </w:rPr>
              <w:t>)</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367FBC26"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5D61BB9E"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6796FC"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617FB51"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247" w:type="dxa"/>
            <w:vMerge/>
            <w:tcBorders>
              <w:left w:val="single" w:sz="4" w:space="0" w:color="auto"/>
              <w:bottom w:val="single" w:sz="4" w:space="0" w:color="auto"/>
              <w:right w:val="single" w:sz="4" w:space="0" w:color="auto"/>
            </w:tcBorders>
            <w:vAlign w:val="center"/>
            <w:hideMark/>
          </w:tcPr>
          <w:p w14:paraId="41112DFD"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907" w:type="dxa"/>
            <w:vMerge/>
            <w:tcBorders>
              <w:left w:val="single" w:sz="4" w:space="0" w:color="auto"/>
              <w:bottom w:val="single" w:sz="4" w:space="0" w:color="auto"/>
              <w:right w:val="single" w:sz="4" w:space="0" w:color="auto"/>
            </w:tcBorders>
            <w:vAlign w:val="center"/>
            <w:hideMark/>
          </w:tcPr>
          <w:p w14:paraId="4B1E1B66"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c>
          <w:tcPr>
            <w:tcW w:w="1077" w:type="dxa"/>
            <w:vMerge/>
            <w:tcBorders>
              <w:left w:val="single" w:sz="4" w:space="0" w:color="auto"/>
              <w:bottom w:val="nil"/>
              <w:right w:val="single" w:sz="4" w:space="0" w:color="auto"/>
            </w:tcBorders>
            <w:vAlign w:val="center"/>
            <w:hideMark/>
          </w:tcPr>
          <w:p w14:paraId="5D0E05C0" w14:textId="77777777" w:rsidR="002B37E9" w:rsidRPr="00140923" w:rsidRDefault="002B37E9" w:rsidP="00226764">
            <w:pPr>
              <w:tabs>
                <w:tab w:val="clear" w:pos="794"/>
                <w:tab w:val="clear" w:pos="1191"/>
                <w:tab w:val="clear" w:pos="1588"/>
                <w:tab w:val="clear" w:pos="1985"/>
              </w:tabs>
              <w:overflowPunct/>
              <w:autoSpaceDE/>
              <w:autoSpaceDN/>
              <w:adjustRightInd/>
              <w:spacing w:before="40" w:after="40"/>
              <w:jc w:val="left"/>
              <w:rPr>
                <w:sz w:val="18"/>
                <w:szCs w:val="18"/>
                <w:lang w:val="es-ES_tradnl" w:eastAsia="ja-JP"/>
              </w:rPr>
            </w:pPr>
          </w:p>
        </w:tc>
      </w:tr>
      <w:tr w:rsidR="002B37E9" w:rsidRPr="00140923" w14:paraId="760603CC" w14:textId="77777777" w:rsidTr="00226764">
        <w:trPr>
          <w:jc w:val="center"/>
        </w:trPr>
        <w:tc>
          <w:tcPr>
            <w:tcW w:w="3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1C27B3" w14:textId="77777777" w:rsidR="002B37E9" w:rsidRPr="00140923" w:rsidRDefault="002B37E9" w:rsidP="00226764">
            <w:pPr>
              <w:pStyle w:val="Tabletext"/>
              <w:tabs>
                <w:tab w:val="clear" w:pos="3119"/>
              </w:tabs>
              <w:ind w:right="-22" w:hanging="14"/>
              <w:jc w:val="left"/>
              <w:rPr>
                <w:sz w:val="18"/>
                <w:szCs w:val="18"/>
                <w:lang w:val="es-ES_tradnl" w:eastAsia="ja-JP"/>
              </w:rPr>
            </w:pPr>
            <w:r w:rsidRPr="00140923">
              <w:rPr>
                <w:sz w:val="18"/>
                <w:szCs w:val="18"/>
                <w:lang w:val="es-ES_tradnl"/>
              </w:rPr>
              <w:t xml:space="preserve">Densidad de potencia de interferencia a largo plazo nominal (dBW/MHz) </w:t>
            </w:r>
          </w:p>
        </w:tc>
        <w:tc>
          <w:tcPr>
            <w:tcW w:w="1361" w:type="dxa"/>
            <w:tcBorders>
              <w:top w:val="single" w:sz="4" w:space="0" w:color="auto"/>
              <w:left w:val="single" w:sz="4" w:space="0" w:color="auto"/>
              <w:bottom w:val="single" w:sz="4" w:space="0" w:color="auto"/>
              <w:right w:val="single" w:sz="4" w:space="0" w:color="auto"/>
            </w:tcBorders>
            <w:hideMark/>
          </w:tcPr>
          <w:p w14:paraId="122BE2F5" w14:textId="77777777" w:rsidR="002B37E9" w:rsidRPr="00140923" w:rsidRDefault="002B37E9" w:rsidP="00226764">
            <w:pPr>
              <w:pStyle w:val="Tabletext"/>
              <w:jc w:val="center"/>
              <w:rPr>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1361" w:type="dxa"/>
            <w:tcBorders>
              <w:top w:val="single" w:sz="4" w:space="0" w:color="auto"/>
              <w:left w:val="single" w:sz="4" w:space="0" w:color="auto"/>
              <w:bottom w:val="single" w:sz="4" w:space="0" w:color="auto"/>
              <w:right w:val="single" w:sz="4" w:space="0" w:color="auto"/>
            </w:tcBorders>
            <w:hideMark/>
          </w:tcPr>
          <w:p w14:paraId="38AE9E2E" w14:textId="77777777" w:rsidR="002B37E9" w:rsidRPr="00140923" w:rsidRDefault="002B37E9" w:rsidP="00226764">
            <w:pPr>
              <w:pStyle w:val="Tabletext"/>
              <w:jc w:val="center"/>
              <w:rPr>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1304" w:type="dxa"/>
            <w:tcBorders>
              <w:top w:val="single" w:sz="4" w:space="0" w:color="auto"/>
              <w:left w:val="single" w:sz="4" w:space="0" w:color="auto"/>
              <w:bottom w:val="single" w:sz="4" w:space="0" w:color="auto"/>
              <w:right w:val="single" w:sz="4" w:space="0" w:color="auto"/>
            </w:tcBorders>
            <w:hideMark/>
          </w:tcPr>
          <w:p w14:paraId="1DF72800" w14:textId="5615ADB5" w:rsidR="002B37E9" w:rsidRPr="00140923" w:rsidRDefault="00B233F6" w:rsidP="00226764">
            <w:pPr>
              <w:pStyle w:val="Tabletext"/>
              <w:jc w:val="center"/>
              <w:rPr>
                <w:i/>
                <w:iCs/>
                <w:sz w:val="18"/>
                <w:szCs w:val="18"/>
                <w:lang w:val="es-ES_tradnl" w:eastAsia="ja-JP"/>
              </w:rPr>
            </w:pPr>
            <w:r w:rsidRPr="00B233F6">
              <w:rPr>
                <w:sz w:val="18"/>
                <w:szCs w:val="18"/>
                <w:lang w:val="es-ES_tradnl" w:eastAsia="ja-JP"/>
              </w:rPr>
              <w:t>−</w:t>
            </w:r>
            <w:r w:rsidR="002B37E9" w:rsidRPr="00140923">
              <w:rPr>
                <w:sz w:val="18"/>
                <w:szCs w:val="18"/>
                <w:lang w:val="es-ES_tradnl" w:eastAsia="ja-JP"/>
              </w:rPr>
              <w:t>140</w:t>
            </w:r>
            <w:r w:rsidR="002B37E9" w:rsidRPr="00140923">
              <w:rPr>
                <w:sz w:val="18"/>
                <w:szCs w:val="18"/>
                <w:lang w:val="es-ES_tradnl"/>
              </w:rPr>
              <w:t xml:space="preserve"> </w:t>
            </w:r>
            <w:r w:rsidR="002B37E9" w:rsidRPr="00140923">
              <w:rPr>
                <w:color w:val="000000"/>
                <w:sz w:val="18"/>
                <w:szCs w:val="18"/>
                <w:lang w:val="es-ES_tradnl"/>
              </w:rPr>
              <w:t xml:space="preserve">+ </w:t>
            </w:r>
            <w:r w:rsidR="002B37E9" w:rsidRPr="00140923">
              <w:rPr>
                <w:i/>
                <w:color w:val="000000"/>
                <w:sz w:val="18"/>
                <w:szCs w:val="18"/>
                <w:lang w:val="es-ES_tradnl"/>
              </w:rPr>
              <w:t>I</w:t>
            </w:r>
            <w:r w:rsidR="002B37E9" w:rsidRPr="00140923">
              <w:rPr>
                <w:color w:val="000000"/>
                <w:sz w:val="18"/>
                <w:szCs w:val="18"/>
                <w:lang w:val="es-ES_tradnl"/>
              </w:rPr>
              <w:t>/</w:t>
            </w:r>
            <w:r w:rsidR="002B37E9" w:rsidRPr="00140923">
              <w:rPr>
                <w:i/>
                <w:color w:val="000000"/>
                <w:sz w:val="18"/>
                <w:szCs w:val="18"/>
                <w:lang w:val="es-ES_tradnl"/>
              </w:rPr>
              <w:t>N</w:t>
            </w:r>
            <w:r w:rsidR="002B37E9" w:rsidRPr="00140923">
              <w:rPr>
                <w:i/>
                <w:color w:val="000000"/>
                <w:sz w:val="8"/>
                <w:szCs w:val="8"/>
                <w:lang w:val="es-ES_tradnl"/>
              </w:rPr>
              <w:t> </w:t>
            </w:r>
            <w:r w:rsidR="002B37E9" w:rsidRPr="00140923">
              <w:rPr>
                <w:sz w:val="18"/>
                <w:szCs w:val="18"/>
                <w:vertAlign w:val="superscript"/>
                <w:lang w:val="es-ES_tradnl"/>
              </w:rPr>
              <w:t>(</w:t>
            </w:r>
            <w:r w:rsidR="002B37E9" w:rsidRPr="00140923">
              <w:rPr>
                <w:sz w:val="18"/>
                <w:szCs w:val="18"/>
                <w:vertAlign w:val="superscript"/>
                <w:lang w:val="es-ES_tradnl" w:eastAsia="ja-JP"/>
              </w:rPr>
              <w:t>3</w:t>
            </w:r>
            <w:r w:rsidR="002B37E9" w:rsidRPr="00140923">
              <w:rPr>
                <w:sz w:val="18"/>
                <w:szCs w:val="18"/>
                <w:vertAlign w:val="superscript"/>
                <w:lang w:val="es-ES_tradnl"/>
              </w:rPr>
              <w:t>)</w:t>
            </w:r>
          </w:p>
        </w:tc>
        <w:tc>
          <w:tcPr>
            <w:tcW w:w="907" w:type="dxa"/>
            <w:tcBorders>
              <w:top w:val="single" w:sz="4" w:space="0" w:color="auto"/>
              <w:left w:val="single" w:sz="4" w:space="0" w:color="auto"/>
              <w:bottom w:val="single" w:sz="4" w:space="0" w:color="auto"/>
              <w:right w:val="single" w:sz="4" w:space="0" w:color="auto"/>
            </w:tcBorders>
            <w:hideMark/>
          </w:tcPr>
          <w:p w14:paraId="2DC640F2" w14:textId="77777777" w:rsidR="002B37E9" w:rsidRPr="00140923" w:rsidRDefault="002B37E9" w:rsidP="00226764">
            <w:pPr>
              <w:pStyle w:val="Tabletext"/>
              <w:jc w:val="center"/>
              <w:rPr>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907" w:type="dxa"/>
            <w:tcBorders>
              <w:top w:val="single" w:sz="4" w:space="0" w:color="auto"/>
              <w:left w:val="single" w:sz="4" w:space="0" w:color="auto"/>
              <w:bottom w:val="single" w:sz="4" w:space="0" w:color="auto"/>
              <w:right w:val="single" w:sz="4" w:space="0" w:color="auto"/>
            </w:tcBorders>
            <w:hideMark/>
          </w:tcPr>
          <w:p w14:paraId="29B65F8E" w14:textId="77777777" w:rsidR="002B37E9" w:rsidRPr="00140923" w:rsidRDefault="002B37E9" w:rsidP="00226764">
            <w:pPr>
              <w:pStyle w:val="Tabletext"/>
              <w:jc w:val="center"/>
              <w:rPr>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850" w:type="dxa"/>
            <w:tcBorders>
              <w:top w:val="single" w:sz="4" w:space="0" w:color="auto"/>
              <w:left w:val="single" w:sz="4" w:space="0" w:color="auto"/>
              <w:bottom w:val="single" w:sz="4" w:space="0" w:color="auto"/>
              <w:right w:val="single" w:sz="4" w:space="0" w:color="auto"/>
            </w:tcBorders>
            <w:hideMark/>
          </w:tcPr>
          <w:p w14:paraId="547C83AE" w14:textId="77777777" w:rsidR="002B37E9" w:rsidRPr="00140923" w:rsidRDefault="002B37E9" w:rsidP="00226764">
            <w:pPr>
              <w:pStyle w:val="Tabletext"/>
              <w:ind w:left="-113" w:right="-113"/>
              <w:jc w:val="center"/>
              <w:rPr>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1361" w:type="dxa"/>
            <w:tcBorders>
              <w:top w:val="single" w:sz="4" w:space="0" w:color="auto"/>
              <w:left w:val="single" w:sz="4" w:space="0" w:color="auto"/>
              <w:bottom w:val="single" w:sz="4" w:space="0" w:color="auto"/>
              <w:right w:val="single" w:sz="4" w:space="0" w:color="auto"/>
            </w:tcBorders>
            <w:hideMark/>
          </w:tcPr>
          <w:p w14:paraId="47D493C9" w14:textId="77777777" w:rsidR="002B37E9" w:rsidRPr="00140923" w:rsidRDefault="002B37E9" w:rsidP="00226764">
            <w:pPr>
              <w:pStyle w:val="Tabletext"/>
              <w:jc w:val="center"/>
              <w:rPr>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1247" w:type="dxa"/>
            <w:tcBorders>
              <w:top w:val="single" w:sz="4" w:space="0" w:color="auto"/>
              <w:left w:val="single" w:sz="4" w:space="0" w:color="auto"/>
              <w:bottom w:val="single" w:sz="4" w:space="0" w:color="auto"/>
              <w:right w:val="single" w:sz="4" w:space="0" w:color="auto"/>
            </w:tcBorders>
            <w:hideMark/>
          </w:tcPr>
          <w:p w14:paraId="41365D3C" w14:textId="77777777" w:rsidR="002B37E9" w:rsidRPr="00140923" w:rsidRDefault="002B37E9" w:rsidP="00226764">
            <w:pPr>
              <w:pStyle w:val="Tabletext"/>
              <w:jc w:val="center"/>
              <w:rPr>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907" w:type="dxa"/>
            <w:tcBorders>
              <w:top w:val="single" w:sz="4" w:space="0" w:color="auto"/>
              <w:left w:val="single" w:sz="4" w:space="0" w:color="auto"/>
              <w:bottom w:val="single" w:sz="4" w:space="0" w:color="auto"/>
              <w:right w:val="single" w:sz="4" w:space="0" w:color="auto"/>
            </w:tcBorders>
            <w:hideMark/>
          </w:tcPr>
          <w:p w14:paraId="5DA3B11E" w14:textId="77777777" w:rsidR="002B37E9" w:rsidRPr="00140923" w:rsidRDefault="002B37E9" w:rsidP="00226764">
            <w:pPr>
              <w:pStyle w:val="Tabletext"/>
              <w:jc w:val="center"/>
              <w:rPr>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1077" w:type="dxa"/>
            <w:tcBorders>
              <w:top w:val="single" w:sz="4" w:space="0" w:color="auto"/>
              <w:left w:val="single" w:sz="4" w:space="0" w:color="auto"/>
              <w:bottom w:val="single" w:sz="4" w:space="0" w:color="auto"/>
              <w:right w:val="single" w:sz="4" w:space="0" w:color="auto"/>
            </w:tcBorders>
            <w:hideMark/>
          </w:tcPr>
          <w:p w14:paraId="6BCEC26F" w14:textId="77777777" w:rsidR="002B37E9" w:rsidRPr="00140923" w:rsidRDefault="002B37E9" w:rsidP="00226764">
            <w:pPr>
              <w:pStyle w:val="Tabletext"/>
              <w:jc w:val="center"/>
              <w:rPr>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r>
      <w:tr w:rsidR="002B37E9" w:rsidRPr="00140923" w14:paraId="7ED46A81" w14:textId="77777777" w:rsidTr="00226764">
        <w:trPr>
          <w:jc w:val="center"/>
        </w:trPr>
        <w:tc>
          <w:tcPr>
            <w:tcW w:w="14457" w:type="dxa"/>
            <w:gridSpan w:val="11"/>
            <w:tcBorders>
              <w:top w:val="single" w:sz="4" w:space="0" w:color="auto"/>
              <w:left w:val="nil"/>
              <w:bottom w:val="nil"/>
              <w:right w:val="nil"/>
            </w:tcBorders>
            <w:hideMark/>
          </w:tcPr>
          <w:p w14:paraId="5FCCA377" w14:textId="77777777" w:rsidR="002B37E9" w:rsidRPr="00140923" w:rsidRDefault="002B37E9" w:rsidP="00226764">
            <w:pPr>
              <w:pStyle w:val="TableLegendNote"/>
              <w:rPr>
                <w:sz w:val="18"/>
                <w:szCs w:val="18"/>
                <w:lang w:val="es-ES_tradnl" w:eastAsia="ja-JP"/>
              </w:rPr>
            </w:pPr>
            <w:r w:rsidRPr="00140923">
              <w:rPr>
                <w:sz w:val="18"/>
                <w:szCs w:val="18"/>
                <w:lang w:val="es-ES_tradnl"/>
              </w:rPr>
              <w:t>NOTA – El conjunto previsto de parámetros de dos sistemas de referencia para los estudios de compartición/compatibilidad actualmente no</w:t>
            </w:r>
            <w:r w:rsidRPr="00140923">
              <w:rPr>
                <w:sz w:val="18"/>
                <w:szCs w:val="18"/>
                <w:lang w:val="es-ES_tradnl" w:eastAsia="ja-JP"/>
              </w:rPr>
              <w:t xml:space="preserve"> están disponibles, o lo están sólo parcialmente. A título provisional, se pueden utilizar los parámetros que figuran en el Anexo 3 para las mismas bandas.</w:t>
            </w:r>
          </w:p>
          <w:p w14:paraId="48A7FDE5" w14:textId="0AEFC5A6" w:rsidR="002B37E9" w:rsidRPr="00140923" w:rsidRDefault="002B37E9" w:rsidP="00226764">
            <w:pPr>
              <w:pStyle w:val="Tablelegend"/>
              <w:rPr>
                <w:sz w:val="18"/>
                <w:szCs w:val="18"/>
                <w:lang w:val="es-ES_tradnl"/>
              </w:rPr>
            </w:pPr>
            <w:r w:rsidRPr="00140923">
              <w:rPr>
                <w:sz w:val="18"/>
                <w:szCs w:val="18"/>
                <w:vertAlign w:val="superscript"/>
                <w:lang w:val="es-ES_tradnl"/>
              </w:rPr>
              <w:t>(1)</w:t>
            </w:r>
            <w:r w:rsidRPr="00140923">
              <w:rPr>
                <w:sz w:val="18"/>
                <w:szCs w:val="18"/>
                <w:vertAlign w:val="superscript"/>
                <w:lang w:val="es-ES_tradnl"/>
              </w:rPr>
              <w:tab/>
            </w:r>
            <w:r w:rsidRPr="00140923">
              <w:rPr>
                <w:sz w:val="18"/>
                <w:szCs w:val="18"/>
                <w:lang w:val="es-ES_tradnl"/>
              </w:rPr>
              <w:t xml:space="preserve">La densidad de potencia de ruido típica del receptor en el canal será de </w:t>
            </w:r>
            <w:r w:rsidR="00B233F6" w:rsidRPr="00B233F6">
              <w:rPr>
                <w:sz w:val="18"/>
                <w:szCs w:val="18"/>
                <w:lang w:val="es-ES_tradnl"/>
              </w:rPr>
              <w:t>−</w:t>
            </w:r>
            <w:r w:rsidRPr="00140923">
              <w:rPr>
                <w:sz w:val="18"/>
                <w:szCs w:val="18"/>
                <w:lang w:val="es-ES_tradnl"/>
              </w:rPr>
              <w:t>159 dBW/12</w:t>
            </w:r>
            <w:r w:rsidR="00664A5C">
              <w:rPr>
                <w:sz w:val="18"/>
                <w:szCs w:val="18"/>
                <w:lang w:val="es-ES_tradnl"/>
              </w:rPr>
              <w:t>,</w:t>
            </w:r>
            <w:r w:rsidRPr="00140923">
              <w:rPr>
                <w:sz w:val="18"/>
                <w:szCs w:val="18"/>
                <w:lang w:val="es-ES_tradnl"/>
              </w:rPr>
              <w:t>5 kHz.</w:t>
            </w:r>
          </w:p>
          <w:p w14:paraId="6FC42915" w14:textId="53F95D1C" w:rsidR="002B37E9" w:rsidRPr="00140923" w:rsidRDefault="002B37E9" w:rsidP="00226764">
            <w:pPr>
              <w:pStyle w:val="Tablelegend"/>
              <w:rPr>
                <w:sz w:val="18"/>
                <w:szCs w:val="18"/>
                <w:lang w:val="es-ES_tradnl"/>
              </w:rPr>
            </w:pPr>
            <w:r w:rsidRPr="00140923">
              <w:rPr>
                <w:sz w:val="18"/>
                <w:szCs w:val="18"/>
                <w:vertAlign w:val="superscript"/>
                <w:lang w:val="es-ES_tradnl"/>
              </w:rPr>
              <w:t>(2)</w:t>
            </w:r>
            <w:r w:rsidRPr="00140923">
              <w:rPr>
                <w:sz w:val="18"/>
                <w:szCs w:val="18"/>
                <w:lang w:val="es-ES_tradnl"/>
              </w:rPr>
              <w:tab/>
              <w:t>El nivel de entrada normalizado del receptor para una BER de 1 </w:t>
            </w:r>
            <w:r w:rsidR="00B233F6" w:rsidRPr="00B233F6">
              <w:rPr>
                <w:sz w:val="18"/>
                <w:szCs w:val="18"/>
                <w:lang w:val="es-ES_tradnl"/>
              </w:rPr>
              <w:t>×</w:t>
            </w:r>
            <w:r w:rsidRPr="00140923">
              <w:rPr>
                <w:sz w:val="18"/>
                <w:szCs w:val="18"/>
                <w:lang w:val="es-ES_tradnl"/>
              </w:rPr>
              <w:t> </w:t>
            </w:r>
            <w:r w:rsidR="00480606" w:rsidRPr="00480606">
              <w:rPr>
                <w:sz w:val="18"/>
                <w:szCs w:val="18"/>
                <w:lang w:val="es-ES_tradnl"/>
              </w:rPr>
              <w:t>10</w:t>
            </w:r>
            <w:r w:rsidR="00480606" w:rsidRPr="00480606">
              <w:rPr>
                <w:sz w:val="18"/>
                <w:szCs w:val="18"/>
                <w:vertAlign w:val="superscript"/>
                <w:lang w:val="es-ES_tradnl"/>
              </w:rPr>
              <w:t>−6</w:t>
            </w:r>
            <w:r w:rsidRPr="00140923">
              <w:rPr>
                <w:sz w:val="18"/>
                <w:szCs w:val="18"/>
                <w:lang w:val="es-ES_tradnl"/>
              </w:rPr>
              <w:t xml:space="preserve"> en el canal será de </w:t>
            </w:r>
            <w:r w:rsidR="00B233F6" w:rsidRPr="00B233F6">
              <w:rPr>
                <w:sz w:val="18"/>
                <w:szCs w:val="18"/>
                <w:lang w:val="es-ES_tradnl"/>
              </w:rPr>
              <w:t>−</w:t>
            </w:r>
            <w:r w:rsidRPr="00140923">
              <w:rPr>
                <w:sz w:val="18"/>
                <w:szCs w:val="18"/>
                <w:lang w:val="es-ES_tradnl"/>
              </w:rPr>
              <w:t>140 dBW/12</w:t>
            </w:r>
            <w:r w:rsidR="00B233F6">
              <w:rPr>
                <w:sz w:val="18"/>
                <w:szCs w:val="18"/>
                <w:lang w:val="es-ES_tradnl"/>
              </w:rPr>
              <w:t>,</w:t>
            </w:r>
            <w:r w:rsidRPr="00140923">
              <w:rPr>
                <w:sz w:val="18"/>
                <w:szCs w:val="18"/>
                <w:lang w:val="es-ES_tradnl"/>
              </w:rPr>
              <w:t>5 kHz.</w:t>
            </w:r>
          </w:p>
          <w:p w14:paraId="5369043D" w14:textId="2819A7BF" w:rsidR="002B37E9" w:rsidRPr="00140923" w:rsidRDefault="002B37E9" w:rsidP="00226764">
            <w:pPr>
              <w:pStyle w:val="Tablelegend"/>
              <w:rPr>
                <w:sz w:val="18"/>
                <w:szCs w:val="18"/>
                <w:lang w:val="es-ES_tradnl" w:eastAsia="ja-JP"/>
              </w:rPr>
            </w:pPr>
            <w:r w:rsidRPr="00140923">
              <w:rPr>
                <w:sz w:val="18"/>
                <w:szCs w:val="18"/>
                <w:vertAlign w:val="superscript"/>
                <w:lang w:val="es-ES_tradnl"/>
              </w:rPr>
              <w:t>(3)</w:t>
            </w:r>
            <w:r w:rsidRPr="00140923">
              <w:rPr>
                <w:sz w:val="18"/>
                <w:szCs w:val="18"/>
                <w:lang w:val="es-ES_tradnl"/>
              </w:rPr>
              <w:tab/>
              <w:t xml:space="preserve">La densidad de potencia de interferencia a largo plazo nominal en el canal será de </w:t>
            </w:r>
            <w:r w:rsidR="00B233F6" w:rsidRPr="00B233F6">
              <w:rPr>
                <w:sz w:val="18"/>
                <w:szCs w:val="18"/>
                <w:lang w:val="es-ES_tradnl"/>
              </w:rPr>
              <w:t>−</w:t>
            </w:r>
            <w:r w:rsidRPr="00140923">
              <w:rPr>
                <w:sz w:val="18"/>
                <w:szCs w:val="18"/>
                <w:lang w:val="es-ES_tradnl"/>
              </w:rPr>
              <w:t>159</w:t>
            </w:r>
            <w:r w:rsidR="00B233F6">
              <w:rPr>
                <w:sz w:val="18"/>
                <w:szCs w:val="18"/>
                <w:lang w:val="es-ES_tradnl"/>
              </w:rPr>
              <w:t xml:space="preserve"> </w:t>
            </w:r>
            <w:r w:rsidRPr="00140923">
              <w:rPr>
                <w:sz w:val="18"/>
                <w:szCs w:val="18"/>
                <w:lang w:val="es-ES_tradnl"/>
              </w:rPr>
              <w:t>+</w:t>
            </w:r>
            <w:r w:rsidR="00B233F6">
              <w:rPr>
                <w:sz w:val="18"/>
                <w:szCs w:val="18"/>
                <w:lang w:val="es-ES_tradnl"/>
              </w:rPr>
              <w:t xml:space="preserve"> </w:t>
            </w:r>
            <w:r w:rsidRPr="00B233F6">
              <w:rPr>
                <w:i/>
                <w:iCs/>
                <w:sz w:val="18"/>
                <w:szCs w:val="18"/>
                <w:lang w:val="es-ES_tradnl"/>
              </w:rPr>
              <w:t>I</w:t>
            </w:r>
            <w:r w:rsidRPr="00140923">
              <w:rPr>
                <w:sz w:val="18"/>
                <w:szCs w:val="18"/>
                <w:lang w:val="es-ES_tradnl"/>
              </w:rPr>
              <w:t>/</w:t>
            </w:r>
            <w:r w:rsidRPr="00B233F6">
              <w:rPr>
                <w:i/>
                <w:iCs/>
                <w:sz w:val="18"/>
                <w:szCs w:val="18"/>
                <w:lang w:val="es-ES_tradnl"/>
              </w:rPr>
              <w:t>N</w:t>
            </w:r>
            <w:r w:rsidRPr="00140923">
              <w:rPr>
                <w:sz w:val="18"/>
                <w:szCs w:val="18"/>
                <w:lang w:val="es-ES_tradnl"/>
              </w:rPr>
              <w:t xml:space="preserve"> dBW/12</w:t>
            </w:r>
            <w:r w:rsidR="00B233F6">
              <w:rPr>
                <w:sz w:val="18"/>
                <w:szCs w:val="18"/>
                <w:lang w:val="es-ES_tradnl"/>
              </w:rPr>
              <w:t>,</w:t>
            </w:r>
            <w:r w:rsidRPr="00140923">
              <w:rPr>
                <w:sz w:val="18"/>
                <w:szCs w:val="18"/>
                <w:lang w:val="es-ES_tradnl"/>
              </w:rPr>
              <w:t>5 kHz.</w:t>
            </w:r>
          </w:p>
        </w:tc>
      </w:tr>
    </w:tbl>
    <w:p w14:paraId="3606C89B" w14:textId="03753183" w:rsidR="002B37E9" w:rsidRPr="00140923" w:rsidRDefault="002B37E9" w:rsidP="002B37E9">
      <w:pPr>
        <w:pStyle w:val="TableNo"/>
        <w:rPr>
          <w:lang w:val="es-ES_tradnl"/>
        </w:rPr>
      </w:pPr>
      <w:r w:rsidRPr="00140923">
        <w:rPr>
          <w:lang w:val="es-ES_tradnl"/>
        </w:rPr>
        <w:lastRenderedPageBreak/>
        <w:t>CUADRO 8</w:t>
      </w:r>
    </w:p>
    <w:p w14:paraId="3D4AB1F5" w14:textId="77777777" w:rsidR="002B37E9" w:rsidRPr="00140923" w:rsidRDefault="002B37E9" w:rsidP="002B37E9">
      <w:pPr>
        <w:pStyle w:val="Tabletitle"/>
        <w:rPr>
          <w:lang w:val="es-ES_tradnl"/>
        </w:rPr>
      </w:pPr>
      <w:r w:rsidRPr="00140923">
        <w:rPr>
          <w:lang w:val="es-ES_tradnl"/>
        </w:rPr>
        <w:t>Parámetros de sistema para los sistemas punto a punto del servicio fijo en bandas atribuidas entre 3 y 7,2 GHz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991"/>
        <w:gridCol w:w="993"/>
        <w:gridCol w:w="1158"/>
        <w:gridCol w:w="1225"/>
        <w:gridCol w:w="1343"/>
        <w:gridCol w:w="850"/>
        <w:gridCol w:w="1276"/>
        <w:gridCol w:w="992"/>
        <w:gridCol w:w="1134"/>
        <w:gridCol w:w="1423"/>
      </w:tblGrid>
      <w:tr w:rsidR="002B37E9" w:rsidRPr="00140923" w14:paraId="406E5080"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99E110" w14:textId="281ED5FC" w:rsidR="002B37E9" w:rsidRPr="00140923" w:rsidRDefault="002B37E9" w:rsidP="00226764">
            <w:pPr>
              <w:pStyle w:val="Tablehead"/>
              <w:spacing w:before="60" w:after="60"/>
              <w:rPr>
                <w:sz w:val="20"/>
                <w:lang w:val="es-ES_tradnl"/>
              </w:rPr>
            </w:pPr>
            <w:r w:rsidRPr="00140923">
              <w:rPr>
                <w:sz w:val="20"/>
                <w:lang w:val="es-ES_tradnl"/>
              </w:rPr>
              <w:t xml:space="preserve">Gama de frecuencias </w:t>
            </w:r>
            <w:r w:rsidR="00664A5C">
              <w:rPr>
                <w:sz w:val="20"/>
                <w:lang w:val="es-ES_tradnl"/>
              </w:rPr>
              <w:br/>
            </w:r>
            <w:r w:rsidRPr="00140923">
              <w:rPr>
                <w:sz w:val="20"/>
                <w:lang w:val="es-ES_tradnl"/>
              </w:rPr>
              <w:t>(GHz)</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B5C1395" w14:textId="77777777" w:rsidR="002B37E9" w:rsidRPr="00140923" w:rsidRDefault="002B37E9" w:rsidP="00226764">
            <w:pPr>
              <w:pStyle w:val="Tablehead"/>
              <w:spacing w:before="60" w:after="60"/>
              <w:rPr>
                <w:sz w:val="20"/>
                <w:lang w:val="es-ES_tradnl"/>
              </w:rPr>
            </w:pPr>
            <w:r w:rsidRPr="00140923">
              <w:rPr>
                <w:sz w:val="20"/>
                <w:lang w:val="es-ES_tradnl"/>
              </w:rPr>
              <w:t>3,600-4,200</w:t>
            </w:r>
          </w:p>
        </w:tc>
        <w:tc>
          <w:tcPr>
            <w:tcW w:w="2383" w:type="dxa"/>
            <w:gridSpan w:val="2"/>
            <w:tcBorders>
              <w:top w:val="single" w:sz="4" w:space="0" w:color="auto"/>
              <w:left w:val="single" w:sz="4" w:space="0" w:color="auto"/>
              <w:bottom w:val="single" w:sz="4" w:space="0" w:color="auto"/>
              <w:right w:val="single" w:sz="4" w:space="0" w:color="auto"/>
            </w:tcBorders>
            <w:vAlign w:val="center"/>
            <w:hideMark/>
          </w:tcPr>
          <w:p w14:paraId="0667FCD8" w14:textId="77777777" w:rsidR="002B37E9" w:rsidRPr="00140923" w:rsidRDefault="002B37E9" w:rsidP="00226764">
            <w:pPr>
              <w:pStyle w:val="Tablehead"/>
              <w:spacing w:before="60" w:after="60"/>
              <w:rPr>
                <w:sz w:val="20"/>
                <w:lang w:val="es-ES_tradnl"/>
              </w:rPr>
            </w:pPr>
            <w:r w:rsidRPr="00140923">
              <w:rPr>
                <w:sz w:val="20"/>
                <w:lang w:val="es-ES_tradnl"/>
              </w:rPr>
              <w:t>3,700-4,200</w:t>
            </w:r>
          </w:p>
        </w:tc>
        <w:tc>
          <w:tcPr>
            <w:tcW w:w="2193" w:type="dxa"/>
            <w:gridSpan w:val="2"/>
            <w:tcBorders>
              <w:top w:val="single" w:sz="4" w:space="0" w:color="auto"/>
              <w:left w:val="single" w:sz="4" w:space="0" w:color="auto"/>
              <w:bottom w:val="single" w:sz="4" w:space="0" w:color="auto"/>
              <w:right w:val="single" w:sz="4" w:space="0" w:color="auto"/>
            </w:tcBorders>
            <w:vAlign w:val="center"/>
            <w:hideMark/>
          </w:tcPr>
          <w:p w14:paraId="5E5BA968" w14:textId="77777777" w:rsidR="002B37E9" w:rsidRPr="00140923" w:rsidRDefault="002B37E9" w:rsidP="00226764">
            <w:pPr>
              <w:pStyle w:val="Tablehead"/>
              <w:spacing w:before="60" w:after="60"/>
              <w:rPr>
                <w:sz w:val="20"/>
                <w:lang w:val="es-ES_tradnl"/>
              </w:rPr>
            </w:pPr>
            <w:r w:rsidRPr="00140923">
              <w:rPr>
                <w:sz w:val="20"/>
                <w:lang w:val="es-ES_tradnl"/>
              </w:rPr>
              <w:t>4,400-5,000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D7EEACC" w14:textId="77777777" w:rsidR="002B37E9" w:rsidRPr="00140923" w:rsidRDefault="002B37E9" w:rsidP="00226764">
            <w:pPr>
              <w:pStyle w:val="Tablehead"/>
              <w:spacing w:before="60" w:after="60"/>
              <w:rPr>
                <w:sz w:val="20"/>
                <w:lang w:val="es-ES_tradnl"/>
              </w:rPr>
            </w:pPr>
            <w:r w:rsidRPr="00140923">
              <w:rPr>
                <w:sz w:val="20"/>
                <w:lang w:val="es-ES_tradnl"/>
              </w:rPr>
              <w:t>5,925-6,425</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09028328" w14:textId="77777777" w:rsidR="002B37E9" w:rsidRPr="00140923" w:rsidRDefault="002B37E9" w:rsidP="00226764">
            <w:pPr>
              <w:pStyle w:val="Tablehead"/>
              <w:spacing w:before="60" w:after="60"/>
              <w:rPr>
                <w:sz w:val="20"/>
                <w:lang w:val="es-ES_tradnl"/>
              </w:rPr>
            </w:pPr>
            <w:r w:rsidRPr="00140923">
              <w:rPr>
                <w:sz w:val="20"/>
                <w:lang w:val="es-ES_tradnl"/>
              </w:rPr>
              <w:t>6,425-7,125</w:t>
            </w:r>
          </w:p>
        </w:tc>
      </w:tr>
      <w:tr w:rsidR="002B37E9" w:rsidRPr="00140923" w14:paraId="50A36BE2"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131677" w14:textId="77777777" w:rsidR="002B37E9" w:rsidRPr="00140923" w:rsidRDefault="002B37E9" w:rsidP="00226764">
            <w:pPr>
              <w:pStyle w:val="Tabletext"/>
              <w:spacing w:before="30" w:after="30"/>
              <w:jc w:val="left"/>
              <w:rPr>
                <w:sz w:val="18"/>
                <w:szCs w:val="18"/>
                <w:lang w:val="es-ES_tradnl"/>
              </w:rPr>
            </w:pPr>
            <w:r w:rsidRPr="00140923">
              <w:rPr>
                <w:sz w:val="18"/>
                <w:szCs w:val="18"/>
                <w:lang w:val="es-ES_tradnl"/>
              </w:rPr>
              <w:t>Recomendación UIT-R de referencia</w:t>
            </w:r>
          </w:p>
        </w:tc>
        <w:tc>
          <w:tcPr>
            <w:tcW w:w="1984" w:type="dxa"/>
            <w:gridSpan w:val="2"/>
            <w:tcBorders>
              <w:top w:val="single" w:sz="4" w:space="0" w:color="auto"/>
              <w:left w:val="single" w:sz="4" w:space="0" w:color="auto"/>
              <w:bottom w:val="single" w:sz="4" w:space="0" w:color="auto"/>
              <w:right w:val="single" w:sz="4" w:space="0" w:color="auto"/>
            </w:tcBorders>
            <w:hideMark/>
          </w:tcPr>
          <w:p w14:paraId="6E51B682" w14:textId="77777777" w:rsidR="002B37E9" w:rsidRPr="00140923" w:rsidRDefault="002B37E9" w:rsidP="00226764">
            <w:pPr>
              <w:pStyle w:val="Tabletext"/>
              <w:spacing w:before="10" w:after="10"/>
              <w:jc w:val="center"/>
              <w:rPr>
                <w:sz w:val="18"/>
                <w:szCs w:val="18"/>
                <w:lang w:val="es-ES_tradnl" w:eastAsia="ja-JP"/>
              </w:rPr>
            </w:pPr>
            <w:r w:rsidRPr="00140923">
              <w:rPr>
                <w:sz w:val="18"/>
                <w:szCs w:val="18"/>
                <w:lang w:val="es-ES_tradnl"/>
              </w:rPr>
              <w:t>F.</w:t>
            </w:r>
            <w:r w:rsidRPr="00140923">
              <w:rPr>
                <w:sz w:val="18"/>
                <w:szCs w:val="18"/>
                <w:lang w:val="es-ES_tradnl" w:eastAsia="ja-JP"/>
              </w:rPr>
              <w:t>635</w:t>
            </w:r>
          </w:p>
        </w:tc>
        <w:tc>
          <w:tcPr>
            <w:tcW w:w="2383" w:type="dxa"/>
            <w:gridSpan w:val="2"/>
            <w:tcBorders>
              <w:top w:val="single" w:sz="4" w:space="0" w:color="auto"/>
              <w:left w:val="single" w:sz="4" w:space="0" w:color="auto"/>
              <w:bottom w:val="single" w:sz="4" w:space="0" w:color="auto"/>
              <w:right w:val="single" w:sz="4" w:space="0" w:color="auto"/>
            </w:tcBorders>
            <w:hideMark/>
          </w:tcPr>
          <w:p w14:paraId="4FD38CEA" w14:textId="77777777" w:rsidR="002B37E9" w:rsidRPr="00140923" w:rsidRDefault="002B37E9" w:rsidP="00226764">
            <w:pPr>
              <w:pStyle w:val="Tabletext"/>
              <w:spacing w:before="10" w:after="10"/>
              <w:jc w:val="center"/>
              <w:rPr>
                <w:sz w:val="18"/>
                <w:szCs w:val="18"/>
                <w:lang w:val="es-ES_tradnl" w:eastAsia="ja-JP"/>
              </w:rPr>
            </w:pPr>
            <w:r w:rsidRPr="00140923">
              <w:rPr>
                <w:sz w:val="18"/>
                <w:szCs w:val="18"/>
                <w:lang w:val="es-ES_tradnl"/>
              </w:rPr>
              <w:t>F.</w:t>
            </w:r>
            <w:r w:rsidRPr="00140923">
              <w:rPr>
                <w:sz w:val="18"/>
                <w:szCs w:val="18"/>
                <w:lang w:val="es-ES_tradnl" w:eastAsia="ja-JP"/>
              </w:rPr>
              <w:t>382</w:t>
            </w:r>
          </w:p>
        </w:tc>
        <w:tc>
          <w:tcPr>
            <w:tcW w:w="2193" w:type="dxa"/>
            <w:gridSpan w:val="2"/>
            <w:tcBorders>
              <w:top w:val="single" w:sz="4" w:space="0" w:color="auto"/>
              <w:left w:val="single" w:sz="4" w:space="0" w:color="auto"/>
              <w:bottom w:val="single" w:sz="4" w:space="0" w:color="auto"/>
              <w:right w:val="single" w:sz="4" w:space="0" w:color="auto"/>
            </w:tcBorders>
            <w:hideMark/>
          </w:tcPr>
          <w:p w14:paraId="01D1D83C" w14:textId="77777777" w:rsidR="002B37E9" w:rsidRPr="00140923" w:rsidRDefault="002B37E9" w:rsidP="00226764">
            <w:pPr>
              <w:pStyle w:val="Tabletext"/>
              <w:spacing w:before="10" w:after="10"/>
              <w:jc w:val="center"/>
              <w:rPr>
                <w:sz w:val="18"/>
                <w:szCs w:val="18"/>
                <w:lang w:val="es-ES_tradnl" w:eastAsia="ja-JP"/>
              </w:rPr>
            </w:pPr>
            <w:r w:rsidRPr="00140923">
              <w:rPr>
                <w:sz w:val="18"/>
                <w:szCs w:val="18"/>
                <w:lang w:val="es-ES_tradnl"/>
              </w:rPr>
              <w:t>F.</w:t>
            </w:r>
            <w:r w:rsidRPr="00140923">
              <w:rPr>
                <w:sz w:val="18"/>
                <w:szCs w:val="18"/>
                <w:lang w:val="es-ES_tradnl" w:eastAsia="ja-JP"/>
              </w:rPr>
              <w:t>1099</w:t>
            </w:r>
          </w:p>
        </w:tc>
        <w:tc>
          <w:tcPr>
            <w:tcW w:w="2268" w:type="dxa"/>
            <w:gridSpan w:val="2"/>
            <w:tcBorders>
              <w:top w:val="single" w:sz="4" w:space="0" w:color="auto"/>
              <w:left w:val="single" w:sz="4" w:space="0" w:color="auto"/>
              <w:bottom w:val="single" w:sz="4" w:space="0" w:color="auto"/>
              <w:right w:val="single" w:sz="4" w:space="0" w:color="auto"/>
            </w:tcBorders>
            <w:hideMark/>
          </w:tcPr>
          <w:p w14:paraId="6A61267F" w14:textId="77777777" w:rsidR="002B37E9" w:rsidRPr="00140923" w:rsidRDefault="002B37E9" w:rsidP="00226764">
            <w:pPr>
              <w:pStyle w:val="Tabletext"/>
              <w:spacing w:before="10" w:after="10"/>
              <w:jc w:val="center"/>
              <w:rPr>
                <w:sz w:val="18"/>
                <w:szCs w:val="18"/>
                <w:lang w:val="es-ES_tradnl" w:eastAsia="ja-JP"/>
              </w:rPr>
            </w:pPr>
            <w:r w:rsidRPr="00140923">
              <w:rPr>
                <w:sz w:val="18"/>
                <w:szCs w:val="18"/>
                <w:lang w:val="es-ES_tradnl"/>
              </w:rPr>
              <w:t>F.</w:t>
            </w:r>
            <w:r w:rsidRPr="00140923">
              <w:rPr>
                <w:sz w:val="18"/>
                <w:szCs w:val="18"/>
                <w:lang w:val="es-ES_tradnl" w:eastAsia="ja-JP"/>
              </w:rPr>
              <w:t>383</w:t>
            </w:r>
          </w:p>
        </w:tc>
        <w:tc>
          <w:tcPr>
            <w:tcW w:w="2557" w:type="dxa"/>
            <w:gridSpan w:val="2"/>
            <w:tcBorders>
              <w:top w:val="single" w:sz="4" w:space="0" w:color="auto"/>
              <w:left w:val="single" w:sz="4" w:space="0" w:color="auto"/>
              <w:bottom w:val="single" w:sz="4" w:space="0" w:color="auto"/>
              <w:right w:val="single" w:sz="4" w:space="0" w:color="auto"/>
            </w:tcBorders>
            <w:hideMark/>
          </w:tcPr>
          <w:p w14:paraId="2C0ED8E4" w14:textId="77777777" w:rsidR="002B37E9" w:rsidRPr="00140923" w:rsidRDefault="002B37E9" w:rsidP="00226764">
            <w:pPr>
              <w:pStyle w:val="Tabletext"/>
              <w:spacing w:before="10" w:after="10"/>
              <w:jc w:val="center"/>
              <w:rPr>
                <w:sz w:val="18"/>
                <w:szCs w:val="18"/>
                <w:lang w:val="es-ES_tradnl" w:eastAsia="ja-JP"/>
              </w:rPr>
            </w:pPr>
            <w:r w:rsidRPr="00140923">
              <w:rPr>
                <w:sz w:val="18"/>
                <w:szCs w:val="18"/>
                <w:lang w:val="es-ES_tradnl"/>
              </w:rPr>
              <w:t>F.</w:t>
            </w:r>
            <w:r w:rsidRPr="00140923">
              <w:rPr>
                <w:sz w:val="18"/>
                <w:szCs w:val="18"/>
                <w:lang w:val="es-ES_tradnl" w:eastAsia="ja-JP"/>
              </w:rPr>
              <w:t>384</w:t>
            </w:r>
          </w:p>
        </w:tc>
      </w:tr>
      <w:tr w:rsidR="002B37E9" w:rsidRPr="00140923" w14:paraId="203DBA92"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6E9AC4" w14:textId="77777777" w:rsidR="002B37E9" w:rsidRPr="00140923" w:rsidRDefault="002B37E9" w:rsidP="00226764">
            <w:pPr>
              <w:pStyle w:val="Tabletext"/>
              <w:spacing w:before="30" w:after="30"/>
              <w:jc w:val="left"/>
              <w:rPr>
                <w:sz w:val="18"/>
                <w:szCs w:val="18"/>
                <w:lang w:val="es-ES_tradnl"/>
              </w:rPr>
            </w:pPr>
            <w:r w:rsidRPr="00140923">
              <w:rPr>
                <w:sz w:val="18"/>
                <w:szCs w:val="18"/>
                <w:lang w:val="es-ES_tradnl"/>
              </w:rPr>
              <w:t>Modulación</w:t>
            </w:r>
          </w:p>
        </w:tc>
        <w:tc>
          <w:tcPr>
            <w:tcW w:w="991" w:type="dxa"/>
            <w:tcBorders>
              <w:top w:val="single" w:sz="4" w:space="0" w:color="auto"/>
              <w:left w:val="single" w:sz="4" w:space="0" w:color="auto"/>
              <w:bottom w:val="single" w:sz="4" w:space="0" w:color="auto"/>
              <w:right w:val="single" w:sz="4" w:space="0" w:color="auto"/>
            </w:tcBorders>
            <w:vAlign w:val="center"/>
            <w:hideMark/>
          </w:tcPr>
          <w:p w14:paraId="363406A1" w14:textId="77777777" w:rsidR="002B37E9" w:rsidRPr="00140923" w:rsidRDefault="002B37E9" w:rsidP="00226764">
            <w:pPr>
              <w:pStyle w:val="Tabletext"/>
              <w:spacing w:before="0" w:after="0"/>
              <w:jc w:val="center"/>
              <w:rPr>
                <w:sz w:val="18"/>
                <w:szCs w:val="18"/>
                <w:lang w:val="es-ES_tradnl"/>
              </w:rPr>
            </w:pPr>
            <w:r w:rsidRPr="00140923">
              <w:rPr>
                <w:color w:val="000000"/>
                <w:sz w:val="18"/>
                <w:szCs w:val="18"/>
                <w:lang w:val="es-ES_tradnl" w:eastAsia="ja-JP"/>
              </w:rPr>
              <w:t>MAQ-64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EF1586" w14:textId="77777777" w:rsidR="002B37E9" w:rsidRPr="00140923" w:rsidRDefault="002B37E9" w:rsidP="00226764">
            <w:pPr>
              <w:pStyle w:val="Tabletext"/>
              <w:spacing w:before="0" w:after="0"/>
              <w:ind w:left="-57" w:right="-57"/>
              <w:jc w:val="center"/>
              <w:rPr>
                <w:sz w:val="18"/>
                <w:szCs w:val="18"/>
                <w:lang w:val="es-ES_tradnl" w:eastAsia="ja-JP"/>
              </w:rPr>
            </w:pPr>
            <w:r w:rsidRPr="00140923">
              <w:rPr>
                <w:color w:val="000000"/>
                <w:sz w:val="18"/>
                <w:szCs w:val="18"/>
                <w:lang w:val="es-ES_tradnl" w:eastAsia="ja-JP"/>
              </w:rPr>
              <w:t>MAQ-512</w:t>
            </w:r>
          </w:p>
        </w:tc>
        <w:tc>
          <w:tcPr>
            <w:tcW w:w="1158" w:type="dxa"/>
            <w:tcBorders>
              <w:top w:val="single" w:sz="4" w:space="0" w:color="auto"/>
              <w:left w:val="single" w:sz="4" w:space="0" w:color="auto"/>
              <w:bottom w:val="single" w:sz="4" w:space="0" w:color="auto"/>
              <w:right w:val="single" w:sz="4" w:space="0" w:color="auto"/>
            </w:tcBorders>
            <w:hideMark/>
          </w:tcPr>
          <w:p w14:paraId="631970A5" w14:textId="77777777" w:rsidR="002B37E9" w:rsidRPr="00140923" w:rsidRDefault="002B37E9" w:rsidP="00226764">
            <w:pPr>
              <w:pStyle w:val="Tabletext"/>
              <w:spacing w:before="0" w:after="0"/>
              <w:jc w:val="center"/>
              <w:rPr>
                <w:sz w:val="18"/>
                <w:szCs w:val="18"/>
                <w:lang w:val="es-ES_tradnl"/>
              </w:rPr>
            </w:pPr>
            <w:r w:rsidRPr="00140923">
              <w:rPr>
                <w:color w:val="000000"/>
                <w:sz w:val="18"/>
                <w:szCs w:val="18"/>
                <w:lang w:val="es-ES_tradnl" w:eastAsia="ja-JP"/>
              </w:rPr>
              <w:t>MAQ-</w:t>
            </w:r>
            <w:r w:rsidRPr="00140923">
              <w:rPr>
                <w:sz w:val="18"/>
                <w:szCs w:val="18"/>
                <w:lang w:val="es-ES_tradnl" w:eastAsia="ja-JP"/>
              </w:rPr>
              <w:t>64</w:t>
            </w:r>
          </w:p>
        </w:tc>
        <w:tc>
          <w:tcPr>
            <w:tcW w:w="1225" w:type="dxa"/>
            <w:tcBorders>
              <w:top w:val="single" w:sz="4" w:space="0" w:color="auto"/>
              <w:left w:val="single" w:sz="4" w:space="0" w:color="auto"/>
              <w:bottom w:val="single" w:sz="4" w:space="0" w:color="auto"/>
              <w:right w:val="single" w:sz="4" w:space="0" w:color="auto"/>
            </w:tcBorders>
            <w:hideMark/>
          </w:tcPr>
          <w:p w14:paraId="62036845" w14:textId="77777777" w:rsidR="002B37E9" w:rsidRPr="00140923" w:rsidRDefault="002B37E9" w:rsidP="00226764">
            <w:pPr>
              <w:pStyle w:val="Tabletext"/>
              <w:spacing w:before="0" w:after="0"/>
              <w:jc w:val="center"/>
              <w:rPr>
                <w:sz w:val="18"/>
                <w:szCs w:val="18"/>
                <w:lang w:val="es-ES_tradnl" w:eastAsia="ja-JP"/>
              </w:rPr>
            </w:pPr>
            <w:r w:rsidRPr="00140923">
              <w:rPr>
                <w:color w:val="000000"/>
                <w:sz w:val="18"/>
                <w:szCs w:val="18"/>
                <w:lang w:val="es-ES_tradnl" w:eastAsia="ja-JP"/>
              </w:rPr>
              <w:t>MAQ-</w:t>
            </w:r>
            <w:r w:rsidRPr="00140923">
              <w:rPr>
                <w:sz w:val="18"/>
                <w:szCs w:val="18"/>
                <w:lang w:val="es-ES_tradnl" w:eastAsia="ja-JP"/>
              </w:rPr>
              <w:t>256</w:t>
            </w:r>
          </w:p>
        </w:tc>
        <w:tc>
          <w:tcPr>
            <w:tcW w:w="1343" w:type="dxa"/>
            <w:tcBorders>
              <w:top w:val="single" w:sz="4" w:space="0" w:color="auto"/>
              <w:left w:val="single" w:sz="4" w:space="0" w:color="auto"/>
              <w:bottom w:val="single" w:sz="4" w:space="0" w:color="auto"/>
              <w:right w:val="single" w:sz="4" w:space="0" w:color="auto"/>
            </w:tcBorders>
            <w:hideMark/>
          </w:tcPr>
          <w:p w14:paraId="37C40259"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rPr>
              <w:t>MAQ-16</w:t>
            </w:r>
          </w:p>
        </w:tc>
        <w:tc>
          <w:tcPr>
            <w:tcW w:w="850" w:type="dxa"/>
            <w:tcBorders>
              <w:top w:val="single" w:sz="4" w:space="0" w:color="auto"/>
              <w:left w:val="single" w:sz="4" w:space="0" w:color="auto"/>
              <w:bottom w:val="single" w:sz="4" w:space="0" w:color="auto"/>
              <w:right w:val="single" w:sz="4" w:space="0" w:color="auto"/>
            </w:tcBorders>
            <w:hideMark/>
          </w:tcPr>
          <w:p w14:paraId="759ADDA8"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MAQ-256</w:t>
            </w:r>
          </w:p>
        </w:tc>
        <w:tc>
          <w:tcPr>
            <w:tcW w:w="1276" w:type="dxa"/>
            <w:tcBorders>
              <w:top w:val="single" w:sz="4" w:space="0" w:color="auto"/>
              <w:left w:val="single" w:sz="4" w:space="0" w:color="auto"/>
              <w:bottom w:val="single" w:sz="4" w:space="0" w:color="auto"/>
              <w:right w:val="single" w:sz="4" w:space="0" w:color="auto"/>
            </w:tcBorders>
            <w:hideMark/>
          </w:tcPr>
          <w:p w14:paraId="51366141"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MAQ-64</w:t>
            </w:r>
          </w:p>
        </w:tc>
        <w:tc>
          <w:tcPr>
            <w:tcW w:w="992" w:type="dxa"/>
            <w:tcBorders>
              <w:top w:val="single" w:sz="4" w:space="0" w:color="auto"/>
              <w:left w:val="single" w:sz="4" w:space="0" w:color="auto"/>
              <w:bottom w:val="single" w:sz="4" w:space="0" w:color="auto"/>
              <w:right w:val="single" w:sz="4" w:space="0" w:color="auto"/>
            </w:tcBorders>
            <w:hideMark/>
          </w:tcPr>
          <w:p w14:paraId="2E3DD1C2"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MAQ-128</w:t>
            </w:r>
          </w:p>
        </w:tc>
        <w:tc>
          <w:tcPr>
            <w:tcW w:w="1134" w:type="dxa"/>
            <w:tcBorders>
              <w:top w:val="single" w:sz="4" w:space="0" w:color="auto"/>
              <w:left w:val="single" w:sz="4" w:space="0" w:color="auto"/>
              <w:bottom w:val="single" w:sz="4" w:space="0" w:color="auto"/>
              <w:right w:val="single" w:sz="4" w:space="0" w:color="auto"/>
            </w:tcBorders>
            <w:hideMark/>
          </w:tcPr>
          <w:p w14:paraId="14A4BC79"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eastAsia="ja-JP"/>
              </w:rPr>
              <w:t>MDP-4</w:t>
            </w:r>
          </w:p>
        </w:tc>
        <w:tc>
          <w:tcPr>
            <w:tcW w:w="1423" w:type="dxa"/>
            <w:tcBorders>
              <w:top w:val="single" w:sz="4" w:space="0" w:color="auto"/>
              <w:left w:val="single" w:sz="4" w:space="0" w:color="auto"/>
              <w:bottom w:val="single" w:sz="4" w:space="0" w:color="auto"/>
              <w:right w:val="single" w:sz="4" w:space="0" w:color="auto"/>
            </w:tcBorders>
            <w:hideMark/>
          </w:tcPr>
          <w:p w14:paraId="0EDF1BE4"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eastAsia="ja-JP"/>
              </w:rPr>
              <w:t>MAQ-64</w:t>
            </w:r>
          </w:p>
        </w:tc>
      </w:tr>
      <w:tr w:rsidR="002B37E9" w:rsidRPr="00140923" w14:paraId="6E78C96E"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2B241D" w14:textId="77777777" w:rsidR="002B37E9" w:rsidRPr="00140923" w:rsidRDefault="002B37E9" w:rsidP="00226764">
            <w:pPr>
              <w:pStyle w:val="Tabletext"/>
              <w:spacing w:before="30" w:after="30"/>
              <w:jc w:val="left"/>
              <w:rPr>
                <w:sz w:val="18"/>
                <w:szCs w:val="18"/>
                <w:lang w:val="es-ES_tradnl"/>
              </w:rPr>
            </w:pPr>
            <w:bookmarkStart w:id="54" w:name="OLE_LINK1"/>
            <w:bookmarkStart w:id="55" w:name="OLE_LINK2"/>
            <w:r w:rsidRPr="00140923">
              <w:rPr>
                <w:sz w:val="18"/>
                <w:szCs w:val="18"/>
                <w:lang w:val="es-ES_tradnl"/>
              </w:rPr>
              <w:t xml:space="preserve">Separación de canales y anchura de banda de ruido del receptor (MHz) </w:t>
            </w:r>
            <w:bookmarkEnd w:id="54"/>
            <w:bookmarkEnd w:id="55"/>
          </w:p>
        </w:tc>
        <w:tc>
          <w:tcPr>
            <w:tcW w:w="991" w:type="dxa"/>
            <w:tcBorders>
              <w:top w:val="single" w:sz="4" w:space="0" w:color="auto"/>
              <w:left w:val="single" w:sz="4" w:space="0" w:color="auto"/>
              <w:bottom w:val="single" w:sz="4" w:space="0" w:color="auto"/>
              <w:right w:val="single" w:sz="4" w:space="0" w:color="auto"/>
            </w:tcBorders>
            <w:hideMark/>
          </w:tcPr>
          <w:p w14:paraId="41156BC3" w14:textId="77777777" w:rsidR="002B37E9" w:rsidRPr="00140923" w:rsidRDefault="002B37E9" w:rsidP="00226764">
            <w:pPr>
              <w:pStyle w:val="Tabletext"/>
              <w:spacing w:before="0" w:after="0"/>
              <w:ind w:left="-43" w:hanging="14"/>
              <w:jc w:val="center"/>
              <w:rPr>
                <w:sz w:val="18"/>
                <w:szCs w:val="18"/>
                <w:lang w:val="es-ES_tradnl" w:eastAsia="ja-JP"/>
              </w:rPr>
            </w:pPr>
            <w:r w:rsidRPr="00140923">
              <w:rPr>
                <w:b/>
                <w:bCs/>
                <w:caps/>
                <w:sz w:val="18"/>
                <w:szCs w:val="18"/>
                <w:lang w:val="es-ES_tradnl" w:eastAsia="ja-JP"/>
              </w:rPr>
              <w:t>10</w:t>
            </w:r>
            <w:r w:rsidRPr="00B233F6">
              <w:rPr>
                <w:caps/>
                <w:sz w:val="18"/>
                <w:szCs w:val="18"/>
                <w:lang w:val="es-ES_tradnl" w:eastAsia="ja-JP"/>
              </w:rPr>
              <w:t xml:space="preserve">; </w:t>
            </w:r>
            <w:r w:rsidRPr="00140923">
              <w:rPr>
                <w:b/>
                <w:bCs/>
                <w:caps/>
                <w:sz w:val="18"/>
                <w:szCs w:val="18"/>
                <w:lang w:val="es-ES_tradnl" w:eastAsia="ja-JP"/>
              </w:rPr>
              <w:t>30</w:t>
            </w:r>
            <w:r w:rsidRPr="00140923">
              <w:rPr>
                <w:caps/>
                <w:sz w:val="18"/>
                <w:szCs w:val="18"/>
                <w:lang w:val="es-ES_tradnl" w:eastAsia="ja-JP"/>
              </w:rPr>
              <w:t xml:space="preserve">; 40; 60; 80; </w:t>
            </w:r>
            <w:r w:rsidRPr="00140923">
              <w:rPr>
                <w:sz w:val="18"/>
                <w:szCs w:val="18"/>
                <w:lang w:val="es-ES_tradnl" w:eastAsia="ja-JP"/>
              </w:rPr>
              <w:t>90</w:t>
            </w:r>
          </w:p>
        </w:tc>
        <w:tc>
          <w:tcPr>
            <w:tcW w:w="993" w:type="dxa"/>
            <w:tcBorders>
              <w:top w:val="single" w:sz="4" w:space="0" w:color="auto"/>
              <w:left w:val="single" w:sz="4" w:space="0" w:color="auto"/>
              <w:bottom w:val="single" w:sz="4" w:space="0" w:color="auto"/>
              <w:right w:val="single" w:sz="4" w:space="0" w:color="auto"/>
            </w:tcBorders>
            <w:hideMark/>
          </w:tcPr>
          <w:p w14:paraId="6DD40229" w14:textId="77777777" w:rsidR="002B37E9" w:rsidRPr="00140923" w:rsidRDefault="002B37E9" w:rsidP="00226764">
            <w:pPr>
              <w:pStyle w:val="Tabletext"/>
              <w:spacing w:before="0" w:after="0"/>
              <w:ind w:left="-43" w:hanging="14"/>
              <w:jc w:val="center"/>
              <w:rPr>
                <w:sz w:val="18"/>
                <w:szCs w:val="18"/>
                <w:lang w:val="es-ES_tradnl"/>
              </w:rPr>
            </w:pPr>
            <w:r w:rsidRPr="00140923">
              <w:rPr>
                <w:caps/>
                <w:sz w:val="18"/>
                <w:szCs w:val="18"/>
                <w:lang w:val="es-ES_tradnl" w:eastAsia="ja-JP"/>
              </w:rPr>
              <w:t xml:space="preserve">10; 30; </w:t>
            </w:r>
            <w:r w:rsidRPr="00140923">
              <w:rPr>
                <w:b/>
                <w:bCs/>
                <w:caps/>
                <w:sz w:val="18"/>
                <w:szCs w:val="18"/>
                <w:lang w:val="es-ES_tradnl" w:eastAsia="ja-JP"/>
              </w:rPr>
              <w:t>40</w:t>
            </w:r>
            <w:r w:rsidRPr="00140923">
              <w:rPr>
                <w:caps/>
                <w:sz w:val="18"/>
                <w:szCs w:val="18"/>
                <w:lang w:val="es-ES_tradnl" w:eastAsia="ja-JP"/>
              </w:rPr>
              <w:t>; 60; 80; 90</w:t>
            </w:r>
          </w:p>
        </w:tc>
        <w:tc>
          <w:tcPr>
            <w:tcW w:w="1158" w:type="dxa"/>
            <w:tcBorders>
              <w:top w:val="single" w:sz="4" w:space="0" w:color="auto"/>
              <w:left w:val="single" w:sz="4" w:space="0" w:color="auto"/>
              <w:bottom w:val="single" w:sz="4" w:space="0" w:color="auto"/>
              <w:right w:val="single" w:sz="4" w:space="0" w:color="auto"/>
            </w:tcBorders>
            <w:hideMark/>
          </w:tcPr>
          <w:p w14:paraId="7963D56E" w14:textId="77777777" w:rsidR="002B37E9" w:rsidRPr="00140923" w:rsidRDefault="002B37E9" w:rsidP="00226764">
            <w:pPr>
              <w:pStyle w:val="Tabletext"/>
              <w:tabs>
                <w:tab w:val="clear" w:pos="284"/>
                <w:tab w:val="clear" w:pos="567"/>
                <w:tab w:val="clear" w:pos="851"/>
                <w:tab w:val="clear" w:pos="1134"/>
                <w:tab w:val="clear" w:pos="1418"/>
              </w:tabs>
              <w:spacing w:before="0" w:after="0"/>
              <w:ind w:left="-17" w:right="-57" w:hanging="40"/>
              <w:jc w:val="center"/>
              <w:rPr>
                <w:sz w:val="18"/>
                <w:szCs w:val="18"/>
                <w:lang w:val="es-ES_tradnl"/>
              </w:rPr>
            </w:pPr>
            <w:r w:rsidRPr="00140923">
              <w:rPr>
                <w:sz w:val="18"/>
                <w:szCs w:val="18"/>
                <w:lang w:val="es-ES_tradnl"/>
              </w:rPr>
              <w:t>9</w:t>
            </w:r>
            <w:r w:rsidRPr="00140923">
              <w:rPr>
                <w:sz w:val="18"/>
                <w:szCs w:val="18"/>
                <w:vertAlign w:val="superscript"/>
                <w:lang w:val="es-ES_tradnl"/>
              </w:rPr>
              <w:t>(3)</w:t>
            </w:r>
            <w:r w:rsidRPr="00140923">
              <w:rPr>
                <w:sz w:val="18"/>
                <w:szCs w:val="18"/>
                <w:lang w:val="es-ES_tradnl"/>
              </w:rPr>
              <w:t>, 10, 13</w:t>
            </w:r>
            <w:r w:rsidRPr="00140923">
              <w:rPr>
                <w:sz w:val="18"/>
                <w:szCs w:val="18"/>
                <w:vertAlign w:val="superscript"/>
                <w:lang w:val="es-ES_tradnl"/>
              </w:rPr>
              <w:t>(3)</w:t>
            </w:r>
            <w:r w:rsidRPr="00140923">
              <w:rPr>
                <w:sz w:val="18"/>
                <w:szCs w:val="18"/>
                <w:lang w:val="es-ES_tradnl"/>
              </w:rPr>
              <w:t xml:space="preserve">, 20, </w:t>
            </w:r>
            <w:r w:rsidRPr="00140923">
              <w:rPr>
                <w:b/>
                <w:bCs/>
                <w:sz w:val="18"/>
                <w:szCs w:val="18"/>
                <w:lang w:val="es-ES_tradnl"/>
              </w:rPr>
              <w:t>28</w:t>
            </w:r>
            <w:r w:rsidRPr="00140923">
              <w:rPr>
                <w:sz w:val="18"/>
                <w:szCs w:val="18"/>
                <w:lang w:val="es-ES_tradnl"/>
              </w:rPr>
              <w:t>, 29, 40, 60, 80</w:t>
            </w:r>
          </w:p>
        </w:tc>
        <w:tc>
          <w:tcPr>
            <w:tcW w:w="1225" w:type="dxa"/>
            <w:tcBorders>
              <w:top w:val="single" w:sz="4" w:space="0" w:color="auto"/>
              <w:left w:val="single" w:sz="4" w:space="0" w:color="auto"/>
              <w:bottom w:val="single" w:sz="4" w:space="0" w:color="auto"/>
              <w:right w:val="single" w:sz="4" w:space="0" w:color="auto"/>
            </w:tcBorders>
            <w:hideMark/>
          </w:tcPr>
          <w:p w14:paraId="05FFC497" w14:textId="77777777" w:rsidR="002B37E9" w:rsidRPr="00140923" w:rsidRDefault="002B37E9" w:rsidP="00226764">
            <w:pPr>
              <w:pStyle w:val="Tabletext"/>
              <w:tabs>
                <w:tab w:val="clear" w:pos="284"/>
                <w:tab w:val="clear" w:pos="567"/>
                <w:tab w:val="clear" w:pos="851"/>
                <w:tab w:val="clear" w:pos="1134"/>
                <w:tab w:val="clear" w:pos="1418"/>
              </w:tabs>
              <w:spacing w:before="0" w:after="0"/>
              <w:ind w:left="-65" w:firstLine="71"/>
              <w:jc w:val="center"/>
              <w:rPr>
                <w:sz w:val="18"/>
                <w:szCs w:val="18"/>
                <w:lang w:val="es-ES_tradnl" w:eastAsia="ja-JP"/>
              </w:rPr>
            </w:pPr>
            <w:r w:rsidRPr="00140923">
              <w:rPr>
                <w:sz w:val="18"/>
                <w:szCs w:val="18"/>
                <w:lang w:val="es-ES_tradnl"/>
              </w:rPr>
              <w:t>9</w:t>
            </w:r>
            <w:r w:rsidRPr="00140923">
              <w:rPr>
                <w:sz w:val="18"/>
                <w:szCs w:val="18"/>
                <w:vertAlign w:val="superscript"/>
                <w:lang w:val="es-ES_tradnl"/>
              </w:rPr>
              <w:t>(3)</w:t>
            </w:r>
            <w:r w:rsidRPr="00140923">
              <w:rPr>
                <w:sz w:val="18"/>
                <w:szCs w:val="18"/>
                <w:lang w:val="es-ES_tradnl"/>
              </w:rPr>
              <w:t>, 10, 13</w:t>
            </w:r>
            <w:r w:rsidRPr="00140923">
              <w:rPr>
                <w:sz w:val="18"/>
                <w:szCs w:val="18"/>
                <w:vertAlign w:val="superscript"/>
                <w:lang w:val="es-ES_tradnl"/>
              </w:rPr>
              <w:t>(3)</w:t>
            </w:r>
            <w:r w:rsidRPr="00140923">
              <w:rPr>
                <w:sz w:val="18"/>
                <w:szCs w:val="18"/>
                <w:lang w:val="es-ES_tradnl"/>
              </w:rPr>
              <w:t xml:space="preserve">, 20, </w:t>
            </w:r>
            <w:r w:rsidRPr="00140923">
              <w:rPr>
                <w:b/>
                <w:bCs/>
                <w:sz w:val="18"/>
                <w:szCs w:val="18"/>
                <w:lang w:val="es-ES_tradnl"/>
              </w:rPr>
              <w:t>28</w:t>
            </w:r>
            <w:r w:rsidRPr="00140923">
              <w:rPr>
                <w:sz w:val="18"/>
                <w:szCs w:val="18"/>
                <w:lang w:val="es-ES_tradnl"/>
              </w:rPr>
              <w:t>, 29, 40, 60, 80</w:t>
            </w:r>
          </w:p>
        </w:tc>
        <w:tc>
          <w:tcPr>
            <w:tcW w:w="1343" w:type="dxa"/>
            <w:tcBorders>
              <w:top w:val="single" w:sz="4" w:space="0" w:color="auto"/>
              <w:left w:val="single" w:sz="4" w:space="0" w:color="auto"/>
              <w:bottom w:val="single" w:sz="4" w:space="0" w:color="auto"/>
              <w:right w:val="single" w:sz="4" w:space="0" w:color="auto"/>
            </w:tcBorders>
            <w:hideMark/>
          </w:tcPr>
          <w:p w14:paraId="4025906C" w14:textId="77777777" w:rsidR="002B37E9" w:rsidRPr="00140923" w:rsidRDefault="002B37E9" w:rsidP="00226764">
            <w:pPr>
              <w:pStyle w:val="Tabletext"/>
              <w:tabs>
                <w:tab w:val="clear" w:pos="284"/>
                <w:tab w:val="clear" w:pos="567"/>
                <w:tab w:val="clear" w:pos="851"/>
                <w:tab w:val="clear" w:pos="1134"/>
                <w:tab w:val="clear" w:pos="1418"/>
              </w:tabs>
              <w:spacing w:before="0" w:after="0"/>
              <w:ind w:left="-65" w:hanging="26"/>
              <w:jc w:val="center"/>
              <w:rPr>
                <w:sz w:val="18"/>
                <w:szCs w:val="18"/>
                <w:lang w:val="es-ES_tradnl" w:eastAsia="ja-JP"/>
              </w:rPr>
            </w:pPr>
            <w:r w:rsidRPr="00140923">
              <w:rPr>
                <w:caps/>
                <w:sz w:val="18"/>
                <w:szCs w:val="18"/>
                <w:lang w:val="es-ES_tradnl" w:eastAsia="ja-JP"/>
              </w:rPr>
              <w:t>8</w:t>
            </w:r>
            <w:r w:rsidRPr="00140923">
              <w:rPr>
                <w:caps/>
                <w:sz w:val="18"/>
                <w:szCs w:val="18"/>
                <w:vertAlign w:val="superscript"/>
                <w:lang w:val="es-ES_tradnl" w:eastAsia="ja-JP"/>
              </w:rPr>
              <w:t>(3)</w:t>
            </w:r>
            <w:r w:rsidRPr="00140923">
              <w:rPr>
                <w:caps/>
                <w:sz w:val="18"/>
                <w:szCs w:val="18"/>
                <w:lang w:val="es-ES_tradnl" w:eastAsia="ja-JP"/>
              </w:rPr>
              <w:t>; 9</w:t>
            </w:r>
            <w:r w:rsidRPr="00140923">
              <w:rPr>
                <w:caps/>
                <w:sz w:val="18"/>
                <w:szCs w:val="18"/>
                <w:vertAlign w:val="superscript"/>
                <w:lang w:val="es-ES_tradnl" w:eastAsia="ja-JP"/>
              </w:rPr>
              <w:t>(3)</w:t>
            </w:r>
            <w:r w:rsidRPr="00140923">
              <w:rPr>
                <w:caps/>
                <w:sz w:val="18"/>
                <w:szCs w:val="18"/>
                <w:lang w:val="es-ES_tradnl" w:eastAsia="ja-JP"/>
              </w:rPr>
              <w:t>; 10; 13</w:t>
            </w:r>
            <w:r w:rsidRPr="00140923">
              <w:rPr>
                <w:caps/>
                <w:sz w:val="18"/>
                <w:szCs w:val="18"/>
                <w:vertAlign w:val="superscript"/>
                <w:lang w:val="es-ES_tradnl" w:eastAsia="ja-JP"/>
              </w:rPr>
              <w:t>(3)</w:t>
            </w:r>
            <w:r w:rsidRPr="00140923">
              <w:rPr>
                <w:caps/>
                <w:sz w:val="18"/>
                <w:szCs w:val="18"/>
                <w:lang w:val="es-ES_tradnl" w:eastAsia="ja-JP"/>
              </w:rPr>
              <w:t>; 16,6</w:t>
            </w:r>
            <w:r w:rsidRPr="00140923">
              <w:rPr>
                <w:caps/>
                <w:sz w:val="18"/>
                <w:szCs w:val="18"/>
                <w:vertAlign w:val="superscript"/>
                <w:lang w:val="es-ES_tradnl" w:eastAsia="ja-JP"/>
              </w:rPr>
              <w:t>(3)</w:t>
            </w:r>
            <w:r w:rsidRPr="00140923">
              <w:rPr>
                <w:caps/>
                <w:sz w:val="18"/>
                <w:szCs w:val="18"/>
                <w:lang w:val="es-ES_tradnl" w:eastAsia="ja-JP"/>
              </w:rPr>
              <w:t xml:space="preserve">; 20; </w:t>
            </w:r>
            <w:r w:rsidRPr="00140923">
              <w:rPr>
                <w:b/>
                <w:caps/>
                <w:sz w:val="18"/>
                <w:szCs w:val="18"/>
                <w:lang w:val="es-ES_tradnl" w:eastAsia="ja-JP"/>
              </w:rPr>
              <w:t>28</w:t>
            </w:r>
            <w:r w:rsidRPr="00140923">
              <w:rPr>
                <w:caps/>
                <w:sz w:val="18"/>
                <w:szCs w:val="18"/>
                <w:lang w:val="es-ES_tradnl" w:eastAsia="ja-JP"/>
              </w:rPr>
              <w:t>; 33,2</w:t>
            </w:r>
            <w:r w:rsidRPr="00140923">
              <w:rPr>
                <w:caps/>
                <w:sz w:val="18"/>
                <w:szCs w:val="18"/>
                <w:vertAlign w:val="superscript"/>
                <w:lang w:val="es-ES_tradnl" w:eastAsia="ja-JP"/>
              </w:rPr>
              <w:t>(3)</w:t>
            </w:r>
            <w:r w:rsidRPr="00140923">
              <w:rPr>
                <w:caps/>
                <w:sz w:val="18"/>
                <w:szCs w:val="18"/>
                <w:lang w:val="es-ES_tradnl" w:eastAsia="ja-JP"/>
              </w:rPr>
              <w:t>; 40; 60; 80</w:t>
            </w:r>
          </w:p>
        </w:tc>
        <w:tc>
          <w:tcPr>
            <w:tcW w:w="850" w:type="dxa"/>
            <w:tcBorders>
              <w:top w:val="single" w:sz="4" w:space="0" w:color="auto"/>
              <w:left w:val="single" w:sz="4" w:space="0" w:color="auto"/>
              <w:bottom w:val="single" w:sz="4" w:space="0" w:color="auto"/>
              <w:right w:val="single" w:sz="4" w:space="0" w:color="auto"/>
            </w:tcBorders>
            <w:hideMark/>
          </w:tcPr>
          <w:p w14:paraId="7C226895" w14:textId="77777777" w:rsidR="002B37E9" w:rsidRPr="00140923" w:rsidRDefault="002B37E9" w:rsidP="00226764">
            <w:pPr>
              <w:pStyle w:val="Tabletext"/>
              <w:tabs>
                <w:tab w:val="clear" w:pos="284"/>
                <w:tab w:val="clear" w:pos="567"/>
                <w:tab w:val="clear" w:pos="851"/>
                <w:tab w:val="clear" w:pos="1134"/>
              </w:tabs>
              <w:spacing w:before="0" w:after="0"/>
              <w:ind w:left="-57" w:right="-57"/>
              <w:jc w:val="center"/>
              <w:rPr>
                <w:sz w:val="18"/>
                <w:szCs w:val="18"/>
                <w:lang w:val="es-ES_tradnl" w:eastAsia="ja-JP"/>
              </w:rPr>
            </w:pPr>
            <w:r w:rsidRPr="00140923">
              <w:rPr>
                <w:caps/>
                <w:sz w:val="18"/>
                <w:szCs w:val="18"/>
                <w:lang w:val="es-ES_tradnl" w:eastAsia="ja-JP"/>
              </w:rPr>
              <w:t>9</w:t>
            </w:r>
            <w:r w:rsidRPr="00140923">
              <w:rPr>
                <w:caps/>
                <w:sz w:val="18"/>
                <w:szCs w:val="18"/>
                <w:vertAlign w:val="superscript"/>
                <w:lang w:val="es-ES_tradnl" w:eastAsia="ja-JP"/>
              </w:rPr>
              <w:t>(3)</w:t>
            </w:r>
            <w:r w:rsidRPr="00140923">
              <w:rPr>
                <w:caps/>
                <w:sz w:val="18"/>
                <w:szCs w:val="18"/>
                <w:lang w:val="es-ES_tradnl" w:eastAsia="ja-JP"/>
              </w:rPr>
              <w:t>; 10; 13</w:t>
            </w:r>
            <w:r w:rsidRPr="00140923">
              <w:rPr>
                <w:caps/>
                <w:sz w:val="18"/>
                <w:szCs w:val="18"/>
                <w:vertAlign w:val="superscript"/>
                <w:lang w:val="es-ES_tradnl" w:eastAsia="ja-JP"/>
              </w:rPr>
              <w:t>(3)</w:t>
            </w:r>
            <w:r w:rsidRPr="00140923">
              <w:rPr>
                <w:caps/>
                <w:sz w:val="18"/>
                <w:szCs w:val="18"/>
                <w:lang w:val="es-ES_tradnl" w:eastAsia="ja-JP"/>
              </w:rPr>
              <w:t xml:space="preserve">; 20; </w:t>
            </w:r>
            <w:r w:rsidRPr="00140923">
              <w:rPr>
                <w:b/>
                <w:caps/>
                <w:sz w:val="18"/>
                <w:szCs w:val="18"/>
                <w:lang w:val="es-ES_tradnl" w:eastAsia="ja-JP"/>
              </w:rPr>
              <w:t>28</w:t>
            </w:r>
            <w:r w:rsidRPr="00140923">
              <w:rPr>
                <w:caps/>
                <w:sz w:val="18"/>
                <w:szCs w:val="18"/>
                <w:lang w:val="es-ES_tradnl" w:eastAsia="ja-JP"/>
              </w:rPr>
              <w:t>; 40; 60; 80</w:t>
            </w:r>
          </w:p>
        </w:tc>
        <w:tc>
          <w:tcPr>
            <w:tcW w:w="1276" w:type="dxa"/>
            <w:tcBorders>
              <w:top w:val="single" w:sz="4" w:space="0" w:color="auto"/>
              <w:left w:val="single" w:sz="4" w:space="0" w:color="auto"/>
              <w:bottom w:val="single" w:sz="4" w:space="0" w:color="auto"/>
              <w:right w:val="single" w:sz="4" w:space="0" w:color="auto"/>
            </w:tcBorders>
            <w:hideMark/>
          </w:tcPr>
          <w:p w14:paraId="4F1304CE" w14:textId="77777777" w:rsidR="002B37E9" w:rsidRPr="00140923" w:rsidRDefault="002B37E9" w:rsidP="00226764">
            <w:pPr>
              <w:pStyle w:val="Tabletext"/>
              <w:spacing w:before="0" w:after="0"/>
              <w:ind w:left="-43" w:hanging="14"/>
              <w:jc w:val="center"/>
              <w:rPr>
                <w:sz w:val="18"/>
                <w:szCs w:val="18"/>
                <w:lang w:val="es-ES_tradnl" w:eastAsia="ja-JP"/>
              </w:rPr>
            </w:pPr>
            <w:r w:rsidRPr="00140923">
              <w:rPr>
                <w:sz w:val="18"/>
                <w:szCs w:val="18"/>
                <w:lang w:val="es-ES_tradnl"/>
              </w:rPr>
              <w:t>5</w:t>
            </w:r>
            <w:r w:rsidRPr="00140923">
              <w:rPr>
                <w:sz w:val="18"/>
                <w:szCs w:val="18"/>
                <w:lang w:val="es-ES_tradnl" w:eastAsia="ja-JP"/>
              </w:rPr>
              <w:t xml:space="preserve">; 10; 20; 28; 29,65; </w:t>
            </w:r>
            <w:r w:rsidRPr="00140923">
              <w:rPr>
                <w:b/>
                <w:sz w:val="18"/>
                <w:szCs w:val="18"/>
                <w:lang w:val="es-ES_tradnl" w:eastAsia="ja-JP"/>
              </w:rPr>
              <w:t>40</w:t>
            </w:r>
            <w:r w:rsidRPr="00140923">
              <w:rPr>
                <w:sz w:val="18"/>
                <w:szCs w:val="18"/>
                <w:lang w:val="es-ES_tradnl" w:eastAsia="ja-JP"/>
              </w:rPr>
              <w:t>; 60; 90</w:t>
            </w:r>
          </w:p>
        </w:tc>
        <w:tc>
          <w:tcPr>
            <w:tcW w:w="992" w:type="dxa"/>
            <w:tcBorders>
              <w:top w:val="single" w:sz="4" w:space="0" w:color="auto"/>
              <w:left w:val="single" w:sz="4" w:space="0" w:color="auto"/>
              <w:bottom w:val="single" w:sz="4" w:space="0" w:color="auto"/>
              <w:right w:val="single" w:sz="4" w:space="0" w:color="auto"/>
            </w:tcBorders>
            <w:hideMark/>
          </w:tcPr>
          <w:p w14:paraId="27AC233C" w14:textId="77777777" w:rsidR="002B37E9" w:rsidRPr="00140923" w:rsidRDefault="002B37E9" w:rsidP="00226764">
            <w:pPr>
              <w:pStyle w:val="Tabletext"/>
              <w:spacing w:before="0" w:after="0"/>
              <w:ind w:left="-60"/>
              <w:jc w:val="center"/>
              <w:rPr>
                <w:sz w:val="18"/>
                <w:szCs w:val="18"/>
                <w:lang w:val="es-ES_tradnl"/>
              </w:rPr>
            </w:pPr>
            <w:r w:rsidRPr="00140923">
              <w:rPr>
                <w:sz w:val="18"/>
                <w:szCs w:val="18"/>
                <w:lang w:val="es-ES_tradnl"/>
              </w:rPr>
              <w:t>5</w:t>
            </w:r>
            <w:r w:rsidRPr="00140923">
              <w:rPr>
                <w:sz w:val="18"/>
                <w:szCs w:val="18"/>
                <w:lang w:val="es-ES_tradnl" w:eastAsia="ja-JP"/>
              </w:rPr>
              <w:t xml:space="preserve">; 10; 20; 28; </w:t>
            </w:r>
            <w:r w:rsidRPr="00140923">
              <w:rPr>
                <w:b/>
                <w:sz w:val="18"/>
                <w:szCs w:val="18"/>
                <w:lang w:val="es-ES_tradnl" w:eastAsia="ja-JP"/>
              </w:rPr>
              <w:t>29,65</w:t>
            </w:r>
            <w:r w:rsidRPr="00140923">
              <w:rPr>
                <w:sz w:val="18"/>
                <w:szCs w:val="18"/>
                <w:lang w:val="es-ES_tradnl" w:eastAsia="ja-JP"/>
              </w:rPr>
              <w:t>; 40; 60; 90</w:t>
            </w:r>
          </w:p>
        </w:tc>
        <w:tc>
          <w:tcPr>
            <w:tcW w:w="1134" w:type="dxa"/>
            <w:tcBorders>
              <w:top w:val="single" w:sz="4" w:space="0" w:color="auto"/>
              <w:left w:val="single" w:sz="4" w:space="0" w:color="auto"/>
              <w:bottom w:val="single" w:sz="4" w:space="0" w:color="auto"/>
              <w:right w:val="single" w:sz="4" w:space="0" w:color="auto"/>
            </w:tcBorders>
            <w:hideMark/>
          </w:tcPr>
          <w:p w14:paraId="11D08AD1" w14:textId="77777777" w:rsidR="002B37E9" w:rsidRPr="00140923" w:rsidRDefault="002B37E9" w:rsidP="00226764">
            <w:pPr>
              <w:pStyle w:val="Tabletext"/>
              <w:spacing w:before="0" w:after="0"/>
              <w:ind w:left="-45"/>
              <w:jc w:val="center"/>
              <w:rPr>
                <w:sz w:val="18"/>
                <w:szCs w:val="18"/>
                <w:lang w:val="es-ES_tradnl" w:eastAsia="ja-JP"/>
              </w:rPr>
            </w:pPr>
            <w:r w:rsidRPr="00140923">
              <w:rPr>
                <w:sz w:val="18"/>
                <w:szCs w:val="18"/>
                <w:lang w:val="es-ES_tradnl" w:eastAsia="ja-JP"/>
              </w:rPr>
              <w:t xml:space="preserve">3,5; 5; 7; 10; 14; </w:t>
            </w:r>
            <w:r w:rsidRPr="00140923">
              <w:rPr>
                <w:b/>
                <w:sz w:val="18"/>
                <w:szCs w:val="18"/>
                <w:lang w:val="es-ES_tradnl" w:eastAsia="ja-JP"/>
              </w:rPr>
              <w:t>20</w:t>
            </w:r>
            <w:r w:rsidRPr="00140923">
              <w:rPr>
                <w:sz w:val="18"/>
                <w:szCs w:val="18"/>
                <w:lang w:val="es-ES_tradnl" w:eastAsia="ja-JP"/>
              </w:rPr>
              <w:t>; 30; 40; 60; 80</w:t>
            </w:r>
          </w:p>
        </w:tc>
        <w:tc>
          <w:tcPr>
            <w:tcW w:w="1423" w:type="dxa"/>
            <w:tcBorders>
              <w:top w:val="single" w:sz="4" w:space="0" w:color="auto"/>
              <w:left w:val="single" w:sz="4" w:space="0" w:color="auto"/>
              <w:bottom w:val="single" w:sz="4" w:space="0" w:color="auto"/>
              <w:right w:val="single" w:sz="4" w:space="0" w:color="auto"/>
            </w:tcBorders>
            <w:hideMark/>
          </w:tcPr>
          <w:p w14:paraId="086A3B7C"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 xml:space="preserve">3,5; 5; 7; 10; 14; 20; 30; </w:t>
            </w:r>
            <w:r w:rsidRPr="00140923">
              <w:rPr>
                <w:b/>
                <w:sz w:val="18"/>
                <w:szCs w:val="18"/>
                <w:lang w:val="es-ES_tradnl" w:eastAsia="ja-JP"/>
              </w:rPr>
              <w:t>40</w:t>
            </w:r>
            <w:r w:rsidRPr="00140923">
              <w:rPr>
                <w:sz w:val="18"/>
                <w:szCs w:val="18"/>
                <w:lang w:val="es-ES_tradnl" w:eastAsia="ja-JP"/>
              </w:rPr>
              <w:t>;60; 80</w:t>
            </w:r>
          </w:p>
        </w:tc>
      </w:tr>
      <w:tr w:rsidR="002B37E9" w:rsidRPr="00140923" w14:paraId="70570615"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D46272" w14:textId="77777777" w:rsidR="002B37E9" w:rsidRPr="00140923" w:rsidRDefault="002B37E9" w:rsidP="00226764">
            <w:pPr>
              <w:pStyle w:val="Tabletext"/>
              <w:spacing w:before="30" w:after="30"/>
              <w:jc w:val="left"/>
              <w:rPr>
                <w:sz w:val="18"/>
                <w:szCs w:val="18"/>
                <w:lang w:val="es-ES_tradnl"/>
              </w:rPr>
            </w:pPr>
            <w:r w:rsidRPr="00140923">
              <w:rPr>
                <w:sz w:val="18"/>
                <w:szCs w:val="18"/>
                <w:lang w:val="es-ES_tradnl"/>
              </w:rPr>
              <w:t xml:space="preserve">Gama de potencia de salida del transmisor (dBW) </w:t>
            </w:r>
          </w:p>
        </w:tc>
        <w:tc>
          <w:tcPr>
            <w:tcW w:w="991" w:type="dxa"/>
            <w:vMerge w:val="restart"/>
            <w:tcBorders>
              <w:top w:val="single" w:sz="4" w:space="0" w:color="auto"/>
              <w:left w:val="single" w:sz="4" w:space="0" w:color="auto"/>
              <w:bottom w:val="single" w:sz="4" w:space="0" w:color="auto"/>
              <w:right w:val="single" w:sz="4" w:space="0" w:color="auto"/>
            </w:tcBorders>
            <w:hideMark/>
          </w:tcPr>
          <w:p w14:paraId="30D16F08"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Nota</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D9D418C"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Nota</w:t>
            </w:r>
          </w:p>
        </w:tc>
        <w:tc>
          <w:tcPr>
            <w:tcW w:w="1158" w:type="dxa"/>
            <w:vMerge w:val="restart"/>
            <w:tcBorders>
              <w:top w:val="single" w:sz="4" w:space="0" w:color="auto"/>
              <w:left w:val="single" w:sz="4" w:space="0" w:color="auto"/>
              <w:bottom w:val="single" w:sz="4" w:space="0" w:color="auto"/>
              <w:right w:val="single" w:sz="4" w:space="0" w:color="auto"/>
            </w:tcBorders>
            <w:hideMark/>
          </w:tcPr>
          <w:p w14:paraId="44E8882D"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Nota</w:t>
            </w:r>
          </w:p>
        </w:tc>
        <w:tc>
          <w:tcPr>
            <w:tcW w:w="1225" w:type="dxa"/>
            <w:tcBorders>
              <w:top w:val="single" w:sz="4" w:space="0" w:color="auto"/>
              <w:left w:val="single" w:sz="4" w:space="0" w:color="auto"/>
              <w:bottom w:val="single" w:sz="4" w:space="0" w:color="auto"/>
              <w:right w:val="single" w:sz="4" w:space="0" w:color="auto"/>
            </w:tcBorders>
            <w:hideMark/>
          </w:tcPr>
          <w:p w14:paraId="27BD0AFA"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w:t>
            </w:r>
            <w:r w:rsidRPr="00140923">
              <w:rPr>
                <w:sz w:val="18"/>
                <w:szCs w:val="18"/>
                <w:lang w:val="es-ES_tradnl" w:eastAsia="ja-JP"/>
              </w:rPr>
              <w:t>5</w:t>
            </w:r>
          </w:p>
        </w:tc>
        <w:tc>
          <w:tcPr>
            <w:tcW w:w="1343" w:type="dxa"/>
            <w:tcBorders>
              <w:top w:val="single" w:sz="4" w:space="0" w:color="auto"/>
              <w:left w:val="single" w:sz="4" w:space="0" w:color="auto"/>
              <w:bottom w:val="single" w:sz="4" w:space="0" w:color="auto"/>
              <w:right w:val="single" w:sz="4" w:space="0" w:color="auto"/>
            </w:tcBorders>
            <w:hideMark/>
          </w:tcPr>
          <w:p w14:paraId="1A5AF07D"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w:t>
            </w:r>
            <w:r w:rsidRPr="00140923">
              <w:rPr>
                <w:sz w:val="18"/>
                <w:szCs w:val="18"/>
                <w:lang w:val="es-ES_tradnl" w:eastAsia="ja-JP"/>
              </w:rPr>
              <w:t>5…</w:t>
            </w:r>
            <w:r w:rsidRPr="00140923">
              <w:rPr>
                <w:sz w:val="18"/>
                <w:szCs w:val="18"/>
                <w:lang w:val="es-ES_tradnl"/>
              </w:rPr>
              <w:t>−</w:t>
            </w:r>
            <w:r w:rsidRPr="00140923">
              <w:rPr>
                <w:sz w:val="18"/>
                <w:szCs w:val="18"/>
                <w:lang w:val="es-ES_tradnl" w:eastAsia="ja-JP"/>
              </w:rPr>
              <w:t>10</w:t>
            </w:r>
          </w:p>
        </w:tc>
        <w:tc>
          <w:tcPr>
            <w:tcW w:w="850" w:type="dxa"/>
            <w:tcBorders>
              <w:top w:val="single" w:sz="4" w:space="0" w:color="auto"/>
              <w:left w:val="single" w:sz="4" w:space="0" w:color="auto"/>
              <w:bottom w:val="single" w:sz="4" w:space="0" w:color="auto"/>
              <w:right w:val="single" w:sz="4" w:space="0" w:color="auto"/>
            </w:tcBorders>
            <w:hideMark/>
          </w:tcPr>
          <w:p w14:paraId="2DC8B2D1"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w:t>
            </w:r>
            <w:r w:rsidRPr="00140923">
              <w:rPr>
                <w:sz w:val="18"/>
                <w:szCs w:val="18"/>
                <w:lang w:val="es-ES_tradnl" w:eastAsia="ja-JP"/>
              </w:rPr>
              <w:t>5</w:t>
            </w:r>
          </w:p>
        </w:tc>
        <w:tc>
          <w:tcPr>
            <w:tcW w:w="1276" w:type="dxa"/>
            <w:tcBorders>
              <w:top w:val="single" w:sz="4" w:space="0" w:color="auto"/>
              <w:left w:val="single" w:sz="4" w:space="0" w:color="auto"/>
              <w:bottom w:val="single" w:sz="4" w:space="0" w:color="auto"/>
              <w:right w:val="single" w:sz="4" w:space="0" w:color="auto"/>
            </w:tcBorders>
            <w:hideMark/>
          </w:tcPr>
          <w:p w14:paraId="0780D9BD"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−8…</w:t>
            </w:r>
            <w:r w:rsidRPr="00140923">
              <w:rPr>
                <w:sz w:val="18"/>
                <w:szCs w:val="18"/>
                <w:lang w:val="es-ES_tradnl" w:eastAsia="ja-JP"/>
              </w:rPr>
              <w:t>2,0</w:t>
            </w:r>
          </w:p>
        </w:tc>
        <w:tc>
          <w:tcPr>
            <w:tcW w:w="992" w:type="dxa"/>
            <w:tcBorders>
              <w:top w:val="single" w:sz="4" w:space="0" w:color="auto"/>
              <w:left w:val="single" w:sz="4" w:space="0" w:color="auto"/>
              <w:bottom w:val="single" w:sz="4" w:space="0" w:color="auto"/>
              <w:right w:val="single" w:sz="4" w:space="0" w:color="auto"/>
            </w:tcBorders>
            <w:hideMark/>
          </w:tcPr>
          <w:p w14:paraId="752DEB05" w14:textId="77777777" w:rsidR="002B37E9" w:rsidRPr="00140923" w:rsidRDefault="002B37E9" w:rsidP="00226764">
            <w:pPr>
              <w:pStyle w:val="Tabletext"/>
              <w:spacing w:before="0" w:after="0"/>
              <w:ind w:left="-60"/>
              <w:jc w:val="center"/>
              <w:rPr>
                <w:sz w:val="18"/>
                <w:szCs w:val="18"/>
                <w:lang w:val="es-ES_tradnl" w:eastAsia="ja-JP"/>
              </w:rPr>
            </w:pPr>
            <w:r w:rsidRPr="00140923">
              <w:rPr>
                <w:sz w:val="18"/>
                <w:szCs w:val="18"/>
                <w:lang w:val="es-ES_tradnl" w:eastAsia="ja-JP"/>
              </w:rPr>
              <w:t>−11</w:t>
            </w:r>
            <w:r w:rsidRPr="00140923">
              <w:rPr>
                <w:sz w:val="18"/>
                <w:szCs w:val="18"/>
                <w:lang w:val="es-ES_tradnl"/>
              </w:rPr>
              <w:t>…2</w:t>
            </w:r>
          </w:p>
        </w:tc>
        <w:tc>
          <w:tcPr>
            <w:tcW w:w="1134" w:type="dxa"/>
            <w:tcBorders>
              <w:top w:val="single" w:sz="4" w:space="0" w:color="auto"/>
              <w:left w:val="single" w:sz="4" w:space="0" w:color="auto"/>
              <w:bottom w:val="single" w:sz="4" w:space="0" w:color="auto"/>
              <w:right w:val="single" w:sz="4" w:space="0" w:color="auto"/>
            </w:tcBorders>
            <w:hideMark/>
          </w:tcPr>
          <w:p w14:paraId="7D9E03F7" w14:textId="77777777" w:rsidR="002B37E9" w:rsidRPr="00140923" w:rsidRDefault="002B37E9" w:rsidP="00226764">
            <w:pPr>
              <w:pStyle w:val="Tabletext"/>
              <w:spacing w:before="0" w:after="0"/>
              <w:ind w:left="-45"/>
              <w:jc w:val="center"/>
              <w:rPr>
                <w:sz w:val="18"/>
                <w:szCs w:val="18"/>
                <w:lang w:val="es-ES_tradnl" w:eastAsia="ja-JP"/>
              </w:rPr>
            </w:pPr>
            <w:r w:rsidRPr="00140923">
              <w:rPr>
                <w:sz w:val="18"/>
                <w:szCs w:val="18"/>
                <w:lang w:val="es-ES_tradnl"/>
              </w:rPr>
              <w:t>−13…4</w:t>
            </w:r>
          </w:p>
        </w:tc>
        <w:tc>
          <w:tcPr>
            <w:tcW w:w="1423" w:type="dxa"/>
            <w:tcBorders>
              <w:top w:val="single" w:sz="4" w:space="0" w:color="auto"/>
              <w:left w:val="single" w:sz="4" w:space="0" w:color="auto"/>
              <w:bottom w:val="single" w:sz="4" w:space="0" w:color="auto"/>
              <w:right w:val="single" w:sz="4" w:space="0" w:color="auto"/>
            </w:tcBorders>
            <w:hideMark/>
          </w:tcPr>
          <w:p w14:paraId="320B2353" w14:textId="77777777" w:rsidR="002B37E9" w:rsidRPr="00140923" w:rsidRDefault="002B37E9" w:rsidP="00226764">
            <w:pPr>
              <w:pStyle w:val="Tabletext"/>
              <w:tabs>
                <w:tab w:val="clear" w:pos="851"/>
              </w:tabs>
              <w:spacing w:before="0" w:after="0"/>
              <w:ind w:left="-13" w:right="-59" w:hanging="28"/>
              <w:jc w:val="center"/>
              <w:rPr>
                <w:sz w:val="18"/>
                <w:szCs w:val="18"/>
                <w:lang w:val="es-ES_tradnl" w:eastAsia="ja-JP"/>
              </w:rPr>
            </w:pPr>
            <w:r w:rsidRPr="00140923">
              <w:rPr>
                <w:sz w:val="18"/>
                <w:szCs w:val="18"/>
                <w:lang w:val="es-ES_tradnl"/>
              </w:rPr>
              <w:t>−</w:t>
            </w:r>
            <w:r w:rsidRPr="00140923">
              <w:rPr>
                <w:sz w:val="18"/>
                <w:szCs w:val="18"/>
                <w:lang w:val="es-ES_tradnl" w:eastAsia="ja-JP"/>
              </w:rPr>
              <w:t>15</w:t>
            </w:r>
            <w:r w:rsidRPr="00140923">
              <w:rPr>
                <w:sz w:val="18"/>
                <w:szCs w:val="18"/>
                <w:lang w:val="es-ES_tradnl"/>
              </w:rPr>
              <w:t>…</w:t>
            </w:r>
            <w:r w:rsidRPr="00140923">
              <w:rPr>
                <w:sz w:val="18"/>
                <w:szCs w:val="18"/>
                <w:lang w:val="es-ES_tradnl" w:eastAsia="ja-JP"/>
              </w:rPr>
              <w:t>3</w:t>
            </w:r>
          </w:p>
        </w:tc>
      </w:tr>
      <w:tr w:rsidR="002B37E9" w:rsidRPr="00140923" w14:paraId="56AD1E69"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915926" w14:textId="77777777" w:rsidR="002B37E9" w:rsidRPr="00140923" w:rsidRDefault="002B37E9" w:rsidP="00226764">
            <w:pPr>
              <w:pStyle w:val="Tabletext"/>
              <w:spacing w:before="30" w:after="30"/>
              <w:jc w:val="left"/>
              <w:rPr>
                <w:sz w:val="18"/>
                <w:szCs w:val="18"/>
                <w:lang w:val="es-ES_tradnl" w:eastAsia="ja-JP"/>
              </w:rPr>
            </w:pPr>
            <w:r w:rsidRPr="00140923">
              <w:rPr>
                <w:sz w:val="18"/>
                <w:szCs w:val="18"/>
                <w:lang w:val="es-ES_tradnl"/>
              </w:rPr>
              <w:t>Gama de densidad de potencia de salida del transmisor (dBW/MHz)</w:t>
            </w:r>
            <w:r w:rsidRPr="00140923">
              <w:rPr>
                <w:sz w:val="18"/>
                <w:szCs w:val="18"/>
                <w:vertAlign w:val="superscript"/>
                <w:lang w:val="es-ES_tradnl" w:eastAsia="ja-JP"/>
              </w:rPr>
              <w:t>(1)</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415FB05"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A4BBE18"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66C858F0"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225" w:type="dxa"/>
            <w:tcBorders>
              <w:top w:val="single" w:sz="4" w:space="0" w:color="auto"/>
              <w:left w:val="single" w:sz="4" w:space="0" w:color="auto"/>
              <w:bottom w:val="single" w:sz="4" w:space="0" w:color="auto"/>
              <w:right w:val="single" w:sz="4" w:space="0" w:color="auto"/>
            </w:tcBorders>
            <w:hideMark/>
          </w:tcPr>
          <w:p w14:paraId="2F08CE33" w14:textId="3D58C612" w:rsidR="002B37E9" w:rsidRPr="00140923" w:rsidRDefault="002B37E9" w:rsidP="00226764">
            <w:pPr>
              <w:pStyle w:val="Tabletext"/>
              <w:tabs>
                <w:tab w:val="clear" w:pos="284"/>
                <w:tab w:val="clear" w:pos="567"/>
                <w:tab w:val="clear" w:pos="851"/>
                <w:tab w:val="clear" w:pos="1134"/>
                <w:tab w:val="clear" w:pos="1418"/>
                <w:tab w:val="clear" w:pos="1701"/>
                <w:tab w:val="clear" w:pos="1985"/>
              </w:tabs>
              <w:spacing w:before="0" w:after="0"/>
              <w:ind w:left="-227" w:right="-113" w:firstLine="57"/>
              <w:jc w:val="center"/>
              <w:rPr>
                <w:sz w:val="18"/>
                <w:szCs w:val="18"/>
                <w:lang w:val="es-ES_tradnl"/>
              </w:rPr>
            </w:pPr>
            <w:r w:rsidRPr="00140923">
              <w:rPr>
                <w:sz w:val="18"/>
                <w:szCs w:val="18"/>
                <w:lang w:val="es-ES_tradnl"/>
              </w:rPr>
              <w:t>−19</w:t>
            </w:r>
            <w:r w:rsidR="00480606">
              <w:rPr>
                <w:sz w:val="18"/>
                <w:szCs w:val="18"/>
                <w:lang w:val="es-ES_tradnl"/>
              </w:rPr>
              <w:t>,</w:t>
            </w:r>
            <w:r w:rsidRPr="00140923">
              <w:rPr>
                <w:sz w:val="18"/>
                <w:szCs w:val="18"/>
                <w:lang w:val="es-ES_tradnl"/>
              </w:rPr>
              <w:t>5</w:t>
            </w:r>
            <w:r w:rsidRPr="00140923">
              <w:rPr>
                <w:sz w:val="18"/>
                <w:szCs w:val="18"/>
                <w:lang w:val="es-ES_tradnl" w:eastAsia="ja-JP"/>
              </w:rPr>
              <w:t>…</w:t>
            </w:r>
            <w:r w:rsidRPr="00140923">
              <w:rPr>
                <w:sz w:val="18"/>
                <w:szCs w:val="18"/>
                <w:lang w:val="es-ES_tradnl"/>
              </w:rPr>
              <w:t>−14,5</w:t>
            </w:r>
          </w:p>
        </w:tc>
        <w:tc>
          <w:tcPr>
            <w:tcW w:w="1343" w:type="dxa"/>
            <w:tcBorders>
              <w:top w:val="single" w:sz="4" w:space="0" w:color="auto"/>
              <w:left w:val="single" w:sz="4" w:space="0" w:color="auto"/>
              <w:bottom w:val="single" w:sz="4" w:space="0" w:color="auto"/>
              <w:right w:val="single" w:sz="4" w:space="0" w:color="auto"/>
            </w:tcBorders>
            <w:hideMark/>
          </w:tcPr>
          <w:p w14:paraId="7FDB3A4A"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rPr>
              <w:t>−25,</w:t>
            </w:r>
            <w:r w:rsidRPr="00140923">
              <w:rPr>
                <w:sz w:val="18"/>
                <w:szCs w:val="18"/>
                <w:lang w:val="es-ES_tradnl" w:eastAsia="ja-JP"/>
              </w:rPr>
              <w:t>2…</w:t>
            </w:r>
            <w:r w:rsidRPr="00140923">
              <w:rPr>
                <w:sz w:val="18"/>
                <w:szCs w:val="18"/>
                <w:lang w:val="es-ES_tradnl"/>
              </w:rPr>
              <w:t>−</w:t>
            </w:r>
            <w:r w:rsidRPr="00140923">
              <w:rPr>
                <w:sz w:val="18"/>
                <w:szCs w:val="18"/>
                <w:lang w:val="es-ES_tradnl" w:eastAsia="ja-JP"/>
              </w:rPr>
              <w:t>14,5</w:t>
            </w:r>
          </w:p>
        </w:tc>
        <w:tc>
          <w:tcPr>
            <w:tcW w:w="850" w:type="dxa"/>
            <w:tcBorders>
              <w:top w:val="single" w:sz="4" w:space="0" w:color="auto"/>
              <w:left w:val="single" w:sz="4" w:space="0" w:color="auto"/>
              <w:bottom w:val="single" w:sz="4" w:space="0" w:color="auto"/>
              <w:right w:val="single" w:sz="4" w:space="0" w:color="auto"/>
            </w:tcBorders>
            <w:hideMark/>
          </w:tcPr>
          <w:p w14:paraId="185818D4" w14:textId="77777777" w:rsidR="002B37E9" w:rsidRPr="00140923" w:rsidRDefault="002B37E9" w:rsidP="00226764">
            <w:pPr>
              <w:pStyle w:val="Tabletext"/>
              <w:tabs>
                <w:tab w:val="clear" w:pos="284"/>
                <w:tab w:val="clear" w:pos="567"/>
                <w:tab w:val="clear" w:pos="851"/>
                <w:tab w:val="clear" w:pos="1134"/>
                <w:tab w:val="clear" w:pos="1418"/>
                <w:tab w:val="clear" w:pos="1701"/>
                <w:tab w:val="clear" w:pos="1985"/>
              </w:tabs>
              <w:spacing w:before="0" w:after="0"/>
              <w:ind w:left="-227" w:right="-113" w:firstLine="57"/>
              <w:jc w:val="center"/>
              <w:rPr>
                <w:sz w:val="18"/>
                <w:szCs w:val="18"/>
                <w:lang w:val="es-ES_tradnl"/>
              </w:rPr>
            </w:pPr>
            <w:r w:rsidRPr="00140923">
              <w:rPr>
                <w:sz w:val="18"/>
                <w:szCs w:val="18"/>
                <w:lang w:val="es-ES_tradnl"/>
              </w:rPr>
              <w:t>−19,5</w:t>
            </w:r>
            <w:r w:rsidRPr="00140923">
              <w:rPr>
                <w:sz w:val="18"/>
                <w:szCs w:val="18"/>
                <w:lang w:val="es-ES_tradnl" w:eastAsia="ja-JP"/>
              </w:rPr>
              <w:t>…</w:t>
            </w:r>
            <w:r w:rsidRPr="00140923">
              <w:rPr>
                <w:sz w:val="18"/>
                <w:szCs w:val="18"/>
                <w:lang w:val="es-ES_tradnl"/>
              </w:rPr>
              <w:t>−14,5</w:t>
            </w:r>
          </w:p>
        </w:tc>
        <w:tc>
          <w:tcPr>
            <w:tcW w:w="1276" w:type="dxa"/>
            <w:tcBorders>
              <w:top w:val="single" w:sz="4" w:space="0" w:color="auto"/>
              <w:left w:val="single" w:sz="4" w:space="0" w:color="auto"/>
              <w:bottom w:val="single" w:sz="4" w:space="0" w:color="auto"/>
              <w:right w:val="single" w:sz="4" w:space="0" w:color="auto"/>
            </w:tcBorders>
            <w:hideMark/>
          </w:tcPr>
          <w:p w14:paraId="06BD3EE2" w14:textId="77777777" w:rsidR="002B37E9" w:rsidRPr="00140923" w:rsidRDefault="002B37E9" w:rsidP="00226764">
            <w:pPr>
              <w:pStyle w:val="Tabletext"/>
              <w:tabs>
                <w:tab w:val="clear" w:pos="284"/>
                <w:tab w:val="clear" w:pos="567"/>
                <w:tab w:val="clear" w:pos="851"/>
                <w:tab w:val="clear" w:pos="1134"/>
                <w:tab w:val="clear" w:pos="1418"/>
                <w:tab w:val="clear" w:pos="1701"/>
                <w:tab w:val="clear" w:pos="1985"/>
              </w:tabs>
              <w:spacing w:before="0" w:after="0"/>
              <w:ind w:left="-227" w:right="-113" w:firstLine="57"/>
              <w:jc w:val="center"/>
              <w:rPr>
                <w:sz w:val="18"/>
                <w:szCs w:val="18"/>
                <w:lang w:val="es-ES_tradnl" w:eastAsia="ja-JP"/>
              </w:rPr>
            </w:pPr>
            <w:r w:rsidRPr="00140923">
              <w:rPr>
                <w:sz w:val="18"/>
                <w:szCs w:val="18"/>
                <w:lang w:val="es-ES_tradnl"/>
              </w:rPr>
              <w:t>−24</w:t>
            </w:r>
            <w:r w:rsidRPr="00140923">
              <w:rPr>
                <w:sz w:val="18"/>
                <w:szCs w:val="18"/>
                <w:lang w:val="es-ES_tradnl" w:eastAsia="ja-JP"/>
              </w:rPr>
              <w:t>…</w:t>
            </w:r>
            <w:r w:rsidRPr="00140923">
              <w:rPr>
                <w:sz w:val="18"/>
                <w:szCs w:val="18"/>
                <w:lang w:val="es-ES_tradnl"/>
              </w:rPr>
              <w:t xml:space="preserve"> −</w:t>
            </w:r>
            <w:r w:rsidRPr="00140923">
              <w:rPr>
                <w:sz w:val="18"/>
                <w:szCs w:val="18"/>
                <w:lang w:val="es-ES_tradnl" w:eastAsia="ja-JP"/>
              </w:rPr>
              <w:t>14,0</w:t>
            </w:r>
          </w:p>
        </w:tc>
        <w:tc>
          <w:tcPr>
            <w:tcW w:w="992" w:type="dxa"/>
            <w:tcBorders>
              <w:top w:val="single" w:sz="4" w:space="0" w:color="auto"/>
              <w:left w:val="single" w:sz="4" w:space="0" w:color="auto"/>
              <w:bottom w:val="single" w:sz="4" w:space="0" w:color="auto"/>
              <w:right w:val="single" w:sz="4" w:space="0" w:color="auto"/>
            </w:tcBorders>
            <w:hideMark/>
          </w:tcPr>
          <w:p w14:paraId="25220A9E" w14:textId="77777777" w:rsidR="002B37E9" w:rsidRPr="00140923" w:rsidRDefault="002B37E9" w:rsidP="00226764">
            <w:pPr>
              <w:pStyle w:val="Tabletext"/>
              <w:spacing w:before="0" w:after="0"/>
              <w:ind w:left="-113" w:right="-113"/>
              <w:jc w:val="center"/>
              <w:rPr>
                <w:sz w:val="18"/>
                <w:szCs w:val="18"/>
                <w:lang w:val="es-ES_tradnl" w:eastAsia="ja-JP"/>
              </w:rPr>
            </w:pPr>
            <w:r w:rsidRPr="00140923">
              <w:rPr>
                <w:sz w:val="18"/>
                <w:szCs w:val="18"/>
                <w:lang w:val="es-ES_tradnl"/>
              </w:rPr>
              <w:t>−</w:t>
            </w:r>
            <w:r w:rsidRPr="00140923">
              <w:rPr>
                <w:sz w:val="18"/>
                <w:szCs w:val="18"/>
                <w:lang w:val="es-ES_tradnl" w:eastAsia="ja-JP"/>
              </w:rPr>
              <w:t>25,7…</w:t>
            </w:r>
            <w:r w:rsidRPr="00140923">
              <w:rPr>
                <w:sz w:val="18"/>
                <w:szCs w:val="18"/>
                <w:lang w:val="es-ES_tradnl"/>
              </w:rPr>
              <w:t>−</w:t>
            </w:r>
            <w:r w:rsidRPr="00140923">
              <w:rPr>
                <w:sz w:val="18"/>
                <w:szCs w:val="18"/>
                <w:lang w:val="es-ES_tradnl" w:eastAsia="ja-JP"/>
              </w:rPr>
              <w:t>9,7</w:t>
            </w:r>
          </w:p>
        </w:tc>
        <w:tc>
          <w:tcPr>
            <w:tcW w:w="1134" w:type="dxa"/>
            <w:tcBorders>
              <w:top w:val="single" w:sz="4" w:space="0" w:color="auto"/>
              <w:left w:val="single" w:sz="4" w:space="0" w:color="auto"/>
              <w:bottom w:val="single" w:sz="4" w:space="0" w:color="auto"/>
              <w:right w:val="single" w:sz="4" w:space="0" w:color="auto"/>
            </w:tcBorders>
            <w:hideMark/>
          </w:tcPr>
          <w:p w14:paraId="25FE10D0" w14:textId="77777777" w:rsidR="002B37E9" w:rsidRPr="00140923" w:rsidRDefault="002B37E9" w:rsidP="00226764">
            <w:pPr>
              <w:pStyle w:val="Tabletext"/>
              <w:spacing w:before="0" w:after="0"/>
              <w:ind w:left="-45"/>
              <w:jc w:val="center"/>
              <w:rPr>
                <w:sz w:val="18"/>
                <w:szCs w:val="18"/>
                <w:lang w:val="es-ES_tradnl" w:eastAsia="ja-JP"/>
              </w:rPr>
            </w:pPr>
            <w:r w:rsidRPr="00140923">
              <w:rPr>
                <w:sz w:val="18"/>
                <w:szCs w:val="18"/>
                <w:lang w:val="es-ES_tradnl"/>
              </w:rPr>
              <w:t>−26…−9</w:t>
            </w:r>
          </w:p>
        </w:tc>
        <w:tc>
          <w:tcPr>
            <w:tcW w:w="1423" w:type="dxa"/>
            <w:tcBorders>
              <w:top w:val="single" w:sz="4" w:space="0" w:color="auto"/>
              <w:left w:val="single" w:sz="4" w:space="0" w:color="auto"/>
              <w:bottom w:val="single" w:sz="4" w:space="0" w:color="auto"/>
              <w:right w:val="single" w:sz="4" w:space="0" w:color="auto"/>
            </w:tcBorders>
            <w:hideMark/>
          </w:tcPr>
          <w:p w14:paraId="1ED7C4FF" w14:textId="77777777" w:rsidR="002B37E9" w:rsidRPr="00140923" w:rsidRDefault="002B37E9" w:rsidP="00226764">
            <w:pPr>
              <w:pStyle w:val="Tabletext"/>
              <w:tabs>
                <w:tab w:val="clear" w:pos="851"/>
              </w:tabs>
              <w:spacing w:before="0" w:after="0"/>
              <w:ind w:left="-13" w:right="-59" w:hanging="47"/>
              <w:jc w:val="center"/>
              <w:rPr>
                <w:sz w:val="18"/>
                <w:szCs w:val="18"/>
                <w:lang w:val="es-ES_tradnl" w:eastAsia="ja-JP"/>
              </w:rPr>
            </w:pPr>
            <w:r w:rsidRPr="00140923">
              <w:rPr>
                <w:sz w:val="18"/>
                <w:szCs w:val="18"/>
                <w:lang w:val="es-ES_tradnl" w:eastAsia="ja-JP"/>
              </w:rPr>
              <w:t>−31…−13,0</w:t>
            </w:r>
          </w:p>
        </w:tc>
      </w:tr>
      <w:tr w:rsidR="002B37E9" w:rsidRPr="00140923" w14:paraId="45204400"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748FB0" w14:textId="77777777" w:rsidR="002B37E9" w:rsidRPr="00140923" w:rsidRDefault="002B37E9" w:rsidP="00226764">
            <w:pPr>
              <w:pStyle w:val="Tabletext"/>
              <w:spacing w:before="30" w:after="30"/>
              <w:jc w:val="left"/>
              <w:rPr>
                <w:sz w:val="18"/>
                <w:szCs w:val="18"/>
                <w:lang w:val="es-ES_tradnl"/>
              </w:rPr>
            </w:pPr>
            <w:r w:rsidRPr="00140923">
              <w:rPr>
                <w:sz w:val="18"/>
                <w:szCs w:val="18"/>
                <w:lang w:val="es-ES_tradnl"/>
              </w:rPr>
              <w:t>Gama de pérdida del alimentador/</w:t>
            </w:r>
            <w:r w:rsidRPr="00140923">
              <w:rPr>
                <w:sz w:val="18"/>
                <w:szCs w:val="18"/>
                <w:lang w:val="es-ES_tradnl"/>
              </w:rPr>
              <w:br/>
              <w:t>multiplexor (dB)</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4B94234"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22DBAFB"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2F6AECDA"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225" w:type="dxa"/>
            <w:tcBorders>
              <w:top w:val="single" w:sz="4" w:space="0" w:color="auto"/>
              <w:left w:val="single" w:sz="4" w:space="0" w:color="auto"/>
              <w:bottom w:val="single" w:sz="4" w:space="0" w:color="auto"/>
              <w:right w:val="single" w:sz="4" w:space="0" w:color="auto"/>
            </w:tcBorders>
            <w:hideMark/>
          </w:tcPr>
          <w:p w14:paraId="340D2D7B"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3</w:t>
            </w:r>
          </w:p>
        </w:tc>
        <w:tc>
          <w:tcPr>
            <w:tcW w:w="1343" w:type="dxa"/>
            <w:tcBorders>
              <w:top w:val="single" w:sz="4" w:space="0" w:color="auto"/>
              <w:left w:val="single" w:sz="4" w:space="0" w:color="auto"/>
              <w:bottom w:val="single" w:sz="4" w:space="0" w:color="auto"/>
              <w:right w:val="single" w:sz="4" w:space="0" w:color="auto"/>
            </w:tcBorders>
            <w:hideMark/>
          </w:tcPr>
          <w:p w14:paraId="7896A0B2"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0</w:t>
            </w:r>
          </w:p>
        </w:tc>
        <w:tc>
          <w:tcPr>
            <w:tcW w:w="850" w:type="dxa"/>
            <w:tcBorders>
              <w:top w:val="single" w:sz="4" w:space="0" w:color="auto"/>
              <w:left w:val="single" w:sz="4" w:space="0" w:color="auto"/>
              <w:bottom w:val="single" w:sz="4" w:space="0" w:color="auto"/>
              <w:right w:val="single" w:sz="4" w:space="0" w:color="auto"/>
            </w:tcBorders>
            <w:hideMark/>
          </w:tcPr>
          <w:p w14:paraId="459FC4C6"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rPr>
              <w:t>3</w:t>
            </w:r>
          </w:p>
        </w:tc>
        <w:tc>
          <w:tcPr>
            <w:tcW w:w="1276" w:type="dxa"/>
            <w:tcBorders>
              <w:top w:val="single" w:sz="4" w:space="0" w:color="auto"/>
              <w:left w:val="single" w:sz="4" w:space="0" w:color="auto"/>
              <w:bottom w:val="single" w:sz="4" w:space="0" w:color="auto"/>
              <w:right w:val="single" w:sz="4" w:space="0" w:color="auto"/>
            </w:tcBorders>
            <w:hideMark/>
          </w:tcPr>
          <w:p w14:paraId="1D4CC05D"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2,5…5,6</w:t>
            </w:r>
          </w:p>
        </w:tc>
        <w:tc>
          <w:tcPr>
            <w:tcW w:w="992" w:type="dxa"/>
            <w:tcBorders>
              <w:top w:val="single" w:sz="4" w:space="0" w:color="auto"/>
              <w:left w:val="single" w:sz="4" w:space="0" w:color="auto"/>
              <w:bottom w:val="single" w:sz="4" w:space="0" w:color="auto"/>
              <w:right w:val="single" w:sz="4" w:space="0" w:color="auto"/>
            </w:tcBorders>
            <w:hideMark/>
          </w:tcPr>
          <w:p w14:paraId="247C80DC" w14:textId="77777777" w:rsidR="002B37E9" w:rsidRPr="00140923" w:rsidRDefault="002B37E9" w:rsidP="00226764">
            <w:pPr>
              <w:pStyle w:val="Tabletext"/>
              <w:spacing w:before="0" w:after="0"/>
              <w:ind w:left="-60"/>
              <w:jc w:val="center"/>
              <w:rPr>
                <w:sz w:val="18"/>
                <w:szCs w:val="18"/>
                <w:lang w:val="es-ES_tradnl"/>
              </w:rPr>
            </w:pPr>
            <w:r w:rsidRPr="00140923">
              <w:rPr>
                <w:sz w:val="18"/>
                <w:szCs w:val="18"/>
                <w:lang w:val="es-ES_tradnl"/>
              </w:rPr>
              <w:t>1,1…3</w:t>
            </w:r>
          </w:p>
        </w:tc>
        <w:tc>
          <w:tcPr>
            <w:tcW w:w="1134" w:type="dxa"/>
            <w:tcBorders>
              <w:top w:val="single" w:sz="4" w:space="0" w:color="auto"/>
              <w:left w:val="single" w:sz="4" w:space="0" w:color="auto"/>
              <w:bottom w:val="single" w:sz="4" w:space="0" w:color="auto"/>
              <w:right w:val="single" w:sz="4" w:space="0" w:color="auto"/>
            </w:tcBorders>
            <w:hideMark/>
          </w:tcPr>
          <w:p w14:paraId="57683FED" w14:textId="0F4432B1" w:rsidR="002B37E9" w:rsidRPr="00140923" w:rsidRDefault="002B37E9" w:rsidP="00226764">
            <w:pPr>
              <w:pStyle w:val="Tabletext"/>
              <w:spacing w:before="0" w:after="0"/>
              <w:ind w:left="-45"/>
              <w:jc w:val="center"/>
              <w:rPr>
                <w:sz w:val="18"/>
                <w:szCs w:val="18"/>
                <w:lang w:val="es-ES_tradnl" w:eastAsia="ja-JP"/>
              </w:rPr>
            </w:pPr>
            <w:r w:rsidRPr="00140923">
              <w:rPr>
                <w:sz w:val="18"/>
                <w:szCs w:val="18"/>
                <w:lang w:val="es-ES_tradnl"/>
              </w:rPr>
              <w:t>0…6,3</w:t>
            </w:r>
          </w:p>
        </w:tc>
        <w:tc>
          <w:tcPr>
            <w:tcW w:w="1423" w:type="dxa"/>
            <w:tcBorders>
              <w:top w:val="single" w:sz="4" w:space="0" w:color="auto"/>
              <w:left w:val="single" w:sz="4" w:space="0" w:color="auto"/>
              <w:bottom w:val="single" w:sz="4" w:space="0" w:color="auto"/>
              <w:right w:val="single" w:sz="4" w:space="0" w:color="auto"/>
            </w:tcBorders>
            <w:hideMark/>
          </w:tcPr>
          <w:p w14:paraId="5569564A" w14:textId="77777777" w:rsidR="002B37E9" w:rsidRPr="00140923" w:rsidRDefault="002B37E9" w:rsidP="00226764">
            <w:pPr>
              <w:pStyle w:val="Tabletext"/>
              <w:tabs>
                <w:tab w:val="clear" w:pos="851"/>
              </w:tabs>
              <w:spacing w:before="0" w:after="0"/>
              <w:ind w:left="-13" w:right="-59" w:hanging="28"/>
              <w:jc w:val="center"/>
              <w:rPr>
                <w:rFonts w:eastAsia="MS PGothic"/>
                <w:sz w:val="18"/>
                <w:szCs w:val="18"/>
                <w:lang w:val="es-ES_tradnl"/>
              </w:rPr>
            </w:pPr>
            <w:r w:rsidRPr="00140923">
              <w:rPr>
                <w:sz w:val="18"/>
                <w:szCs w:val="18"/>
                <w:lang w:val="es-ES_tradnl"/>
              </w:rPr>
              <w:t>0…6,3</w:t>
            </w:r>
          </w:p>
        </w:tc>
      </w:tr>
      <w:tr w:rsidR="002B37E9" w:rsidRPr="00140923" w14:paraId="275ED7F5" w14:textId="77777777" w:rsidTr="00480606">
        <w:trPr>
          <w:trHeight w:val="314"/>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DD9C28" w14:textId="77777777" w:rsidR="002B37E9" w:rsidRPr="00140923" w:rsidRDefault="002B37E9" w:rsidP="00226764">
            <w:pPr>
              <w:pStyle w:val="Tabletext"/>
              <w:spacing w:before="30" w:after="30"/>
              <w:jc w:val="left"/>
              <w:rPr>
                <w:sz w:val="18"/>
                <w:szCs w:val="18"/>
                <w:lang w:val="es-ES_tradnl"/>
              </w:rPr>
            </w:pPr>
            <w:r w:rsidRPr="00140923">
              <w:rPr>
                <w:sz w:val="18"/>
                <w:szCs w:val="18"/>
                <w:lang w:val="es-ES_tradnl"/>
              </w:rPr>
              <w:t>Gama de ganancia (dBi) de la antena</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DBC4A14"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B72A6CE"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6875E687"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225" w:type="dxa"/>
            <w:tcBorders>
              <w:top w:val="single" w:sz="4" w:space="0" w:color="auto"/>
              <w:left w:val="single" w:sz="4" w:space="0" w:color="auto"/>
              <w:bottom w:val="single" w:sz="4" w:space="0" w:color="auto"/>
              <w:right w:val="single" w:sz="4" w:space="0" w:color="auto"/>
            </w:tcBorders>
            <w:hideMark/>
          </w:tcPr>
          <w:p w14:paraId="0E19C401"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rPr>
              <w:t>22,5</w:t>
            </w:r>
          </w:p>
        </w:tc>
        <w:tc>
          <w:tcPr>
            <w:tcW w:w="1343" w:type="dxa"/>
            <w:tcBorders>
              <w:top w:val="single" w:sz="4" w:space="0" w:color="auto"/>
              <w:left w:val="single" w:sz="4" w:space="0" w:color="auto"/>
              <w:bottom w:val="single" w:sz="4" w:space="0" w:color="auto"/>
              <w:right w:val="single" w:sz="4" w:space="0" w:color="auto"/>
            </w:tcBorders>
            <w:hideMark/>
          </w:tcPr>
          <w:p w14:paraId="0D81109D"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21,5</w:t>
            </w:r>
            <w:r w:rsidRPr="00140923">
              <w:rPr>
                <w:sz w:val="18"/>
                <w:szCs w:val="18"/>
                <w:lang w:val="es-ES_tradnl" w:eastAsia="ja-JP"/>
              </w:rPr>
              <w:t>…22,5</w:t>
            </w:r>
          </w:p>
        </w:tc>
        <w:tc>
          <w:tcPr>
            <w:tcW w:w="850" w:type="dxa"/>
            <w:tcBorders>
              <w:top w:val="single" w:sz="4" w:space="0" w:color="auto"/>
              <w:left w:val="single" w:sz="4" w:space="0" w:color="auto"/>
              <w:bottom w:val="single" w:sz="4" w:space="0" w:color="auto"/>
              <w:right w:val="single" w:sz="4" w:space="0" w:color="auto"/>
            </w:tcBorders>
            <w:hideMark/>
          </w:tcPr>
          <w:p w14:paraId="2B671DFE"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rPr>
              <w:t>22,5</w:t>
            </w:r>
          </w:p>
        </w:tc>
        <w:tc>
          <w:tcPr>
            <w:tcW w:w="1276" w:type="dxa"/>
            <w:tcBorders>
              <w:top w:val="single" w:sz="4" w:space="0" w:color="auto"/>
              <w:left w:val="single" w:sz="4" w:space="0" w:color="auto"/>
              <w:bottom w:val="single" w:sz="4" w:space="0" w:color="auto"/>
              <w:right w:val="single" w:sz="4" w:space="0" w:color="auto"/>
            </w:tcBorders>
            <w:hideMark/>
          </w:tcPr>
          <w:p w14:paraId="2DF673A3" w14:textId="77777777" w:rsidR="002B37E9" w:rsidRPr="00140923" w:rsidRDefault="002B37E9" w:rsidP="00226764">
            <w:pPr>
              <w:pStyle w:val="Tabletext"/>
              <w:spacing w:before="0" w:after="0"/>
              <w:ind w:left="-57" w:right="-57"/>
              <w:jc w:val="center"/>
              <w:rPr>
                <w:sz w:val="18"/>
                <w:szCs w:val="18"/>
                <w:lang w:val="es-ES_tradnl"/>
              </w:rPr>
            </w:pPr>
            <w:r w:rsidRPr="00140923">
              <w:rPr>
                <w:sz w:val="18"/>
                <w:szCs w:val="18"/>
                <w:lang w:val="es-ES_tradnl"/>
              </w:rPr>
              <w:t>38,1…</w:t>
            </w:r>
            <w:r w:rsidRPr="00140923">
              <w:rPr>
                <w:sz w:val="18"/>
                <w:szCs w:val="18"/>
                <w:lang w:val="es-ES_tradnl" w:eastAsia="ja-JP"/>
              </w:rPr>
              <w:t>45,0</w:t>
            </w:r>
          </w:p>
        </w:tc>
        <w:tc>
          <w:tcPr>
            <w:tcW w:w="992" w:type="dxa"/>
            <w:tcBorders>
              <w:top w:val="single" w:sz="4" w:space="0" w:color="auto"/>
              <w:left w:val="single" w:sz="4" w:space="0" w:color="auto"/>
              <w:bottom w:val="single" w:sz="4" w:space="0" w:color="auto"/>
              <w:right w:val="single" w:sz="4" w:space="0" w:color="auto"/>
            </w:tcBorders>
            <w:hideMark/>
          </w:tcPr>
          <w:p w14:paraId="62BF104D" w14:textId="77777777" w:rsidR="002B37E9" w:rsidRPr="00140923" w:rsidRDefault="002B37E9" w:rsidP="00226764">
            <w:pPr>
              <w:pStyle w:val="Tabletext"/>
              <w:spacing w:before="0" w:after="0"/>
              <w:ind w:left="-60"/>
              <w:jc w:val="center"/>
              <w:rPr>
                <w:sz w:val="18"/>
                <w:szCs w:val="18"/>
                <w:lang w:val="es-ES_tradnl" w:eastAsia="ja-JP"/>
              </w:rPr>
            </w:pPr>
            <w:r w:rsidRPr="00140923">
              <w:rPr>
                <w:sz w:val="18"/>
                <w:szCs w:val="18"/>
                <w:lang w:val="es-ES_tradnl"/>
              </w:rPr>
              <w:t>3</w:t>
            </w:r>
            <w:r w:rsidRPr="00140923">
              <w:rPr>
                <w:sz w:val="18"/>
                <w:szCs w:val="18"/>
                <w:lang w:val="es-ES_tradnl" w:eastAsia="ja-JP"/>
              </w:rPr>
              <w:t>8,7…46,6</w:t>
            </w:r>
          </w:p>
        </w:tc>
        <w:tc>
          <w:tcPr>
            <w:tcW w:w="1134" w:type="dxa"/>
            <w:tcBorders>
              <w:top w:val="single" w:sz="4" w:space="0" w:color="auto"/>
              <w:left w:val="single" w:sz="4" w:space="0" w:color="auto"/>
              <w:bottom w:val="single" w:sz="4" w:space="0" w:color="auto"/>
              <w:right w:val="single" w:sz="4" w:space="0" w:color="auto"/>
            </w:tcBorders>
            <w:hideMark/>
          </w:tcPr>
          <w:p w14:paraId="56E13CE0" w14:textId="12530377" w:rsidR="002B37E9" w:rsidRPr="00140923" w:rsidRDefault="002B37E9" w:rsidP="00226764">
            <w:pPr>
              <w:pStyle w:val="Tabletext"/>
              <w:spacing w:before="0" w:after="0"/>
              <w:ind w:left="-45"/>
              <w:jc w:val="center"/>
              <w:rPr>
                <w:sz w:val="18"/>
                <w:szCs w:val="18"/>
                <w:lang w:val="es-ES_tradnl" w:eastAsia="ja-JP"/>
              </w:rPr>
            </w:pPr>
            <w:r w:rsidRPr="00140923">
              <w:rPr>
                <w:sz w:val="18"/>
                <w:szCs w:val="18"/>
                <w:lang w:val="es-ES_tradnl"/>
              </w:rPr>
              <w:t>3</w:t>
            </w:r>
            <w:r w:rsidRPr="00140923">
              <w:rPr>
                <w:sz w:val="18"/>
                <w:szCs w:val="18"/>
                <w:lang w:val="es-ES_tradnl" w:eastAsia="ja-JP"/>
              </w:rPr>
              <w:t>2,6</w:t>
            </w:r>
            <w:r w:rsidRPr="00140923">
              <w:rPr>
                <w:sz w:val="18"/>
                <w:szCs w:val="18"/>
                <w:lang w:val="es-ES_tradnl"/>
              </w:rPr>
              <w:t>…47,4</w:t>
            </w:r>
          </w:p>
        </w:tc>
        <w:tc>
          <w:tcPr>
            <w:tcW w:w="1423" w:type="dxa"/>
            <w:tcBorders>
              <w:top w:val="single" w:sz="4" w:space="0" w:color="auto"/>
              <w:left w:val="single" w:sz="4" w:space="0" w:color="auto"/>
              <w:bottom w:val="single" w:sz="4" w:space="0" w:color="auto"/>
              <w:right w:val="single" w:sz="4" w:space="0" w:color="auto"/>
            </w:tcBorders>
            <w:hideMark/>
          </w:tcPr>
          <w:p w14:paraId="19E95497" w14:textId="77777777" w:rsidR="002B37E9" w:rsidRPr="00140923" w:rsidRDefault="002B37E9" w:rsidP="00226764">
            <w:pPr>
              <w:pStyle w:val="Tabletext"/>
              <w:tabs>
                <w:tab w:val="clear" w:pos="851"/>
              </w:tabs>
              <w:spacing w:before="0" w:after="0"/>
              <w:ind w:left="-13" w:right="-59" w:hanging="28"/>
              <w:jc w:val="center"/>
              <w:rPr>
                <w:rFonts w:eastAsia="MS PGothic"/>
                <w:sz w:val="18"/>
                <w:szCs w:val="18"/>
                <w:lang w:val="es-ES_tradnl"/>
              </w:rPr>
            </w:pPr>
            <w:r w:rsidRPr="00140923">
              <w:rPr>
                <w:sz w:val="18"/>
                <w:szCs w:val="18"/>
                <w:lang w:val="es-ES_tradnl"/>
              </w:rPr>
              <w:t>3</w:t>
            </w:r>
            <w:r w:rsidRPr="00140923">
              <w:rPr>
                <w:sz w:val="18"/>
                <w:szCs w:val="18"/>
                <w:lang w:val="es-ES_tradnl" w:eastAsia="ja-JP"/>
              </w:rPr>
              <w:t>2,6</w:t>
            </w:r>
            <w:r w:rsidRPr="00140923">
              <w:rPr>
                <w:sz w:val="18"/>
                <w:szCs w:val="18"/>
                <w:lang w:val="es-ES_tradnl"/>
              </w:rPr>
              <w:t>…47,4</w:t>
            </w:r>
          </w:p>
        </w:tc>
      </w:tr>
      <w:tr w:rsidR="002B37E9" w:rsidRPr="00140923" w14:paraId="4EFD19E6"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8FA732" w14:textId="77777777" w:rsidR="002B37E9" w:rsidRPr="00140923" w:rsidRDefault="002B37E9" w:rsidP="00226764">
            <w:pPr>
              <w:pStyle w:val="Tabletext"/>
              <w:spacing w:before="30" w:after="30"/>
              <w:jc w:val="left"/>
              <w:rPr>
                <w:sz w:val="18"/>
                <w:szCs w:val="18"/>
                <w:lang w:val="es-ES_tradnl"/>
              </w:rPr>
            </w:pPr>
            <w:r w:rsidRPr="00140923">
              <w:rPr>
                <w:sz w:val="18"/>
                <w:szCs w:val="18"/>
                <w:lang w:val="es-ES_tradnl"/>
              </w:rPr>
              <w:t>Gama de la p.i.r.e. (dBW)</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E0E1729"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D9B4C3E"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79C8EA3F"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225" w:type="dxa"/>
            <w:tcBorders>
              <w:top w:val="single" w:sz="4" w:space="0" w:color="auto"/>
              <w:left w:val="single" w:sz="4" w:space="0" w:color="auto"/>
              <w:bottom w:val="single" w:sz="4" w:space="0" w:color="auto"/>
              <w:right w:val="single" w:sz="4" w:space="0" w:color="auto"/>
            </w:tcBorders>
            <w:hideMark/>
          </w:tcPr>
          <w:p w14:paraId="2BCF5951"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eastAsia="ja-JP"/>
              </w:rPr>
              <w:t>14,5</w:t>
            </w:r>
          </w:p>
        </w:tc>
        <w:tc>
          <w:tcPr>
            <w:tcW w:w="1343" w:type="dxa"/>
            <w:tcBorders>
              <w:top w:val="single" w:sz="4" w:space="0" w:color="auto"/>
              <w:left w:val="single" w:sz="4" w:space="0" w:color="auto"/>
              <w:bottom w:val="single" w:sz="4" w:space="0" w:color="auto"/>
              <w:right w:val="single" w:sz="4" w:space="0" w:color="auto"/>
            </w:tcBorders>
            <w:hideMark/>
          </w:tcPr>
          <w:p w14:paraId="4CA23797"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11,5</w:t>
            </w:r>
            <w:r w:rsidRPr="00140923">
              <w:rPr>
                <w:sz w:val="18"/>
                <w:szCs w:val="18"/>
                <w:lang w:val="es-ES_tradnl" w:eastAsia="ja-JP"/>
              </w:rPr>
              <w:t>…14,5</w:t>
            </w:r>
          </w:p>
        </w:tc>
        <w:tc>
          <w:tcPr>
            <w:tcW w:w="850" w:type="dxa"/>
            <w:tcBorders>
              <w:top w:val="single" w:sz="4" w:space="0" w:color="auto"/>
              <w:left w:val="single" w:sz="4" w:space="0" w:color="auto"/>
              <w:bottom w:val="single" w:sz="4" w:space="0" w:color="auto"/>
              <w:right w:val="single" w:sz="4" w:space="0" w:color="auto"/>
            </w:tcBorders>
            <w:hideMark/>
          </w:tcPr>
          <w:p w14:paraId="063B7A6B"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eastAsia="ja-JP"/>
              </w:rPr>
              <w:t>14,5</w:t>
            </w:r>
          </w:p>
        </w:tc>
        <w:tc>
          <w:tcPr>
            <w:tcW w:w="1276" w:type="dxa"/>
            <w:tcBorders>
              <w:top w:val="single" w:sz="4" w:space="0" w:color="auto"/>
              <w:left w:val="single" w:sz="4" w:space="0" w:color="auto"/>
              <w:bottom w:val="single" w:sz="4" w:space="0" w:color="auto"/>
              <w:right w:val="single" w:sz="4" w:space="0" w:color="auto"/>
            </w:tcBorders>
            <w:hideMark/>
          </w:tcPr>
          <w:p w14:paraId="32D41731" w14:textId="77777777" w:rsidR="002B37E9" w:rsidRPr="00140923" w:rsidRDefault="002B37E9" w:rsidP="00226764">
            <w:pPr>
              <w:pStyle w:val="Tabletext"/>
              <w:spacing w:before="0" w:after="0"/>
              <w:ind w:left="-57" w:right="-57"/>
              <w:jc w:val="center"/>
              <w:rPr>
                <w:sz w:val="18"/>
                <w:szCs w:val="18"/>
                <w:lang w:val="es-ES_tradnl"/>
              </w:rPr>
            </w:pPr>
            <w:r w:rsidRPr="00140923">
              <w:rPr>
                <w:sz w:val="18"/>
                <w:szCs w:val="18"/>
                <w:lang w:val="es-ES_tradnl"/>
              </w:rPr>
              <w:t>20,6</w:t>
            </w:r>
            <w:r w:rsidRPr="00140923">
              <w:rPr>
                <w:sz w:val="18"/>
                <w:szCs w:val="18"/>
                <w:lang w:val="es-ES_tradnl" w:eastAsia="ja-JP"/>
              </w:rPr>
              <w:t>…</w:t>
            </w:r>
            <w:r w:rsidRPr="00140923">
              <w:rPr>
                <w:sz w:val="18"/>
                <w:szCs w:val="18"/>
                <w:lang w:val="es-ES_tradnl"/>
              </w:rPr>
              <w:t>37,5</w:t>
            </w:r>
          </w:p>
        </w:tc>
        <w:tc>
          <w:tcPr>
            <w:tcW w:w="992" w:type="dxa"/>
            <w:tcBorders>
              <w:top w:val="single" w:sz="4" w:space="0" w:color="auto"/>
              <w:left w:val="single" w:sz="4" w:space="0" w:color="auto"/>
              <w:bottom w:val="single" w:sz="4" w:space="0" w:color="auto"/>
              <w:right w:val="single" w:sz="4" w:space="0" w:color="auto"/>
            </w:tcBorders>
            <w:hideMark/>
          </w:tcPr>
          <w:p w14:paraId="0D8A6EBF" w14:textId="77777777" w:rsidR="002B37E9" w:rsidRPr="00140923" w:rsidRDefault="002B37E9" w:rsidP="00226764">
            <w:pPr>
              <w:pStyle w:val="Tabletext"/>
              <w:spacing w:before="0" w:after="0"/>
              <w:ind w:left="-60"/>
              <w:jc w:val="center"/>
              <w:rPr>
                <w:sz w:val="18"/>
                <w:szCs w:val="18"/>
                <w:lang w:val="es-ES_tradnl"/>
              </w:rPr>
            </w:pPr>
            <w:r w:rsidRPr="00140923">
              <w:rPr>
                <w:sz w:val="18"/>
                <w:szCs w:val="18"/>
                <w:lang w:val="es-ES_tradnl"/>
              </w:rPr>
              <w:t>25,7…45,9</w:t>
            </w:r>
          </w:p>
        </w:tc>
        <w:tc>
          <w:tcPr>
            <w:tcW w:w="1134" w:type="dxa"/>
            <w:tcBorders>
              <w:top w:val="single" w:sz="4" w:space="0" w:color="auto"/>
              <w:left w:val="single" w:sz="4" w:space="0" w:color="auto"/>
              <w:bottom w:val="single" w:sz="4" w:space="0" w:color="auto"/>
              <w:right w:val="single" w:sz="4" w:space="0" w:color="auto"/>
            </w:tcBorders>
            <w:hideMark/>
          </w:tcPr>
          <w:p w14:paraId="12C754DB" w14:textId="77777777" w:rsidR="002B37E9" w:rsidRPr="00140923" w:rsidRDefault="002B37E9" w:rsidP="00226764">
            <w:pPr>
              <w:pStyle w:val="Tabletext"/>
              <w:spacing w:before="0" w:after="0"/>
              <w:ind w:left="-45"/>
              <w:jc w:val="center"/>
              <w:rPr>
                <w:sz w:val="18"/>
                <w:szCs w:val="18"/>
                <w:lang w:val="es-ES_tradnl" w:eastAsia="ja-JP"/>
              </w:rPr>
            </w:pPr>
            <w:r w:rsidRPr="00140923">
              <w:rPr>
                <w:sz w:val="18"/>
                <w:szCs w:val="18"/>
                <w:lang w:val="es-ES_tradnl"/>
              </w:rPr>
              <w:t>27,1…42,2</w:t>
            </w:r>
          </w:p>
        </w:tc>
        <w:tc>
          <w:tcPr>
            <w:tcW w:w="1423" w:type="dxa"/>
            <w:tcBorders>
              <w:top w:val="single" w:sz="4" w:space="0" w:color="auto"/>
              <w:left w:val="single" w:sz="4" w:space="0" w:color="auto"/>
              <w:bottom w:val="single" w:sz="4" w:space="0" w:color="auto"/>
              <w:right w:val="single" w:sz="4" w:space="0" w:color="auto"/>
            </w:tcBorders>
            <w:hideMark/>
          </w:tcPr>
          <w:p w14:paraId="040F0345" w14:textId="77777777" w:rsidR="002B37E9" w:rsidRPr="00140923" w:rsidRDefault="002B37E9" w:rsidP="00226764">
            <w:pPr>
              <w:pStyle w:val="Tabletext"/>
              <w:tabs>
                <w:tab w:val="clear" w:pos="851"/>
              </w:tabs>
              <w:spacing w:before="0" w:after="0"/>
              <w:ind w:left="-13" w:right="-59" w:hanging="28"/>
              <w:jc w:val="center"/>
              <w:rPr>
                <w:sz w:val="18"/>
                <w:szCs w:val="18"/>
                <w:lang w:val="es-ES_tradnl" w:eastAsia="ja-JP"/>
              </w:rPr>
            </w:pPr>
            <w:r w:rsidRPr="00140923">
              <w:rPr>
                <w:sz w:val="18"/>
                <w:szCs w:val="18"/>
                <w:lang w:val="es-ES_tradnl"/>
              </w:rPr>
              <w:t>15,8…48,8</w:t>
            </w:r>
          </w:p>
        </w:tc>
      </w:tr>
      <w:tr w:rsidR="002B37E9" w:rsidRPr="00140923" w14:paraId="79D81845"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D7705C" w14:textId="77777777" w:rsidR="002B37E9" w:rsidRPr="00140923" w:rsidRDefault="002B37E9" w:rsidP="00226764">
            <w:pPr>
              <w:pStyle w:val="Tabletext"/>
              <w:spacing w:before="30" w:after="30"/>
              <w:jc w:val="left"/>
              <w:rPr>
                <w:sz w:val="18"/>
                <w:szCs w:val="18"/>
                <w:lang w:val="es-ES_tradnl"/>
              </w:rPr>
            </w:pPr>
            <w:r w:rsidRPr="00140923">
              <w:rPr>
                <w:sz w:val="18"/>
                <w:szCs w:val="18"/>
                <w:lang w:val="es-ES_tradnl"/>
              </w:rPr>
              <w:t>Gama de densidad de p.i.r.e. (dBW/MHz)</w:t>
            </w:r>
            <w:r w:rsidRPr="00140923">
              <w:rPr>
                <w:sz w:val="18"/>
                <w:szCs w:val="18"/>
                <w:vertAlign w:val="superscript"/>
                <w:lang w:val="es-ES_tradnl" w:eastAsia="ja-JP"/>
              </w:rPr>
              <w:t>(1)</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9FE512B"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7C86A1"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5045CE8A"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225" w:type="dxa"/>
            <w:tcBorders>
              <w:top w:val="single" w:sz="4" w:space="0" w:color="auto"/>
              <w:left w:val="single" w:sz="4" w:space="0" w:color="auto"/>
              <w:bottom w:val="single" w:sz="4" w:space="0" w:color="auto"/>
              <w:right w:val="single" w:sz="4" w:space="0" w:color="auto"/>
            </w:tcBorders>
            <w:hideMark/>
          </w:tcPr>
          <w:p w14:paraId="21116E4F"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eastAsia="ja-JP"/>
              </w:rPr>
              <w:t>0,0…5,0</w:t>
            </w:r>
          </w:p>
        </w:tc>
        <w:tc>
          <w:tcPr>
            <w:tcW w:w="1343" w:type="dxa"/>
            <w:tcBorders>
              <w:top w:val="single" w:sz="4" w:space="0" w:color="auto"/>
              <w:left w:val="single" w:sz="4" w:space="0" w:color="auto"/>
              <w:bottom w:val="single" w:sz="4" w:space="0" w:color="auto"/>
              <w:right w:val="single" w:sz="4" w:space="0" w:color="auto"/>
            </w:tcBorders>
            <w:hideMark/>
          </w:tcPr>
          <w:p w14:paraId="34C18EF0"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rPr>
              <w:t>−</w:t>
            </w:r>
            <w:r w:rsidRPr="00140923">
              <w:rPr>
                <w:sz w:val="18"/>
                <w:szCs w:val="18"/>
                <w:lang w:val="es-ES_tradnl" w:eastAsia="ja-JP"/>
              </w:rPr>
              <w:t>3,7…5,0</w:t>
            </w:r>
          </w:p>
        </w:tc>
        <w:tc>
          <w:tcPr>
            <w:tcW w:w="850" w:type="dxa"/>
            <w:tcBorders>
              <w:top w:val="single" w:sz="4" w:space="0" w:color="auto"/>
              <w:left w:val="single" w:sz="4" w:space="0" w:color="auto"/>
              <w:bottom w:val="single" w:sz="4" w:space="0" w:color="auto"/>
              <w:right w:val="single" w:sz="4" w:space="0" w:color="auto"/>
            </w:tcBorders>
            <w:hideMark/>
          </w:tcPr>
          <w:p w14:paraId="0095568C"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eastAsia="ja-JP"/>
              </w:rPr>
              <w:t>0,0…5,0</w:t>
            </w:r>
          </w:p>
        </w:tc>
        <w:tc>
          <w:tcPr>
            <w:tcW w:w="1276" w:type="dxa"/>
            <w:tcBorders>
              <w:top w:val="single" w:sz="4" w:space="0" w:color="auto"/>
              <w:left w:val="single" w:sz="4" w:space="0" w:color="auto"/>
              <w:bottom w:val="single" w:sz="4" w:space="0" w:color="auto"/>
              <w:right w:val="single" w:sz="4" w:space="0" w:color="auto"/>
            </w:tcBorders>
            <w:hideMark/>
          </w:tcPr>
          <w:p w14:paraId="7C25E5AA" w14:textId="77777777" w:rsidR="002B37E9" w:rsidRPr="00140923" w:rsidRDefault="002B37E9" w:rsidP="00226764">
            <w:pPr>
              <w:pStyle w:val="Tabletext"/>
              <w:spacing w:before="0" w:after="0"/>
              <w:ind w:left="-113" w:right="-113"/>
              <w:jc w:val="center"/>
              <w:rPr>
                <w:sz w:val="18"/>
                <w:szCs w:val="18"/>
                <w:lang w:val="es-ES_tradnl" w:eastAsia="ja-JP"/>
              </w:rPr>
            </w:pPr>
            <w:r w:rsidRPr="00140923">
              <w:rPr>
                <w:sz w:val="18"/>
                <w:szCs w:val="18"/>
                <w:lang w:val="es-ES_tradnl"/>
              </w:rPr>
              <w:t>4,6</w:t>
            </w:r>
            <w:r w:rsidRPr="00140923">
              <w:rPr>
                <w:sz w:val="18"/>
                <w:szCs w:val="18"/>
                <w:lang w:val="es-ES_tradnl" w:eastAsia="ja-JP"/>
              </w:rPr>
              <w:t>…</w:t>
            </w:r>
            <w:r w:rsidRPr="00140923">
              <w:rPr>
                <w:sz w:val="18"/>
                <w:szCs w:val="18"/>
                <w:lang w:val="es-ES_tradnl"/>
              </w:rPr>
              <w:t>21,5</w:t>
            </w:r>
            <w:r w:rsidRPr="00140923">
              <w:rPr>
                <w:sz w:val="18"/>
                <w:szCs w:val="18"/>
                <w:lang w:val="es-ES_tradnl" w:eastAsia="ja-JP"/>
              </w:rPr>
              <w:br/>
              <w:t>(Moda 14,3)</w:t>
            </w:r>
          </w:p>
        </w:tc>
        <w:tc>
          <w:tcPr>
            <w:tcW w:w="992" w:type="dxa"/>
            <w:tcBorders>
              <w:top w:val="single" w:sz="4" w:space="0" w:color="auto"/>
              <w:left w:val="single" w:sz="4" w:space="0" w:color="auto"/>
              <w:bottom w:val="single" w:sz="4" w:space="0" w:color="auto"/>
              <w:right w:val="single" w:sz="4" w:space="0" w:color="auto"/>
            </w:tcBorders>
            <w:hideMark/>
          </w:tcPr>
          <w:p w14:paraId="54E89C6D" w14:textId="77777777" w:rsidR="002B37E9" w:rsidRPr="00140923" w:rsidRDefault="002B37E9" w:rsidP="00226764">
            <w:pPr>
              <w:pStyle w:val="Tabletext"/>
              <w:tabs>
                <w:tab w:val="clear" w:pos="851"/>
              </w:tabs>
              <w:spacing w:before="0" w:after="0"/>
              <w:ind w:left="-60" w:right="-68"/>
              <w:jc w:val="center"/>
              <w:rPr>
                <w:sz w:val="18"/>
                <w:szCs w:val="18"/>
                <w:lang w:val="es-ES_tradnl" w:eastAsia="ja-JP"/>
              </w:rPr>
            </w:pPr>
            <w:r w:rsidRPr="00140923">
              <w:rPr>
                <w:sz w:val="18"/>
                <w:szCs w:val="18"/>
                <w:lang w:val="es-ES_tradnl" w:eastAsia="ja-JP"/>
              </w:rPr>
              <w:t>10,9…31,1</w:t>
            </w:r>
            <w:r w:rsidRPr="00140923">
              <w:rPr>
                <w:sz w:val="18"/>
                <w:szCs w:val="18"/>
                <w:lang w:val="es-ES_tradnl" w:eastAsia="ja-JP"/>
              </w:rPr>
              <w:br/>
              <w:t>(Moda 26,9)</w:t>
            </w:r>
          </w:p>
        </w:tc>
        <w:tc>
          <w:tcPr>
            <w:tcW w:w="1134" w:type="dxa"/>
            <w:tcBorders>
              <w:top w:val="single" w:sz="4" w:space="0" w:color="auto"/>
              <w:left w:val="single" w:sz="4" w:space="0" w:color="auto"/>
              <w:bottom w:val="single" w:sz="4" w:space="0" w:color="auto"/>
              <w:right w:val="single" w:sz="4" w:space="0" w:color="auto"/>
            </w:tcBorders>
            <w:hideMark/>
          </w:tcPr>
          <w:p w14:paraId="7AC5D5BD" w14:textId="77777777" w:rsidR="002B37E9" w:rsidRPr="00140923" w:rsidRDefault="002B37E9" w:rsidP="00226764">
            <w:pPr>
              <w:pStyle w:val="Tabletext"/>
              <w:tabs>
                <w:tab w:val="clear" w:pos="284"/>
                <w:tab w:val="clear" w:pos="567"/>
                <w:tab w:val="clear" w:pos="851"/>
                <w:tab w:val="clear" w:pos="1134"/>
                <w:tab w:val="clear" w:pos="1418"/>
                <w:tab w:val="clear" w:pos="1701"/>
                <w:tab w:val="clear" w:pos="1985"/>
              </w:tabs>
              <w:spacing w:before="0" w:after="0"/>
              <w:ind w:left="-60" w:right="-52"/>
              <w:jc w:val="center"/>
              <w:rPr>
                <w:sz w:val="18"/>
                <w:szCs w:val="18"/>
                <w:lang w:val="es-ES_tradnl" w:eastAsia="ja-JP"/>
              </w:rPr>
            </w:pPr>
            <w:r w:rsidRPr="00140923">
              <w:rPr>
                <w:sz w:val="18"/>
                <w:szCs w:val="18"/>
                <w:lang w:val="es-ES_tradnl"/>
              </w:rPr>
              <w:t xml:space="preserve">14,1…29,1 </w:t>
            </w:r>
            <w:r w:rsidRPr="00140923">
              <w:rPr>
                <w:sz w:val="18"/>
                <w:szCs w:val="18"/>
                <w:lang w:val="es-ES_tradnl"/>
              </w:rPr>
              <w:br/>
              <w:t>(Moda 21,7)</w:t>
            </w:r>
          </w:p>
        </w:tc>
        <w:tc>
          <w:tcPr>
            <w:tcW w:w="1423" w:type="dxa"/>
            <w:tcBorders>
              <w:top w:val="single" w:sz="4" w:space="0" w:color="auto"/>
              <w:left w:val="single" w:sz="4" w:space="0" w:color="auto"/>
              <w:bottom w:val="single" w:sz="4" w:space="0" w:color="auto"/>
              <w:right w:val="single" w:sz="4" w:space="0" w:color="auto"/>
            </w:tcBorders>
            <w:hideMark/>
          </w:tcPr>
          <w:p w14:paraId="12A5B331" w14:textId="77777777" w:rsidR="002B37E9" w:rsidRPr="00140923" w:rsidRDefault="002B37E9" w:rsidP="00226764">
            <w:pPr>
              <w:pStyle w:val="Tabletext"/>
              <w:tabs>
                <w:tab w:val="clear" w:pos="284"/>
                <w:tab w:val="clear" w:pos="567"/>
                <w:tab w:val="clear" w:pos="851"/>
                <w:tab w:val="clear" w:pos="1134"/>
                <w:tab w:val="clear" w:pos="1418"/>
                <w:tab w:val="clear" w:pos="1701"/>
                <w:tab w:val="clear" w:pos="1985"/>
              </w:tabs>
              <w:spacing w:before="0" w:after="0"/>
              <w:ind w:left="-57" w:right="-113"/>
              <w:jc w:val="center"/>
              <w:rPr>
                <w:sz w:val="18"/>
                <w:szCs w:val="18"/>
                <w:lang w:val="es-ES_tradnl" w:eastAsia="ja-JP"/>
              </w:rPr>
            </w:pPr>
            <w:r w:rsidRPr="00140923">
              <w:rPr>
                <w:sz w:val="18"/>
                <w:szCs w:val="18"/>
                <w:lang w:val="es-ES_tradnl"/>
              </w:rPr>
              <w:t>−0,2…32,7</w:t>
            </w:r>
            <w:r w:rsidRPr="00140923">
              <w:rPr>
                <w:sz w:val="18"/>
                <w:szCs w:val="18"/>
                <w:lang w:val="es-ES_tradnl"/>
              </w:rPr>
              <w:br/>
              <w:t>(Moda </w:t>
            </w:r>
            <w:r w:rsidRPr="00140923">
              <w:rPr>
                <w:sz w:val="18"/>
                <w:szCs w:val="18"/>
                <w:lang w:val="es-ES_tradnl" w:eastAsia="ja-JP"/>
              </w:rPr>
              <w:t xml:space="preserve">8,2… </w:t>
            </w:r>
            <w:r w:rsidRPr="00140923">
              <w:rPr>
                <w:sz w:val="18"/>
                <w:szCs w:val="18"/>
                <w:lang w:val="es-ES_tradnl"/>
              </w:rPr>
              <w:t>24,2)</w:t>
            </w:r>
          </w:p>
        </w:tc>
      </w:tr>
      <w:tr w:rsidR="002B37E9" w:rsidRPr="00140923" w14:paraId="3A7C4667"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27F51E" w14:textId="77777777" w:rsidR="002B37E9" w:rsidRPr="00140923" w:rsidRDefault="002B37E9" w:rsidP="00226764">
            <w:pPr>
              <w:pStyle w:val="Tabletext"/>
              <w:spacing w:before="30" w:after="30"/>
              <w:jc w:val="left"/>
              <w:rPr>
                <w:spacing w:val="-2"/>
                <w:sz w:val="18"/>
                <w:szCs w:val="18"/>
                <w:lang w:val="es-ES_tradnl"/>
              </w:rPr>
            </w:pPr>
            <w:r w:rsidRPr="00140923">
              <w:rPr>
                <w:spacing w:val="-2"/>
                <w:sz w:val="18"/>
                <w:szCs w:val="18"/>
                <w:lang w:val="es-ES_tradnl"/>
              </w:rPr>
              <w:t xml:space="preserve">Factor de ruido típico del receptor (dB) </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1F36907"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10DF06"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0C48CCD7"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225" w:type="dxa"/>
            <w:tcBorders>
              <w:top w:val="single" w:sz="4" w:space="0" w:color="auto"/>
              <w:left w:val="single" w:sz="4" w:space="0" w:color="auto"/>
              <w:bottom w:val="single" w:sz="4" w:space="0" w:color="auto"/>
              <w:right w:val="single" w:sz="4" w:space="0" w:color="auto"/>
            </w:tcBorders>
            <w:hideMark/>
          </w:tcPr>
          <w:p w14:paraId="5FE70E9F"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rPr>
              <w:t>6,5</w:t>
            </w:r>
          </w:p>
        </w:tc>
        <w:tc>
          <w:tcPr>
            <w:tcW w:w="1343" w:type="dxa"/>
            <w:tcBorders>
              <w:top w:val="single" w:sz="4" w:space="0" w:color="auto"/>
              <w:left w:val="single" w:sz="4" w:space="0" w:color="auto"/>
              <w:bottom w:val="single" w:sz="4" w:space="0" w:color="auto"/>
              <w:right w:val="single" w:sz="4" w:space="0" w:color="auto"/>
            </w:tcBorders>
            <w:hideMark/>
          </w:tcPr>
          <w:p w14:paraId="3E28E4A5"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eastAsia="ja-JP"/>
              </w:rPr>
              <w:t>6,5…</w:t>
            </w:r>
            <w:r w:rsidRPr="00140923">
              <w:rPr>
                <w:sz w:val="18"/>
                <w:szCs w:val="18"/>
                <w:lang w:val="es-ES_tradnl"/>
              </w:rPr>
              <w:t>7</w:t>
            </w:r>
          </w:p>
        </w:tc>
        <w:tc>
          <w:tcPr>
            <w:tcW w:w="850" w:type="dxa"/>
            <w:tcBorders>
              <w:top w:val="single" w:sz="4" w:space="0" w:color="auto"/>
              <w:left w:val="single" w:sz="4" w:space="0" w:color="auto"/>
              <w:bottom w:val="single" w:sz="4" w:space="0" w:color="auto"/>
              <w:right w:val="single" w:sz="4" w:space="0" w:color="auto"/>
            </w:tcBorders>
            <w:hideMark/>
          </w:tcPr>
          <w:p w14:paraId="41D86396"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rPr>
              <w:t>6,5</w:t>
            </w:r>
          </w:p>
        </w:tc>
        <w:tc>
          <w:tcPr>
            <w:tcW w:w="1276" w:type="dxa"/>
            <w:tcBorders>
              <w:top w:val="single" w:sz="4" w:space="0" w:color="auto"/>
              <w:left w:val="single" w:sz="4" w:space="0" w:color="auto"/>
              <w:bottom w:val="single" w:sz="4" w:space="0" w:color="auto"/>
              <w:right w:val="single" w:sz="4" w:space="0" w:color="auto"/>
            </w:tcBorders>
            <w:hideMark/>
          </w:tcPr>
          <w:p w14:paraId="25713C93"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5</w:t>
            </w:r>
          </w:p>
        </w:tc>
        <w:tc>
          <w:tcPr>
            <w:tcW w:w="992" w:type="dxa"/>
            <w:tcBorders>
              <w:top w:val="single" w:sz="4" w:space="0" w:color="auto"/>
              <w:left w:val="single" w:sz="4" w:space="0" w:color="auto"/>
              <w:bottom w:val="single" w:sz="4" w:space="0" w:color="auto"/>
              <w:right w:val="single" w:sz="4" w:space="0" w:color="auto"/>
            </w:tcBorders>
            <w:hideMark/>
          </w:tcPr>
          <w:p w14:paraId="042D8708" w14:textId="77777777" w:rsidR="002B37E9" w:rsidRPr="00140923" w:rsidRDefault="002B37E9" w:rsidP="00226764">
            <w:pPr>
              <w:pStyle w:val="Tabletext"/>
              <w:spacing w:before="0" w:after="0"/>
              <w:ind w:left="-60"/>
              <w:jc w:val="center"/>
              <w:rPr>
                <w:sz w:val="18"/>
                <w:szCs w:val="18"/>
                <w:lang w:val="es-ES_tradnl" w:eastAsia="ja-JP"/>
              </w:rPr>
            </w:pPr>
            <w:r w:rsidRPr="00140923">
              <w:rPr>
                <w:sz w:val="18"/>
                <w:szCs w:val="18"/>
                <w:lang w:val="es-ES_tradnl" w:eastAsia="ja-JP"/>
              </w:rPr>
              <w:t>4,0</w:t>
            </w:r>
          </w:p>
        </w:tc>
        <w:tc>
          <w:tcPr>
            <w:tcW w:w="1134" w:type="dxa"/>
            <w:tcBorders>
              <w:top w:val="single" w:sz="4" w:space="0" w:color="auto"/>
              <w:left w:val="single" w:sz="4" w:space="0" w:color="auto"/>
              <w:bottom w:val="single" w:sz="4" w:space="0" w:color="auto"/>
              <w:right w:val="single" w:sz="4" w:space="0" w:color="auto"/>
            </w:tcBorders>
            <w:hideMark/>
          </w:tcPr>
          <w:p w14:paraId="61A1F726" w14:textId="77777777" w:rsidR="002B37E9" w:rsidRPr="00140923" w:rsidRDefault="002B37E9" w:rsidP="00226764">
            <w:pPr>
              <w:pStyle w:val="Tabletext"/>
              <w:spacing w:before="0" w:after="0"/>
              <w:ind w:left="-45"/>
              <w:jc w:val="center"/>
              <w:rPr>
                <w:sz w:val="18"/>
                <w:szCs w:val="18"/>
                <w:lang w:val="es-ES_tradnl" w:eastAsia="ja-JP"/>
              </w:rPr>
            </w:pPr>
            <w:r w:rsidRPr="00140923">
              <w:rPr>
                <w:sz w:val="18"/>
                <w:szCs w:val="18"/>
                <w:lang w:val="es-ES_tradnl" w:eastAsia="ja-JP"/>
              </w:rPr>
              <w:t>3,5</w:t>
            </w:r>
          </w:p>
        </w:tc>
        <w:tc>
          <w:tcPr>
            <w:tcW w:w="1423" w:type="dxa"/>
            <w:tcBorders>
              <w:top w:val="single" w:sz="4" w:space="0" w:color="auto"/>
              <w:left w:val="single" w:sz="4" w:space="0" w:color="auto"/>
              <w:bottom w:val="single" w:sz="4" w:space="0" w:color="auto"/>
              <w:right w:val="single" w:sz="4" w:space="0" w:color="auto"/>
            </w:tcBorders>
            <w:hideMark/>
          </w:tcPr>
          <w:p w14:paraId="1D936451" w14:textId="0CCC487C"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3,5</w:t>
            </w:r>
          </w:p>
        </w:tc>
      </w:tr>
      <w:tr w:rsidR="002B37E9" w:rsidRPr="00140923" w14:paraId="7066026B"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A5A220" w14:textId="77777777" w:rsidR="002B37E9" w:rsidRPr="00140923" w:rsidRDefault="002B37E9" w:rsidP="00226764">
            <w:pPr>
              <w:pStyle w:val="Tabletext"/>
              <w:spacing w:before="30" w:after="30"/>
              <w:jc w:val="left"/>
              <w:rPr>
                <w:sz w:val="18"/>
                <w:szCs w:val="18"/>
                <w:lang w:val="es-ES_tradnl"/>
              </w:rPr>
            </w:pPr>
            <w:r w:rsidRPr="00140923">
              <w:rPr>
                <w:sz w:val="18"/>
                <w:szCs w:val="18"/>
                <w:lang w:val="es-ES_tradnl"/>
              </w:rPr>
              <w:t xml:space="preserve">Densidad de potencia de ruido típica del receptor </w:t>
            </w:r>
            <w:r w:rsidRPr="00140923">
              <w:rPr>
                <w:sz w:val="18"/>
                <w:szCs w:val="18"/>
                <w:lang w:val="es-ES_tradnl" w:eastAsia="ja-JP"/>
              </w:rPr>
              <w:t xml:space="preserve">(= </w:t>
            </w: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eastAsia="ja-JP"/>
              </w:rPr>
              <w:t>)</w:t>
            </w:r>
            <w:r w:rsidRPr="00140923">
              <w:rPr>
                <w:sz w:val="18"/>
                <w:szCs w:val="18"/>
                <w:lang w:val="es-ES_tradnl"/>
              </w:rPr>
              <w:t xml:space="preserve"> (dBW/MHz)</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949951F"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EA8486"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4DEB06B5"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225" w:type="dxa"/>
            <w:tcBorders>
              <w:top w:val="single" w:sz="4" w:space="0" w:color="auto"/>
              <w:left w:val="single" w:sz="4" w:space="0" w:color="auto"/>
              <w:bottom w:val="single" w:sz="4" w:space="0" w:color="auto"/>
              <w:right w:val="single" w:sz="4" w:space="0" w:color="auto"/>
            </w:tcBorders>
            <w:hideMark/>
          </w:tcPr>
          <w:p w14:paraId="4C6D3B86"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rPr>
              <w:t>−137,5</w:t>
            </w:r>
          </w:p>
        </w:tc>
        <w:tc>
          <w:tcPr>
            <w:tcW w:w="1343" w:type="dxa"/>
            <w:tcBorders>
              <w:top w:val="single" w:sz="4" w:space="0" w:color="auto"/>
              <w:left w:val="single" w:sz="4" w:space="0" w:color="auto"/>
              <w:bottom w:val="single" w:sz="4" w:space="0" w:color="auto"/>
              <w:right w:val="single" w:sz="4" w:space="0" w:color="auto"/>
            </w:tcBorders>
            <w:hideMark/>
          </w:tcPr>
          <w:p w14:paraId="1591617E"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w:t>
            </w:r>
            <w:r w:rsidRPr="00140923">
              <w:rPr>
                <w:sz w:val="18"/>
                <w:szCs w:val="18"/>
                <w:lang w:val="es-ES_tradnl" w:eastAsia="ja-JP"/>
              </w:rPr>
              <w:t>137,5…</w:t>
            </w:r>
            <w:r w:rsidRPr="00140923">
              <w:rPr>
                <w:sz w:val="18"/>
                <w:szCs w:val="18"/>
                <w:lang w:val="es-ES_tradnl"/>
              </w:rPr>
              <w:t>−137</w:t>
            </w:r>
          </w:p>
        </w:tc>
        <w:tc>
          <w:tcPr>
            <w:tcW w:w="850" w:type="dxa"/>
            <w:tcBorders>
              <w:top w:val="single" w:sz="4" w:space="0" w:color="auto"/>
              <w:left w:val="single" w:sz="4" w:space="0" w:color="auto"/>
              <w:bottom w:val="single" w:sz="4" w:space="0" w:color="auto"/>
              <w:right w:val="single" w:sz="4" w:space="0" w:color="auto"/>
            </w:tcBorders>
            <w:hideMark/>
          </w:tcPr>
          <w:p w14:paraId="0555E223"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rPr>
              <w:t>−137,5</w:t>
            </w:r>
          </w:p>
        </w:tc>
        <w:tc>
          <w:tcPr>
            <w:tcW w:w="1276" w:type="dxa"/>
            <w:tcBorders>
              <w:top w:val="single" w:sz="4" w:space="0" w:color="auto"/>
              <w:left w:val="single" w:sz="4" w:space="0" w:color="auto"/>
              <w:bottom w:val="single" w:sz="4" w:space="0" w:color="auto"/>
              <w:right w:val="single" w:sz="4" w:space="0" w:color="auto"/>
            </w:tcBorders>
            <w:hideMark/>
          </w:tcPr>
          <w:p w14:paraId="4AD11781"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−139</w:t>
            </w:r>
          </w:p>
        </w:tc>
        <w:tc>
          <w:tcPr>
            <w:tcW w:w="992" w:type="dxa"/>
            <w:tcBorders>
              <w:top w:val="single" w:sz="4" w:space="0" w:color="auto"/>
              <w:left w:val="single" w:sz="4" w:space="0" w:color="auto"/>
              <w:bottom w:val="single" w:sz="4" w:space="0" w:color="auto"/>
              <w:right w:val="single" w:sz="4" w:space="0" w:color="auto"/>
            </w:tcBorders>
            <w:hideMark/>
          </w:tcPr>
          <w:p w14:paraId="527F91F2" w14:textId="77777777" w:rsidR="002B37E9" w:rsidRPr="00140923" w:rsidRDefault="002B37E9" w:rsidP="00226764">
            <w:pPr>
              <w:pStyle w:val="Tabletext"/>
              <w:spacing w:before="0" w:after="0"/>
              <w:ind w:left="-60"/>
              <w:jc w:val="center"/>
              <w:rPr>
                <w:sz w:val="18"/>
                <w:szCs w:val="18"/>
                <w:lang w:val="es-ES_tradnl" w:eastAsia="ja-JP"/>
              </w:rPr>
            </w:pPr>
            <w:r w:rsidRPr="00140923">
              <w:rPr>
                <w:sz w:val="18"/>
                <w:szCs w:val="18"/>
                <w:lang w:val="es-ES_tradnl" w:eastAsia="ja-JP"/>
              </w:rPr>
              <w:t>−140</w:t>
            </w:r>
          </w:p>
        </w:tc>
        <w:tc>
          <w:tcPr>
            <w:tcW w:w="1134" w:type="dxa"/>
            <w:tcBorders>
              <w:top w:val="single" w:sz="4" w:space="0" w:color="auto"/>
              <w:left w:val="single" w:sz="4" w:space="0" w:color="auto"/>
              <w:bottom w:val="single" w:sz="4" w:space="0" w:color="auto"/>
              <w:right w:val="single" w:sz="4" w:space="0" w:color="auto"/>
            </w:tcBorders>
            <w:hideMark/>
          </w:tcPr>
          <w:p w14:paraId="030EC1D7" w14:textId="2D51786C" w:rsidR="002B37E9" w:rsidRPr="00140923" w:rsidRDefault="002B37E9" w:rsidP="00226764">
            <w:pPr>
              <w:pStyle w:val="Tabletext"/>
              <w:spacing w:before="0" w:after="0"/>
              <w:ind w:left="-45"/>
              <w:jc w:val="center"/>
              <w:rPr>
                <w:sz w:val="18"/>
                <w:szCs w:val="18"/>
                <w:lang w:val="es-ES_tradnl" w:eastAsia="ja-JP"/>
              </w:rPr>
            </w:pPr>
            <w:r w:rsidRPr="00140923">
              <w:rPr>
                <w:sz w:val="18"/>
                <w:szCs w:val="18"/>
                <w:lang w:val="es-ES_tradnl"/>
              </w:rPr>
              <w:t>−140,5</w:t>
            </w:r>
          </w:p>
        </w:tc>
        <w:tc>
          <w:tcPr>
            <w:tcW w:w="1423" w:type="dxa"/>
            <w:tcBorders>
              <w:top w:val="single" w:sz="4" w:space="0" w:color="auto"/>
              <w:left w:val="single" w:sz="4" w:space="0" w:color="auto"/>
              <w:bottom w:val="single" w:sz="4" w:space="0" w:color="auto"/>
              <w:right w:val="single" w:sz="4" w:space="0" w:color="auto"/>
            </w:tcBorders>
            <w:hideMark/>
          </w:tcPr>
          <w:p w14:paraId="682F0F2C" w14:textId="3F37C161"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−140,5</w:t>
            </w:r>
          </w:p>
        </w:tc>
      </w:tr>
      <w:tr w:rsidR="002B37E9" w:rsidRPr="00140923" w14:paraId="56F35C31"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477C83F" w14:textId="783B47B6" w:rsidR="002B37E9" w:rsidRPr="00140923" w:rsidRDefault="002B37E9" w:rsidP="00226764">
            <w:pPr>
              <w:pStyle w:val="Tabletext"/>
              <w:spacing w:before="30" w:after="30"/>
              <w:jc w:val="left"/>
              <w:rPr>
                <w:sz w:val="18"/>
                <w:szCs w:val="18"/>
                <w:lang w:val="es-ES_tradnl"/>
              </w:rPr>
            </w:pPr>
            <w:r w:rsidRPr="00140923">
              <w:rPr>
                <w:sz w:val="18"/>
                <w:szCs w:val="18"/>
                <w:lang w:val="es-ES_tradnl"/>
              </w:rPr>
              <w:t>Nivel de entrada normalizado del receptor para una BER de 1 </w:t>
            </w:r>
            <w:r w:rsidR="00B233F6" w:rsidRPr="00B233F6">
              <w:rPr>
                <w:sz w:val="18"/>
                <w:szCs w:val="18"/>
                <w:lang w:val="es-ES_tradnl"/>
              </w:rPr>
              <w:t>×</w:t>
            </w:r>
            <w:r w:rsidRPr="00140923">
              <w:rPr>
                <w:sz w:val="18"/>
                <w:szCs w:val="18"/>
                <w:lang w:val="es-ES_tradnl"/>
              </w:rPr>
              <w:t> 10</w:t>
            </w:r>
            <w:r w:rsidR="00A941C1" w:rsidRPr="00A941C1">
              <w:rPr>
                <w:sz w:val="18"/>
                <w:szCs w:val="18"/>
                <w:vertAlign w:val="superscript"/>
                <w:lang w:val="es-ES_tradnl"/>
              </w:rPr>
              <w:t>−</w:t>
            </w:r>
            <w:r w:rsidRPr="00140923">
              <w:rPr>
                <w:sz w:val="18"/>
                <w:szCs w:val="18"/>
                <w:vertAlign w:val="superscript"/>
                <w:lang w:val="es-ES_tradnl"/>
              </w:rPr>
              <w:t>6</w:t>
            </w:r>
            <w:r w:rsidRPr="00140923">
              <w:rPr>
                <w:sz w:val="18"/>
                <w:szCs w:val="18"/>
                <w:lang w:val="es-ES_tradnl"/>
              </w:rPr>
              <w:t xml:space="preserve"> (dBW/MHz) </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249D8A6"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609483F"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5D2580F6"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18"/>
                <w:szCs w:val="18"/>
                <w:lang w:val="es-ES_tradnl" w:eastAsia="ja-JP"/>
              </w:rPr>
            </w:pPr>
          </w:p>
        </w:tc>
        <w:tc>
          <w:tcPr>
            <w:tcW w:w="1225" w:type="dxa"/>
            <w:tcBorders>
              <w:top w:val="single" w:sz="4" w:space="0" w:color="auto"/>
              <w:left w:val="single" w:sz="4" w:space="0" w:color="auto"/>
              <w:bottom w:val="single" w:sz="4" w:space="0" w:color="auto"/>
              <w:right w:val="single" w:sz="4" w:space="0" w:color="auto"/>
            </w:tcBorders>
            <w:hideMark/>
          </w:tcPr>
          <w:p w14:paraId="02D142C0" w14:textId="77777777" w:rsidR="002B37E9" w:rsidRPr="00140923" w:rsidRDefault="002B37E9" w:rsidP="00226764">
            <w:pPr>
              <w:pStyle w:val="Tabletext"/>
              <w:spacing w:before="0" w:after="0"/>
              <w:jc w:val="center"/>
              <w:rPr>
                <w:sz w:val="18"/>
                <w:szCs w:val="18"/>
                <w:lang w:val="es-ES_tradnl"/>
              </w:rPr>
            </w:pPr>
            <w:r w:rsidRPr="00140923">
              <w:rPr>
                <w:sz w:val="18"/>
                <w:szCs w:val="18"/>
                <w:lang w:val="es-ES_tradnl"/>
              </w:rPr>
              <w:t>−</w:t>
            </w:r>
            <w:r w:rsidRPr="00140923">
              <w:rPr>
                <w:sz w:val="18"/>
                <w:szCs w:val="18"/>
                <w:lang w:val="es-ES_tradnl" w:eastAsia="ja-JP"/>
              </w:rPr>
              <w:t>104,9</w:t>
            </w:r>
          </w:p>
        </w:tc>
        <w:tc>
          <w:tcPr>
            <w:tcW w:w="1343" w:type="dxa"/>
            <w:tcBorders>
              <w:top w:val="single" w:sz="4" w:space="0" w:color="auto"/>
              <w:left w:val="single" w:sz="4" w:space="0" w:color="auto"/>
              <w:bottom w:val="single" w:sz="4" w:space="0" w:color="auto"/>
              <w:right w:val="single" w:sz="4" w:space="0" w:color="auto"/>
            </w:tcBorders>
            <w:hideMark/>
          </w:tcPr>
          <w:p w14:paraId="30FA6A03" w14:textId="63444B1B" w:rsidR="002B37E9" w:rsidRPr="00140923" w:rsidRDefault="002B37E9" w:rsidP="00226764">
            <w:pPr>
              <w:pStyle w:val="Tabletext"/>
              <w:spacing w:before="0" w:after="0"/>
              <w:jc w:val="center"/>
              <w:rPr>
                <w:sz w:val="18"/>
                <w:szCs w:val="18"/>
                <w:lang w:val="es-ES_tradnl"/>
              </w:rPr>
            </w:pPr>
            <w:r w:rsidRPr="00140923">
              <w:rPr>
                <w:sz w:val="18"/>
                <w:szCs w:val="18"/>
                <w:lang w:val="es-ES_tradnl"/>
              </w:rPr>
              <w:t>−</w:t>
            </w:r>
            <w:r w:rsidRPr="00140923">
              <w:rPr>
                <w:sz w:val="18"/>
                <w:szCs w:val="18"/>
                <w:lang w:val="es-ES_tradnl" w:eastAsia="ja-JP"/>
              </w:rPr>
              <w:t>117,0…</w:t>
            </w:r>
            <w:r w:rsidR="00B233F6">
              <w:rPr>
                <w:sz w:val="18"/>
                <w:szCs w:val="18"/>
                <w:lang w:val="es-ES_tradnl" w:eastAsia="ja-JP"/>
              </w:rPr>
              <w:br/>
            </w:r>
            <w:r w:rsidRPr="00140923">
              <w:rPr>
                <w:sz w:val="18"/>
                <w:szCs w:val="18"/>
                <w:lang w:val="es-ES_tradnl"/>
              </w:rPr>
              <w:t>−</w:t>
            </w:r>
            <w:r w:rsidRPr="00140923">
              <w:rPr>
                <w:sz w:val="18"/>
                <w:szCs w:val="18"/>
                <w:lang w:val="es-ES_tradnl" w:eastAsia="ja-JP"/>
              </w:rPr>
              <w:t>116,5</w:t>
            </w:r>
          </w:p>
        </w:tc>
        <w:tc>
          <w:tcPr>
            <w:tcW w:w="850" w:type="dxa"/>
            <w:tcBorders>
              <w:top w:val="single" w:sz="4" w:space="0" w:color="auto"/>
              <w:left w:val="single" w:sz="4" w:space="0" w:color="auto"/>
              <w:bottom w:val="single" w:sz="4" w:space="0" w:color="auto"/>
              <w:right w:val="single" w:sz="4" w:space="0" w:color="auto"/>
            </w:tcBorders>
            <w:hideMark/>
          </w:tcPr>
          <w:p w14:paraId="11C1B9A8"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w:t>
            </w:r>
            <w:r w:rsidRPr="00140923">
              <w:rPr>
                <w:sz w:val="18"/>
                <w:szCs w:val="18"/>
                <w:lang w:val="es-ES_tradnl" w:eastAsia="ja-JP"/>
              </w:rPr>
              <w:t>104,9</w:t>
            </w:r>
          </w:p>
        </w:tc>
        <w:tc>
          <w:tcPr>
            <w:tcW w:w="1276" w:type="dxa"/>
            <w:tcBorders>
              <w:top w:val="single" w:sz="4" w:space="0" w:color="auto"/>
              <w:left w:val="single" w:sz="4" w:space="0" w:color="auto"/>
              <w:bottom w:val="single" w:sz="4" w:space="0" w:color="auto"/>
              <w:right w:val="single" w:sz="4" w:space="0" w:color="auto"/>
            </w:tcBorders>
            <w:hideMark/>
          </w:tcPr>
          <w:p w14:paraId="4FFC0DDD"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−112,5</w:t>
            </w:r>
          </w:p>
        </w:tc>
        <w:tc>
          <w:tcPr>
            <w:tcW w:w="992" w:type="dxa"/>
            <w:tcBorders>
              <w:top w:val="single" w:sz="4" w:space="0" w:color="auto"/>
              <w:left w:val="single" w:sz="4" w:space="0" w:color="auto"/>
              <w:bottom w:val="single" w:sz="4" w:space="0" w:color="auto"/>
              <w:right w:val="single" w:sz="4" w:space="0" w:color="auto"/>
            </w:tcBorders>
            <w:hideMark/>
          </w:tcPr>
          <w:p w14:paraId="13ACBB18" w14:textId="77777777" w:rsidR="002B37E9" w:rsidRPr="00140923" w:rsidRDefault="002B37E9" w:rsidP="00226764">
            <w:pPr>
              <w:pStyle w:val="Tabletext"/>
              <w:spacing w:before="0" w:after="0"/>
              <w:ind w:left="-60"/>
              <w:jc w:val="center"/>
              <w:rPr>
                <w:sz w:val="18"/>
                <w:szCs w:val="18"/>
                <w:lang w:val="es-ES_tradnl" w:eastAsia="ja-JP"/>
              </w:rPr>
            </w:pPr>
            <w:r w:rsidRPr="00140923">
              <w:rPr>
                <w:sz w:val="18"/>
                <w:szCs w:val="18"/>
                <w:lang w:val="es-ES_tradnl" w:eastAsia="ja-JP"/>
              </w:rPr>
              <w:t>−110,5</w:t>
            </w:r>
          </w:p>
        </w:tc>
        <w:tc>
          <w:tcPr>
            <w:tcW w:w="1134" w:type="dxa"/>
            <w:tcBorders>
              <w:top w:val="single" w:sz="4" w:space="0" w:color="auto"/>
              <w:left w:val="single" w:sz="4" w:space="0" w:color="auto"/>
              <w:bottom w:val="single" w:sz="4" w:space="0" w:color="auto"/>
              <w:right w:val="single" w:sz="4" w:space="0" w:color="auto"/>
            </w:tcBorders>
            <w:hideMark/>
          </w:tcPr>
          <w:p w14:paraId="64923918" w14:textId="6B3B9A48" w:rsidR="002B37E9" w:rsidRPr="00140923" w:rsidRDefault="002B37E9" w:rsidP="00226764">
            <w:pPr>
              <w:pStyle w:val="Tabletext"/>
              <w:spacing w:before="0" w:after="0"/>
              <w:ind w:left="-45"/>
              <w:jc w:val="center"/>
              <w:rPr>
                <w:sz w:val="18"/>
                <w:szCs w:val="18"/>
                <w:lang w:val="es-ES_tradnl" w:eastAsia="ja-JP"/>
              </w:rPr>
            </w:pPr>
            <w:r w:rsidRPr="00140923">
              <w:rPr>
                <w:sz w:val="18"/>
                <w:szCs w:val="18"/>
                <w:lang w:val="es-ES_tradnl"/>
              </w:rPr>
              <w:t>−127</w:t>
            </w:r>
          </w:p>
        </w:tc>
        <w:tc>
          <w:tcPr>
            <w:tcW w:w="1423" w:type="dxa"/>
            <w:tcBorders>
              <w:top w:val="single" w:sz="4" w:space="0" w:color="auto"/>
              <w:left w:val="single" w:sz="4" w:space="0" w:color="auto"/>
              <w:bottom w:val="single" w:sz="4" w:space="0" w:color="auto"/>
              <w:right w:val="single" w:sz="4" w:space="0" w:color="auto"/>
            </w:tcBorders>
            <w:hideMark/>
          </w:tcPr>
          <w:p w14:paraId="58A54275" w14:textId="1A95DAFA" w:rsidR="002B37E9" w:rsidRPr="00140923" w:rsidRDefault="002B37E9" w:rsidP="00226764">
            <w:pPr>
              <w:pStyle w:val="Tabletext"/>
              <w:spacing w:before="0" w:after="0"/>
              <w:ind w:left="-57" w:right="-57"/>
              <w:jc w:val="center"/>
              <w:rPr>
                <w:sz w:val="18"/>
                <w:szCs w:val="18"/>
                <w:lang w:val="es-ES_tradnl" w:eastAsia="ja-JP"/>
              </w:rPr>
            </w:pPr>
            <w:r w:rsidRPr="00140923">
              <w:rPr>
                <w:sz w:val="18"/>
                <w:szCs w:val="18"/>
                <w:lang w:val="es-ES_tradnl" w:eastAsia="ja-JP"/>
              </w:rPr>
              <w:t>−114</w:t>
            </w:r>
          </w:p>
        </w:tc>
      </w:tr>
      <w:tr w:rsidR="002B37E9" w:rsidRPr="00140923" w14:paraId="5376B60D" w14:textId="77777777" w:rsidTr="00480606">
        <w:trPr>
          <w:jc w:val="center"/>
        </w:trPr>
        <w:tc>
          <w:tcPr>
            <w:tcW w:w="3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24ADE6" w14:textId="77777777" w:rsidR="002B37E9" w:rsidRPr="00140923" w:rsidRDefault="002B37E9" w:rsidP="00226764">
            <w:pPr>
              <w:pStyle w:val="Tabletext"/>
              <w:spacing w:before="30" w:after="30"/>
              <w:jc w:val="left"/>
              <w:rPr>
                <w:sz w:val="18"/>
                <w:szCs w:val="18"/>
                <w:lang w:val="es-ES_tradnl" w:eastAsia="ja-JP"/>
              </w:rPr>
            </w:pPr>
            <w:r w:rsidRPr="00140923">
              <w:rPr>
                <w:sz w:val="18"/>
                <w:szCs w:val="18"/>
                <w:lang w:val="es-ES_tradnl"/>
              </w:rPr>
              <w:t>Densidad de potencia de interferencia a largo plazo nominal (dBW/MHz)</w:t>
            </w:r>
            <w:r w:rsidRPr="00140923">
              <w:rPr>
                <w:sz w:val="18"/>
                <w:szCs w:val="18"/>
                <w:vertAlign w:val="superscript"/>
                <w:lang w:val="es-ES_tradnl" w:eastAsia="ja-JP"/>
              </w:rPr>
              <w:t>(2)</w:t>
            </w:r>
          </w:p>
        </w:tc>
        <w:tc>
          <w:tcPr>
            <w:tcW w:w="991" w:type="dxa"/>
            <w:tcBorders>
              <w:top w:val="single" w:sz="4" w:space="0" w:color="auto"/>
              <w:left w:val="single" w:sz="4" w:space="0" w:color="auto"/>
              <w:bottom w:val="single" w:sz="4" w:space="0" w:color="auto"/>
              <w:right w:val="single" w:sz="4" w:space="0" w:color="auto"/>
            </w:tcBorders>
            <w:hideMark/>
          </w:tcPr>
          <w:p w14:paraId="07303231" w14:textId="77777777" w:rsidR="002B37E9" w:rsidRPr="00140923" w:rsidRDefault="002B37E9" w:rsidP="00226764">
            <w:pPr>
              <w:pStyle w:val="Tabletext"/>
              <w:spacing w:before="0" w:after="0"/>
              <w:jc w:val="center"/>
              <w:rPr>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993" w:type="dxa"/>
            <w:tcBorders>
              <w:top w:val="single" w:sz="4" w:space="0" w:color="auto"/>
              <w:left w:val="single" w:sz="4" w:space="0" w:color="auto"/>
              <w:bottom w:val="single" w:sz="4" w:space="0" w:color="auto"/>
              <w:right w:val="single" w:sz="4" w:space="0" w:color="auto"/>
            </w:tcBorders>
            <w:hideMark/>
          </w:tcPr>
          <w:p w14:paraId="5F0228E9" w14:textId="77777777" w:rsidR="002B37E9" w:rsidRPr="00140923" w:rsidRDefault="002B37E9" w:rsidP="00226764">
            <w:pPr>
              <w:pStyle w:val="Tabletext"/>
              <w:spacing w:before="0" w:after="0"/>
              <w:jc w:val="center"/>
              <w:rPr>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1158" w:type="dxa"/>
            <w:tcBorders>
              <w:top w:val="single" w:sz="4" w:space="0" w:color="auto"/>
              <w:left w:val="single" w:sz="4" w:space="0" w:color="auto"/>
              <w:bottom w:val="single" w:sz="4" w:space="0" w:color="auto"/>
              <w:right w:val="single" w:sz="4" w:space="0" w:color="auto"/>
            </w:tcBorders>
            <w:hideMark/>
          </w:tcPr>
          <w:p w14:paraId="70E86BCD" w14:textId="77777777" w:rsidR="002B37E9" w:rsidRPr="00140923" w:rsidRDefault="002B37E9" w:rsidP="00226764">
            <w:pPr>
              <w:pStyle w:val="Tabletext"/>
              <w:spacing w:before="0" w:after="0"/>
              <w:jc w:val="center"/>
              <w:rPr>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1225" w:type="dxa"/>
            <w:tcBorders>
              <w:top w:val="single" w:sz="4" w:space="0" w:color="auto"/>
              <w:left w:val="single" w:sz="4" w:space="0" w:color="auto"/>
              <w:bottom w:val="single" w:sz="4" w:space="0" w:color="auto"/>
              <w:right w:val="single" w:sz="4" w:space="0" w:color="auto"/>
            </w:tcBorders>
            <w:hideMark/>
          </w:tcPr>
          <w:p w14:paraId="1F7C8CAA"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 xml:space="preserve">−137,5 + </w:t>
            </w:r>
            <w:r w:rsidRPr="00140923">
              <w:rPr>
                <w:i/>
                <w:sz w:val="18"/>
                <w:szCs w:val="18"/>
                <w:lang w:val="es-ES_tradnl"/>
              </w:rPr>
              <w:t>I</w:t>
            </w:r>
            <w:r w:rsidRPr="00140923">
              <w:rPr>
                <w:sz w:val="18"/>
                <w:szCs w:val="18"/>
                <w:lang w:val="es-ES_tradnl"/>
              </w:rPr>
              <w:t>/</w:t>
            </w:r>
            <w:r w:rsidRPr="00140923">
              <w:rPr>
                <w:i/>
                <w:sz w:val="18"/>
                <w:szCs w:val="18"/>
                <w:lang w:val="es-ES_tradnl"/>
              </w:rPr>
              <w:t>N</w:t>
            </w:r>
          </w:p>
        </w:tc>
        <w:tc>
          <w:tcPr>
            <w:tcW w:w="1343" w:type="dxa"/>
            <w:tcBorders>
              <w:top w:val="single" w:sz="4" w:space="0" w:color="auto"/>
              <w:left w:val="single" w:sz="4" w:space="0" w:color="auto"/>
              <w:bottom w:val="single" w:sz="4" w:space="0" w:color="auto"/>
              <w:right w:val="single" w:sz="4" w:space="0" w:color="auto"/>
            </w:tcBorders>
            <w:hideMark/>
          </w:tcPr>
          <w:p w14:paraId="082D0C89" w14:textId="77777777"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w:t>
            </w:r>
            <w:r w:rsidRPr="00140923">
              <w:rPr>
                <w:sz w:val="18"/>
                <w:szCs w:val="18"/>
                <w:lang w:val="es-ES_tradnl" w:eastAsia="ja-JP"/>
              </w:rPr>
              <w:t>137,5…</w:t>
            </w:r>
            <w:r w:rsidRPr="00140923">
              <w:rPr>
                <w:sz w:val="18"/>
                <w:szCs w:val="18"/>
                <w:lang w:val="es-ES_tradnl"/>
              </w:rPr>
              <w:t>−137</w:t>
            </w:r>
            <w:r w:rsidRPr="00140923">
              <w:rPr>
                <w:sz w:val="18"/>
                <w:szCs w:val="18"/>
                <w:lang w:val="es-ES_tradnl" w:eastAsia="ja-JP"/>
              </w:rPr>
              <w:t xml:space="preserve"> </w:t>
            </w:r>
            <w:r w:rsidRPr="00140923">
              <w:rPr>
                <w:sz w:val="18"/>
                <w:szCs w:val="18"/>
                <w:lang w:val="es-ES_tradnl"/>
              </w:rPr>
              <w:t xml:space="preserve">+ </w:t>
            </w:r>
            <w:r w:rsidRPr="00140923">
              <w:rPr>
                <w:i/>
                <w:sz w:val="18"/>
                <w:szCs w:val="18"/>
                <w:lang w:val="es-ES_tradnl"/>
              </w:rPr>
              <w:t>I</w:t>
            </w:r>
            <w:r w:rsidRPr="00140923">
              <w:rPr>
                <w:iCs/>
                <w:sz w:val="18"/>
                <w:szCs w:val="18"/>
                <w:lang w:val="es-ES_tradnl"/>
              </w:rPr>
              <w:t>/</w:t>
            </w:r>
            <w:r w:rsidRPr="00140923">
              <w:rPr>
                <w:i/>
                <w:sz w:val="18"/>
                <w:szCs w:val="18"/>
                <w:lang w:val="es-ES_tradnl"/>
              </w:rPr>
              <w:t>N</w:t>
            </w:r>
          </w:p>
        </w:tc>
        <w:tc>
          <w:tcPr>
            <w:tcW w:w="850" w:type="dxa"/>
            <w:tcBorders>
              <w:top w:val="single" w:sz="4" w:space="0" w:color="auto"/>
              <w:left w:val="single" w:sz="4" w:space="0" w:color="auto"/>
              <w:bottom w:val="single" w:sz="4" w:space="0" w:color="auto"/>
              <w:right w:val="single" w:sz="4" w:space="0" w:color="auto"/>
            </w:tcBorders>
            <w:hideMark/>
          </w:tcPr>
          <w:p w14:paraId="43468EC7" w14:textId="77777777" w:rsidR="002B37E9" w:rsidRPr="00140923" w:rsidRDefault="002B37E9" w:rsidP="00226764">
            <w:pPr>
              <w:pStyle w:val="Tabletext"/>
              <w:spacing w:before="0" w:after="0"/>
              <w:ind w:left="-57" w:right="-57"/>
              <w:jc w:val="center"/>
              <w:rPr>
                <w:sz w:val="18"/>
                <w:szCs w:val="18"/>
                <w:lang w:val="es-ES_tradnl" w:eastAsia="ja-JP"/>
              </w:rPr>
            </w:pPr>
            <w:r w:rsidRPr="00140923">
              <w:rPr>
                <w:sz w:val="18"/>
                <w:szCs w:val="18"/>
                <w:lang w:val="es-ES_tradnl"/>
              </w:rPr>
              <w:t>−137,5</w:t>
            </w:r>
            <w:r w:rsidRPr="00140923">
              <w:rPr>
                <w:sz w:val="18"/>
                <w:szCs w:val="18"/>
                <w:lang w:val="es-ES_tradnl" w:eastAsia="ja-JP"/>
              </w:rPr>
              <w:t xml:space="preserve"> </w:t>
            </w:r>
            <w:r w:rsidRPr="00140923">
              <w:rPr>
                <w:sz w:val="18"/>
                <w:szCs w:val="18"/>
                <w:lang w:val="es-ES_tradnl"/>
              </w:rPr>
              <w:t xml:space="preserve">+ </w:t>
            </w:r>
            <w:r w:rsidRPr="00140923">
              <w:rPr>
                <w:i/>
                <w:sz w:val="18"/>
                <w:szCs w:val="18"/>
                <w:lang w:val="es-ES_tradnl"/>
              </w:rPr>
              <w:t>I</w:t>
            </w:r>
            <w:r w:rsidRPr="00140923">
              <w:rPr>
                <w:iCs/>
                <w:sz w:val="18"/>
                <w:szCs w:val="18"/>
                <w:lang w:val="es-ES_tradnl"/>
              </w:rPr>
              <w:t>/</w:t>
            </w:r>
            <w:r w:rsidRPr="00140923">
              <w:rPr>
                <w:i/>
                <w:sz w:val="18"/>
                <w:szCs w:val="18"/>
                <w:lang w:val="es-ES_tradnl"/>
              </w:rPr>
              <w:t>N</w:t>
            </w:r>
          </w:p>
        </w:tc>
        <w:tc>
          <w:tcPr>
            <w:tcW w:w="1276" w:type="dxa"/>
            <w:tcBorders>
              <w:top w:val="single" w:sz="4" w:space="0" w:color="auto"/>
              <w:left w:val="single" w:sz="4" w:space="0" w:color="auto"/>
              <w:bottom w:val="single" w:sz="4" w:space="0" w:color="auto"/>
              <w:right w:val="single" w:sz="4" w:space="0" w:color="auto"/>
            </w:tcBorders>
            <w:hideMark/>
          </w:tcPr>
          <w:p w14:paraId="04E04C2D" w14:textId="77777777" w:rsidR="002B37E9" w:rsidRPr="00140923" w:rsidRDefault="002B37E9" w:rsidP="00226764">
            <w:pPr>
              <w:pStyle w:val="Tabletext"/>
              <w:spacing w:before="0" w:after="0"/>
              <w:ind w:left="-57" w:right="-57"/>
              <w:jc w:val="center"/>
              <w:rPr>
                <w:sz w:val="18"/>
                <w:szCs w:val="18"/>
                <w:lang w:val="es-ES_tradnl" w:eastAsia="ja-JP"/>
              </w:rPr>
            </w:pPr>
            <w:r w:rsidRPr="00140923">
              <w:rPr>
                <w:sz w:val="18"/>
                <w:szCs w:val="18"/>
                <w:lang w:val="es-ES_tradnl" w:eastAsia="ja-JP"/>
              </w:rPr>
              <w:t>−139</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992" w:type="dxa"/>
            <w:tcBorders>
              <w:top w:val="single" w:sz="4" w:space="0" w:color="auto"/>
              <w:left w:val="single" w:sz="4" w:space="0" w:color="auto"/>
              <w:bottom w:val="single" w:sz="4" w:space="0" w:color="auto"/>
              <w:right w:val="single" w:sz="4" w:space="0" w:color="auto"/>
            </w:tcBorders>
            <w:hideMark/>
          </w:tcPr>
          <w:p w14:paraId="2BD712B2" w14:textId="77777777" w:rsidR="002B37E9" w:rsidRPr="00140923" w:rsidRDefault="002B37E9" w:rsidP="00226764">
            <w:pPr>
              <w:pStyle w:val="Tabletext"/>
              <w:spacing w:before="0" w:after="0"/>
              <w:ind w:left="-60"/>
              <w:jc w:val="center"/>
              <w:rPr>
                <w:sz w:val="18"/>
                <w:szCs w:val="18"/>
                <w:lang w:val="es-ES_tradnl" w:eastAsia="ja-JP"/>
              </w:rPr>
            </w:pPr>
            <w:r w:rsidRPr="00140923">
              <w:rPr>
                <w:sz w:val="18"/>
                <w:szCs w:val="18"/>
                <w:lang w:val="es-ES_tradnl" w:eastAsia="ja-JP"/>
              </w:rPr>
              <w:t>−140</w:t>
            </w:r>
            <w:r w:rsidRPr="00140923">
              <w:rPr>
                <w:sz w:val="18"/>
                <w:szCs w:val="18"/>
                <w:lang w:val="es-ES_tradnl"/>
              </w:rPr>
              <w:t xml:space="preserve">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1134" w:type="dxa"/>
            <w:tcBorders>
              <w:top w:val="single" w:sz="4" w:space="0" w:color="auto"/>
              <w:left w:val="single" w:sz="4" w:space="0" w:color="auto"/>
              <w:bottom w:val="single" w:sz="4" w:space="0" w:color="auto"/>
              <w:right w:val="single" w:sz="4" w:space="0" w:color="auto"/>
            </w:tcBorders>
            <w:hideMark/>
          </w:tcPr>
          <w:p w14:paraId="74F500EA" w14:textId="386BAF30"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rPr>
              <w:t xml:space="preserve">−140,5 + </w:t>
            </w:r>
            <w:r w:rsidRPr="00140923">
              <w:rPr>
                <w:i/>
                <w:sz w:val="18"/>
                <w:szCs w:val="18"/>
                <w:lang w:val="es-ES_tradnl"/>
              </w:rPr>
              <w:t>I</w:t>
            </w:r>
            <w:r w:rsidRPr="00140923">
              <w:rPr>
                <w:iCs/>
                <w:sz w:val="18"/>
                <w:szCs w:val="18"/>
                <w:lang w:val="es-ES_tradnl"/>
              </w:rPr>
              <w:t>/</w:t>
            </w:r>
            <w:r w:rsidRPr="00140923">
              <w:rPr>
                <w:i/>
                <w:sz w:val="18"/>
                <w:szCs w:val="18"/>
                <w:lang w:val="es-ES_tradnl"/>
              </w:rPr>
              <w:t>N</w:t>
            </w:r>
          </w:p>
        </w:tc>
        <w:tc>
          <w:tcPr>
            <w:tcW w:w="1423" w:type="dxa"/>
            <w:tcBorders>
              <w:top w:val="single" w:sz="4" w:space="0" w:color="auto"/>
              <w:left w:val="single" w:sz="4" w:space="0" w:color="auto"/>
              <w:bottom w:val="single" w:sz="4" w:space="0" w:color="auto"/>
              <w:right w:val="single" w:sz="4" w:space="0" w:color="auto"/>
            </w:tcBorders>
            <w:hideMark/>
          </w:tcPr>
          <w:p w14:paraId="7631116F" w14:textId="61A9A288" w:rsidR="002B37E9" w:rsidRPr="00140923" w:rsidRDefault="002B37E9" w:rsidP="00226764">
            <w:pPr>
              <w:pStyle w:val="Tabletext"/>
              <w:spacing w:before="0" w:after="0"/>
              <w:jc w:val="center"/>
              <w:rPr>
                <w:sz w:val="18"/>
                <w:szCs w:val="18"/>
                <w:lang w:val="es-ES_tradnl" w:eastAsia="ja-JP"/>
              </w:rPr>
            </w:pPr>
            <w:r w:rsidRPr="00140923">
              <w:rPr>
                <w:sz w:val="18"/>
                <w:szCs w:val="18"/>
                <w:lang w:val="es-ES_tradnl" w:eastAsia="ja-JP"/>
              </w:rPr>
              <w:t xml:space="preserve">−140,5 </w:t>
            </w:r>
            <w:r w:rsidRPr="00140923">
              <w:rPr>
                <w:sz w:val="18"/>
                <w:szCs w:val="18"/>
                <w:lang w:val="es-ES_tradnl"/>
              </w:rPr>
              <w:t>+</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r>
      <w:tr w:rsidR="002B37E9" w:rsidRPr="00140923" w14:paraId="1653342B" w14:textId="77777777" w:rsidTr="00480606">
        <w:trPr>
          <w:jc w:val="center"/>
        </w:trPr>
        <w:tc>
          <w:tcPr>
            <w:tcW w:w="14459" w:type="dxa"/>
            <w:gridSpan w:val="11"/>
            <w:tcBorders>
              <w:top w:val="single" w:sz="4" w:space="0" w:color="auto"/>
              <w:left w:val="nil"/>
              <w:bottom w:val="nil"/>
              <w:right w:val="nil"/>
            </w:tcBorders>
            <w:tcMar>
              <w:top w:w="0" w:type="dxa"/>
              <w:left w:w="57" w:type="dxa"/>
              <w:bottom w:w="0" w:type="dxa"/>
              <w:right w:w="57" w:type="dxa"/>
            </w:tcMar>
            <w:vAlign w:val="center"/>
            <w:hideMark/>
          </w:tcPr>
          <w:p w14:paraId="0C32EBC4" w14:textId="77777777" w:rsidR="002B37E9" w:rsidRPr="00140923" w:rsidRDefault="002B37E9" w:rsidP="00226764">
            <w:pPr>
              <w:pStyle w:val="TableLegendNote"/>
              <w:ind w:left="-56" w:right="0"/>
              <w:rPr>
                <w:sz w:val="20"/>
                <w:lang w:val="es-ES_tradnl" w:eastAsia="ja-JP"/>
              </w:rPr>
            </w:pPr>
            <w:r w:rsidRPr="00140923">
              <w:rPr>
                <w:sz w:val="20"/>
                <w:lang w:val="es-ES_tradnl" w:eastAsia="ja-JP"/>
              </w:rPr>
              <w:t>NOTA – El conjunto previsto de parámetros de dos sistemas de referencia para los estudios de compartición/compatibilidad actualmente no están disponibles, o lo están sólo parcialmente. A título provisional, se pueden utilizar los parámetros que figuran en el Anexo 3 para las mismas bandas.</w:t>
            </w:r>
          </w:p>
          <w:p w14:paraId="188B65EB" w14:textId="77777777" w:rsidR="002B37E9" w:rsidRPr="00140923" w:rsidRDefault="002B37E9" w:rsidP="00226764">
            <w:pPr>
              <w:pStyle w:val="TableLegendNote"/>
              <w:spacing w:before="20"/>
              <w:ind w:left="238" w:right="0" w:hanging="295"/>
              <w:rPr>
                <w:lang w:val="es-ES_tradnl"/>
              </w:rPr>
            </w:pPr>
            <w:r w:rsidRPr="00140923">
              <w:rPr>
                <w:vertAlign w:val="superscript"/>
                <w:lang w:val="es-ES_tradnl"/>
              </w:rPr>
              <w:t>(1)</w:t>
            </w:r>
            <w:r w:rsidRPr="00140923">
              <w:rPr>
                <w:lang w:val="es-ES_tradnl"/>
              </w:rPr>
              <w:tab/>
            </w:r>
            <w:r w:rsidRPr="00140923">
              <w:rPr>
                <w:sz w:val="20"/>
                <w:lang w:val="es-ES_tradnl"/>
              </w:rPr>
              <w:t>Para calcular los valores de las densidades del transmisor y de la p.i.r.e., es preciso determinar la separación entre canales y la anchura de banda. En estos Cuadros, la separación entre canales se indica en</w:t>
            </w:r>
            <w:r w:rsidRPr="00140923">
              <w:rPr>
                <w:lang w:val="es-ES_tradnl"/>
              </w:rPr>
              <w:t xml:space="preserve"> </w:t>
            </w:r>
            <w:r w:rsidRPr="00140923">
              <w:rPr>
                <w:b/>
                <w:bCs/>
                <w:sz w:val="20"/>
                <w:lang w:val="es-ES_tradnl"/>
              </w:rPr>
              <w:t>negritas</w:t>
            </w:r>
            <w:r w:rsidRPr="00140923">
              <w:rPr>
                <w:lang w:val="es-ES_tradnl"/>
              </w:rPr>
              <w:t xml:space="preserve">. </w:t>
            </w:r>
            <w:r w:rsidRPr="00140923">
              <w:rPr>
                <w:sz w:val="20"/>
                <w:lang w:val="es-ES_tradnl"/>
              </w:rPr>
              <w:t>Cuando se da un valor modal (Moda), este se debe considerar como indicativo dentro de la gama especificada y puede que sea necesario realizar más análisis de sensibilidad según cada caso para evaluar el potencial de una interferencia dada en razón de las variaciones dentro de la gama especificada</w:t>
            </w:r>
            <w:r w:rsidRPr="00140923">
              <w:rPr>
                <w:lang w:val="es-ES_tradnl"/>
              </w:rPr>
              <w:t>.</w:t>
            </w:r>
          </w:p>
          <w:p w14:paraId="36D1A630" w14:textId="77777777" w:rsidR="002B37E9" w:rsidRPr="00140923" w:rsidRDefault="002B37E9" w:rsidP="00226764">
            <w:pPr>
              <w:pStyle w:val="TableLegendNote"/>
              <w:spacing w:before="20"/>
              <w:ind w:left="238" w:right="0" w:hanging="295"/>
              <w:rPr>
                <w:sz w:val="20"/>
                <w:lang w:val="es-ES_tradnl"/>
              </w:rPr>
            </w:pPr>
            <w:r w:rsidRPr="00140923">
              <w:rPr>
                <w:vertAlign w:val="superscript"/>
                <w:lang w:val="es-ES_tradnl"/>
              </w:rPr>
              <w:t>(2)</w:t>
            </w:r>
            <w:r w:rsidRPr="00140923">
              <w:rPr>
                <w:sz w:val="20"/>
                <w:lang w:val="es-ES_tradnl"/>
              </w:rPr>
              <w:tab/>
              <w:t>La densidad de potencia de interferencia a largo plazo nominal se define como la «densidad de potencia de ruido del receptor + (I/N requerida)» según se describe en el § 4.13 en el Anexo 2 (véase asimismo el § 4.1 en el Anexo 1).</w:t>
            </w:r>
          </w:p>
          <w:p w14:paraId="23E153A9" w14:textId="77777777" w:rsidR="002B37E9" w:rsidRPr="00140923" w:rsidRDefault="002B37E9" w:rsidP="00226764">
            <w:pPr>
              <w:pStyle w:val="TableLegendNote"/>
              <w:spacing w:before="20"/>
              <w:ind w:left="238" w:right="0" w:hanging="295"/>
              <w:rPr>
                <w:lang w:val="es-ES_tradnl"/>
              </w:rPr>
            </w:pPr>
            <w:r w:rsidRPr="00140923">
              <w:rPr>
                <w:vertAlign w:val="superscript"/>
                <w:lang w:val="es-ES_tradnl"/>
              </w:rPr>
              <w:t>(3)</w:t>
            </w:r>
            <w:r w:rsidRPr="00140923">
              <w:rPr>
                <w:sz w:val="20"/>
                <w:lang w:val="es-ES_tradnl"/>
              </w:rPr>
              <w:tab/>
              <w:t>Este valor de separación entre canales no se especifica en la Recomendación de referencia.</w:t>
            </w:r>
          </w:p>
        </w:tc>
      </w:tr>
    </w:tbl>
    <w:p w14:paraId="11050AD3" w14:textId="5A62AF64" w:rsidR="002B37E9" w:rsidRPr="00140923" w:rsidRDefault="002B37E9" w:rsidP="002B37E9">
      <w:pPr>
        <w:pStyle w:val="TableNo"/>
        <w:rPr>
          <w:sz w:val="22"/>
          <w:szCs w:val="22"/>
          <w:lang w:val="es-ES_tradnl" w:eastAsia="ja-JP"/>
        </w:rPr>
      </w:pPr>
      <w:r w:rsidRPr="00140923">
        <w:rPr>
          <w:sz w:val="22"/>
          <w:szCs w:val="22"/>
          <w:lang w:val="es-ES_tradnl"/>
        </w:rPr>
        <w:lastRenderedPageBreak/>
        <w:t>CUADRO 9</w:t>
      </w:r>
    </w:p>
    <w:p w14:paraId="097CF2C8" w14:textId="71E1A85D" w:rsidR="002B37E9" w:rsidRPr="00140923" w:rsidRDefault="002B37E9" w:rsidP="002B37E9">
      <w:pPr>
        <w:pStyle w:val="Tabletitle"/>
        <w:rPr>
          <w:sz w:val="22"/>
          <w:szCs w:val="22"/>
          <w:lang w:val="es-ES_tradnl" w:eastAsia="ja-JP"/>
        </w:rPr>
      </w:pPr>
      <w:r w:rsidRPr="00140923">
        <w:rPr>
          <w:sz w:val="22"/>
          <w:szCs w:val="22"/>
          <w:lang w:val="es-ES_tradnl" w:eastAsia="ja-JP"/>
        </w:rPr>
        <w:t>Parámetros de sistema para los sistemas punto a punto del servicio fijo en bandas atribuidas entre 7,1 y 14 GHz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4"/>
        <w:gridCol w:w="1134"/>
        <w:gridCol w:w="1276"/>
        <w:gridCol w:w="1275"/>
        <w:gridCol w:w="1134"/>
        <w:gridCol w:w="1134"/>
        <w:gridCol w:w="851"/>
        <w:gridCol w:w="992"/>
        <w:gridCol w:w="1134"/>
        <w:gridCol w:w="1134"/>
        <w:gridCol w:w="992"/>
        <w:gridCol w:w="856"/>
      </w:tblGrid>
      <w:tr w:rsidR="00D34F24" w:rsidRPr="00140923" w14:paraId="02F38263" w14:textId="77777777" w:rsidTr="00480606">
        <w:trPr>
          <w:cantSplit/>
          <w:tblHeader/>
          <w:jc w:val="center"/>
        </w:trPr>
        <w:tc>
          <w:tcPr>
            <w:tcW w:w="1413" w:type="dxa"/>
            <w:tcMar>
              <w:left w:w="57" w:type="dxa"/>
              <w:right w:w="57" w:type="dxa"/>
            </w:tcMar>
            <w:vAlign w:val="center"/>
          </w:tcPr>
          <w:p w14:paraId="34944A1E" w14:textId="03A58191" w:rsidR="00D34F24" w:rsidRPr="00140923" w:rsidRDefault="00870FD9" w:rsidP="00870FD9">
            <w:pPr>
              <w:pStyle w:val="Tablehead"/>
              <w:rPr>
                <w:sz w:val="20"/>
                <w:lang w:val="es-ES_tradnl"/>
              </w:rPr>
            </w:pPr>
            <w:r w:rsidRPr="00140923">
              <w:rPr>
                <w:sz w:val="20"/>
                <w:lang w:val="es-ES_tradnl"/>
              </w:rPr>
              <w:t>Gama de frecuencias (GHz)</w:t>
            </w:r>
          </w:p>
        </w:tc>
        <w:tc>
          <w:tcPr>
            <w:tcW w:w="2268" w:type="dxa"/>
            <w:gridSpan w:val="2"/>
            <w:vAlign w:val="center"/>
          </w:tcPr>
          <w:p w14:paraId="37EC29F4" w14:textId="13B69A69" w:rsidR="00D34F24" w:rsidRPr="00140923" w:rsidRDefault="00D34F24" w:rsidP="00226764">
            <w:pPr>
              <w:pStyle w:val="Tablehead"/>
              <w:spacing w:before="20" w:after="20"/>
              <w:rPr>
                <w:sz w:val="18"/>
                <w:szCs w:val="18"/>
                <w:lang w:val="es-ES_tradnl"/>
              </w:rPr>
            </w:pPr>
            <w:r w:rsidRPr="00140923">
              <w:rPr>
                <w:sz w:val="18"/>
                <w:szCs w:val="18"/>
                <w:lang w:val="es-ES_tradnl"/>
              </w:rPr>
              <w:t>7</w:t>
            </w:r>
            <w:r w:rsidR="00870FD9" w:rsidRPr="00140923">
              <w:rPr>
                <w:sz w:val="18"/>
                <w:szCs w:val="18"/>
                <w:lang w:val="es-ES_tradnl"/>
              </w:rPr>
              <w:t>,</w:t>
            </w:r>
            <w:r w:rsidRPr="00140923">
              <w:rPr>
                <w:sz w:val="18"/>
                <w:szCs w:val="18"/>
                <w:lang w:val="es-ES_tradnl"/>
              </w:rPr>
              <w:t>110-7</w:t>
            </w:r>
            <w:r w:rsidR="00870FD9" w:rsidRPr="00140923">
              <w:rPr>
                <w:sz w:val="18"/>
                <w:szCs w:val="18"/>
                <w:lang w:val="es-ES_tradnl"/>
              </w:rPr>
              <w:t>,</w:t>
            </w:r>
            <w:r w:rsidRPr="00140923">
              <w:rPr>
                <w:sz w:val="18"/>
                <w:szCs w:val="18"/>
                <w:lang w:val="es-ES_tradnl"/>
              </w:rPr>
              <w:t xml:space="preserve">900 </w:t>
            </w:r>
          </w:p>
        </w:tc>
        <w:tc>
          <w:tcPr>
            <w:tcW w:w="2551" w:type="dxa"/>
            <w:gridSpan w:val="2"/>
            <w:vAlign w:val="center"/>
          </w:tcPr>
          <w:p w14:paraId="7A12534C" w14:textId="17185D9A" w:rsidR="00D34F24" w:rsidRPr="00140923" w:rsidRDefault="00D34F24" w:rsidP="00226764">
            <w:pPr>
              <w:pStyle w:val="Tablehead"/>
              <w:spacing w:before="20" w:after="20"/>
              <w:rPr>
                <w:sz w:val="18"/>
                <w:szCs w:val="18"/>
                <w:lang w:val="es-ES_tradnl"/>
              </w:rPr>
            </w:pPr>
            <w:r w:rsidRPr="00140923">
              <w:rPr>
                <w:sz w:val="18"/>
                <w:szCs w:val="18"/>
                <w:lang w:val="es-ES_tradnl"/>
              </w:rPr>
              <w:t>7</w:t>
            </w:r>
            <w:r w:rsidR="00870FD9" w:rsidRPr="00140923">
              <w:rPr>
                <w:sz w:val="18"/>
                <w:szCs w:val="18"/>
                <w:lang w:val="es-ES_tradnl"/>
              </w:rPr>
              <w:t>,</w:t>
            </w:r>
            <w:r w:rsidRPr="00140923">
              <w:rPr>
                <w:sz w:val="18"/>
                <w:szCs w:val="18"/>
                <w:lang w:val="es-ES_tradnl"/>
              </w:rPr>
              <w:t>725-8</w:t>
            </w:r>
            <w:r w:rsidR="00870FD9" w:rsidRPr="00140923">
              <w:rPr>
                <w:sz w:val="18"/>
                <w:szCs w:val="18"/>
                <w:lang w:val="es-ES_tradnl"/>
              </w:rPr>
              <w:t>,</w:t>
            </w:r>
            <w:r w:rsidRPr="00140923">
              <w:rPr>
                <w:sz w:val="18"/>
                <w:szCs w:val="18"/>
                <w:lang w:val="es-ES_tradnl"/>
              </w:rPr>
              <w:t xml:space="preserve">500 </w:t>
            </w:r>
          </w:p>
        </w:tc>
        <w:tc>
          <w:tcPr>
            <w:tcW w:w="2268" w:type="dxa"/>
            <w:gridSpan w:val="2"/>
            <w:vAlign w:val="center"/>
          </w:tcPr>
          <w:p w14:paraId="2C128CC3" w14:textId="19A98E98" w:rsidR="00D34F24" w:rsidRPr="00140923" w:rsidRDefault="00D34F24" w:rsidP="00226764">
            <w:pPr>
              <w:pStyle w:val="Tablehead"/>
              <w:spacing w:before="20" w:after="20"/>
              <w:rPr>
                <w:sz w:val="18"/>
                <w:szCs w:val="18"/>
                <w:lang w:val="es-ES_tradnl" w:eastAsia="ja-JP"/>
              </w:rPr>
            </w:pPr>
            <w:r w:rsidRPr="00140923">
              <w:rPr>
                <w:sz w:val="18"/>
                <w:szCs w:val="18"/>
                <w:lang w:val="es-ES_tradnl" w:eastAsia="ja-JP"/>
              </w:rPr>
              <w:t>10-10</w:t>
            </w:r>
            <w:r w:rsidR="00870FD9" w:rsidRPr="00140923">
              <w:rPr>
                <w:sz w:val="18"/>
                <w:szCs w:val="18"/>
                <w:lang w:val="es-ES_tradnl" w:eastAsia="ja-JP"/>
              </w:rPr>
              <w:t>,</w:t>
            </w:r>
            <w:r w:rsidRPr="00140923">
              <w:rPr>
                <w:sz w:val="18"/>
                <w:szCs w:val="18"/>
                <w:lang w:val="es-ES_tradnl" w:eastAsia="ja-JP"/>
              </w:rPr>
              <w:t>5</w:t>
            </w:r>
          </w:p>
        </w:tc>
        <w:tc>
          <w:tcPr>
            <w:tcW w:w="1843" w:type="dxa"/>
            <w:gridSpan w:val="2"/>
            <w:vAlign w:val="center"/>
          </w:tcPr>
          <w:p w14:paraId="5EAEDBF2" w14:textId="2E9DCAEA" w:rsidR="00D34F24" w:rsidRPr="00140923" w:rsidRDefault="00D34F24" w:rsidP="00226764">
            <w:pPr>
              <w:pStyle w:val="Tablehead"/>
              <w:spacing w:before="20" w:after="20"/>
              <w:rPr>
                <w:sz w:val="18"/>
                <w:szCs w:val="18"/>
                <w:lang w:val="es-ES_tradnl"/>
              </w:rPr>
            </w:pPr>
            <w:r w:rsidRPr="00140923">
              <w:rPr>
                <w:sz w:val="18"/>
                <w:szCs w:val="18"/>
                <w:lang w:val="es-ES_tradnl"/>
              </w:rPr>
              <w:t>10</w:t>
            </w:r>
            <w:r w:rsidR="00870FD9" w:rsidRPr="00140923">
              <w:rPr>
                <w:sz w:val="18"/>
                <w:szCs w:val="18"/>
                <w:lang w:val="es-ES_tradnl"/>
              </w:rPr>
              <w:t>,</w:t>
            </w:r>
            <w:r w:rsidRPr="00140923">
              <w:rPr>
                <w:sz w:val="18"/>
                <w:szCs w:val="18"/>
                <w:lang w:val="es-ES_tradnl"/>
              </w:rPr>
              <w:t>5-10</w:t>
            </w:r>
            <w:r w:rsidR="00870FD9" w:rsidRPr="00140923">
              <w:rPr>
                <w:sz w:val="18"/>
                <w:szCs w:val="18"/>
                <w:lang w:val="es-ES_tradnl"/>
              </w:rPr>
              <w:t>,</w:t>
            </w:r>
            <w:r w:rsidRPr="00140923">
              <w:rPr>
                <w:sz w:val="18"/>
                <w:szCs w:val="18"/>
                <w:lang w:val="es-ES_tradnl"/>
              </w:rPr>
              <w:t>68</w:t>
            </w:r>
          </w:p>
        </w:tc>
        <w:tc>
          <w:tcPr>
            <w:tcW w:w="2268" w:type="dxa"/>
            <w:gridSpan w:val="2"/>
            <w:vAlign w:val="center"/>
          </w:tcPr>
          <w:p w14:paraId="7538BB36" w14:textId="41905607" w:rsidR="00D34F24" w:rsidRPr="00140923" w:rsidRDefault="00D34F24" w:rsidP="00226764">
            <w:pPr>
              <w:pStyle w:val="Tablehead"/>
              <w:spacing w:before="20" w:after="20"/>
              <w:rPr>
                <w:sz w:val="18"/>
                <w:szCs w:val="18"/>
                <w:lang w:val="es-ES_tradnl"/>
              </w:rPr>
            </w:pPr>
            <w:r w:rsidRPr="00140923">
              <w:rPr>
                <w:sz w:val="18"/>
                <w:szCs w:val="18"/>
                <w:lang w:val="es-ES_tradnl"/>
              </w:rPr>
              <w:t>10</w:t>
            </w:r>
            <w:r w:rsidR="00870FD9" w:rsidRPr="00140923">
              <w:rPr>
                <w:sz w:val="18"/>
                <w:szCs w:val="18"/>
                <w:lang w:val="es-ES_tradnl"/>
              </w:rPr>
              <w:t>,</w:t>
            </w:r>
            <w:r w:rsidRPr="00140923">
              <w:rPr>
                <w:sz w:val="18"/>
                <w:szCs w:val="18"/>
                <w:lang w:val="es-ES_tradnl"/>
              </w:rPr>
              <w:t>7-11</w:t>
            </w:r>
            <w:r w:rsidR="00870FD9" w:rsidRPr="00140923">
              <w:rPr>
                <w:sz w:val="18"/>
                <w:szCs w:val="18"/>
                <w:lang w:val="es-ES_tradnl"/>
              </w:rPr>
              <w:t>,</w:t>
            </w:r>
            <w:r w:rsidRPr="00140923">
              <w:rPr>
                <w:sz w:val="18"/>
                <w:szCs w:val="18"/>
                <w:lang w:val="es-ES_tradnl"/>
              </w:rPr>
              <w:t>7</w:t>
            </w:r>
          </w:p>
        </w:tc>
        <w:tc>
          <w:tcPr>
            <w:tcW w:w="1848" w:type="dxa"/>
            <w:gridSpan w:val="2"/>
            <w:vAlign w:val="center"/>
          </w:tcPr>
          <w:p w14:paraId="1C7300D4" w14:textId="192339E8" w:rsidR="00D34F24" w:rsidRPr="00140923" w:rsidRDefault="00D34F24" w:rsidP="00226764">
            <w:pPr>
              <w:pStyle w:val="Tablehead"/>
              <w:spacing w:before="20" w:after="20"/>
              <w:rPr>
                <w:sz w:val="18"/>
                <w:szCs w:val="18"/>
                <w:lang w:val="es-ES_tradnl"/>
              </w:rPr>
            </w:pPr>
            <w:r w:rsidRPr="00140923">
              <w:rPr>
                <w:sz w:val="18"/>
                <w:szCs w:val="18"/>
                <w:lang w:val="es-ES_tradnl"/>
              </w:rPr>
              <w:t>12</w:t>
            </w:r>
            <w:r w:rsidR="00870FD9" w:rsidRPr="00140923">
              <w:rPr>
                <w:sz w:val="18"/>
                <w:szCs w:val="18"/>
                <w:lang w:val="es-ES_tradnl"/>
              </w:rPr>
              <w:t>,</w:t>
            </w:r>
            <w:r w:rsidRPr="00140923">
              <w:rPr>
                <w:sz w:val="18"/>
                <w:szCs w:val="18"/>
                <w:lang w:val="es-ES_tradnl"/>
              </w:rPr>
              <w:t>75-13</w:t>
            </w:r>
            <w:r w:rsidR="00870FD9" w:rsidRPr="00140923">
              <w:rPr>
                <w:sz w:val="18"/>
                <w:szCs w:val="18"/>
                <w:lang w:val="es-ES_tradnl"/>
              </w:rPr>
              <w:t>,</w:t>
            </w:r>
            <w:r w:rsidRPr="00140923">
              <w:rPr>
                <w:sz w:val="18"/>
                <w:szCs w:val="18"/>
                <w:lang w:val="es-ES_tradnl"/>
              </w:rPr>
              <w:t>25</w:t>
            </w:r>
          </w:p>
        </w:tc>
      </w:tr>
      <w:tr w:rsidR="00D34F24" w:rsidRPr="00140923" w14:paraId="3F2A9542" w14:textId="77777777" w:rsidTr="00480606">
        <w:trPr>
          <w:cantSplit/>
          <w:jc w:val="center"/>
        </w:trPr>
        <w:tc>
          <w:tcPr>
            <w:tcW w:w="1413" w:type="dxa"/>
            <w:tcMar>
              <w:left w:w="57" w:type="dxa"/>
              <w:right w:w="57" w:type="dxa"/>
            </w:tcMar>
          </w:tcPr>
          <w:p w14:paraId="52DDBA60" w14:textId="6765254B" w:rsidR="00D34F24" w:rsidRPr="00140923" w:rsidRDefault="00870FD9" w:rsidP="00226764">
            <w:pPr>
              <w:pStyle w:val="Tabletext"/>
              <w:spacing w:before="0" w:after="0" w:line="240" w:lineRule="exact"/>
              <w:jc w:val="left"/>
              <w:rPr>
                <w:sz w:val="18"/>
                <w:szCs w:val="18"/>
                <w:lang w:val="es-ES_tradnl"/>
              </w:rPr>
            </w:pPr>
            <w:r w:rsidRPr="00140923">
              <w:rPr>
                <w:sz w:val="18"/>
                <w:szCs w:val="18"/>
                <w:lang w:val="es-ES_tradnl"/>
              </w:rPr>
              <w:t>Recomendación UIT-R de referencia</w:t>
            </w:r>
          </w:p>
        </w:tc>
        <w:tc>
          <w:tcPr>
            <w:tcW w:w="2268" w:type="dxa"/>
            <w:gridSpan w:val="2"/>
            <w:vAlign w:val="center"/>
          </w:tcPr>
          <w:p w14:paraId="1F43C760" w14:textId="77777777" w:rsidR="00D34F24" w:rsidRPr="00140923" w:rsidRDefault="00D34F24" w:rsidP="00226764">
            <w:pPr>
              <w:pStyle w:val="Tabletext"/>
              <w:spacing w:before="0" w:after="0"/>
              <w:jc w:val="center"/>
              <w:rPr>
                <w:sz w:val="18"/>
                <w:szCs w:val="18"/>
                <w:lang w:val="es-ES_tradnl"/>
              </w:rPr>
            </w:pPr>
            <w:r w:rsidRPr="00140923">
              <w:rPr>
                <w:rStyle w:val="Hyperlink"/>
                <w:color w:val="auto"/>
                <w:sz w:val="18"/>
                <w:szCs w:val="18"/>
                <w:u w:val="none"/>
                <w:lang w:val="es-ES_tradnl"/>
              </w:rPr>
              <w:t>F.385</w:t>
            </w:r>
          </w:p>
        </w:tc>
        <w:tc>
          <w:tcPr>
            <w:tcW w:w="2551" w:type="dxa"/>
            <w:gridSpan w:val="2"/>
            <w:vAlign w:val="center"/>
          </w:tcPr>
          <w:p w14:paraId="064477D5" w14:textId="77777777" w:rsidR="00D34F24" w:rsidRPr="00140923" w:rsidRDefault="00D34F24" w:rsidP="00226764">
            <w:pPr>
              <w:pStyle w:val="Tabletext"/>
              <w:spacing w:before="0" w:after="0"/>
              <w:jc w:val="center"/>
              <w:rPr>
                <w:sz w:val="18"/>
                <w:szCs w:val="18"/>
                <w:lang w:val="es-ES_tradnl"/>
              </w:rPr>
            </w:pPr>
            <w:r w:rsidRPr="00140923">
              <w:rPr>
                <w:rStyle w:val="Hyperlink"/>
                <w:color w:val="auto"/>
                <w:sz w:val="18"/>
                <w:szCs w:val="18"/>
                <w:u w:val="none"/>
                <w:lang w:val="es-ES_tradnl"/>
              </w:rPr>
              <w:t>F.386</w:t>
            </w:r>
          </w:p>
        </w:tc>
        <w:tc>
          <w:tcPr>
            <w:tcW w:w="2268" w:type="dxa"/>
            <w:gridSpan w:val="2"/>
            <w:vAlign w:val="center"/>
          </w:tcPr>
          <w:p w14:paraId="0BB5E493" w14:textId="77777777" w:rsidR="00D34F24" w:rsidRPr="00140923" w:rsidRDefault="00D34F24" w:rsidP="00226764">
            <w:pPr>
              <w:pStyle w:val="Tabletext"/>
              <w:spacing w:before="0" w:after="0"/>
              <w:jc w:val="center"/>
              <w:rPr>
                <w:rStyle w:val="Hyperlink"/>
                <w:color w:val="auto"/>
                <w:sz w:val="18"/>
                <w:szCs w:val="18"/>
                <w:u w:val="none"/>
                <w:lang w:val="es-ES_tradnl"/>
              </w:rPr>
            </w:pPr>
            <w:r w:rsidRPr="00140923">
              <w:rPr>
                <w:rStyle w:val="Hyperlink"/>
                <w:color w:val="auto"/>
                <w:sz w:val="18"/>
                <w:szCs w:val="18"/>
                <w:u w:val="none"/>
                <w:lang w:val="es-ES_tradnl"/>
              </w:rPr>
              <w:t>F.747</w:t>
            </w:r>
          </w:p>
        </w:tc>
        <w:tc>
          <w:tcPr>
            <w:tcW w:w="1843" w:type="dxa"/>
            <w:gridSpan w:val="2"/>
            <w:vAlign w:val="center"/>
          </w:tcPr>
          <w:p w14:paraId="5C0E85BC" w14:textId="77777777" w:rsidR="00D34F24" w:rsidRPr="00140923" w:rsidRDefault="00D34F24" w:rsidP="00226764">
            <w:pPr>
              <w:pStyle w:val="Tabletext"/>
              <w:spacing w:before="0" w:after="0"/>
              <w:jc w:val="center"/>
              <w:rPr>
                <w:sz w:val="18"/>
                <w:szCs w:val="18"/>
                <w:lang w:val="es-ES_tradnl"/>
              </w:rPr>
            </w:pPr>
            <w:r w:rsidRPr="00140923">
              <w:rPr>
                <w:rStyle w:val="Hyperlink"/>
                <w:color w:val="auto"/>
                <w:sz w:val="18"/>
                <w:szCs w:val="18"/>
                <w:u w:val="none"/>
                <w:lang w:val="es-ES_tradnl"/>
              </w:rPr>
              <w:t>F.747</w:t>
            </w:r>
          </w:p>
        </w:tc>
        <w:tc>
          <w:tcPr>
            <w:tcW w:w="2268" w:type="dxa"/>
            <w:gridSpan w:val="2"/>
            <w:vAlign w:val="center"/>
          </w:tcPr>
          <w:p w14:paraId="342D6F30" w14:textId="77777777" w:rsidR="00D34F24" w:rsidRPr="00140923" w:rsidRDefault="00D34F24" w:rsidP="00226764">
            <w:pPr>
              <w:pStyle w:val="Tabletext"/>
              <w:spacing w:before="0" w:after="0"/>
              <w:jc w:val="center"/>
              <w:rPr>
                <w:sz w:val="18"/>
                <w:szCs w:val="18"/>
                <w:lang w:val="es-ES_tradnl"/>
              </w:rPr>
            </w:pPr>
            <w:r w:rsidRPr="00140923">
              <w:rPr>
                <w:rStyle w:val="Hyperlink"/>
                <w:color w:val="auto"/>
                <w:sz w:val="18"/>
                <w:szCs w:val="18"/>
                <w:u w:val="none"/>
                <w:lang w:val="es-ES_tradnl"/>
              </w:rPr>
              <w:t>F.387</w:t>
            </w:r>
          </w:p>
        </w:tc>
        <w:tc>
          <w:tcPr>
            <w:tcW w:w="1848" w:type="dxa"/>
            <w:gridSpan w:val="2"/>
            <w:vAlign w:val="center"/>
          </w:tcPr>
          <w:p w14:paraId="4E0F61DF" w14:textId="77777777" w:rsidR="00D34F24" w:rsidRPr="00140923" w:rsidRDefault="00D34F24" w:rsidP="00226764">
            <w:pPr>
              <w:pStyle w:val="Tabletext"/>
              <w:spacing w:before="0" w:after="0"/>
              <w:jc w:val="center"/>
              <w:rPr>
                <w:sz w:val="18"/>
                <w:szCs w:val="18"/>
                <w:lang w:val="es-ES_tradnl"/>
              </w:rPr>
            </w:pPr>
            <w:r w:rsidRPr="00140923">
              <w:rPr>
                <w:rStyle w:val="Hyperlink"/>
                <w:color w:val="auto"/>
                <w:sz w:val="18"/>
                <w:szCs w:val="18"/>
                <w:u w:val="none"/>
                <w:lang w:val="es-ES_tradnl"/>
              </w:rPr>
              <w:t>F.497</w:t>
            </w:r>
          </w:p>
        </w:tc>
      </w:tr>
      <w:tr w:rsidR="00480606" w:rsidRPr="00140923" w14:paraId="16874843" w14:textId="77777777" w:rsidTr="00480606">
        <w:trPr>
          <w:cantSplit/>
          <w:jc w:val="center"/>
        </w:trPr>
        <w:tc>
          <w:tcPr>
            <w:tcW w:w="1413" w:type="dxa"/>
            <w:tcMar>
              <w:left w:w="57" w:type="dxa"/>
              <w:right w:w="57" w:type="dxa"/>
            </w:tcMar>
          </w:tcPr>
          <w:p w14:paraId="5FACD85F" w14:textId="47088480" w:rsidR="00D34F24" w:rsidRPr="00140923" w:rsidRDefault="00D34F24" w:rsidP="00226764">
            <w:pPr>
              <w:pStyle w:val="Tabletext"/>
              <w:spacing w:before="0" w:after="0" w:line="240" w:lineRule="exact"/>
              <w:rPr>
                <w:sz w:val="18"/>
                <w:szCs w:val="18"/>
                <w:lang w:val="es-ES_tradnl"/>
              </w:rPr>
            </w:pPr>
            <w:r w:rsidRPr="00140923">
              <w:rPr>
                <w:sz w:val="18"/>
                <w:szCs w:val="18"/>
                <w:lang w:val="es-ES_tradnl"/>
              </w:rPr>
              <w:t>Modula</w:t>
            </w:r>
            <w:r w:rsidR="00870FD9" w:rsidRPr="00140923">
              <w:rPr>
                <w:sz w:val="18"/>
                <w:szCs w:val="18"/>
                <w:lang w:val="es-ES_tradnl"/>
              </w:rPr>
              <w:t>c</w:t>
            </w:r>
            <w:r w:rsidRPr="00140923">
              <w:rPr>
                <w:sz w:val="18"/>
                <w:szCs w:val="18"/>
                <w:lang w:val="es-ES_tradnl"/>
              </w:rPr>
              <w:t>i</w:t>
            </w:r>
            <w:r w:rsidR="00870FD9" w:rsidRPr="00140923">
              <w:rPr>
                <w:sz w:val="18"/>
                <w:szCs w:val="18"/>
                <w:lang w:val="es-ES_tradnl"/>
              </w:rPr>
              <w:t>ó</w:t>
            </w:r>
            <w:r w:rsidRPr="00140923">
              <w:rPr>
                <w:sz w:val="18"/>
                <w:szCs w:val="18"/>
                <w:lang w:val="es-ES_tradnl"/>
              </w:rPr>
              <w:t>n</w:t>
            </w:r>
          </w:p>
        </w:tc>
        <w:tc>
          <w:tcPr>
            <w:tcW w:w="1134" w:type="dxa"/>
          </w:tcPr>
          <w:p w14:paraId="04F594B9" w14:textId="1632B559" w:rsidR="00D34F24" w:rsidRPr="00140923" w:rsidRDefault="008A4D73" w:rsidP="00226764">
            <w:pPr>
              <w:pStyle w:val="Tabletext"/>
              <w:spacing w:before="0" w:after="0" w:line="240" w:lineRule="exact"/>
              <w:ind w:left="-57" w:right="-113"/>
              <w:jc w:val="center"/>
              <w:rPr>
                <w:sz w:val="18"/>
                <w:szCs w:val="18"/>
                <w:lang w:val="es-ES_tradnl" w:eastAsia="ja-JP"/>
              </w:rPr>
            </w:pPr>
            <w:r w:rsidRPr="00140923">
              <w:rPr>
                <w:sz w:val="18"/>
                <w:szCs w:val="18"/>
                <w:lang w:val="es-ES_tradnl" w:eastAsia="ja-JP"/>
              </w:rPr>
              <w:t>MAQ-</w:t>
            </w:r>
            <w:r w:rsidR="00D34F24" w:rsidRPr="00140923">
              <w:rPr>
                <w:sz w:val="18"/>
                <w:szCs w:val="18"/>
                <w:lang w:val="es-ES_tradnl" w:eastAsia="ja-JP"/>
              </w:rPr>
              <w:t>16</w:t>
            </w:r>
          </w:p>
        </w:tc>
        <w:tc>
          <w:tcPr>
            <w:tcW w:w="1134" w:type="dxa"/>
          </w:tcPr>
          <w:p w14:paraId="5C573960" w14:textId="2C71EA15" w:rsidR="00D34F24" w:rsidRPr="00140923" w:rsidRDefault="008A4D73" w:rsidP="00226764">
            <w:pPr>
              <w:pStyle w:val="Tabletext"/>
              <w:spacing w:before="0" w:after="0" w:line="240" w:lineRule="exact"/>
              <w:ind w:left="-57" w:right="-113"/>
              <w:jc w:val="center"/>
              <w:rPr>
                <w:sz w:val="18"/>
                <w:szCs w:val="18"/>
                <w:lang w:val="es-ES_tradnl" w:eastAsia="ja-JP"/>
              </w:rPr>
            </w:pPr>
            <w:r w:rsidRPr="00140923">
              <w:rPr>
                <w:sz w:val="18"/>
                <w:szCs w:val="18"/>
                <w:lang w:val="es-ES_tradnl" w:eastAsia="ja-JP"/>
              </w:rPr>
              <w:t>MAQ-128</w:t>
            </w:r>
          </w:p>
        </w:tc>
        <w:tc>
          <w:tcPr>
            <w:tcW w:w="1276" w:type="dxa"/>
          </w:tcPr>
          <w:p w14:paraId="1940EC3F" w14:textId="206A11D3" w:rsidR="00D34F24" w:rsidRPr="00140923" w:rsidRDefault="00870FD9" w:rsidP="00226764">
            <w:pPr>
              <w:pStyle w:val="Tabletext"/>
              <w:spacing w:before="0" w:after="0" w:line="240" w:lineRule="exact"/>
              <w:ind w:left="-57" w:right="-113"/>
              <w:jc w:val="center"/>
              <w:rPr>
                <w:sz w:val="18"/>
                <w:szCs w:val="18"/>
                <w:lang w:val="es-ES_tradnl" w:eastAsia="ja-JP"/>
              </w:rPr>
            </w:pPr>
            <w:r w:rsidRPr="00140923">
              <w:rPr>
                <w:sz w:val="18"/>
                <w:szCs w:val="18"/>
                <w:lang w:val="es-ES_tradnl" w:eastAsia="ja-JP"/>
              </w:rPr>
              <w:t>MAQ-16</w:t>
            </w:r>
          </w:p>
        </w:tc>
        <w:tc>
          <w:tcPr>
            <w:tcW w:w="1275" w:type="dxa"/>
          </w:tcPr>
          <w:p w14:paraId="6AB3F497" w14:textId="187D8045" w:rsidR="00D34F24" w:rsidRPr="00140923" w:rsidRDefault="00870FD9" w:rsidP="00226764">
            <w:pPr>
              <w:pStyle w:val="Tabletext"/>
              <w:spacing w:before="0" w:after="0" w:line="240" w:lineRule="exact"/>
              <w:ind w:left="-57" w:right="-113"/>
              <w:jc w:val="center"/>
              <w:rPr>
                <w:sz w:val="18"/>
                <w:szCs w:val="18"/>
                <w:lang w:val="es-ES_tradnl" w:eastAsia="ja-JP"/>
              </w:rPr>
            </w:pPr>
            <w:r w:rsidRPr="00140923">
              <w:rPr>
                <w:sz w:val="18"/>
                <w:szCs w:val="18"/>
                <w:lang w:val="es-ES_tradnl" w:eastAsia="ja-JP"/>
              </w:rPr>
              <w:t>MAQ-128</w:t>
            </w:r>
          </w:p>
        </w:tc>
        <w:tc>
          <w:tcPr>
            <w:tcW w:w="1134" w:type="dxa"/>
          </w:tcPr>
          <w:p w14:paraId="14BB3E8B" w14:textId="186F7CF6" w:rsidR="00D34F24" w:rsidRPr="00140923" w:rsidRDefault="00870FD9" w:rsidP="00226764">
            <w:pPr>
              <w:pStyle w:val="Tabletext"/>
              <w:spacing w:before="0" w:after="0"/>
              <w:ind w:left="-57" w:right="-113"/>
              <w:jc w:val="center"/>
              <w:rPr>
                <w:color w:val="000000"/>
                <w:sz w:val="18"/>
                <w:szCs w:val="18"/>
                <w:lang w:val="es-ES_tradnl" w:eastAsia="ja-JP"/>
              </w:rPr>
            </w:pPr>
            <w:r w:rsidRPr="00140923">
              <w:rPr>
                <w:color w:val="000000"/>
                <w:sz w:val="18"/>
                <w:szCs w:val="18"/>
                <w:lang w:val="es-ES_tradnl" w:eastAsia="ja-JP"/>
              </w:rPr>
              <w:t>MDP-4</w:t>
            </w:r>
          </w:p>
        </w:tc>
        <w:tc>
          <w:tcPr>
            <w:tcW w:w="1134" w:type="dxa"/>
          </w:tcPr>
          <w:p w14:paraId="6E5B0D5F" w14:textId="412A35FD" w:rsidR="00D34F24" w:rsidRPr="00140923" w:rsidRDefault="00870FD9" w:rsidP="00226764">
            <w:pPr>
              <w:pStyle w:val="Tabletext"/>
              <w:spacing w:before="0" w:after="0"/>
              <w:ind w:left="-57" w:right="-113"/>
              <w:jc w:val="center"/>
              <w:rPr>
                <w:color w:val="000000"/>
                <w:sz w:val="18"/>
                <w:szCs w:val="18"/>
                <w:lang w:val="es-ES_tradnl" w:eastAsia="ja-JP"/>
              </w:rPr>
            </w:pPr>
            <w:r w:rsidRPr="00140923">
              <w:rPr>
                <w:sz w:val="18"/>
                <w:szCs w:val="18"/>
                <w:lang w:val="es-ES_tradnl" w:eastAsia="ja-JP"/>
              </w:rPr>
              <w:t>MAQ-128</w:t>
            </w:r>
          </w:p>
        </w:tc>
        <w:tc>
          <w:tcPr>
            <w:tcW w:w="851" w:type="dxa"/>
          </w:tcPr>
          <w:p w14:paraId="361CDC2A" w14:textId="2CEA5EDF" w:rsidR="00D34F24" w:rsidRPr="00140923" w:rsidRDefault="00870FD9" w:rsidP="00226764">
            <w:pPr>
              <w:pStyle w:val="Tabletext"/>
              <w:spacing w:before="0" w:after="0"/>
              <w:ind w:left="-57" w:right="-113"/>
              <w:jc w:val="center"/>
              <w:rPr>
                <w:color w:val="000000"/>
                <w:sz w:val="18"/>
                <w:szCs w:val="18"/>
                <w:lang w:val="es-ES_tradnl"/>
              </w:rPr>
            </w:pPr>
            <w:r w:rsidRPr="00140923">
              <w:rPr>
                <w:color w:val="000000"/>
                <w:sz w:val="18"/>
                <w:szCs w:val="18"/>
                <w:lang w:val="es-ES_tradnl"/>
              </w:rPr>
              <w:t>MDP-4</w:t>
            </w:r>
          </w:p>
        </w:tc>
        <w:tc>
          <w:tcPr>
            <w:tcW w:w="992" w:type="dxa"/>
          </w:tcPr>
          <w:p w14:paraId="0C370B68" w14:textId="47FFB24D" w:rsidR="00D34F24" w:rsidRPr="00140923" w:rsidRDefault="00870FD9" w:rsidP="00226764">
            <w:pPr>
              <w:pStyle w:val="Tabletext"/>
              <w:spacing w:before="0" w:after="0"/>
              <w:ind w:left="-57" w:right="-113"/>
              <w:jc w:val="center"/>
              <w:rPr>
                <w:color w:val="000000"/>
                <w:sz w:val="18"/>
                <w:szCs w:val="18"/>
                <w:lang w:val="es-ES_tradnl"/>
              </w:rPr>
            </w:pPr>
            <w:r w:rsidRPr="00140923">
              <w:rPr>
                <w:sz w:val="18"/>
                <w:szCs w:val="18"/>
                <w:lang w:val="es-ES_tradnl" w:eastAsia="ja-JP"/>
              </w:rPr>
              <w:t>MAQ-128</w:t>
            </w:r>
          </w:p>
        </w:tc>
        <w:tc>
          <w:tcPr>
            <w:tcW w:w="1134" w:type="dxa"/>
          </w:tcPr>
          <w:p w14:paraId="36BD4795" w14:textId="6210F669" w:rsidR="00D34F24" w:rsidRPr="00140923" w:rsidRDefault="00870FD9" w:rsidP="00226764">
            <w:pPr>
              <w:pStyle w:val="Tabletext"/>
              <w:spacing w:before="0" w:after="0" w:line="240" w:lineRule="exact"/>
              <w:ind w:left="-57" w:right="-113"/>
              <w:jc w:val="center"/>
              <w:rPr>
                <w:sz w:val="18"/>
                <w:szCs w:val="18"/>
                <w:lang w:val="es-ES_tradnl" w:eastAsia="ja-JP"/>
              </w:rPr>
            </w:pPr>
            <w:r w:rsidRPr="00140923">
              <w:rPr>
                <w:sz w:val="18"/>
                <w:szCs w:val="18"/>
                <w:lang w:val="es-ES_tradnl" w:eastAsia="ja-JP"/>
              </w:rPr>
              <w:t>MAQ-16</w:t>
            </w:r>
          </w:p>
        </w:tc>
        <w:tc>
          <w:tcPr>
            <w:tcW w:w="1134" w:type="dxa"/>
          </w:tcPr>
          <w:p w14:paraId="166FFED1" w14:textId="789E99CD" w:rsidR="00D34F24" w:rsidRPr="00140923" w:rsidRDefault="00870FD9" w:rsidP="00226764">
            <w:pPr>
              <w:pStyle w:val="Tabletext"/>
              <w:spacing w:before="0" w:after="0" w:line="240" w:lineRule="exact"/>
              <w:ind w:left="-57" w:right="-113"/>
              <w:jc w:val="center"/>
              <w:rPr>
                <w:sz w:val="18"/>
                <w:szCs w:val="18"/>
                <w:lang w:val="es-ES_tradnl" w:eastAsia="ja-JP"/>
              </w:rPr>
            </w:pPr>
            <w:r w:rsidRPr="00140923">
              <w:rPr>
                <w:sz w:val="18"/>
                <w:szCs w:val="18"/>
                <w:lang w:val="es-ES_tradnl" w:eastAsia="ja-JP"/>
              </w:rPr>
              <w:t>MAQ-64</w:t>
            </w:r>
          </w:p>
        </w:tc>
        <w:tc>
          <w:tcPr>
            <w:tcW w:w="992" w:type="dxa"/>
          </w:tcPr>
          <w:p w14:paraId="618F49AD" w14:textId="415B80E8" w:rsidR="00D34F24" w:rsidRPr="00140923" w:rsidRDefault="00870FD9" w:rsidP="00226764">
            <w:pPr>
              <w:pStyle w:val="Tabletext"/>
              <w:spacing w:before="0" w:after="0" w:line="240" w:lineRule="exact"/>
              <w:ind w:left="-57" w:right="-113"/>
              <w:jc w:val="center"/>
              <w:rPr>
                <w:color w:val="000000"/>
                <w:sz w:val="18"/>
                <w:szCs w:val="18"/>
                <w:lang w:val="es-ES_tradnl"/>
              </w:rPr>
            </w:pPr>
            <w:r w:rsidRPr="00140923">
              <w:rPr>
                <w:color w:val="000000"/>
                <w:sz w:val="18"/>
                <w:szCs w:val="18"/>
                <w:lang w:val="es-ES_tradnl"/>
              </w:rPr>
              <w:t>MDP-4</w:t>
            </w:r>
          </w:p>
        </w:tc>
        <w:tc>
          <w:tcPr>
            <w:tcW w:w="856" w:type="dxa"/>
          </w:tcPr>
          <w:p w14:paraId="510A6310" w14:textId="7E631A6A" w:rsidR="00D34F24" w:rsidRPr="00140923" w:rsidRDefault="00870FD9" w:rsidP="00226764">
            <w:pPr>
              <w:pStyle w:val="Tabletext"/>
              <w:spacing w:before="0" w:after="0" w:line="240" w:lineRule="exact"/>
              <w:ind w:left="-57" w:right="-113"/>
              <w:jc w:val="center"/>
              <w:rPr>
                <w:color w:val="000000"/>
                <w:sz w:val="18"/>
                <w:szCs w:val="18"/>
                <w:lang w:val="es-ES_tradnl"/>
              </w:rPr>
            </w:pPr>
            <w:r w:rsidRPr="00140923">
              <w:rPr>
                <w:sz w:val="18"/>
                <w:szCs w:val="18"/>
                <w:lang w:val="es-ES_tradnl" w:eastAsia="ja-JP"/>
              </w:rPr>
              <w:t>MAQ-128</w:t>
            </w:r>
          </w:p>
        </w:tc>
      </w:tr>
      <w:tr w:rsidR="00480606" w:rsidRPr="00140923" w14:paraId="3FAF9025" w14:textId="77777777" w:rsidTr="00480606">
        <w:trPr>
          <w:cantSplit/>
          <w:jc w:val="center"/>
        </w:trPr>
        <w:tc>
          <w:tcPr>
            <w:tcW w:w="1413" w:type="dxa"/>
            <w:tcMar>
              <w:left w:w="57" w:type="dxa"/>
              <w:right w:w="57" w:type="dxa"/>
            </w:tcMar>
          </w:tcPr>
          <w:p w14:paraId="5EEBF7F2" w14:textId="276C18F0" w:rsidR="00D34F24" w:rsidRPr="00140923" w:rsidRDefault="00870FD9" w:rsidP="00226764">
            <w:pPr>
              <w:pStyle w:val="Tabletext"/>
              <w:spacing w:before="0" w:after="0" w:line="240" w:lineRule="exact"/>
              <w:jc w:val="left"/>
              <w:rPr>
                <w:sz w:val="18"/>
                <w:szCs w:val="18"/>
                <w:lang w:val="es-ES_tradnl"/>
              </w:rPr>
            </w:pPr>
            <w:r w:rsidRPr="00140923">
              <w:rPr>
                <w:sz w:val="18"/>
                <w:szCs w:val="18"/>
                <w:lang w:val="es-ES_tradnl"/>
              </w:rPr>
              <w:t>Separación de canales y anchura de banda de ruido del receptor (MHz)</w:t>
            </w:r>
          </w:p>
        </w:tc>
        <w:tc>
          <w:tcPr>
            <w:tcW w:w="1134" w:type="dxa"/>
          </w:tcPr>
          <w:p w14:paraId="1D93F54E" w14:textId="67AAF59F" w:rsidR="00D34F24" w:rsidRPr="00140923" w:rsidRDefault="00D34F24" w:rsidP="00226764">
            <w:pPr>
              <w:pStyle w:val="Tabletext"/>
              <w:spacing w:before="0" w:after="0" w:line="240" w:lineRule="exact"/>
              <w:jc w:val="center"/>
              <w:rPr>
                <w:sz w:val="18"/>
                <w:szCs w:val="18"/>
                <w:lang w:val="es-ES_tradnl" w:eastAsia="ja-JP"/>
              </w:rPr>
            </w:pPr>
            <w:r w:rsidRPr="00140923">
              <w:rPr>
                <w:sz w:val="18"/>
                <w:szCs w:val="18"/>
                <w:lang w:val="es-ES_tradnl" w:eastAsia="ja-JP"/>
              </w:rPr>
              <w:t>3</w:t>
            </w:r>
            <w:r w:rsidR="004E54FE">
              <w:rPr>
                <w:sz w:val="18"/>
                <w:szCs w:val="18"/>
                <w:lang w:val="es-ES_tradnl" w:eastAsia="ja-JP"/>
              </w:rPr>
              <w:t>,</w:t>
            </w:r>
            <w:r w:rsidRPr="00140923">
              <w:rPr>
                <w:sz w:val="18"/>
                <w:szCs w:val="18"/>
                <w:lang w:val="es-ES_tradnl"/>
              </w:rPr>
              <w:t>5</w:t>
            </w:r>
            <w:r w:rsidR="004E54FE">
              <w:rPr>
                <w:sz w:val="18"/>
                <w:szCs w:val="18"/>
                <w:lang w:val="es-ES_tradnl"/>
              </w:rPr>
              <w:t>;</w:t>
            </w:r>
            <w:r w:rsidRPr="00140923">
              <w:rPr>
                <w:sz w:val="18"/>
                <w:szCs w:val="18"/>
                <w:lang w:val="es-ES_tradnl" w:eastAsia="ja-JP"/>
              </w:rPr>
              <w:t xml:space="preserve"> 5</w:t>
            </w:r>
            <w:r w:rsidR="004E54FE">
              <w:rPr>
                <w:sz w:val="18"/>
                <w:szCs w:val="18"/>
                <w:lang w:val="es-ES_tradnl"/>
              </w:rPr>
              <w:t>;</w:t>
            </w:r>
            <w:r w:rsidRPr="00140923">
              <w:rPr>
                <w:sz w:val="18"/>
                <w:szCs w:val="18"/>
                <w:lang w:val="es-ES_tradnl" w:eastAsia="ja-JP"/>
              </w:rPr>
              <w:t xml:space="preserve"> 7</w:t>
            </w:r>
            <w:r w:rsidR="004E54FE">
              <w:rPr>
                <w:sz w:val="18"/>
                <w:szCs w:val="18"/>
                <w:lang w:val="es-ES_tradnl"/>
              </w:rPr>
              <w:t>;</w:t>
            </w:r>
            <w:r w:rsidRPr="00140923">
              <w:rPr>
                <w:sz w:val="18"/>
                <w:szCs w:val="18"/>
                <w:lang w:val="es-ES_tradnl" w:eastAsia="ja-JP"/>
              </w:rPr>
              <w:t xml:space="preserve"> </w:t>
            </w:r>
            <w:r w:rsidRPr="00140923">
              <w:rPr>
                <w:b/>
                <w:sz w:val="18"/>
                <w:szCs w:val="18"/>
                <w:lang w:val="es-ES_tradnl" w:eastAsia="ja-JP"/>
              </w:rPr>
              <w:t>10</w:t>
            </w:r>
            <w:r w:rsidR="004E54FE">
              <w:rPr>
                <w:sz w:val="18"/>
                <w:szCs w:val="18"/>
                <w:lang w:val="es-ES_tradnl"/>
              </w:rPr>
              <w:t>;</w:t>
            </w:r>
            <w:r w:rsidRPr="00140923">
              <w:rPr>
                <w:sz w:val="18"/>
                <w:szCs w:val="18"/>
                <w:lang w:val="es-ES_tradnl" w:eastAsia="ja-JP"/>
              </w:rPr>
              <w:t xml:space="preserve"> 14</w:t>
            </w:r>
            <w:r w:rsidR="004E54FE">
              <w:rPr>
                <w:sz w:val="18"/>
                <w:szCs w:val="18"/>
                <w:lang w:val="es-ES_tradnl"/>
              </w:rPr>
              <w:t>;</w:t>
            </w:r>
            <w:r w:rsidRPr="00140923">
              <w:rPr>
                <w:sz w:val="18"/>
                <w:szCs w:val="18"/>
                <w:lang w:val="es-ES_tradnl" w:eastAsia="ja-JP"/>
              </w:rPr>
              <w:t xml:space="preserve"> </w:t>
            </w:r>
            <w:r w:rsidRPr="00140923">
              <w:rPr>
                <w:b/>
                <w:sz w:val="18"/>
                <w:szCs w:val="18"/>
                <w:lang w:val="es-ES_tradnl" w:eastAsia="ja-JP"/>
              </w:rPr>
              <w:t>20</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28</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30</w:t>
            </w:r>
            <w:r w:rsidRPr="00140923">
              <w:rPr>
                <w:bCs/>
                <w:caps/>
                <w:sz w:val="18"/>
                <w:szCs w:val="18"/>
                <w:vertAlign w:val="superscript"/>
                <w:lang w:val="es-ES_tradnl" w:eastAsia="ja-JP"/>
              </w:rPr>
              <w:t>(3)</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40</w:t>
            </w:r>
            <w:r w:rsidRPr="00140923">
              <w:rPr>
                <w:bCs/>
                <w:caps/>
                <w:sz w:val="18"/>
                <w:szCs w:val="18"/>
                <w:vertAlign w:val="superscript"/>
                <w:lang w:val="es-ES_tradnl" w:eastAsia="ja-JP"/>
              </w:rPr>
              <w:t>(3)</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60</w:t>
            </w:r>
            <w:r w:rsidRPr="00140923">
              <w:rPr>
                <w:bCs/>
                <w:caps/>
                <w:sz w:val="18"/>
                <w:szCs w:val="18"/>
                <w:vertAlign w:val="superscript"/>
                <w:lang w:val="es-ES_tradnl" w:eastAsia="ja-JP"/>
              </w:rPr>
              <w:t>(3)</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80</w:t>
            </w:r>
            <w:r w:rsidRPr="00140923">
              <w:rPr>
                <w:bCs/>
                <w:caps/>
                <w:sz w:val="18"/>
                <w:szCs w:val="18"/>
                <w:vertAlign w:val="superscript"/>
                <w:lang w:val="es-ES_tradnl" w:eastAsia="ja-JP"/>
              </w:rPr>
              <w:t>(3)</w:t>
            </w:r>
          </w:p>
        </w:tc>
        <w:tc>
          <w:tcPr>
            <w:tcW w:w="1134" w:type="dxa"/>
          </w:tcPr>
          <w:p w14:paraId="50366483" w14:textId="09515C09" w:rsidR="00D34F24" w:rsidRPr="00140923" w:rsidRDefault="00D34F24" w:rsidP="00226764">
            <w:pPr>
              <w:pStyle w:val="Tabletext"/>
              <w:spacing w:before="0" w:after="0" w:line="240" w:lineRule="exact"/>
              <w:jc w:val="center"/>
              <w:rPr>
                <w:sz w:val="18"/>
                <w:szCs w:val="18"/>
                <w:lang w:val="es-ES_tradnl"/>
              </w:rPr>
            </w:pPr>
            <w:r w:rsidRPr="00140923">
              <w:rPr>
                <w:sz w:val="18"/>
                <w:szCs w:val="18"/>
                <w:lang w:val="es-ES_tradnl" w:eastAsia="ja-JP"/>
              </w:rPr>
              <w:t>3</w:t>
            </w:r>
            <w:r w:rsidR="004E54FE">
              <w:rPr>
                <w:sz w:val="18"/>
                <w:szCs w:val="18"/>
                <w:lang w:val="es-ES_tradnl" w:eastAsia="ja-JP"/>
              </w:rPr>
              <w:t>,</w:t>
            </w:r>
            <w:r w:rsidRPr="00140923">
              <w:rPr>
                <w:sz w:val="18"/>
                <w:szCs w:val="18"/>
                <w:lang w:val="es-ES_tradnl"/>
              </w:rPr>
              <w:t>5</w:t>
            </w:r>
            <w:r w:rsidR="004E54FE">
              <w:rPr>
                <w:sz w:val="18"/>
                <w:szCs w:val="18"/>
                <w:lang w:val="es-ES_tradnl"/>
              </w:rPr>
              <w:t>;</w:t>
            </w:r>
            <w:r w:rsidRPr="00140923">
              <w:rPr>
                <w:sz w:val="18"/>
                <w:szCs w:val="18"/>
                <w:lang w:val="es-ES_tradnl" w:eastAsia="ja-JP"/>
              </w:rPr>
              <w:t xml:space="preserve"> 5</w:t>
            </w:r>
            <w:r w:rsidR="004E54FE">
              <w:rPr>
                <w:sz w:val="18"/>
                <w:szCs w:val="18"/>
                <w:lang w:val="es-ES_tradnl"/>
              </w:rPr>
              <w:t>;</w:t>
            </w:r>
            <w:r w:rsidRPr="00140923">
              <w:rPr>
                <w:sz w:val="18"/>
                <w:szCs w:val="18"/>
                <w:lang w:val="es-ES_tradnl" w:eastAsia="ja-JP"/>
              </w:rPr>
              <w:t xml:space="preserve"> 7</w:t>
            </w:r>
            <w:r w:rsidR="004E54FE">
              <w:rPr>
                <w:sz w:val="18"/>
                <w:szCs w:val="18"/>
                <w:lang w:val="es-ES_tradnl"/>
              </w:rPr>
              <w:t>;</w:t>
            </w:r>
            <w:r w:rsidRPr="00140923">
              <w:rPr>
                <w:sz w:val="18"/>
                <w:szCs w:val="18"/>
                <w:lang w:val="es-ES_tradnl" w:eastAsia="ja-JP"/>
              </w:rPr>
              <w:t xml:space="preserve"> </w:t>
            </w:r>
            <w:r w:rsidRPr="00140923">
              <w:rPr>
                <w:b/>
                <w:sz w:val="18"/>
                <w:szCs w:val="18"/>
                <w:lang w:val="es-ES_tradnl" w:eastAsia="ja-JP"/>
              </w:rPr>
              <w:t>10</w:t>
            </w:r>
            <w:r w:rsidR="004E54FE">
              <w:rPr>
                <w:sz w:val="18"/>
                <w:szCs w:val="18"/>
                <w:lang w:val="es-ES_tradnl"/>
              </w:rPr>
              <w:t>;</w:t>
            </w:r>
            <w:r w:rsidRPr="00140923">
              <w:rPr>
                <w:sz w:val="18"/>
                <w:szCs w:val="18"/>
                <w:lang w:val="es-ES_tradnl" w:eastAsia="ja-JP"/>
              </w:rPr>
              <w:t xml:space="preserve"> 14</w:t>
            </w:r>
            <w:r w:rsidR="004E54FE">
              <w:rPr>
                <w:sz w:val="18"/>
                <w:szCs w:val="18"/>
                <w:lang w:val="es-ES_tradnl"/>
              </w:rPr>
              <w:t>;</w:t>
            </w:r>
            <w:r w:rsidRPr="00140923">
              <w:rPr>
                <w:sz w:val="18"/>
                <w:szCs w:val="18"/>
                <w:lang w:val="es-ES_tradnl" w:eastAsia="ja-JP"/>
              </w:rPr>
              <w:t xml:space="preserve"> </w:t>
            </w:r>
            <w:r w:rsidRPr="00140923">
              <w:rPr>
                <w:b/>
                <w:sz w:val="18"/>
                <w:szCs w:val="18"/>
                <w:lang w:val="es-ES_tradnl" w:eastAsia="ja-JP"/>
              </w:rPr>
              <w:t>20</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28</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30</w:t>
            </w:r>
            <w:r w:rsidRPr="00140923">
              <w:rPr>
                <w:bCs/>
                <w:caps/>
                <w:sz w:val="18"/>
                <w:szCs w:val="18"/>
                <w:vertAlign w:val="superscript"/>
                <w:lang w:val="es-ES_tradnl" w:eastAsia="ja-JP"/>
              </w:rPr>
              <w:t>(3)</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40</w:t>
            </w:r>
            <w:r w:rsidRPr="00140923">
              <w:rPr>
                <w:bCs/>
                <w:caps/>
                <w:sz w:val="18"/>
                <w:szCs w:val="18"/>
                <w:vertAlign w:val="superscript"/>
                <w:lang w:val="es-ES_tradnl" w:eastAsia="ja-JP"/>
              </w:rPr>
              <w:t>(3)</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60</w:t>
            </w:r>
            <w:r w:rsidRPr="00140923">
              <w:rPr>
                <w:bCs/>
                <w:caps/>
                <w:sz w:val="18"/>
                <w:szCs w:val="18"/>
                <w:vertAlign w:val="superscript"/>
                <w:lang w:val="es-ES_tradnl" w:eastAsia="ja-JP"/>
              </w:rPr>
              <w:t>(3)</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80</w:t>
            </w:r>
            <w:r w:rsidRPr="00140923">
              <w:rPr>
                <w:bCs/>
                <w:caps/>
                <w:sz w:val="18"/>
                <w:szCs w:val="18"/>
                <w:vertAlign w:val="superscript"/>
                <w:lang w:val="es-ES_tradnl" w:eastAsia="ja-JP"/>
              </w:rPr>
              <w:t>(3)</w:t>
            </w:r>
          </w:p>
        </w:tc>
        <w:tc>
          <w:tcPr>
            <w:tcW w:w="1276" w:type="dxa"/>
          </w:tcPr>
          <w:p w14:paraId="51BAD1C0" w14:textId="19E3C17B" w:rsidR="00D34F24" w:rsidRPr="00140923" w:rsidRDefault="00D34F24" w:rsidP="00226764">
            <w:pPr>
              <w:pStyle w:val="Tabletext"/>
              <w:spacing w:before="0" w:after="0" w:line="240" w:lineRule="exact"/>
              <w:jc w:val="center"/>
              <w:rPr>
                <w:sz w:val="18"/>
                <w:szCs w:val="18"/>
                <w:lang w:val="es-ES_tradnl"/>
              </w:rPr>
            </w:pPr>
            <w:r w:rsidRPr="00140923">
              <w:rPr>
                <w:caps/>
                <w:sz w:val="18"/>
                <w:szCs w:val="18"/>
                <w:lang w:val="es-ES_tradnl" w:eastAsia="ja-JP"/>
              </w:rPr>
              <w:t>1</w:t>
            </w:r>
            <w:r w:rsidR="004E54FE">
              <w:rPr>
                <w:caps/>
                <w:sz w:val="18"/>
                <w:szCs w:val="18"/>
                <w:lang w:val="es-ES_tradnl" w:eastAsia="ja-JP"/>
              </w:rPr>
              <w:t>,</w:t>
            </w:r>
            <w:r w:rsidRPr="00140923">
              <w:rPr>
                <w:caps/>
                <w:sz w:val="18"/>
                <w:szCs w:val="18"/>
                <w:lang w:val="es-ES_tradnl" w:eastAsia="ja-JP"/>
              </w:rPr>
              <w:t>25</w:t>
            </w:r>
            <w:r w:rsidR="004E54FE">
              <w:rPr>
                <w:sz w:val="18"/>
                <w:szCs w:val="18"/>
                <w:lang w:val="es-ES_tradnl"/>
              </w:rPr>
              <w:t>;</w:t>
            </w:r>
            <w:r w:rsidRPr="00140923">
              <w:rPr>
                <w:caps/>
                <w:sz w:val="18"/>
                <w:szCs w:val="18"/>
                <w:lang w:val="es-ES_tradnl" w:eastAsia="ja-JP"/>
              </w:rPr>
              <w:t xml:space="preserve"> 2</w:t>
            </w:r>
            <w:r w:rsidR="004E54FE">
              <w:rPr>
                <w:caps/>
                <w:sz w:val="18"/>
                <w:szCs w:val="18"/>
                <w:lang w:val="es-ES_tradnl" w:eastAsia="ja-JP"/>
              </w:rPr>
              <w:t>,</w:t>
            </w:r>
            <w:r w:rsidRPr="00140923">
              <w:rPr>
                <w:caps/>
                <w:sz w:val="18"/>
                <w:szCs w:val="18"/>
                <w:lang w:val="es-ES_tradnl" w:eastAsia="ja-JP"/>
              </w:rPr>
              <w:t>5</w:t>
            </w:r>
            <w:r w:rsidR="004E54FE">
              <w:rPr>
                <w:sz w:val="18"/>
                <w:szCs w:val="18"/>
                <w:lang w:val="es-ES_tradnl"/>
              </w:rPr>
              <w:t>;</w:t>
            </w:r>
            <w:r w:rsidRPr="00140923">
              <w:rPr>
                <w:caps/>
                <w:sz w:val="18"/>
                <w:szCs w:val="18"/>
                <w:lang w:val="es-ES_tradnl" w:eastAsia="ja-JP"/>
              </w:rPr>
              <w:t xml:space="preserve"> 5</w:t>
            </w:r>
            <w:r w:rsidR="004E54FE">
              <w:rPr>
                <w:sz w:val="18"/>
                <w:szCs w:val="18"/>
                <w:lang w:val="es-ES_tradnl"/>
              </w:rPr>
              <w:t>;</w:t>
            </w:r>
            <w:r w:rsidRPr="00140923">
              <w:rPr>
                <w:caps/>
                <w:sz w:val="18"/>
                <w:szCs w:val="18"/>
                <w:lang w:val="es-ES_tradnl" w:eastAsia="ja-JP"/>
              </w:rPr>
              <w:t xml:space="preserve"> 7</w:t>
            </w:r>
            <w:r w:rsidR="004E54FE">
              <w:rPr>
                <w:sz w:val="18"/>
                <w:szCs w:val="18"/>
                <w:lang w:val="es-ES_tradnl"/>
              </w:rPr>
              <w:t>;</w:t>
            </w:r>
            <w:r w:rsidRPr="00140923">
              <w:rPr>
                <w:caps/>
                <w:sz w:val="18"/>
                <w:szCs w:val="18"/>
                <w:lang w:val="es-ES_tradnl" w:eastAsia="ja-JP"/>
              </w:rPr>
              <w:t xml:space="preserve"> </w:t>
            </w:r>
            <w:r w:rsidRPr="00140923">
              <w:rPr>
                <w:b/>
                <w:caps/>
                <w:sz w:val="18"/>
                <w:szCs w:val="18"/>
                <w:lang w:val="es-ES_tradnl" w:eastAsia="ja-JP"/>
              </w:rPr>
              <w:t>10</w:t>
            </w:r>
            <w:r w:rsidR="004E54FE">
              <w:rPr>
                <w:sz w:val="18"/>
                <w:szCs w:val="18"/>
                <w:lang w:val="es-ES_tradnl"/>
              </w:rPr>
              <w:t>;</w:t>
            </w:r>
            <w:r w:rsidRPr="00140923">
              <w:rPr>
                <w:caps/>
                <w:sz w:val="18"/>
                <w:szCs w:val="18"/>
                <w:lang w:val="es-ES_tradnl" w:eastAsia="ja-JP"/>
              </w:rPr>
              <w:t xml:space="preserve"> 11</w:t>
            </w:r>
            <w:r w:rsidR="004E54FE">
              <w:rPr>
                <w:caps/>
                <w:sz w:val="18"/>
                <w:szCs w:val="18"/>
                <w:lang w:val="es-ES_tradnl" w:eastAsia="ja-JP"/>
              </w:rPr>
              <w:t>,</w:t>
            </w:r>
            <w:r w:rsidRPr="00140923">
              <w:rPr>
                <w:caps/>
                <w:sz w:val="18"/>
                <w:szCs w:val="18"/>
                <w:lang w:val="es-ES_tradnl" w:eastAsia="ja-JP"/>
              </w:rPr>
              <w:t>662</w:t>
            </w:r>
            <w:r w:rsidR="004E54FE">
              <w:rPr>
                <w:sz w:val="18"/>
                <w:szCs w:val="18"/>
                <w:lang w:val="es-ES_tradnl"/>
              </w:rPr>
              <w:t>;</w:t>
            </w:r>
            <w:r w:rsidRPr="00140923">
              <w:rPr>
                <w:caps/>
                <w:sz w:val="18"/>
                <w:szCs w:val="18"/>
                <w:lang w:val="es-ES_tradnl" w:eastAsia="ja-JP"/>
              </w:rPr>
              <w:t xml:space="preserve"> 14</w:t>
            </w:r>
            <w:r w:rsidR="004E54FE">
              <w:rPr>
                <w:sz w:val="18"/>
                <w:szCs w:val="18"/>
                <w:lang w:val="es-ES_tradnl"/>
              </w:rPr>
              <w:t>;</w:t>
            </w:r>
            <w:r w:rsidRPr="00140923">
              <w:rPr>
                <w:caps/>
                <w:sz w:val="18"/>
                <w:szCs w:val="18"/>
                <w:lang w:val="es-ES_tradnl" w:eastAsia="ja-JP"/>
              </w:rPr>
              <w:t xml:space="preserve"> </w:t>
            </w:r>
            <w:r w:rsidRPr="00140923">
              <w:rPr>
                <w:b/>
                <w:caps/>
                <w:sz w:val="18"/>
                <w:szCs w:val="18"/>
                <w:lang w:val="es-ES_tradnl" w:eastAsia="ja-JP"/>
              </w:rPr>
              <w:t>20</w:t>
            </w:r>
            <w:r w:rsidR="004E54FE">
              <w:rPr>
                <w:sz w:val="18"/>
                <w:szCs w:val="18"/>
                <w:lang w:val="es-ES_tradnl"/>
              </w:rPr>
              <w:t>;</w:t>
            </w:r>
            <w:r w:rsidRPr="00140923">
              <w:rPr>
                <w:bCs/>
                <w:caps/>
                <w:sz w:val="18"/>
                <w:szCs w:val="18"/>
                <w:lang w:val="es-ES_tradnl" w:eastAsia="ja-JP"/>
              </w:rPr>
              <w:t xml:space="preserve"> </w:t>
            </w:r>
            <w:r w:rsidRPr="00140923">
              <w:rPr>
                <w:b/>
                <w:caps/>
                <w:sz w:val="18"/>
                <w:szCs w:val="18"/>
                <w:lang w:val="es-ES_tradnl" w:eastAsia="ja-JP"/>
              </w:rPr>
              <w:t>28</w:t>
            </w:r>
            <w:r w:rsidR="004E54FE">
              <w:rPr>
                <w:sz w:val="18"/>
                <w:szCs w:val="18"/>
                <w:lang w:val="es-ES_tradnl"/>
              </w:rPr>
              <w:t>;</w:t>
            </w:r>
            <w:r w:rsidRPr="00140923">
              <w:rPr>
                <w:caps/>
                <w:sz w:val="18"/>
                <w:szCs w:val="18"/>
                <w:lang w:val="es-ES_tradnl" w:eastAsia="ja-JP"/>
              </w:rPr>
              <w:t xml:space="preserve"> 29</w:t>
            </w:r>
            <w:r w:rsidR="004E54FE">
              <w:rPr>
                <w:caps/>
                <w:sz w:val="18"/>
                <w:szCs w:val="18"/>
                <w:lang w:val="es-ES_tradnl" w:eastAsia="ja-JP"/>
              </w:rPr>
              <w:t>,</w:t>
            </w:r>
            <w:r w:rsidRPr="00140923">
              <w:rPr>
                <w:caps/>
                <w:sz w:val="18"/>
                <w:szCs w:val="18"/>
                <w:lang w:val="es-ES_tradnl" w:eastAsia="ja-JP"/>
              </w:rPr>
              <w:t>65</w:t>
            </w:r>
            <w:r w:rsidR="004E54FE">
              <w:rPr>
                <w:sz w:val="18"/>
                <w:szCs w:val="18"/>
                <w:lang w:val="es-ES_tradnl"/>
              </w:rPr>
              <w:t>;</w:t>
            </w:r>
            <w:r w:rsidRPr="00140923">
              <w:rPr>
                <w:caps/>
                <w:sz w:val="18"/>
                <w:szCs w:val="18"/>
                <w:lang w:val="es-ES_tradnl" w:eastAsia="ja-JP"/>
              </w:rPr>
              <w:t xml:space="preserve"> </w:t>
            </w:r>
            <w:r w:rsidRPr="00140923">
              <w:rPr>
                <w:b/>
                <w:caps/>
                <w:sz w:val="18"/>
                <w:szCs w:val="18"/>
                <w:lang w:val="es-ES_tradnl" w:eastAsia="ja-JP"/>
              </w:rPr>
              <w:t>30</w:t>
            </w:r>
            <w:r w:rsidR="004E54FE">
              <w:rPr>
                <w:sz w:val="18"/>
                <w:szCs w:val="18"/>
                <w:lang w:val="es-ES_tradnl"/>
              </w:rPr>
              <w:t>;</w:t>
            </w:r>
            <w:r w:rsidRPr="00140923">
              <w:rPr>
                <w:caps/>
                <w:sz w:val="18"/>
                <w:szCs w:val="18"/>
                <w:lang w:val="es-ES_tradnl" w:eastAsia="ja-JP"/>
              </w:rPr>
              <w:t xml:space="preserve"> </w:t>
            </w:r>
            <w:r w:rsidRPr="00140923">
              <w:rPr>
                <w:b/>
                <w:caps/>
                <w:sz w:val="18"/>
                <w:szCs w:val="18"/>
                <w:lang w:val="es-ES_tradnl" w:eastAsia="ja-JP"/>
              </w:rPr>
              <w:t>40</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60</w:t>
            </w:r>
            <w:r w:rsidRPr="00140923">
              <w:rPr>
                <w:bCs/>
                <w:caps/>
                <w:sz w:val="18"/>
                <w:szCs w:val="18"/>
                <w:vertAlign w:val="superscript"/>
                <w:lang w:val="es-ES_tradnl" w:eastAsia="ja-JP"/>
              </w:rPr>
              <w:t>(3)</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80</w:t>
            </w:r>
            <w:r w:rsidRPr="00140923">
              <w:rPr>
                <w:bCs/>
                <w:caps/>
                <w:sz w:val="18"/>
                <w:szCs w:val="18"/>
                <w:vertAlign w:val="superscript"/>
                <w:lang w:val="es-ES_tradnl" w:eastAsia="ja-JP"/>
              </w:rPr>
              <w:t>(3)</w:t>
            </w:r>
          </w:p>
        </w:tc>
        <w:tc>
          <w:tcPr>
            <w:tcW w:w="1275" w:type="dxa"/>
          </w:tcPr>
          <w:p w14:paraId="070D9CA1" w14:textId="4C5056F6" w:rsidR="00D34F24" w:rsidRPr="00140923" w:rsidRDefault="00D34F24" w:rsidP="00226764">
            <w:pPr>
              <w:pStyle w:val="Tabletext"/>
              <w:spacing w:before="0" w:after="0" w:line="240" w:lineRule="exact"/>
              <w:jc w:val="center"/>
              <w:rPr>
                <w:sz w:val="18"/>
                <w:szCs w:val="18"/>
                <w:lang w:val="es-ES_tradnl" w:eastAsia="ja-JP"/>
              </w:rPr>
            </w:pPr>
            <w:r w:rsidRPr="00140923">
              <w:rPr>
                <w:caps/>
                <w:sz w:val="18"/>
                <w:szCs w:val="18"/>
                <w:lang w:val="es-ES_tradnl" w:eastAsia="ja-JP"/>
              </w:rPr>
              <w:t>1</w:t>
            </w:r>
            <w:r w:rsidR="004E54FE">
              <w:rPr>
                <w:caps/>
                <w:sz w:val="18"/>
                <w:szCs w:val="18"/>
                <w:lang w:val="es-ES_tradnl" w:eastAsia="ja-JP"/>
              </w:rPr>
              <w:t>,</w:t>
            </w:r>
            <w:r w:rsidRPr="00140923">
              <w:rPr>
                <w:caps/>
                <w:sz w:val="18"/>
                <w:szCs w:val="18"/>
                <w:lang w:val="es-ES_tradnl" w:eastAsia="ja-JP"/>
              </w:rPr>
              <w:t>25</w:t>
            </w:r>
            <w:r w:rsidR="004E54FE">
              <w:rPr>
                <w:sz w:val="18"/>
                <w:szCs w:val="18"/>
                <w:lang w:val="es-ES_tradnl"/>
              </w:rPr>
              <w:t>;</w:t>
            </w:r>
            <w:r w:rsidRPr="00140923">
              <w:rPr>
                <w:caps/>
                <w:sz w:val="18"/>
                <w:szCs w:val="18"/>
                <w:lang w:val="es-ES_tradnl" w:eastAsia="ja-JP"/>
              </w:rPr>
              <w:t xml:space="preserve"> 2</w:t>
            </w:r>
            <w:r w:rsidR="004E54FE">
              <w:rPr>
                <w:caps/>
                <w:sz w:val="18"/>
                <w:szCs w:val="18"/>
                <w:lang w:val="es-ES_tradnl" w:eastAsia="ja-JP"/>
              </w:rPr>
              <w:t>,</w:t>
            </w:r>
            <w:r w:rsidRPr="00140923">
              <w:rPr>
                <w:caps/>
                <w:sz w:val="18"/>
                <w:szCs w:val="18"/>
                <w:lang w:val="es-ES_tradnl" w:eastAsia="ja-JP"/>
              </w:rPr>
              <w:t>5</w:t>
            </w:r>
            <w:r w:rsidR="004E54FE">
              <w:rPr>
                <w:sz w:val="18"/>
                <w:szCs w:val="18"/>
                <w:lang w:val="es-ES_tradnl"/>
              </w:rPr>
              <w:t>;</w:t>
            </w:r>
            <w:r w:rsidRPr="00140923">
              <w:rPr>
                <w:caps/>
                <w:sz w:val="18"/>
                <w:szCs w:val="18"/>
                <w:lang w:val="es-ES_tradnl" w:eastAsia="ja-JP"/>
              </w:rPr>
              <w:t xml:space="preserve"> 5</w:t>
            </w:r>
            <w:r w:rsidR="004E54FE">
              <w:rPr>
                <w:sz w:val="18"/>
                <w:szCs w:val="18"/>
                <w:lang w:val="es-ES_tradnl"/>
              </w:rPr>
              <w:t>;</w:t>
            </w:r>
            <w:r w:rsidRPr="00140923">
              <w:rPr>
                <w:caps/>
                <w:sz w:val="18"/>
                <w:szCs w:val="18"/>
                <w:lang w:val="es-ES_tradnl" w:eastAsia="ja-JP"/>
              </w:rPr>
              <w:t xml:space="preserve"> 7</w:t>
            </w:r>
            <w:r w:rsidR="004E54FE">
              <w:rPr>
                <w:sz w:val="18"/>
                <w:szCs w:val="18"/>
                <w:lang w:val="es-ES_tradnl"/>
              </w:rPr>
              <w:t>;</w:t>
            </w:r>
            <w:r w:rsidRPr="00140923">
              <w:rPr>
                <w:caps/>
                <w:sz w:val="18"/>
                <w:szCs w:val="18"/>
                <w:lang w:val="es-ES_tradnl" w:eastAsia="ja-JP"/>
              </w:rPr>
              <w:t xml:space="preserve"> </w:t>
            </w:r>
            <w:r w:rsidRPr="00140923">
              <w:rPr>
                <w:b/>
                <w:caps/>
                <w:sz w:val="18"/>
                <w:szCs w:val="18"/>
                <w:lang w:val="es-ES_tradnl" w:eastAsia="ja-JP"/>
              </w:rPr>
              <w:t>10</w:t>
            </w:r>
            <w:r w:rsidR="004E54FE">
              <w:rPr>
                <w:sz w:val="18"/>
                <w:szCs w:val="18"/>
                <w:lang w:val="es-ES_tradnl"/>
              </w:rPr>
              <w:t>;</w:t>
            </w:r>
            <w:r w:rsidRPr="00140923">
              <w:rPr>
                <w:caps/>
                <w:sz w:val="18"/>
                <w:szCs w:val="18"/>
                <w:lang w:val="es-ES_tradnl" w:eastAsia="ja-JP"/>
              </w:rPr>
              <w:t xml:space="preserve"> 11</w:t>
            </w:r>
            <w:r w:rsidR="004E54FE">
              <w:rPr>
                <w:caps/>
                <w:sz w:val="18"/>
                <w:szCs w:val="18"/>
                <w:lang w:val="es-ES_tradnl" w:eastAsia="ja-JP"/>
              </w:rPr>
              <w:t>,</w:t>
            </w:r>
            <w:r w:rsidRPr="00140923">
              <w:rPr>
                <w:caps/>
                <w:sz w:val="18"/>
                <w:szCs w:val="18"/>
                <w:lang w:val="es-ES_tradnl" w:eastAsia="ja-JP"/>
              </w:rPr>
              <w:t>662</w:t>
            </w:r>
            <w:r w:rsidR="004E54FE">
              <w:rPr>
                <w:sz w:val="18"/>
                <w:szCs w:val="18"/>
                <w:lang w:val="es-ES_tradnl"/>
              </w:rPr>
              <w:t>;</w:t>
            </w:r>
            <w:r w:rsidRPr="00140923">
              <w:rPr>
                <w:caps/>
                <w:sz w:val="18"/>
                <w:szCs w:val="18"/>
                <w:lang w:val="es-ES_tradnl" w:eastAsia="ja-JP"/>
              </w:rPr>
              <w:t xml:space="preserve"> 14</w:t>
            </w:r>
            <w:r w:rsidR="004E54FE">
              <w:rPr>
                <w:sz w:val="18"/>
                <w:szCs w:val="18"/>
                <w:lang w:val="es-ES_tradnl"/>
              </w:rPr>
              <w:t>;</w:t>
            </w:r>
            <w:r w:rsidRPr="00140923">
              <w:rPr>
                <w:caps/>
                <w:sz w:val="18"/>
                <w:szCs w:val="18"/>
                <w:lang w:val="es-ES_tradnl" w:eastAsia="ja-JP"/>
              </w:rPr>
              <w:t xml:space="preserve"> </w:t>
            </w:r>
            <w:r w:rsidRPr="00140923">
              <w:rPr>
                <w:b/>
                <w:caps/>
                <w:sz w:val="18"/>
                <w:szCs w:val="18"/>
                <w:lang w:val="es-ES_tradnl" w:eastAsia="ja-JP"/>
              </w:rPr>
              <w:t>20</w:t>
            </w:r>
            <w:r w:rsidR="004E54FE">
              <w:rPr>
                <w:sz w:val="18"/>
                <w:szCs w:val="18"/>
                <w:lang w:val="es-ES_tradnl"/>
              </w:rPr>
              <w:t>;</w:t>
            </w:r>
            <w:r w:rsidRPr="00140923">
              <w:rPr>
                <w:bCs/>
                <w:caps/>
                <w:sz w:val="18"/>
                <w:szCs w:val="18"/>
                <w:lang w:val="es-ES_tradnl" w:eastAsia="ja-JP"/>
              </w:rPr>
              <w:t xml:space="preserve"> </w:t>
            </w:r>
            <w:r w:rsidRPr="00140923">
              <w:rPr>
                <w:b/>
                <w:caps/>
                <w:sz w:val="18"/>
                <w:szCs w:val="18"/>
                <w:lang w:val="es-ES_tradnl" w:eastAsia="ja-JP"/>
              </w:rPr>
              <w:t>28</w:t>
            </w:r>
            <w:r w:rsidR="004E54FE">
              <w:rPr>
                <w:sz w:val="18"/>
                <w:szCs w:val="18"/>
                <w:lang w:val="es-ES_tradnl"/>
              </w:rPr>
              <w:t>;</w:t>
            </w:r>
            <w:r w:rsidRPr="00140923">
              <w:rPr>
                <w:caps/>
                <w:sz w:val="18"/>
                <w:szCs w:val="18"/>
                <w:lang w:val="es-ES_tradnl" w:eastAsia="ja-JP"/>
              </w:rPr>
              <w:t xml:space="preserve"> 29</w:t>
            </w:r>
            <w:r w:rsidR="004E54FE">
              <w:rPr>
                <w:caps/>
                <w:sz w:val="18"/>
                <w:szCs w:val="18"/>
                <w:lang w:val="es-ES_tradnl" w:eastAsia="ja-JP"/>
              </w:rPr>
              <w:t>,</w:t>
            </w:r>
            <w:r w:rsidRPr="00140923">
              <w:rPr>
                <w:caps/>
                <w:sz w:val="18"/>
                <w:szCs w:val="18"/>
                <w:lang w:val="es-ES_tradnl" w:eastAsia="ja-JP"/>
              </w:rPr>
              <w:t>65</w:t>
            </w:r>
            <w:r w:rsidR="004E54FE">
              <w:rPr>
                <w:sz w:val="18"/>
                <w:szCs w:val="18"/>
                <w:lang w:val="es-ES_tradnl"/>
              </w:rPr>
              <w:t>;</w:t>
            </w:r>
            <w:r w:rsidRPr="00140923">
              <w:rPr>
                <w:caps/>
                <w:sz w:val="18"/>
                <w:szCs w:val="18"/>
                <w:lang w:val="es-ES_tradnl" w:eastAsia="ja-JP"/>
              </w:rPr>
              <w:t xml:space="preserve"> </w:t>
            </w:r>
            <w:r w:rsidRPr="00140923">
              <w:rPr>
                <w:b/>
                <w:caps/>
                <w:sz w:val="18"/>
                <w:szCs w:val="18"/>
                <w:lang w:val="es-ES_tradnl" w:eastAsia="ja-JP"/>
              </w:rPr>
              <w:t>30</w:t>
            </w:r>
            <w:r w:rsidR="004E54FE">
              <w:rPr>
                <w:sz w:val="18"/>
                <w:szCs w:val="18"/>
                <w:lang w:val="es-ES_tradnl"/>
              </w:rPr>
              <w:t>;</w:t>
            </w:r>
            <w:r w:rsidRPr="00140923">
              <w:rPr>
                <w:caps/>
                <w:sz w:val="18"/>
                <w:szCs w:val="18"/>
                <w:lang w:val="es-ES_tradnl" w:eastAsia="ja-JP"/>
              </w:rPr>
              <w:t xml:space="preserve"> </w:t>
            </w:r>
            <w:r w:rsidRPr="00140923">
              <w:rPr>
                <w:b/>
                <w:caps/>
                <w:sz w:val="18"/>
                <w:szCs w:val="18"/>
                <w:lang w:val="es-ES_tradnl" w:eastAsia="ja-JP"/>
              </w:rPr>
              <w:t>40</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60</w:t>
            </w:r>
            <w:r w:rsidRPr="00140923">
              <w:rPr>
                <w:bCs/>
                <w:caps/>
                <w:sz w:val="18"/>
                <w:szCs w:val="18"/>
                <w:vertAlign w:val="superscript"/>
                <w:lang w:val="es-ES_tradnl" w:eastAsia="ja-JP"/>
              </w:rPr>
              <w:t>(3)</w:t>
            </w:r>
            <w:r w:rsidR="004E54FE">
              <w:rPr>
                <w:sz w:val="18"/>
                <w:szCs w:val="18"/>
                <w:lang w:val="es-ES_tradnl"/>
              </w:rPr>
              <w:t>;</w:t>
            </w:r>
            <w:r w:rsidRPr="00140923">
              <w:rPr>
                <w:bCs/>
                <w:sz w:val="18"/>
                <w:szCs w:val="18"/>
                <w:lang w:val="es-ES_tradnl" w:eastAsia="ja-JP"/>
              </w:rPr>
              <w:t xml:space="preserve"> </w:t>
            </w:r>
            <w:r w:rsidRPr="00140923">
              <w:rPr>
                <w:b/>
                <w:sz w:val="18"/>
                <w:szCs w:val="18"/>
                <w:lang w:val="es-ES_tradnl" w:eastAsia="ja-JP"/>
              </w:rPr>
              <w:t>80</w:t>
            </w:r>
            <w:r w:rsidRPr="00140923">
              <w:rPr>
                <w:bCs/>
                <w:caps/>
                <w:sz w:val="18"/>
                <w:szCs w:val="18"/>
                <w:vertAlign w:val="superscript"/>
                <w:lang w:val="es-ES_tradnl" w:eastAsia="ja-JP"/>
              </w:rPr>
              <w:t>(3)</w:t>
            </w:r>
          </w:p>
        </w:tc>
        <w:tc>
          <w:tcPr>
            <w:tcW w:w="1134" w:type="dxa"/>
          </w:tcPr>
          <w:p w14:paraId="303E72DA" w14:textId="50AD34E0" w:rsidR="00D34F24" w:rsidRPr="00140923" w:rsidRDefault="00D34F24" w:rsidP="00226764">
            <w:pPr>
              <w:pStyle w:val="Tabletext"/>
              <w:spacing w:before="0" w:after="0"/>
              <w:jc w:val="center"/>
              <w:rPr>
                <w:caps/>
                <w:color w:val="000000"/>
                <w:sz w:val="18"/>
                <w:szCs w:val="18"/>
                <w:lang w:val="es-ES_tradnl" w:eastAsia="ja-JP"/>
              </w:rPr>
            </w:pPr>
            <w:r w:rsidRPr="00140923">
              <w:rPr>
                <w:sz w:val="18"/>
                <w:szCs w:val="18"/>
                <w:lang w:val="es-ES_tradnl" w:eastAsia="zh-CN"/>
              </w:rPr>
              <w:t>1</w:t>
            </w:r>
            <w:r w:rsidR="004E54FE">
              <w:rPr>
                <w:sz w:val="18"/>
                <w:szCs w:val="18"/>
                <w:lang w:val="es-ES_tradnl" w:eastAsia="zh-CN"/>
              </w:rPr>
              <w:t>,</w:t>
            </w:r>
            <w:r w:rsidRPr="00140923">
              <w:rPr>
                <w:sz w:val="18"/>
                <w:szCs w:val="18"/>
                <w:lang w:val="es-ES_tradnl" w:eastAsia="zh-CN"/>
              </w:rPr>
              <w:t>25</w:t>
            </w:r>
            <w:r w:rsidR="004E54FE">
              <w:rPr>
                <w:sz w:val="18"/>
                <w:szCs w:val="18"/>
                <w:lang w:val="es-ES_tradnl"/>
              </w:rPr>
              <w:t>;</w:t>
            </w:r>
            <w:r w:rsidRPr="00140923">
              <w:rPr>
                <w:sz w:val="18"/>
                <w:szCs w:val="18"/>
                <w:lang w:val="es-ES_tradnl" w:eastAsia="zh-CN"/>
              </w:rPr>
              <w:t xml:space="preserve"> 2</w:t>
            </w:r>
            <w:r w:rsidR="004E54FE">
              <w:rPr>
                <w:sz w:val="18"/>
                <w:szCs w:val="18"/>
                <w:lang w:val="es-ES_tradnl" w:eastAsia="zh-CN"/>
              </w:rPr>
              <w:t>,</w:t>
            </w:r>
            <w:r w:rsidRPr="00140923">
              <w:rPr>
                <w:sz w:val="18"/>
                <w:szCs w:val="18"/>
                <w:lang w:val="es-ES_tradnl" w:eastAsia="zh-CN"/>
              </w:rPr>
              <w:t>5</w:t>
            </w:r>
            <w:r w:rsidR="004E54FE">
              <w:rPr>
                <w:sz w:val="18"/>
                <w:szCs w:val="18"/>
                <w:lang w:val="es-ES_tradnl"/>
              </w:rPr>
              <w:t>;</w:t>
            </w:r>
            <w:r w:rsidRPr="00140923">
              <w:rPr>
                <w:sz w:val="18"/>
                <w:szCs w:val="18"/>
                <w:lang w:val="es-ES_tradnl" w:eastAsia="zh-CN"/>
              </w:rPr>
              <w:t xml:space="preserve"> 3</w:t>
            </w:r>
            <w:r w:rsidR="004E54FE">
              <w:rPr>
                <w:sz w:val="18"/>
                <w:szCs w:val="18"/>
                <w:lang w:val="es-ES_tradnl" w:eastAsia="zh-CN"/>
              </w:rPr>
              <w:t>,</w:t>
            </w:r>
            <w:r w:rsidRPr="00140923">
              <w:rPr>
                <w:sz w:val="18"/>
                <w:szCs w:val="18"/>
                <w:lang w:val="es-ES_tradnl" w:eastAsia="zh-CN"/>
              </w:rPr>
              <w:t>5</w:t>
            </w:r>
            <w:r w:rsidR="004E54FE">
              <w:rPr>
                <w:sz w:val="18"/>
                <w:szCs w:val="18"/>
                <w:lang w:val="es-ES_tradnl"/>
              </w:rPr>
              <w:t>;</w:t>
            </w:r>
            <w:r w:rsidRPr="00140923">
              <w:rPr>
                <w:sz w:val="18"/>
                <w:szCs w:val="18"/>
                <w:lang w:val="es-ES_tradnl" w:eastAsia="zh-CN"/>
              </w:rPr>
              <w:t xml:space="preserve"> 7</w:t>
            </w:r>
            <w:r w:rsidR="004E54FE">
              <w:rPr>
                <w:sz w:val="18"/>
                <w:szCs w:val="18"/>
                <w:lang w:val="es-ES_tradnl"/>
              </w:rPr>
              <w:t>;</w:t>
            </w:r>
            <w:r w:rsidRPr="00140923">
              <w:rPr>
                <w:sz w:val="18"/>
                <w:szCs w:val="18"/>
                <w:lang w:val="es-ES_tradnl" w:eastAsia="zh-CN"/>
              </w:rPr>
              <w:t xml:space="preserve"> </w:t>
            </w:r>
            <w:r w:rsidRPr="00140923">
              <w:rPr>
                <w:b/>
                <w:sz w:val="18"/>
                <w:szCs w:val="18"/>
                <w:lang w:val="es-ES_tradnl" w:eastAsia="zh-CN"/>
              </w:rPr>
              <w:t>14</w:t>
            </w:r>
            <w:r w:rsidR="004E54FE">
              <w:rPr>
                <w:sz w:val="18"/>
                <w:szCs w:val="18"/>
                <w:lang w:val="es-ES_tradnl"/>
              </w:rPr>
              <w:t>;</w:t>
            </w:r>
            <w:r w:rsidRPr="00140923">
              <w:rPr>
                <w:sz w:val="18"/>
                <w:szCs w:val="18"/>
                <w:lang w:val="es-ES_tradnl" w:eastAsia="zh-CN"/>
              </w:rPr>
              <w:t xml:space="preserve"> 28</w:t>
            </w:r>
            <w:r w:rsidR="004E54FE">
              <w:rPr>
                <w:sz w:val="18"/>
                <w:szCs w:val="18"/>
                <w:lang w:val="es-ES_tradnl"/>
              </w:rPr>
              <w:t>;</w:t>
            </w:r>
            <w:r w:rsidRPr="00140923">
              <w:rPr>
                <w:sz w:val="18"/>
                <w:szCs w:val="18"/>
                <w:lang w:val="es-ES_tradnl" w:eastAsia="zh-CN"/>
              </w:rPr>
              <w:t xml:space="preserve"> 56</w:t>
            </w:r>
          </w:p>
        </w:tc>
        <w:tc>
          <w:tcPr>
            <w:tcW w:w="1134" w:type="dxa"/>
          </w:tcPr>
          <w:p w14:paraId="66C8EF08" w14:textId="2EC8AC43" w:rsidR="00D34F24" w:rsidRPr="00140923" w:rsidRDefault="00D34F24" w:rsidP="00226764">
            <w:pPr>
              <w:pStyle w:val="Tabletext"/>
              <w:spacing w:before="0" w:after="0"/>
              <w:jc w:val="center"/>
              <w:rPr>
                <w:caps/>
                <w:color w:val="000000"/>
                <w:sz w:val="18"/>
                <w:szCs w:val="18"/>
                <w:lang w:val="es-ES_tradnl" w:eastAsia="ja-JP"/>
              </w:rPr>
            </w:pPr>
            <w:r w:rsidRPr="00140923">
              <w:rPr>
                <w:sz w:val="18"/>
                <w:szCs w:val="18"/>
                <w:lang w:val="es-ES_tradnl" w:eastAsia="zh-CN"/>
              </w:rPr>
              <w:t>1</w:t>
            </w:r>
            <w:r w:rsidR="004E54FE">
              <w:rPr>
                <w:sz w:val="18"/>
                <w:szCs w:val="18"/>
                <w:lang w:val="es-ES_tradnl" w:eastAsia="zh-CN"/>
              </w:rPr>
              <w:t>,</w:t>
            </w:r>
            <w:r w:rsidRPr="00140923">
              <w:rPr>
                <w:sz w:val="18"/>
                <w:szCs w:val="18"/>
                <w:lang w:val="es-ES_tradnl" w:eastAsia="zh-CN"/>
              </w:rPr>
              <w:t>25</w:t>
            </w:r>
            <w:r w:rsidR="004E54FE">
              <w:rPr>
                <w:sz w:val="18"/>
                <w:szCs w:val="18"/>
                <w:lang w:val="es-ES_tradnl"/>
              </w:rPr>
              <w:t>;</w:t>
            </w:r>
            <w:r w:rsidRPr="00140923">
              <w:rPr>
                <w:sz w:val="18"/>
                <w:szCs w:val="18"/>
                <w:lang w:val="es-ES_tradnl" w:eastAsia="zh-CN"/>
              </w:rPr>
              <w:t xml:space="preserve"> 2</w:t>
            </w:r>
            <w:r w:rsidR="004E54FE">
              <w:rPr>
                <w:sz w:val="18"/>
                <w:szCs w:val="18"/>
                <w:lang w:val="es-ES_tradnl" w:eastAsia="zh-CN"/>
              </w:rPr>
              <w:t>,</w:t>
            </w:r>
            <w:r w:rsidRPr="00140923">
              <w:rPr>
                <w:sz w:val="18"/>
                <w:szCs w:val="18"/>
                <w:lang w:val="es-ES_tradnl" w:eastAsia="zh-CN"/>
              </w:rPr>
              <w:t>5</w:t>
            </w:r>
            <w:r w:rsidR="004E54FE">
              <w:rPr>
                <w:sz w:val="18"/>
                <w:szCs w:val="18"/>
                <w:lang w:val="es-ES_tradnl"/>
              </w:rPr>
              <w:t>;</w:t>
            </w:r>
            <w:r w:rsidRPr="00140923">
              <w:rPr>
                <w:sz w:val="18"/>
                <w:szCs w:val="18"/>
                <w:lang w:val="es-ES_tradnl" w:eastAsia="zh-CN"/>
              </w:rPr>
              <w:t xml:space="preserve"> 3</w:t>
            </w:r>
            <w:r w:rsidR="004E54FE">
              <w:rPr>
                <w:sz w:val="18"/>
                <w:szCs w:val="18"/>
                <w:lang w:val="es-ES_tradnl" w:eastAsia="zh-CN"/>
              </w:rPr>
              <w:t>,</w:t>
            </w:r>
            <w:r w:rsidRPr="00140923">
              <w:rPr>
                <w:sz w:val="18"/>
                <w:szCs w:val="18"/>
                <w:lang w:val="es-ES_tradnl" w:eastAsia="zh-CN"/>
              </w:rPr>
              <w:t>5</w:t>
            </w:r>
            <w:r w:rsidR="004E54FE">
              <w:rPr>
                <w:sz w:val="18"/>
                <w:szCs w:val="18"/>
                <w:lang w:val="es-ES_tradnl"/>
              </w:rPr>
              <w:t>;</w:t>
            </w:r>
            <w:r w:rsidRPr="00140923">
              <w:rPr>
                <w:sz w:val="18"/>
                <w:szCs w:val="18"/>
                <w:lang w:val="es-ES_tradnl" w:eastAsia="zh-CN"/>
              </w:rPr>
              <w:t xml:space="preserve"> 7</w:t>
            </w:r>
            <w:r w:rsidR="004E54FE">
              <w:rPr>
                <w:sz w:val="18"/>
                <w:szCs w:val="18"/>
                <w:lang w:val="es-ES_tradnl"/>
              </w:rPr>
              <w:t>;</w:t>
            </w:r>
            <w:r w:rsidRPr="00140923">
              <w:rPr>
                <w:sz w:val="18"/>
                <w:szCs w:val="18"/>
                <w:lang w:val="es-ES_tradnl" w:eastAsia="zh-CN"/>
              </w:rPr>
              <w:t xml:space="preserve"> </w:t>
            </w:r>
            <w:r w:rsidRPr="00140923">
              <w:rPr>
                <w:b/>
                <w:sz w:val="18"/>
                <w:szCs w:val="18"/>
                <w:lang w:val="es-ES_tradnl" w:eastAsia="zh-CN"/>
              </w:rPr>
              <w:t>14</w:t>
            </w:r>
            <w:r w:rsidR="004E54FE">
              <w:rPr>
                <w:sz w:val="18"/>
                <w:szCs w:val="18"/>
                <w:lang w:val="es-ES_tradnl"/>
              </w:rPr>
              <w:t>;</w:t>
            </w:r>
            <w:r w:rsidRPr="00140923">
              <w:rPr>
                <w:sz w:val="18"/>
                <w:szCs w:val="18"/>
                <w:lang w:val="es-ES_tradnl" w:eastAsia="zh-CN"/>
              </w:rPr>
              <w:t xml:space="preserve"> 28</w:t>
            </w:r>
            <w:r w:rsidR="004E54FE">
              <w:rPr>
                <w:sz w:val="18"/>
                <w:szCs w:val="18"/>
                <w:lang w:val="es-ES_tradnl"/>
              </w:rPr>
              <w:t>;</w:t>
            </w:r>
            <w:r w:rsidRPr="00140923">
              <w:rPr>
                <w:sz w:val="18"/>
                <w:szCs w:val="18"/>
                <w:lang w:val="es-ES_tradnl" w:eastAsia="zh-CN"/>
              </w:rPr>
              <w:t xml:space="preserve"> 56</w:t>
            </w:r>
          </w:p>
        </w:tc>
        <w:tc>
          <w:tcPr>
            <w:tcW w:w="851" w:type="dxa"/>
          </w:tcPr>
          <w:p w14:paraId="4586FDF1" w14:textId="386210BA" w:rsidR="00D34F24" w:rsidRPr="00140923" w:rsidRDefault="00D34F24" w:rsidP="00226764">
            <w:pPr>
              <w:pStyle w:val="Tabletext"/>
              <w:spacing w:before="0" w:after="0"/>
              <w:jc w:val="center"/>
              <w:rPr>
                <w:color w:val="000000"/>
                <w:sz w:val="18"/>
                <w:szCs w:val="18"/>
                <w:lang w:val="es-ES_tradnl" w:eastAsia="ja-JP"/>
              </w:rPr>
            </w:pPr>
            <w:r w:rsidRPr="00140923">
              <w:rPr>
                <w:caps/>
                <w:color w:val="000000"/>
                <w:sz w:val="18"/>
                <w:szCs w:val="18"/>
                <w:lang w:val="es-ES_tradnl" w:eastAsia="ja-JP"/>
              </w:rPr>
              <w:t>1</w:t>
            </w:r>
            <w:r w:rsidR="004E54FE">
              <w:rPr>
                <w:caps/>
                <w:color w:val="000000"/>
                <w:sz w:val="18"/>
                <w:szCs w:val="18"/>
                <w:lang w:val="es-ES_tradnl" w:eastAsia="ja-JP"/>
              </w:rPr>
              <w:t>,</w:t>
            </w:r>
            <w:r w:rsidRPr="00140923">
              <w:rPr>
                <w:caps/>
                <w:color w:val="000000"/>
                <w:sz w:val="18"/>
                <w:szCs w:val="18"/>
                <w:lang w:val="es-ES_tradnl" w:eastAsia="ja-JP"/>
              </w:rPr>
              <w:t>25</w:t>
            </w:r>
            <w:r w:rsidR="004E54FE">
              <w:rPr>
                <w:sz w:val="18"/>
                <w:szCs w:val="18"/>
                <w:lang w:val="es-ES_tradnl"/>
              </w:rPr>
              <w:t>;</w:t>
            </w:r>
            <w:r w:rsidRPr="00140923">
              <w:rPr>
                <w:caps/>
                <w:color w:val="000000"/>
                <w:sz w:val="18"/>
                <w:szCs w:val="18"/>
                <w:lang w:val="es-ES_tradnl" w:eastAsia="ja-JP"/>
              </w:rPr>
              <w:t xml:space="preserve"> 2</w:t>
            </w:r>
            <w:r w:rsidR="004E54FE">
              <w:rPr>
                <w:caps/>
                <w:color w:val="000000"/>
                <w:sz w:val="18"/>
                <w:szCs w:val="18"/>
                <w:lang w:val="es-ES_tradnl" w:eastAsia="ja-JP"/>
              </w:rPr>
              <w:t>,</w:t>
            </w:r>
            <w:r w:rsidRPr="00140923">
              <w:rPr>
                <w:caps/>
                <w:color w:val="000000"/>
                <w:sz w:val="18"/>
                <w:szCs w:val="18"/>
                <w:lang w:val="es-ES_tradnl" w:eastAsia="ja-JP"/>
              </w:rPr>
              <w:t>5</w:t>
            </w:r>
            <w:r w:rsidR="004E54FE">
              <w:rPr>
                <w:sz w:val="18"/>
                <w:szCs w:val="18"/>
                <w:lang w:val="es-ES_tradnl"/>
              </w:rPr>
              <w:t>;</w:t>
            </w:r>
            <w:r w:rsidRPr="00140923">
              <w:rPr>
                <w:caps/>
                <w:color w:val="000000"/>
                <w:sz w:val="18"/>
                <w:szCs w:val="18"/>
                <w:lang w:val="es-ES_tradnl" w:eastAsia="ja-JP"/>
              </w:rPr>
              <w:t xml:space="preserve"> 3</w:t>
            </w:r>
            <w:r w:rsidR="004E54FE">
              <w:rPr>
                <w:caps/>
                <w:color w:val="000000"/>
                <w:sz w:val="18"/>
                <w:szCs w:val="18"/>
                <w:lang w:val="es-ES_tradnl" w:eastAsia="ja-JP"/>
              </w:rPr>
              <w:t>,</w:t>
            </w:r>
            <w:r w:rsidRPr="00140923">
              <w:rPr>
                <w:caps/>
                <w:color w:val="000000"/>
                <w:sz w:val="18"/>
                <w:szCs w:val="18"/>
                <w:lang w:val="es-ES_tradnl" w:eastAsia="ja-JP"/>
              </w:rPr>
              <w:t>5</w:t>
            </w:r>
            <w:r w:rsidR="004E54FE">
              <w:rPr>
                <w:sz w:val="18"/>
                <w:szCs w:val="18"/>
                <w:lang w:val="es-ES_tradnl"/>
              </w:rPr>
              <w:t>;</w:t>
            </w:r>
            <w:r w:rsidRPr="00140923">
              <w:rPr>
                <w:caps/>
                <w:color w:val="000000"/>
                <w:sz w:val="18"/>
                <w:szCs w:val="18"/>
                <w:lang w:val="es-ES_tradnl" w:eastAsia="ja-JP"/>
              </w:rPr>
              <w:t xml:space="preserve"> </w:t>
            </w:r>
            <w:r w:rsidRPr="00140923">
              <w:rPr>
                <w:b/>
                <w:caps/>
                <w:color w:val="000000"/>
                <w:sz w:val="18"/>
                <w:szCs w:val="18"/>
                <w:lang w:val="es-ES_tradnl" w:eastAsia="ja-JP"/>
              </w:rPr>
              <w:t>7</w:t>
            </w:r>
          </w:p>
        </w:tc>
        <w:tc>
          <w:tcPr>
            <w:tcW w:w="992" w:type="dxa"/>
          </w:tcPr>
          <w:p w14:paraId="66C8DFF0" w14:textId="58DD8F6B" w:rsidR="00D34F24" w:rsidRPr="00140923" w:rsidRDefault="00D34F24" w:rsidP="00226764">
            <w:pPr>
              <w:pStyle w:val="Tabletext"/>
              <w:spacing w:before="0" w:after="0"/>
              <w:jc w:val="center"/>
              <w:rPr>
                <w:color w:val="000000"/>
                <w:sz w:val="18"/>
                <w:szCs w:val="18"/>
                <w:lang w:val="es-ES_tradnl" w:eastAsia="ja-JP"/>
              </w:rPr>
            </w:pPr>
            <w:r w:rsidRPr="00140923">
              <w:rPr>
                <w:caps/>
                <w:color w:val="000000"/>
                <w:sz w:val="18"/>
                <w:szCs w:val="18"/>
                <w:lang w:val="es-ES_tradnl" w:eastAsia="ja-JP"/>
              </w:rPr>
              <w:t>1</w:t>
            </w:r>
            <w:r w:rsidR="004E54FE">
              <w:rPr>
                <w:caps/>
                <w:color w:val="000000"/>
                <w:sz w:val="18"/>
                <w:szCs w:val="18"/>
                <w:lang w:val="es-ES_tradnl" w:eastAsia="ja-JP"/>
              </w:rPr>
              <w:t>,</w:t>
            </w:r>
            <w:r w:rsidRPr="00140923">
              <w:rPr>
                <w:caps/>
                <w:color w:val="000000"/>
                <w:sz w:val="18"/>
                <w:szCs w:val="18"/>
                <w:lang w:val="es-ES_tradnl" w:eastAsia="ja-JP"/>
              </w:rPr>
              <w:t>25</w:t>
            </w:r>
            <w:r w:rsidR="004E54FE">
              <w:rPr>
                <w:sz w:val="18"/>
                <w:szCs w:val="18"/>
                <w:lang w:val="es-ES_tradnl"/>
              </w:rPr>
              <w:t>;</w:t>
            </w:r>
            <w:r w:rsidRPr="00140923">
              <w:rPr>
                <w:b/>
                <w:caps/>
                <w:color w:val="000000"/>
                <w:sz w:val="18"/>
                <w:szCs w:val="18"/>
                <w:lang w:val="es-ES_tradnl" w:eastAsia="ja-JP"/>
              </w:rPr>
              <w:t xml:space="preserve"> 2</w:t>
            </w:r>
            <w:r w:rsidR="004E54FE">
              <w:rPr>
                <w:b/>
                <w:caps/>
                <w:color w:val="000000"/>
                <w:sz w:val="18"/>
                <w:szCs w:val="18"/>
                <w:lang w:val="es-ES_tradnl" w:eastAsia="ja-JP"/>
              </w:rPr>
              <w:t>,</w:t>
            </w:r>
            <w:r w:rsidRPr="00140923">
              <w:rPr>
                <w:b/>
                <w:caps/>
                <w:color w:val="000000"/>
                <w:sz w:val="18"/>
                <w:szCs w:val="18"/>
                <w:lang w:val="es-ES_tradnl" w:eastAsia="ja-JP"/>
              </w:rPr>
              <w:t>5</w:t>
            </w:r>
            <w:r w:rsidR="004E54FE">
              <w:rPr>
                <w:sz w:val="18"/>
                <w:szCs w:val="18"/>
                <w:lang w:val="es-ES_tradnl"/>
              </w:rPr>
              <w:t>;</w:t>
            </w:r>
            <w:r w:rsidRPr="00140923">
              <w:rPr>
                <w:caps/>
                <w:color w:val="000000"/>
                <w:sz w:val="18"/>
                <w:szCs w:val="18"/>
                <w:lang w:val="es-ES_tradnl" w:eastAsia="ja-JP"/>
              </w:rPr>
              <w:t xml:space="preserve"> 3</w:t>
            </w:r>
            <w:r w:rsidR="004E54FE">
              <w:rPr>
                <w:caps/>
                <w:color w:val="000000"/>
                <w:sz w:val="18"/>
                <w:szCs w:val="18"/>
                <w:lang w:val="es-ES_tradnl" w:eastAsia="ja-JP"/>
              </w:rPr>
              <w:t>,</w:t>
            </w:r>
            <w:r w:rsidRPr="00140923">
              <w:rPr>
                <w:caps/>
                <w:color w:val="000000"/>
                <w:sz w:val="18"/>
                <w:szCs w:val="18"/>
                <w:lang w:val="es-ES_tradnl" w:eastAsia="ja-JP"/>
              </w:rPr>
              <w:t>5</w:t>
            </w:r>
            <w:r w:rsidR="004E54FE">
              <w:rPr>
                <w:sz w:val="18"/>
                <w:szCs w:val="18"/>
                <w:lang w:val="es-ES_tradnl"/>
              </w:rPr>
              <w:t>;</w:t>
            </w:r>
            <w:r w:rsidRPr="00140923">
              <w:rPr>
                <w:caps/>
                <w:color w:val="000000"/>
                <w:sz w:val="18"/>
                <w:szCs w:val="18"/>
                <w:lang w:val="es-ES_tradnl" w:eastAsia="ja-JP"/>
              </w:rPr>
              <w:t xml:space="preserve"> 7</w:t>
            </w:r>
          </w:p>
        </w:tc>
        <w:tc>
          <w:tcPr>
            <w:tcW w:w="1134" w:type="dxa"/>
          </w:tcPr>
          <w:p w14:paraId="4343EEC7" w14:textId="325E067A" w:rsidR="00D34F24" w:rsidRPr="00140923" w:rsidRDefault="00D34F24" w:rsidP="00226764">
            <w:pPr>
              <w:pStyle w:val="Tabletext"/>
              <w:spacing w:before="0" w:after="0" w:line="240" w:lineRule="exact"/>
              <w:jc w:val="center"/>
              <w:rPr>
                <w:sz w:val="18"/>
                <w:szCs w:val="18"/>
                <w:lang w:val="es-ES_tradnl" w:eastAsia="ja-JP"/>
              </w:rPr>
            </w:pPr>
            <w:r w:rsidRPr="00140923">
              <w:rPr>
                <w:sz w:val="18"/>
                <w:szCs w:val="18"/>
                <w:lang w:val="es-ES_tradnl"/>
              </w:rPr>
              <w:t>5</w:t>
            </w:r>
            <w:r w:rsidR="004E54FE">
              <w:rPr>
                <w:sz w:val="18"/>
                <w:szCs w:val="18"/>
                <w:lang w:val="es-ES_tradnl"/>
              </w:rPr>
              <w:t>;</w:t>
            </w:r>
            <w:r w:rsidRPr="00140923">
              <w:rPr>
                <w:sz w:val="18"/>
                <w:szCs w:val="18"/>
                <w:lang w:val="es-ES_tradnl" w:eastAsia="ja-JP"/>
              </w:rPr>
              <w:t xml:space="preserve"> 10</w:t>
            </w:r>
            <w:r w:rsidR="004E54FE">
              <w:rPr>
                <w:sz w:val="18"/>
                <w:szCs w:val="18"/>
                <w:lang w:val="es-ES_tradnl"/>
              </w:rPr>
              <w:t>;</w:t>
            </w:r>
            <w:r w:rsidRPr="00140923">
              <w:rPr>
                <w:sz w:val="18"/>
                <w:szCs w:val="18"/>
                <w:lang w:val="es-ES_tradnl" w:eastAsia="ja-JP"/>
              </w:rPr>
              <w:t xml:space="preserve"> 20</w:t>
            </w:r>
            <w:r w:rsidR="004E54FE">
              <w:rPr>
                <w:sz w:val="18"/>
                <w:szCs w:val="18"/>
                <w:lang w:val="es-ES_tradnl"/>
              </w:rPr>
              <w:t>;</w:t>
            </w:r>
            <w:r w:rsidRPr="00140923">
              <w:rPr>
                <w:sz w:val="18"/>
                <w:szCs w:val="18"/>
                <w:lang w:val="es-ES_tradnl" w:eastAsia="ja-JP"/>
              </w:rPr>
              <w:t xml:space="preserve"> 40</w:t>
            </w:r>
            <w:r w:rsidR="004E54FE">
              <w:rPr>
                <w:sz w:val="18"/>
                <w:szCs w:val="18"/>
                <w:lang w:val="es-ES_tradnl"/>
              </w:rPr>
              <w:t>;</w:t>
            </w:r>
            <w:r w:rsidRPr="00140923">
              <w:rPr>
                <w:sz w:val="18"/>
                <w:szCs w:val="18"/>
                <w:lang w:val="es-ES_tradnl" w:eastAsia="ja-JP"/>
              </w:rPr>
              <w:t xml:space="preserve"> </w:t>
            </w:r>
            <w:r w:rsidRPr="00140923">
              <w:rPr>
                <w:b/>
                <w:sz w:val="18"/>
                <w:szCs w:val="18"/>
                <w:lang w:val="es-ES_tradnl" w:eastAsia="ja-JP"/>
              </w:rPr>
              <w:t>60</w:t>
            </w:r>
            <w:r w:rsidR="004E54FE">
              <w:rPr>
                <w:sz w:val="18"/>
                <w:szCs w:val="18"/>
                <w:lang w:val="es-ES_tradnl"/>
              </w:rPr>
              <w:t>;</w:t>
            </w:r>
            <w:r w:rsidRPr="00140923">
              <w:rPr>
                <w:sz w:val="18"/>
                <w:szCs w:val="18"/>
                <w:lang w:val="es-ES_tradnl" w:eastAsia="ja-JP"/>
              </w:rPr>
              <w:t xml:space="preserve"> 67</w:t>
            </w:r>
            <w:r w:rsidR="004E54FE">
              <w:rPr>
                <w:sz w:val="18"/>
                <w:szCs w:val="18"/>
                <w:lang w:val="es-ES_tradnl"/>
              </w:rPr>
              <w:t>;</w:t>
            </w:r>
            <w:r w:rsidRPr="00140923">
              <w:rPr>
                <w:sz w:val="18"/>
                <w:szCs w:val="18"/>
                <w:lang w:val="es-ES_tradnl" w:eastAsia="ja-JP"/>
              </w:rPr>
              <w:t> 80</w:t>
            </w:r>
            <w:r w:rsidR="004E54FE">
              <w:rPr>
                <w:sz w:val="18"/>
                <w:szCs w:val="18"/>
                <w:lang w:val="es-ES_tradnl"/>
              </w:rPr>
              <w:t>;</w:t>
            </w:r>
            <w:r w:rsidRPr="00140923">
              <w:rPr>
                <w:sz w:val="18"/>
                <w:szCs w:val="18"/>
                <w:lang w:val="es-ES_tradnl" w:eastAsia="ja-JP"/>
              </w:rPr>
              <w:t xml:space="preserve"> 56</w:t>
            </w:r>
            <w:r w:rsidR="004E54FE">
              <w:rPr>
                <w:sz w:val="18"/>
                <w:szCs w:val="18"/>
                <w:lang w:val="es-ES_tradnl"/>
              </w:rPr>
              <w:t>;</w:t>
            </w:r>
            <w:r w:rsidRPr="00140923">
              <w:rPr>
                <w:sz w:val="18"/>
                <w:szCs w:val="18"/>
                <w:lang w:val="es-ES_tradnl" w:eastAsia="ja-JP"/>
              </w:rPr>
              <w:t xml:space="preserve"> 112</w:t>
            </w:r>
          </w:p>
        </w:tc>
        <w:tc>
          <w:tcPr>
            <w:tcW w:w="1134" w:type="dxa"/>
          </w:tcPr>
          <w:p w14:paraId="202C140C" w14:textId="7D3243A5" w:rsidR="00D34F24" w:rsidRPr="00140923" w:rsidRDefault="00D34F24" w:rsidP="00226764">
            <w:pPr>
              <w:pStyle w:val="Tabletext"/>
              <w:spacing w:before="0" w:after="0" w:line="240" w:lineRule="exact"/>
              <w:jc w:val="center"/>
              <w:rPr>
                <w:sz w:val="18"/>
                <w:szCs w:val="18"/>
                <w:lang w:val="es-ES_tradnl"/>
              </w:rPr>
            </w:pPr>
            <w:r w:rsidRPr="00140923">
              <w:rPr>
                <w:sz w:val="18"/>
                <w:szCs w:val="18"/>
                <w:lang w:val="es-ES_tradnl"/>
              </w:rPr>
              <w:t>5</w:t>
            </w:r>
            <w:r w:rsidR="004E54FE">
              <w:rPr>
                <w:sz w:val="18"/>
                <w:szCs w:val="18"/>
                <w:lang w:val="es-ES_tradnl"/>
              </w:rPr>
              <w:t>;</w:t>
            </w:r>
            <w:r w:rsidRPr="00140923">
              <w:rPr>
                <w:sz w:val="18"/>
                <w:szCs w:val="18"/>
                <w:lang w:val="es-ES_tradnl" w:eastAsia="ja-JP"/>
              </w:rPr>
              <w:t xml:space="preserve"> 10</w:t>
            </w:r>
            <w:r w:rsidR="004E54FE">
              <w:rPr>
                <w:sz w:val="18"/>
                <w:szCs w:val="18"/>
                <w:lang w:val="es-ES_tradnl"/>
              </w:rPr>
              <w:t>;</w:t>
            </w:r>
            <w:r w:rsidRPr="00140923">
              <w:rPr>
                <w:sz w:val="18"/>
                <w:szCs w:val="18"/>
                <w:lang w:val="es-ES_tradnl" w:eastAsia="ja-JP"/>
              </w:rPr>
              <w:t xml:space="preserve"> 20</w:t>
            </w:r>
            <w:r w:rsidR="004E54FE">
              <w:rPr>
                <w:sz w:val="18"/>
                <w:szCs w:val="18"/>
                <w:lang w:val="es-ES_tradnl"/>
              </w:rPr>
              <w:t>;</w:t>
            </w:r>
            <w:r w:rsidRPr="00140923">
              <w:rPr>
                <w:sz w:val="18"/>
                <w:szCs w:val="18"/>
                <w:lang w:val="es-ES_tradnl" w:eastAsia="ja-JP"/>
              </w:rPr>
              <w:t xml:space="preserve"> </w:t>
            </w:r>
            <w:r w:rsidRPr="00140923">
              <w:rPr>
                <w:b/>
                <w:sz w:val="18"/>
                <w:szCs w:val="18"/>
                <w:lang w:val="es-ES_tradnl" w:eastAsia="ja-JP"/>
              </w:rPr>
              <w:t>40</w:t>
            </w:r>
            <w:r w:rsidR="004E54FE">
              <w:rPr>
                <w:sz w:val="18"/>
                <w:szCs w:val="18"/>
                <w:lang w:val="es-ES_tradnl"/>
              </w:rPr>
              <w:t>;</w:t>
            </w:r>
            <w:r w:rsidRPr="00140923">
              <w:rPr>
                <w:sz w:val="18"/>
                <w:szCs w:val="18"/>
                <w:lang w:val="es-ES_tradnl" w:eastAsia="ja-JP"/>
              </w:rPr>
              <w:t xml:space="preserve"> 60</w:t>
            </w:r>
            <w:r w:rsidR="004E54FE">
              <w:rPr>
                <w:sz w:val="18"/>
                <w:szCs w:val="18"/>
                <w:lang w:val="es-ES_tradnl"/>
              </w:rPr>
              <w:t>;</w:t>
            </w:r>
            <w:r w:rsidRPr="00140923">
              <w:rPr>
                <w:sz w:val="18"/>
                <w:szCs w:val="18"/>
                <w:lang w:val="es-ES_tradnl" w:eastAsia="ja-JP"/>
              </w:rPr>
              <w:t xml:space="preserve"> 67</w:t>
            </w:r>
            <w:r w:rsidR="004E54FE">
              <w:rPr>
                <w:sz w:val="18"/>
                <w:szCs w:val="18"/>
                <w:lang w:val="es-ES_tradnl"/>
              </w:rPr>
              <w:t>;</w:t>
            </w:r>
            <w:r w:rsidRPr="00140923">
              <w:rPr>
                <w:sz w:val="18"/>
                <w:szCs w:val="18"/>
                <w:lang w:val="es-ES_tradnl" w:eastAsia="ja-JP"/>
              </w:rPr>
              <w:t> 80</w:t>
            </w:r>
            <w:r w:rsidR="004E54FE">
              <w:rPr>
                <w:sz w:val="18"/>
                <w:szCs w:val="18"/>
                <w:lang w:val="es-ES_tradnl"/>
              </w:rPr>
              <w:t>;</w:t>
            </w:r>
            <w:r w:rsidRPr="00140923">
              <w:rPr>
                <w:sz w:val="18"/>
                <w:szCs w:val="18"/>
                <w:lang w:val="es-ES_tradnl" w:eastAsia="ja-JP"/>
              </w:rPr>
              <w:t xml:space="preserve"> 56</w:t>
            </w:r>
            <w:r w:rsidR="004E54FE">
              <w:rPr>
                <w:sz w:val="18"/>
                <w:szCs w:val="18"/>
                <w:lang w:val="es-ES_tradnl"/>
              </w:rPr>
              <w:t>;</w:t>
            </w:r>
            <w:r w:rsidRPr="00140923">
              <w:rPr>
                <w:sz w:val="18"/>
                <w:szCs w:val="18"/>
                <w:lang w:val="es-ES_tradnl" w:eastAsia="ja-JP"/>
              </w:rPr>
              <w:t xml:space="preserve"> 112</w:t>
            </w:r>
          </w:p>
        </w:tc>
        <w:tc>
          <w:tcPr>
            <w:tcW w:w="992" w:type="dxa"/>
          </w:tcPr>
          <w:p w14:paraId="5609DC56" w14:textId="020139F7" w:rsidR="00D34F24" w:rsidRPr="00140923" w:rsidRDefault="00D34F24" w:rsidP="00226764">
            <w:pPr>
              <w:pStyle w:val="Tabletext"/>
              <w:spacing w:before="0" w:after="0" w:line="240" w:lineRule="exact"/>
              <w:jc w:val="center"/>
              <w:rPr>
                <w:color w:val="000000"/>
                <w:sz w:val="18"/>
                <w:szCs w:val="18"/>
                <w:lang w:val="es-ES_tradnl" w:eastAsia="ja-JP"/>
              </w:rPr>
            </w:pPr>
            <w:r w:rsidRPr="00140923">
              <w:rPr>
                <w:b/>
                <w:color w:val="000000"/>
                <w:sz w:val="18"/>
                <w:szCs w:val="18"/>
                <w:lang w:val="es-ES_tradnl" w:eastAsia="ja-JP"/>
              </w:rPr>
              <w:t>3</w:t>
            </w:r>
            <w:r w:rsidR="004E54FE">
              <w:rPr>
                <w:b/>
                <w:color w:val="000000"/>
                <w:sz w:val="18"/>
                <w:szCs w:val="18"/>
                <w:lang w:val="es-ES_tradnl" w:eastAsia="ja-JP"/>
              </w:rPr>
              <w:t>,</w:t>
            </w:r>
            <w:r w:rsidRPr="00140923">
              <w:rPr>
                <w:b/>
                <w:color w:val="000000"/>
                <w:sz w:val="18"/>
                <w:szCs w:val="18"/>
                <w:lang w:val="es-ES_tradnl" w:eastAsia="ja-JP"/>
              </w:rPr>
              <w:t>5</w:t>
            </w:r>
            <w:r w:rsidR="004E54FE">
              <w:rPr>
                <w:sz w:val="18"/>
                <w:szCs w:val="18"/>
                <w:lang w:val="es-ES_tradnl"/>
              </w:rPr>
              <w:t>;</w:t>
            </w:r>
            <w:r w:rsidRPr="00140923">
              <w:rPr>
                <w:color w:val="000000"/>
                <w:sz w:val="18"/>
                <w:szCs w:val="18"/>
                <w:lang w:val="es-ES_tradnl" w:eastAsia="ja-JP"/>
              </w:rPr>
              <w:t xml:space="preserve"> 7</w:t>
            </w:r>
            <w:r w:rsidR="004E54FE">
              <w:rPr>
                <w:sz w:val="18"/>
                <w:szCs w:val="18"/>
                <w:lang w:val="es-ES_tradnl"/>
              </w:rPr>
              <w:t>;</w:t>
            </w:r>
            <w:r w:rsidRPr="00140923">
              <w:rPr>
                <w:color w:val="000000"/>
                <w:sz w:val="18"/>
                <w:szCs w:val="18"/>
                <w:lang w:val="es-ES_tradnl" w:eastAsia="ja-JP"/>
              </w:rPr>
              <w:t xml:space="preserve"> </w:t>
            </w:r>
            <w:r w:rsidRPr="00140923">
              <w:rPr>
                <w:bCs/>
                <w:color w:val="000000"/>
                <w:sz w:val="18"/>
                <w:szCs w:val="18"/>
                <w:lang w:val="es-ES_tradnl" w:eastAsia="ja-JP"/>
              </w:rPr>
              <w:t>14</w:t>
            </w:r>
            <w:r w:rsidR="004E54FE">
              <w:rPr>
                <w:sz w:val="18"/>
                <w:szCs w:val="18"/>
                <w:lang w:val="es-ES_tradnl"/>
              </w:rPr>
              <w:t>;</w:t>
            </w:r>
            <w:r w:rsidRPr="00140923">
              <w:rPr>
                <w:bCs/>
                <w:color w:val="000000"/>
                <w:sz w:val="18"/>
                <w:szCs w:val="18"/>
                <w:lang w:val="es-ES_tradnl" w:eastAsia="ja-JP"/>
              </w:rPr>
              <w:t xml:space="preserve"> 28</w:t>
            </w:r>
            <w:r w:rsidR="004E54FE">
              <w:rPr>
                <w:sz w:val="18"/>
                <w:szCs w:val="18"/>
                <w:lang w:val="es-ES_tradnl"/>
              </w:rPr>
              <w:t>;</w:t>
            </w:r>
            <w:r w:rsidRPr="00140923">
              <w:rPr>
                <w:b/>
                <w:color w:val="000000"/>
                <w:sz w:val="18"/>
                <w:szCs w:val="18"/>
                <w:lang w:val="es-ES_tradnl" w:eastAsia="ja-JP"/>
              </w:rPr>
              <w:t xml:space="preserve"> </w:t>
            </w:r>
            <w:r w:rsidRPr="00140923">
              <w:rPr>
                <w:color w:val="000000"/>
                <w:sz w:val="18"/>
                <w:szCs w:val="18"/>
                <w:lang w:val="es-ES_tradnl" w:eastAsia="ja-JP"/>
              </w:rPr>
              <w:t>56</w:t>
            </w:r>
          </w:p>
        </w:tc>
        <w:tc>
          <w:tcPr>
            <w:tcW w:w="856" w:type="dxa"/>
          </w:tcPr>
          <w:p w14:paraId="5356B020" w14:textId="0F8EDE51" w:rsidR="00D34F24" w:rsidRPr="00140923" w:rsidRDefault="00D34F24" w:rsidP="00226764">
            <w:pPr>
              <w:pStyle w:val="Tabletext"/>
              <w:spacing w:before="0" w:after="0" w:line="240" w:lineRule="exact"/>
              <w:jc w:val="center"/>
              <w:rPr>
                <w:color w:val="000000"/>
                <w:sz w:val="18"/>
                <w:szCs w:val="18"/>
                <w:lang w:val="es-ES_tradnl" w:eastAsia="ja-JP"/>
              </w:rPr>
            </w:pPr>
            <w:r w:rsidRPr="00140923">
              <w:rPr>
                <w:color w:val="000000"/>
                <w:sz w:val="18"/>
                <w:szCs w:val="18"/>
                <w:lang w:val="es-ES_tradnl" w:eastAsia="ja-JP"/>
              </w:rPr>
              <w:t>3</w:t>
            </w:r>
            <w:r w:rsidR="004E54FE">
              <w:rPr>
                <w:color w:val="000000"/>
                <w:sz w:val="18"/>
                <w:szCs w:val="18"/>
                <w:lang w:val="es-ES_tradnl" w:eastAsia="ja-JP"/>
              </w:rPr>
              <w:t>,</w:t>
            </w:r>
            <w:r w:rsidRPr="00140923">
              <w:rPr>
                <w:color w:val="000000"/>
                <w:sz w:val="18"/>
                <w:szCs w:val="18"/>
                <w:lang w:val="es-ES_tradnl" w:eastAsia="ja-JP"/>
              </w:rPr>
              <w:t>5, 7</w:t>
            </w:r>
            <w:r w:rsidR="004E54FE">
              <w:rPr>
                <w:sz w:val="18"/>
                <w:szCs w:val="18"/>
                <w:lang w:val="es-ES_tradnl"/>
              </w:rPr>
              <w:t>;</w:t>
            </w:r>
            <w:r w:rsidR="004E54FE">
              <w:rPr>
                <w:sz w:val="18"/>
                <w:szCs w:val="18"/>
                <w:lang w:val="es-ES_tradnl"/>
              </w:rPr>
              <w:t xml:space="preserve"> </w:t>
            </w:r>
            <w:r w:rsidRPr="00140923">
              <w:rPr>
                <w:color w:val="000000"/>
                <w:sz w:val="18"/>
                <w:szCs w:val="18"/>
                <w:lang w:val="es-ES_tradnl" w:eastAsia="ja-JP"/>
              </w:rPr>
              <w:t>14</w:t>
            </w:r>
            <w:r w:rsidR="004E54FE">
              <w:rPr>
                <w:sz w:val="18"/>
                <w:szCs w:val="18"/>
                <w:lang w:val="es-ES_tradnl"/>
              </w:rPr>
              <w:t>;</w:t>
            </w:r>
            <w:r w:rsidRPr="004E54FE">
              <w:rPr>
                <w:bCs/>
                <w:color w:val="000000"/>
                <w:sz w:val="18"/>
                <w:szCs w:val="18"/>
                <w:lang w:val="es-ES_tradnl" w:eastAsia="ja-JP"/>
              </w:rPr>
              <w:t xml:space="preserve"> </w:t>
            </w:r>
            <w:r w:rsidRPr="00140923">
              <w:rPr>
                <w:b/>
                <w:color w:val="000000"/>
                <w:sz w:val="18"/>
                <w:szCs w:val="18"/>
                <w:lang w:val="es-ES_tradnl" w:eastAsia="ja-JP"/>
              </w:rPr>
              <w:t>28</w:t>
            </w:r>
            <w:r w:rsidR="004E54FE">
              <w:rPr>
                <w:sz w:val="18"/>
                <w:szCs w:val="18"/>
                <w:lang w:val="es-ES_tradnl"/>
              </w:rPr>
              <w:t>;</w:t>
            </w:r>
            <w:r w:rsidRPr="00140923">
              <w:rPr>
                <w:color w:val="000000"/>
                <w:sz w:val="18"/>
                <w:szCs w:val="18"/>
                <w:lang w:val="es-ES_tradnl" w:eastAsia="ja-JP"/>
              </w:rPr>
              <w:t xml:space="preserve"> 56</w:t>
            </w:r>
          </w:p>
        </w:tc>
      </w:tr>
      <w:tr w:rsidR="00480606" w:rsidRPr="00140923" w14:paraId="3D8819BA" w14:textId="77777777" w:rsidTr="00480606">
        <w:trPr>
          <w:cantSplit/>
          <w:jc w:val="center"/>
        </w:trPr>
        <w:tc>
          <w:tcPr>
            <w:tcW w:w="1413" w:type="dxa"/>
            <w:tcMar>
              <w:left w:w="57" w:type="dxa"/>
              <w:right w:w="57" w:type="dxa"/>
            </w:tcMar>
          </w:tcPr>
          <w:p w14:paraId="4D39B115" w14:textId="2C2D9D29" w:rsidR="00B851DD" w:rsidRPr="00140923" w:rsidRDefault="00B851DD" w:rsidP="00226764">
            <w:pPr>
              <w:pStyle w:val="Tabletext"/>
              <w:spacing w:before="0" w:after="0" w:line="240" w:lineRule="exact"/>
              <w:jc w:val="left"/>
              <w:rPr>
                <w:sz w:val="18"/>
                <w:szCs w:val="18"/>
                <w:lang w:val="es-ES_tradnl"/>
              </w:rPr>
            </w:pPr>
            <w:r w:rsidRPr="00140923">
              <w:rPr>
                <w:sz w:val="18"/>
                <w:szCs w:val="18"/>
                <w:lang w:val="es-ES_tradnl"/>
              </w:rPr>
              <w:t>Gama de potencia de salida del transmisor (dBW)</w:t>
            </w:r>
          </w:p>
        </w:tc>
        <w:tc>
          <w:tcPr>
            <w:tcW w:w="1134" w:type="dxa"/>
          </w:tcPr>
          <w:p w14:paraId="394B6412" w14:textId="6FF8AC91"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−6</w:t>
            </w:r>
            <w:r w:rsidR="00480606">
              <w:rPr>
                <w:sz w:val="18"/>
                <w:szCs w:val="18"/>
                <w:lang w:val="es-ES_tradnl"/>
              </w:rPr>
              <w:t>,</w:t>
            </w:r>
            <w:r w:rsidRPr="00140923">
              <w:rPr>
                <w:sz w:val="18"/>
                <w:szCs w:val="18"/>
                <w:lang w:val="es-ES_tradnl"/>
              </w:rPr>
              <w:t>5… 13</w:t>
            </w:r>
          </w:p>
        </w:tc>
        <w:tc>
          <w:tcPr>
            <w:tcW w:w="1134" w:type="dxa"/>
          </w:tcPr>
          <w:p w14:paraId="1C4AE088" w14:textId="3EF67885"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−6</w:t>
            </w:r>
            <w:r w:rsidR="00480606">
              <w:rPr>
                <w:sz w:val="18"/>
                <w:szCs w:val="18"/>
                <w:lang w:val="es-ES_tradnl"/>
              </w:rPr>
              <w:t>,</w:t>
            </w:r>
            <w:r w:rsidRPr="00140923">
              <w:rPr>
                <w:sz w:val="18"/>
                <w:szCs w:val="18"/>
                <w:lang w:val="es-ES_tradnl"/>
              </w:rPr>
              <w:t>5…13</w:t>
            </w:r>
          </w:p>
        </w:tc>
        <w:tc>
          <w:tcPr>
            <w:tcW w:w="1276" w:type="dxa"/>
          </w:tcPr>
          <w:p w14:paraId="7F947AA6" w14:textId="434A244B"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−6</w:t>
            </w:r>
            <w:r w:rsidR="00480606">
              <w:rPr>
                <w:sz w:val="18"/>
                <w:szCs w:val="18"/>
                <w:lang w:val="es-ES_tradnl"/>
              </w:rPr>
              <w:t>,</w:t>
            </w:r>
            <w:r w:rsidRPr="00140923">
              <w:rPr>
                <w:sz w:val="18"/>
                <w:szCs w:val="18"/>
                <w:lang w:val="es-ES_tradnl"/>
              </w:rPr>
              <w:t>5… 13</w:t>
            </w:r>
          </w:p>
        </w:tc>
        <w:tc>
          <w:tcPr>
            <w:tcW w:w="1275" w:type="dxa"/>
          </w:tcPr>
          <w:p w14:paraId="7E3229D0" w14:textId="193F779F"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−6</w:t>
            </w:r>
            <w:r w:rsidR="00480606">
              <w:rPr>
                <w:sz w:val="18"/>
                <w:szCs w:val="18"/>
                <w:lang w:val="es-ES_tradnl"/>
              </w:rPr>
              <w:t>,</w:t>
            </w:r>
            <w:r w:rsidRPr="00140923">
              <w:rPr>
                <w:sz w:val="18"/>
                <w:szCs w:val="18"/>
                <w:lang w:val="es-ES_tradnl"/>
              </w:rPr>
              <w:t>5… 13</w:t>
            </w:r>
          </w:p>
        </w:tc>
        <w:tc>
          <w:tcPr>
            <w:tcW w:w="1134" w:type="dxa"/>
          </w:tcPr>
          <w:p w14:paraId="657B05F9" w14:textId="77777777" w:rsidR="00B851DD" w:rsidRPr="00140923" w:rsidRDefault="00B851DD" w:rsidP="00226764">
            <w:pPr>
              <w:pStyle w:val="Tabletext"/>
              <w:spacing w:before="0" w:after="0"/>
              <w:jc w:val="center"/>
              <w:rPr>
                <w:color w:val="000000"/>
                <w:sz w:val="18"/>
                <w:szCs w:val="18"/>
                <w:lang w:val="es-ES_tradnl"/>
              </w:rPr>
            </w:pPr>
            <w:r w:rsidRPr="00140923">
              <w:rPr>
                <w:sz w:val="18"/>
                <w:szCs w:val="18"/>
                <w:lang w:val="es-ES_tradnl" w:eastAsia="zh-CN"/>
              </w:rPr>
              <w:t>0</w:t>
            </w:r>
          </w:p>
        </w:tc>
        <w:tc>
          <w:tcPr>
            <w:tcW w:w="1134" w:type="dxa"/>
          </w:tcPr>
          <w:p w14:paraId="3BA11393" w14:textId="77777777" w:rsidR="00B851DD" w:rsidRPr="00140923" w:rsidRDefault="00B851DD" w:rsidP="00226764">
            <w:pPr>
              <w:pStyle w:val="Tabletext"/>
              <w:spacing w:before="0" w:after="0"/>
              <w:jc w:val="center"/>
              <w:rPr>
                <w:color w:val="000000"/>
                <w:sz w:val="18"/>
                <w:szCs w:val="18"/>
                <w:lang w:val="es-ES_tradnl"/>
              </w:rPr>
            </w:pPr>
            <w:r w:rsidRPr="00140923">
              <w:rPr>
                <w:sz w:val="18"/>
                <w:szCs w:val="18"/>
                <w:lang w:val="es-ES_tradnl" w:eastAsia="zh-CN"/>
              </w:rPr>
              <w:t>0</w:t>
            </w:r>
          </w:p>
        </w:tc>
        <w:tc>
          <w:tcPr>
            <w:tcW w:w="851" w:type="dxa"/>
            <w:vMerge w:val="restart"/>
          </w:tcPr>
          <w:p w14:paraId="2D78BA62" w14:textId="17DEE153" w:rsidR="00B851DD" w:rsidRPr="00140923" w:rsidRDefault="00B851DD" w:rsidP="00226764">
            <w:pPr>
              <w:pStyle w:val="Tabletext"/>
              <w:spacing w:before="0" w:after="0"/>
              <w:jc w:val="center"/>
              <w:rPr>
                <w:color w:val="000000"/>
                <w:sz w:val="18"/>
                <w:szCs w:val="18"/>
                <w:lang w:val="es-ES_tradnl"/>
              </w:rPr>
            </w:pPr>
            <w:r w:rsidRPr="00140923">
              <w:rPr>
                <w:color w:val="000000"/>
                <w:sz w:val="18"/>
                <w:szCs w:val="18"/>
                <w:lang w:val="es-ES_tradnl"/>
              </w:rPr>
              <w:t>NOTA</w:t>
            </w:r>
          </w:p>
        </w:tc>
        <w:tc>
          <w:tcPr>
            <w:tcW w:w="992" w:type="dxa"/>
          </w:tcPr>
          <w:p w14:paraId="0B92FC20" w14:textId="7841A3DA" w:rsidR="00B851DD" w:rsidRPr="00140923" w:rsidRDefault="00B851DD" w:rsidP="00226764">
            <w:pPr>
              <w:pStyle w:val="Tabletext"/>
              <w:spacing w:before="0" w:after="0"/>
              <w:jc w:val="center"/>
              <w:rPr>
                <w:color w:val="000000"/>
                <w:sz w:val="18"/>
                <w:szCs w:val="18"/>
                <w:lang w:val="es-ES_tradnl"/>
              </w:rPr>
            </w:pPr>
            <w:r w:rsidRPr="00140923">
              <w:rPr>
                <w:sz w:val="18"/>
                <w:szCs w:val="18"/>
                <w:lang w:val="es-ES_tradnl"/>
              </w:rPr>
              <w:t>−</w:t>
            </w:r>
            <w:r w:rsidRPr="00140923">
              <w:rPr>
                <w:color w:val="000000"/>
                <w:sz w:val="18"/>
                <w:szCs w:val="18"/>
                <w:lang w:val="es-ES_tradnl" w:eastAsia="ja-JP"/>
              </w:rPr>
              <w:t>15</w:t>
            </w:r>
            <w:r w:rsidR="00480606">
              <w:rPr>
                <w:color w:val="000000"/>
                <w:sz w:val="18"/>
                <w:szCs w:val="18"/>
                <w:lang w:val="es-ES_tradnl" w:eastAsia="ja-JP"/>
              </w:rPr>
              <w:t>,</w:t>
            </w:r>
            <w:r w:rsidRPr="00140923">
              <w:rPr>
                <w:color w:val="000000"/>
                <w:sz w:val="18"/>
                <w:szCs w:val="18"/>
                <w:lang w:val="es-ES_tradnl" w:eastAsia="ja-JP"/>
              </w:rPr>
              <w:t>0…</w:t>
            </w:r>
            <w:r w:rsidR="00480606">
              <w:rPr>
                <w:color w:val="000000"/>
                <w:sz w:val="18"/>
                <w:szCs w:val="18"/>
                <w:lang w:val="es-ES_tradnl" w:eastAsia="ja-JP"/>
              </w:rPr>
              <w:br/>
            </w:r>
            <w:r w:rsidRPr="00140923">
              <w:rPr>
                <w:color w:val="000000"/>
                <w:sz w:val="18"/>
                <w:szCs w:val="18"/>
                <w:lang w:val="es-ES_tradnl" w:eastAsia="ja-JP"/>
              </w:rPr>
              <w:t>1</w:t>
            </w:r>
            <w:r w:rsidR="00480606">
              <w:rPr>
                <w:color w:val="000000"/>
                <w:sz w:val="18"/>
                <w:szCs w:val="18"/>
                <w:lang w:val="es-ES_tradnl" w:eastAsia="ja-JP"/>
              </w:rPr>
              <w:t>,</w:t>
            </w:r>
            <w:r w:rsidRPr="00140923">
              <w:rPr>
                <w:color w:val="000000"/>
                <w:sz w:val="18"/>
                <w:szCs w:val="18"/>
                <w:lang w:val="es-ES_tradnl" w:eastAsia="ja-JP"/>
              </w:rPr>
              <w:t>0</w:t>
            </w:r>
          </w:p>
        </w:tc>
        <w:tc>
          <w:tcPr>
            <w:tcW w:w="1134" w:type="dxa"/>
          </w:tcPr>
          <w:p w14:paraId="20DF05C8" w14:textId="6E95F98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3…</w:t>
            </w:r>
            <w:r w:rsidRPr="00140923">
              <w:rPr>
                <w:sz w:val="18"/>
                <w:szCs w:val="18"/>
                <w:lang w:val="es-ES_tradnl" w:eastAsia="ja-JP"/>
              </w:rPr>
              <w:t>5</w:t>
            </w:r>
            <w:r w:rsidR="00480606">
              <w:rPr>
                <w:sz w:val="18"/>
                <w:szCs w:val="18"/>
                <w:lang w:val="es-ES_tradnl" w:eastAsia="ja-JP"/>
              </w:rPr>
              <w:t>,</w:t>
            </w:r>
            <w:r w:rsidRPr="00140923">
              <w:rPr>
                <w:sz w:val="18"/>
                <w:szCs w:val="18"/>
                <w:lang w:val="es-ES_tradnl" w:eastAsia="ja-JP"/>
              </w:rPr>
              <w:t>0</w:t>
            </w:r>
          </w:p>
        </w:tc>
        <w:tc>
          <w:tcPr>
            <w:tcW w:w="1134" w:type="dxa"/>
          </w:tcPr>
          <w:p w14:paraId="26ED9F4D" w14:textId="612E39D6"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0</w:t>
            </w:r>
            <w:r w:rsidR="00480606">
              <w:rPr>
                <w:sz w:val="18"/>
                <w:szCs w:val="18"/>
                <w:lang w:val="es-ES_tradnl" w:eastAsia="ja-JP"/>
              </w:rPr>
              <w:t>,</w:t>
            </w:r>
            <w:r w:rsidRPr="00140923">
              <w:rPr>
                <w:sz w:val="18"/>
                <w:szCs w:val="18"/>
                <w:lang w:val="es-ES_tradnl" w:eastAsia="ja-JP"/>
              </w:rPr>
              <w:t>0</w:t>
            </w:r>
          </w:p>
        </w:tc>
        <w:tc>
          <w:tcPr>
            <w:tcW w:w="992" w:type="dxa"/>
          </w:tcPr>
          <w:p w14:paraId="0505180E" w14:textId="77777777" w:rsidR="00B851DD" w:rsidRPr="00140923" w:rsidRDefault="00B851DD" w:rsidP="00226764">
            <w:pPr>
              <w:pStyle w:val="Tabletext"/>
              <w:spacing w:before="0" w:after="0" w:line="240" w:lineRule="exact"/>
              <w:jc w:val="center"/>
              <w:rPr>
                <w:color w:val="000000"/>
                <w:sz w:val="18"/>
                <w:szCs w:val="18"/>
                <w:highlight w:val="yellow"/>
                <w:lang w:val="es-ES_tradnl"/>
              </w:rPr>
            </w:pPr>
            <w:r w:rsidRPr="00140923">
              <w:rPr>
                <w:sz w:val="18"/>
                <w:szCs w:val="18"/>
                <w:lang w:val="es-ES_tradnl" w:eastAsia="zh-CN"/>
              </w:rPr>
              <w:t>0</w:t>
            </w:r>
          </w:p>
        </w:tc>
        <w:tc>
          <w:tcPr>
            <w:tcW w:w="856" w:type="dxa"/>
          </w:tcPr>
          <w:p w14:paraId="2F7884B6" w14:textId="17D27CA6"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−15</w:t>
            </w:r>
            <w:r w:rsidR="00480606">
              <w:rPr>
                <w:sz w:val="18"/>
                <w:szCs w:val="18"/>
                <w:lang w:val="es-ES_tradnl"/>
              </w:rPr>
              <w:t>,</w:t>
            </w:r>
            <w:r w:rsidRPr="00140923">
              <w:rPr>
                <w:sz w:val="18"/>
                <w:szCs w:val="18"/>
                <w:lang w:val="es-ES_tradnl"/>
              </w:rPr>
              <w:t>6…</w:t>
            </w:r>
            <w:r w:rsidR="00480606">
              <w:rPr>
                <w:sz w:val="18"/>
                <w:szCs w:val="18"/>
                <w:lang w:val="es-ES_tradnl"/>
              </w:rPr>
              <w:br/>
            </w:r>
            <w:r w:rsidRPr="00140923">
              <w:rPr>
                <w:sz w:val="18"/>
                <w:szCs w:val="18"/>
                <w:lang w:val="es-ES_tradnl"/>
              </w:rPr>
              <w:t>−3</w:t>
            </w:r>
            <w:r w:rsidR="00480606">
              <w:rPr>
                <w:sz w:val="18"/>
                <w:szCs w:val="18"/>
                <w:lang w:val="es-ES_tradnl"/>
              </w:rPr>
              <w:t>,</w:t>
            </w:r>
            <w:r w:rsidRPr="00140923">
              <w:rPr>
                <w:sz w:val="18"/>
                <w:szCs w:val="18"/>
                <w:lang w:val="es-ES_tradnl"/>
              </w:rPr>
              <w:t>0</w:t>
            </w:r>
          </w:p>
        </w:tc>
      </w:tr>
      <w:tr w:rsidR="00480606" w:rsidRPr="00140923" w14:paraId="6D277CDB" w14:textId="77777777" w:rsidTr="00480606">
        <w:trPr>
          <w:cantSplit/>
          <w:jc w:val="center"/>
        </w:trPr>
        <w:tc>
          <w:tcPr>
            <w:tcW w:w="1413" w:type="dxa"/>
            <w:tcMar>
              <w:left w:w="57" w:type="dxa"/>
              <w:right w:w="57" w:type="dxa"/>
            </w:tcMar>
          </w:tcPr>
          <w:p w14:paraId="294FC5B8" w14:textId="0C1939B8" w:rsidR="00B851DD" w:rsidRPr="00140923" w:rsidRDefault="00B851DD" w:rsidP="00226764">
            <w:pPr>
              <w:pStyle w:val="Tabletext"/>
              <w:spacing w:before="0" w:after="0" w:line="240" w:lineRule="exact"/>
              <w:jc w:val="left"/>
              <w:rPr>
                <w:sz w:val="18"/>
                <w:szCs w:val="18"/>
                <w:lang w:val="es-ES_tradnl"/>
              </w:rPr>
            </w:pPr>
            <w:r w:rsidRPr="00140923">
              <w:rPr>
                <w:sz w:val="18"/>
                <w:szCs w:val="18"/>
                <w:lang w:val="es-ES_tradnl"/>
              </w:rPr>
              <w:t>Gama de densidad de potencia de salida del transmisor (dBW/MHz)</w:t>
            </w:r>
            <w:r w:rsidRPr="00140923">
              <w:rPr>
                <w:sz w:val="18"/>
                <w:szCs w:val="18"/>
                <w:vertAlign w:val="superscript"/>
                <w:lang w:val="es-ES_tradnl"/>
              </w:rPr>
              <w:t>(1)</w:t>
            </w:r>
          </w:p>
        </w:tc>
        <w:tc>
          <w:tcPr>
            <w:tcW w:w="1134" w:type="dxa"/>
          </w:tcPr>
          <w:p w14:paraId="7460F2D1" w14:textId="6AD96566" w:rsidR="00B851DD" w:rsidRPr="00140923" w:rsidRDefault="00B851DD" w:rsidP="00226764">
            <w:pPr>
              <w:rPr>
                <w:i/>
                <w:sz w:val="18"/>
                <w:szCs w:val="18"/>
                <w:lang w:val="es-ES_tradnl" w:eastAsia="ja-JP"/>
              </w:rPr>
            </w:pPr>
            <w:r w:rsidRPr="00140923">
              <w:rPr>
                <w:sz w:val="18"/>
                <w:szCs w:val="18"/>
                <w:lang w:val="es-ES_tradnl"/>
              </w:rPr>
              <w:t>−</w:t>
            </w:r>
            <w:r w:rsidRPr="00140923">
              <w:rPr>
                <w:sz w:val="18"/>
                <w:szCs w:val="18"/>
                <w:lang w:val="es-ES_tradnl" w:eastAsia="ja-JP"/>
              </w:rPr>
              <w:t>25</w:t>
            </w:r>
            <w:r w:rsidR="00480606">
              <w:rPr>
                <w:sz w:val="18"/>
                <w:szCs w:val="18"/>
                <w:lang w:val="es-ES_tradnl" w:eastAsia="ja-JP"/>
              </w:rPr>
              <w:t>,</w:t>
            </w:r>
            <w:r w:rsidRPr="00140923">
              <w:rPr>
                <w:sz w:val="18"/>
                <w:szCs w:val="18"/>
                <w:lang w:val="es-ES_tradnl" w:eastAsia="ja-JP"/>
              </w:rPr>
              <w:t>5…3</w:t>
            </w:r>
          </w:p>
        </w:tc>
        <w:tc>
          <w:tcPr>
            <w:tcW w:w="1134" w:type="dxa"/>
          </w:tcPr>
          <w:p w14:paraId="46502700" w14:textId="20614C60"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w:t>
            </w:r>
            <w:r w:rsidRPr="00140923">
              <w:rPr>
                <w:sz w:val="18"/>
                <w:szCs w:val="18"/>
                <w:lang w:val="es-ES_tradnl" w:eastAsia="ja-JP"/>
              </w:rPr>
              <w:t>25</w:t>
            </w:r>
            <w:r w:rsidR="00480606">
              <w:rPr>
                <w:sz w:val="18"/>
                <w:szCs w:val="18"/>
                <w:lang w:val="es-ES_tradnl" w:eastAsia="ja-JP"/>
              </w:rPr>
              <w:t>,</w:t>
            </w:r>
            <w:r w:rsidRPr="00140923">
              <w:rPr>
                <w:sz w:val="18"/>
                <w:szCs w:val="18"/>
                <w:lang w:val="es-ES_tradnl" w:eastAsia="ja-JP"/>
              </w:rPr>
              <w:t>5…3</w:t>
            </w:r>
          </w:p>
        </w:tc>
        <w:tc>
          <w:tcPr>
            <w:tcW w:w="1276" w:type="dxa"/>
          </w:tcPr>
          <w:p w14:paraId="0BF4F435" w14:textId="430068AE"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w:t>
            </w:r>
            <w:r w:rsidRPr="00140923">
              <w:rPr>
                <w:sz w:val="18"/>
                <w:szCs w:val="18"/>
                <w:lang w:val="es-ES_tradnl" w:eastAsia="ja-JP"/>
              </w:rPr>
              <w:t>25</w:t>
            </w:r>
            <w:r w:rsidR="00480606">
              <w:rPr>
                <w:sz w:val="18"/>
                <w:szCs w:val="18"/>
                <w:lang w:val="es-ES_tradnl" w:eastAsia="ja-JP"/>
              </w:rPr>
              <w:t>,</w:t>
            </w:r>
            <w:r w:rsidRPr="00140923">
              <w:rPr>
                <w:sz w:val="18"/>
                <w:szCs w:val="18"/>
                <w:lang w:val="es-ES_tradnl" w:eastAsia="ja-JP"/>
              </w:rPr>
              <w:t>5…3</w:t>
            </w:r>
          </w:p>
        </w:tc>
        <w:tc>
          <w:tcPr>
            <w:tcW w:w="1275" w:type="dxa"/>
          </w:tcPr>
          <w:p w14:paraId="4F495A7D" w14:textId="1EBAE468"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w:t>
            </w:r>
            <w:r w:rsidRPr="00140923">
              <w:rPr>
                <w:sz w:val="18"/>
                <w:szCs w:val="18"/>
                <w:lang w:val="es-ES_tradnl" w:eastAsia="ja-JP"/>
              </w:rPr>
              <w:t>25</w:t>
            </w:r>
            <w:r w:rsidR="00480606">
              <w:rPr>
                <w:sz w:val="18"/>
                <w:szCs w:val="18"/>
                <w:lang w:val="es-ES_tradnl" w:eastAsia="ja-JP"/>
              </w:rPr>
              <w:t>,</w:t>
            </w:r>
            <w:r w:rsidRPr="00140923">
              <w:rPr>
                <w:sz w:val="18"/>
                <w:szCs w:val="18"/>
                <w:lang w:val="es-ES_tradnl" w:eastAsia="ja-JP"/>
              </w:rPr>
              <w:t>5…3</w:t>
            </w:r>
          </w:p>
        </w:tc>
        <w:tc>
          <w:tcPr>
            <w:tcW w:w="1134" w:type="dxa"/>
          </w:tcPr>
          <w:p w14:paraId="4C2140F4" w14:textId="75FB4C03" w:rsidR="00B851DD" w:rsidRPr="00140923" w:rsidRDefault="00B851DD" w:rsidP="00226764">
            <w:pPr>
              <w:pStyle w:val="Tabletext"/>
              <w:spacing w:before="0" w:after="0"/>
              <w:jc w:val="center"/>
              <w:rPr>
                <w:color w:val="000000"/>
                <w:sz w:val="18"/>
                <w:szCs w:val="18"/>
                <w:lang w:val="es-ES_tradnl" w:eastAsia="ja-JP"/>
              </w:rPr>
            </w:pPr>
            <w:r w:rsidRPr="00140923">
              <w:rPr>
                <w:sz w:val="18"/>
                <w:szCs w:val="18"/>
                <w:lang w:val="es-ES_tradnl"/>
              </w:rPr>
              <w:t>−</w:t>
            </w:r>
            <w:r w:rsidRPr="00140923">
              <w:rPr>
                <w:color w:val="000000"/>
                <w:sz w:val="18"/>
                <w:szCs w:val="18"/>
                <w:lang w:val="es-ES_tradnl" w:eastAsia="ja-JP"/>
              </w:rPr>
              <w:t>11</w:t>
            </w:r>
            <w:r w:rsidR="00480606">
              <w:rPr>
                <w:color w:val="000000"/>
                <w:sz w:val="18"/>
                <w:szCs w:val="18"/>
                <w:lang w:val="es-ES_tradnl" w:eastAsia="ja-JP"/>
              </w:rPr>
              <w:t>,</w:t>
            </w:r>
            <w:r w:rsidRPr="00140923">
              <w:rPr>
                <w:color w:val="000000"/>
                <w:sz w:val="18"/>
                <w:szCs w:val="18"/>
                <w:lang w:val="es-ES_tradnl" w:eastAsia="ja-JP"/>
              </w:rPr>
              <w:t>5</w:t>
            </w:r>
          </w:p>
        </w:tc>
        <w:tc>
          <w:tcPr>
            <w:tcW w:w="1134" w:type="dxa"/>
          </w:tcPr>
          <w:p w14:paraId="32C5BEC9" w14:textId="62D52225" w:rsidR="00B851DD" w:rsidRPr="00140923" w:rsidRDefault="00B851DD" w:rsidP="00226764">
            <w:pPr>
              <w:pStyle w:val="Tabletext"/>
              <w:spacing w:before="0" w:after="0"/>
              <w:jc w:val="center"/>
              <w:rPr>
                <w:color w:val="000000"/>
                <w:sz w:val="18"/>
                <w:szCs w:val="18"/>
                <w:lang w:val="es-ES_tradnl" w:eastAsia="ja-JP"/>
              </w:rPr>
            </w:pPr>
            <w:r w:rsidRPr="00140923">
              <w:rPr>
                <w:sz w:val="18"/>
                <w:szCs w:val="18"/>
                <w:lang w:val="es-ES_tradnl"/>
              </w:rPr>
              <w:t>−</w:t>
            </w:r>
            <w:r w:rsidRPr="00140923">
              <w:rPr>
                <w:color w:val="000000"/>
                <w:sz w:val="18"/>
                <w:szCs w:val="18"/>
                <w:lang w:val="es-ES_tradnl" w:eastAsia="ja-JP"/>
              </w:rPr>
              <w:t>11</w:t>
            </w:r>
            <w:r w:rsidR="00480606">
              <w:rPr>
                <w:color w:val="000000"/>
                <w:sz w:val="18"/>
                <w:szCs w:val="18"/>
                <w:lang w:val="es-ES_tradnl" w:eastAsia="ja-JP"/>
              </w:rPr>
              <w:t>,</w:t>
            </w:r>
            <w:r w:rsidRPr="00140923">
              <w:rPr>
                <w:color w:val="000000"/>
                <w:sz w:val="18"/>
                <w:szCs w:val="18"/>
                <w:lang w:val="es-ES_tradnl" w:eastAsia="ja-JP"/>
              </w:rPr>
              <w:t>5</w:t>
            </w:r>
          </w:p>
        </w:tc>
        <w:tc>
          <w:tcPr>
            <w:tcW w:w="851" w:type="dxa"/>
            <w:vMerge/>
          </w:tcPr>
          <w:p w14:paraId="6734FF4E" w14:textId="77777777" w:rsidR="00B851DD" w:rsidRPr="00140923" w:rsidRDefault="00B851DD" w:rsidP="00226764">
            <w:pPr>
              <w:pStyle w:val="Tabletext"/>
              <w:spacing w:before="0" w:after="0"/>
              <w:jc w:val="center"/>
              <w:rPr>
                <w:color w:val="000000"/>
                <w:sz w:val="18"/>
                <w:szCs w:val="18"/>
                <w:lang w:val="es-ES_tradnl" w:eastAsia="ja-JP"/>
              </w:rPr>
            </w:pPr>
          </w:p>
        </w:tc>
        <w:tc>
          <w:tcPr>
            <w:tcW w:w="992" w:type="dxa"/>
          </w:tcPr>
          <w:p w14:paraId="77334ED1" w14:textId="454CE1AD" w:rsidR="00B851DD" w:rsidRPr="00140923" w:rsidRDefault="00B851DD" w:rsidP="00226764">
            <w:pPr>
              <w:pStyle w:val="Tabletext"/>
              <w:spacing w:before="0" w:after="0"/>
              <w:jc w:val="center"/>
              <w:rPr>
                <w:sz w:val="18"/>
                <w:szCs w:val="18"/>
                <w:lang w:val="es-ES_tradnl"/>
              </w:rPr>
            </w:pPr>
            <w:r w:rsidRPr="00140923">
              <w:rPr>
                <w:sz w:val="18"/>
                <w:szCs w:val="18"/>
                <w:lang w:val="es-ES_tradnl"/>
              </w:rPr>
              <w:t>−19</w:t>
            </w:r>
            <w:r w:rsidR="00480606">
              <w:rPr>
                <w:sz w:val="18"/>
                <w:szCs w:val="18"/>
                <w:lang w:val="es-ES_tradnl"/>
              </w:rPr>
              <w:t>,</w:t>
            </w:r>
            <w:r w:rsidRPr="00140923">
              <w:rPr>
                <w:sz w:val="18"/>
                <w:szCs w:val="18"/>
                <w:lang w:val="es-ES_tradnl"/>
              </w:rPr>
              <w:t>0…</w:t>
            </w:r>
            <w:r w:rsidR="00480606">
              <w:rPr>
                <w:sz w:val="18"/>
                <w:szCs w:val="18"/>
                <w:lang w:val="es-ES_tradnl"/>
              </w:rPr>
              <w:br/>
            </w:r>
            <w:r w:rsidRPr="00140923">
              <w:rPr>
                <w:sz w:val="18"/>
                <w:szCs w:val="18"/>
                <w:lang w:val="es-ES_tradnl"/>
              </w:rPr>
              <w:t>−3</w:t>
            </w:r>
            <w:r w:rsidR="00480606">
              <w:rPr>
                <w:sz w:val="18"/>
                <w:szCs w:val="18"/>
                <w:lang w:val="es-ES_tradnl"/>
              </w:rPr>
              <w:t>,</w:t>
            </w:r>
            <w:r w:rsidRPr="00140923">
              <w:rPr>
                <w:sz w:val="18"/>
                <w:szCs w:val="18"/>
                <w:lang w:val="es-ES_tradnl"/>
              </w:rPr>
              <w:t>0</w:t>
            </w:r>
          </w:p>
        </w:tc>
        <w:tc>
          <w:tcPr>
            <w:tcW w:w="1134" w:type="dxa"/>
          </w:tcPr>
          <w:p w14:paraId="06638EF5" w14:textId="2811565A" w:rsidR="00B851DD" w:rsidRPr="00140923" w:rsidRDefault="00B851DD" w:rsidP="00226764">
            <w:pPr>
              <w:pStyle w:val="Tabletext"/>
              <w:spacing w:before="0" w:after="0" w:line="240" w:lineRule="exact"/>
              <w:ind w:left="-57" w:right="-57"/>
              <w:jc w:val="center"/>
              <w:rPr>
                <w:sz w:val="18"/>
                <w:szCs w:val="18"/>
                <w:lang w:val="es-ES_tradnl" w:eastAsia="ja-JP"/>
              </w:rPr>
            </w:pPr>
            <w:r w:rsidRPr="00140923">
              <w:rPr>
                <w:sz w:val="18"/>
                <w:szCs w:val="18"/>
                <w:lang w:val="es-ES_tradnl"/>
              </w:rPr>
              <w:t>−</w:t>
            </w:r>
            <w:r w:rsidRPr="00140923">
              <w:rPr>
                <w:sz w:val="18"/>
                <w:szCs w:val="18"/>
                <w:lang w:val="es-ES_tradnl" w:eastAsia="ja-JP"/>
              </w:rPr>
              <w:t>14</w:t>
            </w:r>
            <w:r w:rsidR="00480606">
              <w:rPr>
                <w:sz w:val="18"/>
                <w:szCs w:val="18"/>
                <w:lang w:val="es-ES_tradnl" w:eastAsia="ja-JP"/>
              </w:rPr>
              <w:t>,</w:t>
            </w:r>
            <w:r w:rsidRPr="00140923">
              <w:rPr>
                <w:sz w:val="18"/>
                <w:szCs w:val="18"/>
                <w:lang w:val="es-ES_tradnl" w:eastAsia="ja-JP"/>
              </w:rPr>
              <w:t>8...</w:t>
            </w:r>
            <w:r w:rsidR="00480606">
              <w:rPr>
                <w:sz w:val="18"/>
                <w:szCs w:val="18"/>
                <w:lang w:val="es-ES_tradnl" w:eastAsia="ja-JP"/>
              </w:rPr>
              <w:br/>
            </w:r>
            <w:r w:rsidRPr="00140923">
              <w:rPr>
                <w:sz w:val="18"/>
                <w:szCs w:val="18"/>
                <w:lang w:val="es-ES_tradnl"/>
              </w:rPr>
              <w:t>−</w:t>
            </w:r>
            <w:r w:rsidRPr="00140923">
              <w:rPr>
                <w:sz w:val="18"/>
                <w:szCs w:val="18"/>
                <w:lang w:val="es-ES_tradnl" w:eastAsia="ja-JP"/>
              </w:rPr>
              <w:t>12</w:t>
            </w:r>
            <w:r w:rsidR="00480606">
              <w:rPr>
                <w:sz w:val="18"/>
                <w:szCs w:val="18"/>
                <w:lang w:val="es-ES_tradnl" w:eastAsia="ja-JP"/>
              </w:rPr>
              <w:t>,</w:t>
            </w:r>
            <w:r w:rsidRPr="00140923">
              <w:rPr>
                <w:sz w:val="18"/>
                <w:szCs w:val="18"/>
                <w:lang w:val="es-ES_tradnl" w:eastAsia="ja-JP"/>
              </w:rPr>
              <w:t>8</w:t>
            </w:r>
          </w:p>
        </w:tc>
        <w:tc>
          <w:tcPr>
            <w:tcW w:w="1134" w:type="dxa"/>
          </w:tcPr>
          <w:p w14:paraId="346FF731" w14:textId="72B39856"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−16</w:t>
            </w:r>
            <w:r w:rsidR="00480606">
              <w:rPr>
                <w:sz w:val="18"/>
                <w:szCs w:val="18"/>
                <w:lang w:val="es-ES_tradnl" w:eastAsia="ja-JP"/>
              </w:rPr>
              <w:t>,</w:t>
            </w:r>
            <w:r w:rsidRPr="00140923">
              <w:rPr>
                <w:sz w:val="18"/>
                <w:szCs w:val="18"/>
                <w:lang w:val="es-ES_tradnl" w:eastAsia="ja-JP"/>
              </w:rPr>
              <w:t>0</w:t>
            </w:r>
          </w:p>
        </w:tc>
        <w:tc>
          <w:tcPr>
            <w:tcW w:w="992" w:type="dxa"/>
          </w:tcPr>
          <w:p w14:paraId="466AD064" w14:textId="5DBB21BD" w:rsidR="00B851DD" w:rsidRPr="00140923" w:rsidRDefault="00B851DD" w:rsidP="00226764">
            <w:pPr>
              <w:pStyle w:val="Tabletext"/>
              <w:spacing w:before="0" w:after="0" w:line="240" w:lineRule="exact"/>
              <w:jc w:val="center"/>
              <w:rPr>
                <w:color w:val="000000"/>
                <w:sz w:val="18"/>
                <w:szCs w:val="18"/>
                <w:lang w:val="es-ES_tradnl" w:eastAsia="ja-JP"/>
              </w:rPr>
            </w:pPr>
            <w:r w:rsidRPr="00140923">
              <w:rPr>
                <w:sz w:val="18"/>
                <w:szCs w:val="18"/>
                <w:lang w:val="es-ES_tradnl"/>
              </w:rPr>
              <w:t>−</w:t>
            </w:r>
            <w:r w:rsidRPr="00140923">
              <w:rPr>
                <w:color w:val="000000"/>
                <w:sz w:val="18"/>
                <w:szCs w:val="18"/>
                <w:lang w:val="es-ES_tradnl" w:eastAsia="ja-JP"/>
              </w:rPr>
              <w:t>5</w:t>
            </w:r>
            <w:r w:rsidR="00480606">
              <w:rPr>
                <w:color w:val="000000"/>
                <w:sz w:val="18"/>
                <w:szCs w:val="18"/>
                <w:lang w:val="es-ES_tradnl" w:eastAsia="ja-JP"/>
              </w:rPr>
              <w:t>,</w:t>
            </w:r>
            <w:r w:rsidRPr="00140923">
              <w:rPr>
                <w:color w:val="000000"/>
                <w:sz w:val="18"/>
                <w:szCs w:val="18"/>
                <w:lang w:val="es-ES_tradnl" w:eastAsia="ja-JP"/>
              </w:rPr>
              <w:t>4</w:t>
            </w:r>
          </w:p>
        </w:tc>
        <w:tc>
          <w:tcPr>
            <w:tcW w:w="856" w:type="dxa"/>
          </w:tcPr>
          <w:p w14:paraId="0AC97202" w14:textId="7B60EB9B"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−30</w:t>
            </w:r>
            <w:r w:rsidR="00480606">
              <w:rPr>
                <w:sz w:val="18"/>
                <w:szCs w:val="18"/>
                <w:lang w:val="es-ES_tradnl"/>
              </w:rPr>
              <w:t>,</w:t>
            </w:r>
            <w:r w:rsidRPr="00140923">
              <w:rPr>
                <w:sz w:val="18"/>
                <w:szCs w:val="18"/>
                <w:lang w:val="es-ES_tradnl"/>
              </w:rPr>
              <w:t>1…</w:t>
            </w:r>
            <w:r w:rsidR="00480606">
              <w:rPr>
                <w:sz w:val="18"/>
                <w:szCs w:val="18"/>
                <w:lang w:val="es-ES_tradnl"/>
              </w:rPr>
              <w:br/>
            </w:r>
            <w:r w:rsidRPr="00140923">
              <w:rPr>
                <w:sz w:val="18"/>
                <w:szCs w:val="18"/>
                <w:lang w:val="es-ES_tradnl"/>
              </w:rPr>
              <w:t>−17</w:t>
            </w:r>
            <w:r w:rsidR="00480606">
              <w:rPr>
                <w:sz w:val="18"/>
                <w:szCs w:val="18"/>
                <w:lang w:val="es-ES_tradnl"/>
              </w:rPr>
              <w:t>,</w:t>
            </w:r>
            <w:r w:rsidRPr="00140923">
              <w:rPr>
                <w:sz w:val="18"/>
                <w:szCs w:val="18"/>
                <w:lang w:val="es-ES_tradnl"/>
              </w:rPr>
              <w:t>5</w:t>
            </w:r>
          </w:p>
        </w:tc>
      </w:tr>
      <w:tr w:rsidR="00480606" w:rsidRPr="00140923" w14:paraId="16EE8CA9" w14:textId="77777777" w:rsidTr="00480606">
        <w:trPr>
          <w:cantSplit/>
          <w:jc w:val="center"/>
        </w:trPr>
        <w:tc>
          <w:tcPr>
            <w:tcW w:w="1413" w:type="dxa"/>
            <w:tcMar>
              <w:left w:w="57" w:type="dxa"/>
              <w:right w:w="57" w:type="dxa"/>
            </w:tcMar>
          </w:tcPr>
          <w:p w14:paraId="1EEDDE5D" w14:textId="20F8AE30" w:rsidR="00B851DD" w:rsidRPr="00140923" w:rsidRDefault="00B851DD" w:rsidP="00226764">
            <w:pPr>
              <w:pStyle w:val="Tabletext"/>
              <w:spacing w:before="0" w:after="0" w:line="240" w:lineRule="exact"/>
              <w:jc w:val="left"/>
              <w:rPr>
                <w:sz w:val="18"/>
                <w:szCs w:val="18"/>
                <w:lang w:val="es-ES_tradnl"/>
              </w:rPr>
            </w:pPr>
            <w:r w:rsidRPr="00140923">
              <w:rPr>
                <w:sz w:val="18"/>
                <w:szCs w:val="18"/>
                <w:lang w:val="es-ES_tradnl"/>
              </w:rPr>
              <w:t>Gama de pérdida del alimentador/</w:t>
            </w:r>
            <w:r w:rsidR="00664A5C">
              <w:rPr>
                <w:sz w:val="18"/>
                <w:szCs w:val="18"/>
                <w:lang w:val="es-ES_tradnl"/>
              </w:rPr>
              <w:br/>
            </w:r>
            <w:r w:rsidRPr="00140923">
              <w:rPr>
                <w:sz w:val="18"/>
                <w:szCs w:val="18"/>
                <w:lang w:val="es-ES_tradnl"/>
              </w:rPr>
              <w:t>multiplexor (dB))</w:t>
            </w:r>
          </w:p>
        </w:tc>
        <w:tc>
          <w:tcPr>
            <w:tcW w:w="1134" w:type="dxa"/>
          </w:tcPr>
          <w:p w14:paraId="2678528E" w14:textId="24996E6F"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0…3</w:t>
            </w:r>
            <w:r w:rsidR="00480606">
              <w:rPr>
                <w:sz w:val="18"/>
                <w:szCs w:val="18"/>
                <w:lang w:val="es-ES_tradnl" w:eastAsia="ja-JP"/>
              </w:rPr>
              <w:t>,</w:t>
            </w:r>
            <w:r w:rsidRPr="00140923">
              <w:rPr>
                <w:sz w:val="18"/>
                <w:szCs w:val="18"/>
                <w:lang w:val="es-ES_tradnl" w:eastAsia="ja-JP"/>
              </w:rPr>
              <w:t>0</w:t>
            </w:r>
          </w:p>
        </w:tc>
        <w:tc>
          <w:tcPr>
            <w:tcW w:w="1134" w:type="dxa"/>
          </w:tcPr>
          <w:p w14:paraId="7103D0F9" w14:textId="39639513"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0…3</w:t>
            </w:r>
            <w:r w:rsidR="00480606">
              <w:rPr>
                <w:sz w:val="18"/>
                <w:szCs w:val="18"/>
                <w:lang w:val="es-ES_tradnl" w:eastAsia="ja-JP"/>
              </w:rPr>
              <w:t>,</w:t>
            </w:r>
            <w:r w:rsidRPr="00140923">
              <w:rPr>
                <w:sz w:val="18"/>
                <w:szCs w:val="18"/>
                <w:lang w:val="es-ES_tradnl" w:eastAsia="ja-JP"/>
              </w:rPr>
              <w:t>0</w:t>
            </w:r>
          </w:p>
        </w:tc>
        <w:tc>
          <w:tcPr>
            <w:tcW w:w="1276" w:type="dxa"/>
          </w:tcPr>
          <w:p w14:paraId="3A74D3EC" w14:textId="0D39B1E2"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0…3</w:t>
            </w:r>
            <w:r w:rsidR="00480606">
              <w:rPr>
                <w:sz w:val="18"/>
                <w:szCs w:val="18"/>
                <w:lang w:val="es-ES_tradnl" w:eastAsia="ja-JP"/>
              </w:rPr>
              <w:t>,</w:t>
            </w:r>
            <w:r w:rsidRPr="00140923">
              <w:rPr>
                <w:sz w:val="18"/>
                <w:szCs w:val="18"/>
                <w:lang w:val="es-ES_tradnl" w:eastAsia="ja-JP"/>
              </w:rPr>
              <w:t>0</w:t>
            </w:r>
          </w:p>
        </w:tc>
        <w:tc>
          <w:tcPr>
            <w:tcW w:w="1275" w:type="dxa"/>
          </w:tcPr>
          <w:p w14:paraId="2EF2DB21" w14:textId="2A3ED7E2"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0…3</w:t>
            </w:r>
            <w:r w:rsidR="00480606">
              <w:rPr>
                <w:sz w:val="18"/>
                <w:szCs w:val="18"/>
                <w:lang w:val="es-ES_tradnl" w:eastAsia="ja-JP"/>
              </w:rPr>
              <w:t>,</w:t>
            </w:r>
            <w:r w:rsidRPr="00140923">
              <w:rPr>
                <w:sz w:val="18"/>
                <w:szCs w:val="18"/>
                <w:lang w:val="es-ES_tradnl" w:eastAsia="ja-JP"/>
              </w:rPr>
              <w:t>0</w:t>
            </w:r>
          </w:p>
        </w:tc>
        <w:tc>
          <w:tcPr>
            <w:tcW w:w="1134" w:type="dxa"/>
          </w:tcPr>
          <w:p w14:paraId="35CD4506" w14:textId="167814FB" w:rsidR="00B851DD" w:rsidRPr="00140923" w:rsidRDefault="00B851DD" w:rsidP="00226764">
            <w:pPr>
              <w:pStyle w:val="Tabletext"/>
              <w:spacing w:before="0" w:after="0"/>
              <w:jc w:val="center"/>
              <w:rPr>
                <w:color w:val="000000"/>
                <w:sz w:val="18"/>
                <w:szCs w:val="18"/>
                <w:lang w:val="es-ES_tradnl"/>
              </w:rPr>
            </w:pPr>
            <w:r w:rsidRPr="00140923">
              <w:rPr>
                <w:sz w:val="18"/>
                <w:szCs w:val="18"/>
                <w:lang w:val="es-ES_tradnl" w:eastAsia="zh-CN"/>
              </w:rPr>
              <w:t>0…6</w:t>
            </w:r>
            <w:r w:rsidR="00480606">
              <w:rPr>
                <w:sz w:val="18"/>
                <w:szCs w:val="18"/>
                <w:lang w:val="es-ES_tradnl" w:eastAsia="zh-CN"/>
              </w:rPr>
              <w:t>,</w:t>
            </w:r>
            <w:r w:rsidRPr="00140923">
              <w:rPr>
                <w:sz w:val="18"/>
                <w:szCs w:val="18"/>
                <w:lang w:val="es-ES_tradnl" w:eastAsia="zh-CN"/>
              </w:rPr>
              <w:t>3</w:t>
            </w:r>
          </w:p>
        </w:tc>
        <w:tc>
          <w:tcPr>
            <w:tcW w:w="1134" w:type="dxa"/>
          </w:tcPr>
          <w:p w14:paraId="1EDDCE53" w14:textId="53CA1E2F" w:rsidR="00B851DD" w:rsidRPr="00140923" w:rsidRDefault="00B851DD" w:rsidP="00226764">
            <w:pPr>
              <w:pStyle w:val="Tabletext"/>
              <w:spacing w:before="0" w:after="0"/>
              <w:jc w:val="center"/>
              <w:rPr>
                <w:color w:val="000000"/>
                <w:sz w:val="18"/>
                <w:szCs w:val="18"/>
                <w:lang w:val="es-ES_tradnl"/>
              </w:rPr>
            </w:pPr>
            <w:r w:rsidRPr="00140923">
              <w:rPr>
                <w:sz w:val="18"/>
                <w:szCs w:val="18"/>
                <w:lang w:val="es-ES_tradnl" w:eastAsia="zh-CN"/>
              </w:rPr>
              <w:t>0…6</w:t>
            </w:r>
            <w:r w:rsidR="00480606">
              <w:rPr>
                <w:sz w:val="18"/>
                <w:szCs w:val="18"/>
                <w:lang w:val="es-ES_tradnl" w:eastAsia="zh-CN"/>
              </w:rPr>
              <w:t>,</w:t>
            </w:r>
            <w:r w:rsidRPr="00140923">
              <w:rPr>
                <w:sz w:val="18"/>
                <w:szCs w:val="18"/>
                <w:lang w:val="es-ES_tradnl" w:eastAsia="zh-CN"/>
              </w:rPr>
              <w:t>3</w:t>
            </w:r>
          </w:p>
        </w:tc>
        <w:tc>
          <w:tcPr>
            <w:tcW w:w="851" w:type="dxa"/>
            <w:vMerge/>
          </w:tcPr>
          <w:p w14:paraId="3E410325" w14:textId="77777777" w:rsidR="00B851DD" w:rsidRPr="00140923" w:rsidRDefault="00B851DD" w:rsidP="00226764">
            <w:pPr>
              <w:pStyle w:val="Tabletext"/>
              <w:spacing w:before="0" w:after="0"/>
              <w:jc w:val="center"/>
              <w:rPr>
                <w:color w:val="000000"/>
                <w:sz w:val="18"/>
                <w:szCs w:val="18"/>
                <w:lang w:val="es-ES_tradnl"/>
              </w:rPr>
            </w:pPr>
          </w:p>
        </w:tc>
        <w:tc>
          <w:tcPr>
            <w:tcW w:w="992" w:type="dxa"/>
          </w:tcPr>
          <w:p w14:paraId="5F2276BC" w14:textId="382738FB" w:rsidR="00B851DD" w:rsidRPr="00140923" w:rsidRDefault="00B851DD" w:rsidP="00226764">
            <w:pPr>
              <w:pStyle w:val="Tabletext"/>
              <w:spacing w:before="0" w:after="0"/>
              <w:jc w:val="center"/>
              <w:rPr>
                <w:color w:val="000000"/>
                <w:sz w:val="18"/>
                <w:szCs w:val="18"/>
                <w:lang w:val="es-ES_tradnl"/>
              </w:rPr>
            </w:pPr>
            <w:r w:rsidRPr="00140923">
              <w:rPr>
                <w:color w:val="000000"/>
                <w:sz w:val="18"/>
                <w:szCs w:val="18"/>
                <w:lang w:val="es-ES_tradnl"/>
              </w:rPr>
              <w:t>2</w:t>
            </w:r>
            <w:r w:rsidR="00480606">
              <w:rPr>
                <w:color w:val="000000"/>
                <w:sz w:val="18"/>
                <w:szCs w:val="18"/>
                <w:lang w:val="es-ES_tradnl"/>
              </w:rPr>
              <w:t>,</w:t>
            </w:r>
            <w:r w:rsidRPr="00140923">
              <w:rPr>
                <w:color w:val="000000"/>
                <w:sz w:val="18"/>
                <w:szCs w:val="18"/>
                <w:lang w:val="es-ES_tradnl"/>
              </w:rPr>
              <w:t>1…</w:t>
            </w:r>
            <w:r w:rsidR="00480606">
              <w:rPr>
                <w:color w:val="000000"/>
                <w:sz w:val="18"/>
                <w:szCs w:val="18"/>
                <w:lang w:val="es-ES_tradnl"/>
              </w:rPr>
              <w:br/>
            </w:r>
            <w:r w:rsidRPr="00140923">
              <w:rPr>
                <w:color w:val="000000"/>
                <w:sz w:val="18"/>
                <w:szCs w:val="18"/>
                <w:lang w:val="es-ES_tradnl"/>
              </w:rPr>
              <w:t>10</w:t>
            </w:r>
            <w:r w:rsidR="00480606">
              <w:rPr>
                <w:color w:val="000000"/>
                <w:sz w:val="18"/>
                <w:szCs w:val="18"/>
                <w:lang w:val="es-ES_tradnl"/>
              </w:rPr>
              <w:t>,</w:t>
            </w:r>
            <w:r w:rsidRPr="00140923">
              <w:rPr>
                <w:color w:val="000000"/>
                <w:sz w:val="18"/>
                <w:szCs w:val="18"/>
                <w:lang w:val="es-ES_tradnl"/>
              </w:rPr>
              <w:t>0</w:t>
            </w:r>
          </w:p>
        </w:tc>
        <w:tc>
          <w:tcPr>
            <w:tcW w:w="1134" w:type="dxa"/>
          </w:tcPr>
          <w:p w14:paraId="4831F166" w14:textId="7777777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0</w:t>
            </w:r>
            <w:r w:rsidRPr="00140923">
              <w:rPr>
                <w:sz w:val="18"/>
                <w:szCs w:val="18"/>
                <w:lang w:val="es-ES_tradnl"/>
              </w:rPr>
              <w:t>…9.5</w:t>
            </w:r>
          </w:p>
        </w:tc>
        <w:tc>
          <w:tcPr>
            <w:tcW w:w="1134" w:type="dxa"/>
          </w:tcPr>
          <w:p w14:paraId="3F06AD7F" w14:textId="3D7FD2EE"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0</w:t>
            </w:r>
            <w:r w:rsidRPr="00140923">
              <w:rPr>
                <w:sz w:val="18"/>
                <w:szCs w:val="18"/>
                <w:lang w:val="es-ES_tradnl"/>
              </w:rPr>
              <w:t>…7</w:t>
            </w:r>
            <w:r w:rsidR="00480606">
              <w:rPr>
                <w:sz w:val="18"/>
                <w:szCs w:val="18"/>
                <w:lang w:val="es-ES_tradnl"/>
              </w:rPr>
              <w:t>,</w:t>
            </w:r>
            <w:r w:rsidRPr="00140923">
              <w:rPr>
                <w:sz w:val="18"/>
                <w:szCs w:val="18"/>
                <w:lang w:val="es-ES_tradnl"/>
              </w:rPr>
              <w:t>6</w:t>
            </w:r>
          </w:p>
        </w:tc>
        <w:tc>
          <w:tcPr>
            <w:tcW w:w="992" w:type="dxa"/>
          </w:tcPr>
          <w:p w14:paraId="7E3ABA00" w14:textId="4B105EA7" w:rsidR="00B851DD" w:rsidRPr="00140923" w:rsidRDefault="00B851DD" w:rsidP="00226764">
            <w:pPr>
              <w:pStyle w:val="Tabletext"/>
              <w:spacing w:before="0" w:after="0" w:line="240" w:lineRule="exact"/>
              <w:jc w:val="center"/>
              <w:rPr>
                <w:color w:val="000000"/>
                <w:sz w:val="18"/>
                <w:szCs w:val="18"/>
                <w:lang w:val="es-ES_tradnl"/>
              </w:rPr>
            </w:pPr>
            <w:r w:rsidRPr="00140923">
              <w:rPr>
                <w:sz w:val="18"/>
                <w:szCs w:val="18"/>
                <w:lang w:val="es-ES_tradnl"/>
              </w:rPr>
              <w:t>0…9</w:t>
            </w:r>
            <w:r w:rsidR="00480606">
              <w:rPr>
                <w:sz w:val="18"/>
                <w:szCs w:val="18"/>
                <w:lang w:val="es-ES_tradnl"/>
              </w:rPr>
              <w:t>,</w:t>
            </w:r>
            <w:r w:rsidRPr="00140923">
              <w:rPr>
                <w:sz w:val="18"/>
                <w:szCs w:val="18"/>
                <w:lang w:val="es-ES_tradnl"/>
              </w:rPr>
              <w:t>5</w:t>
            </w:r>
          </w:p>
        </w:tc>
        <w:tc>
          <w:tcPr>
            <w:tcW w:w="856" w:type="dxa"/>
          </w:tcPr>
          <w:p w14:paraId="2DFE7C2D" w14:textId="15FDA1CD" w:rsidR="00B851DD" w:rsidRPr="00140923" w:rsidRDefault="00B851DD" w:rsidP="00226764">
            <w:pPr>
              <w:pStyle w:val="Tabletext"/>
              <w:spacing w:before="0" w:after="0" w:line="240" w:lineRule="exact"/>
              <w:jc w:val="center"/>
              <w:rPr>
                <w:color w:val="000000"/>
                <w:sz w:val="18"/>
                <w:szCs w:val="18"/>
                <w:lang w:val="es-ES_tradnl"/>
              </w:rPr>
            </w:pPr>
            <w:r w:rsidRPr="00140923">
              <w:rPr>
                <w:sz w:val="18"/>
                <w:szCs w:val="18"/>
                <w:lang w:val="es-ES_tradnl"/>
              </w:rPr>
              <w:t>0…</w:t>
            </w:r>
            <w:r w:rsidR="00480606">
              <w:rPr>
                <w:sz w:val="18"/>
                <w:szCs w:val="18"/>
                <w:lang w:val="es-ES_tradnl"/>
              </w:rPr>
              <w:br/>
            </w:r>
            <w:r w:rsidRPr="00140923">
              <w:rPr>
                <w:sz w:val="18"/>
                <w:szCs w:val="18"/>
                <w:lang w:val="es-ES_tradnl"/>
              </w:rPr>
              <w:t>7</w:t>
            </w:r>
            <w:r w:rsidR="00480606">
              <w:rPr>
                <w:sz w:val="18"/>
                <w:szCs w:val="18"/>
                <w:lang w:val="es-ES_tradnl"/>
              </w:rPr>
              <w:t>,</w:t>
            </w:r>
            <w:r w:rsidRPr="00140923">
              <w:rPr>
                <w:sz w:val="18"/>
                <w:szCs w:val="18"/>
                <w:lang w:val="es-ES_tradnl"/>
              </w:rPr>
              <w:t>6</w:t>
            </w:r>
          </w:p>
        </w:tc>
      </w:tr>
      <w:tr w:rsidR="00480606" w:rsidRPr="00140923" w14:paraId="56A146EA" w14:textId="77777777" w:rsidTr="00480606">
        <w:trPr>
          <w:cantSplit/>
          <w:jc w:val="center"/>
        </w:trPr>
        <w:tc>
          <w:tcPr>
            <w:tcW w:w="1413" w:type="dxa"/>
            <w:tcMar>
              <w:left w:w="57" w:type="dxa"/>
              <w:right w:w="57" w:type="dxa"/>
            </w:tcMar>
          </w:tcPr>
          <w:p w14:paraId="5896FFB7" w14:textId="2B77EBF3" w:rsidR="00B851DD" w:rsidRPr="00140923" w:rsidRDefault="00B851DD" w:rsidP="00226764">
            <w:pPr>
              <w:pStyle w:val="Tabletext"/>
              <w:spacing w:before="0" w:after="0" w:line="240" w:lineRule="exact"/>
              <w:jc w:val="left"/>
              <w:rPr>
                <w:sz w:val="18"/>
                <w:szCs w:val="18"/>
                <w:lang w:val="es-ES_tradnl"/>
              </w:rPr>
            </w:pPr>
            <w:r w:rsidRPr="00140923">
              <w:rPr>
                <w:sz w:val="18"/>
                <w:szCs w:val="18"/>
                <w:lang w:val="es-ES_tradnl"/>
              </w:rPr>
              <w:t>Gama de ganancia de la antena (dBi)</w:t>
            </w:r>
          </w:p>
        </w:tc>
        <w:tc>
          <w:tcPr>
            <w:tcW w:w="1134" w:type="dxa"/>
          </w:tcPr>
          <w:p w14:paraId="33DD04E5" w14:textId="77D1E6FC"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12…48</w:t>
            </w:r>
            <w:r w:rsidR="00480606">
              <w:rPr>
                <w:sz w:val="18"/>
                <w:szCs w:val="18"/>
                <w:lang w:val="es-ES_tradnl"/>
              </w:rPr>
              <w:t>,</w:t>
            </w:r>
            <w:r w:rsidRPr="00140923">
              <w:rPr>
                <w:sz w:val="18"/>
                <w:szCs w:val="18"/>
                <w:lang w:val="es-ES_tradnl"/>
              </w:rPr>
              <w:t>6</w:t>
            </w:r>
          </w:p>
        </w:tc>
        <w:tc>
          <w:tcPr>
            <w:tcW w:w="1134" w:type="dxa"/>
          </w:tcPr>
          <w:p w14:paraId="411190DF" w14:textId="1D996FE3"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12…48</w:t>
            </w:r>
            <w:r w:rsidR="00480606">
              <w:rPr>
                <w:sz w:val="18"/>
                <w:szCs w:val="18"/>
                <w:lang w:val="es-ES_tradnl"/>
              </w:rPr>
              <w:t>,</w:t>
            </w:r>
            <w:r w:rsidRPr="00140923">
              <w:rPr>
                <w:sz w:val="18"/>
                <w:szCs w:val="18"/>
                <w:lang w:val="es-ES_tradnl"/>
              </w:rPr>
              <w:t>6</w:t>
            </w:r>
          </w:p>
        </w:tc>
        <w:tc>
          <w:tcPr>
            <w:tcW w:w="1276" w:type="dxa"/>
          </w:tcPr>
          <w:p w14:paraId="59EF8005" w14:textId="4C8B3F9A"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12…48</w:t>
            </w:r>
            <w:r w:rsidR="00480606">
              <w:rPr>
                <w:sz w:val="18"/>
                <w:szCs w:val="18"/>
                <w:lang w:val="es-ES_tradnl"/>
              </w:rPr>
              <w:t>,</w:t>
            </w:r>
            <w:r w:rsidRPr="00140923">
              <w:rPr>
                <w:sz w:val="18"/>
                <w:szCs w:val="18"/>
                <w:lang w:val="es-ES_tradnl"/>
              </w:rPr>
              <w:t>6</w:t>
            </w:r>
          </w:p>
        </w:tc>
        <w:tc>
          <w:tcPr>
            <w:tcW w:w="1275" w:type="dxa"/>
          </w:tcPr>
          <w:p w14:paraId="540F24D2" w14:textId="1C6FD25F"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12…48</w:t>
            </w:r>
            <w:r w:rsidR="00480606">
              <w:rPr>
                <w:sz w:val="18"/>
                <w:szCs w:val="18"/>
                <w:lang w:val="es-ES_tradnl"/>
              </w:rPr>
              <w:t>,</w:t>
            </w:r>
            <w:r w:rsidRPr="00140923">
              <w:rPr>
                <w:sz w:val="18"/>
                <w:szCs w:val="18"/>
                <w:lang w:val="es-ES_tradnl"/>
              </w:rPr>
              <w:t>6</w:t>
            </w:r>
          </w:p>
        </w:tc>
        <w:tc>
          <w:tcPr>
            <w:tcW w:w="1134" w:type="dxa"/>
          </w:tcPr>
          <w:p w14:paraId="6404606F" w14:textId="253502D3" w:rsidR="00B851DD" w:rsidRPr="00140923" w:rsidRDefault="00B851DD" w:rsidP="00226764">
            <w:pPr>
              <w:pStyle w:val="Tabletext"/>
              <w:spacing w:before="0" w:after="0"/>
              <w:jc w:val="center"/>
              <w:rPr>
                <w:color w:val="000000"/>
                <w:sz w:val="18"/>
                <w:szCs w:val="18"/>
                <w:lang w:val="es-ES_tradnl"/>
              </w:rPr>
            </w:pPr>
            <w:r w:rsidRPr="00140923">
              <w:rPr>
                <w:sz w:val="18"/>
                <w:szCs w:val="18"/>
                <w:lang w:val="es-ES_tradnl" w:eastAsia="zh-CN"/>
              </w:rPr>
              <w:t>33.7…48</w:t>
            </w:r>
            <w:r w:rsidR="00480606">
              <w:rPr>
                <w:sz w:val="18"/>
                <w:szCs w:val="18"/>
                <w:lang w:val="es-ES_tradnl" w:eastAsia="zh-CN"/>
              </w:rPr>
              <w:t>,</w:t>
            </w:r>
            <w:r w:rsidRPr="00140923">
              <w:rPr>
                <w:sz w:val="18"/>
                <w:szCs w:val="18"/>
                <w:lang w:val="es-ES_tradnl" w:eastAsia="zh-CN"/>
              </w:rPr>
              <w:t>6</w:t>
            </w:r>
          </w:p>
        </w:tc>
        <w:tc>
          <w:tcPr>
            <w:tcW w:w="1134" w:type="dxa"/>
          </w:tcPr>
          <w:p w14:paraId="16F45B7E" w14:textId="6B366604" w:rsidR="00B851DD" w:rsidRPr="00140923" w:rsidRDefault="00B851DD" w:rsidP="00226764">
            <w:pPr>
              <w:pStyle w:val="Tabletext"/>
              <w:spacing w:before="0" w:after="0"/>
              <w:jc w:val="center"/>
              <w:rPr>
                <w:color w:val="000000"/>
                <w:sz w:val="18"/>
                <w:szCs w:val="18"/>
                <w:lang w:val="es-ES_tradnl"/>
              </w:rPr>
            </w:pPr>
            <w:r w:rsidRPr="00140923">
              <w:rPr>
                <w:sz w:val="18"/>
                <w:szCs w:val="18"/>
                <w:lang w:val="es-ES_tradnl" w:eastAsia="zh-CN"/>
              </w:rPr>
              <w:t>33.7…48</w:t>
            </w:r>
            <w:r w:rsidR="00480606">
              <w:rPr>
                <w:sz w:val="18"/>
                <w:szCs w:val="18"/>
                <w:lang w:val="es-ES_tradnl" w:eastAsia="zh-CN"/>
              </w:rPr>
              <w:t>,</w:t>
            </w:r>
            <w:r w:rsidRPr="00140923">
              <w:rPr>
                <w:sz w:val="18"/>
                <w:szCs w:val="18"/>
                <w:lang w:val="es-ES_tradnl" w:eastAsia="zh-CN"/>
              </w:rPr>
              <w:t>6</w:t>
            </w:r>
          </w:p>
        </w:tc>
        <w:tc>
          <w:tcPr>
            <w:tcW w:w="851" w:type="dxa"/>
            <w:vMerge/>
          </w:tcPr>
          <w:p w14:paraId="3766AA18" w14:textId="77777777" w:rsidR="00B851DD" w:rsidRPr="00140923" w:rsidRDefault="00B851DD" w:rsidP="00226764">
            <w:pPr>
              <w:pStyle w:val="Tabletext"/>
              <w:spacing w:before="0" w:after="0"/>
              <w:jc w:val="center"/>
              <w:rPr>
                <w:color w:val="000000"/>
                <w:sz w:val="18"/>
                <w:szCs w:val="18"/>
                <w:lang w:val="es-ES_tradnl"/>
              </w:rPr>
            </w:pPr>
          </w:p>
        </w:tc>
        <w:tc>
          <w:tcPr>
            <w:tcW w:w="992" w:type="dxa"/>
          </w:tcPr>
          <w:p w14:paraId="789832D5" w14:textId="4C3AE6B9" w:rsidR="00B851DD" w:rsidRPr="00140923" w:rsidRDefault="00B851DD" w:rsidP="00226764">
            <w:pPr>
              <w:pStyle w:val="Tabletext"/>
              <w:spacing w:before="0" w:after="0"/>
              <w:jc w:val="center"/>
              <w:rPr>
                <w:color w:val="000000"/>
                <w:sz w:val="18"/>
                <w:szCs w:val="18"/>
                <w:lang w:val="es-ES_tradnl"/>
              </w:rPr>
            </w:pPr>
            <w:r w:rsidRPr="00140923">
              <w:rPr>
                <w:color w:val="000000"/>
                <w:sz w:val="18"/>
                <w:szCs w:val="18"/>
                <w:lang w:val="es-ES_tradnl"/>
              </w:rPr>
              <w:t>37</w:t>
            </w:r>
            <w:r w:rsidR="00480606">
              <w:rPr>
                <w:color w:val="000000"/>
                <w:sz w:val="18"/>
                <w:szCs w:val="18"/>
                <w:lang w:val="es-ES_tradnl"/>
              </w:rPr>
              <w:t>,</w:t>
            </w:r>
            <w:r w:rsidRPr="00140923">
              <w:rPr>
                <w:color w:val="000000"/>
                <w:sz w:val="18"/>
                <w:szCs w:val="18"/>
                <w:lang w:val="es-ES_tradnl"/>
              </w:rPr>
              <w:t>1…</w:t>
            </w:r>
            <w:r w:rsidR="00480606">
              <w:rPr>
                <w:color w:val="000000"/>
                <w:sz w:val="18"/>
                <w:szCs w:val="18"/>
                <w:lang w:val="es-ES_tradnl"/>
              </w:rPr>
              <w:br/>
            </w:r>
            <w:r w:rsidRPr="00140923">
              <w:rPr>
                <w:color w:val="000000"/>
                <w:sz w:val="18"/>
                <w:szCs w:val="18"/>
                <w:lang w:val="es-ES_tradnl"/>
              </w:rPr>
              <w:t>45</w:t>
            </w:r>
            <w:r w:rsidR="00480606">
              <w:rPr>
                <w:color w:val="000000"/>
                <w:sz w:val="18"/>
                <w:szCs w:val="18"/>
                <w:lang w:val="es-ES_tradnl"/>
              </w:rPr>
              <w:t>,</w:t>
            </w:r>
            <w:r w:rsidRPr="00140923">
              <w:rPr>
                <w:color w:val="000000"/>
                <w:sz w:val="18"/>
                <w:szCs w:val="18"/>
                <w:lang w:val="es-ES_tradnl"/>
              </w:rPr>
              <w:t>9</w:t>
            </w:r>
          </w:p>
        </w:tc>
        <w:tc>
          <w:tcPr>
            <w:tcW w:w="1134" w:type="dxa"/>
          </w:tcPr>
          <w:p w14:paraId="01E3069A" w14:textId="7777777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44…51</w:t>
            </w:r>
          </w:p>
        </w:tc>
        <w:tc>
          <w:tcPr>
            <w:tcW w:w="1134" w:type="dxa"/>
          </w:tcPr>
          <w:p w14:paraId="7D80E0BD" w14:textId="6833EBA8"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36</w:t>
            </w:r>
            <w:r w:rsidRPr="00140923">
              <w:rPr>
                <w:sz w:val="18"/>
                <w:szCs w:val="18"/>
                <w:lang w:val="es-ES_tradnl"/>
              </w:rPr>
              <w:t>…</w:t>
            </w:r>
            <w:r w:rsidRPr="00140923">
              <w:rPr>
                <w:sz w:val="18"/>
                <w:szCs w:val="18"/>
                <w:lang w:val="es-ES_tradnl" w:eastAsia="ja-JP"/>
              </w:rPr>
              <w:t>48</w:t>
            </w:r>
            <w:r w:rsidR="00480606">
              <w:rPr>
                <w:sz w:val="18"/>
                <w:szCs w:val="18"/>
                <w:lang w:val="es-ES_tradnl" w:eastAsia="ja-JP"/>
              </w:rPr>
              <w:t>,</w:t>
            </w:r>
            <w:r w:rsidRPr="00140923">
              <w:rPr>
                <w:sz w:val="18"/>
                <w:szCs w:val="18"/>
                <w:lang w:val="es-ES_tradnl" w:eastAsia="ja-JP"/>
              </w:rPr>
              <w:t>0</w:t>
            </w:r>
          </w:p>
        </w:tc>
        <w:tc>
          <w:tcPr>
            <w:tcW w:w="992" w:type="dxa"/>
          </w:tcPr>
          <w:p w14:paraId="543AA59A" w14:textId="64DA937F" w:rsidR="00B851DD" w:rsidRPr="00140923" w:rsidRDefault="00B851DD" w:rsidP="00226764">
            <w:pPr>
              <w:pStyle w:val="Tabletext"/>
              <w:spacing w:before="0" w:after="0" w:line="240" w:lineRule="exact"/>
              <w:jc w:val="center"/>
              <w:rPr>
                <w:color w:val="000000"/>
                <w:sz w:val="18"/>
                <w:szCs w:val="18"/>
                <w:lang w:val="es-ES_tradnl"/>
              </w:rPr>
            </w:pPr>
            <w:r w:rsidRPr="00140923">
              <w:rPr>
                <w:sz w:val="18"/>
                <w:szCs w:val="18"/>
                <w:lang w:val="es-ES_tradnl"/>
              </w:rPr>
              <w:t>29</w:t>
            </w:r>
            <w:r w:rsidRPr="00140923" w:rsidDel="0029516C">
              <w:rPr>
                <w:sz w:val="18"/>
                <w:szCs w:val="18"/>
                <w:lang w:val="es-ES_tradnl"/>
              </w:rPr>
              <w:t>…</w:t>
            </w:r>
            <w:r w:rsidRPr="00140923">
              <w:rPr>
                <w:sz w:val="18"/>
                <w:szCs w:val="18"/>
                <w:lang w:val="es-ES_tradnl" w:eastAsia="zh-CN"/>
              </w:rPr>
              <w:t>49</w:t>
            </w:r>
            <w:r w:rsidR="00480606">
              <w:rPr>
                <w:sz w:val="18"/>
                <w:szCs w:val="18"/>
                <w:lang w:val="es-ES_tradnl" w:eastAsia="zh-CN"/>
              </w:rPr>
              <w:t>,</w:t>
            </w:r>
            <w:r w:rsidRPr="00140923">
              <w:rPr>
                <w:sz w:val="18"/>
                <w:szCs w:val="18"/>
                <w:lang w:val="es-ES_tradnl" w:eastAsia="zh-CN"/>
              </w:rPr>
              <w:t>5</w:t>
            </w:r>
          </w:p>
        </w:tc>
        <w:tc>
          <w:tcPr>
            <w:tcW w:w="856" w:type="dxa"/>
          </w:tcPr>
          <w:p w14:paraId="68EFE7EC" w14:textId="051193A1" w:rsidR="00B851DD" w:rsidRPr="00140923" w:rsidRDefault="00B851DD" w:rsidP="00226764">
            <w:pPr>
              <w:pStyle w:val="Tabletext"/>
              <w:spacing w:before="0" w:after="0" w:line="240" w:lineRule="exact"/>
              <w:jc w:val="center"/>
              <w:rPr>
                <w:color w:val="000000"/>
                <w:sz w:val="18"/>
                <w:szCs w:val="18"/>
                <w:lang w:val="es-ES_tradnl"/>
              </w:rPr>
            </w:pPr>
            <w:r w:rsidRPr="00140923">
              <w:rPr>
                <w:sz w:val="18"/>
                <w:szCs w:val="18"/>
                <w:lang w:val="es-ES_tradnl"/>
              </w:rPr>
              <w:t>30…</w:t>
            </w:r>
            <w:r w:rsidR="00480606">
              <w:rPr>
                <w:sz w:val="18"/>
                <w:szCs w:val="18"/>
                <w:lang w:val="es-ES_tradnl"/>
              </w:rPr>
              <w:br/>
            </w:r>
            <w:r w:rsidRPr="00140923">
              <w:rPr>
                <w:sz w:val="18"/>
                <w:szCs w:val="18"/>
                <w:lang w:val="es-ES_tradnl"/>
              </w:rPr>
              <w:t>47</w:t>
            </w:r>
            <w:r w:rsidR="00480606">
              <w:rPr>
                <w:sz w:val="18"/>
                <w:szCs w:val="18"/>
                <w:lang w:val="es-ES_tradnl"/>
              </w:rPr>
              <w:t>,</w:t>
            </w:r>
            <w:r w:rsidRPr="00140923">
              <w:rPr>
                <w:sz w:val="18"/>
                <w:szCs w:val="18"/>
                <w:lang w:val="es-ES_tradnl"/>
              </w:rPr>
              <w:t>6</w:t>
            </w:r>
          </w:p>
        </w:tc>
      </w:tr>
      <w:tr w:rsidR="00480606" w:rsidRPr="00140923" w14:paraId="3B32D26F" w14:textId="77777777" w:rsidTr="00480606">
        <w:trPr>
          <w:cantSplit/>
          <w:jc w:val="center"/>
        </w:trPr>
        <w:tc>
          <w:tcPr>
            <w:tcW w:w="1413" w:type="dxa"/>
            <w:tcMar>
              <w:left w:w="57" w:type="dxa"/>
              <w:right w:w="57" w:type="dxa"/>
            </w:tcMar>
          </w:tcPr>
          <w:p w14:paraId="042A545B" w14:textId="369ACAD9" w:rsidR="00B851DD" w:rsidRPr="00140923" w:rsidRDefault="00B851DD" w:rsidP="00226764">
            <w:pPr>
              <w:pStyle w:val="Tabletext"/>
              <w:spacing w:before="0" w:after="0" w:line="240" w:lineRule="exact"/>
              <w:jc w:val="left"/>
              <w:rPr>
                <w:sz w:val="18"/>
                <w:szCs w:val="18"/>
                <w:lang w:val="es-ES_tradnl"/>
              </w:rPr>
            </w:pPr>
            <w:r w:rsidRPr="00140923">
              <w:rPr>
                <w:sz w:val="18"/>
                <w:szCs w:val="18"/>
                <w:lang w:val="es-ES_tradnl"/>
              </w:rPr>
              <w:t>Gama de la p.i.r.e. (dBW)</w:t>
            </w:r>
          </w:p>
        </w:tc>
        <w:tc>
          <w:tcPr>
            <w:tcW w:w="1134" w:type="dxa"/>
          </w:tcPr>
          <w:p w14:paraId="66F2D643" w14:textId="691E6B83"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5</w:t>
            </w:r>
            <w:r w:rsidR="00480606">
              <w:rPr>
                <w:sz w:val="18"/>
                <w:szCs w:val="18"/>
                <w:lang w:val="es-ES_tradnl"/>
              </w:rPr>
              <w:t>,</w:t>
            </w:r>
            <w:r w:rsidRPr="00140923">
              <w:rPr>
                <w:sz w:val="18"/>
                <w:szCs w:val="18"/>
                <w:lang w:val="es-ES_tradnl"/>
              </w:rPr>
              <w:t>5…55</w:t>
            </w:r>
          </w:p>
        </w:tc>
        <w:tc>
          <w:tcPr>
            <w:tcW w:w="1134" w:type="dxa"/>
          </w:tcPr>
          <w:p w14:paraId="0D12B2D1" w14:textId="41814B12"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5</w:t>
            </w:r>
            <w:r w:rsidR="00480606">
              <w:rPr>
                <w:sz w:val="18"/>
                <w:szCs w:val="18"/>
                <w:lang w:val="es-ES_tradnl"/>
              </w:rPr>
              <w:t>,</w:t>
            </w:r>
            <w:r w:rsidRPr="00140923">
              <w:rPr>
                <w:sz w:val="18"/>
                <w:szCs w:val="18"/>
                <w:lang w:val="es-ES_tradnl"/>
              </w:rPr>
              <w:t>5…55</w:t>
            </w:r>
          </w:p>
        </w:tc>
        <w:tc>
          <w:tcPr>
            <w:tcW w:w="1276" w:type="dxa"/>
          </w:tcPr>
          <w:p w14:paraId="2162B3AD" w14:textId="69AC84FC"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5</w:t>
            </w:r>
            <w:r w:rsidR="00480606">
              <w:rPr>
                <w:sz w:val="18"/>
                <w:szCs w:val="18"/>
                <w:lang w:val="es-ES_tradnl" w:eastAsia="ja-JP"/>
              </w:rPr>
              <w:t>,</w:t>
            </w:r>
            <w:r w:rsidRPr="00140923">
              <w:rPr>
                <w:sz w:val="18"/>
                <w:szCs w:val="18"/>
                <w:lang w:val="es-ES_tradnl" w:eastAsia="ja-JP"/>
              </w:rPr>
              <w:t xml:space="preserve">5…55 </w:t>
            </w:r>
          </w:p>
        </w:tc>
        <w:tc>
          <w:tcPr>
            <w:tcW w:w="1275" w:type="dxa"/>
          </w:tcPr>
          <w:p w14:paraId="6293ACB7" w14:textId="5191BDDE"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eastAsia="ja-JP"/>
              </w:rPr>
              <w:t>5</w:t>
            </w:r>
            <w:r w:rsidR="00480606">
              <w:rPr>
                <w:sz w:val="18"/>
                <w:szCs w:val="18"/>
                <w:lang w:val="es-ES_tradnl" w:eastAsia="ja-JP"/>
              </w:rPr>
              <w:t>,</w:t>
            </w:r>
            <w:r w:rsidRPr="00140923">
              <w:rPr>
                <w:sz w:val="18"/>
                <w:szCs w:val="18"/>
                <w:lang w:val="es-ES_tradnl" w:eastAsia="ja-JP"/>
              </w:rPr>
              <w:t>5…55</w:t>
            </w:r>
          </w:p>
        </w:tc>
        <w:tc>
          <w:tcPr>
            <w:tcW w:w="1134" w:type="dxa"/>
          </w:tcPr>
          <w:p w14:paraId="5655E383" w14:textId="7D2972EE" w:rsidR="00B851DD" w:rsidRPr="00140923" w:rsidRDefault="00B851DD" w:rsidP="00226764">
            <w:pPr>
              <w:pStyle w:val="Tabletext"/>
              <w:spacing w:before="0" w:after="0"/>
              <w:jc w:val="center"/>
              <w:rPr>
                <w:color w:val="000000"/>
                <w:sz w:val="18"/>
                <w:szCs w:val="18"/>
                <w:lang w:val="es-ES_tradnl" w:eastAsia="ja-JP"/>
              </w:rPr>
            </w:pPr>
            <w:r w:rsidRPr="00140923">
              <w:rPr>
                <w:color w:val="000000"/>
                <w:sz w:val="18"/>
                <w:szCs w:val="18"/>
                <w:lang w:val="es-ES_tradnl" w:eastAsia="ja-JP"/>
              </w:rPr>
              <w:t>27.4…48</w:t>
            </w:r>
            <w:r w:rsidR="00480606">
              <w:rPr>
                <w:color w:val="000000"/>
                <w:sz w:val="18"/>
                <w:szCs w:val="18"/>
                <w:lang w:val="es-ES_tradnl" w:eastAsia="ja-JP"/>
              </w:rPr>
              <w:t>,</w:t>
            </w:r>
            <w:r w:rsidRPr="00140923">
              <w:rPr>
                <w:color w:val="000000"/>
                <w:sz w:val="18"/>
                <w:szCs w:val="18"/>
                <w:lang w:val="es-ES_tradnl" w:eastAsia="ja-JP"/>
              </w:rPr>
              <w:t xml:space="preserve">6 </w:t>
            </w:r>
          </w:p>
        </w:tc>
        <w:tc>
          <w:tcPr>
            <w:tcW w:w="1134" w:type="dxa"/>
          </w:tcPr>
          <w:p w14:paraId="3805FC2C" w14:textId="1E754805" w:rsidR="00B851DD" w:rsidRPr="00140923" w:rsidRDefault="00B851DD" w:rsidP="00226764">
            <w:pPr>
              <w:pStyle w:val="Tabletext"/>
              <w:spacing w:before="0" w:after="0"/>
              <w:jc w:val="center"/>
              <w:rPr>
                <w:color w:val="000000"/>
                <w:sz w:val="18"/>
                <w:szCs w:val="18"/>
                <w:lang w:val="es-ES_tradnl"/>
              </w:rPr>
            </w:pPr>
            <w:r w:rsidRPr="00140923">
              <w:rPr>
                <w:color w:val="000000"/>
                <w:sz w:val="18"/>
                <w:szCs w:val="18"/>
                <w:lang w:val="es-ES_tradnl" w:eastAsia="ja-JP"/>
              </w:rPr>
              <w:t>27.4…48</w:t>
            </w:r>
            <w:r w:rsidR="00480606">
              <w:rPr>
                <w:color w:val="000000"/>
                <w:sz w:val="18"/>
                <w:szCs w:val="18"/>
                <w:lang w:val="es-ES_tradnl" w:eastAsia="ja-JP"/>
              </w:rPr>
              <w:t>,</w:t>
            </w:r>
            <w:r w:rsidRPr="00140923">
              <w:rPr>
                <w:color w:val="000000"/>
                <w:sz w:val="18"/>
                <w:szCs w:val="18"/>
                <w:lang w:val="es-ES_tradnl" w:eastAsia="ja-JP"/>
              </w:rPr>
              <w:t xml:space="preserve">6 </w:t>
            </w:r>
          </w:p>
        </w:tc>
        <w:tc>
          <w:tcPr>
            <w:tcW w:w="851" w:type="dxa"/>
            <w:vMerge/>
          </w:tcPr>
          <w:p w14:paraId="58A7E6D2" w14:textId="77777777" w:rsidR="00B851DD" w:rsidRPr="00140923" w:rsidRDefault="00B851DD" w:rsidP="00226764">
            <w:pPr>
              <w:pStyle w:val="Tabletext"/>
              <w:spacing w:before="0" w:after="0"/>
              <w:jc w:val="center"/>
              <w:rPr>
                <w:color w:val="000000"/>
                <w:sz w:val="18"/>
                <w:szCs w:val="18"/>
                <w:lang w:val="es-ES_tradnl"/>
              </w:rPr>
            </w:pPr>
          </w:p>
        </w:tc>
        <w:tc>
          <w:tcPr>
            <w:tcW w:w="992" w:type="dxa"/>
          </w:tcPr>
          <w:p w14:paraId="3C4EE107" w14:textId="56AAB8F8" w:rsidR="00B851DD" w:rsidRPr="00140923" w:rsidRDefault="00B851DD" w:rsidP="00226764">
            <w:pPr>
              <w:pStyle w:val="Tabletext"/>
              <w:spacing w:before="0" w:after="0"/>
              <w:jc w:val="center"/>
              <w:rPr>
                <w:color w:val="000000"/>
                <w:sz w:val="18"/>
                <w:szCs w:val="18"/>
                <w:lang w:val="es-ES_tradnl"/>
              </w:rPr>
            </w:pPr>
            <w:r w:rsidRPr="00140923">
              <w:rPr>
                <w:color w:val="000000"/>
                <w:sz w:val="18"/>
                <w:szCs w:val="18"/>
                <w:lang w:val="es-ES_tradnl"/>
              </w:rPr>
              <w:t>20</w:t>
            </w:r>
            <w:r w:rsidR="00480606">
              <w:rPr>
                <w:color w:val="000000"/>
                <w:sz w:val="18"/>
                <w:szCs w:val="18"/>
                <w:lang w:val="es-ES_tradnl"/>
              </w:rPr>
              <w:t>,</w:t>
            </w:r>
            <w:r w:rsidRPr="00140923">
              <w:rPr>
                <w:color w:val="000000"/>
                <w:sz w:val="18"/>
                <w:szCs w:val="18"/>
                <w:lang w:val="es-ES_tradnl"/>
              </w:rPr>
              <w:t>5…</w:t>
            </w:r>
            <w:r w:rsidR="00480606">
              <w:rPr>
                <w:color w:val="000000"/>
                <w:sz w:val="18"/>
                <w:szCs w:val="18"/>
                <w:lang w:val="es-ES_tradnl"/>
              </w:rPr>
              <w:br/>
            </w:r>
            <w:r w:rsidRPr="00140923">
              <w:rPr>
                <w:color w:val="000000"/>
                <w:sz w:val="18"/>
                <w:szCs w:val="18"/>
                <w:lang w:val="es-ES_tradnl"/>
              </w:rPr>
              <w:t>36</w:t>
            </w:r>
            <w:r w:rsidR="00480606">
              <w:rPr>
                <w:color w:val="000000"/>
                <w:sz w:val="18"/>
                <w:szCs w:val="18"/>
                <w:lang w:val="es-ES_tradnl"/>
              </w:rPr>
              <w:t>,</w:t>
            </w:r>
            <w:r w:rsidRPr="00140923">
              <w:rPr>
                <w:color w:val="000000"/>
                <w:sz w:val="18"/>
                <w:szCs w:val="18"/>
                <w:lang w:val="es-ES_tradnl"/>
              </w:rPr>
              <w:t>4</w:t>
            </w:r>
          </w:p>
        </w:tc>
        <w:tc>
          <w:tcPr>
            <w:tcW w:w="1134" w:type="dxa"/>
          </w:tcPr>
          <w:p w14:paraId="391BA21C" w14:textId="4553F1B3"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33</w:t>
            </w:r>
            <w:r w:rsidR="00480606">
              <w:rPr>
                <w:sz w:val="18"/>
                <w:szCs w:val="18"/>
                <w:lang w:val="es-ES_tradnl"/>
              </w:rPr>
              <w:t>,</w:t>
            </w:r>
            <w:r w:rsidRPr="00140923">
              <w:rPr>
                <w:sz w:val="18"/>
                <w:szCs w:val="18"/>
                <w:lang w:val="es-ES_tradnl"/>
              </w:rPr>
              <w:t>1...51</w:t>
            </w:r>
            <w:r w:rsidR="00480606">
              <w:rPr>
                <w:sz w:val="18"/>
                <w:szCs w:val="18"/>
                <w:lang w:val="es-ES_tradnl"/>
              </w:rPr>
              <w:t>,</w:t>
            </w:r>
            <w:r w:rsidRPr="00140923">
              <w:rPr>
                <w:sz w:val="18"/>
                <w:szCs w:val="18"/>
                <w:lang w:val="es-ES_tradnl"/>
              </w:rPr>
              <w:t>2</w:t>
            </w:r>
          </w:p>
        </w:tc>
        <w:tc>
          <w:tcPr>
            <w:tcW w:w="1134" w:type="dxa"/>
          </w:tcPr>
          <w:p w14:paraId="7426DA78" w14:textId="06553B64"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13.3</w:t>
            </w:r>
            <w:r w:rsidRPr="00140923">
              <w:rPr>
                <w:sz w:val="18"/>
                <w:szCs w:val="18"/>
                <w:lang w:val="es-ES_tradnl"/>
              </w:rPr>
              <w:t>…</w:t>
            </w:r>
            <w:r w:rsidRPr="00140923">
              <w:rPr>
                <w:sz w:val="18"/>
                <w:szCs w:val="18"/>
                <w:lang w:val="es-ES_tradnl" w:eastAsia="ja-JP"/>
              </w:rPr>
              <w:t>43</w:t>
            </w:r>
            <w:r w:rsidR="00480606">
              <w:rPr>
                <w:sz w:val="18"/>
                <w:szCs w:val="18"/>
                <w:lang w:val="es-ES_tradnl" w:eastAsia="ja-JP"/>
              </w:rPr>
              <w:t>,</w:t>
            </w:r>
            <w:r w:rsidRPr="00140923">
              <w:rPr>
                <w:sz w:val="18"/>
                <w:szCs w:val="18"/>
                <w:lang w:val="es-ES_tradnl" w:eastAsia="ja-JP"/>
              </w:rPr>
              <w:t>0</w:t>
            </w:r>
          </w:p>
        </w:tc>
        <w:tc>
          <w:tcPr>
            <w:tcW w:w="992" w:type="dxa"/>
          </w:tcPr>
          <w:p w14:paraId="119826AE" w14:textId="32A44EF4" w:rsidR="00B851DD" w:rsidRPr="00140923" w:rsidRDefault="00B851DD" w:rsidP="00226764">
            <w:pPr>
              <w:pStyle w:val="Tabletext"/>
              <w:spacing w:before="0" w:after="0" w:line="240" w:lineRule="exact"/>
              <w:jc w:val="center"/>
              <w:rPr>
                <w:color w:val="000000"/>
                <w:sz w:val="18"/>
                <w:szCs w:val="18"/>
                <w:lang w:val="es-ES_tradnl" w:eastAsia="ja-JP"/>
              </w:rPr>
            </w:pPr>
            <w:r w:rsidRPr="00140923">
              <w:rPr>
                <w:color w:val="000000"/>
                <w:sz w:val="18"/>
                <w:szCs w:val="18"/>
                <w:lang w:val="es-ES_tradnl" w:eastAsia="ja-JP"/>
              </w:rPr>
              <w:t>19</w:t>
            </w:r>
            <w:r w:rsidR="00480606">
              <w:rPr>
                <w:color w:val="000000"/>
                <w:sz w:val="18"/>
                <w:szCs w:val="18"/>
                <w:lang w:val="es-ES_tradnl" w:eastAsia="ja-JP"/>
              </w:rPr>
              <w:t>,</w:t>
            </w:r>
            <w:r w:rsidRPr="00140923">
              <w:rPr>
                <w:color w:val="000000"/>
                <w:sz w:val="18"/>
                <w:szCs w:val="18"/>
                <w:lang w:val="es-ES_tradnl" w:eastAsia="ja-JP"/>
              </w:rPr>
              <w:t>5…</w:t>
            </w:r>
            <w:r w:rsidR="00480606">
              <w:rPr>
                <w:color w:val="000000"/>
                <w:sz w:val="18"/>
                <w:szCs w:val="18"/>
                <w:lang w:val="es-ES_tradnl" w:eastAsia="ja-JP"/>
              </w:rPr>
              <w:br/>
            </w:r>
            <w:r w:rsidRPr="00140923">
              <w:rPr>
                <w:color w:val="000000"/>
                <w:sz w:val="18"/>
                <w:szCs w:val="18"/>
                <w:lang w:val="es-ES_tradnl" w:eastAsia="ja-JP"/>
              </w:rPr>
              <w:t>49</w:t>
            </w:r>
            <w:r w:rsidR="00480606">
              <w:rPr>
                <w:color w:val="000000"/>
                <w:sz w:val="18"/>
                <w:szCs w:val="18"/>
                <w:lang w:val="es-ES_tradnl" w:eastAsia="ja-JP"/>
              </w:rPr>
              <w:t>,</w:t>
            </w:r>
            <w:r w:rsidRPr="00140923">
              <w:rPr>
                <w:color w:val="000000"/>
                <w:sz w:val="18"/>
                <w:szCs w:val="18"/>
                <w:lang w:val="es-ES_tradnl" w:eastAsia="ja-JP"/>
              </w:rPr>
              <w:t>5</w:t>
            </w:r>
          </w:p>
        </w:tc>
        <w:tc>
          <w:tcPr>
            <w:tcW w:w="856" w:type="dxa"/>
          </w:tcPr>
          <w:p w14:paraId="1510A912" w14:textId="300E8972" w:rsidR="00B851DD" w:rsidRPr="00140923" w:rsidRDefault="00B851DD" w:rsidP="00226764">
            <w:pPr>
              <w:pStyle w:val="Tabletext"/>
              <w:spacing w:before="0" w:after="0" w:line="240" w:lineRule="exact"/>
              <w:jc w:val="center"/>
              <w:rPr>
                <w:color w:val="000000"/>
                <w:sz w:val="18"/>
                <w:szCs w:val="18"/>
                <w:lang w:val="es-ES_tradnl" w:eastAsia="ja-JP"/>
              </w:rPr>
            </w:pPr>
            <w:r w:rsidRPr="00140923">
              <w:rPr>
                <w:color w:val="000000"/>
                <w:sz w:val="18"/>
                <w:szCs w:val="18"/>
                <w:lang w:val="es-ES_tradnl"/>
              </w:rPr>
              <w:t>23</w:t>
            </w:r>
            <w:r w:rsidR="00480606">
              <w:rPr>
                <w:color w:val="000000"/>
                <w:sz w:val="18"/>
                <w:szCs w:val="18"/>
                <w:lang w:val="es-ES_tradnl"/>
              </w:rPr>
              <w:t>,</w:t>
            </w:r>
            <w:r w:rsidRPr="00140923">
              <w:rPr>
                <w:color w:val="000000"/>
                <w:sz w:val="18"/>
                <w:szCs w:val="18"/>
                <w:lang w:val="es-ES_tradnl"/>
              </w:rPr>
              <w:t>5…</w:t>
            </w:r>
            <w:r w:rsidR="00480606">
              <w:rPr>
                <w:color w:val="000000"/>
                <w:sz w:val="18"/>
                <w:szCs w:val="18"/>
                <w:lang w:val="es-ES_tradnl"/>
              </w:rPr>
              <w:br/>
            </w:r>
            <w:r w:rsidRPr="00140923">
              <w:rPr>
                <w:color w:val="000000"/>
                <w:sz w:val="18"/>
                <w:szCs w:val="18"/>
                <w:lang w:val="es-ES_tradnl"/>
              </w:rPr>
              <w:t>38</w:t>
            </w:r>
            <w:r w:rsidR="00480606">
              <w:rPr>
                <w:color w:val="000000"/>
                <w:sz w:val="18"/>
                <w:szCs w:val="18"/>
                <w:lang w:val="es-ES_tradnl"/>
              </w:rPr>
              <w:t>,</w:t>
            </w:r>
            <w:r w:rsidRPr="00140923">
              <w:rPr>
                <w:color w:val="000000"/>
                <w:sz w:val="18"/>
                <w:szCs w:val="18"/>
                <w:lang w:val="es-ES_tradnl"/>
              </w:rPr>
              <w:t>9</w:t>
            </w:r>
          </w:p>
        </w:tc>
      </w:tr>
      <w:tr w:rsidR="00480606" w:rsidRPr="00140923" w14:paraId="61C2AEE5" w14:textId="77777777" w:rsidTr="00480606">
        <w:trPr>
          <w:cantSplit/>
          <w:jc w:val="center"/>
        </w:trPr>
        <w:tc>
          <w:tcPr>
            <w:tcW w:w="1413" w:type="dxa"/>
            <w:tcMar>
              <w:left w:w="57" w:type="dxa"/>
              <w:right w:w="57" w:type="dxa"/>
            </w:tcMar>
          </w:tcPr>
          <w:p w14:paraId="27BFBD53" w14:textId="670FC72A" w:rsidR="00B851DD" w:rsidRPr="00140923" w:rsidRDefault="00B851DD" w:rsidP="00226764">
            <w:pPr>
              <w:pStyle w:val="Tabletext"/>
              <w:spacing w:before="0" w:after="0" w:line="240" w:lineRule="exact"/>
              <w:jc w:val="left"/>
              <w:rPr>
                <w:sz w:val="18"/>
                <w:szCs w:val="18"/>
                <w:lang w:val="es-ES_tradnl"/>
              </w:rPr>
            </w:pPr>
            <w:r w:rsidRPr="00140923">
              <w:rPr>
                <w:sz w:val="18"/>
                <w:szCs w:val="18"/>
                <w:lang w:val="es-ES_tradnl"/>
              </w:rPr>
              <w:t>Gama de densidad de p.i.r.e. (dBW/MHz)</w:t>
            </w:r>
            <w:r w:rsidRPr="00140923">
              <w:rPr>
                <w:sz w:val="18"/>
                <w:szCs w:val="18"/>
                <w:vertAlign w:val="superscript"/>
                <w:lang w:val="es-ES_tradnl"/>
              </w:rPr>
              <w:t>(1)</w:t>
            </w:r>
          </w:p>
        </w:tc>
        <w:tc>
          <w:tcPr>
            <w:tcW w:w="1134" w:type="dxa"/>
          </w:tcPr>
          <w:p w14:paraId="01CEDA32" w14:textId="4EE7B90F"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w:t>
            </w:r>
            <w:r w:rsidRPr="00140923">
              <w:rPr>
                <w:sz w:val="18"/>
                <w:szCs w:val="18"/>
                <w:lang w:val="es-ES_tradnl" w:eastAsia="ja-JP"/>
              </w:rPr>
              <w:t>13</w:t>
            </w:r>
            <w:r w:rsidR="00480606">
              <w:rPr>
                <w:sz w:val="18"/>
                <w:szCs w:val="18"/>
                <w:lang w:val="es-ES_tradnl" w:eastAsia="ja-JP"/>
              </w:rPr>
              <w:t>,</w:t>
            </w:r>
            <w:r w:rsidRPr="00140923">
              <w:rPr>
                <w:sz w:val="18"/>
                <w:szCs w:val="18"/>
                <w:lang w:val="es-ES_tradnl" w:eastAsia="ja-JP"/>
              </w:rPr>
              <w:t>5…45</w:t>
            </w:r>
          </w:p>
        </w:tc>
        <w:tc>
          <w:tcPr>
            <w:tcW w:w="1134" w:type="dxa"/>
          </w:tcPr>
          <w:p w14:paraId="779556C0" w14:textId="713B6196"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w:t>
            </w:r>
            <w:r w:rsidRPr="00140923">
              <w:rPr>
                <w:sz w:val="18"/>
                <w:szCs w:val="18"/>
                <w:lang w:val="es-ES_tradnl" w:eastAsia="ja-JP"/>
              </w:rPr>
              <w:t>13</w:t>
            </w:r>
            <w:r w:rsidR="00480606">
              <w:rPr>
                <w:sz w:val="18"/>
                <w:szCs w:val="18"/>
                <w:lang w:val="es-ES_tradnl" w:eastAsia="ja-JP"/>
              </w:rPr>
              <w:t>,</w:t>
            </w:r>
            <w:r w:rsidRPr="00140923">
              <w:rPr>
                <w:sz w:val="18"/>
                <w:szCs w:val="18"/>
                <w:lang w:val="es-ES_tradnl" w:eastAsia="ja-JP"/>
              </w:rPr>
              <w:t>5…45</w:t>
            </w:r>
          </w:p>
        </w:tc>
        <w:tc>
          <w:tcPr>
            <w:tcW w:w="1276" w:type="dxa"/>
          </w:tcPr>
          <w:p w14:paraId="372DF27F" w14:textId="223AD665"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w:t>
            </w:r>
            <w:r w:rsidRPr="00140923">
              <w:rPr>
                <w:sz w:val="18"/>
                <w:szCs w:val="18"/>
                <w:lang w:val="es-ES_tradnl" w:eastAsia="ja-JP"/>
              </w:rPr>
              <w:t>13</w:t>
            </w:r>
            <w:r w:rsidR="00480606">
              <w:rPr>
                <w:sz w:val="18"/>
                <w:szCs w:val="18"/>
                <w:lang w:val="es-ES_tradnl" w:eastAsia="ja-JP"/>
              </w:rPr>
              <w:t>,</w:t>
            </w:r>
            <w:r w:rsidRPr="00140923">
              <w:rPr>
                <w:sz w:val="18"/>
                <w:szCs w:val="18"/>
                <w:lang w:val="es-ES_tradnl" w:eastAsia="ja-JP"/>
              </w:rPr>
              <w:t>5…45</w:t>
            </w:r>
          </w:p>
        </w:tc>
        <w:tc>
          <w:tcPr>
            <w:tcW w:w="1275" w:type="dxa"/>
          </w:tcPr>
          <w:p w14:paraId="78BCCE85" w14:textId="0AAEE61F"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w:t>
            </w:r>
            <w:r w:rsidRPr="00140923">
              <w:rPr>
                <w:sz w:val="18"/>
                <w:szCs w:val="18"/>
                <w:lang w:val="es-ES_tradnl" w:eastAsia="ja-JP"/>
              </w:rPr>
              <w:t>13</w:t>
            </w:r>
            <w:r w:rsidR="00480606">
              <w:rPr>
                <w:sz w:val="18"/>
                <w:szCs w:val="18"/>
                <w:lang w:val="es-ES_tradnl" w:eastAsia="ja-JP"/>
              </w:rPr>
              <w:t>,</w:t>
            </w:r>
            <w:r w:rsidRPr="00140923">
              <w:rPr>
                <w:sz w:val="18"/>
                <w:szCs w:val="18"/>
                <w:lang w:val="es-ES_tradnl" w:eastAsia="ja-JP"/>
              </w:rPr>
              <w:t>5…45</w:t>
            </w:r>
          </w:p>
        </w:tc>
        <w:tc>
          <w:tcPr>
            <w:tcW w:w="1134" w:type="dxa"/>
          </w:tcPr>
          <w:p w14:paraId="7E4BC317" w14:textId="369BFB4C" w:rsidR="00B851DD" w:rsidRPr="00140923" w:rsidRDefault="00B851DD" w:rsidP="00226764">
            <w:pPr>
              <w:pStyle w:val="Tabletext"/>
              <w:spacing w:before="0" w:after="0"/>
              <w:jc w:val="center"/>
              <w:rPr>
                <w:color w:val="000000"/>
                <w:sz w:val="18"/>
                <w:szCs w:val="18"/>
                <w:lang w:val="es-ES_tradnl" w:eastAsia="ja-JP"/>
              </w:rPr>
            </w:pPr>
            <w:r w:rsidRPr="00140923">
              <w:rPr>
                <w:color w:val="000000"/>
                <w:sz w:val="18"/>
                <w:szCs w:val="18"/>
                <w:lang w:val="es-ES_tradnl" w:eastAsia="ja-JP"/>
              </w:rPr>
              <w:t>15.9…37</w:t>
            </w:r>
            <w:r w:rsidR="00480606">
              <w:rPr>
                <w:color w:val="000000"/>
                <w:sz w:val="18"/>
                <w:szCs w:val="18"/>
                <w:lang w:val="es-ES_tradnl" w:eastAsia="ja-JP"/>
              </w:rPr>
              <w:t>,</w:t>
            </w:r>
            <w:r w:rsidRPr="00140923">
              <w:rPr>
                <w:color w:val="000000"/>
                <w:sz w:val="18"/>
                <w:szCs w:val="18"/>
                <w:lang w:val="es-ES_tradnl" w:eastAsia="ja-JP"/>
              </w:rPr>
              <w:t>1</w:t>
            </w:r>
          </w:p>
        </w:tc>
        <w:tc>
          <w:tcPr>
            <w:tcW w:w="1134" w:type="dxa"/>
          </w:tcPr>
          <w:p w14:paraId="3B885672" w14:textId="48D1DC17" w:rsidR="00B851DD" w:rsidRPr="00140923" w:rsidRDefault="00B851DD" w:rsidP="00226764">
            <w:pPr>
              <w:pStyle w:val="Tabletext"/>
              <w:spacing w:before="0" w:after="0"/>
              <w:jc w:val="center"/>
              <w:rPr>
                <w:color w:val="000000"/>
                <w:sz w:val="18"/>
                <w:szCs w:val="18"/>
                <w:lang w:val="es-ES_tradnl" w:eastAsia="ja-JP"/>
              </w:rPr>
            </w:pPr>
            <w:r w:rsidRPr="00140923">
              <w:rPr>
                <w:color w:val="000000"/>
                <w:sz w:val="18"/>
                <w:szCs w:val="18"/>
                <w:lang w:val="es-ES_tradnl" w:eastAsia="ja-JP"/>
              </w:rPr>
              <w:t>15.9…37</w:t>
            </w:r>
            <w:r w:rsidR="00480606">
              <w:rPr>
                <w:color w:val="000000"/>
                <w:sz w:val="18"/>
                <w:szCs w:val="18"/>
                <w:lang w:val="es-ES_tradnl" w:eastAsia="ja-JP"/>
              </w:rPr>
              <w:t>,</w:t>
            </w:r>
            <w:r w:rsidRPr="00140923">
              <w:rPr>
                <w:color w:val="000000"/>
                <w:sz w:val="18"/>
                <w:szCs w:val="18"/>
                <w:lang w:val="es-ES_tradnl" w:eastAsia="ja-JP"/>
              </w:rPr>
              <w:t>1</w:t>
            </w:r>
          </w:p>
        </w:tc>
        <w:tc>
          <w:tcPr>
            <w:tcW w:w="851" w:type="dxa"/>
            <w:vMerge/>
          </w:tcPr>
          <w:p w14:paraId="78692E73" w14:textId="77777777" w:rsidR="00B851DD" w:rsidRPr="00140923" w:rsidRDefault="00B851DD" w:rsidP="00226764">
            <w:pPr>
              <w:pStyle w:val="Tabletext"/>
              <w:spacing w:before="0" w:after="0"/>
              <w:jc w:val="center"/>
              <w:rPr>
                <w:color w:val="000000"/>
                <w:sz w:val="18"/>
                <w:szCs w:val="18"/>
                <w:lang w:val="es-ES_tradnl" w:eastAsia="ja-JP"/>
              </w:rPr>
            </w:pPr>
          </w:p>
        </w:tc>
        <w:tc>
          <w:tcPr>
            <w:tcW w:w="992" w:type="dxa"/>
          </w:tcPr>
          <w:p w14:paraId="7627E637" w14:textId="6D84AD50" w:rsidR="00B851DD" w:rsidRPr="00140923" w:rsidRDefault="00B851DD" w:rsidP="00226764">
            <w:pPr>
              <w:pStyle w:val="Tabletext"/>
              <w:spacing w:before="0" w:after="0"/>
              <w:jc w:val="center"/>
              <w:rPr>
                <w:color w:val="000000"/>
                <w:sz w:val="18"/>
                <w:szCs w:val="18"/>
                <w:lang w:val="es-ES_tradnl" w:eastAsia="ja-JP"/>
              </w:rPr>
            </w:pPr>
            <w:r w:rsidRPr="00140923">
              <w:rPr>
                <w:color w:val="000000"/>
                <w:sz w:val="18"/>
                <w:szCs w:val="18"/>
                <w:lang w:val="es-ES_tradnl" w:eastAsia="ja-JP"/>
              </w:rPr>
              <w:t>16</w:t>
            </w:r>
            <w:r w:rsidR="00480606">
              <w:rPr>
                <w:color w:val="000000"/>
                <w:sz w:val="18"/>
                <w:szCs w:val="18"/>
                <w:lang w:val="es-ES_tradnl" w:eastAsia="ja-JP"/>
              </w:rPr>
              <w:t>,</w:t>
            </w:r>
            <w:r w:rsidRPr="00140923">
              <w:rPr>
                <w:color w:val="000000"/>
                <w:sz w:val="18"/>
                <w:szCs w:val="18"/>
                <w:lang w:val="es-ES_tradnl" w:eastAsia="ja-JP"/>
              </w:rPr>
              <w:t>5…</w:t>
            </w:r>
            <w:r w:rsidR="00480606">
              <w:rPr>
                <w:color w:val="000000"/>
                <w:sz w:val="18"/>
                <w:szCs w:val="18"/>
                <w:lang w:val="es-ES_tradnl" w:eastAsia="ja-JP"/>
              </w:rPr>
              <w:br/>
            </w:r>
            <w:r w:rsidRPr="00140923">
              <w:rPr>
                <w:color w:val="000000"/>
                <w:sz w:val="18"/>
                <w:szCs w:val="18"/>
                <w:lang w:val="es-ES_tradnl" w:eastAsia="ja-JP"/>
              </w:rPr>
              <w:t>32</w:t>
            </w:r>
            <w:r w:rsidR="00480606">
              <w:rPr>
                <w:color w:val="000000"/>
                <w:sz w:val="18"/>
                <w:szCs w:val="18"/>
                <w:lang w:val="es-ES_tradnl" w:eastAsia="ja-JP"/>
              </w:rPr>
              <w:t>,</w:t>
            </w:r>
            <w:r w:rsidRPr="00140923">
              <w:rPr>
                <w:color w:val="000000"/>
                <w:sz w:val="18"/>
                <w:szCs w:val="18"/>
                <w:lang w:val="es-ES_tradnl" w:eastAsia="ja-JP"/>
              </w:rPr>
              <w:t>4</w:t>
            </w:r>
          </w:p>
        </w:tc>
        <w:tc>
          <w:tcPr>
            <w:tcW w:w="1134" w:type="dxa"/>
          </w:tcPr>
          <w:p w14:paraId="73B7B04E" w14:textId="2A7661A6" w:rsidR="00B851DD" w:rsidRPr="00140923" w:rsidRDefault="00B851DD" w:rsidP="00226764">
            <w:pPr>
              <w:pStyle w:val="Tabletext"/>
              <w:spacing w:before="0" w:after="0" w:line="240" w:lineRule="exact"/>
              <w:ind w:left="-57" w:right="-57"/>
              <w:jc w:val="center"/>
              <w:rPr>
                <w:sz w:val="18"/>
                <w:szCs w:val="18"/>
                <w:lang w:val="es-ES_tradnl" w:eastAsia="ja-JP"/>
              </w:rPr>
            </w:pPr>
            <w:r w:rsidRPr="00140923">
              <w:rPr>
                <w:sz w:val="18"/>
                <w:szCs w:val="18"/>
                <w:lang w:val="es-ES_tradnl"/>
              </w:rPr>
              <w:t>15</w:t>
            </w:r>
            <w:r w:rsidR="00480606">
              <w:rPr>
                <w:sz w:val="18"/>
                <w:szCs w:val="18"/>
                <w:lang w:val="es-ES_tradnl"/>
              </w:rPr>
              <w:t>,</w:t>
            </w:r>
            <w:r w:rsidRPr="00140923">
              <w:rPr>
                <w:sz w:val="18"/>
                <w:szCs w:val="18"/>
                <w:lang w:val="es-ES_tradnl"/>
              </w:rPr>
              <w:t>3...33</w:t>
            </w:r>
            <w:r w:rsidR="00480606">
              <w:rPr>
                <w:sz w:val="18"/>
                <w:szCs w:val="18"/>
                <w:lang w:val="es-ES_tradnl"/>
              </w:rPr>
              <w:t>,</w:t>
            </w:r>
            <w:r w:rsidRPr="00140923">
              <w:rPr>
                <w:sz w:val="18"/>
                <w:szCs w:val="18"/>
                <w:lang w:val="es-ES_tradnl"/>
              </w:rPr>
              <w:t>4</w:t>
            </w:r>
            <w:r w:rsidRPr="00140923">
              <w:rPr>
                <w:sz w:val="18"/>
                <w:szCs w:val="18"/>
                <w:lang w:val="es-ES_tradnl" w:eastAsia="ja-JP"/>
              </w:rPr>
              <w:br/>
              <w:t>(Moda 28.5)</w:t>
            </w:r>
          </w:p>
        </w:tc>
        <w:tc>
          <w:tcPr>
            <w:tcW w:w="1134" w:type="dxa"/>
          </w:tcPr>
          <w:p w14:paraId="68F3A8EE" w14:textId="2699592C" w:rsidR="00B851DD" w:rsidRPr="00140923" w:rsidRDefault="00B851DD" w:rsidP="00226764">
            <w:pPr>
              <w:pStyle w:val="Tabletext"/>
              <w:spacing w:before="0" w:after="0" w:line="240" w:lineRule="exact"/>
              <w:ind w:left="-57" w:right="-57"/>
              <w:jc w:val="center"/>
              <w:rPr>
                <w:sz w:val="18"/>
                <w:szCs w:val="18"/>
                <w:lang w:val="es-ES_tradnl" w:eastAsia="ja-JP"/>
              </w:rPr>
            </w:pPr>
            <w:r w:rsidRPr="00140923">
              <w:rPr>
                <w:sz w:val="18"/>
                <w:szCs w:val="18"/>
                <w:lang w:val="es-ES_tradnl" w:eastAsia="ja-JP"/>
              </w:rPr>
              <w:t>−2</w:t>
            </w:r>
            <w:r w:rsidR="00480606">
              <w:rPr>
                <w:sz w:val="18"/>
                <w:szCs w:val="18"/>
                <w:lang w:val="es-ES_tradnl" w:eastAsia="ja-JP"/>
              </w:rPr>
              <w:t>,</w:t>
            </w:r>
            <w:r w:rsidRPr="00140923">
              <w:rPr>
                <w:sz w:val="18"/>
                <w:szCs w:val="18"/>
                <w:lang w:val="es-ES_tradnl" w:eastAsia="ja-JP"/>
              </w:rPr>
              <w:t>7…27</w:t>
            </w:r>
            <w:r w:rsidR="00480606">
              <w:rPr>
                <w:sz w:val="18"/>
                <w:szCs w:val="18"/>
                <w:lang w:val="es-ES_tradnl" w:eastAsia="ja-JP"/>
              </w:rPr>
              <w:t>,</w:t>
            </w:r>
            <w:r w:rsidRPr="00140923">
              <w:rPr>
                <w:sz w:val="18"/>
                <w:szCs w:val="18"/>
                <w:lang w:val="es-ES_tradnl" w:eastAsia="ja-JP"/>
              </w:rPr>
              <w:t>0</w:t>
            </w:r>
            <w:r w:rsidRPr="00140923">
              <w:rPr>
                <w:sz w:val="18"/>
                <w:szCs w:val="18"/>
                <w:lang w:val="es-ES_tradnl" w:eastAsia="ja-JP"/>
              </w:rPr>
              <w:br/>
              <w:t>(Moda 15.9)</w:t>
            </w:r>
          </w:p>
        </w:tc>
        <w:tc>
          <w:tcPr>
            <w:tcW w:w="992" w:type="dxa"/>
          </w:tcPr>
          <w:p w14:paraId="66A49165" w14:textId="49A35197" w:rsidR="00B851DD" w:rsidRPr="00140923" w:rsidRDefault="00B851DD" w:rsidP="00226764">
            <w:pPr>
              <w:pStyle w:val="Tabletext"/>
              <w:spacing w:before="0" w:after="0" w:line="240" w:lineRule="exact"/>
              <w:jc w:val="center"/>
              <w:rPr>
                <w:color w:val="000000"/>
                <w:sz w:val="18"/>
                <w:szCs w:val="18"/>
                <w:lang w:val="es-ES_tradnl" w:eastAsia="ja-JP"/>
              </w:rPr>
            </w:pPr>
            <w:r w:rsidRPr="00140923">
              <w:rPr>
                <w:color w:val="000000"/>
                <w:sz w:val="18"/>
                <w:szCs w:val="18"/>
                <w:lang w:val="es-ES_tradnl" w:eastAsia="ja-JP"/>
              </w:rPr>
              <w:t>14</w:t>
            </w:r>
            <w:r w:rsidR="00480606">
              <w:rPr>
                <w:color w:val="000000"/>
                <w:sz w:val="18"/>
                <w:szCs w:val="18"/>
                <w:lang w:val="es-ES_tradnl" w:eastAsia="ja-JP"/>
              </w:rPr>
              <w:t>,</w:t>
            </w:r>
            <w:r w:rsidRPr="00140923">
              <w:rPr>
                <w:color w:val="000000"/>
                <w:sz w:val="18"/>
                <w:szCs w:val="18"/>
                <w:lang w:val="es-ES_tradnl" w:eastAsia="ja-JP"/>
              </w:rPr>
              <w:t>1…</w:t>
            </w:r>
            <w:r w:rsidR="00480606">
              <w:rPr>
                <w:color w:val="000000"/>
                <w:sz w:val="18"/>
                <w:szCs w:val="18"/>
                <w:lang w:val="es-ES_tradnl" w:eastAsia="ja-JP"/>
              </w:rPr>
              <w:br/>
            </w:r>
            <w:r w:rsidRPr="00140923">
              <w:rPr>
                <w:color w:val="000000"/>
                <w:sz w:val="18"/>
                <w:szCs w:val="18"/>
                <w:lang w:val="es-ES_tradnl" w:eastAsia="ja-JP"/>
              </w:rPr>
              <w:t>44</w:t>
            </w:r>
            <w:r w:rsidR="00480606">
              <w:rPr>
                <w:color w:val="000000"/>
                <w:sz w:val="18"/>
                <w:szCs w:val="18"/>
                <w:lang w:val="es-ES_tradnl" w:eastAsia="ja-JP"/>
              </w:rPr>
              <w:t>,</w:t>
            </w:r>
            <w:r w:rsidRPr="00140923">
              <w:rPr>
                <w:color w:val="000000"/>
                <w:sz w:val="18"/>
                <w:szCs w:val="18"/>
                <w:lang w:val="es-ES_tradnl" w:eastAsia="ja-JP"/>
              </w:rPr>
              <w:t>1</w:t>
            </w:r>
          </w:p>
        </w:tc>
        <w:tc>
          <w:tcPr>
            <w:tcW w:w="856" w:type="dxa"/>
          </w:tcPr>
          <w:p w14:paraId="526AAED9" w14:textId="3180D43A" w:rsidR="00B851DD" w:rsidRPr="00140923" w:rsidRDefault="00B851DD" w:rsidP="00226764">
            <w:pPr>
              <w:pStyle w:val="Tabletext"/>
              <w:spacing w:before="0" w:after="0" w:line="240" w:lineRule="exact"/>
              <w:jc w:val="center"/>
              <w:rPr>
                <w:color w:val="000000"/>
                <w:sz w:val="18"/>
                <w:szCs w:val="18"/>
                <w:lang w:val="es-ES_tradnl" w:eastAsia="ja-JP"/>
              </w:rPr>
            </w:pPr>
            <w:r w:rsidRPr="00140923">
              <w:rPr>
                <w:color w:val="000000"/>
                <w:sz w:val="18"/>
                <w:szCs w:val="18"/>
                <w:lang w:val="es-ES_tradnl" w:eastAsia="ja-JP"/>
              </w:rPr>
              <w:t>9</w:t>
            </w:r>
            <w:r w:rsidR="00480606">
              <w:rPr>
                <w:color w:val="000000"/>
                <w:sz w:val="18"/>
                <w:szCs w:val="18"/>
                <w:lang w:val="es-ES_tradnl" w:eastAsia="ja-JP"/>
              </w:rPr>
              <w:t>,</w:t>
            </w:r>
            <w:r w:rsidRPr="00140923">
              <w:rPr>
                <w:color w:val="000000"/>
                <w:sz w:val="18"/>
                <w:szCs w:val="18"/>
                <w:lang w:val="es-ES_tradnl" w:eastAsia="ja-JP"/>
              </w:rPr>
              <w:t>0…</w:t>
            </w:r>
            <w:r w:rsidR="00480606">
              <w:rPr>
                <w:color w:val="000000"/>
                <w:sz w:val="18"/>
                <w:szCs w:val="18"/>
                <w:lang w:val="es-ES_tradnl" w:eastAsia="ja-JP"/>
              </w:rPr>
              <w:br/>
            </w:r>
            <w:r w:rsidRPr="00140923">
              <w:rPr>
                <w:color w:val="000000"/>
                <w:sz w:val="18"/>
                <w:szCs w:val="18"/>
                <w:lang w:val="es-ES_tradnl" w:eastAsia="ja-JP"/>
              </w:rPr>
              <w:t>24</w:t>
            </w:r>
            <w:r w:rsidR="00480606">
              <w:rPr>
                <w:color w:val="000000"/>
                <w:sz w:val="18"/>
                <w:szCs w:val="18"/>
                <w:lang w:val="es-ES_tradnl" w:eastAsia="ja-JP"/>
              </w:rPr>
              <w:t>,</w:t>
            </w:r>
            <w:r w:rsidRPr="00140923">
              <w:rPr>
                <w:color w:val="000000"/>
                <w:sz w:val="18"/>
                <w:szCs w:val="18"/>
                <w:lang w:val="es-ES_tradnl" w:eastAsia="ja-JP"/>
              </w:rPr>
              <w:t>4</w:t>
            </w:r>
          </w:p>
        </w:tc>
      </w:tr>
      <w:tr w:rsidR="00480606" w:rsidRPr="00140923" w14:paraId="02E9DF7D" w14:textId="77777777" w:rsidTr="00480606">
        <w:trPr>
          <w:cantSplit/>
          <w:jc w:val="center"/>
        </w:trPr>
        <w:tc>
          <w:tcPr>
            <w:tcW w:w="1413" w:type="dxa"/>
            <w:tcMar>
              <w:left w:w="57" w:type="dxa"/>
              <w:right w:w="57" w:type="dxa"/>
            </w:tcMar>
          </w:tcPr>
          <w:p w14:paraId="04BC6EE5" w14:textId="27595568" w:rsidR="00B851DD" w:rsidRPr="00140923" w:rsidRDefault="00B851DD" w:rsidP="00226764">
            <w:pPr>
              <w:pStyle w:val="Tabletext"/>
              <w:spacing w:before="0" w:after="0" w:line="240" w:lineRule="exact"/>
              <w:jc w:val="left"/>
              <w:rPr>
                <w:sz w:val="18"/>
                <w:szCs w:val="18"/>
                <w:lang w:val="es-ES_tradnl"/>
              </w:rPr>
            </w:pPr>
            <w:r w:rsidRPr="00140923">
              <w:rPr>
                <w:sz w:val="18"/>
                <w:szCs w:val="18"/>
                <w:lang w:val="es-ES_tradnl"/>
              </w:rPr>
              <w:t>Factor de ruido típico del receptor (dB)</w:t>
            </w:r>
          </w:p>
        </w:tc>
        <w:tc>
          <w:tcPr>
            <w:tcW w:w="1134" w:type="dxa"/>
          </w:tcPr>
          <w:p w14:paraId="4BF709A7" w14:textId="46D6547F"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2</w:t>
            </w:r>
            <w:r w:rsidR="00480606">
              <w:rPr>
                <w:sz w:val="18"/>
                <w:szCs w:val="18"/>
                <w:lang w:val="es-ES_tradnl"/>
              </w:rPr>
              <w:t>,</w:t>
            </w:r>
            <w:r w:rsidRPr="00140923">
              <w:rPr>
                <w:sz w:val="18"/>
                <w:szCs w:val="18"/>
                <w:lang w:val="es-ES_tradnl"/>
              </w:rPr>
              <w:t>5…6</w:t>
            </w:r>
          </w:p>
        </w:tc>
        <w:tc>
          <w:tcPr>
            <w:tcW w:w="1134" w:type="dxa"/>
          </w:tcPr>
          <w:p w14:paraId="5F3A29ED" w14:textId="524F3A88"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2</w:t>
            </w:r>
            <w:r w:rsidR="00480606">
              <w:rPr>
                <w:sz w:val="18"/>
                <w:szCs w:val="18"/>
                <w:lang w:val="es-ES_tradnl"/>
              </w:rPr>
              <w:t>,</w:t>
            </w:r>
            <w:r w:rsidRPr="00140923">
              <w:rPr>
                <w:sz w:val="18"/>
                <w:szCs w:val="18"/>
                <w:lang w:val="es-ES_tradnl"/>
              </w:rPr>
              <w:t>5…6</w:t>
            </w:r>
          </w:p>
        </w:tc>
        <w:tc>
          <w:tcPr>
            <w:tcW w:w="1276" w:type="dxa"/>
          </w:tcPr>
          <w:p w14:paraId="55675644" w14:textId="6B4C2A09"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2</w:t>
            </w:r>
            <w:r w:rsidR="00480606">
              <w:rPr>
                <w:sz w:val="18"/>
                <w:szCs w:val="18"/>
                <w:lang w:val="es-ES_tradnl" w:eastAsia="ja-JP"/>
              </w:rPr>
              <w:t>,</w:t>
            </w:r>
            <w:r w:rsidRPr="00140923">
              <w:rPr>
                <w:sz w:val="18"/>
                <w:szCs w:val="18"/>
                <w:lang w:val="es-ES_tradnl" w:eastAsia="ja-JP"/>
              </w:rPr>
              <w:t>5…6</w:t>
            </w:r>
          </w:p>
        </w:tc>
        <w:tc>
          <w:tcPr>
            <w:tcW w:w="1275" w:type="dxa"/>
          </w:tcPr>
          <w:p w14:paraId="7865617D" w14:textId="66C3A0A8"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2</w:t>
            </w:r>
            <w:r w:rsidR="00480606">
              <w:rPr>
                <w:sz w:val="18"/>
                <w:szCs w:val="18"/>
                <w:lang w:val="es-ES_tradnl" w:eastAsia="ja-JP"/>
              </w:rPr>
              <w:t>,</w:t>
            </w:r>
            <w:r w:rsidRPr="00140923">
              <w:rPr>
                <w:sz w:val="18"/>
                <w:szCs w:val="18"/>
                <w:lang w:val="es-ES_tradnl" w:eastAsia="ja-JP"/>
              </w:rPr>
              <w:t>5…8</w:t>
            </w:r>
          </w:p>
        </w:tc>
        <w:tc>
          <w:tcPr>
            <w:tcW w:w="1134" w:type="dxa"/>
          </w:tcPr>
          <w:p w14:paraId="645A031A" w14:textId="77777777" w:rsidR="00B851DD" w:rsidRPr="00140923" w:rsidRDefault="00B851DD" w:rsidP="00226764">
            <w:pPr>
              <w:pStyle w:val="Tabletext"/>
              <w:spacing w:before="0" w:after="0"/>
              <w:jc w:val="center"/>
              <w:rPr>
                <w:color w:val="000000"/>
                <w:sz w:val="18"/>
                <w:szCs w:val="18"/>
                <w:lang w:val="es-ES_tradnl" w:eastAsia="ja-JP"/>
              </w:rPr>
            </w:pPr>
            <w:r w:rsidRPr="00140923">
              <w:rPr>
                <w:sz w:val="18"/>
                <w:szCs w:val="18"/>
                <w:lang w:val="es-ES_tradnl" w:eastAsia="zh-CN"/>
              </w:rPr>
              <w:t>4</w:t>
            </w:r>
          </w:p>
        </w:tc>
        <w:tc>
          <w:tcPr>
            <w:tcW w:w="1134" w:type="dxa"/>
          </w:tcPr>
          <w:p w14:paraId="6C35DEAD" w14:textId="77777777" w:rsidR="00B851DD" w:rsidRPr="00140923" w:rsidRDefault="00B851DD" w:rsidP="00226764">
            <w:pPr>
              <w:pStyle w:val="Tabletext"/>
              <w:spacing w:before="0" w:after="0"/>
              <w:jc w:val="center"/>
              <w:rPr>
                <w:color w:val="000000"/>
                <w:sz w:val="18"/>
                <w:szCs w:val="18"/>
                <w:lang w:val="es-ES_tradnl" w:eastAsia="ja-JP"/>
              </w:rPr>
            </w:pPr>
            <w:r w:rsidRPr="00140923">
              <w:rPr>
                <w:sz w:val="18"/>
                <w:szCs w:val="18"/>
                <w:lang w:val="es-ES_tradnl" w:eastAsia="zh-CN"/>
              </w:rPr>
              <w:t>4</w:t>
            </w:r>
          </w:p>
        </w:tc>
        <w:tc>
          <w:tcPr>
            <w:tcW w:w="851" w:type="dxa"/>
            <w:vMerge/>
          </w:tcPr>
          <w:p w14:paraId="69AC71B4" w14:textId="77777777" w:rsidR="00B851DD" w:rsidRPr="00140923" w:rsidRDefault="00B851DD" w:rsidP="00226764">
            <w:pPr>
              <w:pStyle w:val="Tabletext"/>
              <w:spacing w:before="0" w:after="0"/>
              <w:jc w:val="center"/>
              <w:rPr>
                <w:color w:val="000000"/>
                <w:sz w:val="18"/>
                <w:szCs w:val="18"/>
                <w:lang w:val="es-ES_tradnl" w:eastAsia="ja-JP"/>
              </w:rPr>
            </w:pPr>
          </w:p>
        </w:tc>
        <w:tc>
          <w:tcPr>
            <w:tcW w:w="992" w:type="dxa"/>
          </w:tcPr>
          <w:p w14:paraId="17930519" w14:textId="77777777" w:rsidR="00B851DD" w:rsidRPr="00140923" w:rsidRDefault="00B851DD" w:rsidP="00226764">
            <w:pPr>
              <w:pStyle w:val="Tabletext"/>
              <w:spacing w:before="0" w:after="0"/>
              <w:jc w:val="center"/>
              <w:rPr>
                <w:color w:val="000000"/>
                <w:sz w:val="18"/>
                <w:szCs w:val="18"/>
                <w:lang w:val="es-ES_tradnl" w:eastAsia="ja-JP"/>
              </w:rPr>
            </w:pPr>
            <w:r w:rsidRPr="00140923">
              <w:rPr>
                <w:color w:val="000000"/>
                <w:sz w:val="18"/>
                <w:szCs w:val="18"/>
                <w:lang w:val="es-ES_tradnl" w:eastAsia="ja-JP"/>
              </w:rPr>
              <w:t>4</w:t>
            </w:r>
          </w:p>
        </w:tc>
        <w:tc>
          <w:tcPr>
            <w:tcW w:w="1134" w:type="dxa"/>
          </w:tcPr>
          <w:p w14:paraId="7E374979" w14:textId="7777777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5</w:t>
            </w:r>
          </w:p>
        </w:tc>
        <w:tc>
          <w:tcPr>
            <w:tcW w:w="1134" w:type="dxa"/>
          </w:tcPr>
          <w:p w14:paraId="2A0AAC68" w14:textId="7777777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5</w:t>
            </w:r>
          </w:p>
        </w:tc>
        <w:tc>
          <w:tcPr>
            <w:tcW w:w="992" w:type="dxa"/>
          </w:tcPr>
          <w:p w14:paraId="7684D896" w14:textId="4C6E63D7" w:rsidR="00B851DD" w:rsidRPr="00140923" w:rsidRDefault="00B851DD" w:rsidP="00480606">
            <w:pPr>
              <w:pStyle w:val="Tabletext"/>
              <w:spacing w:before="0" w:after="0" w:line="240" w:lineRule="exact"/>
              <w:jc w:val="center"/>
              <w:rPr>
                <w:color w:val="000000"/>
                <w:sz w:val="18"/>
                <w:szCs w:val="18"/>
                <w:lang w:val="es-ES_tradnl" w:eastAsia="ja-JP"/>
              </w:rPr>
            </w:pPr>
            <w:r w:rsidRPr="00140923">
              <w:rPr>
                <w:sz w:val="18"/>
                <w:szCs w:val="18"/>
                <w:lang w:val="es-ES_tradnl" w:eastAsia="zh-CN"/>
              </w:rPr>
              <w:t>4</w:t>
            </w:r>
            <w:r w:rsidR="00480606">
              <w:rPr>
                <w:sz w:val="18"/>
                <w:szCs w:val="18"/>
                <w:lang w:val="es-ES_tradnl" w:eastAsia="zh-CN"/>
              </w:rPr>
              <w:t>,</w:t>
            </w:r>
            <w:r w:rsidRPr="00140923">
              <w:rPr>
                <w:sz w:val="18"/>
                <w:szCs w:val="18"/>
                <w:lang w:val="es-ES_tradnl" w:eastAsia="zh-CN"/>
              </w:rPr>
              <w:t>5…5</w:t>
            </w:r>
            <w:r w:rsidRPr="00140923" w:rsidDel="000D2903">
              <w:rPr>
                <w:sz w:val="18"/>
                <w:szCs w:val="18"/>
                <w:lang w:val="es-ES_tradnl" w:eastAsia="zh-CN"/>
              </w:rPr>
              <w:t xml:space="preserve"> </w:t>
            </w:r>
          </w:p>
        </w:tc>
        <w:tc>
          <w:tcPr>
            <w:tcW w:w="856" w:type="dxa"/>
          </w:tcPr>
          <w:p w14:paraId="6175E548" w14:textId="77777777" w:rsidR="00B851DD" w:rsidRPr="00140923" w:rsidRDefault="00B851DD" w:rsidP="00226764">
            <w:pPr>
              <w:pStyle w:val="Tabletext"/>
              <w:spacing w:before="0" w:after="0" w:line="240" w:lineRule="exact"/>
              <w:jc w:val="center"/>
              <w:rPr>
                <w:color w:val="000000"/>
                <w:sz w:val="18"/>
                <w:szCs w:val="18"/>
                <w:highlight w:val="yellow"/>
                <w:lang w:val="es-ES_tradnl" w:eastAsia="ja-JP"/>
              </w:rPr>
            </w:pPr>
            <w:r w:rsidRPr="00140923">
              <w:rPr>
                <w:sz w:val="18"/>
                <w:szCs w:val="18"/>
                <w:lang w:val="es-ES_tradnl" w:eastAsia="zh-CN"/>
              </w:rPr>
              <w:t>4</w:t>
            </w:r>
          </w:p>
        </w:tc>
      </w:tr>
    </w:tbl>
    <w:p w14:paraId="2099727D" w14:textId="0930AF4F" w:rsidR="00480606" w:rsidRPr="00140923" w:rsidRDefault="00480606" w:rsidP="00480606">
      <w:pPr>
        <w:pStyle w:val="TableNo"/>
        <w:rPr>
          <w:sz w:val="22"/>
          <w:szCs w:val="22"/>
          <w:lang w:val="es-ES_tradnl" w:eastAsia="ja-JP"/>
        </w:rPr>
      </w:pPr>
      <w:r w:rsidRPr="00140923">
        <w:rPr>
          <w:sz w:val="22"/>
          <w:szCs w:val="22"/>
          <w:lang w:val="es-ES_tradnl"/>
        </w:rPr>
        <w:lastRenderedPageBreak/>
        <w:t>CUADRO 9</w:t>
      </w:r>
      <w:r>
        <w:rPr>
          <w:sz w:val="22"/>
          <w:szCs w:val="22"/>
          <w:lang w:val="es-ES_tradnl"/>
        </w:rPr>
        <w:t xml:space="preserve"> (</w:t>
      </w:r>
      <w:r w:rsidRPr="00480606">
        <w:rPr>
          <w:i/>
          <w:iCs/>
          <w:sz w:val="22"/>
          <w:szCs w:val="22"/>
          <w:lang w:val="es-ES_tradnl"/>
        </w:rPr>
        <w:t>fin</w:t>
      </w:r>
      <w:r>
        <w:rPr>
          <w:sz w:val="22"/>
          <w:szCs w:val="22"/>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4"/>
        <w:gridCol w:w="1134"/>
        <w:gridCol w:w="1276"/>
        <w:gridCol w:w="1275"/>
        <w:gridCol w:w="1134"/>
        <w:gridCol w:w="1134"/>
        <w:gridCol w:w="851"/>
        <w:gridCol w:w="992"/>
        <w:gridCol w:w="1134"/>
        <w:gridCol w:w="1134"/>
        <w:gridCol w:w="992"/>
        <w:gridCol w:w="856"/>
      </w:tblGrid>
      <w:tr w:rsidR="00480606" w:rsidRPr="00140923" w14:paraId="0157377E" w14:textId="77777777" w:rsidTr="00F15E98">
        <w:trPr>
          <w:cantSplit/>
          <w:tblHeader/>
          <w:jc w:val="center"/>
        </w:trPr>
        <w:tc>
          <w:tcPr>
            <w:tcW w:w="1413" w:type="dxa"/>
            <w:tcMar>
              <w:left w:w="57" w:type="dxa"/>
              <w:right w:w="57" w:type="dxa"/>
            </w:tcMar>
            <w:vAlign w:val="center"/>
          </w:tcPr>
          <w:p w14:paraId="44CDB850" w14:textId="77777777" w:rsidR="00480606" w:rsidRPr="00140923" w:rsidRDefault="00480606" w:rsidP="00F15E98">
            <w:pPr>
              <w:pStyle w:val="Tablehead"/>
              <w:rPr>
                <w:sz w:val="20"/>
                <w:lang w:val="es-ES_tradnl"/>
              </w:rPr>
            </w:pPr>
            <w:r w:rsidRPr="00140923">
              <w:rPr>
                <w:sz w:val="20"/>
                <w:lang w:val="es-ES_tradnl"/>
              </w:rPr>
              <w:t>Gama de frecuencias (GHz)</w:t>
            </w:r>
          </w:p>
        </w:tc>
        <w:tc>
          <w:tcPr>
            <w:tcW w:w="2268" w:type="dxa"/>
            <w:gridSpan w:val="2"/>
            <w:vAlign w:val="center"/>
          </w:tcPr>
          <w:p w14:paraId="2324A490" w14:textId="77777777" w:rsidR="00480606" w:rsidRPr="00140923" w:rsidRDefault="00480606" w:rsidP="00F15E98">
            <w:pPr>
              <w:pStyle w:val="Tablehead"/>
              <w:spacing w:before="20" w:after="20"/>
              <w:rPr>
                <w:sz w:val="18"/>
                <w:szCs w:val="18"/>
                <w:lang w:val="es-ES_tradnl"/>
              </w:rPr>
            </w:pPr>
            <w:r w:rsidRPr="00140923">
              <w:rPr>
                <w:sz w:val="18"/>
                <w:szCs w:val="18"/>
                <w:lang w:val="es-ES_tradnl"/>
              </w:rPr>
              <w:t xml:space="preserve">7,110-7,900 </w:t>
            </w:r>
          </w:p>
        </w:tc>
        <w:tc>
          <w:tcPr>
            <w:tcW w:w="2551" w:type="dxa"/>
            <w:gridSpan w:val="2"/>
            <w:vAlign w:val="center"/>
          </w:tcPr>
          <w:p w14:paraId="4FC9F770" w14:textId="77777777" w:rsidR="00480606" w:rsidRPr="00140923" w:rsidRDefault="00480606" w:rsidP="00F15E98">
            <w:pPr>
              <w:pStyle w:val="Tablehead"/>
              <w:spacing w:before="20" w:after="20"/>
              <w:rPr>
                <w:sz w:val="18"/>
                <w:szCs w:val="18"/>
                <w:lang w:val="es-ES_tradnl"/>
              </w:rPr>
            </w:pPr>
            <w:r w:rsidRPr="00140923">
              <w:rPr>
                <w:sz w:val="18"/>
                <w:szCs w:val="18"/>
                <w:lang w:val="es-ES_tradnl"/>
              </w:rPr>
              <w:t xml:space="preserve">7,725-8,500 </w:t>
            </w:r>
          </w:p>
        </w:tc>
        <w:tc>
          <w:tcPr>
            <w:tcW w:w="2268" w:type="dxa"/>
            <w:gridSpan w:val="2"/>
            <w:vAlign w:val="center"/>
          </w:tcPr>
          <w:p w14:paraId="12265656" w14:textId="77777777" w:rsidR="00480606" w:rsidRPr="00140923" w:rsidRDefault="00480606" w:rsidP="00F15E98">
            <w:pPr>
              <w:pStyle w:val="Tablehead"/>
              <w:spacing w:before="20" w:after="20"/>
              <w:rPr>
                <w:sz w:val="18"/>
                <w:szCs w:val="18"/>
                <w:lang w:val="es-ES_tradnl" w:eastAsia="ja-JP"/>
              </w:rPr>
            </w:pPr>
            <w:r w:rsidRPr="00140923">
              <w:rPr>
                <w:sz w:val="18"/>
                <w:szCs w:val="18"/>
                <w:lang w:val="es-ES_tradnl" w:eastAsia="ja-JP"/>
              </w:rPr>
              <w:t>10-10,5</w:t>
            </w:r>
          </w:p>
        </w:tc>
        <w:tc>
          <w:tcPr>
            <w:tcW w:w="1843" w:type="dxa"/>
            <w:gridSpan w:val="2"/>
            <w:vAlign w:val="center"/>
          </w:tcPr>
          <w:p w14:paraId="63CAE221" w14:textId="77777777" w:rsidR="00480606" w:rsidRPr="00140923" w:rsidRDefault="00480606" w:rsidP="00F15E98">
            <w:pPr>
              <w:pStyle w:val="Tablehead"/>
              <w:spacing w:before="20" w:after="20"/>
              <w:rPr>
                <w:sz w:val="18"/>
                <w:szCs w:val="18"/>
                <w:lang w:val="es-ES_tradnl"/>
              </w:rPr>
            </w:pPr>
            <w:r w:rsidRPr="00140923">
              <w:rPr>
                <w:sz w:val="18"/>
                <w:szCs w:val="18"/>
                <w:lang w:val="es-ES_tradnl"/>
              </w:rPr>
              <w:t>10,5-10,68</w:t>
            </w:r>
          </w:p>
        </w:tc>
        <w:tc>
          <w:tcPr>
            <w:tcW w:w="2268" w:type="dxa"/>
            <w:gridSpan w:val="2"/>
            <w:vAlign w:val="center"/>
          </w:tcPr>
          <w:p w14:paraId="7951F15D" w14:textId="77777777" w:rsidR="00480606" w:rsidRPr="00140923" w:rsidRDefault="00480606" w:rsidP="00F15E98">
            <w:pPr>
              <w:pStyle w:val="Tablehead"/>
              <w:spacing w:before="20" w:after="20"/>
              <w:rPr>
                <w:sz w:val="18"/>
                <w:szCs w:val="18"/>
                <w:lang w:val="es-ES_tradnl"/>
              </w:rPr>
            </w:pPr>
            <w:r w:rsidRPr="00140923">
              <w:rPr>
                <w:sz w:val="18"/>
                <w:szCs w:val="18"/>
                <w:lang w:val="es-ES_tradnl"/>
              </w:rPr>
              <w:t>10,7-11,7</w:t>
            </w:r>
          </w:p>
        </w:tc>
        <w:tc>
          <w:tcPr>
            <w:tcW w:w="1848" w:type="dxa"/>
            <w:gridSpan w:val="2"/>
            <w:vAlign w:val="center"/>
          </w:tcPr>
          <w:p w14:paraId="57A573C5" w14:textId="77777777" w:rsidR="00480606" w:rsidRPr="00140923" w:rsidRDefault="00480606" w:rsidP="00F15E98">
            <w:pPr>
              <w:pStyle w:val="Tablehead"/>
              <w:spacing w:before="20" w:after="20"/>
              <w:rPr>
                <w:sz w:val="18"/>
                <w:szCs w:val="18"/>
                <w:lang w:val="es-ES_tradnl"/>
              </w:rPr>
            </w:pPr>
            <w:r w:rsidRPr="00140923">
              <w:rPr>
                <w:sz w:val="18"/>
                <w:szCs w:val="18"/>
                <w:lang w:val="es-ES_tradnl"/>
              </w:rPr>
              <w:t>12,75-13,25</w:t>
            </w:r>
          </w:p>
        </w:tc>
      </w:tr>
      <w:tr w:rsidR="00480606" w:rsidRPr="00140923" w14:paraId="33FC9CBD" w14:textId="77777777" w:rsidTr="00480606">
        <w:trPr>
          <w:cantSplit/>
          <w:jc w:val="center"/>
        </w:trPr>
        <w:tc>
          <w:tcPr>
            <w:tcW w:w="1413" w:type="dxa"/>
            <w:tcMar>
              <w:left w:w="57" w:type="dxa"/>
              <w:right w:w="57" w:type="dxa"/>
            </w:tcMar>
          </w:tcPr>
          <w:p w14:paraId="612F7A34" w14:textId="7E9F3238" w:rsidR="00B851DD" w:rsidRPr="00140923" w:rsidRDefault="00B851DD" w:rsidP="00226764">
            <w:pPr>
              <w:pStyle w:val="Tabletext"/>
              <w:spacing w:before="0" w:after="0" w:line="240" w:lineRule="exact"/>
              <w:jc w:val="left"/>
              <w:rPr>
                <w:sz w:val="18"/>
                <w:szCs w:val="18"/>
                <w:lang w:val="es-ES_tradnl"/>
              </w:rPr>
            </w:pPr>
            <w:r w:rsidRPr="00140923">
              <w:rPr>
                <w:sz w:val="18"/>
                <w:szCs w:val="18"/>
                <w:lang w:val="es-ES_tradnl"/>
              </w:rPr>
              <w:t>Densidad de potencia de ruido típica del receptor (= NRX) (dBW/MHz)</w:t>
            </w:r>
          </w:p>
        </w:tc>
        <w:tc>
          <w:tcPr>
            <w:tcW w:w="1134" w:type="dxa"/>
          </w:tcPr>
          <w:p w14:paraId="756FF4C8" w14:textId="7043D393"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−141</w:t>
            </w:r>
            <w:r w:rsidR="00480606">
              <w:rPr>
                <w:sz w:val="18"/>
                <w:szCs w:val="18"/>
                <w:lang w:val="es-ES_tradnl"/>
              </w:rPr>
              <w:t>,</w:t>
            </w:r>
            <w:r w:rsidRPr="00140923">
              <w:rPr>
                <w:sz w:val="18"/>
                <w:szCs w:val="18"/>
                <w:lang w:val="es-ES_tradnl"/>
              </w:rPr>
              <w:t>5…</w:t>
            </w:r>
            <w:r w:rsidRPr="00140923">
              <w:rPr>
                <w:sz w:val="18"/>
                <w:szCs w:val="18"/>
                <w:lang w:val="es-ES_tradnl"/>
              </w:rPr>
              <w:br/>
              <w:t>−138</w:t>
            </w:r>
            <w:r w:rsidR="00480606">
              <w:rPr>
                <w:sz w:val="18"/>
                <w:szCs w:val="18"/>
                <w:lang w:val="es-ES_tradnl"/>
              </w:rPr>
              <w:t>,</w:t>
            </w:r>
            <w:r w:rsidRPr="00140923">
              <w:rPr>
                <w:sz w:val="18"/>
                <w:szCs w:val="18"/>
                <w:lang w:val="es-ES_tradnl"/>
              </w:rPr>
              <w:t>0</w:t>
            </w:r>
          </w:p>
        </w:tc>
        <w:tc>
          <w:tcPr>
            <w:tcW w:w="1134" w:type="dxa"/>
          </w:tcPr>
          <w:p w14:paraId="630E8FF8" w14:textId="4853D0C8"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−141</w:t>
            </w:r>
            <w:r w:rsidR="00480606">
              <w:rPr>
                <w:sz w:val="18"/>
                <w:szCs w:val="18"/>
                <w:lang w:val="es-ES_tradnl"/>
              </w:rPr>
              <w:t>,</w:t>
            </w:r>
            <w:r w:rsidRPr="00140923">
              <w:rPr>
                <w:sz w:val="18"/>
                <w:szCs w:val="18"/>
                <w:lang w:val="es-ES_tradnl"/>
              </w:rPr>
              <w:t>5…</w:t>
            </w:r>
            <w:r w:rsidRPr="00140923">
              <w:rPr>
                <w:sz w:val="18"/>
                <w:szCs w:val="18"/>
                <w:lang w:val="es-ES_tradnl"/>
              </w:rPr>
              <w:br/>
              <w:t>−138</w:t>
            </w:r>
            <w:r w:rsidR="00480606">
              <w:rPr>
                <w:sz w:val="18"/>
                <w:szCs w:val="18"/>
                <w:lang w:val="es-ES_tradnl"/>
              </w:rPr>
              <w:t>,</w:t>
            </w:r>
            <w:r w:rsidRPr="00140923">
              <w:rPr>
                <w:sz w:val="18"/>
                <w:szCs w:val="18"/>
                <w:lang w:val="es-ES_tradnl"/>
              </w:rPr>
              <w:t>0</w:t>
            </w:r>
          </w:p>
        </w:tc>
        <w:tc>
          <w:tcPr>
            <w:tcW w:w="1276" w:type="dxa"/>
          </w:tcPr>
          <w:p w14:paraId="40B60BEA" w14:textId="1D1E3C56"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−141</w:t>
            </w:r>
            <w:r w:rsidR="00480606">
              <w:rPr>
                <w:sz w:val="18"/>
                <w:szCs w:val="18"/>
                <w:lang w:val="es-ES_tradnl" w:eastAsia="ja-JP"/>
              </w:rPr>
              <w:t>,</w:t>
            </w:r>
            <w:r w:rsidRPr="00140923">
              <w:rPr>
                <w:sz w:val="18"/>
                <w:szCs w:val="18"/>
                <w:lang w:val="es-ES_tradnl" w:eastAsia="ja-JP"/>
              </w:rPr>
              <w:t>5…</w:t>
            </w:r>
            <w:r w:rsidR="00480606">
              <w:rPr>
                <w:sz w:val="18"/>
                <w:szCs w:val="18"/>
                <w:lang w:val="es-ES_tradnl" w:eastAsia="ja-JP"/>
              </w:rPr>
              <w:br/>
            </w:r>
            <w:r w:rsidRPr="00140923">
              <w:rPr>
                <w:sz w:val="18"/>
                <w:szCs w:val="18"/>
                <w:lang w:val="es-ES_tradnl"/>
              </w:rPr>
              <w:t>−</w:t>
            </w:r>
            <w:r w:rsidRPr="00140923">
              <w:rPr>
                <w:sz w:val="18"/>
                <w:szCs w:val="18"/>
                <w:lang w:val="es-ES_tradnl" w:eastAsia="ja-JP"/>
              </w:rPr>
              <w:t>138</w:t>
            </w:r>
            <w:r w:rsidR="00480606">
              <w:rPr>
                <w:sz w:val="18"/>
                <w:szCs w:val="18"/>
                <w:lang w:val="es-ES_tradnl" w:eastAsia="ja-JP"/>
              </w:rPr>
              <w:t>,</w:t>
            </w:r>
            <w:r w:rsidRPr="00140923">
              <w:rPr>
                <w:sz w:val="18"/>
                <w:szCs w:val="18"/>
                <w:lang w:val="es-ES_tradnl" w:eastAsia="ja-JP"/>
              </w:rPr>
              <w:t>0</w:t>
            </w:r>
          </w:p>
        </w:tc>
        <w:tc>
          <w:tcPr>
            <w:tcW w:w="1275" w:type="dxa"/>
          </w:tcPr>
          <w:p w14:paraId="22F3DC49" w14:textId="4FC16079"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−141</w:t>
            </w:r>
            <w:r w:rsidR="00480606">
              <w:rPr>
                <w:sz w:val="18"/>
                <w:szCs w:val="18"/>
                <w:lang w:val="es-ES_tradnl" w:eastAsia="ja-JP"/>
              </w:rPr>
              <w:t>,</w:t>
            </w:r>
            <w:r w:rsidRPr="00140923">
              <w:rPr>
                <w:sz w:val="18"/>
                <w:szCs w:val="18"/>
                <w:lang w:val="es-ES_tradnl" w:eastAsia="ja-JP"/>
              </w:rPr>
              <w:t>5…</w:t>
            </w:r>
            <w:r w:rsidR="00480606">
              <w:rPr>
                <w:sz w:val="18"/>
                <w:szCs w:val="18"/>
                <w:lang w:val="es-ES_tradnl" w:eastAsia="ja-JP"/>
              </w:rPr>
              <w:br/>
            </w:r>
            <w:r w:rsidRPr="00140923">
              <w:rPr>
                <w:sz w:val="18"/>
                <w:szCs w:val="18"/>
                <w:lang w:val="es-ES_tradnl" w:eastAsia="ja-JP"/>
              </w:rPr>
              <w:t>−136</w:t>
            </w:r>
          </w:p>
        </w:tc>
        <w:tc>
          <w:tcPr>
            <w:tcW w:w="1134" w:type="dxa"/>
          </w:tcPr>
          <w:p w14:paraId="0056B2EB" w14:textId="77777777" w:rsidR="00B851DD" w:rsidRPr="00140923" w:rsidRDefault="00B851DD" w:rsidP="00226764">
            <w:pPr>
              <w:pStyle w:val="Tabletext"/>
              <w:spacing w:before="0" w:after="0"/>
              <w:jc w:val="center"/>
              <w:rPr>
                <w:color w:val="000000"/>
                <w:sz w:val="18"/>
                <w:szCs w:val="18"/>
                <w:lang w:val="es-ES_tradnl" w:eastAsia="ja-JP"/>
              </w:rPr>
            </w:pPr>
            <w:r w:rsidRPr="00140923">
              <w:rPr>
                <w:sz w:val="18"/>
                <w:szCs w:val="18"/>
                <w:lang w:val="es-ES_tradnl"/>
              </w:rPr>
              <w:t>−</w:t>
            </w:r>
            <w:r w:rsidRPr="00140923">
              <w:rPr>
                <w:color w:val="000000"/>
                <w:sz w:val="18"/>
                <w:szCs w:val="18"/>
                <w:lang w:val="es-ES_tradnl" w:eastAsia="ja-JP"/>
              </w:rPr>
              <w:t>140</w:t>
            </w:r>
          </w:p>
        </w:tc>
        <w:tc>
          <w:tcPr>
            <w:tcW w:w="1134" w:type="dxa"/>
          </w:tcPr>
          <w:p w14:paraId="191A7F0C" w14:textId="77777777" w:rsidR="00B851DD" w:rsidRPr="00140923" w:rsidRDefault="00B851DD" w:rsidP="00226764">
            <w:pPr>
              <w:pStyle w:val="Tabletext"/>
              <w:spacing w:before="0" w:after="0"/>
              <w:jc w:val="center"/>
              <w:rPr>
                <w:color w:val="000000"/>
                <w:sz w:val="18"/>
                <w:szCs w:val="18"/>
                <w:lang w:val="es-ES_tradnl" w:eastAsia="ja-JP"/>
              </w:rPr>
            </w:pPr>
            <w:r w:rsidRPr="00140923">
              <w:rPr>
                <w:sz w:val="18"/>
                <w:szCs w:val="18"/>
                <w:lang w:val="es-ES_tradnl"/>
              </w:rPr>
              <w:t>−</w:t>
            </w:r>
            <w:r w:rsidRPr="00140923">
              <w:rPr>
                <w:color w:val="000000"/>
                <w:sz w:val="18"/>
                <w:szCs w:val="18"/>
                <w:lang w:val="es-ES_tradnl" w:eastAsia="ja-JP"/>
              </w:rPr>
              <w:t>140</w:t>
            </w:r>
          </w:p>
        </w:tc>
        <w:tc>
          <w:tcPr>
            <w:tcW w:w="851" w:type="dxa"/>
            <w:vMerge w:val="restart"/>
          </w:tcPr>
          <w:p w14:paraId="2888A024" w14:textId="77777777" w:rsidR="00B851DD" w:rsidRPr="00140923" w:rsidRDefault="00B851DD" w:rsidP="00226764">
            <w:pPr>
              <w:pStyle w:val="Tabletext"/>
              <w:spacing w:before="0" w:after="0"/>
              <w:jc w:val="center"/>
              <w:rPr>
                <w:color w:val="000000"/>
                <w:sz w:val="18"/>
                <w:szCs w:val="18"/>
                <w:lang w:val="es-ES_tradnl" w:eastAsia="ja-JP"/>
              </w:rPr>
            </w:pPr>
          </w:p>
        </w:tc>
        <w:tc>
          <w:tcPr>
            <w:tcW w:w="992" w:type="dxa"/>
          </w:tcPr>
          <w:p w14:paraId="1C745071" w14:textId="77777777" w:rsidR="00B851DD" w:rsidRPr="00140923" w:rsidRDefault="00B851DD" w:rsidP="00226764">
            <w:pPr>
              <w:pStyle w:val="Tabletext"/>
              <w:spacing w:before="0" w:after="0"/>
              <w:jc w:val="center"/>
              <w:rPr>
                <w:color w:val="000000"/>
                <w:sz w:val="18"/>
                <w:szCs w:val="18"/>
                <w:lang w:val="es-ES_tradnl" w:eastAsia="ja-JP"/>
              </w:rPr>
            </w:pPr>
            <w:r w:rsidRPr="00140923">
              <w:rPr>
                <w:sz w:val="18"/>
                <w:szCs w:val="18"/>
                <w:lang w:val="es-ES_tradnl"/>
              </w:rPr>
              <w:t>−</w:t>
            </w:r>
            <w:r w:rsidRPr="00140923">
              <w:rPr>
                <w:color w:val="000000"/>
                <w:sz w:val="18"/>
                <w:szCs w:val="18"/>
                <w:lang w:val="es-ES_tradnl" w:eastAsia="ja-JP"/>
              </w:rPr>
              <w:t>140</w:t>
            </w:r>
          </w:p>
        </w:tc>
        <w:tc>
          <w:tcPr>
            <w:tcW w:w="1134" w:type="dxa"/>
          </w:tcPr>
          <w:p w14:paraId="353EB00E" w14:textId="7777777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−139</w:t>
            </w:r>
          </w:p>
        </w:tc>
        <w:tc>
          <w:tcPr>
            <w:tcW w:w="1134" w:type="dxa"/>
          </w:tcPr>
          <w:p w14:paraId="40F4DAFC" w14:textId="7777777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−139</w:t>
            </w:r>
          </w:p>
        </w:tc>
        <w:tc>
          <w:tcPr>
            <w:tcW w:w="992" w:type="dxa"/>
          </w:tcPr>
          <w:p w14:paraId="0C81BD7B" w14:textId="72B6C148" w:rsidR="00B851DD" w:rsidRPr="00140923" w:rsidRDefault="00B851DD" w:rsidP="00226764">
            <w:pPr>
              <w:pStyle w:val="Tabletext"/>
              <w:spacing w:before="0" w:after="0" w:line="240" w:lineRule="exact"/>
              <w:jc w:val="center"/>
              <w:rPr>
                <w:color w:val="000000"/>
                <w:sz w:val="18"/>
                <w:szCs w:val="18"/>
                <w:lang w:val="es-ES_tradnl" w:eastAsia="ja-JP"/>
              </w:rPr>
            </w:pPr>
            <w:r w:rsidRPr="00140923">
              <w:rPr>
                <w:sz w:val="18"/>
                <w:szCs w:val="18"/>
                <w:lang w:val="es-ES_tradnl"/>
              </w:rPr>
              <w:t>−139</w:t>
            </w:r>
            <w:r w:rsidR="00480606">
              <w:rPr>
                <w:sz w:val="18"/>
                <w:szCs w:val="18"/>
                <w:lang w:val="es-ES_tradnl"/>
              </w:rPr>
              <w:t>,</w:t>
            </w:r>
            <w:r w:rsidRPr="00140923">
              <w:rPr>
                <w:sz w:val="18"/>
                <w:szCs w:val="18"/>
                <w:lang w:val="es-ES_tradnl"/>
              </w:rPr>
              <w:t>5…</w:t>
            </w:r>
            <w:r w:rsidR="00480606">
              <w:rPr>
                <w:sz w:val="18"/>
                <w:szCs w:val="18"/>
                <w:lang w:val="es-ES_tradnl"/>
              </w:rPr>
              <w:br/>
            </w:r>
            <w:r w:rsidRPr="00140923">
              <w:rPr>
                <w:sz w:val="18"/>
                <w:szCs w:val="18"/>
                <w:lang w:val="es-ES_tradnl"/>
              </w:rPr>
              <w:t>−139</w:t>
            </w:r>
          </w:p>
        </w:tc>
        <w:tc>
          <w:tcPr>
            <w:tcW w:w="856" w:type="dxa"/>
          </w:tcPr>
          <w:p w14:paraId="684ED98B" w14:textId="77777777" w:rsidR="00B851DD" w:rsidRPr="00140923" w:rsidRDefault="00B851DD" w:rsidP="00226764">
            <w:pPr>
              <w:pStyle w:val="Tabletext"/>
              <w:spacing w:before="0" w:after="0" w:line="240" w:lineRule="exact"/>
              <w:jc w:val="center"/>
              <w:rPr>
                <w:color w:val="000000"/>
                <w:sz w:val="18"/>
                <w:szCs w:val="18"/>
                <w:highlight w:val="lightGray"/>
                <w:lang w:val="es-ES_tradnl" w:eastAsia="ja-JP"/>
              </w:rPr>
            </w:pPr>
            <w:r w:rsidRPr="00140923">
              <w:rPr>
                <w:sz w:val="18"/>
                <w:szCs w:val="18"/>
                <w:lang w:val="es-ES_tradnl"/>
              </w:rPr>
              <w:t>−</w:t>
            </w:r>
            <w:r w:rsidRPr="00140923">
              <w:rPr>
                <w:color w:val="000000"/>
                <w:sz w:val="18"/>
                <w:szCs w:val="18"/>
                <w:lang w:val="es-ES_tradnl" w:eastAsia="ja-JP"/>
              </w:rPr>
              <w:t>140</w:t>
            </w:r>
          </w:p>
        </w:tc>
      </w:tr>
      <w:tr w:rsidR="00480606" w:rsidRPr="00140923" w14:paraId="4E9D4B37" w14:textId="77777777" w:rsidTr="00480606">
        <w:trPr>
          <w:cantSplit/>
          <w:jc w:val="center"/>
        </w:trPr>
        <w:tc>
          <w:tcPr>
            <w:tcW w:w="1413" w:type="dxa"/>
            <w:tcMar>
              <w:left w:w="57" w:type="dxa"/>
              <w:right w:w="57" w:type="dxa"/>
            </w:tcMar>
          </w:tcPr>
          <w:p w14:paraId="7D15C012" w14:textId="5F85A78E" w:rsidR="00B851DD" w:rsidRPr="00140923" w:rsidRDefault="00B851DD" w:rsidP="00226764">
            <w:pPr>
              <w:pStyle w:val="Tabletext"/>
              <w:spacing w:before="0" w:after="0" w:line="240" w:lineRule="exact"/>
              <w:jc w:val="left"/>
              <w:rPr>
                <w:sz w:val="18"/>
                <w:szCs w:val="18"/>
                <w:lang w:val="es-ES_tradnl"/>
              </w:rPr>
            </w:pPr>
            <w:r w:rsidRPr="00140923">
              <w:rPr>
                <w:sz w:val="18"/>
                <w:szCs w:val="18"/>
                <w:lang w:val="es-ES_tradnl"/>
              </w:rPr>
              <w:t xml:space="preserve">Nivel de entrada normalizado del receptor para una BER de </w:t>
            </w:r>
            <w:r w:rsidR="00480606" w:rsidRPr="00140923">
              <w:rPr>
                <w:sz w:val="18"/>
                <w:szCs w:val="18"/>
                <w:lang w:val="es-ES_tradnl"/>
              </w:rPr>
              <w:t>1 × 10</w:t>
            </w:r>
            <w:r w:rsidR="00A941C1" w:rsidRPr="00A941C1">
              <w:rPr>
                <w:sz w:val="18"/>
                <w:szCs w:val="18"/>
                <w:vertAlign w:val="superscript"/>
                <w:lang w:val="es-ES_tradnl"/>
              </w:rPr>
              <w:t>−</w:t>
            </w:r>
            <w:r w:rsidR="00480606" w:rsidRPr="00140923">
              <w:rPr>
                <w:sz w:val="18"/>
                <w:szCs w:val="18"/>
                <w:vertAlign w:val="superscript"/>
                <w:lang w:val="es-ES_tradnl"/>
              </w:rPr>
              <w:t>6</w:t>
            </w:r>
            <w:r w:rsidR="00480606" w:rsidRPr="00140923">
              <w:rPr>
                <w:sz w:val="18"/>
                <w:szCs w:val="18"/>
                <w:lang w:val="es-ES_tradnl"/>
              </w:rPr>
              <w:t xml:space="preserve"> </w:t>
            </w:r>
            <w:r w:rsidRPr="00140923">
              <w:rPr>
                <w:sz w:val="18"/>
                <w:szCs w:val="18"/>
                <w:lang w:val="es-ES_tradnl"/>
              </w:rPr>
              <w:t>(dBW/MHz)</w:t>
            </w:r>
          </w:p>
        </w:tc>
        <w:tc>
          <w:tcPr>
            <w:tcW w:w="1134" w:type="dxa"/>
          </w:tcPr>
          <w:p w14:paraId="46766255" w14:textId="30E583BF" w:rsidR="00B851DD" w:rsidRPr="00140923" w:rsidRDefault="00B851DD" w:rsidP="00226764">
            <w:pPr>
              <w:pStyle w:val="Tabletext"/>
              <w:spacing w:before="0" w:after="0" w:line="240" w:lineRule="exact"/>
              <w:jc w:val="center"/>
              <w:rPr>
                <w:sz w:val="18"/>
                <w:szCs w:val="18"/>
                <w:lang w:val="es-ES_tradnl"/>
              </w:rPr>
            </w:pPr>
            <w:r w:rsidRPr="00140923">
              <w:rPr>
                <w:sz w:val="18"/>
                <w:szCs w:val="18"/>
                <w:lang w:val="es-ES_tradnl"/>
              </w:rPr>
              <w:t>−</w:t>
            </w:r>
            <w:r w:rsidRPr="00140923">
              <w:rPr>
                <w:sz w:val="18"/>
                <w:szCs w:val="18"/>
                <w:lang w:val="es-ES_tradnl" w:eastAsia="ja-JP"/>
              </w:rPr>
              <w:t>121</w:t>
            </w:r>
            <w:r w:rsidR="00480606">
              <w:rPr>
                <w:sz w:val="18"/>
                <w:szCs w:val="18"/>
                <w:lang w:val="es-ES_tradnl" w:eastAsia="ja-JP"/>
              </w:rPr>
              <w:t>,</w:t>
            </w:r>
            <w:r w:rsidRPr="00140923">
              <w:rPr>
                <w:sz w:val="18"/>
                <w:szCs w:val="18"/>
                <w:lang w:val="es-ES_tradnl" w:eastAsia="ja-JP"/>
              </w:rPr>
              <w:t>0…</w:t>
            </w:r>
            <w:r w:rsidRPr="00140923">
              <w:rPr>
                <w:sz w:val="18"/>
                <w:szCs w:val="18"/>
                <w:lang w:val="es-ES_tradnl" w:eastAsia="ja-JP"/>
              </w:rPr>
              <w:br/>
            </w:r>
            <w:r w:rsidRPr="00140923">
              <w:rPr>
                <w:sz w:val="18"/>
                <w:szCs w:val="18"/>
                <w:lang w:val="es-ES_tradnl"/>
              </w:rPr>
              <w:t>−</w:t>
            </w:r>
            <w:r w:rsidRPr="00140923">
              <w:rPr>
                <w:sz w:val="18"/>
                <w:szCs w:val="18"/>
                <w:lang w:val="es-ES_tradnl" w:eastAsia="ja-JP"/>
              </w:rPr>
              <w:t>117</w:t>
            </w:r>
            <w:r w:rsidR="00480606">
              <w:rPr>
                <w:sz w:val="18"/>
                <w:szCs w:val="18"/>
                <w:lang w:val="es-ES_tradnl" w:eastAsia="ja-JP"/>
              </w:rPr>
              <w:t>,</w:t>
            </w:r>
            <w:r w:rsidRPr="00140923">
              <w:rPr>
                <w:sz w:val="18"/>
                <w:szCs w:val="18"/>
                <w:lang w:val="es-ES_tradnl" w:eastAsia="ja-JP"/>
              </w:rPr>
              <w:t>5</w:t>
            </w:r>
          </w:p>
        </w:tc>
        <w:tc>
          <w:tcPr>
            <w:tcW w:w="1134" w:type="dxa"/>
          </w:tcPr>
          <w:p w14:paraId="46A73104" w14:textId="1EB43862"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−112</w:t>
            </w:r>
            <w:r w:rsidR="00480606">
              <w:rPr>
                <w:sz w:val="18"/>
                <w:szCs w:val="18"/>
                <w:lang w:val="es-ES_tradnl" w:eastAsia="ja-JP"/>
              </w:rPr>
              <w:t>,</w:t>
            </w:r>
            <w:r w:rsidRPr="00140923">
              <w:rPr>
                <w:sz w:val="18"/>
                <w:szCs w:val="18"/>
                <w:lang w:val="es-ES_tradnl" w:eastAsia="ja-JP"/>
              </w:rPr>
              <w:t>5…</w:t>
            </w:r>
            <w:r w:rsidRPr="00140923">
              <w:rPr>
                <w:sz w:val="18"/>
                <w:szCs w:val="18"/>
                <w:lang w:val="es-ES_tradnl" w:eastAsia="ja-JP"/>
              </w:rPr>
              <w:br/>
            </w:r>
            <w:r w:rsidRPr="00140923">
              <w:rPr>
                <w:sz w:val="18"/>
                <w:szCs w:val="18"/>
                <w:lang w:val="es-ES_tradnl"/>
              </w:rPr>
              <w:t>−</w:t>
            </w:r>
            <w:r w:rsidRPr="00140923">
              <w:rPr>
                <w:sz w:val="18"/>
                <w:szCs w:val="18"/>
                <w:lang w:val="es-ES_tradnl" w:eastAsia="ja-JP"/>
              </w:rPr>
              <w:t>115</w:t>
            </w:r>
            <w:r w:rsidR="00480606">
              <w:rPr>
                <w:sz w:val="18"/>
                <w:szCs w:val="18"/>
                <w:lang w:val="es-ES_tradnl" w:eastAsia="ja-JP"/>
              </w:rPr>
              <w:t>,</w:t>
            </w:r>
            <w:r w:rsidRPr="00140923">
              <w:rPr>
                <w:sz w:val="18"/>
                <w:szCs w:val="18"/>
                <w:lang w:val="es-ES_tradnl" w:eastAsia="ja-JP"/>
              </w:rPr>
              <w:t>0</w:t>
            </w:r>
          </w:p>
        </w:tc>
        <w:tc>
          <w:tcPr>
            <w:tcW w:w="1276" w:type="dxa"/>
          </w:tcPr>
          <w:p w14:paraId="17105400" w14:textId="7AA57CE2"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w:t>
            </w:r>
            <w:r w:rsidRPr="00140923">
              <w:rPr>
                <w:sz w:val="18"/>
                <w:szCs w:val="18"/>
                <w:lang w:val="es-ES_tradnl" w:eastAsia="ja-JP"/>
              </w:rPr>
              <w:t>121</w:t>
            </w:r>
            <w:r w:rsidR="00480606">
              <w:rPr>
                <w:sz w:val="18"/>
                <w:szCs w:val="18"/>
                <w:lang w:val="es-ES_tradnl" w:eastAsia="ja-JP"/>
              </w:rPr>
              <w:t>,</w:t>
            </w:r>
            <w:r w:rsidRPr="00140923">
              <w:rPr>
                <w:sz w:val="18"/>
                <w:szCs w:val="18"/>
                <w:lang w:val="es-ES_tradnl" w:eastAsia="ja-JP"/>
              </w:rPr>
              <w:t>.0…</w:t>
            </w:r>
            <w:r w:rsidR="00480606">
              <w:rPr>
                <w:sz w:val="18"/>
                <w:szCs w:val="18"/>
                <w:lang w:val="es-ES_tradnl" w:eastAsia="ja-JP"/>
              </w:rPr>
              <w:br/>
            </w:r>
            <w:r w:rsidRPr="00140923">
              <w:rPr>
                <w:sz w:val="18"/>
                <w:szCs w:val="18"/>
                <w:lang w:val="es-ES_tradnl"/>
              </w:rPr>
              <w:t>−</w:t>
            </w:r>
            <w:r w:rsidRPr="00140923">
              <w:rPr>
                <w:sz w:val="18"/>
                <w:szCs w:val="18"/>
                <w:lang w:val="es-ES_tradnl" w:eastAsia="ja-JP"/>
              </w:rPr>
              <w:t>117</w:t>
            </w:r>
            <w:r w:rsidR="00480606">
              <w:rPr>
                <w:sz w:val="18"/>
                <w:szCs w:val="18"/>
                <w:lang w:val="es-ES_tradnl" w:eastAsia="ja-JP"/>
              </w:rPr>
              <w:t>,</w:t>
            </w:r>
            <w:r w:rsidRPr="00140923">
              <w:rPr>
                <w:sz w:val="18"/>
                <w:szCs w:val="18"/>
                <w:lang w:val="es-ES_tradnl" w:eastAsia="ja-JP"/>
              </w:rPr>
              <w:t>5</w:t>
            </w:r>
          </w:p>
        </w:tc>
        <w:tc>
          <w:tcPr>
            <w:tcW w:w="1275" w:type="dxa"/>
          </w:tcPr>
          <w:p w14:paraId="68734CE7" w14:textId="4A1D9780"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−111</w:t>
            </w:r>
            <w:r w:rsidR="00480606">
              <w:rPr>
                <w:sz w:val="18"/>
                <w:szCs w:val="18"/>
                <w:lang w:val="es-ES_tradnl" w:eastAsia="ja-JP"/>
              </w:rPr>
              <w:t>,</w:t>
            </w:r>
            <w:r w:rsidRPr="00140923">
              <w:rPr>
                <w:sz w:val="18"/>
                <w:szCs w:val="18"/>
                <w:lang w:val="es-ES_tradnl" w:eastAsia="ja-JP"/>
              </w:rPr>
              <w:t>3…</w:t>
            </w:r>
            <w:r w:rsidR="00480606">
              <w:rPr>
                <w:sz w:val="18"/>
                <w:szCs w:val="18"/>
                <w:lang w:val="es-ES_tradnl" w:eastAsia="ja-JP"/>
              </w:rPr>
              <w:br/>
            </w:r>
            <w:r w:rsidRPr="00140923">
              <w:rPr>
                <w:sz w:val="18"/>
                <w:szCs w:val="18"/>
                <w:lang w:val="es-ES_tradnl" w:eastAsia="ja-JP"/>
              </w:rPr>
              <w:t>−106</w:t>
            </w:r>
            <w:r w:rsidR="00480606">
              <w:rPr>
                <w:sz w:val="18"/>
                <w:szCs w:val="18"/>
                <w:lang w:val="es-ES_tradnl" w:eastAsia="ja-JP"/>
              </w:rPr>
              <w:t>,</w:t>
            </w:r>
            <w:r w:rsidRPr="00140923">
              <w:rPr>
                <w:sz w:val="18"/>
                <w:szCs w:val="18"/>
                <w:lang w:val="es-ES_tradnl" w:eastAsia="ja-JP"/>
              </w:rPr>
              <w:t>5</w:t>
            </w:r>
          </w:p>
        </w:tc>
        <w:tc>
          <w:tcPr>
            <w:tcW w:w="1134" w:type="dxa"/>
          </w:tcPr>
          <w:p w14:paraId="2A5A3002" w14:textId="23454E3C" w:rsidR="00B851DD" w:rsidRPr="00140923" w:rsidRDefault="00B851DD" w:rsidP="00226764">
            <w:pPr>
              <w:pStyle w:val="Tabletext"/>
              <w:spacing w:before="0" w:after="0"/>
              <w:jc w:val="center"/>
              <w:rPr>
                <w:color w:val="000000"/>
                <w:sz w:val="18"/>
                <w:szCs w:val="18"/>
                <w:lang w:val="es-ES_tradnl" w:eastAsia="ja-JP"/>
              </w:rPr>
            </w:pPr>
            <w:r w:rsidRPr="00140923">
              <w:rPr>
                <w:sz w:val="18"/>
                <w:szCs w:val="18"/>
                <w:lang w:val="es-ES_tradnl"/>
              </w:rPr>
              <w:t>−</w:t>
            </w:r>
            <w:r w:rsidRPr="00140923">
              <w:rPr>
                <w:color w:val="000000"/>
                <w:sz w:val="18"/>
                <w:szCs w:val="18"/>
                <w:lang w:val="es-ES_tradnl" w:eastAsia="ja-JP"/>
              </w:rPr>
              <w:t>126</w:t>
            </w:r>
            <w:r w:rsidR="00480606">
              <w:rPr>
                <w:color w:val="000000"/>
                <w:sz w:val="18"/>
                <w:szCs w:val="18"/>
                <w:lang w:val="es-ES_tradnl" w:eastAsia="ja-JP"/>
              </w:rPr>
              <w:t>,</w:t>
            </w:r>
            <w:r w:rsidRPr="00140923">
              <w:rPr>
                <w:color w:val="000000"/>
                <w:sz w:val="18"/>
                <w:szCs w:val="18"/>
                <w:lang w:val="es-ES_tradnl" w:eastAsia="ja-JP"/>
              </w:rPr>
              <w:t>5</w:t>
            </w:r>
          </w:p>
        </w:tc>
        <w:tc>
          <w:tcPr>
            <w:tcW w:w="1134" w:type="dxa"/>
          </w:tcPr>
          <w:p w14:paraId="60F07A64" w14:textId="77777777" w:rsidR="00B851DD" w:rsidRPr="00140923" w:rsidRDefault="00B851DD" w:rsidP="00226764">
            <w:pPr>
              <w:pStyle w:val="Tabletext"/>
              <w:spacing w:before="0" w:after="0"/>
              <w:jc w:val="center"/>
              <w:rPr>
                <w:color w:val="000000"/>
                <w:sz w:val="18"/>
                <w:szCs w:val="18"/>
                <w:lang w:val="es-ES_tradnl" w:eastAsia="ja-JP"/>
              </w:rPr>
            </w:pPr>
            <w:r w:rsidRPr="00140923">
              <w:rPr>
                <w:sz w:val="18"/>
                <w:szCs w:val="18"/>
                <w:lang w:val="es-ES_tradnl"/>
              </w:rPr>
              <w:t>−</w:t>
            </w:r>
            <w:r w:rsidRPr="00140923">
              <w:rPr>
                <w:color w:val="000000"/>
                <w:sz w:val="18"/>
                <w:szCs w:val="18"/>
                <w:lang w:val="es-ES_tradnl" w:eastAsia="ja-JP"/>
              </w:rPr>
              <w:t>110.5</w:t>
            </w:r>
          </w:p>
        </w:tc>
        <w:tc>
          <w:tcPr>
            <w:tcW w:w="851" w:type="dxa"/>
            <w:vMerge/>
          </w:tcPr>
          <w:p w14:paraId="04943AFA" w14:textId="77777777" w:rsidR="00B851DD" w:rsidRPr="00140923" w:rsidRDefault="00B851DD" w:rsidP="00226764">
            <w:pPr>
              <w:pStyle w:val="Tabletext"/>
              <w:spacing w:before="0" w:after="0"/>
              <w:jc w:val="center"/>
              <w:rPr>
                <w:color w:val="000000"/>
                <w:sz w:val="18"/>
                <w:szCs w:val="18"/>
                <w:lang w:val="es-ES_tradnl" w:eastAsia="ja-JP"/>
              </w:rPr>
            </w:pPr>
          </w:p>
        </w:tc>
        <w:tc>
          <w:tcPr>
            <w:tcW w:w="992" w:type="dxa"/>
          </w:tcPr>
          <w:p w14:paraId="45A74AD5" w14:textId="77777777" w:rsidR="00B851DD" w:rsidRPr="00140923" w:rsidRDefault="00B851DD" w:rsidP="00226764">
            <w:pPr>
              <w:pStyle w:val="Tabletext"/>
              <w:spacing w:before="0" w:after="0"/>
              <w:jc w:val="center"/>
              <w:rPr>
                <w:color w:val="000000"/>
                <w:sz w:val="18"/>
                <w:szCs w:val="18"/>
                <w:highlight w:val="red"/>
                <w:lang w:val="es-ES_tradnl" w:eastAsia="ja-JP"/>
              </w:rPr>
            </w:pPr>
            <w:r w:rsidRPr="00140923">
              <w:rPr>
                <w:sz w:val="18"/>
                <w:szCs w:val="18"/>
                <w:lang w:val="es-ES_tradnl"/>
              </w:rPr>
              <w:t>−</w:t>
            </w:r>
            <w:r w:rsidRPr="00140923">
              <w:rPr>
                <w:color w:val="000000"/>
                <w:sz w:val="18"/>
                <w:szCs w:val="18"/>
                <w:lang w:val="es-ES_tradnl" w:eastAsia="ja-JP"/>
              </w:rPr>
              <w:t>117</w:t>
            </w:r>
          </w:p>
        </w:tc>
        <w:tc>
          <w:tcPr>
            <w:tcW w:w="1134" w:type="dxa"/>
          </w:tcPr>
          <w:p w14:paraId="3DEEA831" w14:textId="0866CD35"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−118</w:t>
            </w:r>
            <w:r w:rsidR="00480606">
              <w:rPr>
                <w:sz w:val="18"/>
                <w:szCs w:val="18"/>
                <w:lang w:val="es-ES_tradnl" w:eastAsia="ja-JP"/>
              </w:rPr>
              <w:t>,</w:t>
            </w:r>
            <w:r w:rsidRPr="00140923">
              <w:rPr>
                <w:sz w:val="18"/>
                <w:szCs w:val="18"/>
                <w:lang w:val="es-ES_tradnl" w:eastAsia="ja-JP"/>
              </w:rPr>
              <w:t>5</w:t>
            </w:r>
          </w:p>
        </w:tc>
        <w:tc>
          <w:tcPr>
            <w:tcW w:w="1134" w:type="dxa"/>
          </w:tcPr>
          <w:p w14:paraId="07B73F57" w14:textId="627B32D3"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−112</w:t>
            </w:r>
            <w:r w:rsidR="00480606">
              <w:rPr>
                <w:sz w:val="18"/>
                <w:szCs w:val="18"/>
                <w:lang w:val="es-ES_tradnl" w:eastAsia="ja-JP"/>
              </w:rPr>
              <w:t>,</w:t>
            </w:r>
            <w:r w:rsidRPr="00140923">
              <w:rPr>
                <w:sz w:val="18"/>
                <w:szCs w:val="18"/>
                <w:lang w:val="es-ES_tradnl" w:eastAsia="ja-JP"/>
              </w:rPr>
              <w:t>5</w:t>
            </w:r>
          </w:p>
        </w:tc>
        <w:tc>
          <w:tcPr>
            <w:tcW w:w="992" w:type="dxa"/>
          </w:tcPr>
          <w:p w14:paraId="1C05906C" w14:textId="0DB51947" w:rsidR="00B851DD" w:rsidRPr="00140923" w:rsidRDefault="00B851DD" w:rsidP="00226764">
            <w:pPr>
              <w:pStyle w:val="Tabletext"/>
              <w:spacing w:before="0" w:after="0" w:line="240" w:lineRule="exact"/>
              <w:jc w:val="center"/>
              <w:rPr>
                <w:color w:val="000000"/>
                <w:sz w:val="18"/>
                <w:szCs w:val="18"/>
                <w:lang w:val="es-ES_tradnl" w:eastAsia="ja-JP"/>
              </w:rPr>
            </w:pPr>
            <w:r w:rsidRPr="00140923">
              <w:rPr>
                <w:sz w:val="18"/>
                <w:szCs w:val="18"/>
                <w:lang w:val="es-ES_tradnl"/>
              </w:rPr>
              <w:t>−</w:t>
            </w:r>
            <w:r w:rsidRPr="00140923">
              <w:rPr>
                <w:color w:val="000000"/>
                <w:sz w:val="18"/>
                <w:szCs w:val="18"/>
                <w:lang w:val="es-ES_tradnl" w:eastAsia="ja-JP"/>
              </w:rPr>
              <w:t>126…</w:t>
            </w:r>
            <w:r w:rsidR="00480606">
              <w:rPr>
                <w:color w:val="000000"/>
                <w:sz w:val="18"/>
                <w:szCs w:val="18"/>
                <w:lang w:val="es-ES_tradnl" w:eastAsia="ja-JP"/>
              </w:rPr>
              <w:br/>
            </w:r>
            <w:r w:rsidRPr="00140923">
              <w:rPr>
                <w:sz w:val="18"/>
                <w:szCs w:val="18"/>
                <w:lang w:val="es-ES_tradnl"/>
              </w:rPr>
              <w:t>−</w:t>
            </w:r>
            <w:r w:rsidRPr="00140923">
              <w:rPr>
                <w:color w:val="000000"/>
                <w:sz w:val="18"/>
                <w:szCs w:val="18"/>
                <w:lang w:val="es-ES_tradnl" w:eastAsia="ja-JP"/>
              </w:rPr>
              <w:t>125</w:t>
            </w:r>
            <w:r w:rsidR="00480606">
              <w:rPr>
                <w:color w:val="000000"/>
                <w:sz w:val="18"/>
                <w:szCs w:val="18"/>
                <w:lang w:val="es-ES_tradnl" w:eastAsia="ja-JP"/>
              </w:rPr>
              <w:t>,</w:t>
            </w:r>
            <w:r w:rsidRPr="00140923">
              <w:rPr>
                <w:color w:val="000000"/>
                <w:sz w:val="18"/>
                <w:szCs w:val="18"/>
                <w:lang w:val="es-ES_tradnl" w:eastAsia="ja-JP"/>
              </w:rPr>
              <w:t>5</w:t>
            </w:r>
          </w:p>
        </w:tc>
        <w:tc>
          <w:tcPr>
            <w:tcW w:w="856" w:type="dxa"/>
          </w:tcPr>
          <w:p w14:paraId="1C825255" w14:textId="77777777" w:rsidR="00B851DD" w:rsidRPr="00140923" w:rsidRDefault="00B851DD" w:rsidP="00226764">
            <w:pPr>
              <w:pStyle w:val="Tabletext"/>
              <w:spacing w:before="0" w:after="0" w:line="240" w:lineRule="exact"/>
              <w:jc w:val="center"/>
              <w:rPr>
                <w:color w:val="000000"/>
                <w:sz w:val="18"/>
                <w:szCs w:val="18"/>
                <w:lang w:val="es-ES_tradnl" w:eastAsia="ja-JP"/>
              </w:rPr>
            </w:pPr>
            <w:r w:rsidRPr="00140923">
              <w:rPr>
                <w:sz w:val="18"/>
                <w:szCs w:val="18"/>
                <w:lang w:val="es-ES_tradnl"/>
              </w:rPr>
              <w:t>−</w:t>
            </w:r>
            <w:r w:rsidRPr="00140923">
              <w:rPr>
                <w:color w:val="000000"/>
                <w:sz w:val="18"/>
                <w:szCs w:val="18"/>
                <w:lang w:val="es-ES_tradnl" w:eastAsia="ja-JP"/>
              </w:rPr>
              <w:t>117</w:t>
            </w:r>
          </w:p>
        </w:tc>
      </w:tr>
      <w:tr w:rsidR="00B851DD" w:rsidRPr="00140923" w14:paraId="539499FE" w14:textId="77777777" w:rsidTr="00480606">
        <w:trPr>
          <w:cantSplit/>
          <w:jc w:val="center"/>
        </w:trPr>
        <w:tc>
          <w:tcPr>
            <w:tcW w:w="1413" w:type="dxa"/>
            <w:tcBorders>
              <w:bottom w:val="single" w:sz="4" w:space="0" w:color="auto"/>
            </w:tcBorders>
            <w:tcMar>
              <w:left w:w="57" w:type="dxa"/>
              <w:right w:w="57" w:type="dxa"/>
            </w:tcMar>
          </w:tcPr>
          <w:p w14:paraId="4B0F1CEE" w14:textId="77777777" w:rsidR="00B851DD" w:rsidRPr="00140923" w:rsidRDefault="00B851DD" w:rsidP="00226764">
            <w:pPr>
              <w:pStyle w:val="Tabletext"/>
              <w:spacing w:before="0" w:after="0" w:line="240" w:lineRule="exact"/>
              <w:jc w:val="left"/>
              <w:rPr>
                <w:sz w:val="18"/>
                <w:szCs w:val="18"/>
                <w:lang w:val="es-ES_tradnl" w:eastAsia="ja-JP"/>
              </w:rPr>
            </w:pPr>
            <w:bookmarkStart w:id="56" w:name="_Hlk197954122"/>
            <w:bookmarkStart w:id="57" w:name="_Hlk197953985"/>
            <w:r w:rsidRPr="00140923">
              <w:rPr>
                <w:sz w:val="18"/>
                <w:szCs w:val="18"/>
                <w:lang w:val="es-ES_tradnl"/>
              </w:rPr>
              <w:t>Densidad de potencia de interferencia a largo plazo nominal (dBW/MHz)</w:t>
            </w:r>
            <w:r w:rsidRPr="00140923">
              <w:rPr>
                <w:sz w:val="18"/>
                <w:szCs w:val="18"/>
                <w:vertAlign w:val="superscript"/>
                <w:lang w:val="es-ES_tradnl" w:eastAsia="ja-JP"/>
              </w:rPr>
              <w:t>(2)</w:t>
            </w:r>
          </w:p>
        </w:tc>
        <w:tc>
          <w:tcPr>
            <w:tcW w:w="1134" w:type="dxa"/>
            <w:tcBorders>
              <w:bottom w:val="single" w:sz="4" w:space="0" w:color="auto"/>
            </w:tcBorders>
          </w:tcPr>
          <w:p w14:paraId="1DD5C50F" w14:textId="7777777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−141,5…</w:t>
            </w:r>
            <w:r w:rsidRPr="00140923">
              <w:rPr>
                <w:sz w:val="18"/>
                <w:szCs w:val="18"/>
                <w:lang w:val="es-ES_tradnl"/>
              </w:rPr>
              <w:br/>
              <w:t>−138,0 +</w:t>
            </w:r>
            <w:r w:rsidRPr="00140923">
              <w:rPr>
                <w:i/>
                <w:sz w:val="18"/>
                <w:szCs w:val="18"/>
                <w:lang w:val="es-ES_tradnl"/>
              </w:rPr>
              <w:t xml:space="preserve"> I</w:t>
            </w:r>
            <w:r w:rsidRPr="00140923">
              <w:rPr>
                <w:sz w:val="18"/>
                <w:szCs w:val="18"/>
                <w:lang w:val="es-ES_tradnl"/>
              </w:rPr>
              <w:t>/</w:t>
            </w:r>
            <w:r w:rsidRPr="00140923">
              <w:rPr>
                <w:i/>
                <w:sz w:val="18"/>
                <w:szCs w:val="18"/>
                <w:lang w:val="es-ES_tradnl"/>
              </w:rPr>
              <w:t>N</w:t>
            </w:r>
          </w:p>
        </w:tc>
        <w:tc>
          <w:tcPr>
            <w:tcW w:w="1134" w:type="dxa"/>
            <w:tcBorders>
              <w:bottom w:val="single" w:sz="4" w:space="0" w:color="auto"/>
            </w:tcBorders>
          </w:tcPr>
          <w:p w14:paraId="2CF587D3" w14:textId="7777777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−138,0 +</w:t>
            </w:r>
            <w:r w:rsidRPr="00140923">
              <w:rPr>
                <w:i/>
                <w:sz w:val="18"/>
                <w:szCs w:val="18"/>
                <w:lang w:val="es-ES_tradnl"/>
              </w:rPr>
              <w:t xml:space="preserve"> I</w:t>
            </w:r>
            <w:r w:rsidRPr="00140923">
              <w:rPr>
                <w:iCs/>
                <w:sz w:val="18"/>
                <w:szCs w:val="18"/>
                <w:lang w:val="es-ES_tradnl"/>
              </w:rPr>
              <w:t>/</w:t>
            </w:r>
            <w:r w:rsidRPr="00140923">
              <w:rPr>
                <w:i/>
                <w:sz w:val="18"/>
                <w:szCs w:val="18"/>
                <w:lang w:val="es-ES_tradnl"/>
              </w:rPr>
              <w:t>N</w:t>
            </w:r>
          </w:p>
        </w:tc>
        <w:tc>
          <w:tcPr>
            <w:tcW w:w="1276" w:type="dxa"/>
            <w:tcBorders>
              <w:bottom w:val="single" w:sz="4" w:space="0" w:color="auto"/>
            </w:tcBorders>
          </w:tcPr>
          <w:p w14:paraId="6268660B" w14:textId="7777777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rPr>
              <w:t>−141,5…</w:t>
            </w:r>
            <w:r w:rsidRPr="00140923">
              <w:rPr>
                <w:sz w:val="18"/>
                <w:szCs w:val="18"/>
                <w:lang w:val="es-ES_tradnl"/>
              </w:rPr>
              <w:br/>
              <w:t xml:space="preserve">−138,0 + </w:t>
            </w:r>
            <w:r w:rsidRPr="00140923">
              <w:rPr>
                <w:i/>
                <w:sz w:val="18"/>
                <w:szCs w:val="18"/>
                <w:lang w:val="es-ES_tradnl"/>
              </w:rPr>
              <w:t>I</w:t>
            </w:r>
            <w:r w:rsidRPr="00140923">
              <w:rPr>
                <w:sz w:val="18"/>
                <w:szCs w:val="18"/>
                <w:lang w:val="es-ES_tradnl"/>
              </w:rPr>
              <w:t>/</w:t>
            </w:r>
            <w:r w:rsidRPr="00140923">
              <w:rPr>
                <w:i/>
                <w:sz w:val="18"/>
                <w:szCs w:val="18"/>
                <w:lang w:val="es-ES_tradnl"/>
              </w:rPr>
              <w:t>N</w:t>
            </w:r>
          </w:p>
        </w:tc>
        <w:tc>
          <w:tcPr>
            <w:tcW w:w="1275" w:type="dxa"/>
            <w:tcBorders>
              <w:bottom w:val="single" w:sz="4" w:space="0" w:color="auto"/>
            </w:tcBorders>
          </w:tcPr>
          <w:p w14:paraId="5A1F9D45" w14:textId="7777777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−141,5…</w:t>
            </w:r>
            <w:r w:rsidRPr="00140923">
              <w:rPr>
                <w:sz w:val="18"/>
                <w:szCs w:val="18"/>
                <w:lang w:val="es-ES_tradnl" w:eastAsia="ja-JP"/>
              </w:rPr>
              <w:br/>
              <w:t>−136</w:t>
            </w:r>
            <w:r w:rsidRPr="00140923">
              <w:rPr>
                <w:sz w:val="18"/>
                <w:szCs w:val="18"/>
                <w:lang w:val="es-ES_tradnl"/>
              </w:rPr>
              <w:t>+</w:t>
            </w:r>
            <w:r w:rsidRPr="00140923">
              <w:rPr>
                <w:i/>
                <w:sz w:val="18"/>
                <w:szCs w:val="18"/>
                <w:lang w:val="es-ES_tradnl"/>
              </w:rPr>
              <w:t xml:space="preserve"> I</w:t>
            </w:r>
            <w:r w:rsidRPr="00140923">
              <w:rPr>
                <w:sz w:val="18"/>
                <w:szCs w:val="18"/>
                <w:lang w:val="es-ES_tradnl"/>
              </w:rPr>
              <w:t>/</w:t>
            </w:r>
            <w:r w:rsidRPr="00140923">
              <w:rPr>
                <w:i/>
                <w:sz w:val="18"/>
                <w:szCs w:val="18"/>
                <w:lang w:val="es-ES_tradnl"/>
              </w:rPr>
              <w:t>N</w:t>
            </w:r>
          </w:p>
        </w:tc>
        <w:tc>
          <w:tcPr>
            <w:tcW w:w="1134" w:type="dxa"/>
            <w:tcBorders>
              <w:bottom w:val="single" w:sz="4" w:space="0" w:color="auto"/>
            </w:tcBorders>
          </w:tcPr>
          <w:p w14:paraId="09E141C7" w14:textId="77777777" w:rsidR="00B851DD" w:rsidRPr="00140923" w:rsidRDefault="00B851DD" w:rsidP="00226764">
            <w:pPr>
              <w:pStyle w:val="Tabletext"/>
              <w:spacing w:before="0" w:after="0"/>
              <w:jc w:val="center"/>
              <w:rPr>
                <w:i/>
                <w:iCs/>
                <w:sz w:val="18"/>
                <w:szCs w:val="18"/>
                <w:lang w:val="es-ES_tradnl" w:eastAsia="ja-JP"/>
              </w:rPr>
            </w:pPr>
            <w:r w:rsidRPr="00140923">
              <w:rPr>
                <w:sz w:val="18"/>
                <w:szCs w:val="18"/>
                <w:lang w:val="es-ES_tradnl" w:eastAsia="ja-JP"/>
              </w:rPr>
              <w:t xml:space="preserve">−140 </w:t>
            </w:r>
            <w:r w:rsidRPr="00140923">
              <w:rPr>
                <w:sz w:val="18"/>
                <w:szCs w:val="18"/>
                <w:lang w:val="es-ES_tradnl"/>
              </w:rPr>
              <w:t>+</w:t>
            </w:r>
            <w:r w:rsidRPr="00140923">
              <w:rPr>
                <w:i/>
                <w:sz w:val="18"/>
                <w:szCs w:val="18"/>
                <w:lang w:val="es-ES_tradnl"/>
              </w:rPr>
              <w:t xml:space="preserve"> I</w:t>
            </w:r>
            <w:r w:rsidRPr="00140923">
              <w:rPr>
                <w:sz w:val="18"/>
                <w:szCs w:val="18"/>
                <w:lang w:val="es-ES_tradnl"/>
              </w:rPr>
              <w:t>/</w:t>
            </w:r>
            <w:r w:rsidRPr="00140923">
              <w:rPr>
                <w:i/>
                <w:sz w:val="18"/>
                <w:szCs w:val="18"/>
                <w:lang w:val="es-ES_tradnl"/>
              </w:rPr>
              <w:t>N</w:t>
            </w:r>
          </w:p>
        </w:tc>
        <w:tc>
          <w:tcPr>
            <w:tcW w:w="1134" w:type="dxa"/>
            <w:tcBorders>
              <w:bottom w:val="single" w:sz="4" w:space="0" w:color="auto"/>
            </w:tcBorders>
          </w:tcPr>
          <w:p w14:paraId="21A51D60" w14:textId="77777777" w:rsidR="00B851DD" w:rsidRPr="00140923" w:rsidRDefault="00B851DD" w:rsidP="00226764">
            <w:pPr>
              <w:pStyle w:val="Tabletext"/>
              <w:spacing w:before="0" w:after="0"/>
              <w:jc w:val="center"/>
              <w:rPr>
                <w:i/>
                <w:iCs/>
                <w:sz w:val="18"/>
                <w:szCs w:val="18"/>
                <w:lang w:val="es-ES_tradnl" w:eastAsia="ja-JP"/>
              </w:rPr>
            </w:pPr>
            <w:r w:rsidRPr="00140923">
              <w:rPr>
                <w:sz w:val="18"/>
                <w:szCs w:val="18"/>
                <w:lang w:val="es-ES_tradnl" w:eastAsia="ja-JP"/>
              </w:rPr>
              <w:t xml:space="preserve">−140 </w:t>
            </w:r>
            <w:r w:rsidRPr="00140923">
              <w:rPr>
                <w:sz w:val="18"/>
                <w:szCs w:val="18"/>
                <w:lang w:val="es-ES_tradnl"/>
              </w:rPr>
              <w:t>+</w:t>
            </w:r>
            <w:r w:rsidRPr="00140923">
              <w:rPr>
                <w:i/>
                <w:sz w:val="18"/>
                <w:szCs w:val="18"/>
                <w:lang w:val="es-ES_tradnl"/>
              </w:rPr>
              <w:t xml:space="preserve"> I</w:t>
            </w:r>
            <w:r w:rsidRPr="00140923">
              <w:rPr>
                <w:sz w:val="18"/>
                <w:szCs w:val="18"/>
                <w:lang w:val="es-ES_tradnl"/>
              </w:rPr>
              <w:t>/</w:t>
            </w:r>
            <w:r w:rsidRPr="00140923">
              <w:rPr>
                <w:i/>
                <w:sz w:val="18"/>
                <w:szCs w:val="18"/>
                <w:lang w:val="es-ES_tradnl"/>
              </w:rPr>
              <w:t>N</w:t>
            </w:r>
          </w:p>
        </w:tc>
        <w:tc>
          <w:tcPr>
            <w:tcW w:w="851" w:type="dxa"/>
            <w:tcBorders>
              <w:bottom w:val="single" w:sz="4" w:space="0" w:color="auto"/>
            </w:tcBorders>
          </w:tcPr>
          <w:p w14:paraId="5664BA8C" w14:textId="77777777" w:rsidR="00B851DD" w:rsidRPr="00140923" w:rsidRDefault="00B851DD" w:rsidP="00226764">
            <w:pPr>
              <w:pStyle w:val="Tabletext"/>
              <w:spacing w:before="0" w:after="0"/>
              <w:jc w:val="center"/>
              <w:rPr>
                <w:color w:val="000000"/>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sz w:val="18"/>
                <w:szCs w:val="18"/>
                <w:lang w:val="es-ES_tradnl"/>
              </w:rPr>
              <w:t>/</w:t>
            </w:r>
            <w:r w:rsidRPr="00140923">
              <w:rPr>
                <w:i/>
                <w:sz w:val="18"/>
                <w:szCs w:val="18"/>
                <w:lang w:val="es-ES_tradnl"/>
              </w:rPr>
              <w:t>N</w:t>
            </w:r>
          </w:p>
        </w:tc>
        <w:tc>
          <w:tcPr>
            <w:tcW w:w="992" w:type="dxa"/>
            <w:tcBorders>
              <w:bottom w:val="single" w:sz="4" w:space="0" w:color="auto"/>
            </w:tcBorders>
          </w:tcPr>
          <w:p w14:paraId="7155826B" w14:textId="77777777" w:rsidR="00B851DD" w:rsidRPr="00140923" w:rsidRDefault="00B851DD" w:rsidP="00226764">
            <w:pPr>
              <w:pStyle w:val="Tabletext"/>
              <w:spacing w:before="0" w:after="0"/>
              <w:jc w:val="center"/>
              <w:rPr>
                <w:color w:val="000000"/>
                <w:sz w:val="18"/>
                <w:szCs w:val="18"/>
                <w:lang w:val="es-ES_tradnl" w:eastAsia="ja-JP"/>
              </w:rPr>
            </w:pPr>
            <w:r w:rsidRPr="00140923">
              <w:rPr>
                <w:i/>
                <w:iCs/>
                <w:sz w:val="18"/>
                <w:szCs w:val="18"/>
                <w:lang w:val="es-ES_tradnl" w:eastAsia="ja-JP"/>
              </w:rPr>
              <w:t>N</w:t>
            </w:r>
            <w:r w:rsidRPr="00140923">
              <w:rPr>
                <w:i/>
                <w:iCs/>
                <w:sz w:val="18"/>
                <w:szCs w:val="18"/>
                <w:vertAlign w:val="subscript"/>
                <w:lang w:val="es-ES_tradnl"/>
              </w:rPr>
              <w:t>RX</w:t>
            </w:r>
            <w:r w:rsidRPr="00140923">
              <w:rPr>
                <w:sz w:val="18"/>
                <w:szCs w:val="18"/>
                <w:lang w:val="es-ES_tradnl"/>
              </w:rPr>
              <w:t xml:space="preserve"> +</w:t>
            </w:r>
            <w:r w:rsidRPr="00140923">
              <w:rPr>
                <w:i/>
                <w:sz w:val="18"/>
                <w:szCs w:val="18"/>
                <w:lang w:val="es-ES_tradnl"/>
              </w:rPr>
              <w:t xml:space="preserve"> I</w:t>
            </w:r>
            <w:r w:rsidRPr="00140923">
              <w:rPr>
                <w:sz w:val="18"/>
                <w:szCs w:val="18"/>
                <w:lang w:val="es-ES_tradnl"/>
              </w:rPr>
              <w:t>/</w:t>
            </w:r>
            <w:r w:rsidRPr="00140923">
              <w:rPr>
                <w:i/>
                <w:sz w:val="18"/>
                <w:szCs w:val="18"/>
                <w:lang w:val="es-ES_tradnl"/>
              </w:rPr>
              <w:t>N</w:t>
            </w:r>
          </w:p>
        </w:tc>
        <w:tc>
          <w:tcPr>
            <w:tcW w:w="1134" w:type="dxa"/>
            <w:tcBorders>
              <w:bottom w:val="single" w:sz="4" w:space="0" w:color="auto"/>
            </w:tcBorders>
          </w:tcPr>
          <w:p w14:paraId="787942D8" w14:textId="7777777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 xml:space="preserve">−139 </w:t>
            </w:r>
            <w:r w:rsidRPr="00140923">
              <w:rPr>
                <w:sz w:val="18"/>
                <w:szCs w:val="18"/>
                <w:lang w:val="es-ES_tradnl"/>
              </w:rPr>
              <w:t>+</w:t>
            </w:r>
            <w:r w:rsidRPr="00140923">
              <w:rPr>
                <w:i/>
                <w:sz w:val="18"/>
                <w:szCs w:val="18"/>
                <w:lang w:val="es-ES_tradnl"/>
              </w:rPr>
              <w:t xml:space="preserve"> I</w:t>
            </w:r>
            <w:r w:rsidRPr="00140923">
              <w:rPr>
                <w:sz w:val="18"/>
                <w:szCs w:val="18"/>
                <w:lang w:val="es-ES_tradnl"/>
              </w:rPr>
              <w:t>/</w:t>
            </w:r>
            <w:r w:rsidRPr="00140923">
              <w:rPr>
                <w:i/>
                <w:sz w:val="18"/>
                <w:szCs w:val="18"/>
                <w:lang w:val="es-ES_tradnl"/>
              </w:rPr>
              <w:t>N</w:t>
            </w:r>
          </w:p>
        </w:tc>
        <w:tc>
          <w:tcPr>
            <w:tcW w:w="1134" w:type="dxa"/>
            <w:tcBorders>
              <w:bottom w:val="single" w:sz="4" w:space="0" w:color="auto"/>
            </w:tcBorders>
          </w:tcPr>
          <w:p w14:paraId="5F0661F6" w14:textId="77777777" w:rsidR="00B851DD" w:rsidRPr="00140923" w:rsidRDefault="00B851DD" w:rsidP="00226764">
            <w:pPr>
              <w:pStyle w:val="Tabletext"/>
              <w:spacing w:before="0" w:after="0" w:line="240" w:lineRule="exact"/>
              <w:jc w:val="center"/>
              <w:rPr>
                <w:sz w:val="18"/>
                <w:szCs w:val="18"/>
                <w:lang w:val="es-ES_tradnl" w:eastAsia="ja-JP"/>
              </w:rPr>
            </w:pPr>
            <w:r w:rsidRPr="00140923">
              <w:rPr>
                <w:sz w:val="18"/>
                <w:szCs w:val="18"/>
                <w:lang w:val="es-ES_tradnl" w:eastAsia="ja-JP"/>
              </w:rPr>
              <w:t>−139</w:t>
            </w:r>
            <w:r w:rsidRPr="00140923">
              <w:rPr>
                <w:sz w:val="18"/>
                <w:szCs w:val="18"/>
                <w:lang w:val="es-ES_tradnl"/>
              </w:rPr>
              <w:t xml:space="preserve"> + </w:t>
            </w:r>
            <w:r w:rsidRPr="00140923">
              <w:rPr>
                <w:i/>
                <w:sz w:val="18"/>
                <w:szCs w:val="18"/>
                <w:lang w:val="es-ES_tradnl"/>
              </w:rPr>
              <w:t>I</w:t>
            </w:r>
            <w:r w:rsidRPr="00140923">
              <w:rPr>
                <w:sz w:val="18"/>
                <w:szCs w:val="18"/>
                <w:lang w:val="es-ES_tradnl"/>
              </w:rPr>
              <w:t>/</w:t>
            </w:r>
            <w:r w:rsidRPr="00140923">
              <w:rPr>
                <w:i/>
                <w:sz w:val="18"/>
                <w:szCs w:val="18"/>
                <w:lang w:val="es-ES_tradnl"/>
              </w:rPr>
              <w:t>N</w:t>
            </w:r>
          </w:p>
        </w:tc>
        <w:tc>
          <w:tcPr>
            <w:tcW w:w="992" w:type="dxa"/>
            <w:tcBorders>
              <w:bottom w:val="single" w:sz="4" w:space="0" w:color="auto"/>
            </w:tcBorders>
          </w:tcPr>
          <w:p w14:paraId="12E90033" w14:textId="77777777" w:rsidR="00B851DD" w:rsidRPr="00140923" w:rsidRDefault="00B851DD" w:rsidP="00226764">
            <w:pPr>
              <w:pStyle w:val="Tabletext"/>
              <w:spacing w:before="0" w:after="0" w:line="240" w:lineRule="exact"/>
              <w:jc w:val="center"/>
              <w:rPr>
                <w:color w:val="000000"/>
                <w:sz w:val="18"/>
                <w:szCs w:val="18"/>
                <w:highlight w:val="lightGray"/>
                <w:lang w:val="es-ES_tradnl" w:eastAsia="ja-JP"/>
              </w:rPr>
            </w:pPr>
            <w:r w:rsidRPr="00140923">
              <w:rPr>
                <w:sz w:val="18"/>
                <w:szCs w:val="18"/>
                <w:lang w:val="es-ES_tradnl"/>
              </w:rPr>
              <w:t xml:space="preserve">−139,5…−139 + </w:t>
            </w:r>
            <w:r w:rsidRPr="00140923">
              <w:rPr>
                <w:i/>
                <w:iCs/>
                <w:sz w:val="18"/>
                <w:szCs w:val="18"/>
                <w:lang w:val="es-ES_tradnl"/>
              </w:rPr>
              <w:t>I</w:t>
            </w:r>
            <w:r w:rsidRPr="00140923">
              <w:rPr>
                <w:sz w:val="18"/>
                <w:szCs w:val="18"/>
                <w:lang w:val="es-ES_tradnl"/>
              </w:rPr>
              <w:t>/</w:t>
            </w:r>
            <w:r w:rsidRPr="00140923">
              <w:rPr>
                <w:i/>
                <w:iCs/>
                <w:sz w:val="18"/>
                <w:szCs w:val="18"/>
                <w:lang w:val="es-ES_tradnl"/>
              </w:rPr>
              <w:t>N</w:t>
            </w:r>
          </w:p>
        </w:tc>
        <w:tc>
          <w:tcPr>
            <w:tcW w:w="856" w:type="dxa"/>
            <w:tcBorders>
              <w:bottom w:val="single" w:sz="4" w:space="0" w:color="auto"/>
            </w:tcBorders>
          </w:tcPr>
          <w:p w14:paraId="0FB9523D" w14:textId="77777777" w:rsidR="00B851DD" w:rsidRPr="00140923" w:rsidRDefault="00B851DD" w:rsidP="00226764">
            <w:pPr>
              <w:pStyle w:val="Tabletext"/>
              <w:spacing w:before="0" w:after="0" w:line="240" w:lineRule="exact"/>
              <w:jc w:val="center"/>
              <w:rPr>
                <w:color w:val="000000"/>
                <w:sz w:val="18"/>
                <w:szCs w:val="18"/>
                <w:highlight w:val="lightGray"/>
                <w:lang w:val="es-ES_tradnl" w:eastAsia="ja-JP"/>
              </w:rPr>
            </w:pPr>
            <w:r w:rsidRPr="00140923">
              <w:rPr>
                <w:sz w:val="18"/>
                <w:szCs w:val="18"/>
                <w:lang w:val="es-ES_tradnl"/>
              </w:rPr>
              <w:t xml:space="preserve">−140 + </w:t>
            </w:r>
            <w:r w:rsidRPr="00140923">
              <w:rPr>
                <w:i/>
                <w:iCs/>
                <w:sz w:val="18"/>
                <w:szCs w:val="18"/>
                <w:lang w:val="es-ES_tradnl"/>
              </w:rPr>
              <w:t>I</w:t>
            </w:r>
            <w:r w:rsidRPr="00140923">
              <w:rPr>
                <w:sz w:val="18"/>
                <w:szCs w:val="18"/>
                <w:lang w:val="es-ES_tradnl"/>
              </w:rPr>
              <w:t>/</w:t>
            </w:r>
            <w:r w:rsidRPr="00140923">
              <w:rPr>
                <w:i/>
                <w:iCs/>
                <w:sz w:val="18"/>
                <w:szCs w:val="18"/>
                <w:lang w:val="es-ES_tradnl"/>
              </w:rPr>
              <w:t>N</w:t>
            </w:r>
          </w:p>
        </w:tc>
      </w:tr>
      <w:tr w:rsidR="00480606" w:rsidRPr="00140923" w14:paraId="4DF5F68F" w14:textId="77777777" w:rsidTr="00ED26AC">
        <w:trPr>
          <w:cantSplit/>
          <w:jc w:val="center"/>
        </w:trPr>
        <w:tc>
          <w:tcPr>
            <w:tcW w:w="14459" w:type="dxa"/>
            <w:gridSpan w:val="13"/>
            <w:tcBorders>
              <w:top w:val="single" w:sz="4" w:space="0" w:color="auto"/>
              <w:left w:val="nil"/>
              <w:bottom w:val="nil"/>
              <w:right w:val="nil"/>
            </w:tcBorders>
            <w:tcMar>
              <w:left w:w="57" w:type="dxa"/>
              <w:right w:w="57" w:type="dxa"/>
            </w:tcMar>
          </w:tcPr>
          <w:p w14:paraId="0F9DE26F" w14:textId="77777777" w:rsidR="00480606" w:rsidRPr="00140923" w:rsidRDefault="00480606" w:rsidP="00480606">
            <w:pPr>
              <w:pStyle w:val="TableLegendNote"/>
              <w:spacing w:before="60"/>
              <w:ind w:left="-56" w:right="0"/>
              <w:rPr>
                <w:sz w:val="20"/>
                <w:lang w:val="es-ES_tradnl"/>
              </w:rPr>
            </w:pPr>
            <w:r w:rsidRPr="00140923">
              <w:rPr>
                <w:sz w:val="20"/>
                <w:lang w:val="es-ES_tradnl" w:eastAsia="ja-JP"/>
              </w:rPr>
              <w:t>NOTA – El conjunto previsto de parámetros de dos sistemas de referencia para los estudios de compartición/compatibilidad actualmente no están disponibles, o lo están sólo parcialmente. A título provisional, se pueden utilizar los parámetros que figuran en el Anexo 3 para las mismas bandas.</w:t>
            </w:r>
          </w:p>
          <w:p w14:paraId="3704684F" w14:textId="77777777" w:rsidR="00480606" w:rsidRPr="00140923" w:rsidRDefault="00480606" w:rsidP="00480606">
            <w:pPr>
              <w:pStyle w:val="TableLegendNote"/>
              <w:spacing w:before="40"/>
              <w:ind w:left="238" w:right="0" w:hanging="295"/>
              <w:rPr>
                <w:sz w:val="20"/>
                <w:lang w:val="es-ES_tradnl"/>
              </w:rPr>
            </w:pPr>
            <w:r w:rsidRPr="00140923">
              <w:rPr>
                <w:sz w:val="20"/>
                <w:vertAlign w:val="superscript"/>
                <w:lang w:val="es-ES_tradnl"/>
              </w:rPr>
              <w:t>(1)</w:t>
            </w:r>
            <w:r w:rsidRPr="00140923">
              <w:rPr>
                <w:sz w:val="20"/>
                <w:lang w:val="es-ES_tradnl"/>
              </w:rPr>
              <w:tab/>
              <w:t xml:space="preserve">Para calcular los valores de las densidades del transmisor y de la p.i.r.e., es preciso determinar la separación entre canales y la anchura de banda. En estos Cuadros, la separación entre canales se indica en </w:t>
            </w:r>
            <w:r w:rsidRPr="00140923">
              <w:rPr>
                <w:b/>
                <w:bCs/>
                <w:sz w:val="20"/>
                <w:lang w:val="es-ES_tradnl"/>
              </w:rPr>
              <w:t>negritas</w:t>
            </w:r>
            <w:r w:rsidRPr="00140923">
              <w:rPr>
                <w:sz w:val="20"/>
                <w:lang w:val="es-ES_tradnl"/>
              </w:rPr>
              <w:t>. Cuando se da un valor modal (Moda), este se debe considerar como indicativo dentro de la gama especificada y puede que sea necesario realizar más análisis de sensibilidad según cada caso para evaluar el potencial de una interferencia dada en razón de las variaciones dentro de la gama especificada.</w:t>
            </w:r>
          </w:p>
          <w:p w14:paraId="3F227594" w14:textId="77777777" w:rsidR="00480606" w:rsidRPr="00140923" w:rsidRDefault="00480606" w:rsidP="00480606">
            <w:pPr>
              <w:pStyle w:val="TableLegendNote"/>
              <w:spacing w:before="40"/>
              <w:ind w:left="238" w:right="0" w:hanging="295"/>
              <w:rPr>
                <w:sz w:val="20"/>
                <w:lang w:val="es-ES_tradnl"/>
              </w:rPr>
            </w:pPr>
            <w:r w:rsidRPr="00140923">
              <w:rPr>
                <w:sz w:val="20"/>
                <w:vertAlign w:val="superscript"/>
                <w:lang w:val="es-ES_tradnl"/>
              </w:rPr>
              <w:t>(2)</w:t>
            </w:r>
            <w:r w:rsidRPr="00140923">
              <w:rPr>
                <w:sz w:val="20"/>
                <w:lang w:val="es-ES_tradnl"/>
              </w:rPr>
              <w:tab/>
              <w:t>La densidad de potencia de interferencia a largo plazo nominal se define como la «densidad de potencia de ruido del receptor + (I/N requerida)» según se describe en el § 4.13 en el Anexo 2 (véase asimismo el § 4.1 en el Anexo 1).</w:t>
            </w:r>
          </w:p>
          <w:p w14:paraId="717C7088" w14:textId="28058CE1" w:rsidR="00480606" w:rsidRPr="00140923" w:rsidRDefault="00480606" w:rsidP="00480606">
            <w:pPr>
              <w:pStyle w:val="TableLegendNote"/>
              <w:spacing w:before="40"/>
              <w:ind w:left="238" w:right="0" w:hanging="295"/>
              <w:rPr>
                <w:sz w:val="18"/>
                <w:szCs w:val="18"/>
                <w:lang w:val="es-ES_tradnl"/>
              </w:rPr>
            </w:pPr>
            <w:r w:rsidRPr="00140923">
              <w:rPr>
                <w:sz w:val="20"/>
                <w:vertAlign w:val="superscript"/>
                <w:lang w:val="es-ES_tradnl"/>
              </w:rPr>
              <w:t>(3)</w:t>
            </w:r>
            <w:r w:rsidRPr="00140923">
              <w:rPr>
                <w:sz w:val="20"/>
                <w:lang w:val="es-ES_tradnl"/>
              </w:rPr>
              <w:tab/>
              <w:t>Este valor de separación entre canales no se especifica en la Recomendación de referencia.</w:t>
            </w:r>
          </w:p>
        </w:tc>
      </w:tr>
    </w:tbl>
    <w:bookmarkEnd w:id="56"/>
    <w:bookmarkEnd w:id="57"/>
    <w:p w14:paraId="11283229" w14:textId="31CE0562" w:rsidR="002B37E9" w:rsidRPr="00480606" w:rsidRDefault="002B37E9" w:rsidP="00480606">
      <w:pPr>
        <w:pStyle w:val="TableNo"/>
      </w:pPr>
      <w:r w:rsidRPr="00480606">
        <w:lastRenderedPageBreak/>
        <w:t>CUADRO 10</w:t>
      </w:r>
    </w:p>
    <w:p w14:paraId="4E191660" w14:textId="77777777" w:rsidR="002B37E9" w:rsidRPr="00140923" w:rsidRDefault="002B37E9" w:rsidP="00480606">
      <w:pPr>
        <w:pStyle w:val="Tabletitle"/>
        <w:keepLines/>
        <w:rPr>
          <w:lang w:val="es-ES_tradnl" w:eastAsia="ja-JP"/>
        </w:rPr>
      </w:pPr>
      <w:r w:rsidRPr="00140923">
        <w:rPr>
          <w:lang w:val="es-ES_tradnl" w:eastAsia="ja-JP"/>
        </w:rPr>
        <w:t xml:space="preserve">Parámetros de sistema para los sistemas punto a punto </w:t>
      </w:r>
      <w:r w:rsidRPr="00140923">
        <w:rPr>
          <w:lang w:val="es-ES_tradnl"/>
        </w:rPr>
        <w:t>del</w:t>
      </w:r>
      <w:r w:rsidRPr="00140923">
        <w:rPr>
          <w:lang w:val="es-ES_tradnl" w:eastAsia="ja-JP"/>
        </w:rPr>
        <w:t xml:space="preserve"> servicio fijo en bandas atribuidas entre 14 y 34 GHz</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4"/>
        <w:gridCol w:w="1385"/>
        <w:gridCol w:w="1110"/>
        <w:gridCol w:w="1219"/>
        <w:gridCol w:w="1219"/>
        <w:gridCol w:w="999"/>
        <w:gridCol w:w="1110"/>
        <w:gridCol w:w="1165"/>
        <w:gridCol w:w="1197"/>
        <w:gridCol w:w="992"/>
        <w:gridCol w:w="951"/>
        <w:gridCol w:w="192"/>
      </w:tblGrid>
      <w:tr w:rsidR="002B37E9" w:rsidRPr="00140923" w14:paraId="29920AAB"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7C45A8" w14:textId="77777777" w:rsidR="002B37E9" w:rsidRPr="00140923" w:rsidRDefault="002B37E9" w:rsidP="00480606">
            <w:pPr>
              <w:pStyle w:val="Tablehead"/>
              <w:keepLines/>
              <w:rPr>
                <w:sz w:val="20"/>
                <w:lang w:val="es-ES_tradnl"/>
              </w:rPr>
            </w:pPr>
            <w:r w:rsidRPr="00140923">
              <w:rPr>
                <w:sz w:val="20"/>
                <w:lang w:val="es-ES_tradnl"/>
              </w:rPr>
              <w:t>Gama de frecuencias (GHz)</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14:paraId="4188FD45" w14:textId="77777777" w:rsidR="002B37E9" w:rsidRPr="00140923" w:rsidRDefault="002B37E9" w:rsidP="00480606">
            <w:pPr>
              <w:pStyle w:val="Tablehead"/>
              <w:keepLines/>
              <w:rPr>
                <w:sz w:val="20"/>
                <w:lang w:val="es-ES_tradnl"/>
              </w:rPr>
            </w:pPr>
            <w:r w:rsidRPr="00140923">
              <w:rPr>
                <w:sz w:val="20"/>
                <w:lang w:val="es-ES_tradnl"/>
              </w:rPr>
              <w:t>14,4-15,35</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14:paraId="3F692598" w14:textId="77777777" w:rsidR="002B37E9" w:rsidRPr="00140923" w:rsidRDefault="002B37E9" w:rsidP="00480606">
            <w:pPr>
              <w:pStyle w:val="Tablehead"/>
              <w:keepLines/>
              <w:rPr>
                <w:sz w:val="20"/>
                <w:lang w:val="es-ES_tradnl"/>
              </w:rPr>
            </w:pPr>
            <w:r w:rsidRPr="00140923">
              <w:rPr>
                <w:sz w:val="20"/>
                <w:lang w:val="es-ES_tradnl"/>
              </w:rPr>
              <w:t>17,7-19,7</w:t>
            </w: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3FD416C7" w14:textId="77777777" w:rsidR="002B37E9" w:rsidRPr="00140923" w:rsidRDefault="002B37E9" w:rsidP="00480606">
            <w:pPr>
              <w:pStyle w:val="Tablehead"/>
              <w:keepLines/>
              <w:rPr>
                <w:sz w:val="20"/>
                <w:lang w:val="es-ES_tradnl"/>
              </w:rPr>
            </w:pPr>
            <w:r w:rsidRPr="00140923">
              <w:rPr>
                <w:sz w:val="20"/>
                <w:lang w:val="es-ES_tradnl"/>
              </w:rPr>
              <w:t>21,2-23,6</w:t>
            </w:r>
          </w:p>
        </w:tc>
        <w:tc>
          <w:tcPr>
            <w:tcW w:w="2362" w:type="dxa"/>
            <w:gridSpan w:val="2"/>
            <w:tcBorders>
              <w:top w:val="single" w:sz="4" w:space="0" w:color="auto"/>
              <w:left w:val="single" w:sz="4" w:space="0" w:color="auto"/>
              <w:bottom w:val="single" w:sz="4" w:space="0" w:color="auto"/>
              <w:right w:val="single" w:sz="4" w:space="0" w:color="auto"/>
            </w:tcBorders>
            <w:vAlign w:val="center"/>
            <w:hideMark/>
          </w:tcPr>
          <w:p w14:paraId="467AB2F9" w14:textId="77777777" w:rsidR="002B37E9" w:rsidRPr="00140923" w:rsidRDefault="002B37E9" w:rsidP="00480606">
            <w:pPr>
              <w:pStyle w:val="Tablehead"/>
              <w:keepLines/>
              <w:rPr>
                <w:sz w:val="20"/>
                <w:lang w:val="es-ES_tradnl"/>
              </w:rPr>
            </w:pPr>
            <w:r w:rsidRPr="00140923">
              <w:rPr>
                <w:sz w:val="20"/>
                <w:lang w:val="es-ES_tradnl"/>
              </w:rPr>
              <w:t>24,25-29,50</w:t>
            </w:r>
          </w:p>
        </w:tc>
        <w:tc>
          <w:tcPr>
            <w:tcW w:w="1943" w:type="dxa"/>
            <w:gridSpan w:val="2"/>
            <w:tcBorders>
              <w:top w:val="single" w:sz="4" w:space="0" w:color="auto"/>
              <w:left w:val="single" w:sz="4" w:space="0" w:color="auto"/>
              <w:bottom w:val="single" w:sz="4" w:space="0" w:color="auto"/>
              <w:right w:val="single" w:sz="4" w:space="0" w:color="auto"/>
            </w:tcBorders>
            <w:vAlign w:val="center"/>
            <w:hideMark/>
          </w:tcPr>
          <w:p w14:paraId="6C30DCC3" w14:textId="77777777" w:rsidR="002B37E9" w:rsidRPr="00140923" w:rsidRDefault="002B37E9" w:rsidP="00480606">
            <w:pPr>
              <w:pStyle w:val="Tablehead"/>
              <w:keepLines/>
              <w:rPr>
                <w:sz w:val="20"/>
                <w:lang w:val="es-ES_tradnl"/>
              </w:rPr>
            </w:pPr>
            <w:r w:rsidRPr="00140923">
              <w:rPr>
                <w:sz w:val="20"/>
                <w:lang w:val="es-ES_tradnl"/>
              </w:rPr>
              <w:t>31,8-33,4</w:t>
            </w:r>
          </w:p>
        </w:tc>
      </w:tr>
      <w:tr w:rsidR="002B37E9" w:rsidRPr="00140923" w14:paraId="6A657766"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B01644" w14:textId="77777777" w:rsidR="002B37E9" w:rsidRPr="00140923" w:rsidRDefault="002B37E9" w:rsidP="00480606">
            <w:pPr>
              <w:pStyle w:val="Tabletext"/>
              <w:keepNext/>
              <w:keepLines/>
              <w:jc w:val="left"/>
              <w:rPr>
                <w:sz w:val="18"/>
                <w:szCs w:val="18"/>
                <w:lang w:val="es-ES_tradnl"/>
              </w:rPr>
            </w:pPr>
            <w:r w:rsidRPr="00140923">
              <w:rPr>
                <w:sz w:val="18"/>
                <w:szCs w:val="18"/>
                <w:lang w:val="es-ES_tradnl"/>
              </w:rPr>
              <w:t>Recomendación UIT-R de referencia</w:t>
            </w:r>
          </w:p>
        </w:tc>
        <w:tc>
          <w:tcPr>
            <w:tcW w:w="2495" w:type="dxa"/>
            <w:gridSpan w:val="2"/>
            <w:tcBorders>
              <w:top w:val="single" w:sz="4" w:space="0" w:color="auto"/>
              <w:left w:val="single" w:sz="4" w:space="0" w:color="auto"/>
              <w:bottom w:val="single" w:sz="4" w:space="0" w:color="auto"/>
              <w:right w:val="single" w:sz="4" w:space="0" w:color="auto"/>
            </w:tcBorders>
            <w:hideMark/>
          </w:tcPr>
          <w:p w14:paraId="185307DF"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rPr>
              <w:t>F.</w:t>
            </w:r>
            <w:r w:rsidRPr="00140923">
              <w:rPr>
                <w:sz w:val="18"/>
                <w:szCs w:val="18"/>
                <w:lang w:val="es-ES_tradnl" w:eastAsia="ja-JP"/>
              </w:rPr>
              <w:t>636</w:t>
            </w:r>
          </w:p>
        </w:tc>
        <w:tc>
          <w:tcPr>
            <w:tcW w:w="2438" w:type="dxa"/>
            <w:gridSpan w:val="2"/>
            <w:tcBorders>
              <w:top w:val="single" w:sz="4" w:space="0" w:color="auto"/>
              <w:left w:val="single" w:sz="4" w:space="0" w:color="auto"/>
              <w:bottom w:val="single" w:sz="4" w:space="0" w:color="auto"/>
              <w:right w:val="single" w:sz="4" w:space="0" w:color="auto"/>
            </w:tcBorders>
            <w:hideMark/>
          </w:tcPr>
          <w:p w14:paraId="4461AF55"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rPr>
              <w:t>F.</w:t>
            </w:r>
            <w:r w:rsidRPr="00140923">
              <w:rPr>
                <w:sz w:val="18"/>
                <w:szCs w:val="18"/>
                <w:lang w:val="es-ES_tradnl" w:eastAsia="ja-JP"/>
              </w:rPr>
              <w:t>595</w:t>
            </w:r>
          </w:p>
        </w:tc>
        <w:tc>
          <w:tcPr>
            <w:tcW w:w="2109" w:type="dxa"/>
            <w:gridSpan w:val="2"/>
            <w:tcBorders>
              <w:top w:val="single" w:sz="4" w:space="0" w:color="auto"/>
              <w:left w:val="single" w:sz="4" w:space="0" w:color="auto"/>
              <w:bottom w:val="single" w:sz="4" w:space="0" w:color="auto"/>
              <w:right w:val="single" w:sz="4" w:space="0" w:color="auto"/>
            </w:tcBorders>
            <w:hideMark/>
          </w:tcPr>
          <w:p w14:paraId="729027FE"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rPr>
              <w:t>F.</w:t>
            </w:r>
            <w:r w:rsidRPr="00140923">
              <w:rPr>
                <w:sz w:val="18"/>
                <w:szCs w:val="18"/>
                <w:lang w:val="es-ES_tradnl" w:eastAsia="ja-JP"/>
              </w:rPr>
              <w:t>637</w:t>
            </w:r>
          </w:p>
        </w:tc>
        <w:tc>
          <w:tcPr>
            <w:tcW w:w="2362" w:type="dxa"/>
            <w:gridSpan w:val="2"/>
            <w:tcBorders>
              <w:top w:val="single" w:sz="4" w:space="0" w:color="auto"/>
              <w:left w:val="single" w:sz="4" w:space="0" w:color="auto"/>
              <w:bottom w:val="single" w:sz="4" w:space="0" w:color="auto"/>
              <w:right w:val="single" w:sz="4" w:space="0" w:color="auto"/>
            </w:tcBorders>
            <w:hideMark/>
          </w:tcPr>
          <w:p w14:paraId="1F5B2C7E"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rPr>
              <w:t>F.</w:t>
            </w:r>
            <w:r w:rsidRPr="00140923">
              <w:rPr>
                <w:sz w:val="18"/>
                <w:szCs w:val="18"/>
                <w:lang w:val="es-ES_tradnl" w:eastAsia="ja-JP"/>
              </w:rPr>
              <w:t>748</w:t>
            </w:r>
          </w:p>
        </w:tc>
        <w:tc>
          <w:tcPr>
            <w:tcW w:w="1943" w:type="dxa"/>
            <w:gridSpan w:val="2"/>
            <w:tcBorders>
              <w:top w:val="single" w:sz="4" w:space="0" w:color="auto"/>
              <w:left w:val="single" w:sz="4" w:space="0" w:color="auto"/>
              <w:bottom w:val="single" w:sz="4" w:space="0" w:color="auto"/>
              <w:right w:val="single" w:sz="4" w:space="0" w:color="auto"/>
            </w:tcBorders>
            <w:hideMark/>
          </w:tcPr>
          <w:p w14:paraId="07C6A2F0"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rPr>
              <w:t>F.</w:t>
            </w:r>
            <w:r w:rsidRPr="00140923">
              <w:rPr>
                <w:sz w:val="18"/>
                <w:szCs w:val="18"/>
                <w:lang w:val="es-ES_tradnl" w:eastAsia="ja-JP"/>
              </w:rPr>
              <w:t>1520</w:t>
            </w:r>
          </w:p>
        </w:tc>
      </w:tr>
      <w:tr w:rsidR="002B37E9" w:rsidRPr="00140923" w14:paraId="7C6D21E0"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A27652" w14:textId="77777777" w:rsidR="002B37E9" w:rsidRPr="00140923" w:rsidRDefault="002B37E9" w:rsidP="00480606">
            <w:pPr>
              <w:pStyle w:val="Tabletext"/>
              <w:keepNext/>
              <w:keepLines/>
              <w:jc w:val="left"/>
              <w:rPr>
                <w:sz w:val="18"/>
                <w:szCs w:val="18"/>
                <w:lang w:val="es-ES_tradnl"/>
              </w:rPr>
            </w:pPr>
            <w:r w:rsidRPr="00140923">
              <w:rPr>
                <w:sz w:val="18"/>
                <w:szCs w:val="18"/>
                <w:lang w:val="es-ES_tradnl"/>
              </w:rPr>
              <w:t>Modulación</w:t>
            </w:r>
          </w:p>
        </w:tc>
        <w:tc>
          <w:tcPr>
            <w:tcW w:w="1385" w:type="dxa"/>
            <w:tcBorders>
              <w:top w:val="single" w:sz="4" w:space="0" w:color="auto"/>
              <w:left w:val="single" w:sz="4" w:space="0" w:color="auto"/>
              <w:bottom w:val="single" w:sz="4" w:space="0" w:color="auto"/>
              <w:right w:val="single" w:sz="4" w:space="0" w:color="auto"/>
            </w:tcBorders>
            <w:hideMark/>
          </w:tcPr>
          <w:p w14:paraId="60A201B4" w14:textId="69D2A313"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MDP-4</w:t>
            </w:r>
          </w:p>
        </w:tc>
        <w:tc>
          <w:tcPr>
            <w:tcW w:w="1110" w:type="dxa"/>
            <w:tcBorders>
              <w:top w:val="single" w:sz="4" w:space="0" w:color="auto"/>
              <w:left w:val="single" w:sz="4" w:space="0" w:color="auto"/>
              <w:bottom w:val="single" w:sz="4" w:space="0" w:color="auto"/>
              <w:right w:val="single" w:sz="4" w:space="0" w:color="auto"/>
            </w:tcBorders>
            <w:hideMark/>
          </w:tcPr>
          <w:p w14:paraId="42282F08"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MAQ-128</w:t>
            </w:r>
          </w:p>
        </w:tc>
        <w:tc>
          <w:tcPr>
            <w:tcW w:w="1219" w:type="dxa"/>
            <w:tcBorders>
              <w:top w:val="single" w:sz="4" w:space="0" w:color="auto"/>
              <w:left w:val="single" w:sz="4" w:space="0" w:color="auto"/>
              <w:bottom w:val="single" w:sz="4" w:space="0" w:color="auto"/>
              <w:right w:val="single" w:sz="4" w:space="0" w:color="auto"/>
            </w:tcBorders>
            <w:hideMark/>
          </w:tcPr>
          <w:p w14:paraId="1AA11B2D"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MDP-4</w:t>
            </w:r>
          </w:p>
        </w:tc>
        <w:tc>
          <w:tcPr>
            <w:tcW w:w="1219" w:type="dxa"/>
            <w:tcBorders>
              <w:top w:val="single" w:sz="4" w:space="0" w:color="auto"/>
              <w:left w:val="single" w:sz="4" w:space="0" w:color="auto"/>
              <w:bottom w:val="single" w:sz="4" w:space="0" w:color="auto"/>
              <w:right w:val="single" w:sz="4" w:space="0" w:color="auto"/>
            </w:tcBorders>
            <w:hideMark/>
          </w:tcPr>
          <w:p w14:paraId="319C5BF3"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MAQ-64</w:t>
            </w:r>
          </w:p>
        </w:tc>
        <w:tc>
          <w:tcPr>
            <w:tcW w:w="999" w:type="dxa"/>
            <w:tcBorders>
              <w:top w:val="single" w:sz="4" w:space="0" w:color="auto"/>
              <w:left w:val="single" w:sz="4" w:space="0" w:color="auto"/>
              <w:bottom w:val="single" w:sz="4" w:space="0" w:color="auto"/>
              <w:right w:val="single" w:sz="4" w:space="0" w:color="auto"/>
            </w:tcBorders>
            <w:hideMark/>
          </w:tcPr>
          <w:p w14:paraId="56804182" w14:textId="157D923B"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MDP-4</w:t>
            </w:r>
          </w:p>
        </w:tc>
        <w:tc>
          <w:tcPr>
            <w:tcW w:w="1110" w:type="dxa"/>
            <w:tcBorders>
              <w:top w:val="single" w:sz="4" w:space="0" w:color="auto"/>
              <w:left w:val="single" w:sz="4" w:space="0" w:color="auto"/>
              <w:bottom w:val="single" w:sz="4" w:space="0" w:color="auto"/>
              <w:right w:val="single" w:sz="4" w:space="0" w:color="auto"/>
            </w:tcBorders>
            <w:hideMark/>
          </w:tcPr>
          <w:p w14:paraId="115DF5F7"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MAQ-128</w:t>
            </w:r>
          </w:p>
        </w:tc>
        <w:tc>
          <w:tcPr>
            <w:tcW w:w="1165" w:type="dxa"/>
            <w:tcBorders>
              <w:top w:val="single" w:sz="4" w:space="0" w:color="auto"/>
              <w:left w:val="single" w:sz="4" w:space="0" w:color="auto"/>
              <w:bottom w:val="single" w:sz="4" w:space="0" w:color="auto"/>
              <w:right w:val="single" w:sz="4" w:space="0" w:color="auto"/>
            </w:tcBorders>
            <w:hideMark/>
          </w:tcPr>
          <w:p w14:paraId="5CB1C11F"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MAQ-16</w:t>
            </w:r>
            <w:r w:rsidRPr="00140923">
              <w:rPr>
                <w:sz w:val="18"/>
                <w:szCs w:val="18"/>
                <w:vertAlign w:val="superscript"/>
                <w:lang w:val="es-ES_tradnl" w:eastAsia="ja-JP"/>
              </w:rPr>
              <w:t>(4)</w:t>
            </w:r>
          </w:p>
        </w:tc>
        <w:tc>
          <w:tcPr>
            <w:tcW w:w="1197" w:type="dxa"/>
            <w:tcBorders>
              <w:top w:val="single" w:sz="4" w:space="0" w:color="auto"/>
              <w:left w:val="single" w:sz="4" w:space="0" w:color="auto"/>
              <w:bottom w:val="single" w:sz="4" w:space="0" w:color="auto"/>
              <w:right w:val="single" w:sz="4" w:space="0" w:color="auto"/>
            </w:tcBorders>
            <w:hideMark/>
          </w:tcPr>
          <w:p w14:paraId="2A4AAB8A"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MAQ-128</w:t>
            </w:r>
            <w:r w:rsidRPr="00140923">
              <w:rPr>
                <w:sz w:val="18"/>
                <w:szCs w:val="18"/>
                <w:vertAlign w:val="superscript"/>
                <w:lang w:val="es-ES_tradnl" w:eastAsia="ja-JP"/>
              </w:rPr>
              <w:t>(5)</w:t>
            </w:r>
          </w:p>
        </w:tc>
        <w:tc>
          <w:tcPr>
            <w:tcW w:w="992" w:type="dxa"/>
            <w:tcBorders>
              <w:top w:val="single" w:sz="4" w:space="0" w:color="auto"/>
              <w:left w:val="single" w:sz="4" w:space="0" w:color="auto"/>
              <w:bottom w:val="single" w:sz="4" w:space="0" w:color="auto"/>
              <w:right w:val="single" w:sz="4" w:space="0" w:color="auto"/>
            </w:tcBorders>
            <w:hideMark/>
          </w:tcPr>
          <w:p w14:paraId="0DA3887B"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MDP-4</w:t>
            </w:r>
          </w:p>
        </w:tc>
        <w:tc>
          <w:tcPr>
            <w:tcW w:w="951" w:type="dxa"/>
            <w:tcBorders>
              <w:top w:val="single" w:sz="4" w:space="0" w:color="auto"/>
              <w:left w:val="single" w:sz="4" w:space="0" w:color="auto"/>
              <w:bottom w:val="single" w:sz="4" w:space="0" w:color="auto"/>
              <w:right w:val="single" w:sz="4" w:space="0" w:color="auto"/>
            </w:tcBorders>
            <w:hideMark/>
          </w:tcPr>
          <w:p w14:paraId="55B784C3" w14:textId="77777777" w:rsidR="002B37E9" w:rsidRPr="00140923" w:rsidRDefault="002B37E9" w:rsidP="00480606">
            <w:pPr>
              <w:pStyle w:val="Tabletext"/>
              <w:keepNext/>
              <w:keepLines/>
              <w:ind w:left="-57" w:right="-57"/>
              <w:jc w:val="center"/>
              <w:rPr>
                <w:sz w:val="18"/>
                <w:szCs w:val="18"/>
                <w:lang w:val="es-ES_tradnl" w:eastAsia="ja-JP"/>
              </w:rPr>
            </w:pPr>
            <w:r w:rsidRPr="00140923">
              <w:rPr>
                <w:sz w:val="18"/>
                <w:szCs w:val="18"/>
                <w:lang w:val="es-ES_tradnl" w:eastAsia="ja-JP"/>
              </w:rPr>
              <w:t>MAQ-256</w:t>
            </w:r>
          </w:p>
        </w:tc>
      </w:tr>
      <w:tr w:rsidR="002B37E9" w:rsidRPr="00140923" w14:paraId="62947CA1"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B983F1" w14:textId="77777777" w:rsidR="002B37E9" w:rsidRPr="00140923" w:rsidRDefault="002B37E9" w:rsidP="00480606">
            <w:pPr>
              <w:pStyle w:val="Tabletext"/>
              <w:keepNext/>
              <w:keepLines/>
              <w:jc w:val="left"/>
              <w:rPr>
                <w:sz w:val="18"/>
                <w:szCs w:val="18"/>
                <w:lang w:val="es-ES_tradnl"/>
              </w:rPr>
            </w:pPr>
            <w:r w:rsidRPr="00140923">
              <w:rPr>
                <w:sz w:val="18"/>
                <w:szCs w:val="18"/>
                <w:lang w:val="es-ES_tradnl"/>
              </w:rPr>
              <w:t>Separación de canales y anchura de banda de ruido del receptor (MHz)</w:t>
            </w:r>
          </w:p>
        </w:tc>
        <w:tc>
          <w:tcPr>
            <w:tcW w:w="1385" w:type="dxa"/>
            <w:tcBorders>
              <w:top w:val="single" w:sz="4" w:space="0" w:color="auto"/>
              <w:left w:val="single" w:sz="4" w:space="0" w:color="auto"/>
              <w:bottom w:val="single" w:sz="4" w:space="0" w:color="auto"/>
              <w:right w:val="single" w:sz="4" w:space="0" w:color="auto"/>
            </w:tcBorders>
            <w:hideMark/>
          </w:tcPr>
          <w:p w14:paraId="450767E0"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2,</w:t>
            </w:r>
            <w:r w:rsidRPr="00140923">
              <w:rPr>
                <w:sz w:val="18"/>
                <w:szCs w:val="18"/>
                <w:lang w:val="es-ES_tradnl"/>
              </w:rPr>
              <w:t>5</w:t>
            </w:r>
            <w:r w:rsidRPr="00140923">
              <w:rPr>
                <w:sz w:val="18"/>
                <w:szCs w:val="18"/>
                <w:lang w:val="es-ES_tradnl" w:eastAsia="ja-JP"/>
              </w:rPr>
              <w:t xml:space="preserve">; </w:t>
            </w:r>
            <w:r w:rsidRPr="00140923">
              <w:rPr>
                <w:b/>
                <w:sz w:val="18"/>
                <w:szCs w:val="18"/>
                <w:lang w:val="es-ES_tradnl" w:eastAsia="ja-JP"/>
              </w:rPr>
              <w:t>3,5</w:t>
            </w:r>
            <w:r w:rsidRPr="00140923">
              <w:rPr>
                <w:sz w:val="18"/>
                <w:szCs w:val="18"/>
                <w:lang w:val="es-ES_tradnl" w:eastAsia="ja-JP"/>
              </w:rPr>
              <w:t>; 7; 14; 28, 40, 56, 112</w:t>
            </w:r>
          </w:p>
        </w:tc>
        <w:tc>
          <w:tcPr>
            <w:tcW w:w="1110" w:type="dxa"/>
            <w:tcBorders>
              <w:top w:val="single" w:sz="4" w:space="0" w:color="auto"/>
              <w:left w:val="single" w:sz="4" w:space="0" w:color="auto"/>
              <w:bottom w:val="single" w:sz="4" w:space="0" w:color="auto"/>
              <w:right w:val="single" w:sz="4" w:space="0" w:color="auto"/>
            </w:tcBorders>
            <w:hideMark/>
          </w:tcPr>
          <w:p w14:paraId="4828E67A" w14:textId="77777777" w:rsidR="002B37E9" w:rsidRPr="00140923" w:rsidRDefault="002B37E9" w:rsidP="00480606">
            <w:pPr>
              <w:pStyle w:val="Tabletext"/>
              <w:keepNext/>
              <w:keepLines/>
              <w:jc w:val="center"/>
              <w:rPr>
                <w:bCs/>
                <w:sz w:val="18"/>
                <w:szCs w:val="18"/>
                <w:lang w:val="es-ES_tradnl"/>
              </w:rPr>
            </w:pPr>
            <w:r w:rsidRPr="00140923">
              <w:rPr>
                <w:sz w:val="18"/>
                <w:szCs w:val="18"/>
                <w:lang w:val="es-ES_tradnl" w:eastAsia="ja-JP"/>
              </w:rPr>
              <w:t>2,</w:t>
            </w:r>
            <w:r w:rsidRPr="00140923">
              <w:rPr>
                <w:sz w:val="18"/>
                <w:szCs w:val="18"/>
                <w:lang w:val="es-ES_tradnl"/>
              </w:rPr>
              <w:t>5</w:t>
            </w:r>
            <w:r w:rsidRPr="00140923">
              <w:rPr>
                <w:sz w:val="18"/>
                <w:szCs w:val="18"/>
                <w:lang w:val="es-ES_tradnl" w:eastAsia="ja-JP"/>
              </w:rPr>
              <w:t xml:space="preserve">; 3,5; 7; 14; </w:t>
            </w:r>
            <w:r w:rsidRPr="00140923">
              <w:rPr>
                <w:b/>
                <w:sz w:val="18"/>
                <w:szCs w:val="18"/>
                <w:lang w:val="es-ES_tradnl" w:eastAsia="ja-JP"/>
              </w:rPr>
              <w:t>28;</w:t>
            </w:r>
            <w:r w:rsidRPr="00140923">
              <w:rPr>
                <w:bCs/>
                <w:sz w:val="18"/>
                <w:szCs w:val="18"/>
                <w:lang w:val="es-ES_tradnl" w:eastAsia="ja-JP"/>
              </w:rPr>
              <w:t xml:space="preserve"> 40</w:t>
            </w:r>
            <w:r w:rsidRPr="00140923">
              <w:rPr>
                <w:sz w:val="18"/>
                <w:szCs w:val="18"/>
                <w:lang w:val="es-ES_tradnl" w:eastAsia="ja-JP"/>
              </w:rPr>
              <w:t>, 56, 112</w:t>
            </w:r>
          </w:p>
        </w:tc>
        <w:tc>
          <w:tcPr>
            <w:tcW w:w="1219" w:type="dxa"/>
            <w:tcBorders>
              <w:top w:val="single" w:sz="4" w:space="0" w:color="auto"/>
              <w:left w:val="single" w:sz="4" w:space="0" w:color="auto"/>
              <w:bottom w:val="single" w:sz="4" w:space="0" w:color="auto"/>
              <w:right w:val="single" w:sz="4" w:space="0" w:color="auto"/>
            </w:tcBorders>
            <w:hideMark/>
          </w:tcPr>
          <w:p w14:paraId="641EA897" w14:textId="545DDB3B" w:rsidR="002B37E9" w:rsidRPr="00140923" w:rsidRDefault="002B37E9" w:rsidP="00480606">
            <w:pPr>
              <w:pStyle w:val="Tabletext"/>
              <w:keepNext/>
              <w:keepLines/>
              <w:jc w:val="center"/>
              <w:rPr>
                <w:sz w:val="18"/>
                <w:szCs w:val="18"/>
                <w:lang w:val="es-ES_tradnl"/>
              </w:rPr>
            </w:pPr>
            <w:r w:rsidRPr="00140923">
              <w:rPr>
                <w:sz w:val="18"/>
                <w:szCs w:val="18"/>
                <w:lang w:val="es-ES_tradnl"/>
              </w:rPr>
              <w:t xml:space="preserve">1,25; 1,75; 2,5; 3,5; 5; </w:t>
            </w:r>
            <w:r w:rsidRPr="00140923">
              <w:rPr>
                <w:b/>
                <w:bCs/>
                <w:sz w:val="18"/>
                <w:szCs w:val="18"/>
                <w:lang w:val="es-ES_tradnl"/>
              </w:rPr>
              <w:t>7</w:t>
            </w:r>
            <w:r w:rsidRPr="00140923">
              <w:rPr>
                <w:sz w:val="18"/>
                <w:szCs w:val="18"/>
                <w:lang w:val="es-ES_tradnl"/>
              </w:rPr>
              <w:t xml:space="preserve">; 7,5; 10; 13,75; 20; </w:t>
            </w:r>
            <w:r w:rsidRPr="00140923">
              <w:rPr>
                <w:b/>
                <w:bCs/>
                <w:sz w:val="18"/>
                <w:szCs w:val="18"/>
                <w:lang w:val="es-ES_tradnl"/>
              </w:rPr>
              <w:t>27,5</w:t>
            </w:r>
            <w:r w:rsidRPr="00140923">
              <w:rPr>
                <w:sz w:val="18"/>
                <w:szCs w:val="18"/>
                <w:lang w:val="es-ES_tradnl"/>
              </w:rPr>
              <w:t xml:space="preserve">; 30; </w:t>
            </w:r>
            <w:r w:rsidRPr="00140923">
              <w:rPr>
                <w:b/>
                <w:bCs/>
                <w:sz w:val="18"/>
                <w:szCs w:val="18"/>
                <w:lang w:val="es-ES_tradnl"/>
              </w:rPr>
              <w:t>40</w:t>
            </w:r>
            <w:r w:rsidRPr="00140923">
              <w:rPr>
                <w:sz w:val="18"/>
                <w:szCs w:val="18"/>
                <w:lang w:val="es-ES_tradnl"/>
              </w:rPr>
              <w:t xml:space="preserve">; 50; </w:t>
            </w:r>
            <w:r w:rsidRPr="00140923">
              <w:rPr>
                <w:b/>
                <w:bCs/>
                <w:sz w:val="18"/>
                <w:szCs w:val="18"/>
                <w:lang w:val="es-ES_tradnl"/>
              </w:rPr>
              <w:t>55</w:t>
            </w:r>
            <w:r w:rsidRPr="00140923">
              <w:rPr>
                <w:sz w:val="18"/>
                <w:szCs w:val="18"/>
                <w:lang w:val="es-ES_tradnl"/>
              </w:rPr>
              <w:t>; 60</w:t>
            </w:r>
            <w:r w:rsidRPr="00140923">
              <w:rPr>
                <w:sz w:val="18"/>
                <w:szCs w:val="18"/>
                <w:vertAlign w:val="superscript"/>
                <w:lang w:val="es-ES_tradnl"/>
              </w:rPr>
              <w:t>(6)</w:t>
            </w:r>
            <w:r w:rsidRPr="00140923">
              <w:rPr>
                <w:sz w:val="18"/>
                <w:szCs w:val="18"/>
                <w:lang w:val="es-ES_tradnl"/>
              </w:rPr>
              <w:t xml:space="preserve">; </w:t>
            </w:r>
            <w:r w:rsidRPr="00140923">
              <w:rPr>
                <w:b/>
                <w:bCs/>
                <w:sz w:val="18"/>
                <w:szCs w:val="18"/>
                <w:lang w:val="es-ES_tradnl"/>
              </w:rPr>
              <w:t>110</w:t>
            </w:r>
            <w:r w:rsidRPr="00140923">
              <w:rPr>
                <w:sz w:val="18"/>
                <w:szCs w:val="18"/>
                <w:lang w:val="es-ES_tradnl"/>
              </w:rPr>
              <w:t>; 220</w:t>
            </w:r>
          </w:p>
        </w:tc>
        <w:tc>
          <w:tcPr>
            <w:tcW w:w="1219" w:type="dxa"/>
            <w:tcBorders>
              <w:top w:val="single" w:sz="4" w:space="0" w:color="auto"/>
              <w:left w:val="single" w:sz="4" w:space="0" w:color="auto"/>
              <w:bottom w:val="single" w:sz="4" w:space="0" w:color="auto"/>
              <w:right w:val="single" w:sz="4" w:space="0" w:color="auto"/>
            </w:tcBorders>
            <w:hideMark/>
          </w:tcPr>
          <w:p w14:paraId="073693A2" w14:textId="1E9858E3" w:rsidR="002B37E9" w:rsidRPr="00140923" w:rsidRDefault="002B37E9" w:rsidP="00480606">
            <w:pPr>
              <w:pStyle w:val="Tabletext"/>
              <w:keepNext/>
              <w:keepLines/>
              <w:jc w:val="center"/>
              <w:rPr>
                <w:sz w:val="18"/>
                <w:szCs w:val="18"/>
                <w:lang w:val="es-ES_tradnl" w:eastAsia="ja-JP"/>
              </w:rPr>
            </w:pPr>
            <w:r w:rsidRPr="00140923">
              <w:rPr>
                <w:caps/>
                <w:sz w:val="18"/>
                <w:szCs w:val="18"/>
                <w:lang w:val="es-ES_tradnl" w:eastAsia="ja-JP"/>
              </w:rPr>
              <w:t xml:space="preserve">1,25; 1,75; 2,5; 3,5; 5; 7; 7,5; 10; 13,75; 20; 27,5; 30; </w:t>
            </w:r>
            <w:r w:rsidRPr="00140923">
              <w:rPr>
                <w:b/>
                <w:caps/>
                <w:sz w:val="18"/>
                <w:szCs w:val="18"/>
                <w:lang w:val="es-ES_tradnl" w:eastAsia="ja-JP"/>
              </w:rPr>
              <w:t>40</w:t>
            </w:r>
            <w:r w:rsidRPr="00140923">
              <w:rPr>
                <w:caps/>
                <w:sz w:val="18"/>
                <w:szCs w:val="18"/>
                <w:lang w:val="es-ES_tradnl" w:eastAsia="ja-JP"/>
              </w:rPr>
              <w:t>; 50; 55; 60</w:t>
            </w:r>
            <w:r w:rsidRPr="00140923">
              <w:rPr>
                <w:caps/>
                <w:sz w:val="18"/>
                <w:szCs w:val="18"/>
                <w:vertAlign w:val="superscript"/>
                <w:lang w:val="es-ES_tradnl" w:eastAsia="ja-JP"/>
              </w:rPr>
              <w:t>(6)</w:t>
            </w:r>
            <w:r w:rsidRPr="00140923">
              <w:rPr>
                <w:caps/>
                <w:sz w:val="18"/>
                <w:szCs w:val="18"/>
                <w:lang w:val="es-ES_tradnl" w:eastAsia="ja-JP"/>
              </w:rPr>
              <w:t>; 110; 220</w:t>
            </w:r>
          </w:p>
        </w:tc>
        <w:tc>
          <w:tcPr>
            <w:tcW w:w="999" w:type="dxa"/>
            <w:tcBorders>
              <w:top w:val="single" w:sz="4" w:space="0" w:color="auto"/>
              <w:left w:val="single" w:sz="4" w:space="0" w:color="auto"/>
              <w:bottom w:val="single" w:sz="4" w:space="0" w:color="auto"/>
              <w:right w:val="single" w:sz="4" w:space="0" w:color="auto"/>
            </w:tcBorders>
            <w:hideMark/>
          </w:tcPr>
          <w:p w14:paraId="53CA5B1B"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2</w:t>
            </w:r>
            <w:r w:rsidRPr="00140923">
              <w:rPr>
                <w:sz w:val="18"/>
                <w:szCs w:val="18"/>
                <w:lang w:val="es-ES_tradnl"/>
              </w:rPr>
              <w:t>,5</w:t>
            </w:r>
            <w:r w:rsidRPr="00140923">
              <w:rPr>
                <w:sz w:val="18"/>
                <w:szCs w:val="18"/>
                <w:lang w:val="es-ES_tradnl" w:eastAsia="ja-JP"/>
              </w:rPr>
              <w:t>; 3,5; 7; 14;</w:t>
            </w:r>
            <w:r w:rsidRPr="00140923">
              <w:rPr>
                <w:b/>
                <w:sz w:val="18"/>
                <w:szCs w:val="18"/>
                <w:lang w:val="es-ES_tradnl" w:eastAsia="ja-JP"/>
              </w:rPr>
              <w:t xml:space="preserve"> 25</w:t>
            </w:r>
            <w:r w:rsidRPr="00140923">
              <w:rPr>
                <w:caps/>
                <w:sz w:val="18"/>
                <w:szCs w:val="18"/>
                <w:vertAlign w:val="superscript"/>
                <w:lang w:val="es-ES_tradnl" w:eastAsia="ja-JP"/>
              </w:rPr>
              <w:t>(3)</w:t>
            </w:r>
            <w:r w:rsidRPr="00140923">
              <w:rPr>
                <w:sz w:val="18"/>
                <w:szCs w:val="18"/>
                <w:lang w:val="es-ES_tradnl" w:eastAsia="ja-JP"/>
              </w:rPr>
              <w:t>; 28; 30; 50; 56; 112; 224</w:t>
            </w:r>
          </w:p>
        </w:tc>
        <w:tc>
          <w:tcPr>
            <w:tcW w:w="1110" w:type="dxa"/>
            <w:tcBorders>
              <w:top w:val="single" w:sz="4" w:space="0" w:color="auto"/>
              <w:left w:val="single" w:sz="4" w:space="0" w:color="auto"/>
              <w:bottom w:val="single" w:sz="4" w:space="0" w:color="auto"/>
              <w:right w:val="single" w:sz="4" w:space="0" w:color="auto"/>
            </w:tcBorders>
            <w:hideMark/>
          </w:tcPr>
          <w:p w14:paraId="15160FED"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2</w:t>
            </w:r>
            <w:r w:rsidRPr="00140923">
              <w:rPr>
                <w:sz w:val="18"/>
                <w:szCs w:val="18"/>
                <w:lang w:val="es-ES_tradnl"/>
              </w:rPr>
              <w:t>,5</w:t>
            </w:r>
            <w:r w:rsidRPr="00140923">
              <w:rPr>
                <w:sz w:val="18"/>
                <w:szCs w:val="18"/>
                <w:lang w:val="es-ES_tradnl" w:eastAsia="ja-JP"/>
              </w:rPr>
              <w:t xml:space="preserve">; 3,5; 7; 14; 28; </w:t>
            </w:r>
            <w:r w:rsidRPr="00140923">
              <w:rPr>
                <w:b/>
                <w:sz w:val="18"/>
                <w:szCs w:val="18"/>
                <w:lang w:val="es-ES_tradnl" w:eastAsia="ja-JP"/>
              </w:rPr>
              <w:t>30</w:t>
            </w:r>
            <w:r w:rsidRPr="00140923">
              <w:rPr>
                <w:caps/>
                <w:sz w:val="18"/>
                <w:szCs w:val="18"/>
                <w:vertAlign w:val="superscript"/>
                <w:lang w:val="es-ES_tradnl" w:eastAsia="ja-JP"/>
              </w:rPr>
              <w:t>(3)</w:t>
            </w:r>
            <w:r w:rsidRPr="00140923">
              <w:rPr>
                <w:sz w:val="18"/>
                <w:szCs w:val="18"/>
                <w:lang w:val="es-ES_tradnl" w:eastAsia="ja-JP"/>
              </w:rPr>
              <w:t>; 50; 56; 112; 224</w:t>
            </w:r>
          </w:p>
        </w:tc>
        <w:tc>
          <w:tcPr>
            <w:tcW w:w="1165" w:type="dxa"/>
            <w:tcBorders>
              <w:top w:val="single" w:sz="4" w:space="0" w:color="auto"/>
              <w:left w:val="single" w:sz="4" w:space="0" w:color="auto"/>
              <w:bottom w:val="single" w:sz="4" w:space="0" w:color="auto"/>
              <w:right w:val="single" w:sz="4" w:space="0" w:color="auto"/>
            </w:tcBorders>
            <w:hideMark/>
          </w:tcPr>
          <w:p w14:paraId="0A6DA6E8" w14:textId="77777777" w:rsidR="002B37E9" w:rsidRPr="00140923" w:rsidRDefault="002B37E9" w:rsidP="00480606">
            <w:pPr>
              <w:pStyle w:val="Tabletext"/>
              <w:keepNext/>
              <w:keepLines/>
              <w:jc w:val="center"/>
              <w:rPr>
                <w:sz w:val="18"/>
                <w:szCs w:val="18"/>
                <w:lang w:val="es-ES_tradnl"/>
              </w:rPr>
            </w:pPr>
            <w:r w:rsidRPr="00140923">
              <w:rPr>
                <w:sz w:val="18"/>
                <w:szCs w:val="18"/>
                <w:lang w:val="es-ES_tradnl" w:eastAsia="ja-JP"/>
              </w:rPr>
              <w:t>2</w:t>
            </w:r>
            <w:r w:rsidRPr="00140923">
              <w:rPr>
                <w:sz w:val="18"/>
                <w:szCs w:val="18"/>
                <w:lang w:val="es-ES_tradnl"/>
              </w:rPr>
              <w:t>,5</w:t>
            </w:r>
            <w:r w:rsidRPr="00140923">
              <w:rPr>
                <w:sz w:val="18"/>
                <w:szCs w:val="18"/>
                <w:lang w:val="es-ES_tradnl" w:eastAsia="ja-JP"/>
              </w:rPr>
              <w:t>; 3,5; 7; 14; 28; 30; 40</w:t>
            </w:r>
            <w:r w:rsidRPr="00140923">
              <w:rPr>
                <w:caps/>
                <w:sz w:val="18"/>
                <w:szCs w:val="18"/>
                <w:vertAlign w:val="superscript"/>
                <w:lang w:val="es-ES_tradnl" w:eastAsia="ja-JP"/>
              </w:rPr>
              <w:t>(6)</w:t>
            </w:r>
            <w:r w:rsidRPr="00140923">
              <w:rPr>
                <w:sz w:val="18"/>
                <w:szCs w:val="18"/>
                <w:lang w:val="es-ES_tradnl" w:eastAsia="ja-JP"/>
              </w:rPr>
              <w:t xml:space="preserve">; 56; </w:t>
            </w:r>
            <w:r w:rsidRPr="00140923">
              <w:rPr>
                <w:b/>
                <w:sz w:val="18"/>
                <w:szCs w:val="18"/>
                <w:lang w:val="es-ES_tradnl" w:eastAsia="ja-JP"/>
              </w:rPr>
              <w:t>60</w:t>
            </w:r>
            <w:r w:rsidRPr="00140923">
              <w:rPr>
                <w:caps/>
                <w:sz w:val="18"/>
                <w:szCs w:val="18"/>
                <w:vertAlign w:val="superscript"/>
                <w:lang w:val="es-ES_tradnl" w:eastAsia="ja-JP"/>
              </w:rPr>
              <w:t>(6)</w:t>
            </w:r>
            <w:r w:rsidRPr="00140923">
              <w:rPr>
                <w:sz w:val="18"/>
                <w:szCs w:val="18"/>
                <w:lang w:val="es-ES_tradnl" w:eastAsia="ja-JP"/>
              </w:rPr>
              <w:t>; 112</w:t>
            </w:r>
          </w:p>
        </w:tc>
        <w:tc>
          <w:tcPr>
            <w:tcW w:w="1197" w:type="dxa"/>
            <w:tcBorders>
              <w:top w:val="single" w:sz="4" w:space="0" w:color="auto"/>
              <w:left w:val="single" w:sz="4" w:space="0" w:color="auto"/>
              <w:bottom w:val="single" w:sz="4" w:space="0" w:color="auto"/>
              <w:right w:val="single" w:sz="4" w:space="0" w:color="auto"/>
            </w:tcBorders>
            <w:hideMark/>
          </w:tcPr>
          <w:p w14:paraId="2BA8C16A" w14:textId="77777777" w:rsidR="002B37E9" w:rsidRPr="00140923" w:rsidRDefault="002B37E9" w:rsidP="00480606">
            <w:pPr>
              <w:pStyle w:val="Tabletext"/>
              <w:keepNext/>
              <w:keepLines/>
              <w:jc w:val="center"/>
              <w:rPr>
                <w:sz w:val="18"/>
                <w:szCs w:val="18"/>
                <w:lang w:val="es-ES_tradnl"/>
              </w:rPr>
            </w:pPr>
            <w:r w:rsidRPr="00140923">
              <w:rPr>
                <w:sz w:val="18"/>
                <w:szCs w:val="18"/>
                <w:lang w:val="es-ES_tradnl" w:eastAsia="ja-JP"/>
              </w:rPr>
              <w:t>2</w:t>
            </w:r>
            <w:r w:rsidRPr="00140923">
              <w:rPr>
                <w:sz w:val="18"/>
                <w:szCs w:val="18"/>
                <w:lang w:val="es-ES_tradnl"/>
              </w:rPr>
              <w:t>,5</w:t>
            </w:r>
            <w:r w:rsidRPr="00140923">
              <w:rPr>
                <w:sz w:val="18"/>
                <w:szCs w:val="18"/>
                <w:lang w:val="es-ES_tradnl" w:eastAsia="ja-JP"/>
              </w:rPr>
              <w:t xml:space="preserve">; 3,5; 7; 14; 28; </w:t>
            </w:r>
            <w:r w:rsidRPr="00140923">
              <w:rPr>
                <w:b/>
                <w:bCs/>
                <w:sz w:val="18"/>
                <w:szCs w:val="18"/>
                <w:lang w:val="es-ES_tradnl" w:eastAsia="ja-JP"/>
              </w:rPr>
              <w:t>30</w:t>
            </w:r>
            <w:r w:rsidRPr="00140923">
              <w:rPr>
                <w:sz w:val="18"/>
                <w:szCs w:val="18"/>
                <w:lang w:val="es-ES_tradnl" w:eastAsia="ja-JP"/>
              </w:rPr>
              <w:t>; 40</w:t>
            </w:r>
            <w:r w:rsidRPr="00140923">
              <w:rPr>
                <w:caps/>
                <w:sz w:val="18"/>
                <w:szCs w:val="18"/>
                <w:vertAlign w:val="superscript"/>
                <w:lang w:val="es-ES_tradnl"/>
              </w:rPr>
              <w:t>(</w:t>
            </w:r>
            <w:r w:rsidRPr="00140923">
              <w:rPr>
                <w:caps/>
                <w:sz w:val="18"/>
                <w:szCs w:val="18"/>
                <w:vertAlign w:val="superscript"/>
                <w:lang w:val="es-ES_tradnl" w:eastAsia="ja-JP"/>
              </w:rPr>
              <w:t>4)(6</w:t>
            </w:r>
            <w:r w:rsidRPr="00140923">
              <w:rPr>
                <w:caps/>
                <w:sz w:val="18"/>
                <w:szCs w:val="18"/>
                <w:vertAlign w:val="superscript"/>
                <w:lang w:val="es-ES_tradnl"/>
              </w:rPr>
              <w:t>)</w:t>
            </w:r>
            <w:r w:rsidRPr="00140923">
              <w:rPr>
                <w:sz w:val="18"/>
                <w:szCs w:val="18"/>
                <w:lang w:val="es-ES_tradnl" w:eastAsia="ja-JP"/>
              </w:rPr>
              <w:t xml:space="preserve">; 56; </w:t>
            </w:r>
            <w:r w:rsidRPr="00480606">
              <w:rPr>
                <w:b/>
                <w:bCs/>
                <w:sz w:val="18"/>
                <w:szCs w:val="18"/>
                <w:lang w:val="es-ES_tradnl" w:eastAsia="ja-JP"/>
              </w:rPr>
              <w:t>60</w:t>
            </w:r>
            <w:r w:rsidRPr="00140923">
              <w:rPr>
                <w:caps/>
                <w:sz w:val="18"/>
                <w:szCs w:val="18"/>
                <w:vertAlign w:val="superscript"/>
                <w:lang w:val="es-ES_tradnl"/>
              </w:rPr>
              <w:t>(</w:t>
            </w:r>
            <w:r w:rsidRPr="00140923">
              <w:rPr>
                <w:caps/>
                <w:sz w:val="18"/>
                <w:szCs w:val="18"/>
                <w:vertAlign w:val="superscript"/>
                <w:lang w:val="es-ES_tradnl" w:eastAsia="ja-JP"/>
              </w:rPr>
              <w:t>4)(6</w:t>
            </w:r>
            <w:r w:rsidRPr="00140923">
              <w:rPr>
                <w:caps/>
                <w:sz w:val="18"/>
                <w:szCs w:val="18"/>
                <w:vertAlign w:val="superscript"/>
                <w:lang w:val="es-ES_tradnl"/>
              </w:rPr>
              <w:t>)</w:t>
            </w:r>
            <w:r w:rsidRPr="00140923">
              <w:rPr>
                <w:sz w:val="18"/>
                <w:szCs w:val="18"/>
                <w:lang w:val="es-ES_tradnl" w:eastAsia="ja-JP"/>
              </w:rPr>
              <w:t xml:space="preserve">; </w:t>
            </w:r>
            <w:r w:rsidRPr="00480606">
              <w:rPr>
                <w:b/>
                <w:bCs/>
                <w:sz w:val="18"/>
                <w:szCs w:val="18"/>
                <w:lang w:val="es-ES_tradnl" w:eastAsia="ja-JP"/>
              </w:rPr>
              <w:t>112</w:t>
            </w:r>
          </w:p>
        </w:tc>
        <w:tc>
          <w:tcPr>
            <w:tcW w:w="992" w:type="dxa"/>
            <w:tcBorders>
              <w:top w:val="single" w:sz="4" w:space="0" w:color="auto"/>
              <w:left w:val="single" w:sz="4" w:space="0" w:color="auto"/>
              <w:bottom w:val="single" w:sz="4" w:space="0" w:color="auto"/>
              <w:right w:val="single" w:sz="4" w:space="0" w:color="auto"/>
            </w:tcBorders>
            <w:hideMark/>
          </w:tcPr>
          <w:p w14:paraId="0410BCA7"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3,</w:t>
            </w:r>
            <w:r w:rsidRPr="00140923">
              <w:rPr>
                <w:sz w:val="18"/>
                <w:szCs w:val="18"/>
                <w:lang w:val="es-ES_tradnl"/>
              </w:rPr>
              <w:t>5</w:t>
            </w:r>
            <w:r w:rsidRPr="00140923">
              <w:rPr>
                <w:sz w:val="18"/>
                <w:szCs w:val="18"/>
                <w:lang w:val="es-ES_tradnl" w:eastAsia="ja-JP"/>
              </w:rPr>
              <w:t>;</w:t>
            </w:r>
            <w:r w:rsidRPr="00140923">
              <w:rPr>
                <w:color w:val="0000FF"/>
                <w:sz w:val="18"/>
                <w:szCs w:val="18"/>
                <w:lang w:val="es-ES_tradnl" w:eastAsia="ja-JP"/>
              </w:rPr>
              <w:t xml:space="preserve"> </w:t>
            </w:r>
            <w:r w:rsidRPr="00140923">
              <w:rPr>
                <w:b/>
                <w:sz w:val="18"/>
                <w:szCs w:val="18"/>
                <w:lang w:val="es-ES_tradnl" w:eastAsia="ja-JP"/>
              </w:rPr>
              <w:t>7</w:t>
            </w:r>
            <w:r w:rsidRPr="00140923">
              <w:rPr>
                <w:sz w:val="18"/>
                <w:szCs w:val="18"/>
                <w:lang w:val="es-ES_tradnl" w:eastAsia="ja-JP"/>
              </w:rPr>
              <w:t>; 14; 28; 56</w:t>
            </w:r>
            <w:r w:rsidRPr="00140923">
              <w:rPr>
                <w:caps/>
                <w:sz w:val="18"/>
                <w:szCs w:val="18"/>
                <w:vertAlign w:val="superscript"/>
                <w:lang w:val="es-ES_tradnl" w:eastAsia="ja-JP"/>
              </w:rPr>
              <w:t>(6)</w:t>
            </w:r>
            <w:r w:rsidRPr="004F7602">
              <w:rPr>
                <w:sz w:val="18"/>
                <w:szCs w:val="18"/>
                <w:lang w:val="es-ES_tradnl"/>
              </w:rPr>
              <w:t xml:space="preserve">; </w:t>
            </w:r>
            <w:r w:rsidRPr="004F7602">
              <w:rPr>
                <w:sz w:val="18"/>
                <w:szCs w:val="18"/>
                <w:lang w:val="es-ES_tradnl" w:eastAsia="ja-JP"/>
              </w:rPr>
              <w:t>112</w:t>
            </w:r>
          </w:p>
        </w:tc>
        <w:tc>
          <w:tcPr>
            <w:tcW w:w="951" w:type="dxa"/>
            <w:tcBorders>
              <w:top w:val="single" w:sz="4" w:space="0" w:color="auto"/>
              <w:left w:val="single" w:sz="4" w:space="0" w:color="auto"/>
              <w:bottom w:val="single" w:sz="4" w:space="0" w:color="auto"/>
              <w:right w:val="single" w:sz="4" w:space="0" w:color="auto"/>
            </w:tcBorders>
            <w:hideMark/>
          </w:tcPr>
          <w:p w14:paraId="11220E8A" w14:textId="77777777" w:rsidR="002B37E9" w:rsidRPr="00140923" w:rsidRDefault="002B37E9" w:rsidP="00480606">
            <w:pPr>
              <w:pStyle w:val="Tabletext"/>
              <w:keepNext/>
              <w:keepLines/>
              <w:jc w:val="center"/>
              <w:rPr>
                <w:sz w:val="18"/>
                <w:szCs w:val="18"/>
                <w:lang w:val="es-ES_tradnl" w:eastAsia="ja-JP"/>
              </w:rPr>
            </w:pPr>
            <w:r w:rsidRPr="00140923">
              <w:rPr>
                <w:sz w:val="18"/>
                <w:szCs w:val="18"/>
                <w:lang w:val="es-ES_tradnl" w:eastAsia="ja-JP"/>
              </w:rPr>
              <w:t>3,</w:t>
            </w:r>
            <w:r w:rsidRPr="00140923">
              <w:rPr>
                <w:sz w:val="18"/>
                <w:szCs w:val="18"/>
                <w:lang w:val="es-ES_tradnl"/>
              </w:rPr>
              <w:t>5</w:t>
            </w:r>
            <w:r w:rsidRPr="00140923">
              <w:rPr>
                <w:sz w:val="18"/>
                <w:szCs w:val="18"/>
                <w:lang w:val="es-ES_tradnl" w:eastAsia="ja-JP"/>
              </w:rPr>
              <w:t xml:space="preserve">; 7; 14; </w:t>
            </w:r>
            <w:r w:rsidRPr="00140923">
              <w:rPr>
                <w:b/>
                <w:sz w:val="18"/>
                <w:szCs w:val="18"/>
                <w:lang w:val="es-ES_tradnl" w:eastAsia="ja-JP"/>
              </w:rPr>
              <w:t>28</w:t>
            </w:r>
            <w:r w:rsidRPr="00140923">
              <w:rPr>
                <w:sz w:val="18"/>
                <w:szCs w:val="18"/>
                <w:lang w:val="es-ES_tradnl" w:eastAsia="ja-JP"/>
              </w:rPr>
              <w:t>; 56</w:t>
            </w:r>
            <w:r w:rsidRPr="00140923">
              <w:rPr>
                <w:caps/>
                <w:sz w:val="18"/>
                <w:szCs w:val="18"/>
                <w:vertAlign w:val="superscript"/>
                <w:lang w:val="es-ES_tradnl" w:eastAsia="ja-JP"/>
              </w:rPr>
              <w:t>(6)</w:t>
            </w:r>
            <w:r w:rsidRPr="00140923">
              <w:rPr>
                <w:sz w:val="18"/>
                <w:szCs w:val="18"/>
                <w:lang w:val="es-ES_tradnl"/>
              </w:rPr>
              <w:t xml:space="preserve"> ; </w:t>
            </w:r>
            <w:r w:rsidRPr="00140923">
              <w:rPr>
                <w:sz w:val="18"/>
                <w:szCs w:val="18"/>
                <w:lang w:val="es-ES_tradnl" w:eastAsia="ja-JP"/>
              </w:rPr>
              <w:t>112</w:t>
            </w:r>
          </w:p>
        </w:tc>
      </w:tr>
      <w:tr w:rsidR="002B37E9" w:rsidRPr="00140923" w14:paraId="057651E3"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7E04AD" w14:textId="77777777" w:rsidR="002B37E9" w:rsidRPr="00140923" w:rsidRDefault="002B37E9" w:rsidP="00226764">
            <w:pPr>
              <w:pStyle w:val="Tabletext"/>
              <w:jc w:val="left"/>
              <w:rPr>
                <w:sz w:val="18"/>
                <w:szCs w:val="18"/>
                <w:lang w:val="es-ES_tradnl"/>
              </w:rPr>
            </w:pPr>
            <w:r w:rsidRPr="00140923">
              <w:rPr>
                <w:sz w:val="18"/>
                <w:szCs w:val="18"/>
                <w:lang w:val="es-ES_tradnl"/>
              </w:rPr>
              <w:t>Gama de potencia de salida del transmisor (dBW)</w:t>
            </w:r>
          </w:p>
        </w:tc>
        <w:tc>
          <w:tcPr>
            <w:tcW w:w="1385" w:type="dxa"/>
            <w:tcBorders>
              <w:top w:val="single" w:sz="4" w:space="0" w:color="auto"/>
              <w:left w:val="single" w:sz="4" w:space="0" w:color="auto"/>
              <w:bottom w:val="single" w:sz="4" w:space="0" w:color="auto"/>
              <w:right w:val="single" w:sz="4" w:space="0" w:color="auto"/>
            </w:tcBorders>
            <w:hideMark/>
          </w:tcPr>
          <w:p w14:paraId="7E865907" w14:textId="3BBF23F3"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21,0…</w:t>
            </w:r>
            <w:r w:rsidRPr="00140923">
              <w:rPr>
                <w:sz w:val="18"/>
                <w:szCs w:val="18"/>
                <w:lang w:val="es-ES_tradnl"/>
              </w:rPr>
              <w:t>−</w:t>
            </w:r>
            <w:r w:rsidRPr="00140923">
              <w:rPr>
                <w:sz w:val="18"/>
                <w:szCs w:val="18"/>
                <w:lang w:val="es-ES_tradnl" w:eastAsia="ja-JP"/>
              </w:rPr>
              <w:t>3,0</w:t>
            </w:r>
          </w:p>
        </w:tc>
        <w:tc>
          <w:tcPr>
            <w:tcW w:w="1110" w:type="dxa"/>
            <w:tcBorders>
              <w:top w:val="single" w:sz="4" w:space="0" w:color="auto"/>
              <w:left w:val="single" w:sz="4" w:space="0" w:color="auto"/>
              <w:bottom w:val="single" w:sz="4" w:space="0" w:color="auto"/>
              <w:right w:val="single" w:sz="4" w:space="0" w:color="auto"/>
            </w:tcBorders>
            <w:hideMark/>
          </w:tcPr>
          <w:p w14:paraId="03126F3D" w14:textId="5899AB1D" w:rsidR="002B37E9" w:rsidRPr="00140923" w:rsidRDefault="002B37E9" w:rsidP="00226764">
            <w:pPr>
              <w:pStyle w:val="Tabletext"/>
              <w:jc w:val="center"/>
              <w:rPr>
                <w:sz w:val="18"/>
                <w:szCs w:val="18"/>
                <w:lang w:val="es-ES_tradnl" w:eastAsia="ja-JP"/>
              </w:rPr>
            </w:pPr>
            <w:r w:rsidRPr="00140923">
              <w:rPr>
                <w:sz w:val="18"/>
                <w:szCs w:val="18"/>
                <w:lang w:val="es-ES_tradnl"/>
              </w:rPr>
              <w:t>−18</w:t>
            </w:r>
            <w:r w:rsidRPr="00140923">
              <w:rPr>
                <w:sz w:val="18"/>
                <w:szCs w:val="18"/>
                <w:lang w:val="es-ES_tradnl" w:eastAsia="ja-JP"/>
              </w:rPr>
              <w:t>,</w:t>
            </w:r>
            <w:r w:rsidRPr="00140923">
              <w:rPr>
                <w:sz w:val="18"/>
                <w:szCs w:val="18"/>
                <w:lang w:val="es-ES_tradnl"/>
              </w:rPr>
              <w:t>6…−4</w:t>
            </w:r>
          </w:p>
        </w:tc>
        <w:tc>
          <w:tcPr>
            <w:tcW w:w="1219" w:type="dxa"/>
            <w:tcBorders>
              <w:top w:val="single" w:sz="4" w:space="0" w:color="auto"/>
              <w:left w:val="single" w:sz="4" w:space="0" w:color="auto"/>
              <w:bottom w:val="single" w:sz="4" w:space="0" w:color="auto"/>
              <w:right w:val="single" w:sz="4" w:space="0" w:color="auto"/>
            </w:tcBorders>
            <w:hideMark/>
          </w:tcPr>
          <w:p w14:paraId="754216DA" w14:textId="5941B89F" w:rsidR="002B37E9" w:rsidRPr="00140923" w:rsidRDefault="002B37E9" w:rsidP="00226764">
            <w:pPr>
              <w:pStyle w:val="Tabletext"/>
              <w:ind w:left="-57" w:right="-57"/>
              <w:jc w:val="center"/>
              <w:rPr>
                <w:sz w:val="18"/>
                <w:szCs w:val="18"/>
                <w:lang w:val="es-ES_tradnl" w:eastAsia="ja-JP"/>
              </w:rPr>
            </w:pPr>
            <w:r w:rsidRPr="00140923">
              <w:rPr>
                <w:sz w:val="18"/>
                <w:szCs w:val="18"/>
                <w:lang w:val="es-ES_tradnl"/>
              </w:rPr>
              <w:t>−</w:t>
            </w:r>
            <w:r w:rsidRPr="00140923">
              <w:rPr>
                <w:sz w:val="18"/>
                <w:szCs w:val="18"/>
                <w:lang w:val="es-ES_tradnl" w:eastAsia="ja-JP"/>
              </w:rPr>
              <w:t>37…−3,0</w:t>
            </w:r>
          </w:p>
        </w:tc>
        <w:tc>
          <w:tcPr>
            <w:tcW w:w="1219" w:type="dxa"/>
            <w:tcBorders>
              <w:top w:val="single" w:sz="4" w:space="0" w:color="auto"/>
              <w:left w:val="single" w:sz="4" w:space="0" w:color="auto"/>
              <w:bottom w:val="single" w:sz="4" w:space="0" w:color="auto"/>
              <w:right w:val="single" w:sz="4" w:space="0" w:color="auto"/>
            </w:tcBorders>
            <w:hideMark/>
          </w:tcPr>
          <w:p w14:paraId="0373A309" w14:textId="23B5E3AD" w:rsidR="002B37E9" w:rsidRPr="00140923" w:rsidRDefault="002B37E9" w:rsidP="00226764">
            <w:pPr>
              <w:pStyle w:val="Tabletext"/>
              <w:jc w:val="center"/>
              <w:rPr>
                <w:sz w:val="18"/>
                <w:szCs w:val="18"/>
                <w:lang w:val="es-ES_tradnl" w:eastAsia="ja-JP"/>
              </w:rPr>
            </w:pPr>
            <w:r w:rsidRPr="00140923">
              <w:rPr>
                <w:sz w:val="18"/>
                <w:szCs w:val="18"/>
                <w:lang w:val="es-ES_tradnl"/>
              </w:rPr>
              <w:t>−10</w:t>
            </w:r>
            <w:r w:rsidRPr="00140923">
              <w:rPr>
                <w:sz w:val="18"/>
                <w:szCs w:val="18"/>
                <w:lang w:val="es-ES_tradnl" w:eastAsia="ja-JP"/>
              </w:rPr>
              <w:t>...0</w:t>
            </w:r>
          </w:p>
        </w:tc>
        <w:tc>
          <w:tcPr>
            <w:tcW w:w="999" w:type="dxa"/>
            <w:tcBorders>
              <w:top w:val="single" w:sz="4" w:space="0" w:color="auto"/>
              <w:left w:val="single" w:sz="4" w:space="0" w:color="auto"/>
              <w:bottom w:val="single" w:sz="4" w:space="0" w:color="auto"/>
              <w:right w:val="single" w:sz="4" w:space="0" w:color="auto"/>
            </w:tcBorders>
            <w:hideMark/>
          </w:tcPr>
          <w:p w14:paraId="064241CD" w14:textId="18B7F23C" w:rsidR="002B37E9" w:rsidRPr="00140923" w:rsidRDefault="002B37E9" w:rsidP="00226764">
            <w:pPr>
              <w:pStyle w:val="Tabletext"/>
              <w:jc w:val="center"/>
              <w:rPr>
                <w:sz w:val="18"/>
                <w:szCs w:val="18"/>
                <w:lang w:val="es-ES_tradnl"/>
              </w:rPr>
            </w:pPr>
            <w:r w:rsidRPr="00140923">
              <w:rPr>
                <w:sz w:val="18"/>
                <w:szCs w:val="18"/>
                <w:lang w:val="es-ES_tradnl"/>
              </w:rPr>
              <w:t>−</w:t>
            </w:r>
            <w:r w:rsidRPr="00140923">
              <w:rPr>
                <w:sz w:val="18"/>
                <w:szCs w:val="18"/>
                <w:lang w:val="es-ES_tradnl" w:eastAsia="ja-JP"/>
              </w:rPr>
              <w:t>28,0…</w:t>
            </w:r>
            <w:r w:rsidR="003B2443" w:rsidRPr="00140923">
              <w:rPr>
                <w:sz w:val="18"/>
                <w:szCs w:val="18"/>
                <w:lang w:val="es-ES_tradnl" w:eastAsia="ja-JP"/>
              </w:rPr>
              <w:br/>
            </w:r>
            <w:r w:rsidRPr="00140923">
              <w:rPr>
                <w:sz w:val="18"/>
                <w:szCs w:val="18"/>
                <w:lang w:val="es-ES_tradnl"/>
              </w:rPr>
              <w:t>−3</w:t>
            </w:r>
            <w:r w:rsidR="00480606">
              <w:rPr>
                <w:sz w:val="18"/>
                <w:szCs w:val="18"/>
                <w:lang w:val="es-ES_tradnl"/>
              </w:rPr>
              <w:t>,</w:t>
            </w:r>
            <w:r w:rsidRPr="00140923">
              <w:rPr>
                <w:sz w:val="18"/>
                <w:szCs w:val="18"/>
                <w:lang w:val="es-ES_tradnl"/>
              </w:rPr>
              <w:t>0</w:t>
            </w:r>
          </w:p>
        </w:tc>
        <w:tc>
          <w:tcPr>
            <w:tcW w:w="1110" w:type="dxa"/>
            <w:tcBorders>
              <w:top w:val="single" w:sz="4" w:space="0" w:color="auto"/>
              <w:left w:val="single" w:sz="4" w:space="0" w:color="auto"/>
              <w:bottom w:val="single" w:sz="4" w:space="0" w:color="auto"/>
              <w:right w:val="single" w:sz="4" w:space="0" w:color="auto"/>
            </w:tcBorders>
            <w:hideMark/>
          </w:tcPr>
          <w:p w14:paraId="36E30B6C" w14:textId="61EC7FF5" w:rsidR="002B37E9" w:rsidRPr="00140923" w:rsidRDefault="002B37E9" w:rsidP="00226764">
            <w:pPr>
              <w:pStyle w:val="Tabletext"/>
              <w:jc w:val="center"/>
              <w:rPr>
                <w:sz w:val="18"/>
                <w:szCs w:val="18"/>
                <w:lang w:val="es-ES_tradnl"/>
              </w:rPr>
            </w:pPr>
            <w:r w:rsidRPr="00140923">
              <w:rPr>
                <w:sz w:val="18"/>
                <w:szCs w:val="18"/>
                <w:lang w:val="es-ES_tradnl"/>
              </w:rPr>
              <w:t>−</w:t>
            </w:r>
            <w:r w:rsidRPr="00140923">
              <w:rPr>
                <w:sz w:val="18"/>
                <w:szCs w:val="18"/>
                <w:lang w:val="es-ES_tradnl" w:eastAsia="ja-JP"/>
              </w:rPr>
              <w:t>27,0…</w:t>
            </w:r>
            <w:r w:rsidR="003B2443" w:rsidRPr="00140923">
              <w:rPr>
                <w:sz w:val="18"/>
                <w:szCs w:val="18"/>
                <w:lang w:val="es-ES_tradnl" w:eastAsia="ja-JP"/>
              </w:rPr>
              <w:br/>
            </w:r>
            <w:r w:rsidRPr="00140923">
              <w:rPr>
                <w:sz w:val="18"/>
                <w:szCs w:val="18"/>
                <w:lang w:val="es-ES_tradnl"/>
              </w:rPr>
              <w:t>−</w:t>
            </w:r>
            <w:r w:rsidRPr="00140923">
              <w:rPr>
                <w:sz w:val="18"/>
                <w:szCs w:val="18"/>
                <w:lang w:val="es-ES_tradnl" w:eastAsia="ja-JP"/>
              </w:rPr>
              <w:t>10</w:t>
            </w:r>
            <w:r w:rsidR="00480606">
              <w:rPr>
                <w:sz w:val="18"/>
                <w:szCs w:val="18"/>
                <w:lang w:val="es-ES_tradnl" w:eastAsia="ja-JP"/>
              </w:rPr>
              <w:t>,</w:t>
            </w:r>
            <w:r w:rsidRPr="00140923">
              <w:rPr>
                <w:sz w:val="18"/>
                <w:szCs w:val="18"/>
                <w:lang w:val="es-ES_tradnl" w:eastAsia="ja-JP"/>
              </w:rPr>
              <w:t>0</w:t>
            </w:r>
          </w:p>
        </w:tc>
        <w:tc>
          <w:tcPr>
            <w:tcW w:w="1165" w:type="dxa"/>
            <w:tcBorders>
              <w:top w:val="single" w:sz="4" w:space="0" w:color="auto"/>
              <w:left w:val="single" w:sz="4" w:space="0" w:color="auto"/>
              <w:bottom w:val="single" w:sz="4" w:space="0" w:color="auto"/>
              <w:right w:val="single" w:sz="4" w:space="0" w:color="auto"/>
            </w:tcBorders>
            <w:hideMark/>
          </w:tcPr>
          <w:p w14:paraId="3F39FFAF" w14:textId="347AAE29" w:rsidR="002B37E9" w:rsidRPr="00140923" w:rsidRDefault="002B37E9" w:rsidP="00226764">
            <w:pPr>
              <w:pStyle w:val="Tabletext"/>
              <w:ind w:left="-57" w:right="-57"/>
              <w:jc w:val="center"/>
              <w:rPr>
                <w:sz w:val="18"/>
                <w:szCs w:val="18"/>
                <w:lang w:val="es-ES_tradnl" w:eastAsia="ja-JP"/>
              </w:rPr>
            </w:pPr>
            <w:r w:rsidRPr="00140923">
              <w:rPr>
                <w:sz w:val="18"/>
                <w:szCs w:val="18"/>
                <w:lang w:val="es-ES_tradnl"/>
              </w:rPr>
              <w:t>−</w:t>
            </w:r>
            <w:r w:rsidRPr="00140923">
              <w:rPr>
                <w:sz w:val="18"/>
                <w:szCs w:val="18"/>
                <w:lang w:val="es-ES_tradnl" w:eastAsia="ja-JP"/>
              </w:rPr>
              <w:t>39…−19</w:t>
            </w:r>
          </w:p>
        </w:tc>
        <w:tc>
          <w:tcPr>
            <w:tcW w:w="1197" w:type="dxa"/>
            <w:tcBorders>
              <w:top w:val="single" w:sz="4" w:space="0" w:color="auto"/>
              <w:left w:val="single" w:sz="4" w:space="0" w:color="auto"/>
              <w:bottom w:val="single" w:sz="4" w:space="0" w:color="auto"/>
              <w:right w:val="single" w:sz="4" w:space="0" w:color="auto"/>
            </w:tcBorders>
            <w:hideMark/>
          </w:tcPr>
          <w:p w14:paraId="2F12A10F" w14:textId="7CF9DF28"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–10...0</w:t>
            </w:r>
          </w:p>
        </w:tc>
        <w:tc>
          <w:tcPr>
            <w:tcW w:w="992" w:type="dxa"/>
            <w:tcBorders>
              <w:top w:val="single" w:sz="4" w:space="0" w:color="auto"/>
              <w:left w:val="single" w:sz="4" w:space="0" w:color="auto"/>
              <w:bottom w:val="single" w:sz="4" w:space="0" w:color="auto"/>
              <w:right w:val="single" w:sz="4" w:space="0" w:color="auto"/>
            </w:tcBorders>
            <w:hideMark/>
          </w:tcPr>
          <w:p w14:paraId="78B99709"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29…</w:t>
            </w:r>
            <w:r w:rsidRPr="00140923">
              <w:rPr>
                <w:sz w:val="18"/>
                <w:szCs w:val="18"/>
                <w:lang w:val="es-ES_tradnl"/>
              </w:rPr>
              <w:t>−</w:t>
            </w:r>
            <w:r w:rsidRPr="00140923">
              <w:rPr>
                <w:sz w:val="18"/>
                <w:szCs w:val="18"/>
                <w:lang w:val="es-ES_tradnl" w:eastAsia="ja-JP"/>
              </w:rPr>
              <w:t>9</w:t>
            </w:r>
          </w:p>
        </w:tc>
        <w:tc>
          <w:tcPr>
            <w:tcW w:w="951" w:type="dxa"/>
            <w:tcBorders>
              <w:top w:val="single" w:sz="4" w:space="0" w:color="auto"/>
              <w:left w:val="single" w:sz="4" w:space="0" w:color="auto"/>
              <w:bottom w:val="single" w:sz="4" w:space="0" w:color="auto"/>
              <w:right w:val="single" w:sz="4" w:space="0" w:color="auto"/>
            </w:tcBorders>
            <w:hideMark/>
          </w:tcPr>
          <w:p w14:paraId="02E42544" w14:textId="77777777" w:rsidR="002B37E9" w:rsidRPr="00140923" w:rsidRDefault="002B37E9" w:rsidP="00226764">
            <w:pPr>
              <w:pStyle w:val="Tabletext"/>
              <w:ind w:left="-57" w:right="-57"/>
              <w:jc w:val="center"/>
              <w:rPr>
                <w:sz w:val="18"/>
                <w:szCs w:val="18"/>
                <w:lang w:val="es-ES_tradnl" w:eastAsia="ja-JP"/>
              </w:rPr>
            </w:pPr>
            <w:r w:rsidRPr="00140923">
              <w:rPr>
                <w:sz w:val="18"/>
                <w:szCs w:val="18"/>
                <w:lang w:val="es-ES_tradnl"/>
              </w:rPr>
              <w:t>−</w:t>
            </w:r>
            <w:r w:rsidRPr="00140923">
              <w:rPr>
                <w:sz w:val="18"/>
                <w:szCs w:val="18"/>
                <w:lang w:val="es-ES_tradnl" w:eastAsia="ja-JP"/>
              </w:rPr>
              <w:t>29…</w:t>
            </w:r>
            <w:r w:rsidRPr="00140923">
              <w:rPr>
                <w:sz w:val="18"/>
                <w:szCs w:val="18"/>
                <w:lang w:val="es-ES_tradnl"/>
              </w:rPr>
              <w:t>−</w:t>
            </w:r>
            <w:r w:rsidRPr="00140923">
              <w:rPr>
                <w:sz w:val="18"/>
                <w:szCs w:val="18"/>
                <w:lang w:val="es-ES_tradnl" w:eastAsia="ja-JP"/>
              </w:rPr>
              <w:t>15</w:t>
            </w:r>
          </w:p>
        </w:tc>
      </w:tr>
      <w:tr w:rsidR="002B37E9" w:rsidRPr="00140923" w14:paraId="36E7A13D"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301D14" w14:textId="77777777" w:rsidR="002B37E9" w:rsidRPr="00140923" w:rsidRDefault="002B37E9" w:rsidP="00226764">
            <w:pPr>
              <w:pStyle w:val="Tabletext"/>
              <w:jc w:val="left"/>
              <w:rPr>
                <w:sz w:val="18"/>
                <w:szCs w:val="18"/>
                <w:lang w:val="es-ES_tradnl"/>
              </w:rPr>
            </w:pPr>
            <w:r w:rsidRPr="00140923">
              <w:rPr>
                <w:sz w:val="18"/>
                <w:szCs w:val="18"/>
                <w:lang w:val="es-ES_tradnl"/>
              </w:rPr>
              <w:t>Gama de densidad de potencia de salida del transmisor (dBW/MHz)</w:t>
            </w:r>
            <w:r w:rsidRPr="00140923">
              <w:rPr>
                <w:sz w:val="18"/>
                <w:szCs w:val="18"/>
                <w:vertAlign w:val="superscript"/>
                <w:lang w:val="es-ES_tradnl" w:eastAsia="ja-JP"/>
              </w:rPr>
              <w:t>(1)</w:t>
            </w:r>
          </w:p>
        </w:tc>
        <w:tc>
          <w:tcPr>
            <w:tcW w:w="1385" w:type="dxa"/>
            <w:tcBorders>
              <w:top w:val="single" w:sz="4" w:space="0" w:color="auto"/>
              <w:left w:val="single" w:sz="4" w:space="0" w:color="auto"/>
              <w:bottom w:val="single" w:sz="4" w:space="0" w:color="auto"/>
              <w:right w:val="single" w:sz="4" w:space="0" w:color="auto"/>
            </w:tcBorders>
            <w:hideMark/>
          </w:tcPr>
          <w:p w14:paraId="7BD847CB" w14:textId="39121F72"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26,4…</w:t>
            </w:r>
            <w:r w:rsidRPr="00140923">
              <w:rPr>
                <w:sz w:val="18"/>
                <w:szCs w:val="18"/>
                <w:lang w:val="es-ES_tradnl"/>
              </w:rPr>
              <w:t>−8</w:t>
            </w:r>
            <w:r w:rsidRPr="00140923">
              <w:rPr>
                <w:sz w:val="18"/>
                <w:szCs w:val="18"/>
                <w:lang w:val="es-ES_tradnl" w:eastAsia="ja-JP"/>
              </w:rPr>
              <w:t>,</w:t>
            </w:r>
            <w:r w:rsidRPr="00140923">
              <w:rPr>
                <w:sz w:val="18"/>
                <w:szCs w:val="18"/>
                <w:lang w:val="es-ES_tradnl"/>
              </w:rPr>
              <w:t>4</w:t>
            </w:r>
          </w:p>
        </w:tc>
        <w:tc>
          <w:tcPr>
            <w:tcW w:w="1110" w:type="dxa"/>
            <w:tcBorders>
              <w:top w:val="single" w:sz="4" w:space="0" w:color="auto"/>
              <w:left w:val="single" w:sz="4" w:space="0" w:color="auto"/>
              <w:bottom w:val="single" w:sz="4" w:space="0" w:color="auto"/>
              <w:right w:val="single" w:sz="4" w:space="0" w:color="auto"/>
            </w:tcBorders>
            <w:hideMark/>
          </w:tcPr>
          <w:p w14:paraId="334728E7" w14:textId="0DA9AACB" w:rsidR="002B37E9" w:rsidRPr="00140923" w:rsidRDefault="002B37E9" w:rsidP="00226764">
            <w:pPr>
              <w:pStyle w:val="Tabletext"/>
              <w:jc w:val="center"/>
              <w:rPr>
                <w:sz w:val="18"/>
                <w:szCs w:val="18"/>
                <w:lang w:val="es-ES_tradnl" w:eastAsia="ja-JP"/>
              </w:rPr>
            </w:pPr>
            <w:r w:rsidRPr="00140923">
              <w:rPr>
                <w:sz w:val="18"/>
                <w:szCs w:val="18"/>
                <w:lang w:val="es-ES_tradnl"/>
              </w:rPr>
              <w:t>−33</w:t>
            </w:r>
            <w:r w:rsidRPr="00140923">
              <w:rPr>
                <w:sz w:val="18"/>
                <w:szCs w:val="18"/>
                <w:lang w:val="es-ES_tradnl" w:eastAsia="ja-JP"/>
              </w:rPr>
              <w:t>,</w:t>
            </w:r>
            <w:r w:rsidRPr="00140923">
              <w:rPr>
                <w:sz w:val="18"/>
                <w:szCs w:val="18"/>
                <w:lang w:val="es-ES_tradnl"/>
              </w:rPr>
              <w:t>1…</w:t>
            </w:r>
            <w:r w:rsidR="003B2443" w:rsidRPr="00140923">
              <w:rPr>
                <w:sz w:val="18"/>
                <w:szCs w:val="18"/>
                <w:lang w:val="es-ES_tradnl"/>
              </w:rPr>
              <w:br/>
            </w:r>
            <w:r w:rsidRPr="00140923">
              <w:rPr>
                <w:sz w:val="18"/>
                <w:szCs w:val="18"/>
                <w:lang w:val="es-ES_tradnl"/>
              </w:rPr>
              <w:t>−18</w:t>
            </w:r>
            <w:r w:rsidRPr="00140923">
              <w:rPr>
                <w:sz w:val="18"/>
                <w:szCs w:val="18"/>
                <w:lang w:val="es-ES_tradnl" w:eastAsia="ja-JP"/>
              </w:rPr>
              <w:t>,</w:t>
            </w:r>
            <w:r w:rsidRPr="00140923">
              <w:rPr>
                <w:sz w:val="18"/>
                <w:szCs w:val="18"/>
                <w:lang w:val="es-ES_tradnl"/>
              </w:rPr>
              <w:t>5</w:t>
            </w:r>
          </w:p>
        </w:tc>
        <w:tc>
          <w:tcPr>
            <w:tcW w:w="1219" w:type="dxa"/>
            <w:tcBorders>
              <w:top w:val="single" w:sz="4" w:space="0" w:color="auto"/>
              <w:left w:val="single" w:sz="4" w:space="0" w:color="auto"/>
              <w:bottom w:val="single" w:sz="4" w:space="0" w:color="auto"/>
              <w:right w:val="single" w:sz="4" w:space="0" w:color="auto"/>
            </w:tcBorders>
            <w:hideMark/>
          </w:tcPr>
          <w:p w14:paraId="4BF8E23C" w14:textId="34FA8ADF"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45,4…</w:t>
            </w:r>
            <w:r w:rsidRPr="00140923">
              <w:rPr>
                <w:sz w:val="18"/>
                <w:szCs w:val="18"/>
                <w:lang w:val="es-ES_tradnl" w:eastAsia="ja-JP"/>
              </w:rPr>
              <w:br/>
              <w:t>−19,0</w:t>
            </w:r>
          </w:p>
        </w:tc>
        <w:tc>
          <w:tcPr>
            <w:tcW w:w="1219" w:type="dxa"/>
            <w:tcBorders>
              <w:top w:val="single" w:sz="4" w:space="0" w:color="auto"/>
              <w:left w:val="single" w:sz="4" w:space="0" w:color="auto"/>
              <w:bottom w:val="single" w:sz="4" w:space="0" w:color="auto"/>
              <w:right w:val="single" w:sz="4" w:space="0" w:color="auto"/>
            </w:tcBorders>
            <w:hideMark/>
          </w:tcPr>
          <w:p w14:paraId="260BFA1B" w14:textId="2C98458C" w:rsidR="002B37E9" w:rsidRPr="00140923" w:rsidRDefault="002B37E9" w:rsidP="00226764">
            <w:pPr>
              <w:pStyle w:val="Tabletext"/>
              <w:jc w:val="center"/>
              <w:rPr>
                <w:sz w:val="18"/>
                <w:szCs w:val="18"/>
                <w:lang w:val="es-ES_tradnl" w:eastAsia="ja-JP"/>
              </w:rPr>
            </w:pPr>
            <w:r w:rsidRPr="00140923">
              <w:rPr>
                <w:sz w:val="18"/>
                <w:szCs w:val="18"/>
                <w:lang w:val="es-ES_tradnl"/>
              </w:rPr>
              <w:t>−26</w:t>
            </w:r>
          </w:p>
        </w:tc>
        <w:tc>
          <w:tcPr>
            <w:tcW w:w="999" w:type="dxa"/>
            <w:tcBorders>
              <w:top w:val="single" w:sz="4" w:space="0" w:color="auto"/>
              <w:left w:val="single" w:sz="4" w:space="0" w:color="auto"/>
              <w:bottom w:val="single" w:sz="4" w:space="0" w:color="auto"/>
              <w:right w:val="single" w:sz="4" w:space="0" w:color="auto"/>
            </w:tcBorders>
            <w:hideMark/>
          </w:tcPr>
          <w:p w14:paraId="34869D46" w14:textId="67AD90F5"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42,0…</w:t>
            </w:r>
            <w:r w:rsidR="003B2443" w:rsidRPr="00140923">
              <w:rPr>
                <w:sz w:val="18"/>
                <w:szCs w:val="18"/>
                <w:lang w:val="es-ES_tradnl" w:eastAsia="ja-JP"/>
              </w:rPr>
              <w:br/>
            </w:r>
            <w:r w:rsidRPr="00140923">
              <w:rPr>
                <w:sz w:val="18"/>
                <w:szCs w:val="18"/>
                <w:lang w:val="es-ES_tradnl"/>
              </w:rPr>
              <w:t>−17</w:t>
            </w:r>
            <w:r w:rsidRPr="00140923">
              <w:rPr>
                <w:sz w:val="18"/>
                <w:szCs w:val="18"/>
                <w:lang w:val="es-ES_tradnl" w:eastAsia="ja-JP"/>
              </w:rPr>
              <w:t>,</w:t>
            </w:r>
            <w:r w:rsidRPr="00140923">
              <w:rPr>
                <w:sz w:val="18"/>
                <w:szCs w:val="18"/>
                <w:lang w:val="es-ES_tradnl"/>
              </w:rPr>
              <w:t>0</w:t>
            </w:r>
          </w:p>
        </w:tc>
        <w:tc>
          <w:tcPr>
            <w:tcW w:w="1110" w:type="dxa"/>
            <w:tcBorders>
              <w:top w:val="single" w:sz="4" w:space="0" w:color="auto"/>
              <w:left w:val="single" w:sz="4" w:space="0" w:color="auto"/>
              <w:bottom w:val="single" w:sz="4" w:space="0" w:color="auto"/>
              <w:right w:val="single" w:sz="4" w:space="0" w:color="auto"/>
            </w:tcBorders>
            <w:hideMark/>
          </w:tcPr>
          <w:p w14:paraId="2B4C5A80" w14:textId="6236F623"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41,8…</w:t>
            </w:r>
            <w:r w:rsidR="003B2443" w:rsidRPr="00140923">
              <w:rPr>
                <w:sz w:val="18"/>
                <w:szCs w:val="18"/>
                <w:lang w:val="es-ES_tradnl" w:eastAsia="ja-JP"/>
              </w:rPr>
              <w:br/>
            </w:r>
            <w:r w:rsidRPr="00140923">
              <w:rPr>
                <w:sz w:val="18"/>
                <w:szCs w:val="18"/>
                <w:lang w:val="es-ES_tradnl"/>
              </w:rPr>
              <w:t>−24</w:t>
            </w:r>
            <w:r w:rsidRPr="00140923">
              <w:rPr>
                <w:sz w:val="18"/>
                <w:szCs w:val="18"/>
                <w:lang w:val="es-ES_tradnl" w:eastAsia="ja-JP"/>
              </w:rPr>
              <w:t>,</w:t>
            </w:r>
            <w:r w:rsidRPr="00140923">
              <w:rPr>
                <w:sz w:val="18"/>
                <w:szCs w:val="18"/>
                <w:lang w:val="es-ES_tradnl"/>
              </w:rPr>
              <w:t>8</w:t>
            </w:r>
          </w:p>
        </w:tc>
        <w:tc>
          <w:tcPr>
            <w:tcW w:w="1165" w:type="dxa"/>
            <w:tcBorders>
              <w:top w:val="single" w:sz="4" w:space="0" w:color="auto"/>
              <w:left w:val="single" w:sz="4" w:space="0" w:color="auto"/>
              <w:bottom w:val="single" w:sz="4" w:space="0" w:color="auto"/>
              <w:right w:val="single" w:sz="4" w:space="0" w:color="auto"/>
            </w:tcBorders>
            <w:hideMark/>
          </w:tcPr>
          <w:p w14:paraId="2B38B2B3" w14:textId="1EB0F195"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53,8…</w:t>
            </w:r>
            <w:r w:rsidRPr="00140923">
              <w:rPr>
                <w:sz w:val="18"/>
                <w:szCs w:val="18"/>
                <w:lang w:val="es-ES_tradnl" w:eastAsia="ja-JP"/>
              </w:rPr>
              <w:br/>
              <w:t>−33,8</w:t>
            </w:r>
            <w:r w:rsidRPr="00140923">
              <w:rPr>
                <w:sz w:val="18"/>
                <w:szCs w:val="18"/>
                <w:vertAlign w:val="superscript"/>
                <w:lang w:val="es-ES_tradnl" w:eastAsia="ja-JP"/>
              </w:rPr>
              <w:t>(7)</w:t>
            </w:r>
          </w:p>
        </w:tc>
        <w:tc>
          <w:tcPr>
            <w:tcW w:w="1197" w:type="dxa"/>
            <w:tcBorders>
              <w:top w:val="single" w:sz="4" w:space="0" w:color="auto"/>
              <w:left w:val="single" w:sz="4" w:space="0" w:color="auto"/>
              <w:bottom w:val="single" w:sz="4" w:space="0" w:color="auto"/>
              <w:right w:val="single" w:sz="4" w:space="0" w:color="auto"/>
            </w:tcBorders>
            <w:hideMark/>
          </w:tcPr>
          <w:p w14:paraId="392C3A78" w14:textId="06D12917"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24,8…</w:t>
            </w:r>
            <w:r w:rsidR="003B2443" w:rsidRPr="00140923">
              <w:rPr>
                <w:sz w:val="18"/>
                <w:szCs w:val="18"/>
                <w:lang w:val="es-ES_tradnl" w:eastAsia="ja-JP"/>
              </w:rPr>
              <w:br/>
            </w:r>
            <w:r w:rsidRPr="00140923">
              <w:rPr>
                <w:sz w:val="18"/>
                <w:szCs w:val="18"/>
                <w:lang w:val="es-ES_tradnl"/>
              </w:rPr>
              <w:t>−</w:t>
            </w:r>
            <w:r w:rsidRPr="00140923">
              <w:rPr>
                <w:sz w:val="18"/>
                <w:szCs w:val="18"/>
                <w:lang w:val="es-ES_tradnl" w:eastAsia="ja-JP"/>
              </w:rPr>
              <w:t>14,8</w:t>
            </w:r>
          </w:p>
        </w:tc>
        <w:tc>
          <w:tcPr>
            <w:tcW w:w="992" w:type="dxa"/>
            <w:tcBorders>
              <w:top w:val="single" w:sz="4" w:space="0" w:color="auto"/>
              <w:left w:val="single" w:sz="4" w:space="0" w:color="auto"/>
              <w:bottom w:val="single" w:sz="4" w:space="0" w:color="auto"/>
              <w:right w:val="single" w:sz="4" w:space="0" w:color="auto"/>
            </w:tcBorders>
            <w:hideMark/>
          </w:tcPr>
          <w:p w14:paraId="70CBE555"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37</w:t>
            </w:r>
            <w:r w:rsidRPr="00140923">
              <w:rPr>
                <w:sz w:val="18"/>
                <w:szCs w:val="18"/>
                <w:lang w:val="es-ES_tradnl"/>
              </w:rPr>
              <w:t>,5…</w:t>
            </w:r>
            <w:r w:rsidRPr="00140923">
              <w:rPr>
                <w:sz w:val="18"/>
                <w:szCs w:val="18"/>
                <w:lang w:val="es-ES_tradnl"/>
              </w:rPr>
              <w:br/>
              <w:t>−</w:t>
            </w:r>
            <w:r w:rsidRPr="00140923">
              <w:rPr>
                <w:sz w:val="18"/>
                <w:szCs w:val="18"/>
                <w:lang w:val="es-ES_tradnl" w:eastAsia="ja-JP"/>
              </w:rPr>
              <w:t>17</w:t>
            </w:r>
            <w:r w:rsidRPr="00140923">
              <w:rPr>
                <w:sz w:val="18"/>
                <w:szCs w:val="18"/>
                <w:lang w:val="es-ES_tradnl"/>
              </w:rPr>
              <w:t>,5</w:t>
            </w:r>
          </w:p>
        </w:tc>
        <w:tc>
          <w:tcPr>
            <w:tcW w:w="951" w:type="dxa"/>
            <w:tcBorders>
              <w:top w:val="single" w:sz="4" w:space="0" w:color="auto"/>
              <w:left w:val="single" w:sz="4" w:space="0" w:color="auto"/>
              <w:bottom w:val="single" w:sz="4" w:space="0" w:color="auto"/>
              <w:right w:val="single" w:sz="4" w:space="0" w:color="auto"/>
            </w:tcBorders>
            <w:hideMark/>
          </w:tcPr>
          <w:p w14:paraId="5929E29E"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−4</w:t>
            </w:r>
            <w:r w:rsidRPr="00140923">
              <w:rPr>
                <w:sz w:val="18"/>
                <w:szCs w:val="18"/>
                <w:lang w:val="es-ES_tradnl" w:eastAsia="ja-JP"/>
              </w:rPr>
              <w:t>3</w:t>
            </w:r>
            <w:r w:rsidRPr="00140923">
              <w:rPr>
                <w:sz w:val="18"/>
                <w:szCs w:val="18"/>
                <w:lang w:val="es-ES_tradnl"/>
              </w:rPr>
              <w:t>,5…</w:t>
            </w:r>
            <w:r w:rsidRPr="00140923">
              <w:rPr>
                <w:sz w:val="18"/>
                <w:szCs w:val="18"/>
                <w:lang w:val="es-ES_tradnl"/>
              </w:rPr>
              <w:br/>
              <w:t>−</w:t>
            </w:r>
            <w:r w:rsidRPr="00140923">
              <w:rPr>
                <w:sz w:val="18"/>
                <w:szCs w:val="18"/>
                <w:lang w:val="es-ES_tradnl" w:eastAsia="ja-JP"/>
              </w:rPr>
              <w:t>29</w:t>
            </w:r>
            <w:r w:rsidRPr="00140923">
              <w:rPr>
                <w:sz w:val="18"/>
                <w:szCs w:val="18"/>
                <w:lang w:val="es-ES_tradnl"/>
              </w:rPr>
              <w:t>,5</w:t>
            </w:r>
          </w:p>
        </w:tc>
      </w:tr>
      <w:tr w:rsidR="002B37E9" w:rsidRPr="00140923" w14:paraId="2BA46D0B"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2172D4" w14:textId="77777777" w:rsidR="002B37E9" w:rsidRPr="00140923" w:rsidRDefault="002B37E9" w:rsidP="00226764">
            <w:pPr>
              <w:pStyle w:val="Tabletext"/>
              <w:jc w:val="left"/>
              <w:rPr>
                <w:sz w:val="18"/>
                <w:szCs w:val="18"/>
                <w:lang w:val="es-ES_tradnl"/>
              </w:rPr>
            </w:pPr>
            <w:r w:rsidRPr="00140923">
              <w:rPr>
                <w:sz w:val="18"/>
                <w:szCs w:val="18"/>
                <w:lang w:val="es-ES_tradnl"/>
              </w:rPr>
              <w:t>Gama de pérdida del alimentador/</w:t>
            </w:r>
            <w:r w:rsidRPr="00140923">
              <w:rPr>
                <w:sz w:val="18"/>
                <w:szCs w:val="18"/>
                <w:lang w:val="es-ES_tradnl"/>
              </w:rPr>
              <w:br/>
              <w:t>multiplexor (dB)</w:t>
            </w:r>
          </w:p>
        </w:tc>
        <w:tc>
          <w:tcPr>
            <w:tcW w:w="1385" w:type="dxa"/>
            <w:tcBorders>
              <w:top w:val="single" w:sz="4" w:space="0" w:color="auto"/>
              <w:left w:val="single" w:sz="4" w:space="0" w:color="auto"/>
              <w:bottom w:val="single" w:sz="4" w:space="0" w:color="auto"/>
              <w:right w:val="single" w:sz="4" w:space="0" w:color="auto"/>
            </w:tcBorders>
            <w:hideMark/>
          </w:tcPr>
          <w:p w14:paraId="713F2EC4" w14:textId="14F53F8A" w:rsidR="002B37E9" w:rsidRPr="00140923" w:rsidRDefault="002B37E9" w:rsidP="00226764">
            <w:pPr>
              <w:pStyle w:val="Tabletext"/>
              <w:jc w:val="center"/>
              <w:rPr>
                <w:sz w:val="18"/>
                <w:szCs w:val="18"/>
                <w:lang w:val="es-ES_tradnl" w:eastAsia="ja-JP"/>
              </w:rPr>
            </w:pPr>
            <w:r w:rsidRPr="00140923">
              <w:rPr>
                <w:sz w:val="18"/>
                <w:szCs w:val="18"/>
                <w:lang w:val="es-ES_tradnl" w:eastAsia="ja-JP"/>
              </w:rPr>
              <w:t>0...10,0</w:t>
            </w:r>
          </w:p>
        </w:tc>
        <w:tc>
          <w:tcPr>
            <w:tcW w:w="1110" w:type="dxa"/>
            <w:tcBorders>
              <w:top w:val="single" w:sz="4" w:space="0" w:color="auto"/>
              <w:left w:val="single" w:sz="4" w:space="0" w:color="auto"/>
              <w:bottom w:val="single" w:sz="4" w:space="0" w:color="auto"/>
              <w:right w:val="single" w:sz="4" w:space="0" w:color="auto"/>
            </w:tcBorders>
            <w:hideMark/>
          </w:tcPr>
          <w:p w14:paraId="1FF209DE" w14:textId="6B34DDF6" w:rsidR="002B37E9" w:rsidRPr="00140923" w:rsidRDefault="002B37E9" w:rsidP="00226764">
            <w:pPr>
              <w:pStyle w:val="Tabletext"/>
              <w:jc w:val="center"/>
              <w:rPr>
                <w:sz w:val="18"/>
                <w:szCs w:val="18"/>
                <w:lang w:val="es-ES_tradnl" w:eastAsia="ja-JP"/>
              </w:rPr>
            </w:pPr>
            <w:r w:rsidRPr="00140923">
              <w:rPr>
                <w:sz w:val="18"/>
                <w:szCs w:val="18"/>
                <w:lang w:val="es-ES_tradnl" w:eastAsia="ja-JP"/>
              </w:rPr>
              <w:t>0…10,0</w:t>
            </w:r>
          </w:p>
        </w:tc>
        <w:tc>
          <w:tcPr>
            <w:tcW w:w="1219" w:type="dxa"/>
            <w:tcBorders>
              <w:top w:val="single" w:sz="4" w:space="0" w:color="auto"/>
              <w:left w:val="single" w:sz="4" w:space="0" w:color="auto"/>
              <w:bottom w:val="single" w:sz="4" w:space="0" w:color="auto"/>
              <w:right w:val="single" w:sz="4" w:space="0" w:color="auto"/>
            </w:tcBorders>
            <w:hideMark/>
          </w:tcPr>
          <w:p w14:paraId="23715C72" w14:textId="10809E7A" w:rsidR="002B37E9" w:rsidRPr="00140923" w:rsidRDefault="002B37E9" w:rsidP="00226764">
            <w:pPr>
              <w:pStyle w:val="Tabletext"/>
              <w:jc w:val="center"/>
              <w:rPr>
                <w:sz w:val="18"/>
                <w:szCs w:val="18"/>
                <w:lang w:val="es-ES_tradnl" w:eastAsia="ja-JP"/>
              </w:rPr>
            </w:pPr>
            <w:r w:rsidRPr="00140923">
              <w:rPr>
                <w:sz w:val="18"/>
                <w:szCs w:val="18"/>
                <w:lang w:val="es-ES_tradnl" w:eastAsia="ja-JP"/>
              </w:rPr>
              <w:t>0,0...9,3</w:t>
            </w:r>
          </w:p>
        </w:tc>
        <w:tc>
          <w:tcPr>
            <w:tcW w:w="1219" w:type="dxa"/>
            <w:tcBorders>
              <w:top w:val="single" w:sz="4" w:space="0" w:color="auto"/>
              <w:left w:val="single" w:sz="4" w:space="0" w:color="auto"/>
              <w:bottom w:val="single" w:sz="4" w:space="0" w:color="auto"/>
              <w:right w:val="single" w:sz="4" w:space="0" w:color="auto"/>
            </w:tcBorders>
            <w:hideMark/>
          </w:tcPr>
          <w:p w14:paraId="4EF4503D" w14:textId="35A69AA6" w:rsidR="002B37E9" w:rsidRPr="00140923" w:rsidRDefault="002B37E9" w:rsidP="00226764">
            <w:pPr>
              <w:pStyle w:val="Tabletext"/>
              <w:jc w:val="center"/>
              <w:rPr>
                <w:sz w:val="18"/>
                <w:szCs w:val="18"/>
                <w:lang w:val="es-ES_tradnl" w:eastAsia="ja-JP"/>
              </w:rPr>
            </w:pPr>
            <w:r w:rsidRPr="00140923">
              <w:rPr>
                <w:sz w:val="18"/>
                <w:szCs w:val="18"/>
                <w:lang w:val="es-ES_tradnl" w:eastAsia="ja-JP"/>
              </w:rPr>
              <w:t>0</w:t>
            </w:r>
            <w:r w:rsidRPr="00140923">
              <w:rPr>
                <w:sz w:val="18"/>
                <w:szCs w:val="18"/>
                <w:lang w:val="es-ES_tradnl"/>
              </w:rPr>
              <w:t>…9</w:t>
            </w:r>
            <w:r w:rsidRPr="00140923">
              <w:rPr>
                <w:sz w:val="18"/>
                <w:szCs w:val="18"/>
                <w:lang w:val="es-ES_tradnl" w:eastAsia="ja-JP"/>
              </w:rPr>
              <w:t>,</w:t>
            </w:r>
            <w:r w:rsidRPr="00140923">
              <w:rPr>
                <w:sz w:val="18"/>
                <w:szCs w:val="18"/>
                <w:lang w:val="es-ES_tradnl"/>
              </w:rPr>
              <w:t>3</w:t>
            </w:r>
          </w:p>
        </w:tc>
        <w:tc>
          <w:tcPr>
            <w:tcW w:w="999" w:type="dxa"/>
            <w:tcBorders>
              <w:top w:val="single" w:sz="4" w:space="0" w:color="auto"/>
              <w:left w:val="single" w:sz="4" w:space="0" w:color="auto"/>
              <w:bottom w:val="single" w:sz="4" w:space="0" w:color="auto"/>
              <w:right w:val="single" w:sz="4" w:space="0" w:color="auto"/>
            </w:tcBorders>
            <w:hideMark/>
          </w:tcPr>
          <w:p w14:paraId="0DB7114D" w14:textId="1FA44392" w:rsidR="002B37E9" w:rsidRPr="00140923" w:rsidRDefault="002B37E9" w:rsidP="00226764">
            <w:pPr>
              <w:pStyle w:val="Tabletext"/>
              <w:jc w:val="center"/>
              <w:rPr>
                <w:sz w:val="18"/>
                <w:szCs w:val="18"/>
                <w:lang w:val="es-ES_tradnl"/>
              </w:rPr>
            </w:pPr>
            <w:r w:rsidRPr="00140923">
              <w:rPr>
                <w:sz w:val="18"/>
                <w:szCs w:val="18"/>
                <w:lang w:val="es-ES_tradnl" w:eastAsia="ja-JP"/>
              </w:rPr>
              <w:t>0,0...</w:t>
            </w:r>
            <w:r w:rsidR="003B2443" w:rsidRPr="00140923">
              <w:rPr>
                <w:sz w:val="18"/>
                <w:szCs w:val="18"/>
                <w:lang w:val="es-ES_tradnl" w:eastAsia="ja-JP"/>
              </w:rPr>
              <w:t>6</w:t>
            </w:r>
            <w:r w:rsidRPr="00140923">
              <w:rPr>
                <w:sz w:val="18"/>
                <w:szCs w:val="18"/>
                <w:lang w:val="es-ES_tradnl" w:eastAsia="ja-JP"/>
              </w:rPr>
              <w:t>,3</w:t>
            </w:r>
          </w:p>
        </w:tc>
        <w:tc>
          <w:tcPr>
            <w:tcW w:w="1110" w:type="dxa"/>
            <w:tcBorders>
              <w:top w:val="single" w:sz="4" w:space="0" w:color="auto"/>
              <w:left w:val="single" w:sz="4" w:space="0" w:color="auto"/>
              <w:bottom w:val="single" w:sz="4" w:space="0" w:color="auto"/>
              <w:right w:val="single" w:sz="4" w:space="0" w:color="auto"/>
            </w:tcBorders>
            <w:hideMark/>
          </w:tcPr>
          <w:p w14:paraId="431F61FB" w14:textId="3B8DE3FC" w:rsidR="002B37E9" w:rsidRPr="00140923" w:rsidRDefault="002B37E9" w:rsidP="00226764">
            <w:pPr>
              <w:pStyle w:val="Tabletext"/>
              <w:jc w:val="center"/>
              <w:rPr>
                <w:sz w:val="18"/>
                <w:szCs w:val="18"/>
                <w:lang w:val="es-ES_tradnl"/>
              </w:rPr>
            </w:pPr>
            <w:r w:rsidRPr="00140923">
              <w:rPr>
                <w:sz w:val="18"/>
                <w:szCs w:val="18"/>
                <w:lang w:val="es-ES_tradnl" w:eastAsia="ja-JP"/>
              </w:rPr>
              <w:t>0</w:t>
            </w:r>
            <w:r w:rsidRPr="00140923">
              <w:rPr>
                <w:sz w:val="18"/>
                <w:szCs w:val="18"/>
                <w:lang w:val="es-ES_tradnl"/>
              </w:rPr>
              <w:t>…5</w:t>
            </w:r>
            <w:r w:rsidRPr="00140923">
              <w:rPr>
                <w:sz w:val="18"/>
                <w:szCs w:val="18"/>
                <w:lang w:val="es-ES_tradnl" w:eastAsia="ja-JP"/>
              </w:rPr>
              <w:t>,</w:t>
            </w:r>
            <w:r w:rsidRPr="00140923">
              <w:rPr>
                <w:sz w:val="18"/>
                <w:szCs w:val="18"/>
                <w:lang w:val="es-ES_tradnl"/>
              </w:rPr>
              <w:t>9</w:t>
            </w:r>
          </w:p>
        </w:tc>
        <w:tc>
          <w:tcPr>
            <w:tcW w:w="1165" w:type="dxa"/>
            <w:tcBorders>
              <w:top w:val="single" w:sz="4" w:space="0" w:color="auto"/>
              <w:left w:val="single" w:sz="4" w:space="0" w:color="auto"/>
              <w:bottom w:val="single" w:sz="4" w:space="0" w:color="auto"/>
              <w:right w:val="single" w:sz="4" w:space="0" w:color="auto"/>
            </w:tcBorders>
            <w:hideMark/>
          </w:tcPr>
          <w:p w14:paraId="25FEBE11" w14:textId="23A8E871" w:rsidR="002B37E9" w:rsidRPr="00140923" w:rsidRDefault="002B37E9" w:rsidP="00226764">
            <w:pPr>
              <w:pStyle w:val="Tabletext"/>
              <w:jc w:val="center"/>
              <w:rPr>
                <w:sz w:val="18"/>
                <w:szCs w:val="18"/>
                <w:lang w:val="es-ES_tradnl" w:eastAsia="ja-JP"/>
              </w:rPr>
            </w:pPr>
            <w:r w:rsidRPr="00140923">
              <w:rPr>
                <w:sz w:val="18"/>
                <w:szCs w:val="18"/>
                <w:lang w:val="es-ES_tradnl" w:eastAsia="ja-JP"/>
              </w:rPr>
              <w:t>0,0...6,3</w:t>
            </w:r>
          </w:p>
        </w:tc>
        <w:tc>
          <w:tcPr>
            <w:tcW w:w="1197" w:type="dxa"/>
            <w:tcBorders>
              <w:top w:val="single" w:sz="4" w:space="0" w:color="auto"/>
              <w:left w:val="single" w:sz="4" w:space="0" w:color="auto"/>
              <w:bottom w:val="single" w:sz="4" w:space="0" w:color="auto"/>
              <w:right w:val="single" w:sz="4" w:space="0" w:color="auto"/>
            </w:tcBorders>
            <w:hideMark/>
          </w:tcPr>
          <w:p w14:paraId="38CE4A86" w14:textId="3B82C69E" w:rsidR="002B37E9" w:rsidRPr="00140923" w:rsidRDefault="002B37E9" w:rsidP="00226764">
            <w:pPr>
              <w:pStyle w:val="Tabletext"/>
              <w:jc w:val="center"/>
              <w:rPr>
                <w:sz w:val="18"/>
                <w:szCs w:val="18"/>
                <w:lang w:val="es-ES_tradnl" w:eastAsia="ja-JP"/>
              </w:rPr>
            </w:pPr>
            <w:r w:rsidRPr="00140923">
              <w:rPr>
                <w:sz w:val="18"/>
                <w:szCs w:val="18"/>
                <w:lang w:val="es-ES_tradnl" w:eastAsia="ja-JP"/>
              </w:rPr>
              <w:t>0,0...6,3</w:t>
            </w:r>
          </w:p>
        </w:tc>
        <w:tc>
          <w:tcPr>
            <w:tcW w:w="992" w:type="dxa"/>
            <w:tcBorders>
              <w:top w:val="single" w:sz="4" w:space="0" w:color="auto"/>
              <w:left w:val="single" w:sz="4" w:space="0" w:color="auto"/>
              <w:bottom w:val="single" w:sz="4" w:space="0" w:color="auto"/>
              <w:right w:val="single" w:sz="4" w:space="0" w:color="auto"/>
            </w:tcBorders>
            <w:hideMark/>
          </w:tcPr>
          <w:p w14:paraId="5D0DC0EF"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0…1,5</w:t>
            </w:r>
          </w:p>
        </w:tc>
        <w:tc>
          <w:tcPr>
            <w:tcW w:w="951" w:type="dxa"/>
            <w:tcBorders>
              <w:top w:val="single" w:sz="4" w:space="0" w:color="auto"/>
              <w:left w:val="single" w:sz="4" w:space="0" w:color="auto"/>
              <w:bottom w:val="single" w:sz="4" w:space="0" w:color="auto"/>
              <w:right w:val="single" w:sz="4" w:space="0" w:color="auto"/>
            </w:tcBorders>
            <w:hideMark/>
          </w:tcPr>
          <w:p w14:paraId="73AF6AE3"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0…1,5</w:t>
            </w:r>
          </w:p>
        </w:tc>
      </w:tr>
      <w:tr w:rsidR="002B37E9" w:rsidRPr="00140923" w14:paraId="4890D63C"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F80C19" w14:textId="77777777" w:rsidR="002B37E9" w:rsidRPr="00140923" w:rsidRDefault="002B37E9" w:rsidP="00226764">
            <w:pPr>
              <w:pStyle w:val="Tabletext"/>
              <w:jc w:val="left"/>
              <w:rPr>
                <w:sz w:val="18"/>
                <w:szCs w:val="18"/>
                <w:lang w:val="es-ES_tradnl"/>
              </w:rPr>
            </w:pPr>
            <w:r w:rsidRPr="00140923">
              <w:rPr>
                <w:sz w:val="18"/>
                <w:szCs w:val="18"/>
                <w:lang w:val="es-ES_tradnl"/>
              </w:rPr>
              <w:t xml:space="preserve">Gama de ganancia de la antena (dBi) </w:t>
            </w:r>
          </w:p>
        </w:tc>
        <w:tc>
          <w:tcPr>
            <w:tcW w:w="1385" w:type="dxa"/>
            <w:tcBorders>
              <w:top w:val="single" w:sz="4" w:space="0" w:color="auto"/>
              <w:left w:val="single" w:sz="4" w:space="0" w:color="auto"/>
              <w:bottom w:val="single" w:sz="4" w:space="0" w:color="auto"/>
              <w:right w:val="single" w:sz="4" w:space="0" w:color="auto"/>
            </w:tcBorders>
            <w:hideMark/>
          </w:tcPr>
          <w:p w14:paraId="0FF4F167" w14:textId="1E1918DF" w:rsidR="002B37E9" w:rsidRPr="00140923" w:rsidRDefault="002B37E9" w:rsidP="00226764">
            <w:pPr>
              <w:pStyle w:val="Tabletext"/>
              <w:jc w:val="center"/>
              <w:rPr>
                <w:sz w:val="18"/>
                <w:szCs w:val="18"/>
                <w:lang w:val="es-ES_tradnl"/>
              </w:rPr>
            </w:pPr>
            <w:r w:rsidRPr="00140923">
              <w:rPr>
                <w:sz w:val="18"/>
                <w:szCs w:val="18"/>
                <w:lang w:val="es-ES_tradnl" w:eastAsia="ja-JP"/>
              </w:rPr>
              <w:t>31,9…49,0</w:t>
            </w:r>
          </w:p>
        </w:tc>
        <w:tc>
          <w:tcPr>
            <w:tcW w:w="1110" w:type="dxa"/>
            <w:tcBorders>
              <w:top w:val="single" w:sz="4" w:space="0" w:color="auto"/>
              <w:left w:val="single" w:sz="4" w:space="0" w:color="auto"/>
              <w:bottom w:val="single" w:sz="4" w:space="0" w:color="auto"/>
              <w:right w:val="single" w:sz="4" w:space="0" w:color="auto"/>
            </w:tcBorders>
            <w:hideMark/>
          </w:tcPr>
          <w:p w14:paraId="42DDB97C" w14:textId="56DA551D" w:rsidR="002B37E9" w:rsidRPr="00140923" w:rsidRDefault="002B37E9" w:rsidP="00226764">
            <w:pPr>
              <w:pStyle w:val="Tabletext"/>
              <w:jc w:val="center"/>
              <w:rPr>
                <w:sz w:val="18"/>
                <w:szCs w:val="18"/>
                <w:lang w:val="es-ES_tradnl"/>
              </w:rPr>
            </w:pPr>
            <w:r w:rsidRPr="00140923">
              <w:rPr>
                <w:sz w:val="18"/>
                <w:szCs w:val="18"/>
                <w:lang w:val="es-ES_tradnl" w:eastAsia="ja-JP"/>
              </w:rPr>
              <w:t>31,9…49,0</w:t>
            </w:r>
          </w:p>
        </w:tc>
        <w:tc>
          <w:tcPr>
            <w:tcW w:w="1219" w:type="dxa"/>
            <w:tcBorders>
              <w:top w:val="single" w:sz="4" w:space="0" w:color="auto"/>
              <w:left w:val="single" w:sz="4" w:space="0" w:color="auto"/>
              <w:bottom w:val="single" w:sz="4" w:space="0" w:color="auto"/>
              <w:right w:val="single" w:sz="4" w:space="0" w:color="auto"/>
            </w:tcBorders>
            <w:hideMark/>
          </w:tcPr>
          <w:p w14:paraId="4F21A54F" w14:textId="3ED3616A" w:rsidR="002B37E9" w:rsidRPr="00140923" w:rsidRDefault="002B37E9" w:rsidP="00226764">
            <w:pPr>
              <w:pStyle w:val="Tabletext"/>
              <w:jc w:val="center"/>
              <w:rPr>
                <w:sz w:val="18"/>
                <w:szCs w:val="18"/>
                <w:lang w:val="es-ES_tradnl" w:eastAsia="ja-JP"/>
              </w:rPr>
            </w:pPr>
            <w:r w:rsidRPr="00140923">
              <w:rPr>
                <w:sz w:val="18"/>
                <w:szCs w:val="18"/>
                <w:lang w:val="es-ES_tradnl" w:eastAsia="ja-JP"/>
              </w:rPr>
              <w:t>21,7…48,3</w:t>
            </w:r>
          </w:p>
        </w:tc>
        <w:tc>
          <w:tcPr>
            <w:tcW w:w="1219" w:type="dxa"/>
            <w:tcBorders>
              <w:top w:val="single" w:sz="4" w:space="0" w:color="auto"/>
              <w:left w:val="single" w:sz="4" w:space="0" w:color="auto"/>
              <w:bottom w:val="single" w:sz="4" w:space="0" w:color="auto"/>
              <w:right w:val="single" w:sz="4" w:space="0" w:color="auto"/>
            </w:tcBorders>
            <w:hideMark/>
          </w:tcPr>
          <w:p w14:paraId="58CFAAAE" w14:textId="5A179A75" w:rsidR="002B37E9" w:rsidRPr="00140923" w:rsidRDefault="002B37E9" w:rsidP="00226764">
            <w:pPr>
              <w:pStyle w:val="Tabletext"/>
              <w:jc w:val="center"/>
              <w:rPr>
                <w:sz w:val="18"/>
                <w:szCs w:val="18"/>
                <w:lang w:val="es-ES_tradnl" w:eastAsia="ja-JP"/>
              </w:rPr>
            </w:pPr>
            <w:r w:rsidRPr="00140923">
              <w:rPr>
                <w:sz w:val="18"/>
                <w:szCs w:val="18"/>
                <w:lang w:val="es-ES_tradnl"/>
              </w:rPr>
              <w:t>32…</w:t>
            </w:r>
            <w:r w:rsidRPr="00140923">
              <w:rPr>
                <w:sz w:val="18"/>
                <w:szCs w:val="18"/>
                <w:lang w:val="es-ES_tradnl" w:eastAsia="zh-CN"/>
              </w:rPr>
              <w:t>48</w:t>
            </w:r>
          </w:p>
        </w:tc>
        <w:tc>
          <w:tcPr>
            <w:tcW w:w="999" w:type="dxa"/>
            <w:tcBorders>
              <w:top w:val="single" w:sz="4" w:space="0" w:color="auto"/>
              <w:left w:val="single" w:sz="4" w:space="0" w:color="auto"/>
              <w:bottom w:val="single" w:sz="4" w:space="0" w:color="auto"/>
              <w:right w:val="single" w:sz="4" w:space="0" w:color="auto"/>
            </w:tcBorders>
            <w:hideMark/>
          </w:tcPr>
          <w:p w14:paraId="31D3AD07" w14:textId="23027770" w:rsidR="002B37E9" w:rsidRPr="00140923" w:rsidRDefault="002B37E9" w:rsidP="00226764">
            <w:pPr>
              <w:pStyle w:val="Tabletext"/>
              <w:jc w:val="center"/>
              <w:rPr>
                <w:sz w:val="18"/>
                <w:szCs w:val="18"/>
                <w:lang w:val="es-ES_tradnl" w:eastAsia="ja-JP"/>
              </w:rPr>
            </w:pPr>
            <w:r w:rsidRPr="00140923">
              <w:rPr>
                <w:sz w:val="18"/>
                <w:szCs w:val="18"/>
                <w:lang w:val="es-ES_tradnl" w:eastAsia="ja-JP"/>
              </w:rPr>
              <w:t>32,3...49,7</w:t>
            </w:r>
          </w:p>
        </w:tc>
        <w:tc>
          <w:tcPr>
            <w:tcW w:w="1110" w:type="dxa"/>
            <w:tcBorders>
              <w:top w:val="single" w:sz="4" w:space="0" w:color="auto"/>
              <w:left w:val="single" w:sz="4" w:space="0" w:color="auto"/>
              <w:bottom w:val="single" w:sz="4" w:space="0" w:color="auto"/>
              <w:right w:val="single" w:sz="4" w:space="0" w:color="auto"/>
            </w:tcBorders>
            <w:hideMark/>
          </w:tcPr>
          <w:p w14:paraId="20A1BAE3" w14:textId="66165853" w:rsidR="002B37E9" w:rsidRPr="00140923" w:rsidRDefault="002B37E9" w:rsidP="00226764">
            <w:pPr>
              <w:pStyle w:val="Tabletext"/>
              <w:jc w:val="center"/>
              <w:rPr>
                <w:sz w:val="18"/>
                <w:szCs w:val="18"/>
                <w:lang w:val="es-ES_tradnl"/>
              </w:rPr>
            </w:pPr>
            <w:r w:rsidRPr="00140923">
              <w:rPr>
                <w:sz w:val="18"/>
                <w:szCs w:val="18"/>
                <w:lang w:val="es-ES_tradnl"/>
              </w:rPr>
              <w:t>32</w:t>
            </w:r>
            <w:r w:rsidRPr="00140923">
              <w:rPr>
                <w:sz w:val="18"/>
                <w:szCs w:val="18"/>
                <w:lang w:val="es-ES_tradnl" w:eastAsia="ja-JP"/>
              </w:rPr>
              <w:t>,</w:t>
            </w:r>
            <w:r w:rsidRPr="00140923">
              <w:rPr>
                <w:sz w:val="18"/>
                <w:szCs w:val="18"/>
                <w:lang w:val="es-ES_tradnl"/>
              </w:rPr>
              <w:t>3...49</w:t>
            </w:r>
            <w:r w:rsidRPr="00140923">
              <w:rPr>
                <w:sz w:val="18"/>
                <w:szCs w:val="18"/>
                <w:lang w:val="es-ES_tradnl" w:eastAsia="ja-JP"/>
              </w:rPr>
              <w:t>,</w:t>
            </w:r>
            <w:r w:rsidRPr="00140923">
              <w:rPr>
                <w:sz w:val="18"/>
                <w:szCs w:val="18"/>
                <w:lang w:val="es-ES_tradnl"/>
              </w:rPr>
              <w:t>7</w:t>
            </w:r>
          </w:p>
        </w:tc>
        <w:tc>
          <w:tcPr>
            <w:tcW w:w="1165" w:type="dxa"/>
            <w:tcBorders>
              <w:top w:val="single" w:sz="4" w:space="0" w:color="auto"/>
              <w:left w:val="single" w:sz="4" w:space="0" w:color="auto"/>
              <w:bottom w:val="single" w:sz="4" w:space="0" w:color="auto"/>
              <w:right w:val="single" w:sz="4" w:space="0" w:color="auto"/>
            </w:tcBorders>
            <w:hideMark/>
          </w:tcPr>
          <w:p w14:paraId="778B6C08" w14:textId="07E8B6B6" w:rsidR="002B37E9" w:rsidRPr="00140923" w:rsidRDefault="002B37E9" w:rsidP="00226764">
            <w:pPr>
              <w:pStyle w:val="Tabletext"/>
              <w:jc w:val="center"/>
              <w:rPr>
                <w:sz w:val="18"/>
                <w:szCs w:val="18"/>
                <w:lang w:val="es-ES_tradnl"/>
              </w:rPr>
            </w:pPr>
            <w:r w:rsidRPr="00140923">
              <w:rPr>
                <w:sz w:val="18"/>
                <w:szCs w:val="18"/>
                <w:lang w:val="es-ES_tradnl" w:eastAsia="ja-JP"/>
              </w:rPr>
              <w:t>31,5...48</w:t>
            </w:r>
          </w:p>
        </w:tc>
        <w:tc>
          <w:tcPr>
            <w:tcW w:w="1197" w:type="dxa"/>
            <w:tcBorders>
              <w:top w:val="single" w:sz="4" w:space="0" w:color="auto"/>
              <w:left w:val="single" w:sz="4" w:space="0" w:color="auto"/>
              <w:bottom w:val="single" w:sz="4" w:space="0" w:color="auto"/>
              <w:right w:val="single" w:sz="4" w:space="0" w:color="auto"/>
            </w:tcBorders>
            <w:hideMark/>
          </w:tcPr>
          <w:p w14:paraId="3ABC5961" w14:textId="60E96B6C" w:rsidR="002B37E9" w:rsidRPr="00140923" w:rsidRDefault="002B37E9" w:rsidP="00226764">
            <w:pPr>
              <w:pStyle w:val="Tabletext"/>
              <w:jc w:val="center"/>
              <w:rPr>
                <w:sz w:val="18"/>
                <w:szCs w:val="18"/>
                <w:lang w:val="es-ES_tradnl" w:eastAsia="ja-JP"/>
              </w:rPr>
            </w:pPr>
            <w:r w:rsidRPr="00140923">
              <w:rPr>
                <w:sz w:val="18"/>
                <w:szCs w:val="18"/>
                <w:lang w:val="es-ES_tradnl" w:eastAsia="ja-JP"/>
              </w:rPr>
              <w:t>31,5…48</w:t>
            </w:r>
          </w:p>
        </w:tc>
        <w:tc>
          <w:tcPr>
            <w:tcW w:w="992" w:type="dxa"/>
            <w:tcBorders>
              <w:top w:val="single" w:sz="4" w:space="0" w:color="auto"/>
              <w:left w:val="single" w:sz="4" w:space="0" w:color="auto"/>
              <w:bottom w:val="single" w:sz="4" w:space="0" w:color="auto"/>
              <w:right w:val="single" w:sz="4" w:space="0" w:color="auto"/>
            </w:tcBorders>
            <w:hideMark/>
          </w:tcPr>
          <w:p w14:paraId="66BDBC6C"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37,8…43</w:t>
            </w:r>
          </w:p>
        </w:tc>
        <w:tc>
          <w:tcPr>
            <w:tcW w:w="951" w:type="dxa"/>
            <w:tcBorders>
              <w:top w:val="single" w:sz="4" w:space="0" w:color="auto"/>
              <w:left w:val="single" w:sz="4" w:space="0" w:color="auto"/>
              <w:bottom w:val="single" w:sz="4" w:space="0" w:color="auto"/>
              <w:right w:val="single" w:sz="4" w:space="0" w:color="auto"/>
            </w:tcBorders>
            <w:hideMark/>
          </w:tcPr>
          <w:p w14:paraId="17F26170"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37,8…43</w:t>
            </w:r>
          </w:p>
        </w:tc>
      </w:tr>
      <w:tr w:rsidR="002B37E9" w:rsidRPr="00140923" w14:paraId="7522234D"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779FC0" w14:textId="77777777" w:rsidR="002B37E9" w:rsidRPr="00140923" w:rsidRDefault="002B37E9" w:rsidP="00226764">
            <w:pPr>
              <w:pStyle w:val="Tabletext"/>
              <w:jc w:val="left"/>
              <w:rPr>
                <w:sz w:val="18"/>
                <w:szCs w:val="18"/>
                <w:lang w:val="es-ES_tradnl"/>
              </w:rPr>
            </w:pPr>
            <w:r w:rsidRPr="00140923">
              <w:rPr>
                <w:sz w:val="18"/>
                <w:szCs w:val="18"/>
                <w:lang w:val="es-ES_tradnl"/>
              </w:rPr>
              <w:t>Gama de la p.i.r.e. (dBW)</w:t>
            </w:r>
          </w:p>
        </w:tc>
        <w:tc>
          <w:tcPr>
            <w:tcW w:w="1385" w:type="dxa"/>
            <w:tcBorders>
              <w:top w:val="single" w:sz="4" w:space="0" w:color="auto"/>
              <w:left w:val="single" w:sz="4" w:space="0" w:color="auto"/>
              <w:bottom w:val="single" w:sz="4" w:space="0" w:color="auto"/>
              <w:right w:val="single" w:sz="4" w:space="0" w:color="auto"/>
            </w:tcBorders>
            <w:hideMark/>
          </w:tcPr>
          <w:p w14:paraId="43386E6E" w14:textId="4EABF9EE" w:rsidR="002B37E9" w:rsidRPr="00140923" w:rsidRDefault="002B37E9" w:rsidP="00226764">
            <w:pPr>
              <w:pStyle w:val="Tabletext"/>
              <w:jc w:val="center"/>
              <w:rPr>
                <w:sz w:val="18"/>
                <w:szCs w:val="18"/>
                <w:lang w:val="es-ES_tradnl"/>
              </w:rPr>
            </w:pPr>
            <w:r w:rsidRPr="00140923">
              <w:rPr>
                <w:sz w:val="18"/>
                <w:szCs w:val="18"/>
                <w:lang w:val="es-ES_tradnl" w:eastAsia="ja-JP"/>
              </w:rPr>
              <w:t>16,9…37</w:t>
            </w:r>
          </w:p>
        </w:tc>
        <w:tc>
          <w:tcPr>
            <w:tcW w:w="1110" w:type="dxa"/>
            <w:tcBorders>
              <w:top w:val="single" w:sz="4" w:space="0" w:color="auto"/>
              <w:left w:val="single" w:sz="4" w:space="0" w:color="auto"/>
              <w:bottom w:val="single" w:sz="4" w:space="0" w:color="auto"/>
              <w:right w:val="single" w:sz="4" w:space="0" w:color="auto"/>
            </w:tcBorders>
            <w:hideMark/>
          </w:tcPr>
          <w:p w14:paraId="66F1382B" w14:textId="374CAC82" w:rsidR="002B37E9" w:rsidRPr="00140923" w:rsidRDefault="002B37E9" w:rsidP="00226764">
            <w:pPr>
              <w:pStyle w:val="Tabletext"/>
              <w:ind w:left="-57" w:right="-57"/>
              <w:jc w:val="center"/>
              <w:rPr>
                <w:sz w:val="18"/>
                <w:szCs w:val="18"/>
                <w:lang w:val="es-ES_tradnl"/>
              </w:rPr>
            </w:pPr>
            <w:r w:rsidRPr="00140923">
              <w:rPr>
                <w:sz w:val="18"/>
                <w:szCs w:val="18"/>
                <w:lang w:val="es-ES_tradnl" w:eastAsia="ja-JP"/>
              </w:rPr>
              <w:t>19,9…36</w:t>
            </w:r>
          </w:p>
        </w:tc>
        <w:tc>
          <w:tcPr>
            <w:tcW w:w="1219" w:type="dxa"/>
            <w:tcBorders>
              <w:top w:val="single" w:sz="4" w:space="0" w:color="auto"/>
              <w:left w:val="single" w:sz="4" w:space="0" w:color="auto"/>
              <w:bottom w:val="single" w:sz="4" w:space="0" w:color="auto"/>
              <w:right w:val="single" w:sz="4" w:space="0" w:color="auto"/>
            </w:tcBorders>
            <w:hideMark/>
          </w:tcPr>
          <w:p w14:paraId="4F04AB07" w14:textId="09AF4447"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11,7…43</w:t>
            </w:r>
          </w:p>
        </w:tc>
        <w:tc>
          <w:tcPr>
            <w:tcW w:w="1219" w:type="dxa"/>
            <w:tcBorders>
              <w:top w:val="single" w:sz="4" w:space="0" w:color="auto"/>
              <w:left w:val="single" w:sz="4" w:space="0" w:color="auto"/>
              <w:bottom w:val="single" w:sz="4" w:space="0" w:color="auto"/>
              <w:right w:val="single" w:sz="4" w:space="0" w:color="auto"/>
            </w:tcBorders>
            <w:hideMark/>
          </w:tcPr>
          <w:p w14:paraId="01220A7B" w14:textId="7071ED22" w:rsidR="002B37E9" w:rsidRPr="00140923" w:rsidRDefault="002B37E9" w:rsidP="00226764">
            <w:pPr>
              <w:pStyle w:val="Tabletext"/>
              <w:jc w:val="center"/>
              <w:rPr>
                <w:sz w:val="18"/>
                <w:szCs w:val="18"/>
                <w:lang w:val="es-ES_tradnl" w:eastAsia="ja-JP"/>
              </w:rPr>
            </w:pPr>
            <w:r w:rsidRPr="00140923">
              <w:rPr>
                <w:sz w:val="18"/>
                <w:szCs w:val="18"/>
                <w:lang w:val="es-ES_tradnl"/>
              </w:rPr>
              <w:t>−1</w:t>
            </w:r>
            <w:r w:rsidRPr="00140923">
              <w:rPr>
                <w:sz w:val="18"/>
                <w:szCs w:val="18"/>
                <w:lang w:val="es-ES_tradnl" w:eastAsia="ja-JP"/>
              </w:rPr>
              <w:t>,</w:t>
            </w:r>
            <w:r w:rsidRPr="00140923">
              <w:rPr>
                <w:sz w:val="18"/>
                <w:szCs w:val="18"/>
                <w:lang w:val="es-ES_tradnl"/>
              </w:rPr>
              <w:t>1...36</w:t>
            </w:r>
          </w:p>
        </w:tc>
        <w:tc>
          <w:tcPr>
            <w:tcW w:w="999" w:type="dxa"/>
            <w:tcBorders>
              <w:top w:val="single" w:sz="4" w:space="0" w:color="auto"/>
              <w:left w:val="single" w:sz="4" w:space="0" w:color="auto"/>
              <w:bottom w:val="single" w:sz="4" w:space="0" w:color="auto"/>
              <w:right w:val="single" w:sz="4" w:space="0" w:color="auto"/>
            </w:tcBorders>
            <w:hideMark/>
          </w:tcPr>
          <w:p w14:paraId="11F8C97B" w14:textId="666A9903" w:rsidR="002B37E9" w:rsidRPr="00140923" w:rsidRDefault="002B37E9" w:rsidP="00226764">
            <w:pPr>
              <w:pStyle w:val="Tabletext"/>
              <w:jc w:val="center"/>
              <w:rPr>
                <w:sz w:val="18"/>
                <w:szCs w:val="18"/>
                <w:lang w:val="es-ES_tradnl"/>
              </w:rPr>
            </w:pPr>
            <w:r w:rsidRPr="00140923">
              <w:rPr>
                <w:sz w:val="18"/>
                <w:szCs w:val="18"/>
                <w:lang w:val="es-ES_tradnl" w:eastAsia="ja-JP"/>
              </w:rPr>
              <w:t>9,4…34,7</w:t>
            </w:r>
          </w:p>
        </w:tc>
        <w:tc>
          <w:tcPr>
            <w:tcW w:w="1110" w:type="dxa"/>
            <w:tcBorders>
              <w:top w:val="single" w:sz="4" w:space="0" w:color="auto"/>
              <w:left w:val="single" w:sz="4" w:space="0" w:color="auto"/>
              <w:bottom w:val="single" w:sz="4" w:space="0" w:color="auto"/>
              <w:right w:val="single" w:sz="4" w:space="0" w:color="auto"/>
            </w:tcBorders>
            <w:hideMark/>
          </w:tcPr>
          <w:p w14:paraId="10564163" w14:textId="479E7F82" w:rsidR="002B37E9" w:rsidRPr="00140923" w:rsidRDefault="002B37E9" w:rsidP="00226764">
            <w:pPr>
              <w:pStyle w:val="Tabletext"/>
              <w:jc w:val="center"/>
              <w:rPr>
                <w:sz w:val="18"/>
                <w:szCs w:val="18"/>
                <w:lang w:val="es-ES_tradnl"/>
              </w:rPr>
            </w:pPr>
            <w:r w:rsidRPr="00140923">
              <w:rPr>
                <w:sz w:val="18"/>
                <w:szCs w:val="18"/>
                <w:lang w:val="es-ES_tradnl"/>
              </w:rPr>
              <w:t>12</w:t>
            </w:r>
            <w:r w:rsidRPr="00140923">
              <w:rPr>
                <w:sz w:val="18"/>
                <w:szCs w:val="18"/>
                <w:lang w:val="es-ES_tradnl" w:eastAsia="ja-JP"/>
              </w:rPr>
              <w:t>,</w:t>
            </w:r>
            <w:r w:rsidRPr="00140923">
              <w:rPr>
                <w:sz w:val="18"/>
                <w:szCs w:val="18"/>
                <w:lang w:val="es-ES_tradnl"/>
              </w:rPr>
              <w:t>8…29</w:t>
            </w:r>
            <w:r w:rsidRPr="00140923">
              <w:rPr>
                <w:sz w:val="18"/>
                <w:szCs w:val="18"/>
                <w:lang w:val="es-ES_tradnl" w:eastAsia="ja-JP"/>
              </w:rPr>
              <w:t>,</w:t>
            </w:r>
            <w:r w:rsidRPr="00140923">
              <w:rPr>
                <w:sz w:val="18"/>
                <w:szCs w:val="18"/>
                <w:lang w:val="es-ES_tradnl"/>
              </w:rPr>
              <w:t>6</w:t>
            </w:r>
          </w:p>
        </w:tc>
        <w:tc>
          <w:tcPr>
            <w:tcW w:w="1165" w:type="dxa"/>
            <w:tcBorders>
              <w:top w:val="single" w:sz="4" w:space="0" w:color="auto"/>
              <w:left w:val="single" w:sz="4" w:space="0" w:color="auto"/>
              <w:bottom w:val="single" w:sz="4" w:space="0" w:color="auto"/>
              <w:right w:val="single" w:sz="4" w:space="0" w:color="auto"/>
            </w:tcBorders>
            <w:hideMark/>
          </w:tcPr>
          <w:p w14:paraId="58173FCD" w14:textId="21701E45" w:rsidR="002B37E9" w:rsidRPr="00140923" w:rsidRDefault="002B37E9" w:rsidP="00226764">
            <w:pPr>
              <w:pStyle w:val="Tabletext"/>
              <w:jc w:val="center"/>
              <w:rPr>
                <w:sz w:val="18"/>
                <w:szCs w:val="18"/>
                <w:lang w:val="es-ES_tradnl"/>
              </w:rPr>
            </w:pPr>
            <w:r w:rsidRPr="00140923">
              <w:rPr>
                <w:sz w:val="18"/>
                <w:szCs w:val="18"/>
                <w:lang w:val="es-ES_tradnl"/>
              </w:rPr>
              <w:t>−</w:t>
            </w:r>
            <w:r w:rsidRPr="00140923">
              <w:rPr>
                <w:sz w:val="18"/>
                <w:szCs w:val="18"/>
                <w:lang w:val="es-ES_tradnl" w:eastAsia="ja-JP"/>
              </w:rPr>
              <w:t>13,9…29</w:t>
            </w:r>
          </w:p>
        </w:tc>
        <w:tc>
          <w:tcPr>
            <w:tcW w:w="1197" w:type="dxa"/>
            <w:tcBorders>
              <w:top w:val="single" w:sz="4" w:space="0" w:color="auto"/>
              <w:left w:val="single" w:sz="4" w:space="0" w:color="auto"/>
              <w:bottom w:val="single" w:sz="4" w:space="0" w:color="auto"/>
              <w:right w:val="single" w:sz="4" w:space="0" w:color="auto"/>
            </w:tcBorders>
            <w:hideMark/>
          </w:tcPr>
          <w:p w14:paraId="0EF792F3" w14:textId="63A5A17A"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15,2…48</w:t>
            </w:r>
          </w:p>
        </w:tc>
        <w:tc>
          <w:tcPr>
            <w:tcW w:w="992" w:type="dxa"/>
            <w:tcBorders>
              <w:top w:val="single" w:sz="4" w:space="0" w:color="auto"/>
              <w:left w:val="single" w:sz="4" w:space="0" w:color="auto"/>
              <w:bottom w:val="single" w:sz="4" w:space="0" w:color="auto"/>
              <w:right w:val="single" w:sz="4" w:space="0" w:color="auto"/>
            </w:tcBorders>
            <w:hideMark/>
          </w:tcPr>
          <w:p w14:paraId="4ACD2CA0"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7,3…</w:t>
            </w:r>
            <w:r w:rsidRPr="00140923">
              <w:rPr>
                <w:sz w:val="18"/>
                <w:szCs w:val="18"/>
                <w:lang w:val="es-ES_tradnl"/>
              </w:rPr>
              <w:br/>
            </w:r>
            <w:r w:rsidRPr="00140923">
              <w:rPr>
                <w:sz w:val="18"/>
                <w:szCs w:val="18"/>
                <w:lang w:val="es-ES_tradnl" w:eastAsia="ja-JP"/>
              </w:rPr>
              <w:t>34,0</w:t>
            </w:r>
          </w:p>
        </w:tc>
        <w:tc>
          <w:tcPr>
            <w:tcW w:w="951" w:type="dxa"/>
            <w:tcBorders>
              <w:top w:val="single" w:sz="4" w:space="0" w:color="auto"/>
              <w:left w:val="single" w:sz="4" w:space="0" w:color="auto"/>
              <w:bottom w:val="single" w:sz="4" w:space="0" w:color="auto"/>
              <w:right w:val="single" w:sz="4" w:space="0" w:color="auto"/>
            </w:tcBorders>
            <w:hideMark/>
          </w:tcPr>
          <w:p w14:paraId="3C35C061"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7,3…</w:t>
            </w:r>
            <w:r w:rsidRPr="00140923">
              <w:rPr>
                <w:sz w:val="18"/>
                <w:szCs w:val="18"/>
                <w:lang w:val="es-ES_tradnl"/>
              </w:rPr>
              <w:br/>
            </w:r>
            <w:r w:rsidRPr="00140923">
              <w:rPr>
                <w:sz w:val="18"/>
                <w:szCs w:val="18"/>
                <w:lang w:val="es-ES_tradnl" w:eastAsia="ja-JP"/>
              </w:rPr>
              <w:t>28,0</w:t>
            </w:r>
            <w:r w:rsidRPr="00140923">
              <w:rPr>
                <w:sz w:val="18"/>
                <w:szCs w:val="18"/>
                <w:lang w:val="es-ES_tradnl"/>
              </w:rPr>
              <w:t>5</w:t>
            </w:r>
          </w:p>
        </w:tc>
      </w:tr>
      <w:tr w:rsidR="002B37E9" w:rsidRPr="00140923" w14:paraId="4059FC5B"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B1278D" w14:textId="77777777" w:rsidR="002B37E9" w:rsidRPr="00140923" w:rsidRDefault="002B37E9" w:rsidP="00226764">
            <w:pPr>
              <w:pStyle w:val="Tabletext"/>
              <w:jc w:val="left"/>
              <w:rPr>
                <w:sz w:val="18"/>
                <w:szCs w:val="18"/>
                <w:lang w:val="es-ES_tradnl"/>
              </w:rPr>
            </w:pPr>
            <w:r w:rsidRPr="00140923">
              <w:rPr>
                <w:sz w:val="18"/>
                <w:szCs w:val="18"/>
                <w:lang w:val="es-ES_tradnl"/>
              </w:rPr>
              <w:t>Gama de densidad de p.i.r.e. (dBW/MHz)</w:t>
            </w:r>
            <w:r w:rsidRPr="00140923">
              <w:rPr>
                <w:sz w:val="18"/>
                <w:szCs w:val="18"/>
                <w:vertAlign w:val="superscript"/>
                <w:lang w:val="es-ES_tradnl" w:eastAsia="ja-JP"/>
              </w:rPr>
              <w:t>(1)</w:t>
            </w:r>
          </w:p>
        </w:tc>
        <w:tc>
          <w:tcPr>
            <w:tcW w:w="1385" w:type="dxa"/>
            <w:tcBorders>
              <w:top w:val="single" w:sz="4" w:space="0" w:color="auto"/>
              <w:left w:val="single" w:sz="4" w:space="0" w:color="auto"/>
              <w:bottom w:val="single" w:sz="4" w:space="0" w:color="auto"/>
              <w:right w:val="single" w:sz="4" w:space="0" w:color="auto"/>
            </w:tcBorders>
            <w:hideMark/>
          </w:tcPr>
          <w:p w14:paraId="5C471953" w14:textId="074A9248" w:rsidR="002B37E9" w:rsidRPr="00140923" w:rsidRDefault="002B37E9" w:rsidP="00226764">
            <w:pPr>
              <w:pStyle w:val="Tabletext"/>
              <w:ind w:left="-57" w:right="-57"/>
              <w:jc w:val="center"/>
              <w:rPr>
                <w:sz w:val="18"/>
                <w:szCs w:val="18"/>
                <w:lang w:val="es-ES_tradnl" w:eastAsia="ja-JP"/>
              </w:rPr>
            </w:pPr>
            <w:r w:rsidRPr="00140923">
              <w:rPr>
                <w:sz w:val="18"/>
                <w:szCs w:val="18"/>
                <w:lang w:val="es-ES_tradnl" w:eastAsia="ja-JP"/>
              </w:rPr>
              <w:t>11,5…31,6</w:t>
            </w:r>
          </w:p>
        </w:tc>
        <w:tc>
          <w:tcPr>
            <w:tcW w:w="1110" w:type="dxa"/>
            <w:tcBorders>
              <w:top w:val="single" w:sz="4" w:space="0" w:color="auto"/>
              <w:left w:val="single" w:sz="4" w:space="0" w:color="auto"/>
              <w:bottom w:val="single" w:sz="4" w:space="0" w:color="auto"/>
              <w:right w:val="single" w:sz="4" w:space="0" w:color="auto"/>
            </w:tcBorders>
            <w:hideMark/>
          </w:tcPr>
          <w:p w14:paraId="2EA35B79" w14:textId="7BD890F2" w:rsidR="002B37E9" w:rsidRPr="00140923" w:rsidRDefault="002B37E9" w:rsidP="00226764">
            <w:pPr>
              <w:pStyle w:val="Tabletext"/>
              <w:ind w:left="-57" w:right="-57"/>
              <w:jc w:val="center"/>
              <w:rPr>
                <w:sz w:val="18"/>
                <w:szCs w:val="18"/>
                <w:lang w:val="es-ES_tradnl" w:eastAsia="ja-JP"/>
              </w:rPr>
            </w:pPr>
            <w:r w:rsidRPr="00140923">
              <w:rPr>
                <w:sz w:val="18"/>
                <w:szCs w:val="18"/>
                <w:lang w:val="es-ES_tradnl" w:eastAsia="ja-JP"/>
              </w:rPr>
              <w:t>5,4…21,5</w:t>
            </w:r>
          </w:p>
        </w:tc>
        <w:tc>
          <w:tcPr>
            <w:tcW w:w="1219" w:type="dxa"/>
            <w:tcBorders>
              <w:top w:val="single" w:sz="4" w:space="0" w:color="auto"/>
              <w:left w:val="single" w:sz="4" w:space="0" w:color="auto"/>
              <w:bottom w:val="single" w:sz="4" w:space="0" w:color="auto"/>
              <w:right w:val="single" w:sz="4" w:space="0" w:color="auto"/>
            </w:tcBorders>
            <w:hideMark/>
          </w:tcPr>
          <w:p w14:paraId="4BF8EE06" w14:textId="26877F94" w:rsidR="002B37E9" w:rsidRPr="00140923" w:rsidRDefault="002B37E9" w:rsidP="00226764">
            <w:pPr>
              <w:pStyle w:val="Tabletext"/>
              <w:ind w:left="-57" w:right="-57"/>
              <w:jc w:val="center"/>
              <w:rPr>
                <w:sz w:val="18"/>
                <w:szCs w:val="18"/>
                <w:lang w:val="es-ES_tradnl" w:eastAsia="ja-JP"/>
              </w:rPr>
            </w:pPr>
            <w:r w:rsidRPr="00140923">
              <w:rPr>
                <w:sz w:val="18"/>
                <w:szCs w:val="18"/>
                <w:lang w:val="es-ES_tradnl"/>
              </w:rPr>
              <w:t>−</w:t>
            </w:r>
            <w:r w:rsidRPr="00140923">
              <w:rPr>
                <w:sz w:val="18"/>
                <w:szCs w:val="18"/>
                <w:lang w:val="es-ES_tradnl" w:eastAsia="ja-JP"/>
              </w:rPr>
              <w:t>20,4…27,3</w:t>
            </w:r>
            <w:r w:rsidRPr="00140923">
              <w:rPr>
                <w:sz w:val="18"/>
                <w:szCs w:val="18"/>
                <w:lang w:val="es-ES_tradnl" w:eastAsia="ja-JP"/>
              </w:rPr>
              <w:br/>
              <w:t>(Moda 16,2)</w:t>
            </w:r>
          </w:p>
        </w:tc>
        <w:tc>
          <w:tcPr>
            <w:tcW w:w="1219" w:type="dxa"/>
            <w:tcBorders>
              <w:top w:val="single" w:sz="4" w:space="0" w:color="auto"/>
              <w:left w:val="single" w:sz="4" w:space="0" w:color="auto"/>
              <w:bottom w:val="single" w:sz="4" w:space="0" w:color="auto"/>
              <w:right w:val="single" w:sz="4" w:space="0" w:color="auto"/>
            </w:tcBorders>
            <w:hideMark/>
          </w:tcPr>
          <w:p w14:paraId="27D03772" w14:textId="627CA41E" w:rsidR="002B37E9" w:rsidRPr="00140923" w:rsidRDefault="002B37E9" w:rsidP="00226764">
            <w:pPr>
              <w:pStyle w:val="Tabletext"/>
              <w:ind w:left="-57" w:right="-57"/>
              <w:jc w:val="center"/>
              <w:rPr>
                <w:sz w:val="18"/>
                <w:szCs w:val="18"/>
                <w:lang w:val="es-ES_tradnl" w:eastAsia="ja-JP"/>
              </w:rPr>
            </w:pPr>
            <w:r w:rsidRPr="00140923">
              <w:rPr>
                <w:sz w:val="18"/>
                <w:szCs w:val="18"/>
                <w:lang w:val="es-ES_tradnl"/>
              </w:rPr>
              <w:t>−17</w:t>
            </w:r>
            <w:r w:rsidRPr="00140923">
              <w:rPr>
                <w:sz w:val="18"/>
                <w:szCs w:val="18"/>
                <w:lang w:val="es-ES_tradnl" w:eastAsia="ja-JP"/>
              </w:rPr>
              <w:t>,</w:t>
            </w:r>
            <w:r w:rsidRPr="00140923">
              <w:rPr>
                <w:sz w:val="18"/>
                <w:szCs w:val="18"/>
                <w:lang w:val="es-ES_tradnl"/>
              </w:rPr>
              <w:t>1...20</w:t>
            </w:r>
            <w:r w:rsidRPr="00140923">
              <w:rPr>
                <w:sz w:val="18"/>
                <w:szCs w:val="18"/>
                <w:lang w:val="es-ES_tradnl" w:eastAsia="ja-JP"/>
              </w:rPr>
              <w:br/>
              <w:t>(Moda 8,0)</w:t>
            </w:r>
          </w:p>
        </w:tc>
        <w:tc>
          <w:tcPr>
            <w:tcW w:w="999" w:type="dxa"/>
            <w:tcBorders>
              <w:top w:val="single" w:sz="4" w:space="0" w:color="auto"/>
              <w:left w:val="single" w:sz="4" w:space="0" w:color="auto"/>
              <w:bottom w:val="single" w:sz="4" w:space="0" w:color="auto"/>
              <w:right w:val="single" w:sz="4" w:space="0" w:color="auto"/>
            </w:tcBorders>
            <w:hideMark/>
          </w:tcPr>
          <w:p w14:paraId="79EBCD07" w14:textId="4C5EDC9B" w:rsidR="002B37E9" w:rsidRPr="00140923" w:rsidRDefault="002B37E9" w:rsidP="00226764">
            <w:pPr>
              <w:pStyle w:val="Tabletext"/>
              <w:ind w:left="-57" w:right="-57"/>
              <w:jc w:val="center"/>
              <w:rPr>
                <w:sz w:val="18"/>
                <w:szCs w:val="18"/>
                <w:lang w:val="es-ES_tradnl" w:eastAsia="ja-JP"/>
              </w:rPr>
            </w:pPr>
            <w:r w:rsidRPr="00140923">
              <w:rPr>
                <w:sz w:val="18"/>
                <w:szCs w:val="18"/>
                <w:lang w:val="es-ES_tradnl"/>
              </w:rPr>
              <w:t>−4</w:t>
            </w:r>
            <w:r w:rsidRPr="00140923">
              <w:rPr>
                <w:sz w:val="18"/>
                <w:szCs w:val="18"/>
                <w:lang w:val="es-ES_tradnl" w:eastAsia="ja-JP"/>
              </w:rPr>
              <w:t>,</w:t>
            </w:r>
            <w:r w:rsidRPr="00140923">
              <w:rPr>
                <w:sz w:val="18"/>
                <w:szCs w:val="18"/>
                <w:lang w:val="es-ES_tradnl"/>
              </w:rPr>
              <w:t>6…20</w:t>
            </w:r>
            <w:r w:rsidRPr="00140923">
              <w:rPr>
                <w:sz w:val="18"/>
                <w:szCs w:val="18"/>
                <w:lang w:val="es-ES_tradnl" w:eastAsia="ja-JP"/>
              </w:rPr>
              <w:t>,</w:t>
            </w:r>
            <w:r w:rsidRPr="00140923">
              <w:rPr>
                <w:sz w:val="18"/>
                <w:szCs w:val="18"/>
                <w:lang w:val="es-ES_tradnl"/>
              </w:rPr>
              <w:t>7</w:t>
            </w:r>
          </w:p>
        </w:tc>
        <w:tc>
          <w:tcPr>
            <w:tcW w:w="1110" w:type="dxa"/>
            <w:tcBorders>
              <w:top w:val="single" w:sz="4" w:space="0" w:color="auto"/>
              <w:left w:val="single" w:sz="4" w:space="0" w:color="auto"/>
              <w:bottom w:val="single" w:sz="4" w:space="0" w:color="auto"/>
              <w:right w:val="single" w:sz="4" w:space="0" w:color="auto"/>
            </w:tcBorders>
          </w:tcPr>
          <w:p w14:paraId="662583B8"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−2</w:t>
            </w:r>
            <w:r w:rsidRPr="00140923">
              <w:rPr>
                <w:sz w:val="18"/>
                <w:szCs w:val="18"/>
                <w:lang w:val="es-ES_tradnl" w:eastAsia="ja-JP"/>
              </w:rPr>
              <w:t>,</w:t>
            </w:r>
            <w:r w:rsidRPr="00140923">
              <w:rPr>
                <w:sz w:val="18"/>
                <w:szCs w:val="18"/>
                <w:lang w:val="es-ES_tradnl"/>
              </w:rPr>
              <w:t>0…14</w:t>
            </w:r>
            <w:r w:rsidRPr="00140923">
              <w:rPr>
                <w:sz w:val="18"/>
                <w:szCs w:val="18"/>
                <w:lang w:val="es-ES_tradnl" w:eastAsia="ja-JP"/>
              </w:rPr>
              <w:t>,</w:t>
            </w:r>
            <w:r w:rsidRPr="00140923">
              <w:rPr>
                <w:sz w:val="18"/>
                <w:szCs w:val="18"/>
                <w:lang w:val="es-ES_tradnl"/>
              </w:rPr>
              <w:t>8</w:t>
            </w:r>
          </w:p>
        </w:tc>
        <w:tc>
          <w:tcPr>
            <w:tcW w:w="1165" w:type="dxa"/>
            <w:tcBorders>
              <w:top w:val="single" w:sz="4" w:space="0" w:color="auto"/>
              <w:left w:val="single" w:sz="4" w:space="0" w:color="auto"/>
              <w:bottom w:val="single" w:sz="4" w:space="0" w:color="auto"/>
              <w:right w:val="single" w:sz="4" w:space="0" w:color="auto"/>
            </w:tcBorders>
            <w:hideMark/>
          </w:tcPr>
          <w:p w14:paraId="483B258D" w14:textId="6AF8BDA3"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28,7…</w:t>
            </w:r>
            <w:r w:rsidRPr="00140923">
              <w:rPr>
                <w:sz w:val="18"/>
                <w:szCs w:val="18"/>
                <w:lang w:val="es-ES_tradnl" w:eastAsia="ja-JP"/>
              </w:rPr>
              <w:br/>
            </w:r>
            <w:r w:rsidRPr="00140923">
              <w:rPr>
                <w:sz w:val="18"/>
                <w:szCs w:val="18"/>
                <w:lang w:val="es-ES_tradnl"/>
              </w:rPr>
              <w:t>14</w:t>
            </w:r>
            <w:r w:rsidRPr="00140923">
              <w:rPr>
                <w:sz w:val="18"/>
                <w:szCs w:val="18"/>
                <w:lang w:val="es-ES_tradnl" w:eastAsia="ja-JP"/>
              </w:rPr>
              <w:t>,</w:t>
            </w:r>
            <w:r w:rsidRPr="00140923">
              <w:rPr>
                <w:sz w:val="18"/>
                <w:szCs w:val="18"/>
                <w:lang w:val="es-ES_tradnl"/>
              </w:rPr>
              <w:t>2</w:t>
            </w:r>
            <w:r w:rsidRPr="00140923">
              <w:rPr>
                <w:sz w:val="18"/>
                <w:szCs w:val="18"/>
                <w:vertAlign w:val="superscript"/>
                <w:lang w:val="es-ES_tradnl" w:eastAsia="ja-JP"/>
              </w:rPr>
              <w:t>(7)</w:t>
            </w:r>
            <w:r w:rsidRPr="00140923">
              <w:rPr>
                <w:sz w:val="18"/>
                <w:szCs w:val="18"/>
                <w:lang w:val="es-ES_tradnl" w:eastAsia="ja-JP"/>
              </w:rPr>
              <w:t xml:space="preserve"> </w:t>
            </w:r>
          </w:p>
        </w:tc>
        <w:tc>
          <w:tcPr>
            <w:tcW w:w="1197" w:type="dxa"/>
            <w:tcBorders>
              <w:top w:val="single" w:sz="4" w:space="0" w:color="auto"/>
              <w:left w:val="single" w:sz="4" w:space="0" w:color="auto"/>
              <w:bottom w:val="single" w:sz="4" w:space="0" w:color="auto"/>
              <w:right w:val="single" w:sz="4" w:space="0" w:color="auto"/>
            </w:tcBorders>
            <w:hideMark/>
          </w:tcPr>
          <w:p w14:paraId="201C67CB" w14:textId="403E2DE3" w:rsidR="002B37E9" w:rsidRPr="00140923" w:rsidRDefault="002B37E9" w:rsidP="00226764">
            <w:pPr>
              <w:pStyle w:val="Tabletext"/>
              <w:jc w:val="center"/>
              <w:rPr>
                <w:sz w:val="18"/>
                <w:szCs w:val="18"/>
                <w:lang w:val="es-ES_tradnl" w:eastAsia="ja-JP"/>
              </w:rPr>
            </w:pPr>
            <w:r w:rsidRPr="00140923">
              <w:rPr>
                <w:sz w:val="18"/>
                <w:szCs w:val="18"/>
                <w:lang w:val="es-ES_tradnl" w:eastAsia="ja-JP"/>
              </w:rPr>
              <w:t>0,4…33,2</w:t>
            </w:r>
          </w:p>
        </w:tc>
        <w:tc>
          <w:tcPr>
            <w:tcW w:w="992" w:type="dxa"/>
            <w:tcBorders>
              <w:top w:val="single" w:sz="4" w:space="0" w:color="auto"/>
              <w:left w:val="single" w:sz="4" w:space="0" w:color="auto"/>
              <w:bottom w:val="single" w:sz="4" w:space="0" w:color="auto"/>
              <w:right w:val="single" w:sz="4" w:space="0" w:color="auto"/>
            </w:tcBorders>
            <w:hideMark/>
          </w:tcPr>
          <w:p w14:paraId="7CC69ADA"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−1,1…</w:t>
            </w:r>
            <w:r w:rsidRPr="00140923">
              <w:rPr>
                <w:sz w:val="18"/>
                <w:szCs w:val="18"/>
                <w:lang w:val="es-ES_tradnl"/>
              </w:rPr>
              <w:br/>
            </w:r>
            <w:r w:rsidRPr="00140923">
              <w:rPr>
                <w:sz w:val="18"/>
                <w:szCs w:val="18"/>
                <w:lang w:val="es-ES_tradnl" w:eastAsia="ja-JP"/>
              </w:rPr>
              <w:t>25,5</w:t>
            </w:r>
          </w:p>
        </w:tc>
        <w:tc>
          <w:tcPr>
            <w:tcW w:w="951" w:type="dxa"/>
            <w:tcBorders>
              <w:top w:val="single" w:sz="4" w:space="0" w:color="auto"/>
              <w:left w:val="single" w:sz="4" w:space="0" w:color="auto"/>
              <w:bottom w:val="single" w:sz="4" w:space="0" w:color="auto"/>
              <w:right w:val="single" w:sz="4" w:space="0" w:color="auto"/>
            </w:tcBorders>
            <w:hideMark/>
          </w:tcPr>
          <w:p w14:paraId="6A2FA1AB"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−7,2…</w:t>
            </w:r>
            <w:r w:rsidRPr="00140923">
              <w:rPr>
                <w:sz w:val="18"/>
                <w:szCs w:val="18"/>
                <w:lang w:val="es-ES_tradnl"/>
              </w:rPr>
              <w:br/>
              <w:t>1</w:t>
            </w:r>
            <w:r w:rsidRPr="00140923">
              <w:rPr>
                <w:sz w:val="18"/>
                <w:szCs w:val="18"/>
                <w:lang w:val="es-ES_tradnl" w:eastAsia="ja-JP"/>
              </w:rPr>
              <w:t>3,5</w:t>
            </w:r>
          </w:p>
        </w:tc>
      </w:tr>
      <w:tr w:rsidR="002B37E9" w:rsidRPr="00140923" w14:paraId="77C592B9"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73303BA" w14:textId="77777777" w:rsidR="002B37E9" w:rsidRPr="00140923" w:rsidRDefault="002B37E9" w:rsidP="00226764">
            <w:pPr>
              <w:pStyle w:val="Tabletext"/>
              <w:jc w:val="left"/>
              <w:rPr>
                <w:sz w:val="18"/>
                <w:szCs w:val="18"/>
                <w:lang w:val="es-ES_tradnl"/>
              </w:rPr>
            </w:pPr>
            <w:r w:rsidRPr="00140923">
              <w:rPr>
                <w:sz w:val="18"/>
                <w:szCs w:val="18"/>
                <w:lang w:val="es-ES_tradnl"/>
              </w:rPr>
              <w:t>Factor de ruido típico del receptor</w:t>
            </w:r>
          </w:p>
        </w:tc>
        <w:tc>
          <w:tcPr>
            <w:tcW w:w="1385" w:type="dxa"/>
            <w:tcBorders>
              <w:top w:val="single" w:sz="4" w:space="0" w:color="auto"/>
              <w:left w:val="single" w:sz="4" w:space="0" w:color="auto"/>
              <w:bottom w:val="single" w:sz="4" w:space="0" w:color="auto"/>
              <w:right w:val="single" w:sz="4" w:space="0" w:color="auto"/>
            </w:tcBorders>
          </w:tcPr>
          <w:p w14:paraId="5B22DA26"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5</w:t>
            </w:r>
          </w:p>
        </w:tc>
        <w:tc>
          <w:tcPr>
            <w:tcW w:w="1110" w:type="dxa"/>
            <w:tcBorders>
              <w:top w:val="single" w:sz="4" w:space="0" w:color="auto"/>
              <w:left w:val="single" w:sz="4" w:space="0" w:color="auto"/>
              <w:bottom w:val="single" w:sz="4" w:space="0" w:color="auto"/>
              <w:right w:val="single" w:sz="4" w:space="0" w:color="auto"/>
            </w:tcBorders>
            <w:hideMark/>
          </w:tcPr>
          <w:p w14:paraId="6317CD01" w14:textId="370942A8" w:rsidR="002B37E9" w:rsidRPr="00140923" w:rsidRDefault="002B37E9" w:rsidP="00226764">
            <w:pPr>
              <w:pStyle w:val="Tabletext"/>
              <w:jc w:val="center"/>
              <w:rPr>
                <w:sz w:val="18"/>
                <w:szCs w:val="18"/>
                <w:lang w:val="es-ES_tradnl" w:eastAsia="ja-JP"/>
              </w:rPr>
            </w:pPr>
            <w:r w:rsidRPr="00140923">
              <w:rPr>
                <w:sz w:val="18"/>
                <w:szCs w:val="18"/>
                <w:lang w:val="es-ES_tradnl" w:eastAsia="ja-JP"/>
              </w:rPr>
              <w:t>5</w:t>
            </w:r>
          </w:p>
        </w:tc>
        <w:tc>
          <w:tcPr>
            <w:tcW w:w="1219" w:type="dxa"/>
            <w:tcBorders>
              <w:top w:val="single" w:sz="4" w:space="0" w:color="auto"/>
              <w:left w:val="single" w:sz="4" w:space="0" w:color="auto"/>
              <w:bottom w:val="single" w:sz="4" w:space="0" w:color="auto"/>
              <w:right w:val="single" w:sz="4" w:space="0" w:color="auto"/>
            </w:tcBorders>
            <w:hideMark/>
          </w:tcPr>
          <w:p w14:paraId="23207A1B" w14:textId="7F47C303" w:rsidR="002B37E9" w:rsidRPr="00140923" w:rsidRDefault="002B37E9" w:rsidP="00226764">
            <w:pPr>
              <w:pStyle w:val="Tabletext"/>
              <w:jc w:val="center"/>
              <w:rPr>
                <w:sz w:val="18"/>
                <w:szCs w:val="18"/>
                <w:lang w:val="es-ES_tradnl" w:eastAsia="ja-JP"/>
              </w:rPr>
            </w:pPr>
            <w:r w:rsidRPr="00140923">
              <w:rPr>
                <w:sz w:val="18"/>
                <w:szCs w:val="18"/>
                <w:lang w:val="es-ES_tradnl" w:eastAsia="ja-JP"/>
              </w:rPr>
              <w:t>5,0</w:t>
            </w:r>
          </w:p>
        </w:tc>
        <w:tc>
          <w:tcPr>
            <w:tcW w:w="1219" w:type="dxa"/>
            <w:tcBorders>
              <w:top w:val="single" w:sz="4" w:space="0" w:color="auto"/>
              <w:left w:val="single" w:sz="4" w:space="0" w:color="auto"/>
              <w:bottom w:val="single" w:sz="4" w:space="0" w:color="auto"/>
              <w:right w:val="single" w:sz="4" w:space="0" w:color="auto"/>
            </w:tcBorders>
            <w:hideMark/>
          </w:tcPr>
          <w:p w14:paraId="2FF91003" w14:textId="5C7E9399" w:rsidR="002B37E9" w:rsidRPr="00140923" w:rsidRDefault="002B37E9" w:rsidP="00226764">
            <w:pPr>
              <w:pStyle w:val="Tabletext"/>
              <w:jc w:val="center"/>
              <w:rPr>
                <w:sz w:val="18"/>
                <w:szCs w:val="18"/>
                <w:lang w:val="es-ES_tradnl" w:eastAsia="ja-JP"/>
              </w:rPr>
            </w:pPr>
            <w:r w:rsidRPr="00140923">
              <w:rPr>
                <w:sz w:val="18"/>
                <w:szCs w:val="18"/>
                <w:lang w:val="es-ES_tradnl"/>
              </w:rPr>
              <w:t>5</w:t>
            </w:r>
          </w:p>
        </w:tc>
        <w:tc>
          <w:tcPr>
            <w:tcW w:w="999" w:type="dxa"/>
            <w:tcBorders>
              <w:top w:val="single" w:sz="4" w:space="0" w:color="auto"/>
              <w:left w:val="single" w:sz="4" w:space="0" w:color="auto"/>
              <w:bottom w:val="single" w:sz="4" w:space="0" w:color="auto"/>
              <w:right w:val="single" w:sz="4" w:space="0" w:color="auto"/>
            </w:tcBorders>
            <w:hideMark/>
          </w:tcPr>
          <w:p w14:paraId="00E81165" w14:textId="2FA8D2D1" w:rsidR="002B37E9" w:rsidRPr="00140923" w:rsidRDefault="002B37E9" w:rsidP="00226764">
            <w:pPr>
              <w:pStyle w:val="Tabletext"/>
              <w:jc w:val="center"/>
              <w:rPr>
                <w:sz w:val="18"/>
                <w:szCs w:val="18"/>
                <w:lang w:val="es-ES_tradnl" w:eastAsia="ja-JP"/>
              </w:rPr>
            </w:pPr>
            <w:r w:rsidRPr="00140923">
              <w:rPr>
                <w:sz w:val="18"/>
                <w:szCs w:val="18"/>
                <w:lang w:val="es-ES_tradnl" w:eastAsia="ja-JP"/>
              </w:rPr>
              <w:t>6</w:t>
            </w:r>
          </w:p>
        </w:tc>
        <w:tc>
          <w:tcPr>
            <w:tcW w:w="1110" w:type="dxa"/>
            <w:tcBorders>
              <w:top w:val="single" w:sz="4" w:space="0" w:color="auto"/>
              <w:left w:val="single" w:sz="4" w:space="0" w:color="auto"/>
              <w:bottom w:val="single" w:sz="4" w:space="0" w:color="auto"/>
              <w:right w:val="single" w:sz="4" w:space="0" w:color="auto"/>
            </w:tcBorders>
            <w:hideMark/>
          </w:tcPr>
          <w:p w14:paraId="61EFFC0C" w14:textId="447ADE56" w:rsidR="002B37E9" w:rsidRPr="00140923" w:rsidRDefault="002B37E9" w:rsidP="00226764">
            <w:pPr>
              <w:pStyle w:val="Tabletext"/>
              <w:jc w:val="center"/>
              <w:rPr>
                <w:sz w:val="18"/>
                <w:szCs w:val="18"/>
                <w:lang w:val="es-ES_tradnl" w:eastAsia="ja-JP"/>
              </w:rPr>
            </w:pPr>
            <w:r w:rsidRPr="00140923">
              <w:rPr>
                <w:sz w:val="18"/>
                <w:szCs w:val="18"/>
                <w:lang w:val="es-ES_tradnl" w:eastAsia="ja-JP"/>
              </w:rPr>
              <w:t>5</w:t>
            </w:r>
          </w:p>
        </w:tc>
        <w:tc>
          <w:tcPr>
            <w:tcW w:w="1165" w:type="dxa"/>
            <w:tcBorders>
              <w:top w:val="single" w:sz="4" w:space="0" w:color="auto"/>
              <w:left w:val="single" w:sz="4" w:space="0" w:color="auto"/>
              <w:bottom w:val="single" w:sz="4" w:space="0" w:color="auto"/>
              <w:right w:val="single" w:sz="4" w:space="0" w:color="auto"/>
            </w:tcBorders>
            <w:hideMark/>
          </w:tcPr>
          <w:p w14:paraId="4EA54694" w14:textId="3E1DEBFE" w:rsidR="002B37E9" w:rsidRPr="00140923" w:rsidRDefault="002B37E9" w:rsidP="00226764">
            <w:pPr>
              <w:pStyle w:val="Tabletext"/>
              <w:jc w:val="center"/>
              <w:rPr>
                <w:sz w:val="18"/>
                <w:szCs w:val="18"/>
                <w:lang w:val="es-ES_tradnl" w:eastAsia="ja-JP"/>
              </w:rPr>
            </w:pPr>
            <w:r w:rsidRPr="00140923">
              <w:rPr>
                <w:sz w:val="18"/>
                <w:szCs w:val="18"/>
                <w:lang w:val="es-ES_tradnl" w:eastAsia="ja-JP"/>
              </w:rPr>
              <w:t>6,5</w:t>
            </w:r>
          </w:p>
        </w:tc>
        <w:tc>
          <w:tcPr>
            <w:tcW w:w="1197" w:type="dxa"/>
            <w:tcBorders>
              <w:top w:val="single" w:sz="4" w:space="0" w:color="auto"/>
              <w:left w:val="single" w:sz="4" w:space="0" w:color="auto"/>
              <w:bottom w:val="single" w:sz="4" w:space="0" w:color="auto"/>
              <w:right w:val="single" w:sz="4" w:space="0" w:color="auto"/>
            </w:tcBorders>
            <w:hideMark/>
          </w:tcPr>
          <w:p w14:paraId="3591887D" w14:textId="540C0CDC" w:rsidR="002B37E9" w:rsidRPr="00140923" w:rsidRDefault="002B37E9" w:rsidP="00226764">
            <w:pPr>
              <w:pStyle w:val="Tabletext"/>
              <w:jc w:val="center"/>
              <w:rPr>
                <w:sz w:val="18"/>
                <w:szCs w:val="18"/>
                <w:lang w:val="es-ES_tradnl" w:eastAsia="ja-JP"/>
              </w:rPr>
            </w:pPr>
            <w:r w:rsidRPr="00140923">
              <w:rPr>
                <w:sz w:val="18"/>
                <w:szCs w:val="18"/>
                <w:lang w:val="es-ES_tradnl" w:eastAsia="ja-JP"/>
              </w:rPr>
              <w:t>6,5</w:t>
            </w:r>
          </w:p>
        </w:tc>
        <w:tc>
          <w:tcPr>
            <w:tcW w:w="992" w:type="dxa"/>
            <w:tcBorders>
              <w:top w:val="single" w:sz="4" w:space="0" w:color="auto"/>
              <w:left w:val="single" w:sz="4" w:space="0" w:color="auto"/>
              <w:bottom w:val="single" w:sz="4" w:space="0" w:color="auto"/>
              <w:right w:val="single" w:sz="4" w:space="0" w:color="auto"/>
            </w:tcBorders>
            <w:hideMark/>
          </w:tcPr>
          <w:p w14:paraId="2B2DEC64"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6</w:t>
            </w:r>
          </w:p>
        </w:tc>
        <w:tc>
          <w:tcPr>
            <w:tcW w:w="951" w:type="dxa"/>
            <w:tcBorders>
              <w:top w:val="single" w:sz="4" w:space="0" w:color="auto"/>
              <w:left w:val="single" w:sz="4" w:space="0" w:color="auto"/>
              <w:bottom w:val="single" w:sz="4" w:space="0" w:color="auto"/>
              <w:right w:val="single" w:sz="4" w:space="0" w:color="auto"/>
            </w:tcBorders>
            <w:hideMark/>
          </w:tcPr>
          <w:p w14:paraId="1BD28F06" w14:textId="7777777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6</w:t>
            </w:r>
          </w:p>
        </w:tc>
      </w:tr>
      <w:tr w:rsidR="002B37E9" w:rsidRPr="00140923" w14:paraId="643BC131"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9AB03A" w14:textId="77777777" w:rsidR="002B37E9" w:rsidRPr="00140923" w:rsidRDefault="002B37E9" w:rsidP="00226764">
            <w:pPr>
              <w:pStyle w:val="Tabletext"/>
              <w:jc w:val="left"/>
              <w:rPr>
                <w:sz w:val="18"/>
                <w:szCs w:val="18"/>
                <w:lang w:val="es-ES_tradnl"/>
              </w:rPr>
            </w:pPr>
            <w:r w:rsidRPr="00140923">
              <w:rPr>
                <w:sz w:val="18"/>
                <w:szCs w:val="18"/>
                <w:lang w:val="es-ES_tradnl"/>
              </w:rPr>
              <w:t xml:space="preserve">Densidad de potencia de ruido típica del receptor </w:t>
            </w:r>
            <w:r w:rsidRPr="00140923">
              <w:rPr>
                <w:sz w:val="18"/>
                <w:szCs w:val="18"/>
                <w:lang w:val="es-ES_tradnl" w:eastAsia="ja-JP"/>
              </w:rPr>
              <w:t xml:space="preserve">(= </w:t>
            </w:r>
            <w:r w:rsidRPr="00140923">
              <w:rPr>
                <w:i/>
                <w:iCs/>
                <w:sz w:val="18"/>
                <w:szCs w:val="18"/>
                <w:lang w:val="es-ES_tradnl"/>
              </w:rPr>
              <w:t>N</w:t>
            </w:r>
            <w:r w:rsidRPr="00140923">
              <w:rPr>
                <w:i/>
                <w:iCs/>
                <w:sz w:val="18"/>
                <w:szCs w:val="18"/>
                <w:vertAlign w:val="subscript"/>
                <w:lang w:val="es-ES_tradnl"/>
              </w:rPr>
              <w:t>RX</w:t>
            </w:r>
            <w:r w:rsidRPr="00140923">
              <w:rPr>
                <w:sz w:val="18"/>
                <w:szCs w:val="18"/>
                <w:lang w:val="es-ES_tradnl" w:eastAsia="ja-JP"/>
              </w:rPr>
              <w:t>)</w:t>
            </w:r>
            <w:r w:rsidRPr="00140923">
              <w:rPr>
                <w:sz w:val="18"/>
                <w:szCs w:val="18"/>
                <w:lang w:val="es-ES_tradnl"/>
              </w:rPr>
              <w:t xml:space="preserve"> (dBW/MHz)</w:t>
            </w:r>
          </w:p>
        </w:tc>
        <w:tc>
          <w:tcPr>
            <w:tcW w:w="1385" w:type="dxa"/>
            <w:tcBorders>
              <w:top w:val="single" w:sz="4" w:space="0" w:color="auto"/>
              <w:left w:val="single" w:sz="4" w:space="0" w:color="auto"/>
              <w:bottom w:val="single" w:sz="4" w:space="0" w:color="auto"/>
              <w:right w:val="single" w:sz="4" w:space="0" w:color="auto"/>
            </w:tcBorders>
          </w:tcPr>
          <w:p w14:paraId="566785FF"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139</w:t>
            </w:r>
          </w:p>
        </w:tc>
        <w:tc>
          <w:tcPr>
            <w:tcW w:w="1110" w:type="dxa"/>
            <w:tcBorders>
              <w:top w:val="single" w:sz="4" w:space="0" w:color="auto"/>
              <w:left w:val="single" w:sz="4" w:space="0" w:color="auto"/>
              <w:bottom w:val="single" w:sz="4" w:space="0" w:color="auto"/>
              <w:right w:val="single" w:sz="4" w:space="0" w:color="auto"/>
            </w:tcBorders>
            <w:hideMark/>
          </w:tcPr>
          <w:p w14:paraId="5C8C7B40" w14:textId="493BA219"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−139</w:t>
            </w:r>
          </w:p>
        </w:tc>
        <w:tc>
          <w:tcPr>
            <w:tcW w:w="1219" w:type="dxa"/>
            <w:tcBorders>
              <w:top w:val="single" w:sz="4" w:space="0" w:color="auto"/>
              <w:left w:val="single" w:sz="4" w:space="0" w:color="auto"/>
              <w:bottom w:val="single" w:sz="4" w:space="0" w:color="auto"/>
              <w:right w:val="single" w:sz="4" w:space="0" w:color="auto"/>
            </w:tcBorders>
            <w:hideMark/>
          </w:tcPr>
          <w:p w14:paraId="14612A82" w14:textId="0ED189BB"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−139</w:t>
            </w:r>
          </w:p>
        </w:tc>
        <w:tc>
          <w:tcPr>
            <w:tcW w:w="1219" w:type="dxa"/>
            <w:tcBorders>
              <w:top w:val="single" w:sz="4" w:space="0" w:color="auto"/>
              <w:left w:val="single" w:sz="4" w:space="0" w:color="auto"/>
              <w:bottom w:val="single" w:sz="4" w:space="0" w:color="auto"/>
              <w:right w:val="single" w:sz="4" w:space="0" w:color="auto"/>
            </w:tcBorders>
            <w:hideMark/>
          </w:tcPr>
          <w:p w14:paraId="6EA8720C" w14:textId="797E4ABF" w:rsidR="002B37E9" w:rsidRPr="00140923" w:rsidRDefault="002B37E9" w:rsidP="00226764">
            <w:pPr>
              <w:pStyle w:val="Tabletext"/>
              <w:jc w:val="center"/>
              <w:rPr>
                <w:sz w:val="18"/>
                <w:szCs w:val="18"/>
                <w:lang w:val="es-ES_tradnl" w:eastAsia="ja-JP"/>
              </w:rPr>
            </w:pPr>
            <w:r w:rsidRPr="00140923">
              <w:rPr>
                <w:sz w:val="18"/>
                <w:szCs w:val="18"/>
                <w:lang w:val="es-ES_tradnl"/>
              </w:rPr>
              <w:t>−139</w:t>
            </w:r>
          </w:p>
        </w:tc>
        <w:tc>
          <w:tcPr>
            <w:tcW w:w="999" w:type="dxa"/>
            <w:tcBorders>
              <w:top w:val="single" w:sz="4" w:space="0" w:color="auto"/>
              <w:left w:val="single" w:sz="4" w:space="0" w:color="auto"/>
              <w:bottom w:val="single" w:sz="4" w:space="0" w:color="auto"/>
              <w:right w:val="single" w:sz="4" w:space="0" w:color="auto"/>
            </w:tcBorders>
            <w:hideMark/>
          </w:tcPr>
          <w:p w14:paraId="4F2C38BC" w14:textId="743EA464" w:rsidR="002B37E9" w:rsidRPr="00140923" w:rsidRDefault="002B37E9" w:rsidP="00226764">
            <w:pPr>
              <w:pStyle w:val="Tabletext"/>
              <w:tabs>
                <w:tab w:val="center" w:pos="478"/>
              </w:tabs>
              <w:jc w:val="center"/>
              <w:rPr>
                <w:sz w:val="18"/>
                <w:szCs w:val="18"/>
                <w:lang w:val="es-ES_tradnl" w:eastAsia="ja-JP"/>
              </w:rPr>
            </w:pPr>
            <w:r w:rsidRPr="00140923">
              <w:rPr>
                <w:sz w:val="18"/>
                <w:szCs w:val="18"/>
                <w:lang w:val="es-ES_tradnl" w:eastAsia="ja-JP"/>
              </w:rPr>
              <w:t>−138</w:t>
            </w:r>
          </w:p>
        </w:tc>
        <w:tc>
          <w:tcPr>
            <w:tcW w:w="1110" w:type="dxa"/>
            <w:tcBorders>
              <w:top w:val="single" w:sz="4" w:space="0" w:color="auto"/>
              <w:left w:val="single" w:sz="4" w:space="0" w:color="auto"/>
              <w:bottom w:val="single" w:sz="4" w:space="0" w:color="auto"/>
              <w:right w:val="single" w:sz="4" w:space="0" w:color="auto"/>
            </w:tcBorders>
            <w:hideMark/>
          </w:tcPr>
          <w:p w14:paraId="6E89603B" w14:textId="1369AC33"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−139</w:t>
            </w:r>
          </w:p>
        </w:tc>
        <w:tc>
          <w:tcPr>
            <w:tcW w:w="1165" w:type="dxa"/>
            <w:tcBorders>
              <w:top w:val="single" w:sz="4" w:space="0" w:color="auto"/>
              <w:left w:val="single" w:sz="4" w:space="0" w:color="auto"/>
              <w:bottom w:val="single" w:sz="4" w:space="0" w:color="auto"/>
              <w:right w:val="single" w:sz="4" w:space="0" w:color="auto"/>
            </w:tcBorders>
            <w:hideMark/>
          </w:tcPr>
          <w:p w14:paraId="273DB2C4" w14:textId="00D2FC48"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−137,5</w:t>
            </w:r>
          </w:p>
        </w:tc>
        <w:tc>
          <w:tcPr>
            <w:tcW w:w="1197" w:type="dxa"/>
            <w:tcBorders>
              <w:top w:val="single" w:sz="4" w:space="0" w:color="auto"/>
              <w:left w:val="single" w:sz="4" w:space="0" w:color="auto"/>
              <w:bottom w:val="single" w:sz="4" w:space="0" w:color="auto"/>
              <w:right w:val="single" w:sz="4" w:space="0" w:color="auto"/>
            </w:tcBorders>
            <w:hideMark/>
          </w:tcPr>
          <w:p w14:paraId="04FFE272" w14:textId="371BC3BE"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–137,5</w:t>
            </w:r>
          </w:p>
        </w:tc>
        <w:tc>
          <w:tcPr>
            <w:tcW w:w="992" w:type="dxa"/>
            <w:tcBorders>
              <w:top w:val="single" w:sz="4" w:space="0" w:color="auto"/>
              <w:left w:val="single" w:sz="4" w:space="0" w:color="auto"/>
              <w:bottom w:val="single" w:sz="4" w:space="0" w:color="auto"/>
              <w:right w:val="single" w:sz="4" w:space="0" w:color="auto"/>
            </w:tcBorders>
            <w:hideMark/>
          </w:tcPr>
          <w:p w14:paraId="679EEFB3"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138</w:t>
            </w:r>
          </w:p>
        </w:tc>
        <w:tc>
          <w:tcPr>
            <w:tcW w:w="951" w:type="dxa"/>
            <w:tcBorders>
              <w:top w:val="single" w:sz="4" w:space="0" w:color="auto"/>
              <w:left w:val="single" w:sz="4" w:space="0" w:color="auto"/>
              <w:bottom w:val="single" w:sz="4" w:space="0" w:color="auto"/>
              <w:right w:val="single" w:sz="4" w:space="0" w:color="auto"/>
            </w:tcBorders>
            <w:hideMark/>
          </w:tcPr>
          <w:p w14:paraId="575EA062"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−138</w:t>
            </w:r>
          </w:p>
        </w:tc>
      </w:tr>
      <w:tr w:rsidR="002B37E9" w:rsidRPr="00140923" w14:paraId="7CA931E1"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36F5CB9" w14:textId="1F76FEF1" w:rsidR="002B37E9" w:rsidRPr="00140923" w:rsidRDefault="002B37E9" w:rsidP="00226764">
            <w:pPr>
              <w:pStyle w:val="Tabletext"/>
              <w:jc w:val="left"/>
              <w:rPr>
                <w:sz w:val="18"/>
                <w:szCs w:val="18"/>
                <w:lang w:val="es-ES_tradnl"/>
              </w:rPr>
            </w:pPr>
            <w:r w:rsidRPr="00140923">
              <w:rPr>
                <w:sz w:val="18"/>
                <w:szCs w:val="18"/>
                <w:lang w:val="es-ES_tradnl"/>
              </w:rPr>
              <w:t>Nivel de entrada normalizado del receptor para una BER de 1 × 10</w:t>
            </w:r>
            <w:r w:rsidR="00A941C1" w:rsidRPr="00A941C1">
              <w:rPr>
                <w:sz w:val="18"/>
                <w:szCs w:val="18"/>
                <w:vertAlign w:val="superscript"/>
                <w:lang w:val="es-ES_tradnl"/>
              </w:rPr>
              <w:t>−</w:t>
            </w:r>
            <w:r w:rsidRPr="00140923">
              <w:rPr>
                <w:sz w:val="18"/>
                <w:szCs w:val="18"/>
                <w:vertAlign w:val="superscript"/>
                <w:lang w:val="es-ES_tradnl"/>
              </w:rPr>
              <w:t>6</w:t>
            </w:r>
            <w:r w:rsidRPr="00140923">
              <w:rPr>
                <w:sz w:val="18"/>
                <w:szCs w:val="18"/>
                <w:lang w:val="es-ES_tradnl"/>
              </w:rPr>
              <w:t xml:space="preserve"> (dBW/MHz)</w:t>
            </w:r>
          </w:p>
        </w:tc>
        <w:tc>
          <w:tcPr>
            <w:tcW w:w="1385" w:type="dxa"/>
            <w:tcBorders>
              <w:top w:val="single" w:sz="4" w:space="0" w:color="auto"/>
              <w:left w:val="single" w:sz="4" w:space="0" w:color="auto"/>
              <w:bottom w:val="single" w:sz="4" w:space="0" w:color="auto"/>
              <w:right w:val="single" w:sz="4" w:space="0" w:color="auto"/>
            </w:tcBorders>
          </w:tcPr>
          <w:p w14:paraId="424522F0" w14:textId="70E07215"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125,5</w:t>
            </w:r>
          </w:p>
        </w:tc>
        <w:tc>
          <w:tcPr>
            <w:tcW w:w="1110" w:type="dxa"/>
            <w:tcBorders>
              <w:top w:val="single" w:sz="4" w:space="0" w:color="auto"/>
              <w:left w:val="single" w:sz="4" w:space="0" w:color="auto"/>
              <w:bottom w:val="single" w:sz="4" w:space="0" w:color="auto"/>
              <w:right w:val="single" w:sz="4" w:space="0" w:color="auto"/>
            </w:tcBorders>
            <w:hideMark/>
          </w:tcPr>
          <w:p w14:paraId="715A2315" w14:textId="402597D8"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109,5</w:t>
            </w:r>
          </w:p>
        </w:tc>
        <w:tc>
          <w:tcPr>
            <w:tcW w:w="1219" w:type="dxa"/>
            <w:tcBorders>
              <w:top w:val="single" w:sz="4" w:space="0" w:color="auto"/>
              <w:left w:val="single" w:sz="4" w:space="0" w:color="auto"/>
              <w:bottom w:val="single" w:sz="4" w:space="0" w:color="auto"/>
              <w:right w:val="single" w:sz="4" w:space="0" w:color="auto"/>
            </w:tcBorders>
            <w:hideMark/>
          </w:tcPr>
          <w:p w14:paraId="2A00CAED" w14:textId="2B9F282D"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−125,5</w:t>
            </w:r>
          </w:p>
        </w:tc>
        <w:tc>
          <w:tcPr>
            <w:tcW w:w="1219" w:type="dxa"/>
            <w:tcBorders>
              <w:top w:val="single" w:sz="4" w:space="0" w:color="auto"/>
              <w:left w:val="single" w:sz="4" w:space="0" w:color="auto"/>
              <w:bottom w:val="single" w:sz="4" w:space="0" w:color="auto"/>
              <w:right w:val="single" w:sz="4" w:space="0" w:color="auto"/>
            </w:tcBorders>
            <w:hideMark/>
          </w:tcPr>
          <w:p w14:paraId="7B75A7F5" w14:textId="4D54111E" w:rsidR="002B37E9" w:rsidRPr="00140923" w:rsidRDefault="002B37E9" w:rsidP="00226764">
            <w:pPr>
              <w:pStyle w:val="Tabletext"/>
              <w:jc w:val="center"/>
              <w:rPr>
                <w:sz w:val="18"/>
                <w:szCs w:val="18"/>
                <w:lang w:val="es-ES_tradnl" w:eastAsia="ja-JP"/>
              </w:rPr>
            </w:pPr>
            <w:r w:rsidRPr="00140923">
              <w:rPr>
                <w:sz w:val="18"/>
                <w:szCs w:val="18"/>
                <w:lang w:val="es-ES_tradnl"/>
              </w:rPr>
              <w:t>−112</w:t>
            </w:r>
            <w:r w:rsidRPr="00140923">
              <w:rPr>
                <w:sz w:val="18"/>
                <w:szCs w:val="18"/>
                <w:lang w:val="es-ES_tradnl" w:eastAsia="ja-JP"/>
              </w:rPr>
              <w:t>,</w:t>
            </w:r>
            <w:r w:rsidRPr="00140923">
              <w:rPr>
                <w:sz w:val="18"/>
                <w:szCs w:val="18"/>
                <w:lang w:val="es-ES_tradnl"/>
              </w:rPr>
              <w:t>5</w:t>
            </w:r>
          </w:p>
        </w:tc>
        <w:tc>
          <w:tcPr>
            <w:tcW w:w="999" w:type="dxa"/>
            <w:tcBorders>
              <w:top w:val="single" w:sz="4" w:space="0" w:color="auto"/>
              <w:left w:val="single" w:sz="4" w:space="0" w:color="auto"/>
              <w:bottom w:val="single" w:sz="4" w:space="0" w:color="auto"/>
              <w:right w:val="single" w:sz="4" w:space="0" w:color="auto"/>
            </w:tcBorders>
            <w:hideMark/>
          </w:tcPr>
          <w:p w14:paraId="6BB9553E" w14:textId="370AF553"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124,5…</w:t>
            </w:r>
            <w:r w:rsidR="00140923" w:rsidRPr="00140923">
              <w:rPr>
                <w:sz w:val="18"/>
                <w:szCs w:val="18"/>
                <w:lang w:val="es-ES_tradnl" w:eastAsia="ja-JP"/>
              </w:rPr>
              <w:br/>
            </w:r>
            <w:r w:rsidRPr="00140923">
              <w:rPr>
                <w:sz w:val="18"/>
                <w:szCs w:val="18"/>
                <w:lang w:val="es-ES_tradnl"/>
              </w:rPr>
              <w:t>−</w:t>
            </w:r>
            <w:r w:rsidRPr="00140923">
              <w:rPr>
                <w:sz w:val="18"/>
                <w:szCs w:val="18"/>
                <w:lang w:val="es-ES_tradnl" w:eastAsia="ja-JP"/>
              </w:rPr>
              <w:t>119,5</w:t>
            </w:r>
          </w:p>
        </w:tc>
        <w:tc>
          <w:tcPr>
            <w:tcW w:w="1110" w:type="dxa"/>
            <w:tcBorders>
              <w:top w:val="single" w:sz="4" w:space="0" w:color="auto"/>
              <w:left w:val="single" w:sz="4" w:space="0" w:color="auto"/>
              <w:bottom w:val="single" w:sz="4" w:space="0" w:color="auto"/>
              <w:right w:val="single" w:sz="4" w:space="0" w:color="auto"/>
            </w:tcBorders>
            <w:hideMark/>
          </w:tcPr>
          <w:p w14:paraId="40081373" w14:textId="3F7DA064"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−116</w:t>
            </w:r>
          </w:p>
        </w:tc>
        <w:tc>
          <w:tcPr>
            <w:tcW w:w="1165" w:type="dxa"/>
            <w:tcBorders>
              <w:top w:val="single" w:sz="4" w:space="0" w:color="auto"/>
              <w:left w:val="single" w:sz="4" w:space="0" w:color="auto"/>
              <w:bottom w:val="single" w:sz="4" w:space="0" w:color="auto"/>
              <w:right w:val="single" w:sz="4" w:space="0" w:color="auto"/>
            </w:tcBorders>
            <w:hideMark/>
          </w:tcPr>
          <w:p w14:paraId="10DEFA39" w14:textId="7CE8AB85"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117</w:t>
            </w:r>
          </w:p>
        </w:tc>
        <w:tc>
          <w:tcPr>
            <w:tcW w:w="1197" w:type="dxa"/>
            <w:tcBorders>
              <w:top w:val="single" w:sz="4" w:space="0" w:color="auto"/>
              <w:left w:val="single" w:sz="4" w:space="0" w:color="auto"/>
              <w:bottom w:val="single" w:sz="4" w:space="0" w:color="auto"/>
              <w:right w:val="single" w:sz="4" w:space="0" w:color="auto"/>
            </w:tcBorders>
            <w:hideMark/>
          </w:tcPr>
          <w:p w14:paraId="55320F35" w14:textId="43A14391"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–108</w:t>
            </w:r>
          </w:p>
        </w:tc>
        <w:tc>
          <w:tcPr>
            <w:tcW w:w="992" w:type="dxa"/>
            <w:tcBorders>
              <w:top w:val="single" w:sz="4" w:space="0" w:color="auto"/>
              <w:left w:val="single" w:sz="4" w:space="0" w:color="auto"/>
              <w:bottom w:val="single" w:sz="4" w:space="0" w:color="auto"/>
              <w:right w:val="single" w:sz="4" w:space="0" w:color="auto"/>
            </w:tcBorders>
            <w:hideMark/>
          </w:tcPr>
          <w:p w14:paraId="7C7E4E6D"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−1</w:t>
            </w:r>
            <w:r w:rsidRPr="00140923">
              <w:rPr>
                <w:sz w:val="18"/>
                <w:szCs w:val="18"/>
                <w:lang w:val="es-ES_tradnl" w:eastAsia="ja-JP"/>
              </w:rPr>
              <w:t>31,3</w:t>
            </w:r>
          </w:p>
        </w:tc>
        <w:tc>
          <w:tcPr>
            <w:tcW w:w="951" w:type="dxa"/>
            <w:tcBorders>
              <w:top w:val="single" w:sz="4" w:space="0" w:color="auto"/>
              <w:left w:val="single" w:sz="4" w:space="0" w:color="auto"/>
              <w:bottom w:val="single" w:sz="4" w:space="0" w:color="auto"/>
              <w:right w:val="single" w:sz="4" w:space="0" w:color="auto"/>
            </w:tcBorders>
            <w:hideMark/>
          </w:tcPr>
          <w:p w14:paraId="14939433" w14:textId="77777777" w:rsidR="002B37E9" w:rsidRPr="00140923" w:rsidRDefault="002B37E9" w:rsidP="00226764">
            <w:pPr>
              <w:pStyle w:val="Tabletext"/>
              <w:jc w:val="center"/>
              <w:rPr>
                <w:sz w:val="18"/>
                <w:szCs w:val="18"/>
                <w:lang w:val="es-ES_tradnl" w:eastAsia="ja-JP"/>
              </w:rPr>
            </w:pPr>
            <w:r w:rsidRPr="00140923">
              <w:rPr>
                <w:sz w:val="18"/>
                <w:szCs w:val="18"/>
                <w:lang w:val="es-ES_tradnl"/>
              </w:rPr>
              <w:t>−</w:t>
            </w:r>
            <w:r w:rsidRPr="00140923">
              <w:rPr>
                <w:sz w:val="18"/>
                <w:szCs w:val="18"/>
                <w:lang w:val="es-ES_tradnl" w:eastAsia="ja-JP"/>
              </w:rPr>
              <w:t>107,3</w:t>
            </w:r>
          </w:p>
        </w:tc>
      </w:tr>
      <w:tr w:rsidR="002B37E9" w:rsidRPr="00140923" w14:paraId="38392A43" w14:textId="77777777" w:rsidTr="00480606">
        <w:trPr>
          <w:gridAfter w:val="1"/>
          <w:wAfter w:w="192" w:type="dxa"/>
          <w:jc w:val="center"/>
        </w:trPr>
        <w:tc>
          <w:tcPr>
            <w:tcW w:w="29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EB7E47" w14:textId="77777777" w:rsidR="002B37E9" w:rsidRPr="00140923" w:rsidRDefault="002B37E9" w:rsidP="00226764">
            <w:pPr>
              <w:pStyle w:val="Tabletext"/>
              <w:jc w:val="left"/>
              <w:rPr>
                <w:sz w:val="18"/>
                <w:szCs w:val="18"/>
                <w:lang w:val="es-ES_tradnl"/>
              </w:rPr>
            </w:pPr>
            <w:r w:rsidRPr="00140923">
              <w:rPr>
                <w:sz w:val="18"/>
                <w:szCs w:val="18"/>
                <w:lang w:val="es-ES_tradnl"/>
              </w:rPr>
              <w:t>Densidad de potencia de interferencia a largo plazo nominal (dBW/MHz)</w:t>
            </w:r>
            <w:r w:rsidRPr="00140923">
              <w:rPr>
                <w:sz w:val="18"/>
                <w:szCs w:val="18"/>
                <w:vertAlign w:val="superscript"/>
                <w:lang w:val="es-ES_tradnl" w:eastAsia="ja-JP"/>
              </w:rPr>
              <w:t>(2)</w:t>
            </w:r>
          </w:p>
        </w:tc>
        <w:tc>
          <w:tcPr>
            <w:tcW w:w="1385" w:type="dxa"/>
            <w:tcBorders>
              <w:top w:val="single" w:sz="4" w:space="0" w:color="auto"/>
              <w:left w:val="single" w:sz="4" w:space="0" w:color="auto"/>
              <w:bottom w:val="single" w:sz="4" w:space="0" w:color="auto"/>
              <w:right w:val="single" w:sz="4" w:space="0" w:color="auto"/>
            </w:tcBorders>
            <w:hideMark/>
          </w:tcPr>
          <w:p w14:paraId="42580EE2" w14:textId="7DFD4357"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−139</w:t>
            </w:r>
            <w:r w:rsidRPr="00140923">
              <w:rPr>
                <w:sz w:val="18"/>
                <w:szCs w:val="18"/>
                <w:lang w:val="es-ES_tradnl"/>
              </w:rPr>
              <w:t xml:space="preserve">+ </w:t>
            </w:r>
            <w:r w:rsidRPr="00140923">
              <w:rPr>
                <w:i/>
                <w:sz w:val="18"/>
                <w:szCs w:val="18"/>
                <w:lang w:val="es-ES_tradnl"/>
              </w:rPr>
              <w:t>I</w:t>
            </w:r>
            <w:r w:rsidRPr="00140923">
              <w:rPr>
                <w:sz w:val="18"/>
                <w:szCs w:val="18"/>
                <w:lang w:val="es-ES_tradnl"/>
              </w:rPr>
              <w:t>/</w:t>
            </w:r>
            <w:r w:rsidRPr="00140923">
              <w:rPr>
                <w:i/>
                <w:sz w:val="18"/>
                <w:szCs w:val="18"/>
                <w:lang w:val="es-ES_tradnl"/>
              </w:rPr>
              <w:t>N</w:t>
            </w:r>
          </w:p>
        </w:tc>
        <w:tc>
          <w:tcPr>
            <w:tcW w:w="1110" w:type="dxa"/>
            <w:tcBorders>
              <w:top w:val="single" w:sz="4" w:space="0" w:color="auto"/>
              <w:left w:val="single" w:sz="4" w:space="0" w:color="auto"/>
              <w:bottom w:val="single" w:sz="4" w:space="0" w:color="auto"/>
              <w:right w:val="single" w:sz="4" w:space="0" w:color="auto"/>
            </w:tcBorders>
            <w:hideMark/>
          </w:tcPr>
          <w:p w14:paraId="473FCA92" w14:textId="38EE8F05" w:rsidR="002B37E9" w:rsidRPr="00140923" w:rsidRDefault="002B37E9" w:rsidP="00226764">
            <w:pPr>
              <w:pStyle w:val="Tabletext"/>
              <w:ind w:left="-57" w:right="-57"/>
              <w:jc w:val="center"/>
              <w:rPr>
                <w:sz w:val="18"/>
                <w:szCs w:val="18"/>
                <w:lang w:val="es-ES_tradnl" w:eastAsia="ja-JP"/>
              </w:rPr>
            </w:pPr>
            <w:r w:rsidRPr="00140923">
              <w:rPr>
                <w:sz w:val="18"/>
                <w:szCs w:val="18"/>
                <w:lang w:val="es-ES_tradnl"/>
              </w:rPr>
              <w:t>−</w:t>
            </w:r>
            <w:r w:rsidRPr="00140923">
              <w:rPr>
                <w:sz w:val="18"/>
                <w:szCs w:val="18"/>
                <w:lang w:val="es-ES_tradnl" w:eastAsia="ja-JP"/>
              </w:rPr>
              <w:t>139…</w:t>
            </w:r>
            <w:r w:rsidR="00140923" w:rsidRPr="00140923">
              <w:rPr>
                <w:sz w:val="18"/>
                <w:szCs w:val="18"/>
                <w:lang w:val="es-ES_tradnl" w:eastAsia="ja-JP"/>
              </w:rPr>
              <w:br/>
            </w:r>
            <w:r w:rsidRPr="00140923">
              <w:rPr>
                <w:sz w:val="18"/>
                <w:szCs w:val="18"/>
                <w:lang w:val="es-ES_tradnl"/>
              </w:rPr>
              <w:t>−</w:t>
            </w:r>
            <w:r w:rsidRPr="00140923">
              <w:rPr>
                <w:sz w:val="18"/>
                <w:szCs w:val="18"/>
                <w:lang w:val="es-ES_tradnl" w:eastAsia="ja-JP"/>
              </w:rPr>
              <w:t xml:space="preserve">136 </w:t>
            </w:r>
            <w:r w:rsidRPr="00140923">
              <w:rPr>
                <w:sz w:val="18"/>
                <w:szCs w:val="18"/>
                <w:lang w:val="es-ES_tradnl"/>
              </w:rPr>
              <w:t xml:space="preserve">+ </w:t>
            </w:r>
            <w:r w:rsidRPr="00140923">
              <w:rPr>
                <w:i/>
                <w:sz w:val="18"/>
                <w:szCs w:val="18"/>
                <w:lang w:val="es-ES_tradnl"/>
              </w:rPr>
              <w:t>I</w:t>
            </w:r>
            <w:r w:rsidRPr="00140923">
              <w:rPr>
                <w:sz w:val="18"/>
                <w:szCs w:val="18"/>
                <w:lang w:val="es-ES_tradnl"/>
              </w:rPr>
              <w:t>/</w:t>
            </w:r>
            <w:r w:rsidRPr="00140923">
              <w:rPr>
                <w:i/>
                <w:sz w:val="18"/>
                <w:szCs w:val="18"/>
                <w:lang w:val="es-ES_tradnl"/>
              </w:rPr>
              <w:t>N</w:t>
            </w:r>
          </w:p>
        </w:tc>
        <w:tc>
          <w:tcPr>
            <w:tcW w:w="1219" w:type="dxa"/>
            <w:tcBorders>
              <w:top w:val="single" w:sz="4" w:space="0" w:color="auto"/>
              <w:left w:val="single" w:sz="4" w:space="0" w:color="auto"/>
              <w:bottom w:val="single" w:sz="4" w:space="0" w:color="auto"/>
              <w:right w:val="single" w:sz="4" w:space="0" w:color="auto"/>
            </w:tcBorders>
            <w:hideMark/>
          </w:tcPr>
          <w:p w14:paraId="754B250B" w14:textId="4D4353BA"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−139</w:t>
            </w:r>
            <w:r w:rsidRPr="00140923">
              <w:rPr>
                <w:sz w:val="18"/>
                <w:szCs w:val="18"/>
                <w:lang w:val="es-ES_tradnl"/>
              </w:rPr>
              <w:t xml:space="preserve"> + </w:t>
            </w:r>
            <w:r w:rsidRPr="00140923">
              <w:rPr>
                <w:i/>
                <w:sz w:val="18"/>
                <w:szCs w:val="18"/>
                <w:lang w:val="es-ES_tradnl"/>
              </w:rPr>
              <w:t>I</w:t>
            </w:r>
            <w:r w:rsidRPr="00140923">
              <w:rPr>
                <w:sz w:val="18"/>
                <w:szCs w:val="18"/>
                <w:lang w:val="es-ES_tradnl"/>
              </w:rPr>
              <w:t>/</w:t>
            </w:r>
            <w:r w:rsidRPr="00140923">
              <w:rPr>
                <w:i/>
                <w:sz w:val="18"/>
                <w:szCs w:val="18"/>
                <w:lang w:val="es-ES_tradnl"/>
              </w:rPr>
              <w:t>N</w:t>
            </w:r>
          </w:p>
        </w:tc>
        <w:tc>
          <w:tcPr>
            <w:tcW w:w="1219" w:type="dxa"/>
            <w:tcBorders>
              <w:top w:val="single" w:sz="4" w:space="0" w:color="auto"/>
              <w:left w:val="single" w:sz="4" w:space="0" w:color="auto"/>
              <w:bottom w:val="single" w:sz="4" w:space="0" w:color="auto"/>
              <w:right w:val="single" w:sz="4" w:space="0" w:color="auto"/>
            </w:tcBorders>
            <w:hideMark/>
          </w:tcPr>
          <w:p w14:paraId="5ED90750" w14:textId="5ED0BD23" w:rsidR="002B37E9" w:rsidRPr="00140923" w:rsidRDefault="002B37E9" w:rsidP="00226764">
            <w:pPr>
              <w:pStyle w:val="Tabletext"/>
              <w:jc w:val="center"/>
              <w:rPr>
                <w:sz w:val="18"/>
                <w:szCs w:val="18"/>
                <w:lang w:val="es-ES_tradnl" w:eastAsia="ja-JP"/>
              </w:rPr>
            </w:pPr>
            <w:r w:rsidRPr="00140923">
              <w:rPr>
                <w:sz w:val="18"/>
                <w:szCs w:val="18"/>
                <w:lang w:val="es-ES_tradnl"/>
              </w:rPr>
              <w:t xml:space="preserve">−139 + </w:t>
            </w:r>
            <w:r w:rsidRPr="00140923">
              <w:rPr>
                <w:i/>
                <w:sz w:val="18"/>
                <w:szCs w:val="18"/>
                <w:lang w:val="es-ES_tradnl"/>
              </w:rPr>
              <w:t>I</w:t>
            </w:r>
            <w:r w:rsidRPr="00140923">
              <w:rPr>
                <w:sz w:val="18"/>
                <w:szCs w:val="18"/>
                <w:lang w:val="es-ES_tradnl"/>
              </w:rPr>
              <w:t>/</w:t>
            </w:r>
            <w:r w:rsidRPr="00140923">
              <w:rPr>
                <w:i/>
                <w:sz w:val="18"/>
                <w:szCs w:val="18"/>
                <w:lang w:val="es-ES_tradnl"/>
              </w:rPr>
              <w:t>N</w:t>
            </w:r>
          </w:p>
        </w:tc>
        <w:tc>
          <w:tcPr>
            <w:tcW w:w="999" w:type="dxa"/>
            <w:tcBorders>
              <w:top w:val="single" w:sz="4" w:space="0" w:color="auto"/>
              <w:left w:val="single" w:sz="4" w:space="0" w:color="auto"/>
              <w:bottom w:val="single" w:sz="4" w:space="0" w:color="auto"/>
              <w:right w:val="single" w:sz="4" w:space="0" w:color="auto"/>
            </w:tcBorders>
            <w:hideMark/>
          </w:tcPr>
          <w:p w14:paraId="46FA6CB1" w14:textId="6748966E" w:rsidR="002B37E9" w:rsidRPr="00140923" w:rsidRDefault="002B37E9" w:rsidP="00226764">
            <w:pPr>
              <w:pStyle w:val="Tabletext"/>
              <w:ind w:left="-113" w:right="-113"/>
              <w:jc w:val="center"/>
              <w:rPr>
                <w:sz w:val="18"/>
                <w:szCs w:val="18"/>
                <w:lang w:val="es-ES_tradnl" w:eastAsia="ja-JP"/>
              </w:rPr>
            </w:pPr>
            <w:r w:rsidRPr="00140923">
              <w:rPr>
                <w:sz w:val="18"/>
                <w:szCs w:val="18"/>
                <w:lang w:val="es-ES_tradnl" w:eastAsia="ja-JP"/>
              </w:rPr>
              <w:t xml:space="preserve">−138 </w:t>
            </w:r>
            <w:r w:rsidRPr="00140923">
              <w:rPr>
                <w:sz w:val="18"/>
                <w:szCs w:val="18"/>
                <w:lang w:val="es-ES_tradnl"/>
              </w:rPr>
              <w:t xml:space="preserve">+ </w:t>
            </w:r>
            <w:r w:rsidRPr="00140923">
              <w:rPr>
                <w:i/>
                <w:sz w:val="18"/>
                <w:szCs w:val="18"/>
                <w:lang w:val="es-ES_tradnl"/>
              </w:rPr>
              <w:t>I</w:t>
            </w:r>
            <w:r w:rsidRPr="00140923">
              <w:rPr>
                <w:sz w:val="18"/>
                <w:szCs w:val="18"/>
                <w:lang w:val="es-ES_tradnl"/>
              </w:rPr>
              <w:t>/</w:t>
            </w:r>
            <w:r w:rsidRPr="00140923">
              <w:rPr>
                <w:i/>
                <w:sz w:val="18"/>
                <w:szCs w:val="18"/>
                <w:lang w:val="es-ES_tradnl"/>
              </w:rPr>
              <w:t>N</w:t>
            </w:r>
          </w:p>
        </w:tc>
        <w:tc>
          <w:tcPr>
            <w:tcW w:w="1110" w:type="dxa"/>
            <w:tcBorders>
              <w:top w:val="single" w:sz="4" w:space="0" w:color="auto"/>
              <w:left w:val="single" w:sz="4" w:space="0" w:color="auto"/>
              <w:bottom w:val="single" w:sz="4" w:space="0" w:color="auto"/>
              <w:right w:val="single" w:sz="4" w:space="0" w:color="auto"/>
            </w:tcBorders>
            <w:hideMark/>
          </w:tcPr>
          <w:p w14:paraId="102899F8" w14:textId="31DFA3FB" w:rsidR="002B37E9" w:rsidRPr="00140923" w:rsidRDefault="002B37E9" w:rsidP="00226764">
            <w:pPr>
              <w:pStyle w:val="Tabletext"/>
              <w:ind w:left="-57" w:right="-57"/>
              <w:jc w:val="center"/>
              <w:rPr>
                <w:sz w:val="18"/>
                <w:szCs w:val="18"/>
                <w:lang w:val="es-ES_tradnl" w:eastAsia="ja-JP"/>
              </w:rPr>
            </w:pPr>
            <w:r w:rsidRPr="00140923">
              <w:rPr>
                <w:sz w:val="18"/>
                <w:szCs w:val="18"/>
                <w:lang w:val="es-ES_tradnl" w:eastAsia="ja-JP"/>
              </w:rPr>
              <w:t>−139</w:t>
            </w:r>
            <w:r w:rsidRPr="00140923">
              <w:rPr>
                <w:sz w:val="18"/>
                <w:szCs w:val="18"/>
                <w:lang w:val="es-ES_tradnl"/>
              </w:rPr>
              <w:t xml:space="preserve"> + </w:t>
            </w:r>
            <w:r w:rsidRPr="00140923">
              <w:rPr>
                <w:i/>
                <w:sz w:val="18"/>
                <w:szCs w:val="18"/>
                <w:lang w:val="es-ES_tradnl"/>
              </w:rPr>
              <w:t>I</w:t>
            </w:r>
            <w:r w:rsidRPr="00140923">
              <w:rPr>
                <w:sz w:val="18"/>
                <w:szCs w:val="18"/>
                <w:lang w:val="es-ES_tradnl"/>
              </w:rPr>
              <w:t>/</w:t>
            </w:r>
            <w:r w:rsidRPr="00140923">
              <w:rPr>
                <w:i/>
                <w:sz w:val="18"/>
                <w:szCs w:val="18"/>
                <w:lang w:val="es-ES_tradnl"/>
              </w:rPr>
              <w:t>N</w:t>
            </w:r>
          </w:p>
        </w:tc>
        <w:tc>
          <w:tcPr>
            <w:tcW w:w="1165" w:type="dxa"/>
            <w:tcBorders>
              <w:top w:val="single" w:sz="4" w:space="0" w:color="auto"/>
              <w:left w:val="single" w:sz="4" w:space="0" w:color="auto"/>
              <w:bottom w:val="single" w:sz="4" w:space="0" w:color="auto"/>
              <w:right w:val="single" w:sz="4" w:space="0" w:color="auto"/>
            </w:tcBorders>
            <w:hideMark/>
          </w:tcPr>
          <w:p w14:paraId="00A78681" w14:textId="1F2A3F20" w:rsidR="002B37E9" w:rsidRPr="00140923" w:rsidRDefault="002B37E9" w:rsidP="00226764">
            <w:pPr>
              <w:pStyle w:val="Tabletext"/>
              <w:jc w:val="center"/>
              <w:rPr>
                <w:sz w:val="18"/>
                <w:szCs w:val="18"/>
                <w:lang w:val="es-ES_tradnl" w:eastAsia="ja-JP"/>
              </w:rPr>
            </w:pPr>
            <w:r w:rsidRPr="00140923">
              <w:rPr>
                <w:sz w:val="18"/>
                <w:szCs w:val="18"/>
                <w:lang w:val="es-ES_tradnl" w:eastAsia="ja-JP"/>
              </w:rPr>
              <w:t>−137,5</w:t>
            </w:r>
            <w:r w:rsidRPr="00140923">
              <w:rPr>
                <w:sz w:val="18"/>
                <w:szCs w:val="18"/>
                <w:lang w:val="es-ES_tradnl"/>
              </w:rPr>
              <w:t xml:space="preserve"> + </w:t>
            </w:r>
            <w:r w:rsidRPr="00140923">
              <w:rPr>
                <w:i/>
                <w:sz w:val="18"/>
                <w:szCs w:val="18"/>
                <w:lang w:val="es-ES_tradnl"/>
              </w:rPr>
              <w:t>I</w:t>
            </w:r>
            <w:r w:rsidRPr="00140923">
              <w:rPr>
                <w:sz w:val="18"/>
                <w:szCs w:val="18"/>
                <w:lang w:val="es-ES_tradnl"/>
              </w:rPr>
              <w:t>/</w:t>
            </w:r>
            <w:r w:rsidRPr="00140923">
              <w:rPr>
                <w:i/>
                <w:sz w:val="18"/>
                <w:szCs w:val="18"/>
                <w:lang w:val="es-ES_tradnl"/>
              </w:rPr>
              <w:t>N</w:t>
            </w:r>
          </w:p>
        </w:tc>
        <w:tc>
          <w:tcPr>
            <w:tcW w:w="1197" w:type="dxa"/>
            <w:tcBorders>
              <w:top w:val="single" w:sz="4" w:space="0" w:color="auto"/>
              <w:left w:val="single" w:sz="4" w:space="0" w:color="auto"/>
              <w:bottom w:val="single" w:sz="4" w:space="0" w:color="auto"/>
              <w:right w:val="single" w:sz="4" w:space="0" w:color="auto"/>
            </w:tcBorders>
            <w:hideMark/>
          </w:tcPr>
          <w:p w14:paraId="35DFBA50" w14:textId="5B5F968D" w:rsidR="002B37E9" w:rsidRPr="00140923" w:rsidRDefault="002B37E9" w:rsidP="00226764">
            <w:pPr>
              <w:pStyle w:val="Tabletext"/>
              <w:ind w:left="-113" w:right="-113"/>
              <w:jc w:val="center"/>
              <w:rPr>
                <w:sz w:val="18"/>
                <w:szCs w:val="18"/>
                <w:lang w:val="es-ES_tradnl" w:eastAsia="ja-JP"/>
              </w:rPr>
            </w:pPr>
            <w:r w:rsidRPr="00140923">
              <w:rPr>
                <w:sz w:val="18"/>
                <w:szCs w:val="18"/>
                <w:lang w:val="es-ES_tradnl" w:eastAsia="ja-JP"/>
              </w:rPr>
              <w:t>−137,5</w:t>
            </w:r>
            <w:r w:rsidRPr="00140923">
              <w:rPr>
                <w:sz w:val="18"/>
                <w:szCs w:val="18"/>
                <w:lang w:val="es-ES_tradnl"/>
              </w:rPr>
              <w:t xml:space="preserve"> + </w:t>
            </w:r>
            <w:r w:rsidRPr="00140923">
              <w:rPr>
                <w:i/>
                <w:sz w:val="18"/>
                <w:szCs w:val="18"/>
                <w:lang w:val="es-ES_tradnl"/>
              </w:rPr>
              <w:t>I</w:t>
            </w:r>
            <w:r w:rsidRPr="00140923">
              <w:rPr>
                <w:sz w:val="18"/>
                <w:szCs w:val="18"/>
                <w:lang w:val="es-ES_tradnl"/>
              </w:rPr>
              <w:t>/</w:t>
            </w:r>
            <w:r w:rsidRPr="00140923">
              <w:rPr>
                <w:i/>
                <w:sz w:val="18"/>
                <w:szCs w:val="18"/>
                <w:lang w:val="es-ES_tradnl"/>
              </w:rPr>
              <w:t>N</w:t>
            </w:r>
          </w:p>
        </w:tc>
        <w:tc>
          <w:tcPr>
            <w:tcW w:w="992" w:type="dxa"/>
            <w:tcBorders>
              <w:top w:val="single" w:sz="4" w:space="0" w:color="auto"/>
              <w:left w:val="single" w:sz="4" w:space="0" w:color="auto"/>
              <w:bottom w:val="single" w:sz="4" w:space="0" w:color="auto"/>
              <w:right w:val="single" w:sz="4" w:space="0" w:color="auto"/>
            </w:tcBorders>
            <w:hideMark/>
          </w:tcPr>
          <w:p w14:paraId="62FB526C" w14:textId="77777777" w:rsidR="002B37E9" w:rsidRPr="00140923" w:rsidRDefault="002B37E9" w:rsidP="00226764">
            <w:pPr>
              <w:pStyle w:val="Tabletext"/>
              <w:ind w:left="-113" w:right="-113"/>
              <w:jc w:val="center"/>
              <w:rPr>
                <w:sz w:val="18"/>
                <w:szCs w:val="18"/>
                <w:lang w:val="es-ES_tradnl" w:eastAsia="ja-JP"/>
              </w:rPr>
            </w:pPr>
            <w:r w:rsidRPr="00140923">
              <w:rPr>
                <w:sz w:val="18"/>
                <w:szCs w:val="18"/>
                <w:lang w:val="es-ES_tradnl"/>
              </w:rPr>
              <w:t>−13</w:t>
            </w:r>
            <w:r w:rsidRPr="00140923">
              <w:rPr>
                <w:sz w:val="18"/>
                <w:szCs w:val="18"/>
                <w:lang w:val="es-ES_tradnl" w:eastAsia="ja-JP"/>
              </w:rPr>
              <w:t>8</w:t>
            </w:r>
            <w:r w:rsidRPr="00140923">
              <w:rPr>
                <w:sz w:val="18"/>
                <w:szCs w:val="18"/>
                <w:lang w:val="es-ES_tradnl"/>
              </w:rPr>
              <w:t xml:space="preserve"> + </w:t>
            </w:r>
            <w:r w:rsidRPr="00140923">
              <w:rPr>
                <w:i/>
                <w:sz w:val="18"/>
                <w:szCs w:val="18"/>
                <w:lang w:val="es-ES_tradnl"/>
              </w:rPr>
              <w:t>I</w:t>
            </w:r>
            <w:r w:rsidRPr="00140923">
              <w:rPr>
                <w:iCs/>
                <w:sz w:val="18"/>
                <w:szCs w:val="18"/>
                <w:lang w:val="es-ES_tradnl"/>
              </w:rPr>
              <w:t>/</w:t>
            </w:r>
            <w:r w:rsidRPr="00140923">
              <w:rPr>
                <w:i/>
                <w:sz w:val="18"/>
                <w:szCs w:val="18"/>
                <w:lang w:val="es-ES_tradnl"/>
              </w:rPr>
              <w:t>N</w:t>
            </w:r>
          </w:p>
        </w:tc>
        <w:tc>
          <w:tcPr>
            <w:tcW w:w="951" w:type="dxa"/>
            <w:tcBorders>
              <w:top w:val="single" w:sz="4" w:space="0" w:color="auto"/>
              <w:left w:val="single" w:sz="4" w:space="0" w:color="auto"/>
              <w:bottom w:val="single" w:sz="4" w:space="0" w:color="auto"/>
              <w:right w:val="single" w:sz="4" w:space="0" w:color="auto"/>
            </w:tcBorders>
            <w:hideMark/>
          </w:tcPr>
          <w:p w14:paraId="5E95E9DA" w14:textId="77777777" w:rsidR="002B37E9" w:rsidRPr="00140923" w:rsidRDefault="002B37E9" w:rsidP="00226764">
            <w:pPr>
              <w:pStyle w:val="Tabletext"/>
              <w:ind w:left="-284" w:right="-113"/>
              <w:jc w:val="center"/>
              <w:rPr>
                <w:sz w:val="18"/>
                <w:szCs w:val="18"/>
                <w:lang w:val="es-ES_tradnl" w:eastAsia="ja-JP"/>
              </w:rPr>
            </w:pPr>
            <w:r w:rsidRPr="00140923">
              <w:rPr>
                <w:sz w:val="18"/>
                <w:szCs w:val="18"/>
                <w:lang w:val="es-ES_tradnl"/>
              </w:rPr>
              <w:t xml:space="preserve">−138 + </w:t>
            </w:r>
            <w:r w:rsidRPr="00140923">
              <w:rPr>
                <w:i/>
                <w:sz w:val="18"/>
                <w:szCs w:val="18"/>
                <w:lang w:val="es-ES_tradnl"/>
              </w:rPr>
              <w:t>I</w:t>
            </w:r>
            <w:r w:rsidRPr="00140923">
              <w:rPr>
                <w:iCs/>
                <w:sz w:val="18"/>
                <w:szCs w:val="18"/>
                <w:lang w:val="es-ES_tradnl"/>
              </w:rPr>
              <w:t>/</w:t>
            </w:r>
            <w:r w:rsidRPr="00140923">
              <w:rPr>
                <w:i/>
                <w:sz w:val="18"/>
                <w:szCs w:val="18"/>
                <w:lang w:val="es-ES_tradnl"/>
              </w:rPr>
              <w:t>N</w:t>
            </w:r>
          </w:p>
        </w:tc>
      </w:tr>
      <w:tr w:rsidR="002B37E9" w:rsidRPr="00140923" w14:paraId="0349709E" w14:textId="77777777" w:rsidTr="00480606">
        <w:trPr>
          <w:gridAfter w:val="1"/>
          <w:wAfter w:w="192" w:type="dxa"/>
          <w:jc w:val="center"/>
        </w:trPr>
        <w:tc>
          <w:tcPr>
            <w:tcW w:w="14271" w:type="dxa"/>
            <w:gridSpan w:val="11"/>
            <w:tcBorders>
              <w:top w:val="single" w:sz="4" w:space="0" w:color="auto"/>
              <w:left w:val="nil"/>
              <w:bottom w:val="nil"/>
              <w:right w:val="nil"/>
            </w:tcBorders>
            <w:tcMar>
              <w:top w:w="0" w:type="dxa"/>
              <w:left w:w="57" w:type="dxa"/>
              <w:bottom w:w="0" w:type="dxa"/>
              <w:right w:w="57" w:type="dxa"/>
            </w:tcMar>
          </w:tcPr>
          <w:p w14:paraId="04170C8F" w14:textId="77777777" w:rsidR="002B37E9" w:rsidRPr="00140923" w:rsidRDefault="002B37E9" w:rsidP="00226764">
            <w:pPr>
              <w:pStyle w:val="TableLegendNote"/>
              <w:ind w:left="-56" w:right="0"/>
              <w:rPr>
                <w:lang w:val="es-ES_tradnl"/>
              </w:rPr>
            </w:pPr>
            <w:r w:rsidRPr="00140923">
              <w:rPr>
                <w:sz w:val="20"/>
                <w:lang w:val="es-ES_tradnl" w:eastAsia="ja-JP"/>
              </w:rPr>
              <w:t>NOTA – El conjunto previsto de parámetros de dos sistemas de referencia para los estudios de compartición/compatibilidad actualmente no están disponibles, o lo están sólo parcialmente. A título provisional, se pueden utilizar los parámetros que figuran en el Anexo 3 para las mismas bandas.</w:t>
            </w:r>
          </w:p>
        </w:tc>
      </w:tr>
      <w:tr w:rsidR="002B37E9" w:rsidRPr="00140923" w14:paraId="300E1EE3" w14:textId="77777777" w:rsidTr="001B39C4">
        <w:trPr>
          <w:trHeight w:val="3260"/>
          <w:jc w:val="center"/>
        </w:trPr>
        <w:tc>
          <w:tcPr>
            <w:tcW w:w="14463" w:type="dxa"/>
            <w:gridSpan w:val="12"/>
            <w:tcBorders>
              <w:top w:val="nil"/>
              <w:left w:val="nil"/>
              <w:bottom w:val="nil"/>
              <w:right w:val="nil"/>
            </w:tcBorders>
            <w:tcMar>
              <w:top w:w="0" w:type="dxa"/>
              <w:left w:w="57" w:type="dxa"/>
              <w:bottom w:w="0" w:type="dxa"/>
              <w:right w:w="57" w:type="dxa"/>
            </w:tcMar>
            <w:hideMark/>
          </w:tcPr>
          <w:p w14:paraId="386BC528" w14:textId="58BB1ABC" w:rsidR="002B37E9" w:rsidRPr="00140923" w:rsidRDefault="002B37E9" w:rsidP="00226764">
            <w:pPr>
              <w:pStyle w:val="TableLegendNote"/>
              <w:ind w:left="-56" w:right="0"/>
              <w:rPr>
                <w:i/>
                <w:iCs/>
                <w:sz w:val="20"/>
                <w:lang w:val="es-ES_tradnl" w:eastAsia="ja-JP"/>
              </w:rPr>
            </w:pPr>
            <w:r w:rsidRPr="00140923">
              <w:rPr>
                <w:i/>
                <w:iCs/>
                <w:sz w:val="20"/>
                <w:lang w:val="es-ES_tradnl" w:eastAsia="ja-JP"/>
              </w:rPr>
              <w:lastRenderedPageBreak/>
              <w:t xml:space="preserve">Notas relativas al </w:t>
            </w:r>
            <w:r w:rsidRPr="00140923">
              <w:rPr>
                <w:i/>
                <w:iCs/>
                <w:szCs w:val="22"/>
                <w:lang w:val="es-ES_tradnl"/>
              </w:rPr>
              <w:t xml:space="preserve">Cuadro </w:t>
            </w:r>
            <w:r w:rsidR="00480606">
              <w:rPr>
                <w:i/>
                <w:iCs/>
                <w:szCs w:val="22"/>
                <w:lang w:val="es-ES_tradnl" w:eastAsia="ja-JP"/>
              </w:rPr>
              <w:t>10</w:t>
            </w:r>
            <w:r w:rsidRPr="00140923">
              <w:rPr>
                <w:i/>
                <w:iCs/>
                <w:szCs w:val="22"/>
                <w:lang w:val="es-ES_tradnl" w:eastAsia="ja-JP"/>
              </w:rPr>
              <w:t>:</w:t>
            </w:r>
          </w:p>
          <w:p w14:paraId="19775B10"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(1)</w:t>
            </w:r>
            <w:r w:rsidRPr="00140923">
              <w:rPr>
                <w:sz w:val="20"/>
                <w:vertAlign w:val="superscript"/>
                <w:lang w:val="es-ES_tradnl"/>
              </w:rPr>
              <w:tab/>
            </w:r>
            <w:r w:rsidRPr="00140923">
              <w:rPr>
                <w:sz w:val="20"/>
                <w:lang w:val="es-ES_tradnl"/>
              </w:rPr>
              <w:t>Para calcular los valores de las densidades del transmisor y de la p.i.r.e., es preciso determinar la separación entre canales y la anchura de banda. En estos Cuadros, la separación entre canales se indica en negritas. Cuando se da un valor modal (Moda), este se debe considerar como indicativo dentro de la gama especificada y puede que sea necesario realizar más análisis de sensibilidad según cada caso para evaluar el potencial de una interferencia dada en razón de las variaciones dentro de la gama especificada.</w:t>
            </w:r>
          </w:p>
          <w:p w14:paraId="12ED2BE3"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(2)</w:t>
            </w:r>
            <w:r w:rsidRPr="00140923">
              <w:rPr>
                <w:sz w:val="20"/>
                <w:vertAlign w:val="superscript"/>
                <w:lang w:val="es-ES_tradnl"/>
              </w:rPr>
              <w:tab/>
            </w:r>
            <w:r w:rsidRPr="00140923">
              <w:rPr>
                <w:sz w:val="20"/>
                <w:lang w:val="es-ES_tradnl"/>
              </w:rPr>
              <w:t>La densidad de potencia de interferencia a largo plazo nominal se define como la «densidad de potencia de ruido del receptor + (I/N requerida)» según se describe en el § 4.13 en el Anexo 2 (véase asimismo el § 4.1 en el Anexo 1).</w:t>
            </w:r>
          </w:p>
          <w:p w14:paraId="2FB96A59"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(3)</w:t>
            </w:r>
            <w:r w:rsidRPr="00140923">
              <w:rPr>
                <w:sz w:val="20"/>
                <w:lang w:val="es-ES_tradnl"/>
              </w:rPr>
              <w:tab/>
              <w:t>Este valor de separación entre canales no se especifica en la Recomendación de referencia.</w:t>
            </w:r>
          </w:p>
          <w:p w14:paraId="7731ABB9"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(4)</w:t>
            </w:r>
            <w:r w:rsidRPr="00140923">
              <w:rPr>
                <w:sz w:val="20"/>
                <w:vertAlign w:val="superscript"/>
                <w:lang w:val="es-ES_tradnl"/>
              </w:rPr>
              <w:tab/>
            </w:r>
            <w:r w:rsidRPr="00140923">
              <w:rPr>
                <w:sz w:val="20"/>
                <w:lang w:val="es-ES_tradnl"/>
              </w:rPr>
              <w:t>Este sistema utiliza modulación adaptativa entre MDP-4 y MAQ-16 y se elige MAQ-16 en condiciones ordinarias. Este sistema utiliza la banda 25,27</w:t>
            </w:r>
            <w:r w:rsidRPr="00140923">
              <w:rPr>
                <w:sz w:val="20"/>
                <w:lang w:val="es-ES_tradnl"/>
              </w:rPr>
              <w:noBreakHyphen/>
              <w:t>26,98 GHz.</w:t>
            </w:r>
          </w:p>
          <w:p w14:paraId="4795DEC7"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 xml:space="preserve"> (5)</w:t>
            </w:r>
            <w:r w:rsidRPr="00140923">
              <w:rPr>
                <w:sz w:val="20"/>
                <w:vertAlign w:val="superscript"/>
                <w:lang w:val="es-ES_tradnl"/>
              </w:rPr>
              <w:tab/>
            </w:r>
            <w:r w:rsidRPr="00140923">
              <w:rPr>
                <w:sz w:val="20"/>
                <w:lang w:val="es-ES_tradnl"/>
              </w:rPr>
              <w:t>En la Región 2, este sistema utiliza la banda 25,25-27,3 GHz.</w:t>
            </w:r>
          </w:p>
          <w:p w14:paraId="5B905AD3"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(6)</w:t>
            </w:r>
            <w:r w:rsidRPr="00140923">
              <w:rPr>
                <w:sz w:val="20"/>
                <w:lang w:val="es-ES_tradnl"/>
              </w:rPr>
              <w:tab/>
              <w:t>Anchura de banda del bloque de frecuencias.</w:t>
            </w:r>
          </w:p>
          <w:p w14:paraId="4BF92505" w14:textId="77777777" w:rsidR="002B37E9" w:rsidRPr="00140923" w:rsidRDefault="002B37E9" w:rsidP="00226764">
            <w:pPr>
              <w:pStyle w:val="TableLegendNote"/>
              <w:spacing w:before="60"/>
              <w:ind w:left="280" w:right="-57" w:hanging="337"/>
              <w:rPr>
                <w:sz w:val="20"/>
                <w:lang w:val="es-ES_tradnl" w:eastAsia="ja-JP"/>
              </w:rPr>
            </w:pPr>
            <w:r w:rsidRPr="00140923">
              <w:rPr>
                <w:sz w:val="20"/>
                <w:vertAlign w:val="superscript"/>
                <w:lang w:val="es-ES_tradnl"/>
              </w:rPr>
              <w:t>(7)</w:t>
            </w:r>
            <w:r w:rsidRPr="00140923">
              <w:rPr>
                <w:sz w:val="20"/>
                <w:lang w:val="es-ES_tradnl"/>
              </w:rPr>
              <w:tab/>
              <w:t>Estos valores de densidad del receptor y de p.i.r.e. se calculan a partir de una separación entre canales (anchura de banda) de 30 MHz dentro de un bloque de frecuencias de 60 MHz.</w:t>
            </w:r>
          </w:p>
        </w:tc>
      </w:tr>
    </w:tbl>
    <w:p w14:paraId="7854A142" w14:textId="77777777" w:rsidR="002B37E9" w:rsidRPr="00140923" w:rsidRDefault="002B37E9" w:rsidP="002B37E9">
      <w:pPr>
        <w:tabs>
          <w:tab w:val="clear" w:pos="794"/>
          <w:tab w:val="clear" w:pos="1191"/>
          <w:tab w:val="clear" w:pos="1588"/>
          <w:tab w:val="clear" w:pos="1985"/>
        </w:tabs>
        <w:overflowPunct/>
        <w:autoSpaceDE/>
        <w:autoSpaceDN/>
        <w:adjustRightInd/>
        <w:spacing w:before="0"/>
        <w:jc w:val="left"/>
        <w:textAlignment w:val="auto"/>
        <w:rPr>
          <w:lang w:val="es-ES_tradnl"/>
        </w:rPr>
      </w:pPr>
      <w:r w:rsidRPr="00140923">
        <w:rPr>
          <w:lang w:val="es-ES_tradnl"/>
        </w:rPr>
        <w:br w:type="page"/>
      </w:r>
    </w:p>
    <w:p w14:paraId="61BB47A0" w14:textId="3868E240" w:rsidR="002B37E9" w:rsidRPr="00140923" w:rsidRDefault="002B37E9" w:rsidP="002B37E9">
      <w:pPr>
        <w:pStyle w:val="TableNo"/>
        <w:rPr>
          <w:lang w:val="es-ES_tradnl" w:eastAsia="ja-JP"/>
        </w:rPr>
      </w:pPr>
      <w:r w:rsidRPr="00140923">
        <w:rPr>
          <w:lang w:val="es-ES_tradnl"/>
        </w:rPr>
        <w:lastRenderedPageBreak/>
        <w:t xml:space="preserve">CUADRO </w:t>
      </w:r>
      <w:r w:rsidRPr="00140923">
        <w:rPr>
          <w:lang w:val="es-ES_tradnl" w:eastAsia="ja-JP"/>
        </w:rPr>
        <w:t>11</w:t>
      </w:r>
    </w:p>
    <w:p w14:paraId="68B7BFA1" w14:textId="77777777" w:rsidR="002B37E9" w:rsidRPr="00140923" w:rsidRDefault="002B37E9" w:rsidP="002B37E9">
      <w:pPr>
        <w:pStyle w:val="Tabletitle"/>
        <w:rPr>
          <w:lang w:val="es-ES_tradnl" w:eastAsia="ja-JP"/>
        </w:rPr>
      </w:pPr>
      <w:r w:rsidRPr="00140923">
        <w:rPr>
          <w:lang w:val="es-ES_tradnl" w:eastAsia="ja-JP"/>
        </w:rPr>
        <w:t xml:space="preserve">Parámetros de sistema para los sistemas punto a punto del servicio fijo en bandas atribuidas entre 36 y 59 GHz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8"/>
        <w:gridCol w:w="1573"/>
        <w:gridCol w:w="1503"/>
        <w:gridCol w:w="1119"/>
        <w:gridCol w:w="1421"/>
        <w:gridCol w:w="1146"/>
        <w:gridCol w:w="1200"/>
        <w:gridCol w:w="1394"/>
        <w:gridCol w:w="1193"/>
        <w:gridCol w:w="25"/>
      </w:tblGrid>
      <w:tr w:rsidR="002B37E9" w:rsidRPr="00140923" w14:paraId="02E1CA83"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921023" w14:textId="2A44C748" w:rsidR="002B37E9" w:rsidRPr="00140923" w:rsidRDefault="002B37E9" w:rsidP="0048060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b/>
                <w:sz w:val="20"/>
                <w:lang w:val="es-ES_tradnl"/>
              </w:rPr>
            </w:pPr>
            <w:r w:rsidRPr="00140923">
              <w:rPr>
                <w:rFonts w:eastAsia="MS Mincho"/>
                <w:b/>
                <w:sz w:val="20"/>
                <w:lang w:val="es-ES_tradnl" w:eastAsia="ja-JP"/>
              </w:rPr>
              <w:t>Gama de frecuencias</w:t>
            </w:r>
            <w:r w:rsidR="00480606">
              <w:rPr>
                <w:rFonts w:eastAsia="MS Mincho"/>
                <w:b/>
                <w:sz w:val="20"/>
                <w:lang w:val="es-ES_tradnl" w:eastAsia="ja-JP"/>
              </w:rPr>
              <w:br/>
            </w:r>
            <w:r w:rsidRPr="00140923">
              <w:rPr>
                <w:rFonts w:eastAsia="MS Mincho"/>
                <w:b/>
                <w:sz w:val="20"/>
                <w:lang w:val="es-ES_tradnl" w:eastAsia="ja-JP"/>
              </w:rPr>
              <w:t>(GHz)</w:t>
            </w:r>
          </w:p>
        </w:tc>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0D81E6E9" w14:textId="77777777" w:rsidR="002B37E9" w:rsidRPr="00140923" w:rsidRDefault="002B37E9" w:rsidP="002267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b/>
                <w:sz w:val="20"/>
                <w:lang w:val="es-ES_tradnl"/>
              </w:rPr>
            </w:pPr>
            <w:r w:rsidRPr="00140923">
              <w:rPr>
                <w:rFonts w:eastAsia="MS Mincho"/>
                <w:b/>
                <w:sz w:val="20"/>
                <w:lang w:val="es-ES_tradnl" w:eastAsia="ja-JP"/>
              </w:rPr>
              <w:t>36,0-40,5</w:t>
            </w:r>
          </w:p>
        </w:tc>
        <w:tc>
          <w:tcPr>
            <w:tcW w:w="2576" w:type="dxa"/>
            <w:gridSpan w:val="2"/>
            <w:tcBorders>
              <w:top w:val="single" w:sz="4" w:space="0" w:color="auto"/>
              <w:left w:val="single" w:sz="4" w:space="0" w:color="auto"/>
              <w:bottom w:val="single" w:sz="4" w:space="0" w:color="auto"/>
              <w:right w:val="single" w:sz="4" w:space="0" w:color="auto"/>
            </w:tcBorders>
            <w:vAlign w:val="center"/>
            <w:hideMark/>
          </w:tcPr>
          <w:p w14:paraId="4B84241A" w14:textId="77777777" w:rsidR="002B37E9" w:rsidRPr="00140923" w:rsidRDefault="002B37E9" w:rsidP="002267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b/>
                <w:sz w:val="20"/>
                <w:lang w:val="es-ES_tradnl" w:eastAsia="ja-JP"/>
              </w:rPr>
            </w:pPr>
            <w:r w:rsidRPr="00140923">
              <w:rPr>
                <w:rFonts w:eastAsia="MS Mincho"/>
                <w:b/>
                <w:sz w:val="20"/>
                <w:lang w:val="es-ES_tradnl" w:eastAsia="ja-JP"/>
              </w:rPr>
              <w:t>40,5-43,5</w:t>
            </w:r>
          </w:p>
        </w:tc>
        <w:tc>
          <w:tcPr>
            <w:tcW w:w="2379" w:type="dxa"/>
            <w:gridSpan w:val="2"/>
            <w:tcBorders>
              <w:top w:val="single" w:sz="4" w:space="0" w:color="auto"/>
              <w:left w:val="single" w:sz="4" w:space="0" w:color="auto"/>
              <w:bottom w:val="single" w:sz="4" w:space="0" w:color="auto"/>
              <w:right w:val="single" w:sz="4" w:space="0" w:color="auto"/>
            </w:tcBorders>
            <w:vAlign w:val="center"/>
            <w:hideMark/>
          </w:tcPr>
          <w:p w14:paraId="2769E0C6" w14:textId="77777777" w:rsidR="002B37E9" w:rsidRPr="00140923" w:rsidRDefault="002B37E9" w:rsidP="002267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b/>
                <w:sz w:val="20"/>
                <w:lang w:val="es-ES_tradnl"/>
              </w:rPr>
            </w:pPr>
            <w:r w:rsidRPr="00140923">
              <w:rPr>
                <w:rFonts w:eastAsia="MS Mincho"/>
                <w:b/>
                <w:sz w:val="20"/>
                <w:lang w:val="es-ES_tradnl" w:eastAsia="ja-JP"/>
              </w:rPr>
              <w:t>51,4-52,6</w:t>
            </w:r>
          </w:p>
        </w:tc>
        <w:tc>
          <w:tcPr>
            <w:tcW w:w="2649" w:type="dxa"/>
            <w:gridSpan w:val="3"/>
            <w:tcBorders>
              <w:top w:val="single" w:sz="4" w:space="0" w:color="auto"/>
              <w:left w:val="single" w:sz="4" w:space="0" w:color="auto"/>
              <w:bottom w:val="single" w:sz="4" w:space="0" w:color="auto"/>
              <w:right w:val="single" w:sz="4" w:space="0" w:color="auto"/>
            </w:tcBorders>
            <w:vAlign w:val="center"/>
            <w:hideMark/>
          </w:tcPr>
          <w:p w14:paraId="23E0D1EA" w14:textId="77777777" w:rsidR="002B37E9" w:rsidRPr="00140923" w:rsidRDefault="002B37E9" w:rsidP="002267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b/>
                <w:sz w:val="20"/>
                <w:lang w:val="es-ES_tradnl" w:eastAsia="ja-JP"/>
              </w:rPr>
            </w:pPr>
            <w:r w:rsidRPr="00140923">
              <w:rPr>
                <w:rFonts w:eastAsia="MS Mincho"/>
                <w:b/>
                <w:sz w:val="20"/>
                <w:lang w:val="es-ES_tradnl" w:eastAsia="ja-JP"/>
              </w:rPr>
              <w:t>55,78-59,0</w:t>
            </w:r>
          </w:p>
        </w:tc>
      </w:tr>
      <w:tr w:rsidR="002B37E9" w:rsidRPr="00140923" w14:paraId="515B6915"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22C887" w14:textId="77777777" w:rsidR="002B37E9" w:rsidRPr="00140923" w:rsidRDefault="002B37E9" w:rsidP="00226764">
            <w:pPr>
              <w:pStyle w:val="Tabletext"/>
              <w:jc w:val="left"/>
              <w:rPr>
                <w:sz w:val="18"/>
                <w:szCs w:val="18"/>
                <w:lang w:val="es-ES_tradnl"/>
              </w:rPr>
            </w:pPr>
            <w:r w:rsidRPr="00140923">
              <w:rPr>
                <w:sz w:val="18"/>
                <w:szCs w:val="18"/>
                <w:lang w:val="es-ES_tradnl"/>
              </w:rPr>
              <w:t>Recomendación UIT-R de referencia</w:t>
            </w:r>
          </w:p>
        </w:tc>
        <w:tc>
          <w:tcPr>
            <w:tcW w:w="3121" w:type="dxa"/>
            <w:gridSpan w:val="2"/>
            <w:tcBorders>
              <w:top w:val="single" w:sz="4" w:space="0" w:color="auto"/>
              <w:left w:val="single" w:sz="4" w:space="0" w:color="auto"/>
              <w:bottom w:val="single" w:sz="4" w:space="0" w:color="auto"/>
              <w:right w:val="single" w:sz="4" w:space="0" w:color="auto"/>
            </w:tcBorders>
            <w:hideMark/>
          </w:tcPr>
          <w:p w14:paraId="70739AB7"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F.</w:t>
            </w:r>
            <w:r w:rsidRPr="00140923">
              <w:rPr>
                <w:rFonts w:eastAsia="MS Mincho"/>
                <w:sz w:val="18"/>
                <w:szCs w:val="18"/>
                <w:lang w:val="es-ES_tradnl" w:eastAsia="ja-JP"/>
              </w:rPr>
              <w:t>749</w:t>
            </w:r>
          </w:p>
        </w:tc>
        <w:tc>
          <w:tcPr>
            <w:tcW w:w="2576" w:type="dxa"/>
            <w:gridSpan w:val="2"/>
            <w:tcBorders>
              <w:top w:val="single" w:sz="4" w:space="0" w:color="auto"/>
              <w:left w:val="single" w:sz="4" w:space="0" w:color="auto"/>
              <w:bottom w:val="single" w:sz="4" w:space="0" w:color="auto"/>
              <w:right w:val="single" w:sz="4" w:space="0" w:color="auto"/>
            </w:tcBorders>
            <w:hideMark/>
          </w:tcPr>
          <w:p w14:paraId="1E034DC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rPr>
              <w:t>F.2005</w:t>
            </w:r>
          </w:p>
        </w:tc>
        <w:tc>
          <w:tcPr>
            <w:tcW w:w="2379" w:type="dxa"/>
            <w:gridSpan w:val="2"/>
            <w:tcBorders>
              <w:top w:val="single" w:sz="4" w:space="0" w:color="auto"/>
              <w:left w:val="single" w:sz="4" w:space="0" w:color="auto"/>
              <w:bottom w:val="single" w:sz="4" w:space="0" w:color="auto"/>
              <w:right w:val="single" w:sz="4" w:space="0" w:color="auto"/>
            </w:tcBorders>
            <w:hideMark/>
          </w:tcPr>
          <w:p w14:paraId="7FCA8E8C"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F.</w:t>
            </w:r>
            <w:r w:rsidRPr="00140923">
              <w:rPr>
                <w:rFonts w:eastAsia="MS Mincho"/>
                <w:sz w:val="18"/>
                <w:szCs w:val="18"/>
                <w:lang w:val="es-ES_tradnl" w:eastAsia="ja-JP"/>
              </w:rPr>
              <w:t>1496</w:t>
            </w:r>
          </w:p>
        </w:tc>
        <w:tc>
          <w:tcPr>
            <w:tcW w:w="2649" w:type="dxa"/>
            <w:gridSpan w:val="3"/>
            <w:tcBorders>
              <w:top w:val="single" w:sz="4" w:space="0" w:color="auto"/>
              <w:left w:val="single" w:sz="4" w:space="0" w:color="auto"/>
              <w:bottom w:val="single" w:sz="4" w:space="0" w:color="auto"/>
              <w:right w:val="single" w:sz="4" w:space="0" w:color="auto"/>
            </w:tcBorders>
            <w:hideMark/>
          </w:tcPr>
          <w:p w14:paraId="18CB7BDC"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F.</w:t>
            </w:r>
            <w:r w:rsidRPr="00140923">
              <w:rPr>
                <w:rFonts w:eastAsia="MS Mincho"/>
                <w:sz w:val="18"/>
                <w:szCs w:val="18"/>
                <w:lang w:val="es-ES_tradnl" w:eastAsia="ja-JP"/>
              </w:rPr>
              <w:t>1497</w:t>
            </w:r>
          </w:p>
        </w:tc>
      </w:tr>
      <w:tr w:rsidR="002B37E9" w:rsidRPr="00140923" w14:paraId="190C049E"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DB3361" w14:textId="77777777" w:rsidR="002B37E9" w:rsidRPr="00140923" w:rsidRDefault="002B37E9" w:rsidP="00226764">
            <w:pPr>
              <w:pStyle w:val="Tabletext"/>
              <w:jc w:val="left"/>
              <w:rPr>
                <w:sz w:val="18"/>
                <w:szCs w:val="18"/>
                <w:lang w:val="es-ES_tradnl"/>
              </w:rPr>
            </w:pPr>
            <w:r w:rsidRPr="00140923">
              <w:rPr>
                <w:sz w:val="18"/>
                <w:szCs w:val="18"/>
                <w:lang w:val="es-ES_tradnl"/>
              </w:rPr>
              <w:t>Modulación</w:t>
            </w:r>
          </w:p>
        </w:tc>
        <w:tc>
          <w:tcPr>
            <w:tcW w:w="1596" w:type="dxa"/>
            <w:tcBorders>
              <w:top w:val="single" w:sz="4" w:space="0" w:color="auto"/>
              <w:left w:val="single" w:sz="4" w:space="0" w:color="auto"/>
              <w:bottom w:val="single" w:sz="4" w:space="0" w:color="auto"/>
              <w:right w:val="single" w:sz="4" w:space="0" w:color="auto"/>
            </w:tcBorders>
            <w:hideMark/>
          </w:tcPr>
          <w:p w14:paraId="064EE789"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eastAsia="MS Mincho"/>
                <w:sz w:val="18"/>
                <w:szCs w:val="18"/>
                <w:lang w:val="es-ES_tradnl" w:eastAsia="ja-JP"/>
              </w:rPr>
            </w:pPr>
            <w:r w:rsidRPr="00140923">
              <w:rPr>
                <w:rFonts w:eastAsia="MS Mincho"/>
                <w:sz w:val="18"/>
                <w:szCs w:val="18"/>
                <w:lang w:val="es-ES_tradnl" w:eastAsia="ja-JP"/>
              </w:rPr>
              <w:t>MDP-4</w:t>
            </w:r>
          </w:p>
        </w:tc>
        <w:tc>
          <w:tcPr>
            <w:tcW w:w="1525" w:type="dxa"/>
            <w:tcBorders>
              <w:top w:val="single" w:sz="4" w:space="0" w:color="auto"/>
              <w:left w:val="single" w:sz="4" w:space="0" w:color="auto"/>
              <w:bottom w:val="single" w:sz="4" w:space="0" w:color="auto"/>
              <w:right w:val="single" w:sz="4" w:space="0" w:color="auto"/>
            </w:tcBorders>
            <w:hideMark/>
          </w:tcPr>
          <w:p w14:paraId="1C151756"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eastAsia="MS Mincho"/>
                <w:sz w:val="18"/>
                <w:szCs w:val="18"/>
                <w:lang w:val="es-ES_tradnl" w:eastAsia="ja-JP"/>
              </w:rPr>
            </w:pPr>
            <w:r w:rsidRPr="00140923">
              <w:rPr>
                <w:rFonts w:eastAsia="MS Mincho"/>
                <w:sz w:val="18"/>
                <w:szCs w:val="18"/>
                <w:lang w:val="es-ES_tradnl" w:eastAsia="ja-JP"/>
              </w:rPr>
              <w:t>MAQ-32</w:t>
            </w:r>
          </w:p>
        </w:tc>
        <w:tc>
          <w:tcPr>
            <w:tcW w:w="1134" w:type="dxa"/>
            <w:tcBorders>
              <w:top w:val="single" w:sz="4" w:space="0" w:color="auto"/>
              <w:left w:val="single" w:sz="4" w:space="0" w:color="auto"/>
              <w:bottom w:val="single" w:sz="4" w:space="0" w:color="auto"/>
              <w:right w:val="single" w:sz="4" w:space="0" w:color="auto"/>
            </w:tcBorders>
            <w:hideMark/>
          </w:tcPr>
          <w:p w14:paraId="702D0A4B"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eastAsia="MS Mincho"/>
                <w:sz w:val="18"/>
                <w:szCs w:val="18"/>
                <w:lang w:val="es-ES_tradnl" w:eastAsia="ja-JP"/>
              </w:rPr>
            </w:pPr>
            <w:r w:rsidRPr="00140923">
              <w:rPr>
                <w:rFonts w:eastAsia="MS Mincho"/>
                <w:sz w:val="18"/>
                <w:szCs w:val="18"/>
                <w:lang w:val="es-ES_tradnl" w:eastAsia="ja-JP"/>
              </w:rPr>
              <w:t>MDP-4</w:t>
            </w:r>
          </w:p>
        </w:tc>
        <w:tc>
          <w:tcPr>
            <w:tcW w:w="1442" w:type="dxa"/>
            <w:tcBorders>
              <w:top w:val="single" w:sz="4" w:space="0" w:color="auto"/>
              <w:left w:val="single" w:sz="4" w:space="0" w:color="auto"/>
              <w:bottom w:val="single" w:sz="4" w:space="0" w:color="auto"/>
              <w:right w:val="single" w:sz="4" w:space="0" w:color="auto"/>
            </w:tcBorders>
            <w:hideMark/>
          </w:tcPr>
          <w:p w14:paraId="0AF0C71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eastAsia="MS Mincho"/>
                <w:sz w:val="18"/>
                <w:szCs w:val="18"/>
                <w:lang w:val="es-ES_tradnl" w:eastAsia="ja-JP"/>
              </w:rPr>
            </w:pPr>
            <w:r w:rsidRPr="00140923">
              <w:rPr>
                <w:rFonts w:eastAsia="MS Mincho"/>
                <w:sz w:val="18"/>
                <w:szCs w:val="18"/>
                <w:lang w:val="es-ES_tradnl" w:eastAsia="ja-JP"/>
              </w:rPr>
              <w:t>MAQ-256</w:t>
            </w:r>
          </w:p>
        </w:tc>
        <w:tc>
          <w:tcPr>
            <w:tcW w:w="1162" w:type="dxa"/>
            <w:tcBorders>
              <w:top w:val="single" w:sz="4" w:space="0" w:color="auto"/>
              <w:left w:val="single" w:sz="4" w:space="0" w:color="auto"/>
              <w:bottom w:val="single" w:sz="4" w:space="0" w:color="auto"/>
              <w:right w:val="single" w:sz="4" w:space="0" w:color="auto"/>
            </w:tcBorders>
            <w:hideMark/>
          </w:tcPr>
          <w:p w14:paraId="5212DAA1"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eastAsia="MS Mincho"/>
                <w:sz w:val="18"/>
                <w:szCs w:val="18"/>
                <w:lang w:val="es-ES_tradnl" w:eastAsia="ja-JP"/>
              </w:rPr>
            </w:pPr>
            <w:r w:rsidRPr="00140923">
              <w:rPr>
                <w:rFonts w:eastAsia="MS Mincho"/>
                <w:sz w:val="18"/>
                <w:szCs w:val="18"/>
                <w:lang w:val="es-ES_tradnl" w:eastAsia="ja-JP"/>
              </w:rPr>
              <w:t>……..</w:t>
            </w:r>
          </w:p>
        </w:tc>
        <w:tc>
          <w:tcPr>
            <w:tcW w:w="1217" w:type="dxa"/>
            <w:tcBorders>
              <w:top w:val="single" w:sz="4" w:space="0" w:color="auto"/>
              <w:left w:val="single" w:sz="4" w:space="0" w:color="auto"/>
              <w:bottom w:val="single" w:sz="4" w:space="0" w:color="auto"/>
              <w:right w:val="single" w:sz="4" w:space="0" w:color="auto"/>
            </w:tcBorders>
            <w:hideMark/>
          </w:tcPr>
          <w:p w14:paraId="385A3672"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eastAsia="MS Mincho"/>
                <w:sz w:val="18"/>
                <w:szCs w:val="18"/>
                <w:lang w:val="es-ES_tradnl" w:eastAsia="ja-JP"/>
              </w:rPr>
            </w:pPr>
            <w:r w:rsidRPr="00140923">
              <w:rPr>
                <w:rFonts w:eastAsia="MS Mincho"/>
                <w:sz w:val="18"/>
                <w:szCs w:val="18"/>
                <w:lang w:val="es-ES_tradnl" w:eastAsia="ja-JP"/>
              </w:rPr>
              <w:t>……..</w:t>
            </w:r>
          </w:p>
        </w:tc>
        <w:tc>
          <w:tcPr>
            <w:tcW w:w="1414" w:type="dxa"/>
            <w:tcBorders>
              <w:top w:val="single" w:sz="4" w:space="0" w:color="auto"/>
              <w:left w:val="single" w:sz="4" w:space="0" w:color="auto"/>
              <w:bottom w:val="single" w:sz="4" w:space="0" w:color="auto"/>
              <w:right w:val="single" w:sz="4" w:space="0" w:color="auto"/>
            </w:tcBorders>
            <w:hideMark/>
          </w:tcPr>
          <w:p w14:paraId="77E772B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eastAsia="MS Mincho"/>
                <w:sz w:val="18"/>
                <w:szCs w:val="18"/>
                <w:lang w:val="es-ES_tradnl" w:eastAsia="ja-JP"/>
              </w:rPr>
            </w:pPr>
            <w:r w:rsidRPr="00140923">
              <w:rPr>
                <w:rFonts w:eastAsia="MS Mincho"/>
                <w:sz w:val="18"/>
                <w:szCs w:val="18"/>
                <w:lang w:val="es-ES_tradnl" w:eastAsia="ja-JP"/>
              </w:rPr>
              <w:t>MDF</w:t>
            </w:r>
          </w:p>
        </w:tc>
        <w:tc>
          <w:tcPr>
            <w:tcW w:w="1235" w:type="dxa"/>
            <w:gridSpan w:val="2"/>
            <w:tcBorders>
              <w:top w:val="single" w:sz="4" w:space="0" w:color="auto"/>
              <w:left w:val="single" w:sz="4" w:space="0" w:color="auto"/>
              <w:bottom w:val="single" w:sz="4" w:space="0" w:color="auto"/>
              <w:right w:val="single" w:sz="4" w:space="0" w:color="auto"/>
            </w:tcBorders>
            <w:hideMark/>
          </w:tcPr>
          <w:p w14:paraId="05293612"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eastAsia="MS Mincho"/>
                <w:sz w:val="18"/>
                <w:szCs w:val="18"/>
                <w:lang w:val="es-ES_tradnl" w:eastAsia="ja-JP"/>
              </w:rPr>
            </w:pPr>
            <w:r w:rsidRPr="00140923">
              <w:rPr>
                <w:rFonts w:eastAsia="MS Mincho"/>
                <w:sz w:val="18"/>
                <w:szCs w:val="18"/>
                <w:lang w:val="es-ES_tradnl" w:eastAsia="ja-JP"/>
              </w:rPr>
              <w:t>……..</w:t>
            </w:r>
          </w:p>
        </w:tc>
      </w:tr>
      <w:tr w:rsidR="002B37E9" w:rsidRPr="00140923" w14:paraId="4A19D0AD"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19DE16" w14:textId="322CFE50" w:rsidR="002B37E9" w:rsidRPr="00140923" w:rsidRDefault="002B37E9" w:rsidP="00226764">
            <w:pPr>
              <w:pStyle w:val="Tabletext"/>
              <w:jc w:val="left"/>
              <w:rPr>
                <w:sz w:val="18"/>
                <w:szCs w:val="18"/>
                <w:lang w:val="es-ES_tradnl"/>
              </w:rPr>
            </w:pPr>
            <w:r w:rsidRPr="00140923">
              <w:rPr>
                <w:sz w:val="18"/>
                <w:szCs w:val="18"/>
                <w:lang w:val="es-ES_tradnl"/>
              </w:rPr>
              <w:t>Separación de canales y anchura de banda de ruido del receptor (MHz)</w:t>
            </w:r>
          </w:p>
        </w:tc>
        <w:tc>
          <w:tcPr>
            <w:tcW w:w="1596" w:type="dxa"/>
            <w:tcBorders>
              <w:top w:val="single" w:sz="4" w:space="0" w:color="auto"/>
              <w:left w:val="single" w:sz="4" w:space="0" w:color="auto"/>
              <w:bottom w:val="single" w:sz="4" w:space="0" w:color="auto"/>
              <w:right w:val="single" w:sz="4" w:space="0" w:color="auto"/>
            </w:tcBorders>
            <w:hideMark/>
          </w:tcPr>
          <w:p w14:paraId="6469F723"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2,</w:t>
            </w:r>
            <w:r w:rsidRPr="00140923">
              <w:rPr>
                <w:rFonts w:eastAsia="MS Mincho"/>
                <w:sz w:val="18"/>
                <w:szCs w:val="18"/>
                <w:lang w:val="es-ES_tradnl"/>
              </w:rPr>
              <w:t>5</w:t>
            </w:r>
            <w:r w:rsidRPr="00140923">
              <w:rPr>
                <w:rFonts w:eastAsia="MS Mincho"/>
                <w:sz w:val="18"/>
                <w:szCs w:val="18"/>
                <w:lang w:val="es-ES_tradnl" w:eastAsia="ja-JP"/>
              </w:rPr>
              <w:t>, 3,5, 7, 14, </w:t>
            </w:r>
            <w:r w:rsidRPr="00140923">
              <w:rPr>
                <w:rFonts w:eastAsia="MS Mincho"/>
                <w:b/>
                <w:sz w:val="18"/>
                <w:szCs w:val="18"/>
                <w:lang w:val="es-ES_tradnl" w:eastAsia="ja-JP"/>
              </w:rPr>
              <w:t>28</w:t>
            </w:r>
            <w:r w:rsidRPr="00140923">
              <w:rPr>
                <w:rFonts w:eastAsia="MS Mincho"/>
                <w:sz w:val="18"/>
                <w:szCs w:val="18"/>
                <w:lang w:val="es-ES_tradnl" w:eastAsia="ja-JP"/>
              </w:rPr>
              <w:t>, 56, 112, 140, 224</w:t>
            </w:r>
          </w:p>
        </w:tc>
        <w:tc>
          <w:tcPr>
            <w:tcW w:w="1525" w:type="dxa"/>
            <w:tcBorders>
              <w:top w:val="single" w:sz="4" w:space="0" w:color="auto"/>
              <w:left w:val="single" w:sz="4" w:space="0" w:color="auto"/>
              <w:bottom w:val="single" w:sz="4" w:space="0" w:color="auto"/>
              <w:right w:val="single" w:sz="4" w:space="0" w:color="auto"/>
            </w:tcBorders>
            <w:hideMark/>
          </w:tcPr>
          <w:p w14:paraId="503AF16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eastAsia="ja-JP"/>
              </w:rPr>
              <w:t>2,</w:t>
            </w:r>
            <w:r w:rsidRPr="00140923">
              <w:rPr>
                <w:rFonts w:eastAsia="MS Mincho"/>
                <w:sz w:val="18"/>
                <w:szCs w:val="18"/>
                <w:lang w:val="es-ES_tradnl"/>
              </w:rPr>
              <w:t>5</w:t>
            </w:r>
            <w:r w:rsidRPr="00140923">
              <w:rPr>
                <w:rFonts w:eastAsia="MS Mincho"/>
                <w:sz w:val="18"/>
                <w:szCs w:val="18"/>
                <w:lang w:val="es-ES_tradnl" w:eastAsia="ja-JP"/>
              </w:rPr>
              <w:t xml:space="preserve">, 3,5, 7, 10, 14, 28, 30, 40, 50, </w:t>
            </w:r>
            <w:r w:rsidRPr="00140923">
              <w:rPr>
                <w:rFonts w:eastAsia="MS Mincho"/>
                <w:b/>
                <w:sz w:val="18"/>
                <w:szCs w:val="18"/>
                <w:lang w:val="es-ES_tradnl" w:eastAsia="ja-JP"/>
              </w:rPr>
              <w:t>56</w:t>
            </w:r>
            <w:r w:rsidRPr="00140923">
              <w:rPr>
                <w:rFonts w:eastAsia="MS Mincho"/>
                <w:sz w:val="18"/>
                <w:szCs w:val="18"/>
                <w:lang w:val="es-ES_tradnl" w:eastAsia="ja-JP"/>
              </w:rPr>
              <w:t>, 112, 140, 224</w:t>
            </w:r>
          </w:p>
        </w:tc>
        <w:tc>
          <w:tcPr>
            <w:tcW w:w="1134" w:type="dxa"/>
            <w:tcBorders>
              <w:top w:val="single" w:sz="4" w:space="0" w:color="auto"/>
              <w:left w:val="single" w:sz="4" w:space="0" w:color="auto"/>
              <w:bottom w:val="single" w:sz="4" w:space="0" w:color="auto"/>
              <w:right w:val="single" w:sz="4" w:space="0" w:color="auto"/>
            </w:tcBorders>
            <w:hideMark/>
          </w:tcPr>
          <w:p w14:paraId="004ACCC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 xml:space="preserve">7, 14, </w:t>
            </w:r>
            <w:r w:rsidRPr="00140923">
              <w:rPr>
                <w:rFonts w:eastAsia="MS Mincho"/>
                <w:b/>
                <w:sz w:val="18"/>
                <w:szCs w:val="18"/>
                <w:lang w:val="es-ES_tradnl" w:eastAsia="ja-JP"/>
              </w:rPr>
              <w:t>28</w:t>
            </w:r>
            <w:r w:rsidRPr="00140923">
              <w:rPr>
                <w:rFonts w:eastAsia="MS Mincho"/>
                <w:sz w:val="18"/>
                <w:szCs w:val="18"/>
                <w:lang w:val="es-ES_tradnl" w:eastAsia="ja-JP"/>
              </w:rPr>
              <w:t>, 56, 112, 224</w:t>
            </w:r>
          </w:p>
        </w:tc>
        <w:tc>
          <w:tcPr>
            <w:tcW w:w="1442" w:type="dxa"/>
            <w:tcBorders>
              <w:top w:val="single" w:sz="4" w:space="0" w:color="auto"/>
              <w:left w:val="single" w:sz="4" w:space="0" w:color="auto"/>
              <w:bottom w:val="single" w:sz="4" w:space="0" w:color="auto"/>
              <w:right w:val="single" w:sz="4" w:space="0" w:color="auto"/>
            </w:tcBorders>
            <w:hideMark/>
          </w:tcPr>
          <w:p w14:paraId="509F1DD9"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 xml:space="preserve">7, 14, 28, </w:t>
            </w:r>
            <w:r w:rsidRPr="00140923">
              <w:rPr>
                <w:rFonts w:eastAsia="MS Mincho"/>
                <w:b/>
                <w:sz w:val="18"/>
                <w:szCs w:val="18"/>
                <w:lang w:val="es-ES_tradnl" w:eastAsia="ja-JP"/>
              </w:rPr>
              <w:t>56</w:t>
            </w:r>
            <w:r w:rsidRPr="00140923">
              <w:rPr>
                <w:rFonts w:eastAsia="MS Mincho"/>
                <w:sz w:val="18"/>
                <w:szCs w:val="18"/>
                <w:lang w:val="es-ES_tradnl" w:eastAsia="ja-JP"/>
              </w:rPr>
              <w:t>, 112, 224</w:t>
            </w:r>
          </w:p>
        </w:tc>
        <w:tc>
          <w:tcPr>
            <w:tcW w:w="1162" w:type="dxa"/>
            <w:tcBorders>
              <w:top w:val="single" w:sz="4" w:space="0" w:color="auto"/>
              <w:left w:val="single" w:sz="4" w:space="0" w:color="auto"/>
              <w:bottom w:val="single" w:sz="4" w:space="0" w:color="auto"/>
              <w:right w:val="single" w:sz="4" w:space="0" w:color="auto"/>
            </w:tcBorders>
            <w:hideMark/>
          </w:tcPr>
          <w:p w14:paraId="0348FE15"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caps/>
                <w:sz w:val="18"/>
                <w:szCs w:val="18"/>
                <w:lang w:val="es-ES_tradnl" w:eastAsia="ja-JP"/>
              </w:rPr>
              <w:t>3,5, 7, 14, 28, 56</w:t>
            </w:r>
          </w:p>
        </w:tc>
        <w:tc>
          <w:tcPr>
            <w:tcW w:w="1217" w:type="dxa"/>
            <w:tcBorders>
              <w:top w:val="single" w:sz="4" w:space="0" w:color="auto"/>
              <w:left w:val="single" w:sz="4" w:space="0" w:color="auto"/>
              <w:bottom w:val="single" w:sz="4" w:space="0" w:color="auto"/>
              <w:right w:val="single" w:sz="4" w:space="0" w:color="auto"/>
            </w:tcBorders>
            <w:hideMark/>
          </w:tcPr>
          <w:p w14:paraId="22480AE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caps/>
                <w:sz w:val="18"/>
                <w:szCs w:val="18"/>
                <w:lang w:val="es-ES_tradnl" w:eastAsia="ja-JP"/>
              </w:rPr>
              <w:t>3,5, 7, 14, 28, 56</w:t>
            </w:r>
          </w:p>
        </w:tc>
        <w:tc>
          <w:tcPr>
            <w:tcW w:w="1414" w:type="dxa"/>
            <w:tcBorders>
              <w:top w:val="single" w:sz="4" w:space="0" w:color="auto"/>
              <w:left w:val="single" w:sz="4" w:space="0" w:color="auto"/>
              <w:bottom w:val="single" w:sz="4" w:space="0" w:color="auto"/>
              <w:right w:val="single" w:sz="4" w:space="0" w:color="auto"/>
            </w:tcBorders>
            <w:hideMark/>
          </w:tcPr>
          <w:p w14:paraId="40D60367"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ind w:left="-57" w:right="-57"/>
              <w:jc w:val="center"/>
              <w:rPr>
                <w:rFonts w:eastAsia="MS Mincho"/>
                <w:sz w:val="18"/>
                <w:szCs w:val="18"/>
                <w:lang w:val="es-ES_tradnl" w:eastAsia="ja-JP"/>
              </w:rPr>
            </w:pPr>
            <w:r w:rsidRPr="00140923">
              <w:rPr>
                <w:rFonts w:eastAsia="MS Mincho"/>
                <w:sz w:val="18"/>
                <w:szCs w:val="18"/>
                <w:lang w:val="es-ES_tradnl" w:eastAsia="ja-JP"/>
              </w:rPr>
              <w:t xml:space="preserve">3,5, 7, </w:t>
            </w:r>
            <w:r w:rsidRPr="00140923">
              <w:rPr>
                <w:rFonts w:eastAsia="MS Mincho"/>
                <w:b/>
                <w:sz w:val="18"/>
                <w:szCs w:val="18"/>
                <w:lang w:val="es-ES_tradnl" w:eastAsia="ja-JP"/>
              </w:rPr>
              <w:t>10</w:t>
            </w:r>
            <w:r w:rsidRPr="00140923">
              <w:rPr>
                <w:rFonts w:eastAsia="MS Mincho"/>
                <w:caps/>
                <w:sz w:val="18"/>
                <w:szCs w:val="18"/>
                <w:vertAlign w:val="superscript"/>
                <w:lang w:val="es-ES_tradnl" w:eastAsia="ja-JP"/>
              </w:rPr>
              <w:t>(3)</w:t>
            </w:r>
            <w:r w:rsidRPr="00140923">
              <w:rPr>
                <w:rFonts w:eastAsia="MS Mincho"/>
                <w:sz w:val="18"/>
                <w:szCs w:val="18"/>
                <w:lang w:val="es-ES_tradnl" w:eastAsia="ja-JP"/>
              </w:rPr>
              <w:t xml:space="preserve">, 14, </w:t>
            </w:r>
            <w:r w:rsidRPr="00140923">
              <w:rPr>
                <w:rFonts w:eastAsia="MS Mincho"/>
                <w:b/>
                <w:sz w:val="18"/>
                <w:szCs w:val="18"/>
                <w:lang w:val="es-ES_tradnl" w:eastAsia="ja-JP"/>
              </w:rPr>
              <w:t>20</w:t>
            </w:r>
            <w:r w:rsidRPr="00140923">
              <w:rPr>
                <w:rFonts w:eastAsia="MS Mincho"/>
                <w:caps/>
                <w:sz w:val="18"/>
                <w:szCs w:val="18"/>
                <w:vertAlign w:val="superscript"/>
                <w:lang w:val="es-ES_tradnl" w:eastAsia="ja-JP"/>
              </w:rPr>
              <w:t>(3)</w:t>
            </w:r>
            <w:r w:rsidRPr="00140923">
              <w:rPr>
                <w:rFonts w:eastAsia="MS Mincho"/>
                <w:sz w:val="18"/>
                <w:szCs w:val="18"/>
                <w:lang w:val="es-ES_tradnl" w:eastAsia="ja-JP"/>
              </w:rPr>
              <w:t xml:space="preserve">, 28, </w:t>
            </w:r>
            <w:r w:rsidRPr="00140923">
              <w:rPr>
                <w:rFonts w:eastAsia="MS Mincho"/>
                <w:b/>
                <w:sz w:val="18"/>
                <w:szCs w:val="18"/>
                <w:lang w:val="es-ES_tradnl" w:eastAsia="ja-JP"/>
              </w:rPr>
              <w:t>30</w:t>
            </w:r>
            <w:r w:rsidRPr="00140923">
              <w:rPr>
                <w:rFonts w:eastAsia="MS Mincho"/>
                <w:caps/>
                <w:sz w:val="18"/>
                <w:szCs w:val="18"/>
                <w:vertAlign w:val="superscript"/>
                <w:lang w:val="es-ES_tradnl" w:eastAsia="ja-JP"/>
              </w:rPr>
              <w:t>(3)</w:t>
            </w:r>
            <w:r w:rsidRPr="00140923">
              <w:rPr>
                <w:rFonts w:eastAsia="MS Mincho"/>
                <w:bCs/>
                <w:sz w:val="18"/>
                <w:szCs w:val="18"/>
                <w:lang w:val="es-ES_tradnl" w:eastAsia="ja-JP"/>
              </w:rPr>
              <w:t>,</w:t>
            </w:r>
            <w:r w:rsidRPr="00140923">
              <w:rPr>
                <w:rFonts w:eastAsia="MS Mincho"/>
                <w:b/>
                <w:sz w:val="18"/>
                <w:szCs w:val="18"/>
                <w:lang w:val="es-ES_tradnl" w:eastAsia="ja-JP"/>
              </w:rPr>
              <w:t xml:space="preserve"> 40</w:t>
            </w:r>
            <w:r w:rsidRPr="00140923">
              <w:rPr>
                <w:rFonts w:eastAsia="MS Mincho"/>
                <w:caps/>
                <w:sz w:val="18"/>
                <w:szCs w:val="18"/>
                <w:vertAlign w:val="superscript"/>
                <w:lang w:val="es-ES_tradnl" w:eastAsia="ja-JP"/>
              </w:rPr>
              <w:t>(3)</w:t>
            </w:r>
            <w:r w:rsidRPr="00140923">
              <w:rPr>
                <w:rFonts w:eastAsia="MS Mincho"/>
                <w:sz w:val="18"/>
                <w:szCs w:val="18"/>
                <w:lang w:val="es-ES_tradnl" w:eastAsia="ja-JP"/>
              </w:rPr>
              <w:t xml:space="preserve"> </w:t>
            </w:r>
            <w:r w:rsidRPr="00140923">
              <w:rPr>
                <w:rFonts w:eastAsia="MS Mincho"/>
                <w:b/>
                <w:sz w:val="18"/>
                <w:szCs w:val="18"/>
                <w:lang w:val="es-ES_tradnl" w:eastAsia="ja-JP"/>
              </w:rPr>
              <w:t>50</w:t>
            </w:r>
            <w:r w:rsidRPr="00140923">
              <w:rPr>
                <w:rFonts w:eastAsia="MS Mincho"/>
                <w:sz w:val="18"/>
                <w:szCs w:val="18"/>
                <w:lang w:val="es-ES_tradnl" w:eastAsia="ja-JP"/>
              </w:rPr>
              <w:t>, 56,</w:t>
            </w:r>
            <w:r w:rsidRPr="00140923">
              <w:rPr>
                <w:rFonts w:eastAsia="MS Mincho"/>
                <w:sz w:val="18"/>
                <w:szCs w:val="18"/>
                <w:lang w:val="es-ES_tradnl"/>
              </w:rPr>
              <w:t xml:space="preserve"> </w:t>
            </w:r>
            <w:r w:rsidRPr="00140923">
              <w:rPr>
                <w:rFonts w:eastAsia="MS Mincho"/>
                <w:sz w:val="18"/>
                <w:szCs w:val="18"/>
                <w:lang w:val="es-ES_tradnl" w:eastAsia="ja-JP"/>
              </w:rPr>
              <w:t>100</w:t>
            </w:r>
          </w:p>
        </w:tc>
        <w:tc>
          <w:tcPr>
            <w:tcW w:w="1235" w:type="dxa"/>
            <w:gridSpan w:val="2"/>
            <w:tcBorders>
              <w:top w:val="single" w:sz="4" w:space="0" w:color="auto"/>
              <w:left w:val="single" w:sz="4" w:space="0" w:color="auto"/>
              <w:bottom w:val="single" w:sz="4" w:space="0" w:color="auto"/>
              <w:right w:val="single" w:sz="4" w:space="0" w:color="auto"/>
            </w:tcBorders>
            <w:hideMark/>
          </w:tcPr>
          <w:p w14:paraId="6D4D5098"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3,5, 7, 14, 28, 50, 56, 100</w:t>
            </w:r>
          </w:p>
        </w:tc>
      </w:tr>
      <w:tr w:rsidR="002B37E9" w:rsidRPr="00140923" w14:paraId="47478EF7"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67679E" w14:textId="77777777" w:rsidR="002B37E9" w:rsidRPr="00140923" w:rsidRDefault="002B37E9" w:rsidP="00226764">
            <w:pPr>
              <w:pStyle w:val="Tabletext"/>
              <w:jc w:val="left"/>
              <w:rPr>
                <w:sz w:val="18"/>
                <w:szCs w:val="18"/>
                <w:lang w:val="es-ES_tradnl"/>
              </w:rPr>
            </w:pPr>
            <w:r w:rsidRPr="00140923">
              <w:rPr>
                <w:sz w:val="18"/>
                <w:szCs w:val="18"/>
                <w:lang w:val="es-ES_tradnl"/>
              </w:rPr>
              <w:t xml:space="preserve">Gama de potencia de salida del transmisor (dBW) </w:t>
            </w:r>
          </w:p>
        </w:tc>
        <w:tc>
          <w:tcPr>
            <w:tcW w:w="1596" w:type="dxa"/>
            <w:tcBorders>
              <w:top w:val="single" w:sz="4" w:space="0" w:color="auto"/>
              <w:left w:val="single" w:sz="4" w:space="0" w:color="auto"/>
              <w:bottom w:val="single" w:sz="4" w:space="0" w:color="auto"/>
              <w:right w:val="single" w:sz="4" w:space="0" w:color="auto"/>
            </w:tcBorders>
            <w:hideMark/>
          </w:tcPr>
          <w:p w14:paraId="28FF1262"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−60…−15</w:t>
            </w:r>
          </w:p>
        </w:tc>
        <w:tc>
          <w:tcPr>
            <w:tcW w:w="1525" w:type="dxa"/>
            <w:tcBorders>
              <w:top w:val="single" w:sz="4" w:space="0" w:color="auto"/>
              <w:left w:val="single" w:sz="4" w:space="0" w:color="auto"/>
              <w:bottom w:val="single" w:sz="4" w:space="0" w:color="auto"/>
              <w:right w:val="single" w:sz="4" w:space="0" w:color="auto"/>
            </w:tcBorders>
            <w:hideMark/>
          </w:tcPr>
          <w:p w14:paraId="5C71085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−37,5…−16,5</w:t>
            </w:r>
          </w:p>
        </w:tc>
        <w:tc>
          <w:tcPr>
            <w:tcW w:w="1134" w:type="dxa"/>
            <w:tcBorders>
              <w:top w:val="single" w:sz="4" w:space="0" w:color="auto"/>
              <w:left w:val="single" w:sz="4" w:space="0" w:color="auto"/>
              <w:bottom w:val="single" w:sz="4" w:space="0" w:color="auto"/>
              <w:right w:val="single" w:sz="4" w:space="0" w:color="auto"/>
            </w:tcBorders>
            <w:hideMark/>
          </w:tcPr>
          <w:p w14:paraId="775A3ADC"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w:t>
            </w:r>
            <w:r w:rsidRPr="00140923">
              <w:rPr>
                <w:rFonts w:eastAsia="MS Mincho"/>
                <w:sz w:val="18"/>
                <w:szCs w:val="18"/>
                <w:lang w:val="es-ES_tradnl" w:eastAsia="ja-JP"/>
              </w:rPr>
              <w:t>10</w:t>
            </w:r>
          </w:p>
        </w:tc>
        <w:tc>
          <w:tcPr>
            <w:tcW w:w="1442" w:type="dxa"/>
            <w:tcBorders>
              <w:top w:val="single" w:sz="4" w:space="0" w:color="auto"/>
              <w:left w:val="single" w:sz="4" w:space="0" w:color="auto"/>
              <w:bottom w:val="single" w:sz="4" w:space="0" w:color="auto"/>
              <w:right w:val="single" w:sz="4" w:space="0" w:color="auto"/>
            </w:tcBorders>
            <w:hideMark/>
          </w:tcPr>
          <w:p w14:paraId="5B9105C7"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w:t>
            </w:r>
            <w:r w:rsidRPr="00140923">
              <w:rPr>
                <w:rFonts w:eastAsia="MS Mincho"/>
                <w:sz w:val="18"/>
                <w:szCs w:val="18"/>
                <w:lang w:val="es-ES_tradnl" w:eastAsia="ja-JP"/>
              </w:rPr>
              <w:t>17</w:t>
            </w:r>
          </w:p>
        </w:tc>
        <w:tc>
          <w:tcPr>
            <w:tcW w:w="1162" w:type="dxa"/>
            <w:vMerge w:val="restart"/>
            <w:tcBorders>
              <w:top w:val="single" w:sz="4" w:space="0" w:color="auto"/>
              <w:left w:val="single" w:sz="4" w:space="0" w:color="auto"/>
              <w:bottom w:val="single" w:sz="4" w:space="0" w:color="auto"/>
              <w:right w:val="single" w:sz="4" w:space="0" w:color="auto"/>
            </w:tcBorders>
            <w:hideMark/>
          </w:tcPr>
          <w:p w14:paraId="659786DF"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NOTA</w:t>
            </w:r>
          </w:p>
        </w:tc>
        <w:tc>
          <w:tcPr>
            <w:tcW w:w="1217" w:type="dxa"/>
            <w:vMerge w:val="restart"/>
            <w:tcBorders>
              <w:top w:val="single" w:sz="4" w:space="0" w:color="auto"/>
              <w:left w:val="single" w:sz="4" w:space="0" w:color="auto"/>
              <w:bottom w:val="single" w:sz="4" w:space="0" w:color="auto"/>
              <w:right w:val="single" w:sz="4" w:space="0" w:color="auto"/>
            </w:tcBorders>
            <w:hideMark/>
          </w:tcPr>
          <w:p w14:paraId="011E0237"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NOTA</w:t>
            </w:r>
          </w:p>
        </w:tc>
        <w:tc>
          <w:tcPr>
            <w:tcW w:w="1414" w:type="dxa"/>
            <w:tcBorders>
              <w:top w:val="single" w:sz="4" w:space="0" w:color="auto"/>
              <w:left w:val="single" w:sz="4" w:space="0" w:color="auto"/>
              <w:bottom w:val="single" w:sz="4" w:space="0" w:color="auto"/>
              <w:right w:val="single" w:sz="4" w:space="0" w:color="auto"/>
            </w:tcBorders>
            <w:hideMark/>
          </w:tcPr>
          <w:p w14:paraId="7747AC5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−20…3</w:t>
            </w:r>
          </w:p>
        </w:tc>
        <w:tc>
          <w:tcPr>
            <w:tcW w:w="1235" w:type="dxa"/>
            <w:gridSpan w:val="2"/>
            <w:vMerge w:val="restart"/>
            <w:tcBorders>
              <w:top w:val="single" w:sz="4" w:space="0" w:color="auto"/>
              <w:left w:val="single" w:sz="4" w:space="0" w:color="auto"/>
              <w:bottom w:val="single" w:sz="4" w:space="0" w:color="auto"/>
              <w:right w:val="single" w:sz="4" w:space="0" w:color="auto"/>
            </w:tcBorders>
            <w:hideMark/>
          </w:tcPr>
          <w:p w14:paraId="13ABF7A1"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NOTA</w:t>
            </w:r>
          </w:p>
        </w:tc>
      </w:tr>
      <w:tr w:rsidR="002B37E9" w:rsidRPr="00140923" w14:paraId="79596324"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446B68" w14:textId="77777777" w:rsidR="002B37E9" w:rsidRPr="00140923" w:rsidRDefault="002B37E9" w:rsidP="00226764">
            <w:pPr>
              <w:pStyle w:val="Tabletext"/>
              <w:jc w:val="left"/>
              <w:rPr>
                <w:sz w:val="18"/>
                <w:szCs w:val="18"/>
                <w:lang w:val="es-ES_tradnl"/>
              </w:rPr>
            </w:pPr>
            <w:r w:rsidRPr="00140923">
              <w:rPr>
                <w:sz w:val="18"/>
                <w:szCs w:val="18"/>
                <w:lang w:val="es-ES_tradnl"/>
              </w:rPr>
              <w:t>Gama de densidad de potencia de salida del transmisor (dBW/MHz)</w:t>
            </w:r>
            <w:r w:rsidRPr="00140923">
              <w:rPr>
                <w:sz w:val="18"/>
                <w:szCs w:val="18"/>
                <w:vertAlign w:val="superscript"/>
                <w:lang w:val="es-ES_tradnl" w:eastAsia="ja-JP"/>
              </w:rPr>
              <w:t>(1)</w:t>
            </w:r>
          </w:p>
        </w:tc>
        <w:tc>
          <w:tcPr>
            <w:tcW w:w="1596" w:type="dxa"/>
            <w:tcBorders>
              <w:top w:val="single" w:sz="4" w:space="0" w:color="auto"/>
              <w:left w:val="single" w:sz="4" w:space="0" w:color="auto"/>
              <w:bottom w:val="single" w:sz="4" w:space="0" w:color="auto"/>
              <w:right w:val="single" w:sz="4" w:space="0" w:color="auto"/>
            </w:tcBorders>
            <w:hideMark/>
          </w:tcPr>
          <w:p w14:paraId="1ED927CF"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−68,4…−23,4</w:t>
            </w:r>
          </w:p>
        </w:tc>
        <w:tc>
          <w:tcPr>
            <w:tcW w:w="1525" w:type="dxa"/>
            <w:tcBorders>
              <w:top w:val="single" w:sz="4" w:space="0" w:color="auto"/>
              <w:left w:val="single" w:sz="4" w:space="0" w:color="auto"/>
              <w:bottom w:val="single" w:sz="4" w:space="0" w:color="auto"/>
              <w:right w:val="single" w:sz="4" w:space="0" w:color="auto"/>
            </w:tcBorders>
            <w:hideMark/>
          </w:tcPr>
          <w:p w14:paraId="0BD8FE6E"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w:t>
            </w:r>
            <w:r w:rsidRPr="00140923">
              <w:rPr>
                <w:rFonts w:eastAsia="MS Mincho"/>
                <w:sz w:val="18"/>
                <w:szCs w:val="18"/>
                <w:lang w:val="es-ES_tradnl" w:eastAsia="ja-JP"/>
              </w:rPr>
              <w:t>45</w:t>
            </w:r>
            <w:r w:rsidRPr="00140923">
              <w:rPr>
                <w:rFonts w:eastAsia="MS Mincho"/>
                <w:sz w:val="18"/>
                <w:szCs w:val="18"/>
                <w:lang w:val="es-ES_tradnl"/>
              </w:rPr>
              <w:t>,9…−33,9</w:t>
            </w:r>
          </w:p>
        </w:tc>
        <w:tc>
          <w:tcPr>
            <w:tcW w:w="1134" w:type="dxa"/>
            <w:tcBorders>
              <w:top w:val="single" w:sz="4" w:space="0" w:color="auto"/>
              <w:left w:val="single" w:sz="4" w:space="0" w:color="auto"/>
              <w:bottom w:val="single" w:sz="4" w:space="0" w:color="auto"/>
              <w:right w:val="single" w:sz="4" w:space="0" w:color="auto"/>
            </w:tcBorders>
            <w:hideMark/>
          </w:tcPr>
          <w:p w14:paraId="1EA5675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rPr>
              <w:t>−24,5</w:t>
            </w:r>
          </w:p>
        </w:tc>
        <w:tc>
          <w:tcPr>
            <w:tcW w:w="1442" w:type="dxa"/>
            <w:tcBorders>
              <w:top w:val="single" w:sz="4" w:space="0" w:color="auto"/>
              <w:left w:val="single" w:sz="4" w:space="0" w:color="auto"/>
              <w:bottom w:val="single" w:sz="4" w:space="0" w:color="auto"/>
              <w:right w:val="single" w:sz="4" w:space="0" w:color="auto"/>
            </w:tcBorders>
            <w:hideMark/>
          </w:tcPr>
          <w:p w14:paraId="4A7AB3AC"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rPr>
              <w:t>−34,5</w:t>
            </w: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604BAE5D"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526D20AB"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414" w:type="dxa"/>
            <w:tcBorders>
              <w:top w:val="single" w:sz="4" w:space="0" w:color="auto"/>
              <w:left w:val="single" w:sz="4" w:space="0" w:color="auto"/>
              <w:bottom w:val="single" w:sz="4" w:space="0" w:color="auto"/>
              <w:right w:val="single" w:sz="4" w:space="0" w:color="auto"/>
            </w:tcBorders>
            <w:hideMark/>
          </w:tcPr>
          <w:p w14:paraId="3F8B15C4"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eastAsia="ja-JP"/>
              </w:rPr>
              <w:t>−37,0…−7,0</w:t>
            </w: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14:paraId="55CECB48"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r>
      <w:tr w:rsidR="002B37E9" w:rsidRPr="00140923" w14:paraId="2BC428BB"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3D620C" w14:textId="77777777" w:rsidR="002B37E9" w:rsidRPr="00140923" w:rsidRDefault="002B37E9" w:rsidP="00226764">
            <w:pPr>
              <w:pStyle w:val="Tabletext"/>
              <w:jc w:val="left"/>
              <w:rPr>
                <w:sz w:val="18"/>
                <w:szCs w:val="18"/>
                <w:lang w:val="es-ES_tradnl"/>
              </w:rPr>
            </w:pPr>
            <w:r w:rsidRPr="00140923">
              <w:rPr>
                <w:sz w:val="18"/>
                <w:szCs w:val="18"/>
                <w:lang w:val="es-ES_tradnl"/>
              </w:rPr>
              <w:t>Gama de pérdida del alimentador/</w:t>
            </w:r>
            <w:r w:rsidRPr="00140923">
              <w:rPr>
                <w:sz w:val="18"/>
                <w:szCs w:val="18"/>
                <w:lang w:val="es-ES_tradnl"/>
              </w:rPr>
              <w:br/>
              <w:t xml:space="preserve">multiplexor (dB) </w:t>
            </w:r>
          </w:p>
        </w:tc>
        <w:tc>
          <w:tcPr>
            <w:tcW w:w="1596" w:type="dxa"/>
            <w:tcBorders>
              <w:top w:val="single" w:sz="4" w:space="0" w:color="auto"/>
              <w:left w:val="single" w:sz="4" w:space="0" w:color="auto"/>
              <w:bottom w:val="single" w:sz="4" w:space="0" w:color="auto"/>
              <w:right w:val="single" w:sz="4" w:space="0" w:color="auto"/>
            </w:tcBorders>
            <w:hideMark/>
          </w:tcPr>
          <w:p w14:paraId="4EE75DDF"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0</w:t>
            </w:r>
          </w:p>
        </w:tc>
        <w:tc>
          <w:tcPr>
            <w:tcW w:w="1525" w:type="dxa"/>
            <w:tcBorders>
              <w:top w:val="single" w:sz="4" w:space="0" w:color="auto"/>
              <w:left w:val="single" w:sz="4" w:space="0" w:color="auto"/>
              <w:bottom w:val="single" w:sz="4" w:space="0" w:color="auto"/>
              <w:right w:val="single" w:sz="4" w:space="0" w:color="auto"/>
            </w:tcBorders>
            <w:hideMark/>
          </w:tcPr>
          <w:p w14:paraId="1D09031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0</w:t>
            </w:r>
          </w:p>
        </w:tc>
        <w:tc>
          <w:tcPr>
            <w:tcW w:w="1134" w:type="dxa"/>
            <w:tcBorders>
              <w:top w:val="single" w:sz="4" w:space="0" w:color="auto"/>
              <w:left w:val="single" w:sz="4" w:space="0" w:color="auto"/>
              <w:bottom w:val="single" w:sz="4" w:space="0" w:color="auto"/>
              <w:right w:val="single" w:sz="4" w:space="0" w:color="auto"/>
            </w:tcBorders>
            <w:hideMark/>
          </w:tcPr>
          <w:p w14:paraId="7DC7487D"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rPr>
              <w:t>0...2,5</w:t>
            </w:r>
          </w:p>
        </w:tc>
        <w:tc>
          <w:tcPr>
            <w:tcW w:w="1442" w:type="dxa"/>
            <w:tcBorders>
              <w:top w:val="single" w:sz="4" w:space="0" w:color="auto"/>
              <w:left w:val="single" w:sz="4" w:space="0" w:color="auto"/>
              <w:bottom w:val="single" w:sz="4" w:space="0" w:color="auto"/>
              <w:right w:val="single" w:sz="4" w:space="0" w:color="auto"/>
            </w:tcBorders>
            <w:hideMark/>
          </w:tcPr>
          <w:p w14:paraId="6134CEC8"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rPr>
              <w:t>0...2,5</w:t>
            </w: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41EDB3BC"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57150E69"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414" w:type="dxa"/>
            <w:tcBorders>
              <w:top w:val="single" w:sz="4" w:space="0" w:color="auto"/>
              <w:left w:val="single" w:sz="4" w:space="0" w:color="auto"/>
              <w:bottom w:val="single" w:sz="4" w:space="0" w:color="auto"/>
              <w:right w:val="single" w:sz="4" w:space="0" w:color="auto"/>
            </w:tcBorders>
            <w:hideMark/>
          </w:tcPr>
          <w:p w14:paraId="5DD6A73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rPr>
              <w:t>0…2,5</w:t>
            </w: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14:paraId="0ED8BC80"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r>
      <w:tr w:rsidR="002B37E9" w:rsidRPr="00140923" w14:paraId="5226FDD1"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5B6A8C" w14:textId="77777777" w:rsidR="002B37E9" w:rsidRPr="00140923" w:rsidRDefault="002B37E9" w:rsidP="00226764">
            <w:pPr>
              <w:pStyle w:val="Tabletext"/>
              <w:ind w:right="-57"/>
              <w:jc w:val="left"/>
              <w:rPr>
                <w:sz w:val="18"/>
                <w:szCs w:val="18"/>
                <w:lang w:val="es-ES_tradnl"/>
              </w:rPr>
            </w:pPr>
            <w:r w:rsidRPr="00140923">
              <w:rPr>
                <w:sz w:val="18"/>
                <w:szCs w:val="18"/>
                <w:lang w:val="es-ES_tradnl"/>
              </w:rPr>
              <w:t>Gama de ganancia (dBi) de la antena</w:t>
            </w:r>
          </w:p>
        </w:tc>
        <w:tc>
          <w:tcPr>
            <w:tcW w:w="1596" w:type="dxa"/>
            <w:tcBorders>
              <w:top w:val="single" w:sz="4" w:space="0" w:color="auto"/>
              <w:left w:val="single" w:sz="4" w:space="0" w:color="auto"/>
              <w:bottom w:val="single" w:sz="4" w:space="0" w:color="auto"/>
              <w:right w:val="single" w:sz="4" w:space="0" w:color="auto"/>
            </w:tcBorders>
            <w:hideMark/>
          </w:tcPr>
          <w:p w14:paraId="111343D2"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34…45</w:t>
            </w:r>
          </w:p>
        </w:tc>
        <w:tc>
          <w:tcPr>
            <w:tcW w:w="1525" w:type="dxa"/>
            <w:tcBorders>
              <w:top w:val="single" w:sz="4" w:space="0" w:color="auto"/>
              <w:left w:val="single" w:sz="4" w:space="0" w:color="auto"/>
              <w:bottom w:val="single" w:sz="4" w:space="0" w:color="auto"/>
              <w:right w:val="single" w:sz="4" w:space="0" w:color="auto"/>
            </w:tcBorders>
            <w:hideMark/>
          </w:tcPr>
          <w:p w14:paraId="2B1D834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34…46</w:t>
            </w:r>
          </w:p>
        </w:tc>
        <w:tc>
          <w:tcPr>
            <w:tcW w:w="1134" w:type="dxa"/>
            <w:tcBorders>
              <w:top w:val="single" w:sz="4" w:space="0" w:color="auto"/>
              <w:left w:val="single" w:sz="4" w:space="0" w:color="auto"/>
              <w:bottom w:val="single" w:sz="4" w:space="0" w:color="auto"/>
              <w:right w:val="single" w:sz="4" w:space="0" w:color="auto"/>
            </w:tcBorders>
            <w:hideMark/>
          </w:tcPr>
          <w:p w14:paraId="264289F9"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38...44</w:t>
            </w:r>
          </w:p>
        </w:tc>
        <w:tc>
          <w:tcPr>
            <w:tcW w:w="1442" w:type="dxa"/>
            <w:tcBorders>
              <w:top w:val="single" w:sz="4" w:space="0" w:color="auto"/>
              <w:left w:val="single" w:sz="4" w:space="0" w:color="auto"/>
              <w:bottom w:val="single" w:sz="4" w:space="0" w:color="auto"/>
              <w:right w:val="single" w:sz="4" w:space="0" w:color="auto"/>
            </w:tcBorders>
            <w:hideMark/>
          </w:tcPr>
          <w:p w14:paraId="61B3D1FF"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38...44</w:t>
            </w: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4A8C1AD9"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BEED04B"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414" w:type="dxa"/>
            <w:tcBorders>
              <w:top w:val="single" w:sz="4" w:space="0" w:color="auto"/>
              <w:left w:val="single" w:sz="4" w:space="0" w:color="auto"/>
              <w:bottom w:val="single" w:sz="4" w:space="0" w:color="auto"/>
              <w:right w:val="single" w:sz="4" w:space="0" w:color="auto"/>
            </w:tcBorders>
            <w:hideMark/>
          </w:tcPr>
          <w:p w14:paraId="13B9C8CE"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40,1…48,8</w:t>
            </w: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14:paraId="59594E8B"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r>
      <w:tr w:rsidR="002B37E9" w:rsidRPr="00140923" w14:paraId="525E7493"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E4142A" w14:textId="77777777" w:rsidR="002B37E9" w:rsidRPr="00140923" w:rsidRDefault="002B37E9" w:rsidP="00226764">
            <w:pPr>
              <w:pStyle w:val="Tabletext"/>
              <w:jc w:val="left"/>
              <w:rPr>
                <w:sz w:val="18"/>
                <w:szCs w:val="18"/>
                <w:lang w:val="es-ES_tradnl"/>
              </w:rPr>
            </w:pPr>
            <w:r w:rsidRPr="00140923">
              <w:rPr>
                <w:sz w:val="18"/>
                <w:szCs w:val="18"/>
                <w:lang w:val="es-ES_tradnl"/>
              </w:rPr>
              <w:t>Gama de la p.i.r.e. (dBW)</w:t>
            </w:r>
          </w:p>
        </w:tc>
        <w:tc>
          <w:tcPr>
            <w:tcW w:w="1596" w:type="dxa"/>
            <w:tcBorders>
              <w:top w:val="single" w:sz="4" w:space="0" w:color="auto"/>
              <w:left w:val="single" w:sz="4" w:space="0" w:color="auto"/>
              <w:bottom w:val="single" w:sz="4" w:space="0" w:color="auto"/>
              <w:right w:val="single" w:sz="4" w:space="0" w:color="auto"/>
            </w:tcBorders>
            <w:hideMark/>
          </w:tcPr>
          <w:p w14:paraId="14E675E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−20,8…30</w:t>
            </w:r>
          </w:p>
        </w:tc>
        <w:tc>
          <w:tcPr>
            <w:tcW w:w="1525" w:type="dxa"/>
            <w:tcBorders>
              <w:top w:val="single" w:sz="4" w:space="0" w:color="auto"/>
              <w:left w:val="single" w:sz="4" w:space="0" w:color="auto"/>
              <w:bottom w:val="single" w:sz="4" w:space="0" w:color="auto"/>
              <w:right w:val="single" w:sz="4" w:space="0" w:color="auto"/>
            </w:tcBorders>
            <w:hideMark/>
          </w:tcPr>
          <w:p w14:paraId="68463FA3"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−1,7…29,5</w:t>
            </w:r>
          </w:p>
        </w:tc>
        <w:tc>
          <w:tcPr>
            <w:tcW w:w="1134" w:type="dxa"/>
            <w:tcBorders>
              <w:top w:val="single" w:sz="4" w:space="0" w:color="auto"/>
              <w:left w:val="single" w:sz="4" w:space="0" w:color="auto"/>
              <w:bottom w:val="single" w:sz="4" w:space="0" w:color="auto"/>
              <w:right w:val="single" w:sz="4" w:space="0" w:color="auto"/>
            </w:tcBorders>
            <w:hideMark/>
          </w:tcPr>
          <w:p w14:paraId="6A0441CE"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25,5...34</w:t>
            </w:r>
          </w:p>
        </w:tc>
        <w:tc>
          <w:tcPr>
            <w:tcW w:w="1442" w:type="dxa"/>
            <w:tcBorders>
              <w:top w:val="single" w:sz="4" w:space="0" w:color="auto"/>
              <w:left w:val="single" w:sz="4" w:space="0" w:color="auto"/>
              <w:bottom w:val="single" w:sz="4" w:space="0" w:color="auto"/>
              <w:right w:val="single" w:sz="4" w:space="0" w:color="auto"/>
            </w:tcBorders>
            <w:hideMark/>
          </w:tcPr>
          <w:p w14:paraId="405D63C3"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eastAsia="ja-JP"/>
              </w:rPr>
              <w:t>18,5</w:t>
            </w:r>
            <w:r w:rsidRPr="00140923">
              <w:rPr>
                <w:rFonts w:eastAsia="MS Mincho"/>
                <w:sz w:val="18"/>
                <w:szCs w:val="18"/>
                <w:lang w:val="es-ES_tradnl"/>
              </w:rPr>
              <w:t>...27</w:t>
            </w: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59C90734"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0264E27"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414" w:type="dxa"/>
            <w:tcBorders>
              <w:top w:val="single" w:sz="4" w:space="0" w:color="auto"/>
              <w:left w:val="single" w:sz="4" w:space="0" w:color="auto"/>
              <w:bottom w:val="single" w:sz="4" w:space="0" w:color="auto"/>
              <w:right w:val="single" w:sz="4" w:space="0" w:color="auto"/>
            </w:tcBorders>
            <w:hideMark/>
          </w:tcPr>
          <w:p w14:paraId="2890F61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eastAsia="ja-JP"/>
              </w:rPr>
              <w:t>17,6</w:t>
            </w:r>
            <w:r w:rsidRPr="00140923">
              <w:rPr>
                <w:rFonts w:eastAsia="MS Mincho"/>
                <w:sz w:val="18"/>
                <w:szCs w:val="18"/>
                <w:lang w:val="es-ES_tradnl"/>
              </w:rPr>
              <w:t>…51,8</w:t>
            </w: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14:paraId="5C3E054E"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r>
      <w:tr w:rsidR="002B37E9" w:rsidRPr="00140923" w14:paraId="6C9F041D"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AB132E" w14:textId="77777777" w:rsidR="002B37E9" w:rsidRPr="00140923" w:rsidRDefault="002B37E9" w:rsidP="00226764">
            <w:pPr>
              <w:pStyle w:val="Tabletext"/>
              <w:jc w:val="left"/>
              <w:rPr>
                <w:sz w:val="18"/>
                <w:szCs w:val="18"/>
                <w:lang w:val="es-ES_tradnl"/>
              </w:rPr>
            </w:pPr>
            <w:r w:rsidRPr="00140923">
              <w:rPr>
                <w:sz w:val="18"/>
                <w:szCs w:val="18"/>
                <w:lang w:val="es-ES_tradnl"/>
              </w:rPr>
              <w:t>Gama de densidad de p.i.r.e. (dBW/MHz)</w:t>
            </w:r>
            <w:r w:rsidRPr="00140923">
              <w:rPr>
                <w:sz w:val="18"/>
                <w:szCs w:val="18"/>
                <w:vertAlign w:val="superscript"/>
                <w:lang w:val="es-ES_tradnl" w:eastAsia="ja-JP"/>
              </w:rPr>
              <w:t>(1)</w:t>
            </w:r>
          </w:p>
        </w:tc>
        <w:tc>
          <w:tcPr>
            <w:tcW w:w="1596" w:type="dxa"/>
            <w:tcBorders>
              <w:top w:val="single" w:sz="4" w:space="0" w:color="auto"/>
              <w:left w:val="single" w:sz="4" w:space="0" w:color="auto"/>
              <w:bottom w:val="single" w:sz="4" w:space="0" w:color="auto"/>
              <w:right w:val="single" w:sz="4" w:space="0" w:color="auto"/>
            </w:tcBorders>
            <w:hideMark/>
          </w:tcPr>
          <w:p w14:paraId="1A0B9525"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−29,2…21,5</w:t>
            </w:r>
          </w:p>
        </w:tc>
        <w:tc>
          <w:tcPr>
            <w:tcW w:w="1525" w:type="dxa"/>
            <w:tcBorders>
              <w:top w:val="single" w:sz="4" w:space="0" w:color="auto"/>
              <w:left w:val="single" w:sz="4" w:space="0" w:color="auto"/>
              <w:bottom w:val="single" w:sz="4" w:space="0" w:color="auto"/>
              <w:right w:val="single" w:sz="4" w:space="0" w:color="auto"/>
            </w:tcBorders>
            <w:hideMark/>
          </w:tcPr>
          <w:p w14:paraId="49656037"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−15,7…12,1</w:t>
            </w:r>
          </w:p>
        </w:tc>
        <w:tc>
          <w:tcPr>
            <w:tcW w:w="1134" w:type="dxa"/>
            <w:tcBorders>
              <w:top w:val="single" w:sz="4" w:space="0" w:color="auto"/>
              <w:left w:val="single" w:sz="4" w:space="0" w:color="auto"/>
              <w:bottom w:val="single" w:sz="4" w:space="0" w:color="auto"/>
              <w:right w:val="single" w:sz="4" w:space="0" w:color="auto"/>
            </w:tcBorders>
            <w:hideMark/>
          </w:tcPr>
          <w:p w14:paraId="51290B86"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eastAsia="ja-JP"/>
              </w:rPr>
              <w:t>11</w:t>
            </w:r>
            <w:r w:rsidRPr="00140923">
              <w:rPr>
                <w:rFonts w:eastAsia="MS Mincho"/>
                <w:sz w:val="18"/>
                <w:szCs w:val="18"/>
                <w:lang w:val="es-ES_tradnl"/>
              </w:rPr>
              <w:t>...19,5</w:t>
            </w:r>
          </w:p>
        </w:tc>
        <w:tc>
          <w:tcPr>
            <w:tcW w:w="1442" w:type="dxa"/>
            <w:tcBorders>
              <w:top w:val="single" w:sz="4" w:space="0" w:color="auto"/>
              <w:left w:val="single" w:sz="4" w:space="0" w:color="auto"/>
              <w:bottom w:val="single" w:sz="4" w:space="0" w:color="auto"/>
              <w:right w:val="single" w:sz="4" w:space="0" w:color="auto"/>
            </w:tcBorders>
            <w:hideMark/>
          </w:tcPr>
          <w:p w14:paraId="2EAC02F3"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eastAsia="ja-JP"/>
              </w:rPr>
              <w:t>1.0</w:t>
            </w:r>
            <w:r w:rsidRPr="00140923">
              <w:rPr>
                <w:rFonts w:eastAsia="MS Mincho"/>
                <w:sz w:val="18"/>
                <w:szCs w:val="18"/>
                <w:lang w:val="es-ES_tradnl"/>
              </w:rPr>
              <w:t>...9,5</w:t>
            </w: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17F9F401"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B128807"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414" w:type="dxa"/>
            <w:tcBorders>
              <w:top w:val="single" w:sz="4" w:space="0" w:color="auto"/>
              <w:left w:val="single" w:sz="4" w:space="0" w:color="auto"/>
              <w:bottom w:val="single" w:sz="4" w:space="0" w:color="auto"/>
              <w:right w:val="single" w:sz="4" w:space="0" w:color="auto"/>
            </w:tcBorders>
            <w:hideMark/>
          </w:tcPr>
          <w:p w14:paraId="40F9613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eastAsia="ja-JP"/>
              </w:rPr>
              <w:t>0,6</w:t>
            </w:r>
            <w:r w:rsidRPr="00140923">
              <w:rPr>
                <w:rFonts w:eastAsia="MS Mincho"/>
                <w:sz w:val="18"/>
                <w:szCs w:val="18"/>
                <w:lang w:val="es-ES_tradnl"/>
              </w:rPr>
              <w:t>…</w:t>
            </w:r>
            <w:r w:rsidRPr="00140923">
              <w:rPr>
                <w:rFonts w:eastAsia="MS Mincho"/>
                <w:sz w:val="18"/>
                <w:szCs w:val="18"/>
                <w:lang w:val="es-ES_tradnl" w:eastAsia="ja-JP"/>
              </w:rPr>
              <w:t>41,8</w:t>
            </w: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14:paraId="3A1256F7"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r>
      <w:tr w:rsidR="002B37E9" w:rsidRPr="00140923" w14:paraId="585642BE"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6DCA31" w14:textId="5D92EAF7" w:rsidR="002B37E9" w:rsidRPr="00140923" w:rsidRDefault="002B37E9" w:rsidP="00226764">
            <w:pPr>
              <w:pStyle w:val="Tabletext"/>
              <w:jc w:val="left"/>
              <w:rPr>
                <w:sz w:val="18"/>
                <w:szCs w:val="18"/>
                <w:lang w:val="es-ES_tradnl"/>
              </w:rPr>
            </w:pPr>
            <w:r w:rsidRPr="00140923">
              <w:rPr>
                <w:sz w:val="18"/>
                <w:szCs w:val="18"/>
                <w:lang w:val="es-ES_tradnl"/>
              </w:rPr>
              <w:t>Factor de ruido típico del receptor (dB)</w:t>
            </w:r>
          </w:p>
        </w:tc>
        <w:tc>
          <w:tcPr>
            <w:tcW w:w="1596" w:type="dxa"/>
            <w:tcBorders>
              <w:top w:val="single" w:sz="4" w:space="0" w:color="auto"/>
              <w:left w:val="single" w:sz="4" w:space="0" w:color="auto"/>
              <w:bottom w:val="single" w:sz="4" w:space="0" w:color="auto"/>
              <w:right w:val="single" w:sz="4" w:space="0" w:color="auto"/>
            </w:tcBorders>
            <w:hideMark/>
          </w:tcPr>
          <w:p w14:paraId="2DF284CE"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8</w:t>
            </w:r>
          </w:p>
        </w:tc>
        <w:tc>
          <w:tcPr>
            <w:tcW w:w="1525" w:type="dxa"/>
            <w:tcBorders>
              <w:top w:val="single" w:sz="4" w:space="0" w:color="auto"/>
              <w:left w:val="single" w:sz="4" w:space="0" w:color="auto"/>
              <w:bottom w:val="single" w:sz="4" w:space="0" w:color="auto"/>
              <w:right w:val="single" w:sz="4" w:space="0" w:color="auto"/>
            </w:tcBorders>
            <w:hideMark/>
          </w:tcPr>
          <w:p w14:paraId="4BDDA5DB"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7</w:t>
            </w:r>
          </w:p>
        </w:tc>
        <w:tc>
          <w:tcPr>
            <w:tcW w:w="1134" w:type="dxa"/>
            <w:tcBorders>
              <w:top w:val="single" w:sz="4" w:space="0" w:color="auto"/>
              <w:left w:val="single" w:sz="4" w:space="0" w:color="auto"/>
              <w:bottom w:val="single" w:sz="4" w:space="0" w:color="auto"/>
              <w:right w:val="single" w:sz="4" w:space="0" w:color="auto"/>
            </w:tcBorders>
            <w:hideMark/>
          </w:tcPr>
          <w:p w14:paraId="1130A64B"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7</w:t>
            </w:r>
          </w:p>
        </w:tc>
        <w:tc>
          <w:tcPr>
            <w:tcW w:w="1442" w:type="dxa"/>
            <w:tcBorders>
              <w:top w:val="single" w:sz="4" w:space="0" w:color="auto"/>
              <w:left w:val="single" w:sz="4" w:space="0" w:color="auto"/>
              <w:bottom w:val="single" w:sz="4" w:space="0" w:color="auto"/>
              <w:right w:val="single" w:sz="4" w:space="0" w:color="auto"/>
            </w:tcBorders>
            <w:hideMark/>
          </w:tcPr>
          <w:p w14:paraId="126835A9"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rPr>
              <w:t>7</w:t>
            </w: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42DF4087"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9BB545C"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414" w:type="dxa"/>
            <w:tcBorders>
              <w:top w:val="single" w:sz="4" w:space="0" w:color="auto"/>
              <w:left w:val="single" w:sz="4" w:space="0" w:color="auto"/>
              <w:bottom w:val="single" w:sz="4" w:space="0" w:color="auto"/>
              <w:right w:val="single" w:sz="4" w:space="0" w:color="auto"/>
            </w:tcBorders>
            <w:hideMark/>
          </w:tcPr>
          <w:p w14:paraId="72A014AD"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rPr>
              <w:t>7</w:t>
            </w: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14:paraId="02462717"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r>
      <w:tr w:rsidR="002B37E9" w:rsidRPr="00140923" w14:paraId="73C83F65"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4B655F" w14:textId="77777777" w:rsidR="002B37E9" w:rsidRPr="00140923" w:rsidRDefault="002B37E9" w:rsidP="00226764">
            <w:pPr>
              <w:pStyle w:val="Tabletext"/>
              <w:jc w:val="left"/>
              <w:rPr>
                <w:sz w:val="18"/>
                <w:szCs w:val="18"/>
                <w:lang w:val="es-ES_tradnl"/>
              </w:rPr>
            </w:pPr>
            <w:r w:rsidRPr="00140923">
              <w:rPr>
                <w:sz w:val="18"/>
                <w:szCs w:val="18"/>
                <w:lang w:val="es-ES_tradnl"/>
              </w:rPr>
              <w:t xml:space="preserve">Densidad de potencia de ruido típica del receptor </w:t>
            </w:r>
            <w:r w:rsidRPr="00140923">
              <w:rPr>
                <w:sz w:val="18"/>
                <w:szCs w:val="18"/>
                <w:lang w:val="es-ES_tradnl" w:eastAsia="ja-JP"/>
              </w:rPr>
              <w:t xml:space="preserve">(= </w:t>
            </w:r>
            <w:r w:rsidRPr="00140923">
              <w:rPr>
                <w:i/>
                <w:iCs/>
                <w:sz w:val="18"/>
                <w:szCs w:val="18"/>
                <w:lang w:val="es-ES_tradnl"/>
              </w:rPr>
              <w:t>N</w:t>
            </w:r>
            <w:r w:rsidRPr="00140923">
              <w:rPr>
                <w:i/>
                <w:iCs/>
                <w:sz w:val="18"/>
                <w:szCs w:val="18"/>
                <w:vertAlign w:val="subscript"/>
                <w:lang w:val="es-ES_tradnl"/>
              </w:rPr>
              <w:t>RX</w:t>
            </w:r>
            <w:r w:rsidRPr="00140923">
              <w:rPr>
                <w:sz w:val="18"/>
                <w:szCs w:val="18"/>
                <w:lang w:val="es-ES_tradnl" w:eastAsia="ja-JP"/>
              </w:rPr>
              <w:t xml:space="preserve">) </w:t>
            </w:r>
            <w:r w:rsidRPr="00140923">
              <w:rPr>
                <w:sz w:val="18"/>
                <w:szCs w:val="18"/>
                <w:lang w:val="es-ES_tradnl"/>
              </w:rPr>
              <w:t>(dBW/MHz)</w:t>
            </w:r>
          </w:p>
        </w:tc>
        <w:tc>
          <w:tcPr>
            <w:tcW w:w="1596" w:type="dxa"/>
            <w:tcBorders>
              <w:top w:val="single" w:sz="4" w:space="0" w:color="auto"/>
              <w:left w:val="single" w:sz="4" w:space="0" w:color="auto"/>
              <w:bottom w:val="single" w:sz="4" w:space="0" w:color="auto"/>
              <w:right w:val="single" w:sz="4" w:space="0" w:color="auto"/>
            </w:tcBorders>
            <w:hideMark/>
          </w:tcPr>
          <w:p w14:paraId="677C98AB"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−136</w:t>
            </w:r>
          </w:p>
        </w:tc>
        <w:tc>
          <w:tcPr>
            <w:tcW w:w="1525" w:type="dxa"/>
            <w:tcBorders>
              <w:top w:val="single" w:sz="4" w:space="0" w:color="auto"/>
              <w:left w:val="single" w:sz="4" w:space="0" w:color="auto"/>
              <w:bottom w:val="single" w:sz="4" w:space="0" w:color="auto"/>
              <w:right w:val="single" w:sz="4" w:space="0" w:color="auto"/>
            </w:tcBorders>
            <w:hideMark/>
          </w:tcPr>
          <w:p w14:paraId="31F9C9F1"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−137,7</w:t>
            </w:r>
          </w:p>
        </w:tc>
        <w:tc>
          <w:tcPr>
            <w:tcW w:w="1134" w:type="dxa"/>
            <w:tcBorders>
              <w:top w:val="single" w:sz="4" w:space="0" w:color="auto"/>
              <w:left w:val="single" w:sz="4" w:space="0" w:color="auto"/>
              <w:bottom w:val="single" w:sz="4" w:space="0" w:color="auto"/>
              <w:right w:val="single" w:sz="4" w:space="0" w:color="auto"/>
            </w:tcBorders>
            <w:hideMark/>
          </w:tcPr>
          <w:p w14:paraId="56C4E10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w:t>
            </w:r>
            <w:r w:rsidRPr="00140923">
              <w:rPr>
                <w:rFonts w:eastAsia="MS Mincho"/>
                <w:sz w:val="18"/>
                <w:szCs w:val="18"/>
                <w:lang w:val="es-ES_tradnl" w:eastAsia="ja-JP"/>
              </w:rPr>
              <w:t>137</w:t>
            </w:r>
          </w:p>
        </w:tc>
        <w:tc>
          <w:tcPr>
            <w:tcW w:w="1442" w:type="dxa"/>
            <w:tcBorders>
              <w:top w:val="single" w:sz="4" w:space="0" w:color="auto"/>
              <w:left w:val="single" w:sz="4" w:space="0" w:color="auto"/>
              <w:bottom w:val="single" w:sz="4" w:space="0" w:color="auto"/>
              <w:right w:val="single" w:sz="4" w:space="0" w:color="auto"/>
            </w:tcBorders>
            <w:hideMark/>
          </w:tcPr>
          <w:p w14:paraId="59FA2934"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rPr>
              <w:t>−137</w:t>
            </w: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6D0B914C"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FD1EF8A"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414" w:type="dxa"/>
            <w:tcBorders>
              <w:top w:val="single" w:sz="4" w:space="0" w:color="auto"/>
              <w:left w:val="single" w:sz="4" w:space="0" w:color="auto"/>
              <w:bottom w:val="single" w:sz="4" w:space="0" w:color="auto"/>
              <w:right w:val="single" w:sz="4" w:space="0" w:color="auto"/>
            </w:tcBorders>
            <w:hideMark/>
          </w:tcPr>
          <w:p w14:paraId="63DF86B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eastAsia="ja-JP"/>
              </w:rPr>
              <w:t>−</w:t>
            </w:r>
            <w:r w:rsidRPr="00140923">
              <w:rPr>
                <w:rFonts w:eastAsia="MS Mincho"/>
                <w:sz w:val="18"/>
                <w:szCs w:val="18"/>
                <w:lang w:val="es-ES_tradnl"/>
              </w:rPr>
              <w:t>137</w:t>
            </w: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14:paraId="114088AE"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r>
      <w:tr w:rsidR="002B37E9" w:rsidRPr="00140923" w14:paraId="24A6EF32"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34EAC5" w14:textId="0FEF66BD" w:rsidR="002B37E9" w:rsidRPr="00140923" w:rsidRDefault="002B37E9" w:rsidP="00226764">
            <w:pPr>
              <w:pStyle w:val="Tabletext"/>
              <w:jc w:val="left"/>
              <w:rPr>
                <w:sz w:val="18"/>
                <w:szCs w:val="18"/>
                <w:lang w:val="es-ES_tradnl"/>
              </w:rPr>
            </w:pPr>
            <w:r w:rsidRPr="00140923">
              <w:rPr>
                <w:sz w:val="18"/>
                <w:szCs w:val="18"/>
                <w:lang w:val="es-ES_tradnl"/>
              </w:rPr>
              <w:t>Nivel de entrada normalizado del receptor para una BER de 1 × 10</w:t>
            </w:r>
            <w:r w:rsidR="00A941C1" w:rsidRPr="00A941C1">
              <w:rPr>
                <w:sz w:val="18"/>
                <w:szCs w:val="18"/>
                <w:vertAlign w:val="superscript"/>
                <w:lang w:val="es-ES_tradnl"/>
              </w:rPr>
              <w:t>−</w:t>
            </w:r>
            <w:r w:rsidRPr="00140923">
              <w:rPr>
                <w:sz w:val="18"/>
                <w:szCs w:val="18"/>
                <w:vertAlign w:val="superscript"/>
                <w:lang w:val="es-ES_tradnl"/>
              </w:rPr>
              <w:t>6</w:t>
            </w:r>
            <w:r w:rsidRPr="00140923">
              <w:rPr>
                <w:sz w:val="18"/>
                <w:szCs w:val="18"/>
                <w:lang w:val="es-ES_tradnl"/>
              </w:rPr>
              <w:t xml:space="preserve"> (dBW/MHz) </w:t>
            </w:r>
          </w:p>
        </w:tc>
        <w:tc>
          <w:tcPr>
            <w:tcW w:w="1596" w:type="dxa"/>
            <w:tcBorders>
              <w:top w:val="single" w:sz="4" w:space="0" w:color="auto"/>
              <w:left w:val="single" w:sz="4" w:space="0" w:color="auto"/>
              <w:bottom w:val="single" w:sz="4" w:space="0" w:color="auto"/>
              <w:right w:val="single" w:sz="4" w:space="0" w:color="auto"/>
            </w:tcBorders>
            <w:hideMark/>
          </w:tcPr>
          <w:p w14:paraId="5D1F62C1"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PGothic"/>
                <w:sz w:val="18"/>
                <w:szCs w:val="18"/>
                <w:lang w:val="es-ES_tradnl"/>
              </w:rPr>
            </w:pPr>
            <w:r w:rsidRPr="00140923">
              <w:rPr>
                <w:rFonts w:eastAsia="MS Mincho"/>
                <w:sz w:val="18"/>
                <w:szCs w:val="18"/>
                <w:lang w:val="es-ES_tradnl"/>
              </w:rPr>
              <w:t>−122,5</w:t>
            </w:r>
          </w:p>
        </w:tc>
        <w:tc>
          <w:tcPr>
            <w:tcW w:w="1525" w:type="dxa"/>
            <w:tcBorders>
              <w:top w:val="single" w:sz="4" w:space="0" w:color="auto"/>
              <w:left w:val="single" w:sz="4" w:space="0" w:color="auto"/>
              <w:bottom w:val="single" w:sz="4" w:space="0" w:color="auto"/>
              <w:right w:val="single" w:sz="4" w:space="0" w:color="auto"/>
            </w:tcBorders>
            <w:hideMark/>
          </w:tcPr>
          <w:p w14:paraId="181C6221"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PGothic"/>
                <w:sz w:val="18"/>
                <w:szCs w:val="18"/>
                <w:lang w:val="es-ES_tradnl"/>
              </w:rPr>
            </w:pPr>
            <w:r w:rsidRPr="00140923">
              <w:rPr>
                <w:rFonts w:eastAsia="MS Mincho"/>
                <w:sz w:val="18"/>
                <w:szCs w:val="18"/>
                <w:lang w:val="es-ES_tradnl"/>
              </w:rPr>
              <w:t>−114,2</w:t>
            </w:r>
          </w:p>
        </w:tc>
        <w:tc>
          <w:tcPr>
            <w:tcW w:w="1134" w:type="dxa"/>
            <w:tcBorders>
              <w:top w:val="single" w:sz="4" w:space="0" w:color="auto"/>
              <w:left w:val="single" w:sz="4" w:space="0" w:color="auto"/>
              <w:bottom w:val="single" w:sz="4" w:space="0" w:color="auto"/>
              <w:right w:val="single" w:sz="4" w:space="0" w:color="auto"/>
            </w:tcBorders>
            <w:hideMark/>
          </w:tcPr>
          <w:p w14:paraId="13ED4191"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w:t>
            </w:r>
            <w:r w:rsidRPr="00140923">
              <w:rPr>
                <w:rFonts w:eastAsia="MS Mincho"/>
                <w:sz w:val="18"/>
                <w:szCs w:val="18"/>
                <w:lang w:val="es-ES_tradnl" w:eastAsia="ja-JP"/>
              </w:rPr>
              <w:t>123,5</w:t>
            </w:r>
          </w:p>
        </w:tc>
        <w:tc>
          <w:tcPr>
            <w:tcW w:w="1442" w:type="dxa"/>
            <w:tcBorders>
              <w:top w:val="single" w:sz="4" w:space="0" w:color="auto"/>
              <w:left w:val="single" w:sz="4" w:space="0" w:color="auto"/>
              <w:bottom w:val="single" w:sz="4" w:space="0" w:color="auto"/>
              <w:right w:val="single" w:sz="4" w:space="0" w:color="auto"/>
            </w:tcBorders>
            <w:hideMark/>
          </w:tcPr>
          <w:p w14:paraId="0FF90649"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rPr>
            </w:pPr>
            <w:r w:rsidRPr="00140923">
              <w:rPr>
                <w:rFonts w:eastAsia="MS Mincho"/>
                <w:sz w:val="18"/>
                <w:szCs w:val="18"/>
                <w:lang w:val="es-ES_tradnl"/>
              </w:rPr>
              <w:t>−104,4</w:t>
            </w: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5F72D13F"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52D2369A"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c>
          <w:tcPr>
            <w:tcW w:w="1414" w:type="dxa"/>
            <w:tcBorders>
              <w:top w:val="single" w:sz="4" w:space="0" w:color="auto"/>
              <w:left w:val="single" w:sz="4" w:space="0" w:color="auto"/>
              <w:bottom w:val="single" w:sz="4" w:space="0" w:color="auto"/>
              <w:right w:val="single" w:sz="4" w:space="0" w:color="auto"/>
            </w:tcBorders>
            <w:hideMark/>
          </w:tcPr>
          <w:p w14:paraId="65858E2E"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−123,6</w:t>
            </w: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14:paraId="4FAC6B8D"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rFonts w:eastAsia="MS Mincho"/>
                <w:sz w:val="18"/>
                <w:szCs w:val="18"/>
                <w:lang w:val="es-ES_tradnl" w:eastAsia="ja-JP"/>
              </w:rPr>
            </w:pPr>
          </w:p>
        </w:tc>
      </w:tr>
      <w:tr w:rsidR="002B37E9" w:rsidRPr="00140923" w14:paraId="3AACCAEA" w14:textId="77777777" w:rsidTr="00140923">
        <w:trPr>
          <w:jc w:val="center"/>
        </w:trPr>
        <w:tc>
          <w:tcPr>
            <w:tcW w:w="37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330504" w14:textId="77777777" w:rsidR="002B37E9" w:rsidRPr="00140923" w:rsidRDefault="002B37E9" w:rsidP="00226764">
            <w:pPr>
              <w:pStyle w:val="Tabletext"/>
              <w:jc w:val="left"/>
              <w:rPr>
                <w:sz w:val="18"/>
                <w:szCs w:val="18"/>
                <w:lang w:val="es-ES_tradnl" w:eastAsia="ja-JP"/>
              </w:rPr>
            </w:pPr>
            <w:r w:rsidRPr="00140923">
              <w:rPr>
                <w:sz w:val="18"/>
                <w:szCs w:val="18"/>
                <w:lang w:val="es-ES_tradnl"/>
              </w:rPr>
              <w:t>Densidad de potencia de interferencia a largo plazo nominal (dBW/MHz)</w:t>
            </w:r>
            <w:r w:rsidRPr="00140923">
              <w:rPr>
                <w:sz w:val="18"/>
                <w:szCs w:val="18"/>
                <w:vertAlign w:val="superscript"/>
                <w:lang w:val="es-ES_tradnl" w:eastAsia="ja-JP"/>
              </w:rPr>
              <w:t>(2)</w:t>
            </w:r>
          </w:p>
        </w:tc>
        <w:tc>
          <w:tcPr>
            <w:tcW w:w="1596" w:type="dxa"/>
            <w:tcBorders>
              <w:top w:val="single" w:sz="4" w:space="0" w:color="auto"/>
              <w:left w:val="single" w:sz="4" w:space="0" w:color="auto"/>
              <w:bottom w:val="single" w:sz="4" w:space="0" w:color="auto"/>
              <w:right w:val="single" w:sz="4" w:space="0" w:color="auto"/>
            </w:tcBorders>
            <w:hideMark/>
          </w:tcPr>
          <w:p w14:paraId="4754389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 xml:space="preserve">−136 </w:t>
            </w:r>
            <w:r w:rsidRPr="00140923">
              <w:rPr>
                <w:rFonts w:eastAsia="MS Mincho"/>
                <w:sz w:val="18"/>
                <w:szCs w:val="18"/>
                <w:lang w:val="es-ES_tradnl"/>
              </w:rPr>
              <w:t xml:space="preserve">+ </w:t>
            </w:r>
            <w:r w:rsidRPr="00140923">
              <w:rPr>
                <w:rFonts w:eastAsia="MS Mincho"/>
                <w:i/>
                <w:sz w:val="18"/>
                <w:szCs w:val="18"/>
                <w:lang w:val="es-ES_tradnl"/>
              </w:rPr>
              <w:t>I/N</w:t>
            </w:r>
          </w:p>
        </w:tc>
        <w:tc>
          <w:tcPr>
            <w:tcW w:w="1525" w:type="dxa"/>
            <w:tcBorders>
              <w:top w:val="single" w:sz="4" w:space="0" w:color="auto"/>
              <w:left w:val="single" w:sz="4" w:space="0" w:color="auto"/>
              <w:bottom w:val="single" w:sz="4" w:space="0" w:color="auto"/>
              <w:right w:val="single" w:sz="4" w:space="0" w:color="auto"/>
            </w:tcBorders>
            <w:hideMark/>
          </w:tcPr>
          <w:p w14:paraId="050C5719"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 xml:space="preserve">−137.7 </w:t>
            </w:r>
            <w:r w:rsidRPr="00140923">
              <w:rPr>
                <w:rFonts w:eastAsia="MS Mincho"/>
                <w:sz w:val="18"/>
                <w:szCs w:val="18"/>
                <w:lang w:val="es-ES_tradnl"/>
              </w:rPr>
              <w:t xml:space="preserve">+ </w:t>
            </w:r>
            <w:r w:rsidRPr="00140923">
              <w:rPr>
                <w:rFonts w:eastAsia="MS Mincho"/>
                <w:i/>
                <w:sz w:val="18"/>
                <w:szCs w:val="18"/>
                <w:lang w:val="es-ES_tradnl"/>
              </w:rPr>
              <w:t>I/N</w:t>
            </w:r>
          </w:p>
        </w:tc>
        <w:tc>
          <w:tcPr>
            <w:tcW w:w="1134" w:type="dxa"/>
            <w:tcBorders>
              <w:top w:val="single" w:sz="4" w:space="0" w:color="auto"/>
              <w:left w:val="single" w:sz="4" w:space="0" w:color="auto"/>
              <w:bottom w:val="single" w:sz="4" w:space="0" w:color="auto"/>
              <w:right w:val="single" w:sz="4" w:space="0" w:color="auto"/>
            </w:tcBorders>
            <w:hideMark/>
          </w:tcPr>
          <w:p w14:paraId="457603D1"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w:t>
            </w:r>
            <w:r w:rsidRPr="00140923">
              <w:rPr>
                <w:rFonts w:eastAsia="MS Mincho"/>
                <w:i/>
                <w:iCs/>
                <w:sz w:val="18"/>
                <w:szCs w:val="18"/>
                <w:lang w:val="es-ES_tradnl"/>
              </w:rPr>
              <w:t>137</w:t>
            </w:r>
            <w:r w:rsidRPr="00140923">
              <w:rPr>
                <w:rFonts w:eastAsia="MS Mincho"/>
                <w:sz w:val="18"/>
                <w:szCs w:val="18"/>
                <w:lang w:val="es-ES_tradnl"/>
              </w:rPr>
              <w:t xml:space="preserve">+ </w:t>
            </w:r>
            <w:r w:rsidRPr="00140923">
              <w:rPr>
                <w:rFonts w:eastAsia="MS Mincho"/>
                <w:i/>
                <w:sz w:val="18"/>
                <w:szCs w:val="18"/>
                <w:lang w:val="es-ES_tradnl"/>
              </w:rPr>
              <w:t>I/N</w:t>
            </w:r>
          </w:p>
        </w:tc>
        <w:tc>
          <w:tcPr>
            <w:tcW w:w="1442" w:type="dxa"/>
            <w:tcBorders>
              <w:top w:val="single" w:sz="4" w:space="0" w:color="auto"/>
              <w:left w:val="single" w:sz="4" w:space="0" w:color="auto"/>
              <w:bottom w:val="single" w:sz="4" w:space="0" w:color="auto"/>
              <w:right w:val="single" w:sz="4" w:space="0" w:color="auto"/>
            </w:tcBorders>
            <w:hideMark/>
          </w:tcPr>
          <w:p w14:paraId="5B7D496F"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rPr>
              <w:t>−</w:t>
            </w:r>
            <w:r w:rsidRPr="00140923">
              <w:rPr>
                <w:rFonts w:eastAsia="MS Mincho"/>
                <w:i/>
                <w:iCs/>
                <w:sz w:val="18"/>
                <w:szCs w:val="18"/>
                <w:lang w:val="es-ES_tradnl"/>
              </w:rPr>
              <w:t>137</w:t>
            </w:r>
            <w:r w:rsidRPr="00140923">
              <w:rPr>
                <w:rFonts w:eastAsia="MS Mincho"/>
                <w:sz w:val="18"/>
                <w:szCs w:val="18"/>
                <w:lang w:val="es-ES_tradnl"/>
              </w:rPr>
              <w:t xml:space="preserve"> + </w:t>
            </w:r>
            <w:r w:rsidRPr="00140923">
              <w:rPr>
                <w:rFonts w:eastAsia="MS Mincho"/>
                <w:i/>
                <w:sz w:val="18"/>
                <w:szCs w:val="18"/>
                <w:lang w:val="es-ES_tradnl"/>
              </w:rPr>
              <w:t>I/N</w:t>
            </w:r>
          </w:p>
        </w:tc>
        <w:tc>
          <w:tcPr>
            <w:tcW w:w="1162" w:type="dxa"/>
            <w:tcBorders>
              <w:top w:val="single" w:sz="4" w:space="0" w:color="auto"/>
              <w:left w:val="single" w:sz="4" w:space="0" w:color="auto"/>
              <w:bottom w:val="single" w:sz="4" w:space="0" w:color="auto"/>
              <w:right w:val="single" w:sz="4" w:space="0" w:color="auto"/>
            </w:tcBorders>
            <w:hideMark/>
          </w:tcPr>
          <w:p w14:paraId="7076FF5D"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i/>
                <w:iCs/>
                <w:sz w:val="18"/>
                <w:szCs w:val="18"/>
                <w:lang w:val="es-ES_tradnl"/>
              </w:rPr>
              <w:t>N</w:t>
            </w:r>
            <w:r w:rsidRPr="00140923">
              <w:rPr>
                <w:rFonts w:eastAsia="MS Mincho"/>
                <w:i/>
                <w:iCs/>
                <w:sz w:val="18"/>
                <w:szCs w:val="18"/>
                <w:vertAlign w:val="subscript"/>
                <w:lang w:val="es-ES_tradnl"/>
              </w:rPr>
              <w:t>RX</w:t>
            </w:r>
            <w:r w:rsidRPr="00140923">
              <w:rPr>
                <w:rFonts w:eastAsia="MS Mincho"/>
                <w:sz w:val="18"/>
                <w:szCs w:val="18"/>
                <w:lang w:val="es-ES_tradnl"/>
              </w:rPr>
              <w:t xml:space="preserve"> + </w:t>
            </w:r>
            <w:r w:rsidRPr="00140923">
              <w:rPr>
                <w:rFonts w:eastAsia="MS Mincho"/>
                <w:i/>
                <w:sz w:val="18"/>
                <w:szCs w:val="18"/>
                <w:lang w:val="es-ES_tradnl"/>
              </w:rPr>
              <w:t>I/N</w:t>
            </w:r>
          </w:p>
        </w:tc>
        <w:tc>
          <w:tcPr>
            <w:tcW w:w="1217" w:type="dxa"/>
            <w:tcBorders>
              <w:top w:val="single" w:sz="4" w:space="0" w:color="auto"/>
              <w:left w:val="single" w:sz="4" w:space="0" w:color="auto"/>
              <w:bottom w:val="single" w:sz="4" w:space="0" w:color="auto"/>
              <w:right w:val="single" w:sz="4" w:space="0" w:color="auto"/>
            </w:tcBorders>
            <w:hideMark/>
          </w:tcPr>
          <w:p w14:paraId="202F7D09"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i/>
                <w:iCs/>
                <w:sz w:val="18"/>
                <w:szCs w:val="18"/>
                <w:lang w:val="es-ES_tradnl"/>
              </w:rPr>
              <w:t>N</w:t>
            </w:r>
            <w:r w:rsidRPr="00140923">
              <w:rPr>
                <w:rFonts w:eastAsia="MS Mincho"/>
                <w:i/>
                <w:iCs/>
                <w:sz w:val="18"/>
                <w:szCs w:val="18"/>
                <w:vertAlign w:val="subscript"/>
                <w:lang w:val="es-ES_tradnl"/>
              </w:rPr>
              <w:t>RX</w:t>
            </w:r>
            <w:r w:rsidRPr="00140923">
              <w:rPr>
                <w:rFonts w:eastAsia="MS Mincho"/>
                <w:sz w:val="18"/>
                <w:szCs w:val="18"/>
                <w:lang w:val="es-ES_tradnl"/>
              </w:rPr>
              <w:t xml:space="preserve"> + </w:t>
            </w:r>
            <w:r w:rsidRPr="00140923">
              <w:rPr>
                <w:rFonts w:eastAsia="MS Mincho"/>
                <w:i/>
                <w:sz w:val="18"/>
                <w:szCs w:val="18"/>
                <w:lang w:val="es-ES_tradnl"/>
              </w:rPr>
              <w:t>I/N</w:t>
            </w:r>
          </w:p>
        </w:tc>
        <w:tc>
          <w:tcPr>
            <w:tcW w:w="1414" w:type="dxa"/>
            <w:tcBorders>
              <w:top w:val="single" w:sz="4" w:space="0" w:color="auto"/>
              <w:left w:val="single" w:sz="4" w:space="0" w:color="auto"/>
              <w:bottom w:val="single" w:sz="4" w:space="0" w:color="auto"/>
              <w:right w:val="single" w:sz="4" w:space="0" w:color="auto"/>
            </w:tcBorders>
            <w:hideMark/>
          </w:tcPr>
          <w:p w14:paraId="58DC8BA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sz w:val="18"/>
                <w:szCs w:val="18"/>
                <w:lang w:val="es-ES_tradnl" w:eastAsia="ja-JP"/>
              </w:rPr>
              <w:t>−</w:t>
            </w:r>
            <w:r w:rsidRPr="00140923">
              <w:rPr>
                <w:rFonts w:eastAsia="MS Mincho"/>
                <w:sz w:val="18"/>
                <w:szCs w:val="18"/>
                <w:lang w:val="es-ES_tradnl"/>
              </w:rPr>
              <w:t xml:space="preserve">137 + </w:t>
            </w:r>
            <w:r w:rsidRPr="00140923">
              <w:rPr>
                <w:rFonts w:eastAsia="MS Mincho"/>
                <w:i/>
                <w:sz w:val="18"/>
                <w:szCs w:val="18"/>
                <w:lang w:val="es-ES_tradnl"/>
              </w:rPr>
              <w:t>I/N</w:t>
            </w:r>
          </w:p>
        </w:tc>
        <w:tc>
          <w:tcPr>
            <w:tcW w:w="1235" w:type="dxa"/>
            <w:gridSpan w:val="2"/>
            <w:tcBorders>
              <w:top w:val="single" w:sz="4" w:space="0" w:color="auto"/>
              <w:left w:val="single" w:sz="4" w:space="0" w:color="auto"/>
              <w:bottom w:val="single" w:sz="4" w:space="0" w:color="auto"/>
              <w:right w:val="single" w:sz="4" w:space="0" w:color="auto"/>
            </w:tcBorders>
            <w:hideMark/>
          </w:tcPr>
          <w:p w14:paraId="1FE54C4C"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60" w:lineRule="exact"/>
              <w:jc w:val="center"/>
              <w:rPr>
                <w:rFonts w:eastAsia="MS Mincho"/>
                <w:sz w:val="18"/>
                <w:szCs w:val="18"/>
                <w:lang w:val="es-ES_tradnl" w:eastAsia="ja-JP"/>
              </w:rPr>
            </w:pPr>
            <w:r w:rsidRPr="00140923">
              <w:rPr>
                <w:rFonts w:eastAsia="MS Mincho"/>
                <w:i/>
                <w:iCs/>
                <w:sz w:val="18"/>
                <w:szCs w:val="18"/>
                <w:lang w:val="es-ES_tradnl"/>
              </w:rPr>
              <w:t>N</w:t>
            </w:r>
            <w:r w:rsidRPr="00140923">
              <w:rPr>
                <w:rFonts w:eastAsia="MS Mincho"/>
                <w:i/>
                <w:iCs/>
                <w:sz w:val="18"/>
                <w:szCs w:val="18"/>
                <w:vertAlign w:val="subscript"/>
                <w:lang w:val="es-ES_tradnl"/>
              </w:rPr>
              <w:t>RX</w:t>
            </w:r>
            <w:r w:rsidRPr="00140923">
              <w:rPr>
                <w:rFonts w:eastAsia="MS Mincho"/>
                <w:sz w:val="18"/>
                <w:szCs w:val="18"/>
                <w:lang w:val="es-ES_tradnl"/>
              </w:rPr>
              <w:t xml:space="preserve"> + </w:t>
            </w:r>
            <w:r w:rsidRPr="00140923">
              <w:rPr>
                <w:rFonts w:eastAsia="MS Mincho"/>
                <w:i/>
                <w:sz w:val="18"/>
                <w:szCs w:val="18"/>
                <w:lang w:val="es-ES_tradnl"/>
              </w:rPr>
              <w:t>I/N</w:t>
            </w:r>
          </w:p>
        </w:tc>
      </w:tr>
      <w:tr w:rsidR="002B37E9" w:rsidRPr="00140923" w14:paraId="40C2C45D" w14:textId="77777777" w:rsidTr="00140923">
        <w:trPr>
          <w:gridAfter w:val="1"/>
          <w:wAfter w:w="25" w:type="dxa"/>
          <w:jc w:val="center"/>
        </w:trPr>
        <w:tc>
          <w:tcPr>
            <w:tcW w:w="14461" w:type="dxa"/>
            <w:gridSpan w:val="9"/>
            <w:tcBorders>
              <w:top w:val="single" w:sz="4" w:space="0" w:color="auto"/>
              <w:left w:val="nil"/>
              <w:bottom w:val="nil"/>
              <w:right w:val="nil"/>
            </w:tcBorders>
            <w:tcMar>
              <w:top w:w="0" w:type="dxa"/>
              <w:left w:w="57" w:type="dxa"/>
              <w:bottom w:w="0" w:type="dxa"/>
              <w:right w:w="57" w:type="dxa"/>
            </w:tcMar>
            <w:vAlign w:val="center"/>
            <w:hideMark/>
          </w:tcPr>
          <w:p w14:paraId="11F13B8B" w14:textId="77777777" w:rsidR="002B37E9" w:rsidRPr="00140923" w:rsidRDefault="002B37E9" w:rsidP="00226764">
            <w:pPr>
              <w:pStyle w:val="TableLegendNote"/>
              <w:ind w:left="-56" w:right="0"/>
              <w:rPr>
                <w:sz w:val="20"/>
                <w:lang w:val="es-ES_tradnl" w:eastAsia="ja-JP"/>
              </w:rPr>
            </w:pPr>
            <w:r w:rsidRPr="00140923">
              <w:rPr>
                <w:sz w:val="20"/>
                <w:lang w:val="es-ES_tradnl" w:eastAsia="ja-JP"/>
              </w:rPr>
              <w:t>NOTA – El conjunto previsto de parámetros de dos sistemas de referencia para los estudios de compartición/compatibilidad actualmente no están disponibles, o lo están sólo parcialmente. A título provisional, se pueden utilizar los parámetros que figuran en el Anexo 3 para las mismas bandas.</w:t>
            </w:r>
          </w:p>
          <w:p w14:paraId="6E85F060"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(1)</w:t>
            </w:r>
            <w:r w:rsidRPr="00140923">
              <w:rPr>
                <w:sz w:val="20"/>
                <w:lang w:val="es-ES_tradnl"/>
              </w:rPr>
              <w:tab/>
              <w:t xml:space="preserve">Para calcular los valores de las densidades del transmisor y de la p.i.r.e., es preciso determinar la separación entre canales y la anchura de banda. En estos Cuadros, la separación entre canales se indica en </w:t>
            </w:r>
            <w:r w:rsidRPr="00140923">
              <w:rPr>
                <w:b/>
                <w:bCs/>
                <w:sz w:val="20"/>
                <w:lang w:val="es-ES_tradnl"/>
              </w:rPr>
              <w:t>negritas</w:t>
            </w:r>
            <w:r w:rsidRPr="00140923">
              <w:rPr>
                <w:sz w:val="20"/>
                <w:lang w:val="es-ES_tradnl"/>
              </w:rPr>
              <w:t>. Cuando se da un valor modal (Moda), este se debe considerar como indicativo dentro de la gama especificada y puede que sea necesario realizar más análisis de sensibilidad según cada caso para evaluar el potencial de una interferencia dada en razón de las variaciones dentro de la gama especificada.</w:t>
            </w:r>
          </w:p>
          <w:p w14:paraId="23638B83"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(2)</w:t>
            </w:r>
            <w:r w:rsidRPr="00140923">
              <w:rPr>
                <w:sz w:val="20"/>
                <w:lang w:val="es-ES_tradnl"/>
              </w:rPr>
              <w:tab/>
              <w:t>La densidad de potencia de interferencia a largo plazo nominal se define como la «densidad de potencia de ruido del receptor + (I/N requerida)» según se describe en el § 4.13 en el Anexo 2 (véase asimismo el § 4.1 en el Anexo 1).</w:t>
            </w:r>
          </w:p>
          <w:p w14:paraId="3CEBE526"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(3)</w:t>
            </w:r>
            <w:r w:rsidRPr="00140923">
              <w:rPr>
                <w:sz w:val="20"/>
                <w:lang w:val="es-ES_tradnl"/>
              </w:rPr>
              <w:tab/>
              <w:t>Este valor de separación entre canales no se especifica en la Recomendación de referencia.</w:t>
            </w:r>
          </w:p>
        </w:tc>
      </w:tr>
    </w:tbl>
    <w:p w14:paraId="0AF3EA4C" w14:textId="77777777" w:rsidR="002B37E9" w:rsidRPr="00140923" w:rsidRDefault="002B37E9" w:rsidP="002B37E9">
      <w:pPr>
        <w:pStyle w:val="Tablefin"/>
        <w:rPr>
          <w:sz w:val="14"/>
          <w:szCs w:val="14"/>
          <w:lang w:val="es-ES_tradnl"/>
        </w:rPr>
      </w:pPr>
    </w:p>
    <w:p w14:paraId="4A70162A" w14:textId="64E23C5A" w:rsidR="002B37E9" w:rsidRPr="00140923" w:rsidRDefault="002B37E9" w:rsidP="002B37E9">
      <w:pPr>
        <w:pStyle w:val="TableNo"/>
        <w:rPr>
          <w:lang w:val="es-ES_tradnl" w:eastAsia="ja-JP"/>
        </w:rPr>
      </w:pPr>
      <w:r w:rsidRPr="00140923">
        <w:rPr>
          <w:lang w:val="es-ES_tradnl"/>
        </w:rPr>
        <w:lastRenderedPageBreak/>
        <w:t xml:space="preserve">CUADRO </w:t>
      </w:r>
      <w:r w:rsidRPr="00140923">
        <w:rPr>
          <w:lang w:val="es-ES_tradnl" w:eastAsia="ja-JP"/>
        </w:rPr>
        <w:t>12</w:t>
      </w:r>
    </w:p>
    <w:p w14:paraId="490F17B5" w14:textId="77777777" w:rsidR="002B37E9" w:rsidRPr="00140923" w:rsidRDefault="002B37E9" w:rsidP="002B37E9">
      <w:pPr>
        <w:pStyle w:val="Tabletitle"/>
        <w:rPr>
          <w:lang w:val="es-ES_tradnl" w:eastAsia="ja-JP"/>
        </w:rPr>
      </w:pPr>
      <w:r w:rsidRPr="00140923">
        <w:rPr>
          <w:lang w:val="es-ES_tradnl" w:eastAsia="ja-JP"/>
        </w:rPr>
        <w:t xml:space="preserve">Parámetros de sistema para los sistemas punto a punto del servicio fijo en bandas atribuidas por encima de 59 GHz </w:t>
      </w:r>
    </w:p>
    <w:tbl>
      <w:tblPr>
        <w:tblW w:w="14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8"/>
        <w:gridCol w:w="1869"/>
        <w:gridCol w:w="1870"/>
        <w:gridCol w:w="8"/>
        <w:gridCol w:w="1813"/>
        <w:gridCol w:w="1466"/>
        <w:gridCol w:w="1935"/>
        <w:gridCol w:w="1577"/>
        <w:gridCol w:w="11"/>
      </w:tblGrid>
      <w:tr w:rsidR="002B37E9" w:rsidRPr="00140923" w14:paraId="556C155F"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0D5B69" w14:textId="77777777" w:rsidR="002B37E9" w:rsidRPr="00140923" w:rsidRDefault="002B37E9" w:rsidP="00226764">
            <w:pPr>
              <w:pStyle w:val="Tablehead"/>
              <w:rPr>
                <w:rFonts w:eastAsia="MS Mincho"/>
                <w:lang w:val="es-ES_tradnl"/>
              </w:rPr>
            </w:pPr>
            <w:r w:rsidRPr="00140923">
              <w:rPr>
                <w:rFonts w:eastAsia="MS Mincho"/>
                <w:lang w:val="es-ES_tradnl" w:eastAsia="ja-JP"/>
              </w:rPr>
              <w:t>Gama de frecuencias</w:t>
            </w:r>
            <w:r w:rsidRPr="00140923">
              <w:rPr>
                <w:rFonts w:eastAsia="MS Mincho"/>
                <w:lang w:val="es-ES_tradnl" w:eastAsia="ja-JP"/>
              </w:rPr>
              <w:br/>
              <w:t>(GHz)</w:t>
            </w:r>
          </w:p>
        </w:tc>
        <w:tc>
          <w:tcPr>
            <w:tcW w:w="3739" w:type="dxa"/>
            <w:gridSpan w:val="2"/>
            <w:tcBorders>
              <w:top w:val="single" w:sz="4" w:space="0" w:color="auto"/>
              <w:left w:val="single" w:sz="4" w:space="0" w:color="auto"/>
              <w:bottom w:val="single" w:sz="4" w:space="0" w:color="auto"/>
              <w:right w:val="single" w:sz="4" w:space="0" w:color="auto"/>
            </w:tcBorders>
            <w:vAlign w:val="center"/>
            <w:hideMark/>
          </w:tcPr>
          <w:p w14:paraId="1278B120" w14:textId="77777777" w:rsidR="002B37E9" w:rsidRPr="00140923" w:rsidRDefault="002B37E9" w:rsidP="00226764">
            <w:pPr>
              <w:pStyle w:val="Tablehead"/>
              <w:rPr>
                <w:rFonts w:eastAsia="MS Mincho"/>
                <w:lang w:val="es-ES_tradnl" w:eastAsia="ja-JP"/>
              </w:rPr>
            </w:pPr>
            <w:r w:rsidRPr="00140923">
              <w:rPr>
                <w:rFonts w:eastAsia="MS Mincho"/>
                <w:lang w:val="es-ES_tradnl" w:eastAsia="ja-JP"/>
              </w:rPr>
              <w:t>59-64</w:t>
            </w:r>
          </w:p>
        </w:tc>
        <w:tc>
          <w:tcPr>
            <w:tcW w:w="3287" w:type="dxa"/>
            <w:gridSpan w:val="3"/>
            <w:tcBorders>
              <w:top w:val="single" w:sz="4" w:space="0" w:color="auto"/>
              <w:left w:val="single" w:sz="4" w:space="0" w:color="auto"/>
              <w:bottom w:val="single" w:sz="4" w:space="0" w:color="auto"/>
              <w:right w:val="single" w:sz="4" w:space="0" w:color="auto"/>
            </w:tcBorders>
            <w:vAlign w:val="center"/>
            <w:hideMark/>
          </w:tcPr>
          <w:p w14:paraId="3B2FD445" w14:textId="77777777" w:rsidR="002B37E9" w:rsidRPr="00140923" w:rsidRDefault="002B37E9" w:rsidP="00226764">
            <w:pPr>
              <w:pStyle w:val="Tablehead"/>
              <w:rPr>
                <w:rFonts w:eastAsia="MS Mincho"/>
                <w:lang w:val="es-ES_tradnl" w:eastAsia="ja-JP"/>
              </w:rPr>
            </w:pPr>
            <w:r w:rsidRPr="00140923">
              <w:rPr>
                <w:rFonts w:eastAsia="MS Mincho"/>
                <w:lang w:val="es-ES_tradnl" w:eastAsia="ja-JP"/>
              </w:rPr>
              <w:t>64-66</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14:paraId="34EF2506" w14:textId="77777777" w:rsidR="002B37E9" w:rsidRPr="00140923" w:rsidRDefault="002B37E9" w:rsidP="00226764">
            <w:pPr>
              <w:pStyle w:val="Tablehead"/>
              <w:rPr>
                <w:rFonts w:eastAsia="MS Mincho"/>
                <w:lang w:val="es-ES_tradnl" w:eastAsia="ja-JP"/>
              </w:rPr>
            </w:pPr>
            <w:r w:rsidRPr="00140923">
              <w:rPr>
                <w:rFonts w:eastAsia="MS Mincho"/>
                <w:lang w:val="es-ES_tradnl" w:eastAsia="ja-JP"/>
              </w:rPr>
              <w:t>71-76/81-86</w:t>
            </w:r>
          </w:p>
        </w:tc>
      </w:tr>
      <w:tr w:rsidR="002B37E9" w:rsidRPr="00140923" w14:paraId="2184A08C"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7CAE36" w14:textId="77777777" w:rsidR="002B37E9" w:rsidRPr="00140923" w:rsidRDefault="002B37E9" w:rsidP="00226764">
            <w:pPr>
              <w:pStyle w:val="Tabletext"/>
              <w:jc w:val="left"/>
              <w:rPr>
                <w:sz w:val="20"/>
                <w:lang w:val="es-ES_tradnl"/>
              </w:rPr>
            </w:pPr>
            <w:r w:rsidRPr="00140923">
              <w:rPr>
                <w:sz w:val="20"/>
                <w:lang w:val="es-ES_tradnl"/>
              </w:rPr>
              <w:t>Recomendación UIT-R de referencia</w:t>
            </w:r>
          </w:p>
        </w:tc>
        <w:tc>
          <w:tcPr>
            <w:tcW w:w="3739" w:type="dxa"/>
            <w:gridSpan w:val="2"/>
            <w:tcBorders>
              <w:top w:val="single" w:sz="4" w:space="0" w:color="auto"/>
              <w:left w:val="single" w:sz="4" w:space="0" w:color="auto"/>
              <w:bottom w:val="single" w:sz="4" w:space="0" w:color="auto"/>
              <w:right w:val="single" w:sz="4" w:space="0" w:color="auto"/>
            </w:tcBorders>
            <w:hideMark/>
          </w:tcPr>
          <w:p w14:paraId="00341926"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F.1497</w:t>
            </w:r>
          </w:p>
        </w:tc>
        <w:tc>
          <w:tcPr>
            <w:tcW w:w="3287" w:type="dxa"/>
            <w:gridSpan w:val="3"/>
            <w:tcBorders>
              <w:top w:val="single" w:sz="4" w:space="0" w:color="auto"/>
              <w:left w:val="single" w:sz="4" w:space="0" w:color="auto"/>
              <w:bottom w:val="single" w:sz="4" w:space="0" w:color="auto"/>
              <w:right w:val="single" w:sz="4" w:space="0" w:color="auto"/>
            </w:tcBorders>
            <w:hideMark/>
          </w:tcPr>
          <w:p w14:paraId="69B57DE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F.1497</w:t>
            </w:r>
          </w:p>
        </w:tc>
        <w:tc>
          <w:tcPr>
            <w:tcW w:w="3512" w:type="dxa"/>
            <w:gridSpan w:val="2"/>
            <w:tcBorders>
              <w:top w:val="single" w:sz="4" w:space="0" w:color="auto"/>
              <w:left w:val="single" w:sz="4" w:space="0" w:color="auto"/>
              <w:bottom w:val="single" w:sz="4" w:space="0" w:color="auto"/>
              <w:right w:val="single" w:sz="4" w:space="0" w:color="auto"/>
            </w:tcBorders>
            <w:hideMark/>
          </w:tcPr>
          <w:p w14:paraId="72AAE79F"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F.2006</w:t>
            </w:r>
          </w:p>
        </w:tc>
      </w:tr>
      <w:tr w:rsidR="002B37E9" w:rsidRPr="00140923" w14:paraId="784180D7"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0FCFFB" w14:textId="77777777" w:rsidR="002B37E9" w:rsidRPr="00140923" w:rsidRDefault="002B37E9" w:rsidP="00226764">
            <w:pPr>
              <w:pStyle w:val="Tabletext"/>
              <w:jc w:val="left"/>
              <w:rPr>
                <w:sz w:val="20"/>
                <w:lang w:val="es-ES_tradnl"/>
              </w:rPr>
            </w:pPr>
            <w:r w:rsidRPr="00140923">
              <w:rPr>
                <w:sz w:val="20"/>
                <w:lang w:val="es-ES_tradnl"/>
              </w:rPr>
              <w:t>Modulación</w:t>
            </w:r>
          </w:p>
        </w:tc>
        <w:tc>
          <w:tcPr>
            <w:tcW w:w="1869" w:type="dxa"/>
            <w:tcBorders>
              <w:top w:val="single" w:sz="4" w:space="0" w:color="auto"/>
              <w:left w:val="single" w:sz="4" w:space="0" w:color="auto"/>
              <w:bottom w:val="single" w:sz="4" w:space="0" w:color="auto"/>
              <w:right w:val="single" w:sz="4" w:space="0" w:color="auto"/>
            </w:tcBorders>
            <w:hideMark/>
          </w:tcPr>
          <w:p w14:paraId="11AAC812"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sz w:val="20"/>
                <w:lang w:val="es-ES_tradnl" w:eastAsia="ja-JP"/>
              </w:rPr>
              <w:t>MDP-4</w:t>
            </w:r>
          </w:p>
        </w:tc>
        <w:tc>
          <w:tcPr>
            <w:tcW w:w="1878" w:type="dxa"/>
            <w:gridSpan w:val="2"/>
            <w:tcBorders>
              <w:top w:val="single" w:sz="4" w:space="0" w:color="auto"/>
              <w:left w:val="single" w:sz="4" w:space="0" w:color="auto"/>
              <w:bottom w:val="single" w:sz="4" w:space="0" w:color="auto"/>
              <w:right w:val="single" w:sz="4" w:space="0" w:color="auto"/>
            </w:tcBorders>
            <w:hideMark/>
          </w:tcPr>
          <w:p w14:paraId="5FCA25FE"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sz w:val="20"/>
                <w:lang w:val="es-ES_tradnl" w:eastAsia="ja-JP"/>
              </w:rPr>
              <w:t>MAQ-64</w:t>
            </w:r>
          </w:p>
        </w:tc>
        <w:tc>
          <w:tcPr>
            <w:tcW w:w="1813" w:type="dxa"/>
            <w:tcBorders>
              <w:top w:val="single" w:sz="4" w:space="0" w:color="auto"/>
              <w:left w:val="single" w:sz="4" w:space="0" w:color="auto"/>
              <w:bottom w:val="single" w:sz="4" w:space="0" w:color="auto"/>
              <w:right w:val="single" w:sz="4" w:space="0" w:color="auto"/>
            </w:tcBorders>
            <w:hideMark/>
          </w:tcPr>
          <w:p w14:paraId="692057BD"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sz w:val="20"/>
                <w:lang w:val="es-ES_tradnl" w:eastAsia="ja-JP"/>
              </w:rPr>
              <w:t>MDP-2</w:t>
            </w:r>
          </w:p>
        </w:tc>
        <w:tc>
          <w:tcPr>
            <w:tcW w:w="1466" w:type="dxa"/>
            <w:tcBorders>
              <w:top w:val="single" w:sz="4" w:space="0" w:color="auto"/>
              <w:left w:val="single" w:sz="4" w:space="0" w:color="auto"/>
              <w:bottom w:val="single" w:sz="4" w:space="0" w:color="auto"/>
              <w:right w:val="single" w:sz="4" w:space="0" w:color="auto"/>
            </w:tcBorders>
            <w:hideMark/>
          </w:tcPr>
          <w:p w14:paraId="18D2DF08"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sz w:val="20"/>
                <w:lang w:val="es-ES_tradnl" w:eastAsia="ja-JP"/>
              </w:rPr>
              <w:t>MAQ-64</w:t>
            </w:r>
          </w:p>
        </w:tc>
        <w:tc>
          <w:tcPr>
            <w:tcW w:w="1935" w:type="dxa"/>
            <w:tcBorders>
              <w:top w:val="single" w:sz="4" w:space="0" w:color="auto"/>
              <w:left w:val="single" w:sz="4" w:space="0" w:color="auto"/>
              <w:bottom w:val="single" w:sz="4" w:space="0" w:color="auto"/>
              <w:right w:val="single" w:sz="4" w:space="0" w:color="auto"/>
            </w:tcBorders>
            <w:hideMark/>
          </w:tcPr>
          <w:p w14:paraId="6CC2E29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sz w:val="20"/>
                <w:lang w:val="es-ES_tradnl" w:eastAsia="ja-JP"/>
              </w:rPr>
              <w:t>MDP-4</w:t>
            </w:r>
          </w:p>
        </w:tc>
        <w:tc>
          <w:tcPr>
            <w:tcW w:w="1577" w:type="dxa"/>
            <w:tcBorders>
              <w:top w:val="single" w:sz="4" w:space="0" w:color="auto"/>
              <w:left w:val="single" w:sz="4" w:space="0" w:color="auto"/>
              <w:bottom w:val="single" w:sz="4" w:space="0" w:color="auto"/>
              <w:right w:val="single" w:sz="4" w:space="0" w:color="auto"/>
            </w:tcBorders>
            <w:hideMark/>
          </w:tcPr>
          <w:p w14:paraId="0B7A920C"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sz w:val="20"/>
                <w:lang w:val="es-ES_tradnl" w:eastAsia="ja-JP"/>
              </w:rPr>
              <w:t>MAQ-64</w:t>
            </w:r>
          </w:p>
        </w:tc>
      </w:tr>
      <w:tr w:rsidR="002B37E9" w:rsidRPr="00140923" w14:paraId="4C268B43"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F8B7F0" w14:textId="77777777" w:rsidR="002B37E9" w:rsidRPr="00140923" w:rsidRDefault="002B37E9" w:rsidP="00226764">
            <w:pPr>
              <w:pStyle w:val="Tabletext"/>
              <w:jc w:val="left"/>
              <w:rPr>
                <w:sz w:val="20"/>
                <w:lang w:val="es-ES_tradnl"/>
              </w:rPr>
            </w:pPr>
            <w:r w:rsidRPr="00140923">
              <w:rPr>
                <w:sz w:val="20"/>
                <w:lang w:val="es-ES_tradnl"/>
              </w:rPr>
              <w:t>Separación de canales y anchura de banda de ruido del receptor (MHz)</w:t>
            </w:r>
          </w:p>
        </w:tc>
        <w:tc>
          <w:tcPr>
            <w:tcW w:w="1869" w:type="dxa"/>
            <w:tcBorders>
              <w:top w:val="single" w:sz="4" w:space="0" w:color="auto"/>
              <w:left w:val="single" w:sz="4" w:space="0" w:color="auto"/>
              <w:bottom w:val="single" w:sz="4" w:space="0" w:color="auto"/>
              <w:right w:val="single" w:sz="4" w:space="0" w:color="auto"/>
            </w:tcBorders>
            <w:hideMark/>
          </w:tcPr>
          <w:p w14:paraId="77B5212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20"/>
                <w:lang w:val="es-ES_tradnl" w:eastAsia="ja-JP"/>
              </w:rPr>
            </w:pPr>
            <w:r w:rsidRPr="00140923">
              <w:rPr>
                <w:rFonts w:eastAsia="MS Mincho"/>
                <w:sz w:val="20"/>
                <w:lang w:val="es-ES_tradnl" w:eastAsia="ja-JP"/>
              </w:rPr>
              <w:t>50; 100</w:t>
            </w:r>
          </w:p>
        </w:tc>
        <w:tc>
          <w:tcPr>
            <w:tcW w:w="1878" w:type="dxa"/>
            <w:gridSpan w:val="2"/>
            <w:tcBorders>
              <w:top w:val="single" w:sz="4" w:space="0" w:color="auto"/>
              <w:left w:val="single" w:sz="4" w:space="0" w:color="auto"/>
              <w:bottom w:val="single" w:sz="4" w:space="0" w:color="auto"/>
              <w:right w:val="single" w:sz="4" w:space="0" w:color="auto"/>
            </w:tcBorders>
            <w:hideMark/>
          </w:tcPr>
          <w:p w14:paraId="7AC6443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 xml:space="preserve">50; 100; 150; 250; </w:t>
            </w:r>
            <w:r w:rsidRPr="00140923">
              <w:rPr>
                <w:rFonts w:eastAsia="MS Mincho"/>
                <w:b/>
                <w:sz w:val="20"/>
                <w:lang w:val="es-ES_tradnl" w:eastAsia="ja-JP"/>
              </w:rPr>
              <w:t>500</w:t>
            </w:r>
            <w:r w:rsidRPr="00140923">
              <w:rPr>
                <w:rFonts w:eastAsia="MS Mincho"/>
                <w:b/>
                <w:sz w:val="20"/>
                <w:vertAlign w:val="superscript"/>
                <w:lang w:val="es-ES_tradnl" w:eastAsia="ja-JP"/>
              </w:rPr>
              <w:t>(3)</w:t>
            </w:r>
            <w:r w:rsidRPr="00140923">
              <w:rPr>
                <w:rFonts w:eastAsia="MS Mincho"/>
                <w:sz w:val="20"/>
                <w:lang w:val="es-ES_tradnl" w:eastAsia="ja-JP"/>
              </w:rPr>
              <w:t>; 1 250; 2 500</w:t>
            </w:r>
          </w:p>
        </w:tc>
        <w:tc>
          <w:tcPr>
            <w:tcW w:w="1813" w:type="dxa"/>
            <w:tcBorders>
              <w:top w:val="single" w:sz="4" w:space="0" w:color="auto"/>
              <w:left w:val="single" w:sz="4" w:space="0" w:color="auto"/>
              <w:bottom w:val="single" w:sz="4" w:space="0" w:color="auto"/>
              <w:right w:val="single" w:sz="4" w:space="0" w:color="auto"/>
            </w:tcBorders>
            <w:hideMark/>
          </w:tcPr>
          <w:p w14:paraId="2332D01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b/>
                <w:sz w:val="20"/>
                <w:lang w:val="es-ES_tradnl" w:eastAsia="ja-JP"/>
              </w:rPr>
              <w:t>30</w:t>
            </w:r>
            <w:r w:rsidRPr="00140923">
              <w:rPr>
                <w:rFonts w:eastAsia="MS Mincho"/>
                <w:sz w:val="20"/>
                <w:lang w:val="es-ES_tradnl" w:eastAsia="ja-JP"/>
              </w:rPr>
              <w:t>; 50</w:t>
            </w:r>
          </w:p>
        </w:tc>
        <w:tc>
          <w:tcPr>
            <w:tcW w:w="1466" w:type="dxa"/>
            <w:tcBorders>
              <w:top w:val="single" w:sz="4" w:space="0" w:color="auto"/>
              <w:left w:val="single" w:sz="4" w:space="0" w:color="auto"/>
              <w:bottom w:val="single" w:sz="4" w:space="0" w:color="auto"/>
              <w:right w:val="single" w:sz="4" w:space="0" w:color="auto"/>
            </w:tcBorders>
            <w:hideMark/>
          </w:tcPr>
          <w:p w14:paraId="6F64BB91"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sz w:val="20"/>
                <w:lang w:val="es-ES_tradnl" w:eastAsia="ja-JP"/>
              </w:rPr>
              <w:t xml:space="preserve">50; 100; 150; 250; </w:t>
            </w:r>
            <w:r w:rsidRPr="00140923">
              <w:rPr>
                <w:b/>
                <w:sz w:val="20"/>
                <w:lang w:val="es-ES_tradnl" w:eastAsia="ja-JP"/>
              </w:rPr>
              <w:t>500</w:t>
            </w:r>
            <w:r w:rsidRPr="00140923">
              <w:rPr>
                <w:b/>
                <w:sz w:val="20"/>
                <w:vertAlign w:val="superscript"/>
                <w:lang w:val="es-ES_tradnl" w:eastAsia="ja-JP"/>
              </w:rPr>
              <w:t>(3)</w:t>
            </w:r>
            <w:r w:rsidRPr="00140923">
              <w:rPr>
                <w:sz w:val="20"/>
                <w:lang w:val="es-ES_tradnl" w:eastAsia="ja-JP"/>
              </w:rPr>
              <w:t>; 1 250; 2 500</w:t>
            </w:r>
          </w:p>
        </w:tc>
        <w:tc>
          <w:tcPr>
            <w:tcW w:w="1935" w:type="dxa"/>
            <w:tcBorders>
              <w:top w:val="single" w:sz="4" w:space="0" w:color="auto"/>
              <w:left w:val="single" w:sz="4" w:space="0" w:color="auto"/>
              <w:bottom w:val="single" w:sz="4" w:space="0" w:color="auto"/>
              <w:right w:val="single" w:sz="4" w:space="0" w:color="auto"/>
            </w:tcBorders>
            <w:hideMark/>
          </w:tcPr>
          <w:p w14:paraId="067CAE01"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rPr>
              <w:t xml:space="preserve">250, 500, 750, 1 000, </w:t>
            </w:r>
            <w:r w:rsidRPr="00140923">
              <w:rPr>
                <w:rFonts w:eastAsia="MS Mincho"/>
                <w:b/>
                <w:sz w:val="20"/>
                <w:lang w:val="es-ES_tradnl"/>
              </w:rPr>
              <w:t>1 250</w:t>
            </w:r>
            <w:r w:rsidRPr="00140923">
              <w:rPr>
                <w:rFonts w:eastAsia="MS Mincho"/>
                <w:sz w:val="20"/>
                <w:lang w:val="es-ES_tradnl"/>
              </w:rPr>
              <w:t>, 1 500, 1 750, 2 000, 2 250</w:t>
            </w:r>
          </w:p>
        </w:tc>
        <w:tc>
          <w:tcPr>
            <w:tcW w:w="1577" w:type="dxa"/>
            <w:tcBorders>
              <w:top w:val="single" w:sz="4" w:space="0" w:color="auto"/>
              <w:left w:val="single" w:sz="4" w:space="0" w:color="auto"/>
              <w:bottom w:val="single" w:sz="4" w:space="0" w:color="auto"/>
              <w:right w:val="single" w:sz="4" w:space="0" w:color="auto"/>
            </w:tcBorders>
            <w:hideMark/>
          </w:tcPr>
          <w:p w14:paraId="782C0772"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sz w:val="20"/>
                <w:lang w:val="es-ES_tradnl"/>
              </w:rPr>
              <w:t>500, 700, 1 000</w:t>
            </w:r>
          </w:p>
        </w:tc>
      </w:tr>
      <w:tr w:rsidR="002B37E9" w:rsidRPr="00140923" w14:paraId="70E1C379"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B96413" w14:textId="77777777" w:rsidR="002B37E9" w:rsidRPr="00140923" w:rsidRDefault="002B37E9" w:rsidP="00226764">
            <w:pPr>
              <w:pStyle w:val="Tabletext"/>
              <w:jc w:val="left"/>
              <w:rPr>
                <w:sz w:val="20"/>
                <w:lang w:val="es-ES_tradnl"/>
              </w:rPr>
            </w:pPr>
            <w:r w:rsidRPr="00140923">
              <w:rPr>
                <w:sz w:val="20"/>
                <w:lang w:val="es-ES_tradnl"/>
              </w:rPr>
              <w:t>Gama de potencia de salida del transmisor (dBW)</w:t>
            </w:r>
          </w:p>
        </w:tc>
        <w:tc>
          <w:tcPr>
            <w:tcW w:w="1869" w:type="dxa"/>
            <w:tcBorders>
              <w:top w:val="single" w:sz="4" w:space="0" w:color="auto"/>
              <w:left w:val="single" w:sz="4" w:space="0" w:color="auto"/>
              <w:bottom w:val="single" w:sz="4" w:space="0" w:color="auto"/>
              <w:right w:val="single" w:sz="4" w:space="0" w:color="auto"/>
            </w:tcBorders>
            <w:hideMark/>
          </w:tcPr>
          <w:p w14:paraId="4C412BD5" w14:textId="0FFE4667"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22...</w:t>
            </w:r>
            <w:r>
              <w:t xml:space="preserve"> </w:t>
            </w:r>
            <w:r w:rsidRPr="001B39C4">
              <w:rPr>
                <w:rFonts w:eastAsia="MS Mincho"/>
                <w:sz w:val="20"/>
                <w:lang w:val="es-ES_tradnl" w:eastAsia="ja-JP"/>
              </w:rPr>
              <w:t>−</w:t>
            </w:r>
            <w:r w:rsidR="002B37E9" w:rsidRPr="00140923">
              <w:rPr>
                <w:rFonts w:eastAsia="MS Mincho"/>
                <w:sz w:val="20"/>
                <w:lang w:val="es-ES_tradnl" w:eastAsia="ja-JP"/>
              </w:rPr>
              <w:t>20</w:t>
            </w:r>
          </w:p>
        </w:tc>
        <w:tc>
          <w:tcPr>
            <w:tcW w:w="1878" w:type="dxa"/>
            <w:gridSpan w:val="2"/>
            <w:tcBorders>
              <w:top w:val="single" w:sz="4" w:space="0" w:color="auto"/>
              <w:left w:val="single" w:sz="4" w:space="0" w:color="auto"/>
              <w:bottom w:val="single" w:sz="4" w:space="0" w:color="auto"/>
              <w:right w:val="single" w:sz="4" w:space="0" w:color="auto"/>
            </w:tcBorders>
            <w:hideMark/>
          </w:tcPr>
          <w:p w14:paraId="7B3B58D3" w14:textId="7803C3CE"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24</w:t>
            </w:r>
          </w:p>
        </w:tc>
        <w:tc>
          <w:tcPr>
            <w:tcW w:w="1813" w:type="dxa"/>
            <w:tcBorders>
              <w:top w:val="single" w:sz="4" w:space="0" w:color="auto"/>
              <w:left w:val="single" w:sz="4" w:space="0" w:color="auto"/>
              <w:bottom w:val="single" w:sz="4" w:space="0" w:color="auto"/>
              <w:right w:val="single" w:sz="4" w:space="0" w:color="auto"/>
            </w:tcBorders>
            <w:hideMark/>
          </w:tcPr>
          <w:p w14:paraId="2ECB9DAD" w14:textId="17A397A5"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15...</w:t>
            </w:r>
            <w:r w:rsidRPr="001B39C4">
              <w:rPr>
                <w:rFonts w:eastAsia="MS Mincho"/>
                <w:b/>
                <w:sz w:val="20"/>
                <w:lang w:val="es-ES_tradnl" w:eastAsia="ja-JP"/>
              </w:rPr>
              <w:t>−</w:t>
            </w:r>
            <w:r w:rsidR="002B37E9" w:rsidRPr="00140923">
              <w:rPr>
                <w:rFonts w:eastAsia="MS Mincho"/>
                <w:sz w:val="20"/>
                <w:lang w:val="es-ES_tradnl" w:eastAsia="ja-JP"/>
              </w:rPr>
              <w:t>12</w:t>
            </w:r>
          </w:p>
        </w:tc>
        <w:tc>
          <w:tcPr>
            <w:tcW w:w="1466" w:type="dxa"/>
            <w:tcBorders>
              <w:top w:val="single" w:sz="4" w:space="0" w:color="auto"/>
              <w:left w:val="single" w:sz="4" w:space="0" w:color="auto"/>
              <w:bottom w:val="single" w:sz="4" w:space="0" w:color="auto"/>
              <w:right w:val="single" w:sz="4" w:space="0" w:color="auto"/>
            </w:tcBorders>
            <w:hideMark/>
          </w:tcPr>
          <w:p w14:paraId="546CB59C" w14:textId="756AB7F4"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sz w:val="20"/>
                <w:lang w:val="es-ES_tradnl" w:eastAsia="ja-JP"/>
              </w:rPr>
              <w:t>24</w:t>
            </w:r>
          </w:p>
        </w:tc>
        <w:tc>
          <w:tcPr>
            <w:tcW w:w="1935" w:type="dxa"/>
            <w:tcBorders>
              <w:top w:val="single" w:sz="4" w:space="0" w:color="auto"/>
              <w:left w:val="single" w:sz="4" w:space="0" w:color="auto"/>
              <w:bottom w:val="single" w:sz="4" w:space="0" w:color="auto"/>
              <w:right w:val="single" w:sz="4" w:space="0" w:color="auto"/>
            </w:tcBorders>
            <w:hideMark/>
          </w:tcPr>
          <w:p w14:paraId="6980119D" w14:textId="7E5AA0CC"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10</w:t>
            </w:r>
          </w:p>
        </w:tc>
        <w:tc>
          <w:tcPr>
            <w:tcW w:w="1577" w:type="dxa"/>
            <w:tcBorders>
              <w:top w:val="single" w:sz="4" w:space="0" w:color="auto"/>
              <w:left w:val="single" w:sz="4" w:space="0" w:color="auto"/>
              <w:bottom w:val="single" w:sz="4" w:space="0" w:color="auto"/>
              <w:right w:val="single" w:sz="4" w:space="0" w:color="auto"/>
            </w:tcBorders>
            <w:hideMark/>
          </w:tcPr>
          <w:p w14:paraId="71309C1C" w14:textId="0BBDD403"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sz w:val="20"/>
                <w:lang w:val="es-ES_tradnl" w:eastAsia="ja-JP"/>
              </w:rPr>
              <w:t>20</w:t>
            </w:r>
          </w:p>
        </w:tc>
      </w:tr>
      <w:tr w:rsidR="002B37E9" w:rsidRPr="00140923" w14:paraId="3FE71D89"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14E8FA" w14:textId="77777777" w:rsidR="002B37E9" w:rsidRPr="00140923" w:rsidRDefault="002B37E9" w:rsidP="00226764">
            <w:pPr>
              <w:pStyle w:val="Tabletext"/>
              <w:jc w:val="left"/>
              <w:rPr>
                <w:sz w:val="20"/>
                <w:lang w:val="es-ES_tradnl"/>
              </w:rPr>
            </w:pPr>
            <w:r w:rsidRPr="00140923">
              <w:rPr>
                <w:sz w:val="20"/>
                <w:lang w:val="es-ES_tradnl"/>
              </w:rPr>
              <w:t>Gama de densidad de potencia de salida del transmisor (dBW/MHz)</w:t>
            </w:r>
            <w:r w:rsidRPr="00140923">
              <w:rPr>
                <w:sz w:val="20"/>
                <w:vertAlign w:val="superscript"/>
                <w:lang w:val="es-ES_tradnl"/>
              </w:rPr>
              <w:t>(1)</w:t>
            </w:r>
          </w:p>
        </w:tc>
        <w:tc>
          <w:tcPr>
            <w:tcW w:w="1869" w:type="dxa"/>
            <w:tcBorders>
              <w:top w:val="single" w:sz="4" w:space="0" w:color="auto"/>
              <w:left w:val="single" w:sz="4" w:space="0" w:color="auto"/>
              <w:bottom w:val="single" w:sz="4" w:space="0" w:color="auto"/>
              <w:right w:val="single" w:sz="4" w:space="0" w:color="auto"/>
            </w:tcBorders>
            <w:hideMark/>
          </w:tcPr>
          <w:p w14:paraId="5D3A8793" w14:textId="07D521DB"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42...</w:t>
            </w:r>
            <w:r w:rsidRPr="001B39C4">
              <w:rPr>
                <w:rFonts w:eastAsia="MS Mincho"/>
                <w:b/>
                <w:sz w:val="20"/>
                <w:lang w:val="es-ES_tradnl" w:eastAsia="ja-JP"/>
              </w:rPr>
              <w:t>−</w:t>
            </w:r>
            <w:r w:rsidR="002B37E9" w:rsidRPr="00140923">
              <w:rPr>
                <w:rFonts w:eastAsia="MS Mincho"/>
                <w:sz w:val="20"/>
                <w:lang w:val="es-ES_tradnl" w:eastAsia="ja-JP"/>
              </w:rPr>
              <w:t>40</w:t>
            </w:r>
          </w:p>
        </w:tc>
        <w:tc>
          <w:tcPr>
            <w:tcW w:w="1878" w:type="dxa"/>
            <w:gridSpan w:val="2"/>
            <w:tcBorders>
              <w:top w:val="single" w:sz="4" w:space="0" w:color="auto"/>
              <w:left w:val="single" w:sz="4" w:space="0" w:color="auto"/>
              <w:bottom w:val="single" w:sz="4" w:space="0" w:color="auto"/>
              <w:right w:val="single" w:sz="4" w:space="0" w:color="auto"/>
            </w:tcBorders>
            <w:hideMark/>
          </w:tcPr>
          <w:p w14:paraId="296FFA8E" w14:textId="087683EE"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51</w:t>
            </w:r>
          </w:p>
        </w:tc>
        <w:tc>
          <w:tcPr>
            <w:tcW w:w="1813" w:type="dxa"/>
            <w:tcBorders>
              <w:top w:val="single" w:sz="4" w:space="0" w:color="auto"/>
              <w:left w:val="single" w:sz="4" w:space="0" w:color="auto"/>
              <w:bottom w:val="single" w:sz="4" w:space="0" w:color="auto"/>
              <w:right w:val="single" w:sz="4" w:space="0" w:color="auto"/>
            </w:tcBorders>
            <w:hideMark/>
          </w:tcPr>
          <w:p w14:paraId="47EBDF7E" w14:textId="6D586941"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29,8...</w:t>
            </w:r>
            <w:r w:rsidRPr="001B39C4">
              <w:rPr>
                <w:rFonts w:eastAsia="MS Mincho"/>
                <w:b/>
                <w:sz w:val="20"/>
                <w:lang w:val="es-ES_tradnl" w:eastAsia="ja-JP"/>
              </w:rPr>
              <w:t>−</w:t>
            </w:r>
            <w:r w:rsidR="002B37E9" w:rsidRPr="00140923">
              <w:rPr>
                <w:rFonts w:eastAsia="MS Mincho"/>
                <w:sz w:val="20"/>
                <w:lang w:val="es-ES_tradnl" w:eastAsia="ja-JP"/>
              </w:rPr>
              <w:t>26,8</w:t>
            </w:r>
          </w:p>
        </w:tc>
        <w:tc>
          <w:tcPr>
            <w:tcW w:w="1466" w:type="dxa"/>
            <w:tcBorders>
              <w:top w:val="single" w:sz="4" w:space="0" w:color="auto"/>
              <w:left w:val="single" w:sz="4" w:space="0" w:color="auto"/>
              <w:bottom w:val="single" w:sz="4" w:space="0" w:color="auto"/>
              <w:right w:val="single" w:sz="4" w:space="0" w:color="auto"/>
            </w:tcBorders>
            <w:hideMark/>
          </w:tcPr>
          <w:p w14:paraId="3EE9D0AC" w14:textId="34CCB3E9"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sz w:val="20"/>
                <w:lang w:val="es-ES_tradnl" w:eastAsia="ja-JP"/>
              </w:rPr>
              <w:t>51</w:t>
            </w:r>
          </w:p>
        </w:tc>
        <w:tc>
          <w:tcPr>
            <w:tcW w:w="1935" w:type="dxa"/>
            <w:tcBorders>
              <w:top w:val="single" w:sz="4" w:space="0" w:color="auto"/>
              <w:left w:val="single" w:sz="4" w:space="0" w:color="auto"/>
              <w:bottom w:val="single" w:sz="4" w:space="0" w:color="auto"/>
              <w:right w:val="single" w:sz="4" w:space="0" w:color="auto"/>
            </w:tcBorders>
            <w:hideMark/>
          </w:tcPr>
          <w:p w14:paraId="2AF71F8B" w14:textId="27D4337B"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41</w:t>
            </w:r>
          </w:p>
        </w:tc>
        <w:tc>
          <w:tcPr>
            <w:tcW w:w="1577" w:type="dxa"/>
            <w:tcBorders>
              <w:top w:val="single" w:sz="4" w:space="0" w:color="auto"/>
              <w:left w:val="single" w:sz="4" w:space="0" w:color="auto"/>
              <w:bottom w:val="single" w:sz="4" w:space="0" w:color="auto"/>
              <w:right w:val="single" w:sz="4" w:space="0" w:color="auto"/>
            </w:tcBorders>
            <w:hideMark/>
          </w:tcPr>
          <w:p w14:paraId="6581CECB" w14:textId="7EEACF50"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sz w:val="20"/>
                <w:lang w:val="es-ES_tradnl" w:eastAsia="ja-JP"/>
              </w:rPr>
              <w:t>47…</w:t>
            </w:r>
            <w:r w:rsidRPr="001B39C4">
              <w:rPr>
                <w:rFonts w:eastAsia="MS Mincho"/>
                <w:b/>
                <w:sz w:val="20"/>
                <w:lang w:val="es-ES_tradnl" w:eastAsia="ja-JP"/>
              </w:rPr>
              <w:t>−</w:t>
            </w:r>
            <w:r w:rsidR="002B37E9" w:rsidRPr="00140923">
              <w:rPr>
                <w:sz w:val="20"/>
                <w:lang w:val="es-ES_tradnl" w:eastAsia="ja-JP"/>
              </w:rPr>
              <w:t>50</w:t>
            </w:r>
          </w:p>
        </w:tc>
      </w:tr>
      <w:tr w:rsidR="002B37E9" w:rsidRPr="00140923" w14:paraId="5841E460"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64D7CE" w14:textId="7CEA635D" w:rsidR="002B37E9" w:rsidRPr="00140923" w:rsidRDefault="002B37E9" w:rsidP="00226764">
            <w:pPr>
              <w:pStyle w:val="Tabletext"/>
              <w:jc w:val="left"/>
              <w:rPr>
                <w:sz w:val="20"/>
                <w:lang w:val="es-ES_tradnl"/>
              </w:rPr>
            </w:pPr>
            <w:r w:rsidRPr="00140923">
              <w:rPr>
                <w:sz w:val="20"/>
                <w:lang w:val="es-ES_tradnl"/>
              </w:rPr>
              <w:t>Gama de pérdida del alimentador/multiplexor (dB)</w:t>
            </w:r>
          </w:p>
        </w:tc>
        <w:tc>
          <w:tcPr>
            <w:tcW w:w="1869" w:type="dxa"/>
            <w:tcBorders>
              <w:top w:val="single" w:sz="4" w:space="0" w:color="auto"/>
              <w:left w:val="single" w:sz="4" w:space="0" w:color="auto"/>
              <w:bottom w:val="single" w:sz="4" w:space="0" w:color="auto"/>
              <w:right w:val="single" w:sz="4" w:space="0" w:color="auto"/>
            </w:tcBorders>
            <w:hideMark/>
          </w:tcPr>
          <w:p w14:paraId="57B7B4CE"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20"/>
                <w:lang w:val="es-ES_tradnl" w:eastAsia="ja-JP"/>
              </w:rPr>
            </w:pPr>
            <w:r w:rsidRPr="00140923">
              <w:rPr>
                <w:rFonts w:eastAsia="MS Mincho"/>
                <w:sz w:val="20"/>
                <w:lang w:val="es-ES_tradnl" w:eastAsia="ja-JP"/>
              </w:rPr>
              <w:t>0...2,5</w:t>
            </w:r>
          </w:p>
        </w:tc>
        <w:tc>
          <w:tcPr>
            <w:tcW w:w="1878" w:type="dxa"/>
            <w:gridSpan w:val="2"/>
            <w:tcBorders>
              <w:top w:val="single" w:sz="4" w:space="0" w:color="auto"/>
              <w:left w:val="single" w:sz="4" w:space="0" w:color="auto"/>
              <w:bottom w:val="single" w:sz="4" w:space="0" w:color="auto"/>
              <w:right w:val="single" w:sz="4" w:space="0" w:color="auto"/>
            </w:tcBorders>
            <w:hideMark/>
          </w:tcPr>
          <w:p w14:paraId="3DA01ACD"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0...2,5</w:t>
            </w:r>
          </w:p>
        </w:tc>
        <w:tc>
          <w:tcPr>
            <w:tcW w:w="1813" w:type="dxa"/>
            <w:tcBorders>
              <w:top w:val="single" w:sz="4" w:space="0" w:color="auto"/>
              <w:left w:val="single" w:sz="4" w:space="0" w:color="auto"/>
              <w:bottom w:val="single" w:sz="4" w:space="0" w:color="auto"/>
              <w:right w:val="single" w:sz="4" w:space="0" w:color="auto"/>
            </w:tcBorders>
            <w:hideMark/>
          </w:tcPr>
          <w:p w14:paraId="42310DC1"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0...2,5</w:t>
            </w:r>
          </w:p>
        </w:tc>
        <w:tc>
          <w:tcPr>
            <w:tcW w:w="1466" w:type="dxa"/>
            <w:tcBorders>
              <w:top w:val="single" w:sz="4" w:space="0" w:color="auto"/>
              <w:left w:val="single" w:sz="4" w:space="0" w:color="auto"/>
              <w:bottom w:val="single" w:sz="4" w:space="0" w:color="auto"/>
              <w:right w:val="single" w:sz="4" w:space="0" w:color="auto"/>
            </w:tcBorders>
            <w:hideMark/>
          </w:tcPr>
          <w:p w14:paraId="6EE9727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rPr>
            </w:pPr>
            <w:r w:rsidRPr="00140923">
              <w:rPr>
                <w:sz w:val="20"/>
                <w:lang w:val="es-ES_tradnl" w:eastAsia="ja-JP"/>
              </w:rPr>
              <w:t>0...2,5</w:t>
            </w:r>
          </w:p>
        </w:tc>
        <w:tc>
          <w:tcPr>
            <w:tcW w:w="1935" w:type="dxa"/>
            <w:tcBorders>
              <w:top w:val="single" w:sz="4" w:space="0" w:color="auto"/>
              <w:left w:val="single" w:sz="4" w:space="0" w:color="auto"/>
              <w:bottom w:val="single" w:sz="4" w:space="0" w:color="auto"/>
              <w:right w:val="single" w:sz="4" w:space="0" w:color="auto"/>
            </w:tcBorders>
            <w:hideMark/>
          </w:tcPr>
          <w:p w14:paraId="0CD81DE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0</w:t>
            </w:r>
          </w:p>
        </w:tc>
        <w:tc>
          <w:tcPr>
            <w:tcW w:w="1577" w:type="dxa"/>
            <w:tcBorders>
              <w:top w:val="single" w:sz="4" w:space="0" w:color="auto"/>
              <w:left w:val="single" w:sz="4" w:space="0" w:color="auto"/>
              <w:bottom w:val="single" w:sz="4" w:space="0" w:color="auto"/>
              <w:right w:val="single" w:sz="4" w:space="0" w:color="auto"/>
            </w:tcBorders>
            <w:hideMark/>
          </w:tcPr>
          <w:p w14:paraId="5A004AC9"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rPr>
            </w:pPr>
            <w:r w:rsidRPr="00140923">
              <w:rPr>
                <w:sz w:val="20"/>
                <w:lang w:val="es-ES_tradnl" w:eastAsia="ja-JP"/>
              </w:rPr>
              <w:t>0</w:t>
            </w:r>
          </w:p>
        </w:tc>
      </w:tr>
      <w:tr w:rsidR="002B37E9" w:rsidRPr="00140923" w14:paraId="50B1091B"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E30B2B" w14:textId="77777777" w:rsidR="002B37E9" w:rsidRPr="00140923" w:rsidRDefault="002B37E9" w:rsidP="00226764">
            <w:pPr>
              <w:pStyle w:val="Tabletext"/>
              <w:jc w:val="left"/>
              <w:rPr>
                <w:sz w:val="20"/>
                <w:lang w:val="es-ES_tradnl"/>
              </w:rPr>
            </w:pPr>
            <w:r w:rsidRPr="00140923">
              <w:rPr>
                <w:sz w:val="20"/>
                <w:lang w:val="es-ES_tradnl"/>
              </w:rPr>
              <w:t>Gama de ganancia (dBi) de la antena</w:t>
            </w:r>
          </w:p>
        </w:tc>
        <w:tc>
          <w:tcPr>
            <w:tcW w:w="1869" w:type="dxa"/>
            <w:tcBorders>
              <w:top w:val="single" w:sz="4" w:space="0" w:color="auto"/>
              <w:left w:val="single" w:sz="4" w:space="0" w:color="auto"/>
              <w:bottom w:val="single" w:sz="4" w:space="0" w:color="auto"/>
              <w:right w:val="single" w:sz="4" w:space="0" w:color="auto"/>
            </w:tcBorders>
            <w:hideMark/>
          </w:tcPr>
          <w:p w14:paraId="0B3057B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20"/>
                <w:lang w:val="es-ES_tradnl" w:eastAsia="ja-JP"/>
              </w:rPr>
            </w:pPr>
            <w:r w:rsidRPr="00140923">
              <w:rPr>
                <w:rFonts w:eastAsia="MS Mincho"/>
                <w:sz w:val="20"/>
                <w:lang w:val="es-ES_tradnl" w:eastAsia="ja-JP"/>
              </w:rPr>
              <w:t>38...48</w:t>
            </w:r>
          </w:p>
        </w:tc>
        <w:tc>
          <w:tcPr>
            <w:tcW w:w="1878" w:type="dxa"/>
            <w:gridSpan w:val="2"/>
            <w:tcBorders>
              <w:top w:val="single" w:sz="4" w:space="0" w:color="auto"/>
              <w:left w:val="single" w:sz="4" w:space="0" w:color="auto"/>
              <w:bottom w:val="single" w:sz="4" w:space="0" w:color="auto"/>
              <w:right w:val="single" w:sz="4" w:space="0" w:color="auto"/>
            </w:tcBorders>
            <w:hideMark/>
          </w:tcPr>
          <w:p w14:paraId="58A22BA6"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38...48</w:t>
            </w:r>
          </w:p>
        </w:tc>
        <w:tc>
          <w:tcPr>
            <w:tcW w:w="1813" w:type="dxa"/>
            <w:tcBorders>
              <w:top w:val="single" w:sz="4" w:space="0" w:color="auto"/>
              <w:left w:val="single" w:sz="4" w:space="0" w:color="auto"/>
              <w:bottom w:val="single" w:sz="4" w:space="0" w:color="auto"/>
              <w:right w:val="single" w:sz="4" w:space="0" w:color="auto"/>
            </w:tcBorders>
            <w:hideMark/>
          </w:tcPr>
          <w:p w14:paraId="6071582B"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48...50</w:t>
            </w:r>
          </w:p>
        </w:tc>
        <w:tc>
          <w:tcPr>
            <w:tcW w:w="1466" w:type="dxa"/>
            <w:tcBorders>
              <w:top w:val="single" w:sz="4" w:space="0" w:color="auto"/>
              <w:left w:val="single" w:sz="4" w:space="0" w:color="auto"/>
              <w:bottom w:val="single" w:sz="4" w:space="0" w:color="auto"/>
              <w:right w:val="single" w:sz="4" w:space="0" w:color="auto"/>
            </w:tcBorders>
            <w:hideMark/>
          </w:tcPr>
          <w:p w14:paraId="775053CB"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sz w:val="20"/>
                <w:lang w:val="es-ES_tradnl" w:eastAsia="ja-JP"/>
              </w:rPr>
              <w:t>38...48</w:t>
            </w:r>
          </w:p>
        </w:tc>
        <w:tc>
          <w:tcPr>
            <w:tcW w:w="1935" w:type="dxa"/>
            <w:tcBorders>
              <w:top w:val="single" w:sz="4" w:space="0" w:color="auto"/>
              <w:left w:val="single" w:sz="4" w:space="0" w:color="auto"/>
              <w:bottom w:val="single" w:sz="4" w:space="0" w:color="auto"/>
              <w:right w:val="single" w:sz="4" w:space="0" w:color="auto"/>
            </w:tcBorders>
            <w:hideMark/>
          </w:tcPr>
          <w:p w14:paraId="5FAB7B58"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54</w:t>
            </w:r>
          </w:p>
        </w:tc>
        <w:tc>
          <w:tcPr>
            <w:tcW w:w="1577" w:type="dxa"/>
            <w:tcBorders>
              <w:top w:val="single" w:sz="4" w:space="0" w:color="auto"/>
              <w:left w:val="single" w:sz="4" w:space="0" w:color="auto"/>
              <w:bottom w:val="single" w:sz="4" w:space="0" w:color="auto"/>
              <w:right w:val="single" w:sz="4" w:space="0" w:color="auto"/>
            </w:tcBorders>
            <w:hideMark/>
          </w:tcPr>
          <w:p w14:paraId="50A7CEB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sz w:val="20"/>
                <w:lang w:val="es-ES_tradnl" w:eastAsia="ja-JP"/>
              </w:rPr>
              <w:t>44…50</w:t>
            </w:r>
          </w:p>
        </w:tc>
      </w:tr>
      <w:tr w:rsidR="002B37E9" w:rsidRPr="00140923" w14:paraId="2477BEDE"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B7427A" w14:textId="77777777" w:rsidR="002B37E9" w:rsidRPr="00140923" w:rsidRDefault="002B37E9" w:rsidP="00226764">
            <w:pPr>
              <w:pStyle w:val="Tabletext"/>
              <w:jc w:val="left"/>
              <w:rPr>
                <w:sz w:val="20"/>
                <w:lang w:val="es-ES_tradnl"/>
              </w:rPr>
            </w:pPr>
            <w:r w:rsidRPr="00140923">
              <w:rPr>
                <w:sz w:val="20"/>
                <w:lang w:val="es-ES_tradnl"/>
              </w:rPr>
              <w:t>Gama de la p.i.r.e. (dBW)</w:t>
            </w:r>
          </w:p>
        </w:tc>
        <w:tc>
          <w:tcPr>
            <w:tcW w:w="1869" w:type="dxa"/>
            <w:tcBorders>
              <w:top w:val="single" w:sz="4" w:space="0" w:color="auto"/>
              <w:left w:val="single" w:sz="4" w:space="0" w:color="auto"/>
              <w:bottom w:val="single" w:sz="4" w:space="0" w:color="auto"/>
              <w:right w:val="single" w:sz="4" w:space="0" w:color="auto"/>
            </w:tcBorders>
            <w:hideMark/>
          </w:tcPr>
          <w:p w14:paraId="3B7E0AD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20"/>
                <w:lang w:val="es-ES_tradnl" w:eastAsia="ja-JP"/>
              </w:rPr>
            </w:pPr>
            <w:r w:rsidRPr="00140923">
              <w:rPr>
                <w:rFonts w:eastAsia="MS Mincho"/>
                <w:sz w:val="20"/>
                <w:lang w:val="es-ES_tradnl" w:eastAsia="ja-JP"/>
              </w:rPr>
              <w:t>13,5...28</w:t>
            </w:r>
          </w:p>
        </w:tc>
        <w:tc>
          <w:tcPr>
            <w:tcW w:w="1878" w:type="dxa"/>
            <w:gridSpan w:val="2"/>
            <w:tcBorders>
              <w:top w:val="single" w:sz="4" w:space="0" w:color="auto"/>
              <w:left w:val="single" w:sz="4" w:space="0" w:color="auto"/>
              <w:bottom w:val="single" w:sz="4" w:space="0" w:color="auto"/>
              <w:right w:val="single" w:sz="4" w:space="0" w:color="auto"/>
            </w:tcBorders>
            <w:hideMark/>
          </w:tcPr>
          <w:p w14:paraId="6D732070"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rPr>
            </w:pPr>
            <w:r w:rsidRPr="00140923">
              <w:rPr>
                <w:rFonts w:eastAsia="MS Mincho"/>
                <w:sz w:val="20"/>
                <w:lang w:val="es-ES_tradnl"/>
              </w:rPr>
              <w:t>11,5...24</w:t>
            </w:r>
          </w:p>
        </w:tc>
        <w:tc>
          <w:tcPr>
            <w:tcW w:w="1813" w:type="dxa"/>
            <w:tcBorders>
              <w:top w:val="single" w:sz="4" w:space="0" w:color="auto"/>
              <w:left w:val="single" w:sz="4" w:space="0" w:color="auto"/>
              <w:bottom w:val="single" w:sz="4" w:space="0" w:color="auto"/>
              <w:right w:val="single" w:sz="4" w:space="0" w:color="auto"/>
            </w:tcBorders>
            <w:hideMark/>
          </w:tcPr>
          <w:p w14:paraId="74B06152"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30,5...38</w:t>
            </w:r>
          </w:p>
        </w:tc>
        <w:tc>
          <w:tcPr>
            <w:tcW w:w="1466" w:type="dxa"/>
            <w:tcBorders>
              <w:top w:val="single" w:sz="4" w:space="0" w:color="auto"/>
              <w:left w:val="single" w:sz="4" w:space="0" w:color="auto"/>
              <w:bottom w:val="single" w:sz="4" w:space="0" w:color="auto"/>
              <w:right w:val="single" w:sz="4" w:space="0" w:color="auto"/>
            </w:tcBorders>
            <w:hideMark/>
          </w:tcPr>
          <w:p w14:paraId="2D9271B7"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rPr>
            </w:pPr>
            <w:r w:rsidRPr="00140923">
              <w:rPr>
                <w:sz w:val="20"/>
                <w:lang w:val="es-ES_tradnl"/>
              </w:rPr>
              <w:t>11,5...24</w:t>
            </w:r>
          </w:p>
        </w:tc>
        <w:tc>
          <w:tcPr>
            <w:tcW w:w="1935" w:type="dxa"/>
            <w:tcBorders>
              <w:top w:val="single" w:sz="4" w:space="0" w:color="auto"/>
              <w:left w:val="single" w:sz="4" w:space="0" w:color="auto"/>
              <w:bottom w:val="single" w:sz="4" w:space="0" w:color="auto"/>
              <w:right w:val="single" w:sz="4" w:space="0" w:color="auto"/>
            </w:tcBorders>
            <w:hideMark/>
          </w:tcPr>
          <w:p w14:paraId="662134BF"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44</w:t>
            </w:r>
          </w:p>
        </w:tc>
        <w:tc>
          <w:tcPr>
            <w:tcW w:w="1577" w:type="dxa"/>
            <w:tcBorders>
              <w:top w:val="single" w:sz="4" w:space="0" w:color="auto"/>
              <w:left w:val="single" w:sz="4" w:space="0" w:color="auto"/>
              <w:bottom w:val="single" w:sz="4" w:space="0" w:color="auto"/>
              <w:right w:val="single" w:sz="4" w:space="0" w:color="auto"/>
            </w:tcBorders>
            <w:hideMark/>
          </w:tcPr>
          <w:p w14:paraId="22F1773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rPr>
            </w:pPr>
            <w:r w:rsidRPr="00140923">
              <w:rPr>
                <w:sz w:val="20"/>
                <w:lang w:val="es-ES_tradnl" w:eastAsia="ja-JP"/>
              </w:rPr>
              <w:t>24…30</w:t>
            </w:r>
          </w:p>
        </w:tc>
      </w:tr>
      <w:tr w:rsidR="002B37E9" w:rsidRPr="00140923" w14:paraId="028BC32C"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E2197A" w14:textId="77777777" w:rsidR="002B37E9" w:rsidRPr="00140923" w:rsidRDefault="002B37E9" w:rsidP="00226764">
            <w:pPr>
              <w:pStyle w:val="Tabletext"/>
              <w:jc w:val="left"/>
              <w:rPr>
                <w:sz w:val="20"/>
                <w:lang w:val="es-ES_tradnl"/>
              </w:rPr>
            </w:pPr>
            <w:r w:rsidRPr="00140923">
              <w:rPr>
                <w:sz w:val="20"/>
                <w:lang w:val="es-ES_tradnl"/>
              </w:rPr>
              <w:t>Gama de densidad de p.i.r.e. (dBW/MHz)(1)</w:t>
            </w:r>
          </w:p>
        </w:tc>
        <w:tc>
          <w:tcPr>
            <w:tcW w:w="1869" w:type="dxa"/>
            <w:tcBorders>
              <w:top w:val="single" w:sz="4" w:space="0" w:color="auto"/>
              <w:left w:val="single" w:sz="4" w:space="0" w:color="auto"/>
              <w:bottom w:val="single" w:sz="4" w:space="0" w:color="auto"/>
              <w:right w:val="single" w:sz="4" w:space="0" w:color="auto"/>
            </w:tcBorders>
            <w:hideMark/>
          </w:tcPr>
          <w:p w14:paraId="1CF81418" w14:textId="75CF06CF"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6,5...8</w:t>
            </w:r>
          </w:p>
        </w:tc>
        <w:tc>
          <w:tcPr>
            <w:tcW w:w="1878" w:type="dxa"/>
            <w:gridSpan w:val="2"/>
            <w:tcBorders>
              <w:top w:val="single" w:sz="4" w:space="0" w:color="auto"/>
              <w:left w:val="single" w:sz="4" w:space="0" w:color="auto"/>
              <w:bottom w:val="single" w:sz="4" w:space="0" w:color="auto"/>
              <w:right w:val="single" w:sz="4" w:space="0" w:color="auto"/>
            </w:tcBorders>
            <w:hideMark/>
          </w:tcPr>
          <w:p w14:paraId="7427AE17" w14:textId="562CC71A"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15,5...</w:t>
            </w:r>
            <w:r w:rsidRPr="001B39C4">
              <w:rPr>
                <w:rFonts w:eastAsia="MS Mincho"/>
                <w:b/>
                <w:sz w:val="20"/>
                <w:lang w:val="es-ES_tradnl" w:eastAsia="ja-JP"/>
              </w:rPr>
              <w:t>−</w:t>
            </w:r>
            <w:r w:rsidR="002B37E9" w:rsidRPr="00140923">
              <w:rPr>
                <w:rFonts w:eastAsia="MS Mincho"/>
                <w:sz w:val="20"/>
                <w:lang w:val="es-ES_tradnl" w:eastAsia="ja-JP"/>
              </w:rPr>
              <w:t>3.0</w:t>
            </w:r>
          </w:p>
        </w:tc>
        <w:tc>
          <w:tcPr>
            <w:tcW w:w="1813" w:type="dxa"/>
            <w:tcBorders>
              <w:top w:val="single" w:sz="4" w:space="0" w:color="auto"/>
              <w:left w:val="single" w:sz="4" w:space="0" w:color="auto"/>
              <w:bottom w:val="single" w:sz="4" w:space="0" w:color="auto"/>
              <w:right w:val="single" w:sz="4" w:space="0" w:color="auto"/>
            </w:tcBorders>
            <w:hideMark/>
          </w:tcPr>
          <w:p w14:paraId="314E8C3C"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15,8...23,3</w:t>
            </w:r>
          </w:p>
        </w:tc>
        <w:tc>
          <w:tcPr>
            <w:tcW w:w="1466" w:type="dxa"/>
            <w:tcBorders>
              <w:top w:val="single" w:sz="4" w:space="0" w:color="auto"/>
              <w:left w:val="single" w:sz="4" w:space="0" w:color="auto"/>
              <w:bottom w:val="single" w:sz="4" w:space="0" w:color="auto"/>
              <w:right w:val="single" w:sz="4" w:space="0" w:color="auto"/>
            </w:tcBorders>
            <w:hideMark/>
          </w:tcPr>
          <w:p w14:paraId="2D66B895" w14:textId="49E873FA"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rPr>
            </w:pPr>
            <w:r w:rsidRPr="001B39C4">
              <w:rPr>
                <w:rFonts w:eastAsia="MS Mincho"/>
                <w:b/>
                <w:sz w:val="20"/>
                <w:lang w:val="es-ES_tradnl" w:eastAsia="ja-JP"/>
              </w:rPr>
              <w:t>−</w:t>
            </w:r>
            <w:r w:rsidR="002B37E9" w:rsidRPr="00140923">
              <w:rPr>
                <w:sz w:val="20"/>
                <w:lang w:val="es-ES_tradnl" w:eastAsia="ja-JP"/>
              </w:rPr>
              <w:t>15,5...</w:t>
            </w:r>
            <w:r w:rsidRPr="001B39C4">
              <w:rPr>
                <w:rFonts w:eastAsia="MS Mincho"/>
                <w:b/>
                <w:sz w:val="20"/>
                <w:lang w:val="es-ES_tradnl" w:eastAsia="ja-JP"/>
              </w:rPr>
              <w:t>−</w:t>
            </w:r>
            <w:r w:rsidR="002B37E9" w:rsidRPr="00140923">
              <w:rPr>
                <w:sz w:val="20"/>
                <w:lang w:val="es-ES_tradnl" w:eastAsia="ja-JP"/>
              </w:rPr>
              <w:t>3,0</w:t>
            </w:r>
          </w:p>
        </w:tc>
        <w:tc>
          <w:tcPr>
            <w:tcW w:w="1935" w:type="dxa"/>
            <w:tcBorders>
              <w:top w:val="single" w:sz="4" w:space="0" w:color="auto"/>
              <w:left w:val="single" w:sz="4" w:space="0" w:color="auto"/>
              <w:bottom w:val="single" w:sz="4" w:space="0" w:color="auto"/>
              <w:right w:val="single" w:sz="4" w:space="0" w:color="auto"/>
            </w:tcBorders>
            <w:hideMark/>
          </w:tcPr>
          <w:p w14:paraId="58C3FD5A"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13</w:t>
            </w:r>
          </w:p>
        </w:tc>
        <w:tc>
          <w:tcPr>
            <w:tcW w:w="1577" w:type="dxa"/>
            <w:tcBorders>
              <w:top w:val="single" w:sz="4" w:space="0" w:color="auto"/>
              <w:left w:val="single" w:sz="4" w:space="0" w:color="auto"/>
              <w:bottom w:val="single" w:sz="4" w:space="0" w:color="auto"/>
              <w:right w:val="single" w:sz="4" w:space="0" w:color="auto"/>
            </w:tcBorders>
            <w:hideMark/>
          </w:tcPr>
          <w:p w14:paraId="71DB3BA3" w14:textId="3B5B5167"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rPr>
            </w:pPr>
            <w:r w:rsidRPr="001B39C4">
              <w:rPr>
                <w:rFonts w:eastAsia="MS Mincho"/>
                <w:b/>
                <w:sz w:val="20"/>
                <w:lang w:val="es-ES_tradnl" w:eastAsia="ja-JP"/>
              </w:rPr>
              <w:t>−</w:t>
            </w:r>
            <w:r w:rsidR="002B37E9" w:rsidRPr="00140923">
              <w:rPr>
                <w:sz w:val="20"/>
                <w:lang w:val="es-ES_tradnl" w:eastAsia="ja-JP"/>
              </w:rPr>
              <w:t>6…3</w:t>
            </w:r>
          </w:p>
        </w:tc>
      </w:tr>
      <w:tr w:rsidR="002B37E9" w:rsidRPr="00140923" w14:paraId="76A4BFF8"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CB1247" w14:textId="77777777" w:rsidR="002B37E9" w:rsidRPr="00140923" w:rsidRDefault="002B37E9" w:rsidP="00226764">
            <w:pPr>
              <w:pStyle w:val="Tabletext"/>
              <w:jc w:val="left"/>
              <w:rPr>
                <w:sz w:val="20"/>
                <w:lang w:val="es-ES_tradnl"/>
              </w:rPr>
            </w:pPr>
            <w:r w:rsidRPr="00140923">
              <w:rPr>
                <w:sz w:val="20"/>
                <w:lang w:val="es-ES_tradnl"/>
              </w:rPr>
              <w:t xml:space="preserve">Factor de ruido típico del receptor (dB) </w:t>
            </w:r>
          </w:p>
        </w:tc>
        <w:tc>
          <w:tcPr>
            <w:tcW w:w="1869" w:type="dxa"/>
            <w:tcBorders>
              <w:top w:val="single" w:sz="4" w:space="0" w:color="auto"/>
              <w:left w:val="single" w:sz="4" w:space="0" w:color="auto"/>
              <w:bottom w:val="single" w:sz="4" w:space="0" w:color="auto"/>
              <w:right w:val="single" w:sz="4" w:space="0" w:color="auto"/>
            </w:tcBorders>
            <w:hideMark/>
          </w:tcPr>
          <w:p w14:paraId="7788F679"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20"/>
                <w:lang w:val="es-ES_tradnl" w:eastAsia="ja-JP"/>
              </w:rPr>
            </w:pPr>
            <w:r w:rsidRPr="00140923">
              <w:rPr>
                <w:rFonts w:eastAsia="MS Mincho"/>
                <w:sz w:val="20"/>
                <w:lang w:val="es-ES_tradnl" w:eastAsia="ja-JP"/>
              </w:rPr>
              <w:t>8</w:t>
            </w:r>
          </w:p>
        </w:tc>
        <w:tc>
          <w:tcPr>
            <w:tcW w:w="1878" w:type="dxa"/>
            <w:gridSpan w:val="2"/>
            <w:tcBorders>
              <w:top w:val="single" w:sz="4" w:space="0" w:color="auto"/>
              <w:left w:val="single" w:sz="4" w:space="0" w:color="auto"/>
              <w:bottom w:val="single" w:sz="4" w:space="0" w:color="auto"/>
              <w:right w:val="single" w:sz="4" w:space="0" w:color="auto"/>
            </w:tcBorders>
            <w:hideMark/>
          </w:tcPr>
          <w:p w14:paraId="5C647824"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8</w:t>
            </w:r>
          </w:p>
        </w:tc>
        <w:tc>
          <w:tcPr>
            <w:tcW w:w="1813" w:type="dxa"/>
            <w:tcBorders>
              <w:top w:val="single" w:sz="4" w:space="0" w:color="auto"/>
              <w:left w:val="single" w:sz="4" w:space="0" w:color="auto"/>
              <w:bottom w:val="single" w:sz="4" w:space="0" w:color="auto"/>
              <w:right w:val="single" w:sz="4" w:space="0" w:color="auto"/>
            </w:tcBorders>
            <w:hideMark/>
          </w:tcPr>
          <w:p w14:paraId="1561E468"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9</w:t>
            </w:r>
          </w:p>
        </w:tc>
        <w:tc>
          <w:tcPr>
            <w:tcW w:w="1466" w:type="dxa"/>
            <w:tcBorders>
              <w:top w:val="single" w:sz="4" w:space="0" w:color="auto"/>
              <w:left w:val="single" w:sz="4" w:space="0" w:color="auto"/>
              <w:bottom w:val="single" w:sz="4" w:space="0" w:color="auto"/>
              <w:right w:val="single" w:sz="4" w:space="0" w:color="auto"/>
            </w:tcBorders>
            <w:hideMark/>
          </w:tcPr>
          <w:p w14:paraId="67842FC3"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rPr>
            </w:pPr>
            <w:r w:rsidRPr="00140923">
              <w:rPr>
                <w:sz w:val="20"/>
                <w:lang w:val="es-ES_tradnl" w:eastAsia="ja-JP"/>
              </w:rPr>
              <w:t>8</w:t>
            </w:r>
          </w:p>
        </w:tc>
        <w:tc>
          <w:tcPr>
            <w:tcW w:w="1935" w:type="dxa"/>
            <w:tcBorders>
              <w:top w:val="single" w:sz="4" w:space="0" w:color="auto"/>
              <w:left w:val="single" w:sz="4" w:space="0" w:color="auto"/>
              <w:bottom w:val="single" w:sz="4" w:space="0" w:color="auto"/>
              <w:right w:val="single" w:sz="4" w:space="0" w:color="auto"/>
            </w:tcBorders>
            <w:hideMark/>
          </w:tcPr>
          <w:p w14:paraId="55293EB4"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40923">
              <w:rPr>
                <w:rFonts w:eastAsia="MS Mincho"/>
                <w:sz w:val="20"/>
                <w:lang w:val="es-ES_tradnl" w:eastAsia="ja-JP"/>
              </w:rPr>
              <w:t>10</w:t>
            </w:r>
          </w:p>
        </w:tc>
        <w:tc>
          <w:tcPr>
            <w:tcW w:w="1577" w:type="dxa"/>
            <w:tcBorders>
              <w:top w:val="single" w:sz="4" w:space="0" w:color="auto"/>
              <w:left w:val="single" w:sz="4" w:space="0" w:color="auto"/>
              <w:bottom w:val="single" w:sz="4" w:space="0" w:color="auto"/>
              <w:right w:val="single" w:sz="4" w:space="0" w:color="auto"/>
            </w:tcBorders>
            <w:hideMark/>
          </w:tcPr>
          <w:p w14:paraId="2A576AB1" w14:textId="77777777" w:rsidR="002B37E9" w:rsidRPr="00140923" w:rsidRDefault="002B37E9"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rPr>
            </w:pPr>
            <w:r w:rsidRPr="00140923">
              <w:rPr>
                <w:sz w:val="20"/>
                <w:lang w:val="es-ES_tradnl" w:eastAsia="ja-JP"/>
              </w:rPr>
              <w:t>8</w:t>
            </w:r>
          </w:p>
        </w:tc>
      </w:tr>
      <w:tr w:rsidR="002B37E9" w:rsidRPr="00140923" w14:paraId="35BF8991"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658BB9" w14:textId="7E00B8D6" w:rsidR="002B37E9" w:rsidRPr="001B39C4" w:rsidRDefault="002B37E9" w:rsidP="00226764">
            <w:pPr>
              <w:pStyle w:val="Tabletext"/>
              <w:jc w:val="left"/>
              <w:rPr>
                <w:sz w:val="20"/>
                <w:lang w:val="es-ES_tradnl"/>
              </w:rPr>
            </w:pPr>
            <w:r w:rsidRPr="001B39C4">
              <w:rPr>
                <w:sz w:val="20"/>
                <w:lang w:val="es-ES_tradnl"/>
              </w:rPr>
              <w:t xml:space="preserve">Densidad de potencia de ruido típica del receptor </w:t>
            </w:r>
            <w:r w:rsidR="001B39C4" w:rsidRPr="001B39C4">
              <w:rPr>
                <w:sz w:val="20"/>
                <w:lang w:val="es-ES_tradnl" w:eastAsia="ja-JP"/>
              </w:rPr>
              <w:t xml:space="preserve">(= </w:t>
            </w:r>
            <w:r w:rsidR="001B39C4" w:rsidRPr="001B39C4">
              <w:rPr>
                <w:i/>
                <w:iCs/>
                <w:sz w:val="20"/>
                <w:lang w:val="es-ES_tradnl"/>
              </w:rPr>
              <w:t>N</w:t>
            </w:r>
            <w:r w:rsidR="001B39C4" w:rsidRPr="001B39C4">
              <w:rPr>
                <w:i/>
                <w:iCs/>
                <w:sz w:val="20"/>
                <w:vertAlign w:val="subscript"/>
                <w:lang w:val="es-ES_tradnl"/>
              </w:rPr>
              <w:t>RX</w:t>
            </w:r>
            <w:r w:rsidR="001B39C4" w:rsidRPr="001B39C4">
              <w:rPr>
                <w:sz w:val="20"/>
                <w:lang w:val="es-ES_tradnl" w:eastAsia="ja-JP"/>
              </w:rPr>
              <w:t xml:space="preserve">) </w:t>
            </w:r>
            <w:r w:rsidRPr="001B39C4">
              <w:rPr>
                <w:sz w:val="20"/>
                <w:lang w:val="es-ES_tradnl"/>
              </w:rPr>
              <w:t>(dBW/MHz)</w:t>
            </w:r>
          </w:p>
        </w:tc>
        <w:tc>
          <w:tcPr>
            <w:tcW w:w="1869" w:type="dxa"/>
            <w:tcBorders>
              <w:top w:val="single" w:sz="4" w:space="0" w:color="auto"/>
              <w:left w:val="single" w:sz="4" w:space="0" w:color="auto"/>
              <w:bottom w:val="single" w:sz="4" w:space="0" w:color="auto"/>
              <w:right w:val="single" w:sz="4" w:space="0" w:color="auto"/>
            </w:tcBorders>
            <w:hideMark/>
          </w:tcPr>
          <w:p w14:paraId="37AE1126" w14:textId="436D9346"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136</w:t>
            </w:r>
          </w:p>
        </w:tc>
        <w:tc>
          <w:tcPr>
            <w:tcW w:w="1878" w:type="dxa"/>
            <w:gridSpan w:val="2"/>
            <w:tcBorders>
              <w:top w:val="single" w:sz="4" w:space="0" w:color="auto"/>
              <w:left w:val="single" w:sz="4" w:space="0" w:color="auto"/>
              <w:bottom w:val="single" w:sz="4" w:space="0" w:color="auto"/>
              <w:right w:val="single" w:sz="4" w:space="0" w:color="auto"/>
            </w:tcBorders>
            <w:hideMark/>
          </w:tcPr>
          <w:p w14:paraId="2BD4A996" w14:textId="19D5117F"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136</w:t>
            </w:r>
          </w:p>
        </w:tc>
        <w:tc>
          <w:tcPr>
            <w:tcW w:w="1813" w:type="dxa"/>
            <w:tcBorders>
              <w:top w:val="single" w:sz="4" w:space="0" w:color="auto"/>
              <w:left w:val="single" w:sz="4" w:space="0" w:color="auto"/>
              <w:bottom w:val="single" w:sz="4" w:space="0" w:color="auto"/>
              <w:right w:val="single" w:sz="4" w:space="0" w:color="auto"/>
            </w:tcBorders>
            <w:hideMark/>
          </w:tcPr>
          <w:p w14:paraId="187A9D9C" w14:textId="10DCCD0C"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135</w:t>
            </w:r>
          </w:p>
        </w:tc>
        <w:tc>
          <w:tcPr>
            <w:tcW w:w="1466" w:type="dxa"/>
            <w:tcBorders>
              <w:top w:val="single" w:sz="4" w:space="0" w:color="auto"/>
              <w:left w:val="single" w:sz="4" w:space="0" w:color="auto"/>
              <w:bottom w:val="single" w:sz="4" w:space="0" w:color="auto"/>
              <w:right w:val="single" w:sz="4" w:space="0" w:color="auto"/>
            </w:tcBorders>
            <w:hideMark/>
          </w:tcPr>
          <w:p w14:paraId="32FD3367" w14:textId="37C5D640"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rPr>
            </w:pPr>
            <w:r w:rsidRPr="001B39C4">
              <w:rPr>
                <w:rFonts w:eastAsia="MS Mincho"/>
                <w:b/>
                <w:sz w:val="20"/>
                <w:lang w:val="es-ES_tradnl" w:eastAsia="ja-JP"/>
              </w:rPr>
              <w:t>−</w:t>
            </w:r>
            <w:r w:rsidR="002B37E9" w:rsidRPr="00140923">
              <w:rPr>
                <w:sz w:val="20"/>
                <w:lang w:val="es-ES_tradnl" w:eastAsia="ja-JP"/>
              </w:rPr>
              <w:t>136</w:t>
            </w:r>
          </w:p>
        </w:tc>
        <w:tc>
          <w:tcPr>
            <w:tcW w:w="1935" w:type="dxa"/>
            <w:tcBorders>
              <w:top w:val="single" w:sz="4" w:space="0" w:color="auto"/>
              <w:left w:val="single" w:sz="4" w:space="0" w:color="auto"/>
              <w:bottom w:val="single" w:sz="4" w:space="0" w:color="auto"/>
              <w:right w:val="single" w:sz="4" w:space="0" w:color="auto"/>
            </w:tcBorders>
            <w:hideMark/>
          </w:tcPr>
          <w:p w14:paraId="36A9C611" w14:textId="7451DF98"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134</w:t>
            </w:r>
          </w:p>
        </w:tc>
        <w:tc>
          <w:tcPr>
            <w:tcW w:w="1577" w:type="dxa"/>
            <w:tcBorders>
              <w:top w:val="single" w:sz="4" w:space="0" w:color="auto"/>
              <w:left w:val="single" w:sz="4" w:space="0" w:color="auto"/>
              <w:bottom w:val="single" w:sz="4" w:space="0" w:color="auto"/>
              <w:right w:val="single" w:sz="4" w:space="0" w:color="auto"/>
            </w:tcBorders>
            <w:hideMark/>
          </w:tcPr>
          <w:p w14:paraId="2A20573D" w14:textId="06B70EC4"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rPr>
            </w:pPr>
            <w:r w:rsidRPr="001B39C4">
              <w:rPr>
                <w:rFonts w:eastAsia="MS Mincho"/>
                <w:b/>
                <w:sz w:val="20"/>
                <w:lang w:val="es-ES_tradnl" w:eastAsia="ja-JP"/>
              </w:rPr>
              <w:t>−</w:t>
            </w:r>
            <w:r w:rsidR="002B37E9" w:rsidRPr="00140923">
              <w:rPr>
                <w:sz w:val="20"/>
                <w:lang w:val="es-ES_tradnl" w:eastAsia="ja-JP"/>
              </w:rPr>
              <w:t>136</w:t>
            </w:r>
          </w:p>
        </w:tc>
      </w:tr>
      <w:tr w:rsidR="002B37E9" w:rsidRPr="00140923" w14:paraId="7AE11311"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0D4151" w14:textId="123C32C3" w:rsidR="002B37E9" w:rsidRPr="00140923" w:rsidRDefault="002B37E9" w:rsidP="00226764">
            <w:pPr>
              <w:pStyle w:val="Tabletext"/>
              <w:jc w:val="left"/>
              <w:rPr>
                <w:sz w:val="20"/>
                <w:lang w:val="es-ES_tradnl"/>
              </w:rPr>
            </w:pPr>
            <w:r w:rsidRPr="00140923">
              <w:rPr>
                <w:sz w:val="20"/>
                <w:lang w:val="es-ES_tradnl"/>
              </w:rPr>
              <w:t>Nivel de entrada normalizado del receptor para una BER de 1 × 10</w:t>
            </w:r>
            <w:r w:rsidR="00A941C1" w:rsidRPr="00A941C1">
              <w:rPr>
                <w:color w:val="000000"/>
                <w:vertAlign w:val="superscript"/>
                <w:lang w:val="es-ES_tradnl"/>
              </w:rPr>
              <w:t>−</w:t>
            </w:r>
            <w:r w:rsidR="00A941C1" w:rsidRPr="00140923">
              <w:rPr>
                <w:color w:val="000000"/>
                <w:vertAlign w:val="superscript"/>
                <w:lang w:val="es-ES_tradnl"/>
              </w:rPr>
              <w:t>6</w:t>
            </w:r>
            <w:r w:rsidRPr="00140923">
              <w:rPr>
                <w:sz w:val="20"/>
                <w:lang w:val="es-ES_tradnl"/>
              </w:rPr>
              <w:t xml:space="preserve"> (dBW/MHz) </w:t>
            </w:r>
          </w:p>
        </w:tc>
        <w:tc>
          <w:tcPr>
            <w:tcW w:w="1869" w:type="dxa"/>
            <w:tcBorders>
              <w:top w:val="single" w:sz="4" w:space="0" w:color="auto"/>
              <w:left w:val="single" w:sz="4" w:space="0" w:color="auto"/>
              <w:bottom w:val="single" w:sz="4" w:space="0" w:color="auto"/>
              <w:right w:val="single" w:sz="4" w:space="0" w:color="auto"/>
            </w:tcBorders>
            <w:hideMark/>
          </w:tcPr>
          <w:p w14:paraId="678F7865" w14:textId="6C17CBA7"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122,5</w:t>
            </w:r>
          </w:p>
        </w:tc>
        <w:tc>
          <w:tcPr>
            <w:tcW w:w="1878" w:type="dxa"/>
            <w:gridSpan w:val="2"/>
            <w:tcBorders>
              <w:top w:val="single" w:sz="4" w:space="0" w:color="auto"/>
              <w:left w:val="single" w:sz="4" w:space="0" w:color="auto"/>
              <w:bottom w:val="single" w:sz="4" w:space="0" w:color="auto"/>
              <w:right w:val="single" w:sz="4" w:space="0" w:color="auto"/>
            </w:tcBorders>
            <w:hideMark/>
          </w:tcPr>
          <w:p w14:paraId="060AAED6" w14:textId="5D36C535"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109,5</w:t>
            </w:r>
          </w:p>
        </w:tc>
        <w:tc>
          <w:tcPr>
            <w:tcW w:w="1813" w:type="dxa"/>
            <w:tcBorders>
              <w:top w:val="single" w:sz="4" w:space="0" w:color="auto"/>
              <w:left w:val="single" w:sz="4" w:space="0" w:color="auto"/>
              <w:bottom w:val="single" w:sz="4" w:space="0" w:color="auto"/>
              <w:right w:val="single" w:sz="4" w:space="0" w:color="auto"/>
            </w:tcBorders>
            <w:hideMark/>
          </w:tcPr>
          <w:p w14:paraId="62E1E9AF" w14:textId="2D401B8D"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124,5</w:t>
            </w:r>
          </w:p>
        </w:tc>
        <w:tc>
          <w:tcPr>
            <w:tcW w:w="1466" w:type="dxa"/>
            <w:tcBorders>
              <w:top w:val="single" w:sz="4" w:space="0" w:color="auto"/>
              <w:left w:val="single" w:sz="4" w:space="0" w:color="auto"/>
              <w:bottom w:val="single" w:sz="4" w:space="0" w:color="auto"/>
              <w:right w:val="single" w:sz="4" w:space="0" w:color="auto"/>
            </w:tcBorders>
            <w:hideMark/>
          </w:tcPr>
          <w:p w14:paraId="0FCEC348" w14:textId="1DB2EA04"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sz w:val="20"/>
                <w:lang w:val="es-ES_tradnl" w:eastAsia="ja-JP"/>
              </w:rPr>
              <w:t>109,5</w:t>
            </w:r>
          </w:p>
        </w:tc>
        <w:tc>
          <w:tcPr>
            <w:tcW w:w="1935" w:type="dxa"/>
            <w:tcBorders>
              <w:top w:val="single" w:sz="4" w:space="0" w:color="auto"/>
              <w:left w:val="single" w:sz="4" w:space="0" w:color="auto"/>
              <w:bottom w:val="single" w:sz="4" w:space="0" w:color="auto"/>
              <w:right w:val="single" w:sz="4" w:space="0" w:color="auto"/>
            </w:tcBorders>
            <w:hideMark/>
          </w:tcPr>
          <w:p w14:paraId="0A26596E" w14:textId="296A722F"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120,5</w:t>
            </w:r>
          </w:p>
        </w:tc>
        <w:tc>
          <w:tcPr>
            <w:tcW w:w="1577" w:type="dxa"/>
            <w:tcBorders>
              <w:top w:val="single" w:sz="4" w:space="0" w:color="auto"/>
              <w:left w:val="single" w:sz="4" w:space="0" w:color="auto"/>
              <w:bottom w:val="single" w:sz="4" w:space="0" w:color="auto"/>
              <w:right w:val="single" w:sz="4" w:space="0" w:color="auto"/>
            </w:tcBorders>
            <w:hideMark/>
          </w:tcPr>
          <w:p w14:paraId="7C41943E" w14:textId="3BE1D915"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sz w:val="20"/>
                <w:lang w:val="es-ES_tradnl" w:eastAsia="ja-JP"/>
              </w:rPr>
              <w:t>94…</w:t>
            </w:r>
            <w:r w:rsidRPr="001B39C4">
              <w:rPr>
                <w:rFonts w:eastAsia="MS Mincho"/>
                <w:b/>
                <w:sz w:val="20"/>
                <w:lang w:val="es-ES_tradnl" w:eastAsia="ja-JP"/>
              </w:rPr>
              <w:t>−</w:t>
            </w:r>
            <w:r w:rsidR="002B37E9" w:rsidRPr="00140923">
              <w:rPr>
                <w:sz w:val="20"/>
                <w:lang w:val="es-ES_tradnl" w:eastAsia="ja-JP"/>
              </w:rPr>
              <w:t>91</w:t>
            </w:r>
          </w:p>
        </w:tc>
      </w:tr>
      <w:tr w:rsidR="002B37E9" w:rsidRPr="00140923" w14:paraId="09DC74C2" w14:textId="77777777" w:rsidTr="00226764">
        <w:trPr>
          <w:gridAfter w:val="1"/>
          <w:wAfter w:w="11" w:type="dxa"/>
          <w:jc w:val="center"/>
        </w:trPr>
        <w:tc>
          <w:tcPr>
            <w:tcW w:w="3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A57FD1" w14:textId="41AB26CA" w:rsidR="002B37E9" w:rsidRPr="00140923" w:rsidRDefault="002B37E9" w:rsidP="00226764">
            <w:pPr>
              <w:pStyle w:val="Tabletext"/>
              <w:jc w:val="left"/>
              <w:rPr>
                <w:sz w:val="20"/>
                <w:lang w:val="es-ES_tradnl"/>
              </w:rPr>
            </w:pPr>
            <w:r w:rsidRPr="00140923">
              <w:rPr>
                <w:sz w:val="20"/>
                <w:lang w:val="es-ES_tradnl"/>
              </w:rPr>
              <w:t>Densidad de potencia de interferencia a largo plazo nominal (dBW/MHz)</w:t>
            </w:r>
            <w:r w:rsidR="001B39C4" w:rsidRPr="00257993">
              <w:rPr>
                <w:szCs w:val="22"/>
                <w:vertAlign w:val="superscript"/>
                <w:lang w:eastAsia="ja-JP"/>
              </w:rPr>
              <w:t>(2)</w:t>
            </w:r>
          </w:p>
        </w:tc>
        <w:tc>
          <w:tcPr>
            <w:tcW w:w="1869" w:type="dxa"/>
            <w:tcBorders>
              <w:top w:val="single" w:sz="4" w:space="0" w:color="auto"/>
              <w:left w:val="single" w:sz="4" w:space="0" w:color="auto"/>
              <w:bottom w:val="single" w:sz="4" w:space="0" w:color="auto"/>
              <w:right w:val="single" w:sz="4" w:space="0" w:color="auto"/>
            </w:tcBorders>
            <w:hideMark/>
          </w:tcPr>
          <w:p w14:paraId="13254C85" w14:textId="7881B4D6"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 xml:space="preserve">136+ </w:t>
            </w:r>
            <w:r w:rsidR="002B37E9" w:rsidRPr="00140923">
              <w:rPr>
                <w:rFonts w:eastAsia="MS Mincho"/>
                <w:i/>
                <w:iCs/>
                <w:sz w:val="20"/>
                <w:lang w:val="es-ES_tradnl" w:eastAsia="ja-JP"/>
              </w:rPr>
              <w:t>I</w:t>
            </w:r>
            <w:r w:rsidR="002B37E9" w:rsidRPr="00140923">
              <w:rPr>
                <w:rFonts w:eastAsia="MS Mincho"/>
                <w:sz w:val="20"/>
                <w:lang w:val="es-ES_tradnl" w:eastAsia="ja-JP"/>
              </w:rPr>
              <w:t>/</w:t>
            </w:r>
            <w:r w:rsidR="002B37E9" w:rsidRPr="00140923">
              <w:rPr>
                <w:rFonts w:eastAsia="MS Mincho"/>
                <w:i/>
                <w:iCs/>
                <w:sz w:val="20"/>
                <w:lang w:val="es-ES_tradnl" w:eastAsia="ja-JP"/>
              </w:rPr>
              <w:t>N</w:t>
            </w:r>
          </w:p>
        </w:tc>
        <w:tc>
          <w:tcPr>
            <w:tcW w:w="1878" w:type="dxa"/>
            <w:gridSpan w:val="2"/>
            <w:tcBorders>
              <w:top w:val="single" w:sz="4" w:space="0" w:color="auto"/>
              <w:left w:val="single" w:sz="4" w:space="0" w:color="auto"/>
              <w:bottom w:val="single" w:sz="4" w:space="0" w:color="auto"/>
              <w:right w:val="single" w:sz="4" w:space="0" w:color="auto"/>
            </w:tcBorders>
            <w:hideMark/>
          </w:tcPr>
          <w:p w14:paraId="18F54AC2" w14:textId="77BD3A26"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 xml:space="preserve">136 + </w:t>
            </w:r>
            <w:r w:rsidR="002B37E9" w:rsidRPr="00140923">
              <w:rPr>
                <w:rFonts w:eastAsia="MS Mincho"/>
                <w:i/>
                <w:iCs/>
                <w:sz w:val="20"/>
                <w:lang w:val="es-ES_tradnl" w:eastAsia="ja-JP"/>
              </w:rPr>
              <w:t>I</w:t>
            </w:r>
            <w:r w:rsidR="002B37E9" w:rsidRPr="00140923">
              <w:rPr>
                <w:rFonts w:eastAsia="MS Mincho"/>
                <w:sz w:val="20"/>
                <w:lang w:val="es-ES_tradnl" w:eastAsia="ja-JP"/>
              </w:rPr>
              <w:t>/</w:t>
            </w:r>
            <w:r w:rsidR="002B37E9" w:rsidRPr="00140923">
              <w:rPr>
                <w:rFonts w:eastAsia="MS Mincho"/>
                <w:i/>
                <w:iCs/>
                <w:sz w:val="20"/>
                <w:lang w:val="es-ES_tradnl" w:eastAsia="ja-JP"/>
              </w:rPr>
              <w:t>N</w:t>
            </w:r>
          </w:p>
        </w:tc>
        <w:tc>
          <w:tcPr>
            <w:tcW w:w="1813" w:type="dxa"/>
            <w:tcBorders>
              <w:top w:val="single" w:sz="4" w:space="0" w:color="auto"/>
              <w:left w:val="single" w:sz="4" w:space="0" w:color="auto"/>
              <w:bottom w:val="single" w:sz="4" w:space="0" w:color="auto"/>
              <w:right w:val="single" w:sz="4" w:space="0" w:color="auto"/>
            </w:tcBorders>
            <w:hideMark/>
          </w:tcPr>
          <w:p w14:paraId="1541B00C" w14:textId="77B55C85"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rFonts w:eastAsia="MS Mincho"/>
                <w:sz w:val="20"/>
                <w:lang w:val="es-ES_tradnl" w:eastAsia="ja-JP"/>
              </w:rPr>
              <w:t xml:space="preserve">135 + </w:t>
            </w:r>
            <w:r w:rsidR="002B37E9" w:rsidRPr="00140923">
              <w:rPr>
                <w:rFonts w:eastAsia="MS Mincho"/>
                <w:i/>
                <w:iCs/>
                <w:sz w:val="20"/>
                <w:lang w:val="es-ES_tradnl" w:eastAsia="ja-JP"/>
              </w:rPr>
              <w:t>I</w:t>
            </w:r>
            <w:r w:rsidR="002B37E9" w:rsidRPr="00140923">
              <w:rPr>
                <w:rFonts w:eastAsia="MS Mincho"/>
                <w:sz w:val="20"/>
                <w:lang w:val="es-ES_tradnl" w:eastAsia="ja-JP"/>
              </w:rPr>
              <w:t>/</w:t>
            </w:r>
            <w:r w:rsidR="002B37E9" w:rsidRPr="00140923">
              <w:rPr>
                <w:rFonts w:eastAsia="MS Mincho"/>
                <w:i/>
                <w:iCs/>
                <w:sz w:val="20"/>
                <w:lang w:val="es-ES_tradnl" w:eastAsia="ja-JP"/>
              </w:rPr>
              <w:t>N</w:t>
            </w:r>
          </w:p>
        </w:tc>
        <w:tc>
          <w:tcPr>
            <w:tcW w:w="1466" w:type="dxa"/>
            <w:tcBorders>
              <w:top w:val="single" w:sz="4" w:space="0" w:color="auto"/>
              <w:left w:val="single" w:sz="4" w:space="0" w:color="auto"/>
              <w:bottom w:val="single" w:sz="4" w:space="0" w:color="auto"/>
              <w:right w:val="single" w:sz="4" w:space="0" w:color="auto"/>
            </w:tcBorders>
            <w:hideMark/>
          </w:tcPr>
          <w:p w14:paraId="140B7F59" w14:textId="77BB1BCB"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20"/>
                <w:lang w:val="es-ES_tradnl" w:eastAsia="ja-JP"/>
              </w:rPr>
            </w:pPr>
            <w:r w:rsidRPr="001B39C4">
              <w:rPr>
                <w:rFonts w:eastAsia="MS Mincho"/>
                <w:b/>
                <w:sz w:val="20"/>
                <w:lang w:val="es-ES_tradnl" w:eastAsia="ja-JP"/>
              </w:rPr>
              <w:t>−</w:t>
            </w:r>
            <w:r w:rsidR="002B37E9" w:rsidRPr="00140923">
              <w:rPr>
                <w:sz w:val="20"/>
                <w:lang w:val="es-ES_tradnl" w:eastAsia="ja-JP"/>
              </w:rPr>
              <w:t xml:space="preserve">136 + </w:t>
            </w:r>
            <w:r w:rsidR="002B37E9" w:rsidRPr="00140923">
              <w:rPr>
                <w:i/>
                <w:iCs/>
                <w:sz w:val="20"/>
                <w:lang w:val="es-ES_tradnl" w:eastAsia="ja-JP"/>
              </w:rPr>
              <w:t>I</w:t>
            </w:r>
            <w:r w:rsidR="002B37E9" w:rsidRPr="00140923">
              <w:rPr>
                <w:sz w:val="20"/>
                <w:lang w:val="es-ES_tradnl" w:eastAsia="ja-JP"/>
              </w:rPr>
              <w:t>/</w:t>
            </w:r>
            <w:r w:rsidR="002B37E9" w:rsidRPr="00140923">
              <w:rPr>
                <w:i/>
                <w:iCs/>
                <w:sz w:val="20"/>
                <w:lang w:val="es-ES_tradnl" w:eastAsia="ja-JP"/>
              </w:rPr>
              <w:t>N</w:t>
            </w:r>
          </w:p>
        </w:tc>
        <w:tc>
          <w:tcPr>
            <w:tcW w:w="1935" w:type="dxa"/>
            <w:tcBorders>
              <w:top w:val="single" w:sz="4" w:space="0" w:color="auto"/>
              <w:left w:val="single" w:sz="4" w:space="0" w:color="auto"/>
              <w:bottom w:val="single" w:sz="4" w:space="0" w:color="auto"/>
              <w:right w:val="single" w:sz="4" w:space="0" w:color="auto"/>
            </w:tcBorders>
            <w:hideMark/>
          </w:tcPr>
          <w:p w14:paraId="18213BA5" w14:textId="6C0E96A5"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i/>
                <w:iCs/>
                <w:sz w:val="20"/>
                <w:lang w:val="es-ES_tradnl"/>
              </w:rPr>
            </w:pPr>
            <w:r w:rsidRPr="001B39C4">
              <w:rPr>
                <w:rFonts w:eastAsia="MS Mincho"/>
                <w:b/>
                <w:sz w:val="20"/>
                <w:lang w:val="es-ES_tradnl" w:eastAsia="ja-JP"/>
              </w:rPr>
              <w:t>−</w:t>
            </w:r>
            <w:r w:rsidR="002B37E9" w:rsidRPr="00140923">
              <w:rPr>
                <w:rFonts w:eastAsia="MS Mincho"/>
                <w:sz w:val="20"/>
                <w:lang w:val="es-ES_tradnl" w:eastAsia="ja-JP"/>
              </w:rPr>
              <w:t xml:space="preserve">134 </w:t>
            </w:r>
            <w:r w:rsidR="002B37E9" w:rsidRPr="00140923">
              <w:rPr>
                <w:rFonts w:eastAsia="MS Mincho"/>
                <w:sz w:val="20"/>
                <w:lang w:val="es-ES_tradnl"/>
              </w:rPr>
              <w:t xml:space="preserve">+ </w:t>
            </w:r>
            <w:r w:rsidR="002B37E9" w:rsidRPr="00140923">
              <w:rPr>
                <w:rFonts w:eastAsia="MS Mincho"/>
                <w:i/>
                <w:sz w:val="20"/>
                <w:lang w:val="es-ES_tradnl"/>
              </w:rPr>
              <w:t>I/N</w:t>
            </w:r>
          </w:p>
        </w:tc>
        <w:tc>
          <w:tcPr>
            <w:tcW w:w="1577" w:type="dxa"/>
            <w:tcBorders>
              <w:top w:val="single" w:sz="4" w:space="0" w:color="auto"/>
              <w:left w:val="single" w:sz="4" w:space="0" w:color="auto"/>
              <w:bottom w:val="single" w:sz="4" w:space="0" w:color="auto"/>
              <w:right w:val="single" w:sz="4" w:space="0" w:color="auto"/>
            </w:tcBorders>
            <w:hideMark/>
          </w:tcPr>
          <w:p w14:paraId="4DF9F944" w14:textId="4E1221D3" w:rsidR="002B37E9" w:rsidRPr="00140923" w:rsidRDefault="001B39C4" w:rsidP="002267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i/>
                <w:iCs/>
                <w:sz w:val="20"/>
                <w:lang w:val="es-ES_tradnl"/>
              </w:rPr>
            </w:pPr>
            <w:r w:rsidRPr="001B39C4">
              <w:rPr>
                <w:rFonts w:eastAsia="MS Mincho"/>
                <w:b/>
                <w:sz w:val="20"/>
                <w:lang w:val="es-ES_tradnl" w:eastAsia="ja-JP"/>
              </w:rPr>
              <w:t>−</w:t>
            </w:r>
            <w:r w:rsidR="002B37E9" w:rsidRPr="00140923">
              <w:rPr>
                <w:sz w:val="20"/>
                <w:lang w:val="es-ES_tradnl" w:eastAsia="ja-JP"/>
              </w:rPr>
              <w:t xml:space="preserve">136 </w:t>
            </w:r>
            <w:r w:rsidR="002B37E9" w:rsidRPr="00140923">
              <w:rPr>
                <w:sz w:val="20"/>
                <w:lang w:val="es-ES_tradnl"/>
              </w:rPr>
              <w:t xml:space="preserve">+ </w:t>
            </w:r>
            <w:r w:rsidR="002B37E9" w:rsidRPr="00140923">
              <w:rPr>
                <w:i/>
                <w:sz w:val="20"/>
                <w:lang w:val="es-ES_tradnl"/>
              </w:rPr>
              <w:t>I</w:t>
            </w:r>
            <w:r w:rsidR="002B37E9" w:rsidRPr="00140923">
              <w:rPr>
                <w:sz w:val="20"/>
                <w:lang w:val="es-ES_tradnl"/>
              </w:rPr>
              <w:t>/</w:t>
            </w:r>
            <w:r w:rsidR="002B37E9" w:rsidRPr="00140923">
              <w:rPr>
                <w:i/>
                <w:sz w:val="20"/>
                <w:lang w:val="es-ES_tradnl"/>
              </w:rPr>
              <w:t>N</w:t>
            </w:r>
          </w:p>
        </w:tc>
      </w:tr>
      <w:tr w:rsidR="002B37E9" w:rsidRPr="00140923" w14:paraId="6910370A" w14:textId="77777777" w:rsidTr="00226764">
        <w:trPr>
          <w:jc w:val="center"/>
        </w:trPr>
        <w:tc>
          <w:tcPr>
            <w:tcW w:w="14457" w:type="dxa"/>
            <w:gridSpan w:val="9"/>
            <w:tcBorders>
              <w:top w:val="single" w:sz="4" w:space="0" w:color="auto"/>
              <w:left w:val="nil"/>
              <w:bottom w:val="nil"/>
              <w:right w:val="nil"/>
            </w:tcBorders>
            <w:tcMar>
              <w:top w:w="0" w:type="dxa"/>
              <w:left w:w="57" w:type="dxa"/>
              <w:bottom w:w="0" w:type="dxa"/>
              <w:right w:w="57" w:type="dxa"/>
            </w:tcMar>
            <w:vAlign w:val="center"/>
          </w:tcPr>
          <w:p w14:paraId="6977DBCA"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(1)</w:t>
            </w:r>
            <w:r w:rsidRPr="00140923">
              <w:rPr>
                <w:sz w:val="20"/>
                <w:lang w:val="es-ES_tradnl"/>
              </w:rPr>
              <w:tab/>
              <w:t xml:space="preserve">Para calcular los valores de las densidades del transmisor y de la p.i.r.e., es preciso determinar la separación entre canales y la anchura de banda. En estos Cuadros, la separación entre canales se indica en </w:t>
            </w:r>
            <w:r w:rsidRPr="00140923">
              <w:rPr>
                <w:b/>
                <w:bCs/>
                <w:sz w:val="20"/>
                <w:lang w:val="es-ES_tradnl"/>
              </w:rPr>
              <w:t>negritas</w:t>
            </w:r>
            <w:r w:rsidRPr="00140923">
              <w:rPr>
                <w:sz w:val="20"/>
                <w:lang w:val="es-ES_tradnl"/>
              </w:rPr>
              <w:t>. Cuando se da un valor modal (Moda), este se debe considerar como indicativo dentro de la gama especificada y puede que sea necesario realizar más análisis de sensibilidad según cada caso para evaluar el potencial de una interferencia dada en razón de las variaciones dentro de la gama especificada.</w:t>
            </w:r>
          </w:p>
          <w:p w14:paraId="3637BFC2"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(2)</w:t>
            </w:r>
            <w:r w:rsidRPr="00140923">
              <w:rPr>
                <w:sz w:val="20"/>
                <w:lang w:val="es-ES_tradnl"/>
              </w:rPr>
              <w:tab/>
              <w:t>La densidad de potencia de interferencia a largo plazo nominal se define como la «densidad de potencia de ruido del receptor + (I/N requerida)» según se describe en el § 4.13 en el Anexo 2 (véase asimismo el § 4.1 en el Anexo 1).</w:t>
            </w:r>
          </w:p>
          <w:p w14:paraId="13C4341F" w14:textId="77777777" w:rsidR="002B37E9" w:rsidRPr="00140923" w:rsidRDefault="002B37E9" w:rsidP="00226764">
            <w:pPr>
              <w:pStyle w:val="Tablelegend"/>
              <w:rPr>
                <w:lang w:val="es-ES_tradnl" w:eastAsia="ja-JP"/>
              </w:rPr>
            </w:pPr>
            <w:r w:rsidRPr="00140923">
              <w:rPr>
                <w:sz w:val="20"/>
                <w:vertAlign w:val="superscript"/>
                <w:lang w:val="es-ES_tradnl"/>
              </w:rPr>
              <w:t>(3)</w:t>
            </w:r>
            <w:r w:rsidRPr="00140923">
              <w:rPr>
                <w:sz w:val="20"/>
                <w:lang w:val="es-ES_tradnl"/>
              </w:rPr>
              <w:tab/>
              <w:t>Este valor de separación entre canales no se especifica en la Recomendación de referencia.</w:t>
            </w:r>
          </w:p>
        </w:tc>
      </w:tr>
    </w:tbl>
    <w:p w14:paraId="2E1C7A2A" w14:textId="77777777" w:rsidR="002B37E9" w:rsidRPr="00140923" w:rsidRDefault="002B37E9" w:rsidP="002B37E9">
      <w:pPr>
        <w:pStyle w:val="Tablefin"/>
        <w:rPr>
          <w:lang w:val="es-ES_tradnl"/>
        </w:rPr>
      </w:pPr>
    </w:p>
    <w:p w14:paraId="15875695" w14:textId="77777777" w:rsidR="002B37E9" w:rsidRPr="00140923" w:rsidRDefault="002B37E9" w:rsidP="002B37E9">
      <w:pPr>
        <w:spacing w:before="40" w:line="240" w:lineRule="exact"/>
        <w:rPr>
          <w:lang w:val="es-ES_tradnl"/>
        </w:rPr>
      </w:pPr>
    </w:p>
    <w:p w14:paraId="041143E3" w14:textId="77777777" w:rsidR="002B37E9" w:rsidRPr="00140923" w:rsidRDefault="002B37E9" w:rsidP="002B37E9">
      <w:pPr>
        <w:tabs>
          <w:tab w:val="clear" w:pos="794"/>
          <w:tab w:val="clear" w:pos="1191"/>
          <w:tab w:val="clear" w:pos="1588"/>
          <w:tab w:val="clear" w:pos="1985"/>
        </w:tabs>
        <w:overflowPunct/>
        <w:autoSpaceDE/>
        <w:autoSpaceDN/>
        <w:adjustRightInd/>
        <w:spacing w:before="0"/>
        <w:jc w:val="left"/>
        <w:rPr>
          <w:sz w:val="22"/>
          <w:szCs w:val="22"/>
          <w:lang w:val="es-ES_tradnl"/>
        </w:rPr>
        <w:sectPr w:rsidR="002B37E9" w:rsidRPr="00140923" w:rsidSect="00664A5C">
          <w:headerReference w:type="even" r:id="rId116"/>
          <w:headerReference w:type="default" r:id="rId117"/>
          <w:pgSz w:w="16834" w:h="11907" w:orient="landscape"/>
          <w:pgMar w:top="1134" w:right="1418" w:bottom="1134" w:left="1134" w:header="720" w:footer="482" w:gutter="0"/>
          <w:paperSrc w:first="15" w:other="15"/>
          <w:cols w:space="720"/>
        </w:sectPr>
      </w:pPr>
    </w:p>
    <w:p w14:paraId="2565FFF5" w14:textId="2737136C" w:rsidR="002B37E9" w:rsidRPr="00140923" w:rsidRDefault="002B37E9" w:rsidP="002B37E9">
      <w:pPr>
        <w:pStyle w:val="TableNo"/>
        <w:spacing w:before="0"/>
        <w:rPr>
          <w:lang w:val="es-ES_tradnl"/>
        </w:rPr>
      </w:pPr>
      <w:r w:rsidRPr="00140923">
        <w:rPr>
          <w:lang w:val="es-ES_tradnl"/>
        </w:rPr>
        <w:lastRenderedPageBreak/>
        <w:t xml:space="preserve">CUADRO </w:t>
      </w:r>
      <w:r w:rsidRPr="00140923">
        <w:rPr>
          <w:lang w:val="es-ES_tradnl" w:eastAsia="ja-JP"/>
        </w:rPr>
        <w:t>13</w:t>
      </w:r>
    </w:p>
    <w:p w14:paraId="55191F16" w14:textId="77777777" w:rsidR="002B37E9" w:rsidRPr="00480606" w:rsidRDefault="002B37E9" w:rsidP="00480606">
      <w:pPr>
        <w:pStyle w:val="Tabletitle"/>
      </w:pPr>
      <w:r w:rsidRPr="00480606">
        <w:t>Parámetros de sistema para los sistemas punto a multipunto del servicio fijo</w:t>
      </w:r>
      <w:r w:rsidRPr="00480606">
        <w:br/>
        <w:t>en bandas atribuidas por debajo de 0,47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552"/>
        <w:gridCol w:w="2556"/>
      </w:tblGrid>
      <w:tr w:rsidR="002B37E9" w:rsidRPr="00140923" w14:paraId="79A136A6"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3FCA7AF7" w14:textId="77777777" w:rsidR="002B37E9" w:rsidRPr="00140923" w:rsidRDefault="002B37E9" w:rsidP="00226764">
            <w:pPr>
              <w:pStyle w:val="Tablehead"/>
              <w:spacing w:before="40" w:after="40"/>
              <w:rPr>
                <w:lang w:val="es-ES_tradnl"/>
              </w:rPr>
            </w:pPr>
            <w:r w:rsidRPr="00140923">
              <w:rPr>
                <w:sz w:val="20"/>
                <w:lang w:val="es-ES_tradnl"/>
              </w:rPr>
              <w:t>Gama de frecuencias</w:t>
            </w:r>
            <w:r w:rsidRPr="00140923">
              <w:rPr>
                <w:sz w:val="20"/>
                <w:lang w:val="es-ES_tradnl"/>
              </w:rPr>
              <w:br/>
              <w:t>(GHz)</w:t>
            </w:r>
          </w:p>
        </w:tc>
        <w:tc>
          <w:tcPr>
            <w:tcW w:w="5108" w:type="dxa"/>
            <w:gridSpan w:val="2"/>
            <w:tcBorders>
              <w:top w:val="single" w:sz="4" w:space="0" w:color="auto"/>
              <w:left w:val="single" w:sz="4" w:space="0" w:color="auto"/>
              <w:bottom w:val="single" w:sz="4" w:space="0" w:color="auto"/>
              <w:right w:val="single" w:sz="4" w:space="0" w:color="auto"/>
            </w:tcBorders>
            <w:vAlign w:val="center"/>
            <w:hideMark/>
          </w:tcPr>
          <w:p w14:paraId="55DC25C1" w14:textId="77777777" w:rsidR="002B37E9" w:rsidRPr="00140923" w:rsidRDefault="002B37E9" w:rsidP="00226764">
            <w:pPr>
              <w:pStyle w:val="Tablehead"/>
              <w:spacing w:before="40" w:after="40"/>
              <w:rPr>
                <w:lang w:val="es-ES_tradnl"/>
              </w:rPr>
            </w:pPr>
            <w:r w:rsidRPr="00140923">
              <w:rPr>
                <w:lang w:val="es-ES_tradnl" w:eastAsia="ja-JP"/>
              </w:rPr>
              <w:t>0,457-0,464</w:t>
            </w:r>
          </w:p>
        </w:tc>
      </w:tr>
      <w:tr w:rsidR="002B37E9" w:rsidRPr="00140923" w14:paraId="57326D4C"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BA80D5" w14:textId="77777777" w:rsidR="002B37E9" w:rsidRPr="00140923" w:rsidRDefault="002B37E9" w:rsidP="00226764">
            <w:pPr>
              <w:pStyle w:val="Tabletext"/>
              <w:jc w:val="left"/>
              <w:rPr>
                <w:lang w:val="es-ES_tradnl"/>
              </w:rPr>
            </w:pPr>
            <w:r w:rsidRPr="00140923">
              <w:rPr>
                <w:lang w:val="es-ES_tradnl"/>
              </w:rPr>
              <w:t>Recomendación UIT-R de referencia</w:t>
            </w:r>
          </w:p>
        </w:tc>
        <w:tc>
          <w:tcPr>
            <w:tcW w:w="5108" w:type="dxa"/>
            <w:gridSpan w:val="2"/>
            <w:tcBorders>
              <w:top w:val="single" w:sz="4" w:space="0" w:color="auto"/>
              <w:left w:val="single" w:sz="4" w:space="0" w:color="auto"/>
              <w:bottom w:val="single" w:sz="4" w:space="0" w:color="auto"/>
              <w:right w:val="single" w:sz="4" w:space="0" w:color="auto"/>
            </w:tcBorders>
          </w:tcPr>
          <w:p w14:paraId="65ED2F0A" w14:textId="77777777" w:rsidR="002B37E9" w:rsidRPr="00140923" w:rsidRDefault="002B37E9" w:rsidP="00226764">
            <w:pPr>
              <w:pStyle w:val="Tabletext"/>
              <w:jc w:val="center"/>
              <w:rPr>
                <w:lang w:val="es-ES_tradnl" w:eastAsia="ja-JP"/>
              </w:rPr>
            </w:pPr>
          </w:p>
        </w:tc>
      </w:tr>
      <w:tr w:rsidR="002B37E9" w:rsidRPr="00140923" w14:paraId="38A331C3"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497CE35" w14:textId="77777777" w:rsidR="002B37E9" w:rsidRPr="00140923" w:rsidRDefault="002B37E9" w:rsidP="00226764">
            <w:pPr>
              <w:pStyle w:val="Tabletext"/>
              <w:jc w:val="left"/>
              <w:rPr>
                <w:lang w:val="es-ES_tradnl"/>
              </w:rPr>
            </w:pPr>
            <w:r w:rsidRPr="00140923">
              <w:rPr>
                <w:color w:val="000000"/>
                <w:lang w:val="es-ES_tradnl"/>
              </w:rPr>
              <w:t>Formato de modulación</w:t>
            </w:r>
          </w:p>
        </w:tc>
        <w:tc>
          <w:tcPr>
            <w:tcW w:w="2552" w:type="dxa"/>
            <w:tcBorders>
              <w:top w:val="single" w:sz="4" w:space="0" w:color="auto"/>
              <w:left w:val="single" w:sz="4" w:space="0" w:color="auto"/>
              <w:bottom w:val="single" w:sz="4" w:space="0" w:color="auto"/>
              <w:right w:val="single" w:sz="4" w:space="0" w:color="auto"/>
            </w:tcBorders>
            <w:hideMark/>
          </w:tcPr>
          <w:p w14:paraId="0ECE99AE" w14:textId="77777777" w:rsidR="002B37E9" w:rsidRPr="00140923" w:rsidRDefault="002B37E9" w:rsidP="00226764">
            <w:pPr>
              <w:pStyle w:val="Tabletext"/>
              <w:jc w:val="center"/>
              <w:rPr>
                <w:lang w:val="es-ES_tradnl" w:eastAsia="ja-JP"/>
              </w:rPr>
            </w:pPr>
            <w:r w:rsidRPr="00140923">
              <w:rPr>
                <w:lang w:val="es-ES_tradnl" w:eastAsia="ja-JP"/>
              </w:rPr>
              <w:t>Estaciones centrales</w:t>
            </w:r>
          </w:p>
          <w:p w14:paraId="26EA5432" w14:textId="77777777" w:rsidR="002B37E9" w:rsidRPr="00140923" w:rsidRDefault="002B37E9" w:rsidP="00226764">
            <w:pPr>
              <w:pStyle w:val="Tabletext"/>
              <w:jc w:val="center"/>
              <w:rPr>
                <w:lang w:val="es-ES_tradnl" w:eastAsia="ja-JP"/>
              </w:rPr>
            </w:pPr>
            <w:r w:rsidRPr="00140923">
              <w:rPr>
                <w:lang w:val="es-ES_tradnl" w:eastAsia="ja-JP"/>
              </w:rPr>
              <w:t xml:space="preserve">MDF-4, </w:t>
            </w:r>
            <w:r w:rsidRPr="00140923">
              <w:rPr>
                <w:szCs w:val="22"/>
                <w:lang w:val="es-ES_tradnl" w:eastAsia="ja-JP"/>
              </w:rPr>
              <w:t>MDP-4</w:t>
            </w:r>
          </w:p>
        </w:tc>
        <w:tc>
          <w:tcPr>
            <w:tcW w:w="2556" w:type="dxa"/>
            <w:tcBorders>
              <w:top w:val="single" w:sz="4" w:space="0" w:color="auto"/>
              <w:left w:val="single" w:sz="4" w:space="0" w:color="auto"/>
              <w:bottom w:val="single" w:sz="4" w:space="0" w:color="auto"/>
              <w:right w:val="single" w:sz="4" w:space="0" w:color="auto"/>
            </w:tcBorders>
            <w:hideMark/>
          </w:tcPr>
          <w:p w14:paraId="06ACCD8C" w14:textId="77777777" w:rsidR="002B37E9" w:rsidRPr="00140923" w:rsidRDefault="002B37E9" w:rsidP="00226764">
            <w:pPr>
              <w:pStyle w:val="Tabletext"/>
              <w:jc w:val="center"/>
              <w:rPr>
                <w:lang w:val="es-ES_tradnl" w:eastAsia="ja-JP"/>
              </w:rPr>
            </w:pPr>
            <w:r w:rsidRPr="00140923">
              <w:rPr>
                <w:lang w:val="es-ES_tradnl" w:eastAsia="ja-JP"/>
              </w:rPr>
              <w:t>Estaciones terminales</w:t>
            </w:r>
          </w:p>
          <w:p w14:paraId="2E561CFF" w14:textId="77777777" w:rsidR="002B37E9" w:rsidRPr="00140923" w:rsidRDefault="002B37E9" w:rsidP="00226764">
            <w:pPr>
              <w:pStyle w:val="Tabletext"/>
              <w:jc w:val="center"/>
              <w:rPr>
                <w:lang w:val="es-ES_tradnl" w:eastAsia="ja-JP"/>
              </w:rPr>
            </w:pPr>
            <w:r w:rsidRPr="00140923">
              <w:rPr>
                <w:lang w:val="es-ES_tradnl"/>
              </w:rPr>
              <w:t>MDF-</w:t>
            </w:r>
            <w:r w:rsidRPr="00140923">
              <w:rPr>
                <w:lang w:val="es-ES_tradnl" w:eastAsia="ja-JP"/>
              </w:rPr>
              <w:t xml:space="preserve">4, </w:t>
            </w:r>
            <w:r w:rsidRPr="00140923">
              <w:rPr>
                <w:szCs w:val="22"/>
                <w:lang w:val="es-ES_tradnl" w:eastAsia="ja-JP"/>
              </w:rPr>
              <w:t>MDP-4</w:t>
            </w:r>
          </w:p>
        </w:tc>
      </w:tr>
      <w:tr w:rsidR="002B37E9" w:rsidRPr="00140923" w14:paraId="13557689"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B8D87C" w14:textId="77777777" w:rsidR="002B37E9" w:rsidRPr="00140923" w:rsidRDefault="002B37E9" w:rsidP="00226764">
            <w:pPr>
              <w:pStyle w:val="Tabletext"/>
              <w:jc w:val="left"/>
              <w:rPr>
                <w:lang w:val="es-ES_tradnl"/>
              </w:rPr>
            </w:pPr>
            <w:r w:rsidRPr="00140923">
              <w:rPr>
                <w:color w:val="000000"/>
                <w:lang w:val="es-ES_tradnl"/>
              </w:rPr>
              <w:t xml:space="preserve">Separación de canales y anchura de banda de ruido del receptor (MHz) </w:t>
            </w:r>
          </w:p>
        </w:tc>
        <w:tc>
          <w:tcPr>
            <w:tcW w:w="2552" w:type="dxa"/>
            <w:tcBorders>
              <w:top w:val="single" w:sz="4" w:space="0" w:color="auto"/>
              <w:left w:val="single" w:sz="4" w:space="0" w:color="auto"/>
              <w:bottom w:val="single" w:sz="4" w:space="0" w:color="auto"/>
              <w:right w:val="single" w:sz="4" w:space="0" w:color="auto"/>
            </w:tcBorders>
            <w:hideMark/>
          </w:tcPr>
          <w:p w14:paraId="3955F44C" w14:textId="77777777" w:rsidR="002B37E9" w:rsidRPr="00140923" w:rsidRDefault="002B37E9" w:rsidP="00226764">
            <w:pPr>
              <w:pStyle w:val="Tabletext"/>
              <w:jc w:val="center"/>
              <w:rPr>
                <w:b/>
                <w:lang w:val="es-ES_tradnl"/>
              </w:rPr>
            </w:pPr>
            <w:r w:rsidRPr="00140923">
              <w:rPr>
                <w:b/>
                <w:lang w:val="es-ES_tradnl" w:eastAsia="ja-JP"/>
              </w:rPr>
              <w:t>0,0125</w:t>
            </w:r>
          </w:p>
        </w:tc>
        <w:tc>
          <w:tcPr>
            <w:tcW w:w="2556" w:type="dxa"/>
            <w:tcBorders>
              <w:top w:val="single" w:sz="4" w:space="0" w:color="auto"/>
              <w:left w:val="single" w:sz="4" w:space="0" w:color="auto"/>
              <w:bottom w:val="single" w:sz="4" w:space="0" w:color="auto"/>
              <w:right w:val="single" w:sz="4" w:space="0" w:color="auto"/>
            </w:tcBorders>
            <w:hideMark/>
          </w:tcPr>
          <w:p w14:paraId="3189ECFD" w14:textId="77777777" w:rsidR="002B37E9" w:rsidRPr="00140923" w:rsidRDefault="002B37E9" w:rsidP="00226764">
            <w:pPr>
              <w:pStyle w:val="Tabletext"/>
              <w:jc w:val="center"/>
              <w:rPr>
                <w:lang w:val="es-ES_tradnl"/>
              </w:rPr>
            </w:pPr>
            <w:r w:rsidRPr="00140923">
              <w:rPr>
                <w:b/>
                <w:lang w:val="es-ES_tradnl" w:eastAsia="ja-JP"/>
              </w:rPr>
              <w:t>0,0125</w:t>
            </w:r>
          </w:p>
        </w:tc>
      </w:tr>
      <w:tr w:rsidR="002B37E9" w:rsidRPr="00140923" w14:paraId="7840600F"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B12A54" w14:textId="77777777" w:rsidR="002B37E9" w:rsidRPr="00140923" w:rsidRDefault="002B37E9" w:rsidP="00226764">
            <w:pPr>
              <w:pStyle w:val="Tabletext"/>
              <w:jc w:val="left"/>
              <w:rPr>
                <w:lang w:val="es-ES_tradnl"/>
              </w:rPr>
            </w:pPr>
            <w:r w:rsidRPr="00140923">
              <w:rPr>
                <w:color w:val="000000"/>
                <w:lang w:val="es-ES_tradnl"/>
              </w:rPr>
              <w:t xml:space="preserve">Gama máxima de potencia de salida del transmisor (dBW) </w:t>
            </w:r>
          </w:p>
        </w:tc>
        <w:tc>
          <w:tcPr>
            <w:tcW w:w="2552" w:type="dxa"/>
            <w:tcBorders>
              <w:top w:val="single" w:sz="4" w:space="0" w:color="auto"/>
              <w:left w:val="single" w:sz="4" w:space="0" w:color="auto"/>
              <w:bottom w:val="single" w:sz="4" w:space="0" w:color="auto"/>
              <w:right w:val="single" w:sz="4" w:space="0" w:color="auto"/>
            </w:tcBorders>
            <w:hideMark/>
          </w:tcPr>
          <w:p w14:paraId="37B1BA13" w14:textId="77777777" w:rsidR="002B37E9" w:rsidRPr="00140923" w:rsidRDefault="002B37E9" w:rsidP="00226764">
            <w:pPr>
              <w:pStyle w:val="Tabletext"/>
              <w:jc w:val="center"/>
              <w:rPr>
                <w:lang w:val="es-ES_tradnl" w:eastAsia="ja-JP"/>
              </w:rPr>
            </w:pPr>
            <w:r w:rsidRPr="00140923">
              <w:rPr>
                <w:lang w:val="es-ES_tradnl" w:eastAsia="ja-JP"/>
              </w:rPr>
              <w:t>1 a 10</w:t>
            </w:r>
          </w:p>
        </w:tc>
        <w:tc>
          <w:tcPr>
            <w:tcW w:w="2556" w:type="dxa"/>
            <w:tcBorders>
              <w:top w:val="single" w:sz="4" w:space="0" w:color="auto"/>
              <w:left w:val="single" w:sz="4" w:space="0" w:color="auto"/>
              <w:bottom w:val="single" w:sz="4" w:space="0" w:color="auto"/>
              <w:right w:val="single" w:sz="4" w:space="0" w:color="auto"/>
            </w:tcBorders>
            <w:hideMark/>
          </w:tcPr>
          <w:p w14:paraId="383C3169" w14:textId="77777777" w:rsidR="002B37E9" w:rsidRPr="00140923" w:rsidRDefault="002B37E9" w:rsidP="00226764">
            <w:pPr>
              <w:pStyle w:val="Tabletext"/>
              <w:jc w:val="center"/>
              <w:rPr>
                <w:lang w:val="es-ES_tradnl" w:eastAsia="ja-JP"/>
              </w:rPr>
            </w:pPr>
            <w:r w:rsidRPr="00140923">
              <w:rPr>
                <w:lang w:val="es-ES_tradnl" w:eastAsia="ja-JP"/>
              </w:rPr>
              <w:t>1 a 10</w:t>
            </w:r>
          </w:p>
        </w:tc>
      </w:tr>
      <w:tr w:rsidR="002B37E9" w:rsidRPr="00140923" w14:paraId="1DFE1CEF"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B21443" w14:textId="7468BD39" w:rsidR="002B37E9" w:rsidRPr="00140923" w:rsidRDefault="002B37E9" w:rsidP="00226764">
            <w:pPr>
              <w:pStyle w:val="Tabletext"/>
              <w:jc w:val="left"/>
              <w:rPr>
                <w:lang w:val="es-ES_tradnl"/>
              </w:rPr>
            </w:pPr>
            <w:r w:rsidRPr="00140923">
              <w:rPr>
                <w:color w:val="000000"/>
                <w:lang w:val="es-ES_tradnl"/>
              </w:rPr>
              <w:t>Gama máxima de densidad de potencia de salida del transmisor (dBW/MHz)</w:t>
            </w:r>
            <w:r w:rsidRPr="00140923">
              <w:rPr>
                <w:color w:val="000000"/>
                <w:vertAlign w:val="superscript"/>
                <w:lang w:val="es-ES_tradnl" w:eastAsia="ja-JP"/>
              </w:rPr>
              <w:t>(1)</w:t>
            </w:r>
          </w:p>
        </w:tc>
        <w:tc>
          <w:tcPr>
            <w:tcW w:w="2552" w:type="dxa"/>
            <w:tcBorders>
              <w:top w:val="single" w:sz="4" w:space="0" w:color="auto"/>
              <w:left w:val="single" w:sz="4" w:space="0" w:color="auto"/>
              <w:bottom w:val="single" w:sz="4" w:space="0" w:color="auto"/>
              <w:right w:val="single" w:sz="4" w:space="0" w:color="auto"/>
            </w:tcBorders>
            <w:hideMark/>
          </w:tcPr>
          <w:p w14:paraId="42C02F13" w14:textId="77777777" w:rsidR="002B37E9" w:rsidRPr="00140923" w:rsidRDefault="002B37E9" w:rsidP="00226764">
            <w:pPr>
              <w:pStyle w:val="Tabletext"/>
              <w:jc w:val="center"/>
              <w:rPr>
                <w:lang w:val="es-ES_tradnl" w:eastAsia="ja-JP"/>
              </w:rPr>
            </w:pPr>
            <w:r w:rsidRPr="00140923">
              <w:rPr>
                <w:lang w:val="es-ES_tradnl" w:eastAsia="ja-JP"/>
              </w:rPr>
              <w:t>20 a 29</w:t>
            </w:r>
          </w:p>
        </w:tc>
        <w:tc>
          <w:tcPr>
            <w:tcW w:w="2556" w:type="dxa"/>
            <w:tcBorders>
              <w:top w:val="single" w:sz="4" w:space="0" w:color="auto"/>
              <w:left w:val="single" w:sz="4" w:space="0" w:color="auto"/>
              <w:bottom w:val="single" w:sz="4" w:space="0" w:color="auto"/>
              <w:right w:val="single" w:sz="4" w:space="0" w:color="auto"/>
            </w:tcBorders>
            <w:hideMark/>
          </w:tcPr>
          <w:p w14:paraId="61DAB27C" w14:textId="77777777" w:rsidR="002B37E9" w:rsidRPr="00140923" w:rsidRDefault="002B37E9" w:rsidP="00226764">
            <w:pPr>
              <w:pStyle w:val="Tabletext"/>
              <w:jc w:val="center"/>
              <w:rPr>
                <w:lang w:val="es-ES_tradnl" w:eastAsia="ja-JP"/>
              </w:rPr>
            </w:pPr>
            <w:r w:rsidRPr="00140923">
              <w:rPr>
                <w:lang w:val="es-ES_tradnl" w:eastAsia="ja-JP"/>
              </w:rPr>
              <w:t>20 a 29</w:t>
            </w:r>
          </w:p>
        </w:tc>
      </w:tr>
      <w:tr w:rsidR="002B37E9" w:rsidRPr="00140923" w14:paraId="149762F3"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A8C727" w14:textId="77777777" w:rsidR="002B37E9" w:rsidRPr="00140923" w:rsidRDefault="002B37E9" w:rsidP="00226764">
            <w:pPr>
              <w:pStyle w:val="Tabletext"/>
              <w:jc w:val="left"/>
              <w:rPr>
                <w:lang w:val="es-ES_tradnl"/>
              </w:rPr>
            </w:pPr>
            <w:r w:rsidRPr="00140923">
              <w:rPr>
                <w:color w:val="000000"/>
                <w:lang w:val="es-ES_tradnl" w:eastAsia="ja-JP"/>
              </w:rPr>
              <w:t>Gama mínima de pérdida del alimentador/multiplexor</w:t>
            </w:r>
            <w:r w:rsidRPr="00140923">
              <w:rPr>
                <w:color w:val="000000"/>
                <w:lang w:val="es-ES_tradnl"/>
              </w:rPr>
              <w:t xml:space="preserve"> (dB) </w:t>
            </w:r>
          </w:p>
        </w:tc>
        <w:tc>
          <w:tcPr>
            <w:tcW w:w="2552" w:type="dxa"/>
            <w:tcBorders>
              <w:top w:val="single" w:sz="4" w:space="0" w:color="auto"/>
              <w:left w:val="single" w:sz="4" w:space="0" w:color="auto"/>
              <w:bottom w:val="single" w:sz="4" w:space="0" w:color="auto"/>
              <w:right w:val="single" w:sz="4" w:space="0" w:color="auto"/>
            </w:tcBorders>
            <w:hideMark/>
          </w:tcPr>
          <w:p w14:paraId="3DED0433" w14:textId="185CEEEB" w:rsidR="002B37E9" w:rsidRPr="00140923" w:rsidRDefault="002B37E9" w:rsidP="00226764">
            <w:pPr>
              <w:pStyle w:val="Tabletext"/>
              <w:jc w:val="center"/>
              <w:rPr>
                <w:lang w:val="es-ES_tradnl" w:eastAsia="ja-JP"/>
              </w:rPr>
            </w:pPr>
            <w:r w:rsidRPr="00140923">
              <w:rPr>
                <w:lang w:val="es-ES_tradnl" w:eastAsia="ja-JP"/>
              </w:rPr>
              <w:t>1…3</w:t>
            </w:r>
          </w:p>
        </w:tc>
        <w:tc>
          <w:tcPr>
            <w:tcW w:w="2556" w:type="dxa"/>
            <w:tcBorders>
              <w:top w:val="single" w:sz="4" w:space="0" w:color="auto"/>
              <w:left w:val="single" w:sz="4" w:space="0" w:color="auto"/>
              <w:bottom w:val="single" w:sz="4" w:space="0" w:color="auto"/>
              <w:right w:val="single" w:sz="4" w:space="0" w:color="auto"/>
            </w:tcBorders>
            <w:hideMark/>
          </w:tcPr>
          <w:p w14:paraId="48C6FAFC" w14:textId="329E4B8A" w:rsidR="002B37E9" w:rsidRPr="00140923" w:rsidRDefault="002B37E9" w:rsidP="00226764">
            <w:pPr>
              <w:pStyle w:val="Tabletext"/>
              <w:jc w:val="center"/>
              <w:rPr>
                <w:lang w:val="es-ES_tradnl" w:eastAsia="ja-JP"/>
              </w:rPr>
            </w:pPr>
            <w:r w:rsidRPr="00140923">
              <w:rPr>
                <w:lang w:val="es-ES_tradnl" w:eastAsia="ja-JP"/>
              </w:rPr>
              <w:t>1…4</w:t>
            </w:r>
          </w:p>
        </w:tc>
      </w:tr>
      <w:tr w:rsidR="002B37E9" w:rsidRPr="00140923" w14:paraId="2C17BF46"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BBD01C" w14:textId="77777777" w:rsidR="002B37E9" w:rsidRPr="00140923" w:rsidRDefault="002B37E9" w:rsidP="00226764">
            <w:pPr>
              <w:pStyle w:val="Tabletext"/>
              <w:jc w:val="left"/>
              <w:rPr>
                <w:lang w:val="es-ES_tradnl"/>
              </w:rPr>
            </w:pPr>
            <w:r w:rsidRPr="00140923">
              <w:rPr>
                <w:color w:val="000000"/>
                <w:lang w:val="es-ES_tradnl"/>
              </w:rPr>
              <w:t xml:space="preserve">Gama máxima de ganancia de la antena (dBi) </w:t>
            </w:r>
          </w:p>
        </w:tc>
        <w:tc>
          <w:tcPr>
            <w:tcW w:w="2552" w:type="dxa"/>
            <w:tcBorders>
              <w:top w:val="single" w:sz="4" w:space="0" w:color="auto"/>
              <w:left w:val="single" w:sz="4" w:space="0" w:color="auto"/>
              <w:bottom w:val="single" w:sz="4" w:space="0" w:color="auto"/>
              <w:right w:val="single" w:sz="4" w:space="0" w:color="auto"/>
            </w:tcBorders>
            <w:hideMark/>
          </w:tcPr>
          <w:p w14:paraId="562B6EC1" w14:textId="6F769B4D" w:rsidR="002B37E9" w:rsidRPr="00140923" w:rsidRDefault="002B37E9" w:rsidP="00226764">
            <w:pPr>
              <w:pStyle w:val="Tabletext"/>
              <w:jc w:val="center"/>
              <w:rPr>
                <w:lang w:val="es-ES_tradnl" w:eastAsia="ja-JP"/>
              </w:rPr>
            </w:pPr>
            <w:r w:rsidRPr="00140923">
              <w:rPr>
                <w:lang w:val="es-ES_tradnl" w:eastAsia="ja-JP"/>
              </w:rPr>
              <w:t>2…11</w:t>
            </w:r>
          </w:p>
          <w:p w14:paraId="5B44BEE0" w14:textId="77777777" w:rsidR="002B37E9" w:rsidRPr="00140923" w:rsidRDefault="002B37E9" w:rsidP="00226764">
            <w:pPr>
              <w:pStyle w:val="Tabletext"/>
              <w:jc w:val="center"/>
              <w:rPr>
                <w:lang w:val="es-ES_tradnl" w:eastAsia="ja-JP"/>
              </w:rPr>
            </w:pPr>
            <w:r w:rsidRPr="00140923">
              <w:rPr>
                <w:lang w:val="es-ES_tradnl" w:eastAsia="ja-JP"/>
              </w:rPr>
              <w:t>(omni</w:t>
            </w:r>
            <w:r w:rsidRPr="00140923">
              <w:rPr>
                <w:sz w:val="20"/>
                <w:lang w:val="es-ES_tradnl" w:eastAsia="ja-JP"/>
              </w:rPr>
              <w:t>direccional</w:t>
            </w:r>
            <w:r w:rsidRPr="00140923">
              <w:rPr>
                <w:lang w:val="es-ES_tradnl" w:eastAsia="ja-JP"/>
              </w:rPr>
              <w:t>/sectorial)</w:t>
            </w:r>
          </w:p>
        </w:tc>
        <w:tc>
          <w:tcPr>
            <w:tcW w:w="2556" w:type="dxa"/>
            <w:tcBorders>
              <w:top w:val="single" w:sz="4" w:space="0" w:color="auto"/>
              <w:left w:val="single" w:sz="4" w:space="0" w:color="auto"/>
              <w:bottom w:val="single" w:sz="4" w:space="0" w:color="auto"/>
              <w:right w:val="single" w:sz="4" w:space="0" w:color="auto"/>
            </w:tcBorders>
            <w:hideMark/>
          </w:tcPr>
          <w:p w14:paraId="775B6C44" w14:textId="1E4274DB" w:rsidR="002B37E9" w:rsidRPr="00140923" w:rsidRDefault="002B37E9" w:rsidP="00226764">
            <w:pPr>
              <w:pStyle w:val="Tabletext"/>
              <w:jc w:val="center"/>
              <w:rPr>
                <w:lang w:val="es-ES_tradnl" w:eastAsia="ja-JP"/>
              </w:rPr>
            </w:pPr>
            <w:r w:rsidRPr="00140923">
              <w:rPr>
                <w:lang w:val="es-ES_tradnl" w:eastAsia="ja-JP"/>
              </w:rPr>
              <w:t>8…17</w:t>
            </w:r>
          </w:p>
          <w:p w14:paraId="09556531" w14:textId="77777777" w:rsidR="002B37E9" w:rsidRPr="00140923" w:rsidRDefault="002B37E9" w:rsidP="00226764">
            <w:pPr>
              <w:pStyle w:val="Tabletext"/>
              <w:jc w:val="center"/>
              <w:rPr>
                <w:lang w:val="es-ES_tradnl" w:eastAsia="ja-JP"/>
              </w:rPr>
            </w:pPr>
            <w:r w:rsidRPr="00140923">
              <w:rPr>
                <w:lang w:val="es-ES_tradnl" w:eastAsia="ja-JP"/>
              </w:rPr>
              <w:t>(direccional)</w:t>
            </w:r>
          </w:p>
        </w:tc>
      </w:tr>
      <w:tr w:rsidR="002B37E9" w:rsidRPr="00140923" w14:paraId="09F73C6D"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11BC4B" w14:textId="77777777" w:rsidR="002B37E9" w:rsidRPr="00140923" w:rsidRDefault="002B37E9" w:rsidP="00226764">
            <w:pPr>
              <w:pStyle w:val="Tabletext"/>
              <w:jc w:val="left"/>
              <w:rPr>
                <w:lang w:val="es-ES_tradnl"/>
              </w:rPr>
            </w:pPr>
            <w:r w:rsidRPr="00140923">
              <w:rPr>
                <w:color w:val="000000"/>
                <w:lang w:val="es-ES_tradnl"/>
              </w:rPr>
              <w:t>Gama máxima de la p.i.r.e. (dBW)</w:t>
            </w:r>
            <w:r w:rsidRPr="00140923">
              <w:rPr>
                <w:color w:val="000000"/>
                <w:vertAlign w:val="superscript"/>
                <w:lang w:val="es-ES_tradnl" w:eastAsia="ja-JP"/>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11715740" w14:textId="77777777" w:rsidR="002B37E9" w:rsidRPr="00140923" w:rsidRDefault="002B37E9" w:rsidP="00226764">
            <w:pPr>
              <w:pStyle w:val="Tabletext"/>
              <w:jc w:val="center"/>
              <w:rPr>
                <w:lang w:val="es-ES_tradnl" w:eastAsia="ja-JP"/>
              </w:rPr>
            </w:pPr>
            <w:r w:rsidRPr="00140923">
              <w:rPr>
                <w:color w:val="000000"/>
                <w:lang w:val="es-ES_tradnl" w:eastAsia="ja-JP"/>
              </w:rPr>
              <w:t>14 a 20</w:t>
            </w:r>
          </w:p>
        </w:tc>
        <w:tc>
          <w:tcPr>
            <w:tcW w:w="2556" w:type="dxa"/>
            <w:tcBorders>
              <w:top w:val="single" w:sz="4" w:space="0" w:color="auto"/>
              <w:left w:val="single" w:sz="4" w:space="0" w:color="auto"/>
              <w:bottom w:val="single" w:sz="4" w:space="0" w:color="auto"/>
              <w:right w:val="single" w:sz="4" w:space="0" w:color="auto"/>
            </w:tcBorders>
            <w:hideMark/>
          </w:tcPr>
          <w:p w14:paraId="442CE919" w14:textId="77777777" w:rsidR="002B37E9" w:rsidRPr="00140923" w:rsidRDefault="002B37E9" w:rsidP="00226764">
            <w:pPr>
              <w:pStyle w:val="Tabletext"/>
              <w:jc w:val="center"/>
              <w:rPr>
                <w:lang w:val="es-ES_tradnl" w:eastAsia="ja-JP"/>
              </w:rPr>
            </w:pPr>
            <w:r w:rsidRPr="00140923">
              <w:rPr>
                <w:color w:val="000000"/>
                <w:lang w:val="es-ES_tradnl" w:eastAsia="ja-JP"/>
              </w:rPr>
              <w:t>18 a 24</w:t>
            </w:r>
          </w:p>
        </w:tc>
      </w:tr>
      <w:tr w:rsidR="002B37E9" w:rsidRPr="00140923" w14:paraId="0C09DCDD"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D5DAFE" w14:textId="310EFE78" w:rsidR="002B37E9" w:rsidRPr="00140923" w:rsidRDefault="002B37E9" w:rsidP="00226764">
            <w:pPr>
              <w:pStyle w:val="Tabletext"/>
              <w:jc w:val="left"/>
              <w:rPr>
                <w:lang w:val="es-ES_tradnl"/>
              </w:rPr>
            </w:pPr>
            <w:r w:rsidRPr="00140923">
              <w:rPr>
                <w:color w:val="000000"/>
                <w:lang w:val="es-ES_tradnl"/>
              </w:rPr>
              <w:t>Gama máxima de densidad de p.i.r.e. (dBW/MHz)</w:t>
            </w:r>
            <w:r w:rsidRPr="00140923">
              <w:rPr>
                <w:color w:val="000000"/>
                <w:vertAlign w:val="superscript"/>
                <w:lang w:val="es-ES_tradnl" w:eastAsia="ja-JP"/>
              </w:rPr>
              <w:t>(1)</w:t>
            </w:r>
          </w:p>
        </w:tc>
        <w:tc>
          <w:tcPr>
            <w:tcW w:w="2552" w:type="dxa"/>
            <w:tcBorders>
              <w:top w:val="single" w:sz="4" w:space="0" w:color="auto"/>
              <w:left w:val="single" w:sz="4" w:space="0" w:color="auto"/>
              <w:bottom w:val="single" w:sz="4" w:space="0" w:color="auto"/>
              <w:right w:val="single" w:sz="4" w:space="0" w:color="auto"/>
            </w:tcBorders>
            <w:hideMark/>
          </w:tcPr>
          <w:p w14:paraId="633F215B" w14:textId="77777777" w:rsidR="002B37E9" w:rsidRPr="00140923" w:rsidRDefault="002B37E9" w:rsidP="00226764">
            <w:pPr>
              <w:pStyle w:val="Tabletext"/>
              <w:jc w:val="center"/>
              <w:rPr>
                <w:lang w:val="es-ES_tradnl" w:eastAsia="ja-JP"/>
              </w:rPr>
            </w:pPr>
            <w:r w:rsidRPr="00140923">
              <w:rPr>
                <w:color w:val="000000"/>
                <w:lang w:val="es-ES_tradnl" w:eastAsia="ja-JP"/>
              </w:rPr>
              <w:t>33 a 39</w:t>
            </w:r>
          </w:p>
        </w:tc>
        <w:tc>
          <w:tcPr>
            <w:tcW w:w="2556" w:type="dxa"/>
            <w:tcBorders>
              <w:top w:val="single" w:sz="4" w:space="0" w:color="auto"/>
              <w:left w:val="single" w:sz="4" w:space="0" w:color="auto"/>
              <w:bottom w:val="single" w:sz="4" w:space="0" w:color="auto"/>
              <w:right w:val="single" w:sz="4" w:space="0" w:color="auto"/>
            </w:tcBorders>
            <w:hideMark/>
          </w:tcPr>
          <w:p w14:paraId="07EF8D3C" w14:textId="77777777" w:rsidR="002B37E9" w:rsidRPr="00140923" w:rsidRDefault="002B37E9" w:rsidP="00226764">
            <w:pPr>
              <w:pStyle w:val="Tabletext"/>
              <w:jc w:val="center"/>
              <w:rPr>
                <w:lang w:val="es-ES_tradnl" w:eastAsia="ja-JP"/>
              </w:rPr>
            </w:pPr>
            <w:r w:rsidRPr="00140923">
              <w:rPr>
                <w:color w:val="000000"/>
                <w:lang w:val="es-ES_tradnl" w:eastAsia="ja-JP"/>
              </w:rPr>
              <w:t>37 a 43</w:t>
            </w:r>
          </w:p>
        </w:tc>
      </w:tr>
      <w:tr w:rsidR="002B37E9" w:rsidRPr="00140923" w14:paraId="4AFDE489"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6AC840" w14:textId="77777777" w:rsidR="002B37E9" w:rsidRPr="00140923" w:rsidRDefault="002B37E9" w:rsidP="00226764">
            <w:pPr>
              <w:pStyle w:val="Tabletext"/>
              <w:jc w:val="left"/>
              <w:rPr>
                <w:lang w:val="es-ES_tradnl"/>
              </w:rPr>
            </w:pPr>
            <w:r w:rsidRPr="00140923">
              <w:rPr>
                <w:color w:val="000000"/>
                <w:lang w:val="es-ES_tradnl"/>
              </w:rPr>
              <w:t>Factor de ruido del receptor</w:t>
            </w:r>
            <w:r w:rsidRPr="00140923">
              <w:rPr>
                <w:color w:val="000000"/>
                <w:lang w:val="es-ES_tradnl" w:eastAsia="ja-JP"/>
              </w:rPr>
              <w:t xml:space="preserve"> </w:t>
            </w:r>
            <w:r w:rsidRPr="00140923">
              <w:rPr>
                <w:color w:val="000000"/>
                <w:lang w:val="es-ES_tradnl"/>
              </w:rPr>
              <w:t xml:space="preserve">(dB) </w:t>
            </w:r>
          </w:p>
        </w:tc>
        <w:tc>
          <w:tcPr>
            <w:tcW w:w="2552" w:type="dxa"/>
            <w:tcBorders>
              <w:top w:val="single" w:sz="4" w:space="0" w:color="auto"/>
              <w:left w:val="single" w:sz="4" w:space="0" w:color="auto"/>
              <w:bottom w:val="single" w:sz="4" w:space="0" w:color="auto"/>
              <w:right w:val="single" w:sz="4" w:space="0" w:color="auto"/>
            </w:tcBorders>
            <w:hideMark/>
          </w:tcPr>
          <w:p w14:paraId="28912168" w14:textId="77777777" w:rsidR="002B37E9" w:rsidRPr="00140923" w:rsidRDefault="002B37E9" w:rsidP="00226764">
            <w:pPr>
              <w:pStyle w:val="Tabletext"/>
              <w:jc w:val="center"/>
              <w:rPr>
                <w:lang w:val="es-ES_tradnl" w:eastAsia="ja-JP"/>
              </w:rPr>
            </w:pPr>
            <w:r w:rsidRPr="00140923">
              <w:rPr>
                <w:lang w:val="es-ES_tradnl" w:eastAsia="ja-JP"/>
              </w:rPr>
              <w:t>4</w:t>
            </w:r>
          </w:p>
        </w:tc>
        <w:tc>
          <w:tcPr>
            <w:tcW w:w="2556" w:type="dxa"/>
            <w:tcBorders>
              <w:top w:val="single" w:sz="4" w:space="0" w:color="auto"/>
              <w:left w:val="single" w:sz="4" w:space="0" w:color="auto"/>
              <w:bottom w:val="single" w:sz="4" w:space="0" w:color="auto"/>
              <w:right w:val="single" w:sz="4" w:space="0" w:color="auto"/>
            </w:tcBorders>
            <w:hideMark/>
          </w:tcPr>
          <w:p w14:paraId="62BB6AD2" w14:textId="77777777" w:rsidR="002B37E9" w:rsidRPr="00140923" w:rsidRDefault="002B37E9" w:rsidP="00226764">
            <w:pPr>
              <w:pStyle w:val="Tabletext"/>
              <w:jc w:val="center"/>
              <w:rPr>
                <w:lang w:val="es-ES_tradnl" w:eastAsia="ja-JP"/>
              </w:rPr>
            </w:pPr>
            <w:r w:rsidRPr="00140923">
              <w:rPr>
                <w:lang w:val="es-ES_tradnl" w:eastAsia="ja-JP"/>
              </w:rPr>
              <w:t>4</w:t>
            </w:r>
          </w:p>
        </w:tc>
      </w:tr>
      <w:tr w:rsidR="002B37E9" w:rsidRPr="00140923" w14:paraId="52200273"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354B57" w14:textId="77777777" w:rsidR="002B37E9" w:rsidRPr="00140923" w:rsidRDefault="002B37E9" w:rsidP="00226764">
            <w:pPr>
              <w:pStyle w:val="Tabletext"/>
              <w:jc w:val="left"/>
              <w:rPr>
                <w:lang w:val="es-ES_tradnl"/>
              </w:rPr>
            </w:pPr>
            <w:r w:rsidRPr="00140923">
              <w:rPr>
                <w:color w:val="000000"/>
                <w:lang w:val="es-ES_tradnl"/>
              </w:rPr>
              <w:t>Densidad de potencia de ruido típica del receptor</w:t>
            </w:r>
            <w:r w:rsidRPr="00140923">
              <w:rPr>
                <w:color w:val="000000"/>
                <w:lang w:val="es-ES_tradnl" w:eastAsia="ja-JP"/>
              </w:rPr>
              <w:t xml:space="preserve"> (= </w:t>
            </w:r>
            <w:r w:rsidRPr="00140923">
              <w:rPr>
                <w:i/>
                <w:iCs/>
                <w:lang w:val="es-ES_tradnl"/>
              </w:rPr>
              <w:t>N</w:t>
            </w:r>
            <w:r w:rsidRPr="00140923">
              <w:rPr>
                <w:i/>
                <w:iCs/>
                <w:vertAlign w:val="subscript"/>
                <w:lang w:val="es-ES_tradnl"/>
              </w:rPr>
              <w:t>RX</w:t>
            </w:r>
            <w:r w:rsidRPr="00140923">
              <w:rPr>
                <w:color w:val="000000"/>
                <w:lang w:val="es-ES_tradnl" w:eastAsia="ja-JP"/>
              </w:rPr>
              <w:t xml:space="preserve">) </w:t>
            </w:r>
            <w:r w:rsidRPr="00140923">
              <w:rPr>
                <w:color w:val="000000"/>
                <w:lang w:val="es-ES_tradnl"/>
              </w:rPr>
              <w:t>(dBW/MHz)</w:t>
            </w:r>
          </w:p>
        </w:tc>
        <w:tc>
          <w:tcPr>
            <w:tcW w:w="2552" w:type="dxa"/>
            <w:tcBorders>
              <w:top w:val="single" w:sz="4" w:space="0" w:color="auto"/>
              <w:left w:val="single" w:sz="4" w:space="0" w:color="auto"/>
              <w:bottom w:val="single" w:sz="4" w:space="0" w:color="auto"/>
              <w:right w:val="single" w:sz="4" w:space="0" w:color="auto"/>
            </w:tcBorders>
            <w:hideMark/>
          </w:tcPr>
          <w:p w14:paraId="5C980DD6" w14:textId="37E057A4" w:rsidR="002B37E9" w:rsidRPr="00140923" w:rsidRDefault="001B39C4" w:rsidP="00226764">
            <w:pPr>
              <w:pStyle w:val="Tabletext"/>
              <w:jc w:val="center"/>
              <w:rPr>
                <w:lang w:val="es-ES_tradnl" w:eastAsia="ja-JP"/>
              </w:rPr>
            </w:pPr>
            <w:r w:rsidRPr="001B39C4">
              <w:rPr>
                <w:lang w:val="es-ES_tradnl" w:eastAsia="ja-JP"/>
              </w:rPr>
              <w:t>−</w:t>
            </w:r>
            <w:r w:rsidR="002B37E9" w:rsidRPr="00140923">
              <w:rPr>
                <w:lang w:val="es-ES_tradnl" w:eastAsia="ja-JP"/>
              </w:rPr>
              <w:t>140</w:t>
            </w:r>
            <w:r w:rsidR="002B37E9" w:rsidRPr="00140923">
              <w:rPr>
                <w:vertAlign w:val="superscript"/>
                <w:lang w:val="es-ES_tradnl"/>
              </w:rPr>
              <w:t>(1)</w:t>
            </w:r>
          </w:p>
        </w:tc>
        <w:tc>
          <w:tcPr>
            <w:tcW w:w="2556" w:type="dxa"/>
            <w:tcBorders>
              <w:top w:val="single" w:sz="4" w:space="0" w:color="auto"/>
              <w:left w:val="single" w:sz="4" w:space="0" w:color="auto"/>
              <w:bottom w:val="single" w:sz="4" w:space="0" w:color="auto"/>
              <w:right w:val="single" w:sz="4" w:space="0" w:color="auto"/>
            </w:tcBorders>
            <w:hideMark/>
          </w:tcPr>
          <w:p w14:paraId="5057C4A6" w14:textId="49352BA5" w:rsidR="002B37E9" w:rsidRPr="00140923" w:rsidRDefault="001B39C4" w:rsidP="00226764">
            <w:pPr>
              <w:pStyle w:val="Tabletext"/>
              <w:jc w:val="center"/>
              <w:rPr>
                <w:lang w:val="es-ES_tradnl" w:eastAsia="ja-JP"/>
              </w:rPr>
            </w:pPr>
            <w:r w:rsidRPr="001B39C4">
              <w:rPr>
                <w:lang w:val="es-ES_tradnl" w:eastAsia="ja-JP"/>
              </w:rPr>
              <w:t>−</w:t>
            </w:r>
            <w:r w:rsidR="002B37E9" w:rsidRPr="00140923">
              <w:rPr>
                <w:lang w:val="es-ES_tradnl" w:eastAsia="ja-JP"/>
              </w:rPr>
              <w:t>140</w:t>
            </w:r>
            <w:r w:rsidR="002B37E9" w:rsidRPr="00140923">
              <w:rPr>
                <w:vertAlign w:val="superscript"/>
                <w:lang w:val="es-ES_tradnl"/>
              </w:rPr>
              <w:t>(1)</w:t>
            </w:r>
          </w:p>
        </w:tc>
      </w:tr>
      <w:tr w:rsidR="002B37E9" w:rsidRPr="00140923" w14:paraId="589A9AE7"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0AD011" w14:textId="06F43E0B" w:rsidR="002B37E9" w:rsidRPr="00140923" w:rsidRDefault="002B37E9" w:rsidP="00226764">
            <w:pPr>
              <w:pStyle w:val="Tabletext"/>
              <w:jc w:val="left"/>
              <w:rPr>
                <w:lang w:val="es-ES_tradnl"/>
              </w:rPr>
            </w:pPr>
            <w:r w:rsidRPr="00140923">
              <w:rPr>
                <w:color w:val="000000"/>
                <w:lang w:val="es-ES_tradnl"/>
              </w:rPr>
              <w:t>Nivel de entrada normalizado del receptor para una BER de 1 × 10</w:t>
            </w:r>
            <w:r w:rsidR="00A941C1" w:rsidRPr="00A941C1">
              <w:rPr>
                <w:color w:val="000000"/>
                <w:vertAlign w:val="superscript"/>
                <w:lang w:val="es-ES_tradnl"/>
              </w:rPr>
              <w:t>−</w:t>
            </w:r>
            <w:r w:rsidRPr="00140923">
              <w:rPr>
                <w:color w:val="000000"/>
                <w:vertAlign w:val="superscript"/>
                <w:lang w:val="es-ES_tradnl"/>
              </w:rPr>
              <w:t>6</w:t>
            </w:r>
            <w:r w:rsidRPr="00140923">
              <w:rPr>
                <w:color w:val="000000"/>
                <w:lang w:val="es-ES_tradnl"/>
              </w:rPr>
              <w:t xml:space="preserve"> (dBW/MHz)</w:t>
            </w:r>
          </w:p>
        </w:tc>
        <w:tc>
          <w:tcPr>
            <w:tcW w:w="2552" w:type="dxa"/>
            <w:tcBorders>
              <w:top w:val="single" w:sz="4" w:space="0" w:color="auto"/>
              <w:left w:val="single" w:sz="4" w:space="0" w:color="auto"/>
              <w:bottom w:val="single" w:sz="4" w:space="0" w:color="auto"/>
              <w:right w:val="single" w:sz="4" w:space="0" w:color="auto"/>
            </w:tcBorders>
            <w:hideMark/>
          </w:tcPr>
          <w:p w14:paraId="06DCF14C" w14:textId="143E2802" w:rsidR="002B37E9" w:rsidRPr="00140923" w:rsidRDefault="001B39C4" w:rsidP="00226764">
            <w:pPr>
              <w:pStyle w:val="Tabletext"/>
              <w:jc w:val="center"/>
              <w:rPr>
                <w:lang w:val="es-ES_tradnl" w:eastAsia="ja-JP"/>
              </w:rPr>
            </w:pPr>
            <w:r w:rsidRPr="001B39C4">
              <w:rPr>
                <w:lang w:val="es-ES_tradnl" w:eastAsia="ja-JP"/>
              </w:rPr>
              <w:t>−</w:t>
            </w:r>
            <w:r w:rsidR="002B37E9" w:rsidRPr="00140923">
              <w:rPr>
                <w:lang w:val="es-ES_tradnl" w:eastAsia="ja-JP"/>
              </w:rPr>
              <w:t>121</w:t>
            </w:r>
            <w:r w:rsidR="002B37E9" w:rsidRPr="00140923">
              <w:rPr>
                <w:vertAlign w:val="superscript"/>
                <w:lang w:val="es-ES_tradnl"/>
              </w:rPr>
              <w:t>(</w:t>
            </w:r>
            <w:r w:rsidR="002B37E9" w:rsidRPr="00140923">
              <w:rPr>
                <w:vertAlign w:val="superscript"/>
                <w:lang w:val="es-ES_tradnl" w:eastAsia="ja-JP"/>
              </w:rPr>
              <w:t>2)</w:t>
            </w:r>
            <w:r w:rsidR="002B37E9" w:rsidRPr="00140923">
              <w:rPr>
                <w:lang w:val="es-ES_tradnl" w:eastAsia="ja-JP"/>
              </w:rPr>
              <w:t xml:space="preserve"> </w:t>
            </w:r>
          </w:p>
        </w:tc>
        <w:tc>
          <w:tcPr>
            <w:tcW w:w="2556" w:type="dxa"/>
            <w:tcBorders>
              <w:top w:val="single" w:sz="4" w:space="0" w:color="auto"/>
              <w:left w:val="single" w:sz="4" w:space="0" w:color="auto"/>
              <w:bottom w:val="single" w:sz="4" w:space="0" w:color="auto"/>
              <w:right w:val="single" w:sz="4" w:space="0" w:color="auto"/>
            </w:tcBorders>
            <w:hideMark/>
          </w:tcPr>
          <w:p w14:paraId="6521B145" w14:textId="77777777" w:rsidR="002B37E9" w:rsidRPr="00140923" w:rsidRDefault="002B37E9" w:rsidP="00226764">
            <w:pPr>
              <w:pStyle w:val="Tabletext"/>
              <w:jc w:val="center"/>
              <w:rPr>
                <w:lang w:val="es-ES_tradnl"/>
              </w:rPr>
            </w:pPr>
            <w:r w:rsidRPr="00140923">
              <w:rPr>
                <w:lang w:val="es-ES_tradnl" w:eastAsia="ja-JP"/>
              </w:rPr>
              <w:t>–121</w:t>
            </w:r>
            <w:r w:rsidRPr="00140923">
              <w:rPr>
                <w:vertAlign w:val="superscript"/>
                <w:lang w:val="es-ES_tradnl"/>
              </w:rPr>
              <w:t>(</w:t>
            </w:r>
            <w:r w:rsidRPr="00140923">
              <w:rPr>
                <w:vertAlign w:val="superscript"/>
                <w:lang w:val="es-ES_tradnl" w:eastAsia="ja-JP"/>
              </w:rPr>
              <w:t>2)</w:t>
            </w:r>
          </w:p>
        </w:tc>
      </w:tr>
      <w:tr w:rsidR="002B37E9" w:rsidRPr="00140923" w14:paraId="154304E9" w14:textId="77777777" w:rsidTr="00480606">
        <w:trPr>
          <w:jc w:val="center"/>
        </w:trPr>
        <w:tc>
          <w:tcPr>
            <w:tcW w:w="4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356CE8" w14:textId="741A9B04" w:rsidR="002B37E9" w:rsidRPr="00140923" w:rsidRDefault="002B37E9" w:rsidP="00226764">
            <w:pPr>
              <w:pStyle w:val="Tabletext"/>
              <w:jc w:val="left"/>
              <w:rPr>
                <w:lang w:val="es-ES_tradnl" w:eastAsia="ja-JP"/>
              </w:rPr>
            </w:pPr>
            <w:r w:rsidRPr="00140923">
              <w:rPr>
                <w:color w:val="000000"/>
                <w:lang w:val="es-ES_tradnl"/>
              </w:rPr>
              <w:t>Densidad de potencia de interferencia a largo plazo nominal (dBW/MHz)</w:t>
            </w:r>
            <w:r w:rsidRPr="00140923">
              <w:rPr>
                <w:color w:val="000000"/>
                <w:vertAlign w:val="superscript"/>
                <w:lang w:val="es-ES_tradnl" w:eastAsia="ja-JP"/>
              </w:rPr>
              <w:t>(2)</w:t>
            </w:r>
          </w:p>
        </w:tc>
        <w:tc>
          <w:tcPr>
            <w:tcW w:w="2552" w:type="dxa"/>
            <w:tcBorders>
              <w:top w:val="single" w:sz="4" w:space="0" w:color="auto"/>
              <w:left w:val="single" w:sz="4" w:space="0" w:color="auto"/>
              <w:bottom w:val="single" w:sz="4" w:space="0" w:color="auto"/>
              <w:right w:val="single" w:sz="4" w:space="0" w:color="auto"/>
            </w:tcBorders>
            <w:hideMark/>
          </w:tcPr>
          <w:p w14:paraId="229FC3B8" w14:textId="15AD1398" w:rsidR="002B37E9" w:rsidRPr="00140923" w:rsidRDefault="001B39C4" w:rsidP="00226764">
            <w:pPr>
              <w:pStyle w:val="Tabletext"/>
              <w:ind w:left="-57" w:right="-57"/>
              <w:jc w:val="center"/>
              <w:rPr>
                <w:lang w:val="es-ES_tradnl" w:eastAsia="ja-JP"/>
              </w:rPr>
            </w:pPr>
            <w:r w:rsidRPr="001B39C4">
              <w:rPr>
                <w:lang w:val="es-ES_tradnl" w:eastAsia="ja-JP"/>
              </w:rPr>
              <w:t>−</w:t>
            </w:r>
            <w:r w:rsidR="002B37E9" w:rsidRPr="00140923">
              <w:rPr>
                <w:lang w:val="es-ES_tradnl" w:eastAsia="ja-JP"/>
              </w:rPr>
              <w:t xml:space="preserve">140 </w:t>
            </w:r>
            <w:r w:rsidR="002B37E9" w:rsidRPr="00140923">
              <w:rPr>
                <w:color w:val="000000"/>
                <w:lang w:val="es-ES_tradnl" w:eastAsia="ja-JP"/>
              </w:rPr>
              <w:t xml:space="preserve">+ </w:t>
            </w:r>
            <w:r w:rsidR="002B37E9" w:rsidRPr="00140923">
              <w:rPr>
                <w:i/>
                <w:iCs/>
                <w:color w:val="000000"/>
                <w:lang w:val="es-ES_tradnl" w:eastAsia="ja-JP"/>
              </w:rPr>
              <w:t>I</w:t>
            </w:r>
            <w:r w:rsidR="002B37E9" w:rsidRPr="00140923">
              <w:rPr>
                <w:iCs/>
                <w:color w:val="000000"/>
                <w:lang w:val="es-ES_tradnl" w:eastAsia="ja-JP"/>
              </w:rPr>
              <w:t>/</w:t>
            </w:r>
            <w:r w:rsidR="002B37E9" w:rsidRPr="00140923">
              <w:rPr>
                <w:i/>
                <w:iCs/>
                <w:color w:val="000000"/>
                <w:lang w:val="es-ES_tradnl" w:eastAsia="ja-JP"/>
              </w:rPr>
              <w:t>N</w:t>
            </w:r>
            <w:r w:rsidR="002B37E9" w:rsidRPr="00140923">
              <w:rPr>
                <w:vertAlign w:val="superscript"/>
                <w:lang w:val="es-ES_tradnl"/>
              </w:rPr>
              <w:t>(</w:t>
            </w:r>
            <w:r w:rsidR="002B37E9" w:rsidRPr="00140923">
              <w:rPr>
                <w:vertAlign w:val="superscript"/>
                <w:lang w:val="es-ES_tradnl" w:eastAsia="ja-JP"/>
              </w:rPr>
              <w:t>3</w:t>
            </w:r>
            <w:r w:rsidR="002B37E9" w:rsidRPr="00140923">
              <w:rPr>
                <w:vertAlign w:val="superscript"/>
                <w:lang w:val="es-ES_tradnl"/>
              </w:rPr>
              <w:t>)</w:t>
            </w:r>
          </w:p>
        </w:tc>
        <w:tc>
          <w:tcPr>
            <w:tcW w:w="2556" w:type="dxa"/>
            <w:tcBorders>
              <w:top w:val="single" w:sz="4" w:space="0" w:color="auto"/>
              <w:left w:val="single" w:sz="4" w:space="0" w:color="auto"/>
              <w:bottom w:val="single" w:sz="4" w:space="0" w:color="auto"/>
              <w:right w:val="single" w:sz="4" w:space="0" w:color="auto"/>
            </w:tcBorders>
            <w:hideMark/>
          </w:tcPr>
          <w:p w14:paraId="66242F9A" w14:textId="5C4BD0F4" w:rsidR="002B37E9" w:rsidRPr="00140923" w:rsidRDefault="001B39C4" w:rsidP="00226764">
            <w:pPr>
              <w:pStyle w:val="Tabletext"/>
              <w:ind w:left="-57" w:right="-57"/>
              <w:jc w:val="center"/>
              <w:rPr>
                <w:lang w:val="es-ES_tradnl" w:eastAsia="ja-JP"/>
              </w:rPr>
            </w:pPr>
            <w:r w:rsidRPr="001B39C4">
              <w:rPr>
                <w:lang w:val="es-ES_tradnl" w:eastAsia="ja-JP"/>
              </w:rPr>
              <w:t>−</w:t>
            </w:r>
            <w:r w:rsidR="002B37E9" w:rsidRPr="00140923">
              <w:rPr>
                <w:lang w:val="es-ES_tradnl" w:eastAsia="ja-JP"/>
              </w:rPr>
              <w:t xml:space="preserve">140 </w:t>
            </w:r>
            <w:r w:rsidR="002B37E9" w:rsidRPr="00140923">
              <w:rPr>
                <w:color w:val="000000"/>
                <w:lang w:val="es-ES_tradnl" w:eastAsia="ja-JP"/>
              </w:rPr>
              <w:t xml:space="preserve">+ </w:t>
            </w:r>
            <w:r w:rsidR="002B37E9" w:rsidRPr="00140923">
              <w:rPr>
                <w:i/>
                <w:iCs/>
                <w:color w:val="000000"/>
                <w:lang w:val="es-ES_tradnl" w:eastAsia="ja-JP"/>
              </w:rPr>
              <w:t>I</w:t>
            </w:r>
            <w:r w:rsidR="002B37E9" w:rsidRPr="00140923">
              <w:rPr>
                <w:iCs/>
                <w:color w:val="000000"/>
                <w:lang w:val="es-ES_tradnl" w:eastAsia="ja-JP"/>
              </w:rPr>
              <w:t>/</w:t>
            </w:r>
            <w:r w:rsidR="002B37E9" w:rsidRPr="00140923">
              <w:rPr>
                <w:i/>
                <w:iCs/>
                <w:color w:val="000000"/>
                <w:lang w:val="es-ES_tradnl" w:eastAsia="ja-JP"/>
              </w:rPr>
              <w:t>N</w:t>
            </w:r>
            <w:r w:rsidR="002B37E9" w:rsidRPr="00140923">
              <w:rPr>
                <w:vertAlign w:val="superscript"/>
                <w:lang w:val="es-ES_tradnl"/>
              </w:rPr>
              <w:t>(</w:t>
            </w:r>
            <w:r w:rsidR="002B37E9" w:rsidRPr="00140923">
              <w:rPr>
                <w:vertAlign w:val="superscript"/>
                <w:lang w:val="es-ES_tradnl" w:eastAsia="ja-JP"/>
              </w:rPr>
              <w:t>3</w:t>
            </w:r>
            <w:r w:rsidR="002B37E9" w:rsidRPr="00140923">
              <w:rPr>
                <w:vertAlign w:val="superscript"/>
                <w:lang w:val="es-ES_tradnl"/>
              </w:rPr>
              <w:t>)</w:t>
            </w:r>
          </w:p>
        </w:tc>
      </w:tr>
      <w:tr w:rsidR="002B37E9" w:rsidRPr="00140923" w14:paraId="33871717" w14:textId="77777777" w:rsidTr="00480606">
        <w:trPr>
          <w:jc w:val="center"/>
        </w:trPr>
        <w:tc>
          <w:tcPr>
            <w:tcW w:w="9639" w:type="dxa"/>
            <w:gridSpan w:val="3"/>
            <w:tcBorders>
              <w:top w:val="single" w:sz="4" w:space="0" w:color="auto"/>
              <w:left w:val="nil"/>
              <w:bottom w:val="nil"/>
              <w:right w:val="nil"/>
            </w:tcBorders>
            <w:tcMar>
              <w:top w:w="0" w:type="dxa"/>
              <w:left w:w="57" w:type="dxa"/>
              <w:bottom w:w="0" w:type="dxa"/>
              <w:right w:w="57" w:type="dxa"/>
            </w:tcMar>
            <w:hideMark/>
          </w:tcPr>
          <w:p w14:paraId="47200994" w14:textId="0A10D57F" w:rsidR="002B37E9" w:rsidRPr="00140923" w:rsidRDefault="002B37E9" w:rsidP="00226764">
            <w:pPr>
              <w:pStyle w:val="TableLegendNote"/>
              <w:spacing w:before="60"/>
              <w:ind w:left="280" w:right="-57" w:hanging="337"/>
              <w:rPr>
                <w:sz w:val="20"/>
                <w:lang w:val="es-ES_tradnl" w:eastAsia="ja-JP"/>
              </w:rPr>
            </w:pPr>
            <w:r w:rsidRPr="00140923">
              <w:rPr>
                <w:sz w:val="20"/>
                <w:vertAlign w:val="superscript"/>
                <w:lang w:val="es-ES_tradnl"/>
              </w:rPr>
              <w:t>(1)</w:t>
            </w:r>
            <w:r w:rsidRPr="00140923">
              <w:rPr>
                <w:sz w:val="20"/>
                <w:vertAlign w:val="superscript"/>
                <w:lang w:val="es-ES_tradnl" w:eastAsia="ja-JP"/>
              </w:rPr>
              <w:tab/>
            </w:r>
            <w:r w:rsidRPr="00140923">
              <w:rPr>
                <w:sz w:val="20"/>
                <w:lang w:val="es-ES_tradnl" w:eastAsia="ja-JP"/>
              </w:rPr>
              <w:t xml:space="preserve">La </w:t>
            </w:r>
            <w:r w:rsidRPr="00140923">
              <w:rPr>
                <w:sz w:val="20"/>
                <w:lang w:val="es-ES_tradnl"/>
              </w:rPr>
              <w:t>densidad</w:t>
            </w:r>
            <w:r w:rsidRPr="00140923">
              <w:rPr>
                <w:sz w:val="20"/>
                <w:lang w:val="es-ES_tradnl" w:eastAsia="ja-JP"/>
              </w:rPr>
              <w:t xml:space="preserve"> de potencia de </w:t>
            </w:r>
            <w:r w:rsidRPr="00140923">
              <w:rPr>
                <w:sz w:val="20"/>
                <w:lang w:val="es-ES_tradnl"/>
              </w:rPr>
              <w:t>ruido</w:t>
            </w:r>
            <w:r w:rsidRPr="00140923">
              <w:rPr>
                <w:sz w:val="20"/>
                <w:lang w:val="es-ES_tradnl" w:eastAsia="ja-JP"/>
              </w:rPr>
              <w:t xml:space="preserve"> típica del receptor en el </w:t>
            </w:r>
            <w:r w:rsidRPr="00140923">
              <w:rPr>
                <w:sz w:val="20"/>
                <w:lang w:val="es-ES_tradnl"/>
              </w:rPr>
              <w:t>canal</w:t>
            </w:r>
            <w:r w:rsidRPr="00140923">
              <w:rPr>
                <w:sz w:val="20"/>
                <w:lang w:val="es-ES_tradnl" w:eastAsia="ja-JP"/>
              </w:rPr>
              <w:t xml:space="preserve"> </w:t>
            </w:r>
            <w:r w:rsidRPr="00140923">
              <w:rPr>
                <w:sz w:val="20"/>
                <w:lang w:val="es-ES_tradnl"/>
              </w:rPr>
              <w:t>será</w:t>
            </w:r>
            <w:r w:rsidRPr="00140923">
              <w:rPr>
                <w:sz w:val="20"/>
                <w:lang w:val="es-ES_tradnl" w:eastAsia="ja-JP"/>
              </w:rPr>
              <w:t xml:space="preserve"> de </w:t>
            </w:r>
            <w:r w:rsidR="001B39C4" w:rsidRPr="001B39C4">
              <w:rPr>
                <w:sz w:val="20"/>
                <w:lang w:val="es-ES_tradnl" w:eastAsia="ja-JP"/>
              </w:rPr>
              <w:t>−</w:t>
            </w:r>
            <w:r w:rsidRPr="00140923">
              <w:rPr>
                <w:sz w:val="20"/>
                <w:lang w:val="es-ES_tradnl" w:eastAsia="ja-JP"/>
              </w:rPr>
              <w:t xml:space="preserve">159 </w:t>
            </w:r>
            <w:r w:rsidRPr="00140923">
              <w:rPr>
                <w:sz w:val="20"/>
                <w:lang w:val="es-ES_tradnl"/>
              </w:rPr>
              <w:t>dBW</w:t>
            </w:r>
            <w:r w:rsidRPr="00140923">
              <w:rPr>
                <w:sz w:val="20"/>
                <w:lang w:val="es-ES_tradnl" w:eastAsia="ja-JP"/>
              </w:rPr>
              <w:t>/12,5 kHz.</w:t>
            </w:r>
          </w:p>
          <w:p w14:paraId="331C4FAE" w14:textId="3FAF1AD8" w:rsidR="002B37E9" w:rsidRPr="00140923" w:rsidRDefault="002B37E9" w:rsidP="00226764">
            <w:pPr>
              <w:pStyle w:val="TableLegendNote"/>
              <w:spacing w:before="60"/>
              <w:ind w:left="280" w:right="-57" w:hanging="337"/>
              <w:rPr>
                <w:sz w:val="20"/>
                <w:lang w:val="es-ES_tradnl" w:eastAsia="ja-JP"/>
              </w:rPr>
            </w:pPr>
            <w:r w:rsidRPr="00140923">
              <w:rPr>
                <w:sz w:val="20"/>
                <w:vertAlign w:val="superscript"/>
                <w:lang w:val="es-ES_tradnl"/>
              </w:rPr>
              <w:t>(</w:t>
            </w:r>
            <w:r w:rsidRPr="00140923">
              <w:rPr>
                <w:sz w:val="20"/>
                <w:vertAlign w:val="superscript"/>
                <w:lang w:val="es-ES_tradnl" w:eastAsia="ja-JP"/>
              </w:rPr>
              <w:t>2</w:t>
            </w:r>
            <w:r w:rsidRPr="00140923">
              <w:rPr>
                <w:sz w:val="20"/>
                <w:vertAlign w:val="superscript"/>
                <w:lang w:val="es-ES_tradnl"/>
              </w:rPr>
              <w:t>)</w:t>
            </w:r>
            <w:r w:rsidRPr="00140923">
              <w:rPr>
                <w:sz w:val="20"/>
                <w:vertAlign w:val="superscript"/>
                <w:lang w:val="es-ES_tradnl" w:eastAsia="ja-JP"/>
              </w:rPr>
              <w:tab/>
            </w:r>
            <w:r w:rsidRPr="00140923">
              <w:rPr>
                <w:sz w:val="20"/>
                <w:lang w:val="es-ES_tradnl" w:eastAsia="ja-JP"/>
              </w:rPr>
              <w:t xml:space="preserve">El nivel de </w:t>
            </w:r>
            <w:r w:rsidRPr="00140923">
              <w:rPr>
                <w:sz w:val="20"/>
                <w:lang w:val="es-ES_tradnl"/>
              </w:rPr>
              <w:t>entrada</w:t>
            </w:r>
            <w:r w:rsidRPr="00140923">
              <w:rPr>
                <w:sz w:val="20"/>
                <w:lang w:val="es-ES_tradnl" w:eastAsia="ja-JP"/>
              </w:rPr>
              <w:t xml:space="preserve"> </w:t>
            </w:r>
            <w:r w:rsidRPr="00140923">
              <w:rPr>
                <w:sz w:val="20"/>
                <w:lang w:val="es-ES_tradnl"/>
              </w:rPr>
              <w:t>normalizado</w:t>
            </w:r>
            <w:r w:rsidRPr="00140923">
              <w:rPr>
                <w:sz w:val="20"/>
                <w:lang w:val="es-ES_tradnl" w:eastAsia="ja-JP"/>
              </w:rPr>
              <w:t xml:space="preserve"> del </w:t>
            </w:r>
            <w:r w:rsidRPr="00140923">
              <w:rPr>
                <w:sz w:val="20"/>
                <w:lang w:val="es-ES_tradnl"/>
              </w:rPr>
              <w:t>receptor</w:t>
            </w:r>
            <w:r w:rsidRPr="00140923">
              <w:rPr>
                <w:sz w:val="20"/>
                <w:lang w:val="es-ES_tradnl" w:eastAsia="ja-JP"/>
              </w:rPr>
              <w:t xml:space="preserve"> para </w:t>
            </w:r>
            <w:r w:rsidRPr="00140923">
              <w:rPr>
                <w:sz w:val="20"/>
                <w:lang w:val="es-ES_tradnl"/>
              </w:rPr>
              <w:t>una</w:t>
            </w:r>
            <w:r w:rsidRPr="00140923">
              <w:rPr>
                <w:sz w:val="20"/>
                <w:lang w:val="es-ES_tradnl" w:eastAsia="ja-JP"/>
              </w:rPr>
              <w:t xml:space="preserve"> BER de </w:t>
            </w:r>
            <w:r w:rsidRPr="00140923">
              <w:rPr>
                <w:sz w:val="20"/>
                <w:lang w:val="es-ES_tradnl"/>
              </w:rPr>
              <w:t>1 × 10</w:t>
            </w:r>
            <w:r w:rsidRPr="00140923">
              <w:rPr>
                <w:sz w:val="20"/>
                <w:vertAlign w:val="superscript"/>
                <w:lang w:val="es-ES_tradnl"/>
              </w:rPr>
              <w:t>–6</w:t>
            </w:r>
            <w:r w:rsidRPr="00140923">
              <w:rPr>
                <w:sz w:val="20"/>
                <w:lang w:val="es-ES_tradnl"/>
              </w:rPr>
              <w:t xml:space="preserve"> </w:t>
            </w:r>
            <w:r w:rsidRPr="00140923">
              <w:rPr>
                <w:sz w:val="20"/>
                <w:lang w:val="es-ES_tradnl" w:eastAsia="ja-JP"/>
              </w:rPr>
              <w:t xml:space="preserve">en el </w:t>
            </w:r>
            <w:r w:rsidRPr="00140923">
              <w:rPr>
                <w:sz w:val="20"/>
                <w:lang w:val="es-ES_tradnl"/>
              </w:rPr>
              <w:t>canal</w:t>
            </w:r>
            <w:r w:rsidRPr="00140923">
              <w:rPr>
                <w:sz w:val="20"/>
                <w:lang w:val="es-ES_tradnl" w:eastAsia="ja-JP"/>
              </w:rPr>
              <w:t xml:space="preserve"> será de </w:t>
            </w:r>
            <w:r w:rsidR="001B39C4" w:rsidRPr="001B39C4">
              <w:rPr>
                <w:sz w:val="20"/>
                <w:lang w:val="es-ES_tradnl" w:eastAsia="ja-JP"/>
              </w:rPr>
              <w:t>−</w:t>
            </w:r>
            <w:r w:rsidRPr="00140923">
              <w:rPr>
                <w:sz w:val="20"/>
                <w:lang w:val="es-ES_tradnl" w:eastAsia="ja-JP"/>
              </w:rPr>
              <w:t>140 dBW/</w:t>
            </w:r>
            <w:r w:rsidRPr="00140923">
              <w:rPr>
                <w:sz w:val="20"/>
                <w:lang w:val="es-ES_tradnl"/>
              </w:rPr>
              <w:t>12</w:t>
            </w:r>
            <w:r w:rsidRPr="00140923">
              <w:rPr>
                <w:sz w:val="20"/>
                <w:lang w:val="es-ES_tradnl" w:eastAsia="ja-JP"/>
              </w:rPr>
              <w:t>,5 kHz.</w:t>
            </w:r>
          </w:p>
          <w:p w14:paraId="602982AD" w14:textId="77777777" w:rsidR="002B37E9" w:rsidRPr="00140923" w:rsidRDefault="002B37E9" w:rsidP="00226764">
            <w:pPr>
              <w:pStyle w:val="TableLegendNote"/>
              <w:spacing w:before="60"/>
              <w:ind w:left="280" w:right="-57" w:hanging="337"/>
              <w:rPr>
                <w:sz w:val="20"/>
                <w:lang w:val="es-ES_tradnl" w:eastAsia="ja-JP"/>
              </w:rPr>
            </w:pPr>
            <w:r w:rsidRPr="00140923">
              <w:rPr>
                <w:sz w:val="20"/>
                <w:vertAlign w:val="superscript"/>
                <w:lang w:val="es-ES_tradnl"/>
              </w:rPr>
              <w:t>(</w:t>
            </w:r>
            <w:r w:rsidRPr="00140923">
              <w:rPr>
                <w:sz w:val="20"/>
                <w:vertAlign w:val="superscript"/>
                <w:lang w:val="es-ES_tradnl" w:eastAsia="ja-JP"/>
              </w:rPr>
              <w:t>3)</w:t>
            </w:r>
            <w:r w:rsidRPr="00140923">
              <w:rPr>
                <w:sz w:val="20"/>
                <w:vertAlign w:val="superscript"/>
                <w:lang w:val="es-ES_tradnl" w:eastAsia="ja-JP"/>
              </w:rPr>
              <w:tab/>
            </w:r>
            <w:r w:rsidRPr="00140923">
              <w:rPr>
                <w:sz w:val="20"/>
                <w:lang w:val="es-ES_tradnl"/>
              </w:rPr>
              <w:t>La densidad de potencia de interferencia a largo plazo nominal en el canal será de</w:t>
            </w:r>
            <w:r w:rsidRPr="00140923">
              <w:rPr>
                <w:sz w:val="20"/>
                <w:lang w:val="es-ES_tradnl" w:eastAsia="ja-JP"/>
              </w:rPr>
              <w:t xml:space="preserve"> −</w:t>
            </w:r>
            <w:r w:rsidRPr="00140923">
              <w:rPr>
                <w:sz w:val="20"/>
                <w:lang w:val="es-ES_tradnl"/>
              </w:rPr>
              <w:t>159</w:t>
            </w:r>
            <w:r w:rsidRPr="00140923">
              <w:rPr>
                <w:sz w:val="20"/>
                <w:lang w:val="es-ES_tradnl" w:eastAsia="ja-JP"/>
              </w:rPr>
              <w:t> + </w:t>
            </w:r>
            <w:r w:rsidRPr="00140923">
              <w:rPr>
                <w:i/>
                <w:iCs/>
                <w:sz w:val="20"/>
                <w:lang w:val="es-ES_tradnl" w:eastAsia="ja-JP"/>
              </w:rPr>
              <w:t>I</w:t>
            </w:r>
            <w:r w:rsidRPr="00140923">
              <w:rPr>
                <w:iCs/>
                <w:sz w:val="20"/>
                <w:lang w:val="es-ES_tradnl" w:eastAsia="ja-JP"/>
              </w:rPr>
              <w:t>/</w:t>
            </w:r>
            <w:r w:rsidRPr="00140923">
              <w:rPr>
                <w:i/>
                <w:iCs/>
                <w:sz w:val="20"/>
                <w:lang w:val="es-ES_tradnl" w:eastAsia="ja-JP"/>
              </w:rPr>
              <w:t>N</w:t>
            </w:r>
            <w:r w:rsidRPr="00140923">
              <w:rPr>
                <w:sz w:val="20"/>
                <w:lang w:val="es-ES_tradnl" w:eastAsia="ja-JP"/>
              </w:rPr>
              <w:t xml:space="preserve"> </w:t>
            </w:r>
            <w:r w:rsidRPr="00140923">
              <w:rPr>
                <w:sz w:val="20"/>
                <w:lang w:val="es-ES_tradnl"/>
              </w:rPr>
              <w:t>dBW</w:t>
            </w:r>
            <w:r w:rsidRPr="00140923">
              <w:rPr>
                <w:sz w:val="20"/>
                <w:lang w:val="es-ES_tradnl" w:eastAsia="ja-JP"/>
              </w:rPr>
              <w:t xml:space="preserve"> / 12,5 </w:t>
            </w:r>
            <w:r w:rsidRPr="00140923">
              <w:rPr>
                <w:sz w:val="20"/>
                <w:lang w:val="es-ES_tradnl"/>
              </w:rPr>
              <w:t>kHz</w:t>
            </w:r>
            <w:r w:rsidRPr="00140923">
              <w:rPr>
                <w:sz w:val="20"/>
                <w:lang w:val="es-ES_tradnl" w:eastAsia="ja-JP"/>
              </w:rPr>
              <w:t>.</w:t>
            </w:r>
          </w:p>
        </w:tc>
      </w:tr>
    </w:tbl>
    <w:p w14:paraId="608DAAF0" w14:textId="77777777" w:rsidR="002B37E9" w:rsidRPr="004F7602" w:rsidRDefault="002B37E9" w:rsidP="002B37E9">
      <w:pPr>
        <w:pStyle w:val="Tablefin"/>
        <w:rPr>
          <w:lang w:val="es-ES_tradnl"/>
        </w:rPr>
      </w:pPr>
    </w:p>
    <w:p w14:paraId="35E3B45F" w14:textId="77777777" w:rsidR="002B37E9" w:rsidRPr="00140923" w:rsidRDefault="002B37E9" w:rsidP="002B37E9">
      <w:pPr>
        <w:rPr>
          <w:lang w:val="es-ES_tradnl"/>
        </w:rPr>
      </w:pPr>
    </w:p>
    <w:p w14:paraId="7B8B6BA9" w14:textId="77777777" w:rsidR="002B37E9" w:rsidRPr="00140923" w:rsidRDefault="002B37E9" w:rsidP="002B37E9">
      <w:pPr>
        <w:rPr>
          <w:sz w:val="22"/>
          <w:szCs w:val="22"/>
          <w:lang w:val="es-ES_tradnl"/>
        </w:rPr>
        <w:sectPr w:rsidR="002B37E9" w:rsidRPr="00140923" w:rsidSect="0011206E">
          <w:headerReference w:type="even" r:id="rId118"/>
          <w:pgSz w:w="11907" w:h="16834"/>
          <w:pgMar w:top="1418" w:right="1134" w:bottom="1134" w:left="1134" w:header="720" w:footer="482" w:gutter="0"/>
          <w:paperSrc w:first="15" w:other="15"/>
          <w:cols w:space="720"/>
        </w:sectPr>
      </w:pPr>
    </w:p>
    <w:p w14:paraId="2EAE39B7" w14:textId="655638CA" w:rsidR="002B37E9" w:rsidRPr="00480606" w:rsidRDefault="002B37E9" w:rsidP="00480606">
      <w:pPr>
        <w:pStyle w:val="TableNo"/>
        <w:spacing w:before="0"/>
      </w:pPr>
      <w:r w:rsidRPr="00480606">
        <w:lastRenderedPageBreak/>
        <w:t>CUADRO 14</w:t>
      </w:r>
    </w:p>
    <w:p w14:paraId="6CE8FD1E" w14:textId="77777777" w:rsidR="002B37E9" w:rsidRPr="00480606" w:rsidRDefault="002B37E9" w:rsidP="00480606">
      <w:pPr>
        <w:pStyle w:val="Tabletitle"/>
      </w:pPr>
      <w:r w:rsidRPr="00480606">
        <w:t>Parámetros de sistema para los sistemas punto a multipunto del servicio fijo</w:t>
      </w:r>
      <w:r w:rsidRPr="00480606">
        <w:br/>
        <w:t>en bandas atribuidas entre 1,3 y de 11 GHz</w:t>
      </w:r>
    </w:p>
    <w:tbl>
      <w:tblPr>
        <w:tblW w:w="14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0"/>
        <w:gridCol w:w="1418"/>
        <w:gridCol w:w="1134"/>
        <w:gridCol w:w="1701"/>
        <w:gridCol w:w="1276"/>
        <w:gridCol w:w="1701"/>
        <w:gridCol w:w="1276"/>
        <w:gridCol w:w="1275"/>
        <w:gridCol w:w="1329"/>
        <w:gridCol w:w="10"/>
      </w:tblGrid>
      <w:tr w:rsidR="002B37E9" w:rsidRPr="00140923" w14:paraId="1B93E5B3"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vAlign w:val="center"/>
            <w:hideMark/>
          </w:tcPr>
          <w:p w14:paraId="4143475B" w14:textId="77777777" w:rsidR="002B37E9" w:rsidRPr="00140923" w:rsidRDefault="002B37E9" w:rsidP="00226764">
            <w:pPr>
              <w:pStyle w:val="Tablehead"/>
              <w:rPr>
                <w:sz w:val="20"/>
                <w:lang w:val="es-ES_tradnl"/>
              </w:rPr>
            </w:pPr>
            <w:r w:rsidRPr="00140923">
              <w:rPr>
                <w:sz w:val="20"/>
                <w:lang w:val="es-ES_tradnl"/>
              </w:rPr>
              <w:t>Gama de frecuencias</w:t>
            </w:r>
            <w:r w:rsidRPr="00140923">
              <w:rPr>
                <w:sz w:val="20"/>
                <w:lang w:val="es-ES_tradnl"/>
              </w:rPr>
              <w:br/>
              <w:t>(GHz)</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4D1557C8" w14:textId="77777777" w:rsidR="002B37E9" w:rsidRPr="00140923" w:rsidRDefault="002B37E9" w:rsidP="00226764">
            <w:pPr>
              <w:pStyle w:val="Tablehead"/>
              <w:rPr>
                <w:sz w:val="20"/>
                <w:lang w:val="es-ES_tradnl"/>
              </w:rPr>
            </w:pPr>
            <w:r w:rsidRPr="00140923">
              <w:rPr>
                <w:sz w:val="20"/>
                <w:lang w:val="es-ES_tradnl" w:eastAsia="ja-JP"/>
              </w:rPr>
              <w:t>1,35-2,69</w:t>
            </w:r>
            <w:r w:rsidRPr="00140923">
              <w:rPr>
                <w:sz w:val="20"/>
                <w:lang w:val="es-ES_tradnl" w:eastAsia="ja-JP"/>
              </w:rPr>
              <w:br/>
              <w:t>(subbandas 1,35-2,5)</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6D578CF" w14:textId="77777777" w:rsidR="002B37E9" w:rsidRPr="00140923" w:rsidRDefault="002B37E9" w:rsidP="00226764">
            <w:pPr>
              <w:pStyle w:val="Tablehead"/>
              <w:rPr>
                <w:sz w:val="20"/>
                <w:lang w:val="es-ES_tradnl"/>
              </w:rPr>
            </w:pPr>
            <w:r w:rsidRPr="00140923">
              <w:rPr>
                <w:sz w:val="20"/>
                <w:lang w:val="es-ES_tradnl" w:eastAsia="ja-JP"/>
              </w:rPr>
              <w:t>1,35-2,69</w:t>
            </w:r>
            <w:r w:rsidRPr="00140923">
              <w:rPr>
                <w:sz w:val="20"/>
                <w:lang w:val="es-ES_tradnl" w:eastAsia="ja-JP"/>
              </w:rPr>
              <w:br/>
              <w:t>(subbandas 2,5-2,69)</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6887F49" w14:textId="77777777" w:rsidR="002B37E9" w:rsidRPr="00140923" w:rsidRDefault="002B37E9" w:rsidP="00226764">
            <w:pPr>
              <w:pStyle w:val="Tablehead"/>
              <w:rPr>
                <w:sz w:val="20"/>
                <w:lang w:val="es-ES_tradnl" w:eastAsia="ja-JP"/>
              </w:rPr>
            </w:pPr>
            <w:r w:rsidRPr="00140923">
              <w:rPr>
                <w:sz w:val="20"/>
                <w:lang w:val="es-ES_tradnl"/>
              </w:rPr>
              <w:t>3,4</w:t>
            </w:r>
            <w:r w:rsidRPr="00140923">
              <w:rPr>
                <w:sz w:val="20"/>
                <w:lang w:val="es-ES_tradnl" w:eastAsia="ja-JP"/>
              </w:rPr>
              <w:t>0-</w:t>
            </w:r>
            <w:r w:rsidRPr="00140923">
              <w:rPr>
                <w:sz w:val="20"/>
                <w:lang w:val="es-ES_tradnl"/>
              </w:rPr>
              <w:t>3,8</w:t>
            </w:r>
            <w:r w:rsidRPr="00140923">
              <w:rPr>
                <w:sz w:val="20"/>
                <w:lang w:val="es-ES_tradnl" w:eastAsia="ja-JP"/>
              </w:rPr>
              <w:t>0</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3D87BE14" w14:textId="77777777" w:rsidR="002B37E9" w:rsidRPr="00140923" w:rsidRDefault="002B37E9" w:rsidP="00226764">
            <w:pPr>
              <w:pStyle w:val="Tablehead"/>
              <w:rPr>
                <w:sz w:val="20"/>
                <w:lang w:val="es-ES_tradnl" w:eastAsia="ja-JP"/>
              </w:rPr>
            </w:pPr>
            <w:r w:rsidRPr="00140923">
              <w:rPr>
                <w:sz w:val="20"/>
                <w:lang w:val="es-ES_tradnl"/>
              </w:rPr>
              <w:t>10</w:t>
            </w:r>
            <w:r w:rsidRPr="00140923">
              <w:rPr>
                <w:sz w:val="20"/>
                <w:lang w:val="es-ES_tradnl" w:eastAsia="ja-JP"/>
              </w:rPr>
              <w:t>,15</w:t>
            </w:r>
            <w:r w:rsidRPr="00140923">
              <w:rPr>
                <w:sz w:val="20"/>
                <w:lang w:val="es-ES_tradnl"/>
              </w:rPr>
              <w:t>-10,68</w:t>
            </w:r>
          </w:p>
        </w:tc>
      </w:tr>
      <w:tr w:rsidR="002B37E9" w:rsidRPr="00140923" w14:paraId="3EB2CF7A"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DFD51A" w14:textId="77777777" w:rsidR="002B37E9" w:rsidRPr="00140923" w:rsidRDefault="002B37E9" w:rsidP="00226764">
            <w:pPr>
              <w:pStyle w:val="Tabletext"/>
              <w:jc w:val="left"/>
              <w:rPr>
                <w:sz w:val="20"/>
                <w:lang w:val="es-ES_tradnl"/>
              </w:rPr>
            </w:pPr>
            <w:r w:rsidRPr="00140923">
              <w:rPr>
                <w:sz w:val="20"/>
                <w:lang w:val="es-ES_tradnl"/>
              </w:rPr>
              <w:t>Recomendación UIT-R de referencia</w:t>
            </w:r>
          </w:p>
        </w:tc>
        <w:tc>
          <w:tcPr>
            <w:tcW w:w="2552" w:type="dxa"/>
            <w:gridSpan w:val="2"/>
            <w:tcBorders>
              <w:top w:val="single" w:sz="4" w:space="0" w:color="auto"/>
              <w:left w:val="single" w:sz="4" w:space="0" w:color="auto"/>
              <w:bottom w:val="single" w:sz="4" w:space="0" w:color="auto"/>
              <w:right w:val="single" w:sz="4" w:space="0" w:color="auto"/>
            </w:tcBorders>
            <w:hideMark/>
          </w:tcPr>
          <w:p w14:paraId="0CFF0E74" w14:textId="77777777" w:rsidR="002B37E9" w:rsidRPr="00140923" w:rsidRDefault="002B37E9" w:rsidP="00226764">
            <w:pPr>
              <w:pStyle w:val="Tabletext"/>
              <w:jc w:val="center"/>
              <w:rPr>
                <w:sz w:val="20"/>
                <w:lang w:val="es-ES_tradnl" w:eastAsia="ja-JP"/>
              </w:rPr>
            </w:pPr>
            <w:r w:rsidRPr="00140923">
              <w:rPr>
                <w:sz w:val="20"/>
                <w:lang w:val="es-ES_tradnl"/>
              </w:rPr>
              <w:t>F.</w:t>
            </w:r>
            <w:r w:rsidRPr="00140923">
              <w:rPr>
                <w:sz w:val="20"/>
                <w:lang w:val="es-ES_tradnl" w:eastAsia="ja-JP"/>
              </w:rPr>
              <w:t>701</w:t>
            </w:r>
          </w:p>
        </w:tc>
        <w:tc>
          <w:tcPr>
            <w:tcW w:w="2977" w:type="dxa"/>
            <w:gridSpan w:val="2"/>
            <w:tcBorders>
              <w:top w:val="single" w:sz="4" w:space="0" w:color="auto"/>
              <w:left w:val="single" w:sz="4" w:space="0" w:color="auto"/>
              <w:bottom w:val="single" w:sz="4" w:space="0" w:color="auto"/>
              <w:right w:val="single" w:sz="4" w:space="0" w:color="auto"/>
            </w:tcBorders>
            <w:hideMark/>
          </w:tcPr>
          <w:p w14:paraId="2FDA40F9" w14:textId="77777777" w:rsidR="002B37E9" w:rsidRPr="00140923" w:rsidRDefault="002B37E9" w:rsidP="00226764">
            <w:pPr>
              <w:pStyle w:val="Tabletext"/>
              <w:jc w:val="center"/>
              <w:rPr>
                <w:sz w:val="20"/>
                <w:lang w:val="es-ES_tradnl" w:eastAsia="ja-JP"/>
              </w:rPr>
            </w:pPr>
            <w:r w:rsidRPr="00140923">
              <w:rPr>
                <w:sz w:val="20"/>
                <w:lang w:val="es-ES_tradnl" w:eastAsia="ja-JP"/>
              </w:rPr>
              <w:t>F.701</w:t>
            </w:r>
          </w:p>
        </w:tc>
        <w:tc>
          <w:tcPr>
            <w:tcW w:w="2977" w:type="dxa"/>
            <w:gridSpan w:val="2"/>
            <w:tcBorders>
              <w:top w:val="single" w:sz="4" w:space="0" w:color="auto"/>
              <w:left w:val="single" w:sz="4" w:space="0" w:color="auto"/>
              <w:bottom w:val="single" w:sz="4" w:space="0" w:color="auto"/>
              <w:right w:val="single" w:sz="4" w:space="0" w:color="auto"/>
            </w:tcBorders>
            <w:hideMark/>
          </w:tcPr>
          <w:p w14:paraId="62FB5936" w14:textId="77777777" w:rsidR="002B37E9" w:rsidRPr="00140923" w:rsidRDefault="002B37E9" w:rsidP="00226764">
            <w:pPr>
              <w:pStyle w:val="Tabletext"/>
              <w:jc w:val="center"/>
              <w:rPr>
                <w:sz w:val="20"/>
                <w:lang w:val="es-ES_tradnl"/>
              </w:rPr>
            </w:pPr>
            <w:r w:rsidRPr="00140923">
              <w:rPr>
                <w:sz w:val="20"/>
                <w:lang w:val="es-ES_tradnl"/>
              </w:rPr>
              <w:t>F.1488</w:t>
            </w:r>
          </w:p>
        </w:tc>
        <w:tc>
          <w:tcPr>
            <w:tcW w:w="2609" w:type="dxa"/>
            <w:gridSpan w:val="3"/>
            <w:tcBorders>
              <w:top w:val="single" w:sz="4" w:space="0" w:color="auto"/>
              <w:left w:val="single" w:sz="4" w:space="0" w:color="auto"/>
              <w:bottom w:val="single" w:sz="4" w:space="0" w:color="auto"/>
              <w:right w:val="single" w:sz="4" w:space="0" w:color="auto"/>
            </w:tcBorders>
            <w:hideMark/>
          </w:tcPr>
          <w:p w14:paraId="5F9A54C4" w14:textId="77777777" w:rsidR="002B37E9" w:rsidRPr="00140923" w:rsidRDefault="002B37E9" w:rsidP="00226764">
            <w:pPr>
              <w:pStyle w:val="Tabletext"/>
              <w:jc w:val="center"/>
              <w:rPr>
                <w:sz w:val="20"/>
                <w:lang w:val="es-ES_tradnl"/>
              </w:rPr>
            </w:pPr>
            <w:r w:rsidRPr="00140923">
              <w:rPr>
                <w:sz w:val="20"/>
                <w:lang w:val="es-ES_tradnl"/>
              </w:rPr>
              <w:t>F.747, F.1568</w:t>
            </w:r>
          </w:p>
        </w:tc>
      </w:tr>
      <w:tr w:rsidR="002B37E9" w:rsidRPr="00140923" w14:paraId="4F5379DB"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CE40DA" w14:textId="77777777" w:rsidR="002B37E9" w:rsidRPr="00140923" w:rsidRDefault="002B37E9" w:rsidP="00226764">
            <w:pPr>
              <w:pStyle w:val="Tabletext"/>
              <w:jc w:val="left"/>
              <w:rPr>
                <w:sz w:val="20"/>
                <w:lang w:val="es-ES_tradnl"/>
              </w:rPr>
            </w:pPr>
            <w:r w:rsidRPr="00140923">
              <w:rPr>
                <w:sz w:val="20"/>
                <w:lang w:val="es-ES_tradnl"/>
              </w:rPr>
              <w:t xml:space="preserve">Formato de modulación </w:t>
            </w:r>
          </w:p>
        </w:tc>
        <w:tc>
          <w:tcPr>
            <w:tcW w:w="1418" w:type="dxa"/>
            <w:tcBorders>
              <w:top w:val="single" w:sz="4" w:space="0" w:color="auto"/>
              <w:left w:val="single" w:sz="4" w:space="0" w:color="auto"/>
              <w:bottom w:val="single" w:sz="4" w:space="0" w:color="auto"/>
              <w:right w:val="single" w:sz="4" w:space="0" w:color="auto"/>
            </w:tcBorders>
            <w:hideMark/>
          </w:tcPr>
          <w:p w14:paraId="3F9ADA9D" w14:textId="77777777" w:rsidR="002B37E9" w:rsidRPr="00140923" w:rsidRDefault="002B37E9" w:rsidP="00226764">
            <w:pPr>
              <w:pStyle w:val="Tabletext"/>
              <w:jc w:val="center"/>
              <w:rPr>
                <w:sz w:val="20"/>
                <w:lang w:val="es-ES_tradnl" w:eastAsia="ja-JP"/>
              </w:rPr>
            </w:pPr>
            <w:r w:rsidRPr="00140923">
              <w:rPr>
                <w:sz w:val="20"/>
                <w:lang w:val="es-ES_tradnl" w:eastAsia="ja-JP"/>
              </w:rPr>
              <w:t>Estaciones centrales</w:t>
            </w:r>
          </w:p>
        </w:tc>
        <w:tc>
          <w:tcPr>
            <w:tcW w:w="1134" w:type="dxa"/>
            <w:tcBorders>
              <w:top w:val="single" w:sz="4" w:space="0" w:color="auto"/>
              <w:left w:val="single" w:sz="4" w:space="0" w:color="auto"/>
              <w:bottom w:val="single" w:sz="4" w:space="0" w:color="auto"/>
              <w:right w:val="single" w:sz="4" w:space="0" w:color="auto"/>
            </w:tcBorders>
            <w:hideMark/>
          </w:tcPr>
          <w:p w14:paraId="32C196C6" w14:textId="77777777" w:rsidR="002B37E9" w:rsidRPr="00140923" w:rsidRDefault="002B37E9" w:rsidP="00226764">
            <w:pPr>
              <w:pStyle w:val="Tabletext"/>
              <w:jc w:val="center"/>
              <w:rPr>
                <w:sz w:val="20"/>
                <w:lang w:val="es-ES_tradnl" w:eastAsia="ja-JP"/>
              </w:rPr>
            </w:pPr>
            <w:r w:rsidRPr="00140923">
              <w:rPr>
                <w:sz w:val="20"/>
                <w:lang w:val="es-ES_tradnl" w:eastAsia="ja-JP"/>
              </w:rPr>
              <w:t>Estaciones terminales</w:t>
            </w:r>
          </w:p>
        </w:tc>
        <w:tc>
          <w:tcPr>
            <w:tcW w:w="1701" w:type="dxa"/>
            <w:tcBorders>
              <w:top w:val="single" w:sz="4" w:space="0" w:color="auto"/>
              <w:left w:val="single" w:sz="4" w:space="0" w:color="auto"/>
              <w:bottom w:val="single" w:sz="4" w:space="0" w:color="auto"/>
              <w:right w:val="single" w:sz="4" w:space="0" w:color="auto"/>
            </w:tcBorders>
            <w:hideMark/>
          </w:tcPr>
          <w:p w14:paraId="47C1E652" w14:textId="77777777" w:rsidR="002B37E9" w:rsidRPr="00140923" w:rsidRDefault="002B37E9" w:rsidP="00226764">
            <w:pPr>
              <w:pStyle w:val="Tabletext"/>
              <w:jc w:val="center"/>
              <w:rPr>
                <w:sz w:val="20"/>
                <w:lang w:val="es-ES_tradnl" w:eastAsia="ja-JP"/>
              </w:rPr>
            </w:pPr>
            <w:r w:rsidRPr="00140923">
              <w:rPr>
                <w:sz w:val="20"/>
                <w:lang w:val="es-ES_tradnl" w:eastAsia="ja-JP"/>
              </w:rPr>
              <w:t>Estaciones centrales</w:t>
            </w:r>
            <w:r w:rsidRPr="00140923">
              <w:rPr>
                <w:sz w:val="20"/>
                <w:lang w:val="es-ES_tradnl" w:eastAsia="ja-JP"/>
              </w:rPr>
              <w:br/>
              <w:t>MDP-4 a través de MAQ-64</w:t>
            </w:r>
            <w:r w:rsidRPr="00140923">
              <w:rPr>
                <w:sz w:val="20"/>
                <w:vertAlign w:val="superscript"/>
                <w:lang w:val="es-ES_tradnl" w:eastAsia="ja-JP"/>
              </w:rPr>
              <w:t>(7)</w:t>
            </w:r>
          </w:p>
        </w:tc>
        <w:tc>
          <w:tcPr>
            <w:tcW w:w="1276" w:type="dxa"/>
            <w:tcBorders>
              <w:top w:val="single" w:sz="4" w:space="0" w:color="auto"/>
              <w:left w:val="single" w:sz="4" w:space="0" w:color="auto"/>
              <w:bottom w:val="single" w:sz="4" w:space="0" w:color="auto"/>
              <w:right w:val="single" w:sz="4" w:space="0" w:color="auto"/>
            </w:tcBorders>
            <w:hideMark/>
          </w:tcPr>
          <w:p w14:paraId="74ADC10F" w14:textId="77777777" w:rsidR="002B37E9" w:rsidRPr="00140923" w:rsidRDefault="002B37E9" w:rsidP="00226764">
            <w:pPr>
              <w:pStyle w:val="Tabletext"/>
              <w:jc w:val="center"/>
              <w:rPr>
                <w:sz w:val="20"/>
                <w:lang w:val="es-ES_tradnl" w:eastAsia="ja-JP"/>
              </w:rPr>
            </w:pPr>
            <w:r w:rsidRPr="00140923">
              <w:rPr>
                <w:sz w:val="20"/>
                <w:lang w:val="es-ES_tradnl" w:eastAsia="ja-JP"/>
              </w:rPr>
              <w:t>Estaciones terminales</w:t>
            </w:r>
            <w:r w:rsidRPr="00140923">
              <w:rPr>
                <w:sz w:val="20"/>
                <w:lang w:val="es-ES_tradnl" w:eastAsia="ja-JP"/>
              </w:rPr>
              <w:br/>
              <w:t>MDP-4</w:t>
            </w:r>
          </w:p>
        </w:tc>
        <w:tc>
          <w:tcPr>
            <w:tcW w:w="1701" w:type="dxa"/>
            <w:tcBorders>
              <w:top w:val="single" w:sz="4" w:space="0" w:color="auto"/>
              <w:left w:val="single" w:sz="4" w:space="0" w:color="auto"/>
              <w:bottom w:val="single" w:sz="4" w:space="0" w:color="auto"/>
              <w:right w:val="single" w:sz="4" w:space="0" w:color="auto"/>
            </w:tcBorders>
            <w:hideMark/>
          </w:tcPr>
          <w:p w14:paraId="48D46485" w14:textId="77777777" w:rsidR="002B37E9" w:rsidRPr="00140923" w:rsidRDefault="002B37E9" w:rsidP="00226764">
            <w:pPr>
              <w:pStyle w:val="Tabletext"/>
              <w:jc w:val="center"/>
              <w:rPr>
                <w:sz w:val="20"/>
                <w:lang w:val="es-ES_tradnl" w:eastAsia="ja-JP"/>
              </w:rPr>
            </w:pPr>
            <w:r w:rsidRPr="00140923">
              <w:rPr>
                <w:sz w:val="20"/>
                <w:lang w:val="es-ES_tradnl" w:eastAsia="ja-JP"/>
              </w:rPr>
              <w:t>Estaciones centrales</w:t>
            </w:r>
            <w:r w:rsidRPr="00140923">
              <w:rPr>
                <w:sz w:val="20"/>
                <w:lang w:val="es-ES_tradnl" w:eastAsia="ja-JP"/>
              </w:rPr>
              <w:br/>
              <w:t>MDP-4 a través de MAQ-64</w:t>
            </w:r>
            <w:r w:rsidRPr="00140923">
              <w:rPr>
                <w:sz w:val="20"/>
                <w:vertAlign w:val="superscript"/>
                <w:lang w:val="es-ES_tradnl" w:eastAsia="ja-JP"/>
              </w:rPr>
              <w:t>(7)</w:t>
            </w:r>
          </w:p>
        </w:tc>
        <w:tc>
          <w:tcPr>
            <w:tcW w:w="1276" w:type="dxa"/>
            <w:tcBorders>
              <w:top w:val="single" w:sz="4" w:space="0" w:color="auto"/>
              <w:left w:val="single" w:sz="4" w:space="0" w:color="auto"/>
              <w:bottom w:val="single" w:sz="4" w:space="0" w:color="auto"/>
              <w:right w:val="single" w:sz="4" w:space="0" w:color="auto"/>
            </w:tcBorders>
            <w:hideMark/>
          </w:tcPr>
          <w:p w14:paraId="172116C3" w14:textId="77777777" w:rsidR="002B37E9" w:rsidRPr="00140923" w:rsidRDefault="002B37E9" w:rsidP="00226764">
            <w:pPr>
              <w:pStyle w:val="Tabletext"/>
              <w:jc w:val="center"/>
              <w:rPr>
                <w:sz w:val="20"/>
                <w:lang w:val="es-ES_tradnl" w:eastAsia="ja-JP"/>
              </w:rPr>
            </w:pPr>
            <w:r w:rsidRPr="00140923">
              <w:rPr>
                <w:sz w:val="20"/>
                <w:lang w:val="es-ES_tradnl" w:eastAsia="ja-JP"/>
              </w:rPr>
              <w:t>Estaciones terminales MDP-4</w:t>
            </w:r>
          </w:p>
        </w:tc>
        <w:tc>
          <w:tcPr>
            <w:tcW w:w="1275" w:type="dxa"/>
            <w:tcBorders>
              <w:top w:val="single" w:sz="4" w:space="0" w:color="auto"/>
              <w:left w:val="single" w:sz="4" w:space="0" w:color="auto"/>
              <w:bottom w:val="single" w:sz="4" w:space="0" w:color="auto"/>
              <w:right w:val="single" w:sz="4" w:space="0" w:color="auto"/>
            </w:tcBorders>
            <w:hideMark/>
          </w:tcPr>
          <w:p w14:paraId="6B730583" w14:textId="77777777" w:rsidR="002B37E9" w:rsidRPr="00140923" w:rsidRDefault="002B37E9" w:rsidP="00226764">
            <w:pPr>
              <w:pStyle w:val="Tabletext"/>
              <w:jc w:val="center"/>
              <w:rPr>
                <w:sz w:val="20"/>
                <w:lang w:val="es-ES_tradnl"/>
              </w:rPr>
            </w:pPr>
            <w:r w:rsidRPr="00140923">
              <w:rPr>
                <w:sz w:val="20"/>
                <w:lang w:val="es-ES_tradnl" w:eastAsia="ja-JP"/>
              </w:rPr>
              <w:t>Estaciones centrales</w:t>
            </w:r>
            <w:r w:rsidRPr="00140923">
              <w:rPr>
                <w:sz w:val="20"/>
                <w:lang w:val="es-ES_tradnl" w:eastAsia="ja-JP"/>
              </w:rPr>
              <w:br/>
              <w:t>MAQ-64</w:t>
            </w:r>
          </w:p>
        </w:tc>
        <w:tc>
          <w:tcPr>
            <w:tcW w:w="1334" w:type="dxa"/>
            <w:gridSpan w:val="2"/>
            <w:tcBorders>
              <w:top w:val="single" w:sz="4" w:space="0" w:color="auto"/>
              <w:left w:val="single" w:sz="4" w:space="0" w:color="auto"/>
              <w:bottom w:val="single" w:sz="4" w:space="0" w:color="auto"/>
              <w:right w:val="single" w:sz="4" w:space="0" w:color="auto"/>
            </w:tcBorders>
            <w:hideMark/>
          </w:tcPr>
          <w:p w14:paraId="36A76827" w14:textId="77777777" w:rsidR="002B37E9" w:rsidRPr="00140923" w:rsidRDefault="002B37E9" w:rsidP="00226764">
            <w:pPr>
              <w:pStyle w:val="Tabletext"/>
              <w:jc w:val="center"/>
              <w:rPr>
                <w:sz w:val="20"/>
                <w:lang w:val="es-ES_tradnl" w:eastAsia="ja-JP"/>
              </w:rPr>
            </w:pPr>
            <w:r w:rsidRPr="00140923">
              <w:rPr>
                <w:sz w:val="20"/>
                <w:lang w:val="es-ES_tradnl" w:eastAsia="ja-JP"/>
              </w:rPr>
              <w:t>Estaciones terminales MAQ-64</w:t>
            </w:r>
          </w:p>
        </w:tc>
      </w:tr>
      <w:tr w:rsidR="002B37E9" w:rsidRPr="00140923" w14:paraId="2CEF5A28"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076B0A8" w14:textId="77777777" w:rsidR="002B37E9" w:rsidRPr="00140923" w:rsidRDefault="002B37E9" w:rsidP="00226764">
            <w:pPr>
              <w:pStyle w:val="Tabletext"/>
              <w:jc w:val="left"/>
              <w:rPr>
                <w:sz w:val="20"/>
                <w:lang w:val="es-ES_tradnl"/>
              </w:rPr>
            </w:pPr>
            <w:r w:rsidRPr="00140923">
              <w:rPr>
                <w:sz w:val="20"/>
                <w:lang w:val="es-ES_tradnl"/>
              </w:rPr>
              <w:t>Separación de canales y anchura de banda de ruido del receptor (MHz)</w:t>
            </w:r>
          </w:p>
        </w:tc>
        <w:tc>
          <w:tcPr>
            <w:tcW w:w="1418" w:type="dxa"/>
            <w:tcBorders>
              <w:top w:val="single" w:sz="4" w:space="0" w:color="auto"/>
              <w:left w:val="single" w:sz="4" w:space="0" w:color="auto"/>
              <w:bottom w:val="single" w:sz="4" w:space="0" w:color="auto"/>
              <w:right w:val="single" w:sz="4" w:space="0" w:color="auto"/>
            </w:tcBorders>
            <w:hideMark/>
          </w:tcPr>
          <w:p w14:paraId="7463FEA9" w14:textId="77777777" w:rsidR="002B37E9" w:rsidRPr="00140923" w:rsidRDefault="002B37E9" w:rsidP="00226764">
            <w:pPr>
              <w:pStyle w:val="Tabletext"/>
              <w:jc w:val="center"/>
              <w:rPr>
                <w:sz w:val="20"/>
                <w:lang w:val="es-ES_tradnl"/>
              </w:rPr>
            </w:pPr>
            <w:r w:rsidRPr="00140923">
              <w:rPr>
                <w:sz w:val="20"/>
                <w:lang w:val="es-ES_tradnl" w:eastAsia="ja-JP"/>
              </w:rPr>
              <w:t>Múltiplo de 0,5</w:t>
            </w:r>
          </w:p>
        </w:tc>
        <w:tc>
          <w:tcPr>
            <w:tcW w:w="1134" w:type="dxa"/>
            <w:tcBorders>
              <w:top w:val="single" w:sz="4" w:space="0" w:color="auto"/>
              <w:left w:val="single" w:sz="4" w:space="0" w:color="auto"/>
              <w:bottom w:val="single" w:sz="4" w:space="0" w:color="auto"/>
              <w:right w:val="single" w:sz="4" w:space="0" w:color="auto"/>
            </w:tcBorders>
            <w:hideMark/>
          </w:tcPr>
          <w:p w14:paraId="3B2D8D3C" w14:textId="77777777" w:rsidR="002B37E9" w:rsidRPr="00140923" w:rsidRDefault="002B37E9" w:rsidP="00226764">
            <w:pPr>
              <w:pStyle w:val="Tabletext"/>
              <w:jc w:val="center"/>
              <w:rPr>
                <w:sz w:val="20"/>
                <w:lang w:val="es-ES_tradnl"/>
              </w:rPr>
            </w:pPr>
            <w:r w:rsidRPr="00140923">
              <w:rPr>
                <w:sz w:val="20"/>
                <w:lang w:val="es-ES_tradnl" w:eastAsia="ja-JP"/>
              </w:rPr>
              <w:t>Múltiplo de 0,5</w:t>
            </w:r>
          </w:p>
        </w:tc>
        <w:tc>
          <w:tcPr>
            <w:tcW w:w="1701" w:type="dxa"/>
            <w:tcBorders>
              <w:top w:val="single" w:sz="4" w:space="0" w:color="auto"/>
              <w:left w:val="single" w:sz="4" w:space="0" w:color="auto"/>
              <w:bottom w:val="single" w:sz="4" w:space="0" w:color="auto"/>
              <w:right w:val="single" w:sz="4" w:space="0" w:color="auto"/>
            </w:tcBorders>
            <w:hideMark/>
          </w:tcPr>
          <w:p w14:paraId="5D9009BE" w14:textId="77777777" w:rsidR="002B37E9" w:rsidRPr="00140923" w:rsidRDefault="002B37E9" w:rsidP="00226764">
            <w:pPr>
              <w:pStyle w:val="Tabletext"/>
              <w:jc w:val="center"/>
              <w:rPr>
                <w:sz w:val="20"/>
                <w:vertAlign w:val="superscript"/>
                <w:lang w:val="es-ES_tradnl" w:eastAsia="ja-JP"/>
              </w:rPr>
            </w:pPr>
            <w:r w:rsidRPr="00140923">
              <w:rPr>
                <w:b/>
                <w:sz w:val="20"/>
                <w:lang w:val="es-ES_tradnl" w:eastAsia="ja-JP"/>
              </w:rPr>
              <w:t>5</w:t>
            </w:r>
            <w:r w:rsidRPr="00140923">
              <w:rPr>
                <w:sz w:val="20"/>
                <w:lang w:val="es-ES_tradnl" w:eastAsia="ja-JP"/>
              </w:rPr>
              <w:t xml:space="preserve">; </w:t>
            </w:r>
            <w:r w:rsidRPr="00140923">
              <w:rPr>
                <w:b/>
                <w:sz w:val="20"/>
                <w:lang w:val="es-ES_tradnl" w:eastAsia="ja-JP"/>
              </w:rPr>
              <w:t>5,5</w:t>
            </w:r>
            <w:r w:rsidRPr="00140923">
              <w:rPr>
                <w:sz w:val="20"/>
                <w:lang w:val="es-ES_tradnl" w:eastAsia="ja-JP"/>
              </w:rPr>
              <w:t>;</w:t>
            </w:r>
            <w:r w:rsidRPr="00140923">
              <w:rPr>
                <w:b/>
                <w:sz w:val="20"/>
                <w:lang w:val="es-ES_tradnl" w:eastAsia="ja-JP"/>
              </w:rPr>
              <w:t xml:space="preserve"> 6</w:t>
            </w:r>
            <w:r w:rsidRPr="00140923">
              <w:rPr>
                <w:sz w:val="20"/>
                <w:vertAlign w:val="superscript"/>
                <w:lang w:val="es-ES_tradnl" w:eastAsia="ja-JP"/>
              </w:rPr>
              <w:t>(6)</w:t>
            </w:r>
          </w:p>
        </w:tc>
        <w:tc>
          <w:tcPr>
            <w:tcW w:w="1276" w:type="dxa"/>
            <w:tcBorders>
              <w:top w:val="single" w:sz="4" w:space="0" w:color="auto"/>
              <w:left w:val="single" w:sz="4" w:space="0" w:color="auto"/>
              <w:bottom w:val="single" w:sz="4" w:space="0" w:color="auto"/>
              <w:right w:val="single" w:sz="4" w:space="0" w:color="auto"/>
            </w:tcBorders>
            <w:hideMark/>
          </w:tcPr>
          <w:p w14:paraId="79D29AC8" w14:textId="77777777" w:rsidR="002B37E9" w:rsidRPr="00140923" w:rsidRDefault="002B37E9" w:rsidP="00226764">
            <w:pPr>
              <w:pStyle w:val="Tabletext"/>
              <w:jc w:val="center"/>
              <w:rPr>
                <w:sz w:val="20"/>
                <w:vertAlign w:val="superscript"/>
                <w:lang w:val="es-ES_tradnl" w:eastAsia="ja-JP"/>
              </w:rPr>
            </w:pPr>
            <w:r w:rsidRPr="00140923">
              <w:rPr>
                <w:b/>
                <w:sz w:val="20"/>
                <w:lang w:val="es-ES_tradnl" w:eastAsia="ja-JP"/>
              </w:rPr>
              <w:t>5</w:t>
            </w:r>
            <w:r w:rsidRPr="00140923">
              <w:rPr>
                <w:sz w:val="20"/>
                <w:lang w:val="es-ES_tradnl" w:eastAsia="ja-JP"/>
              </w:rPr>
              <w:t xml:space="preserve">; </w:t>
            </w:r>
            <w:r w:rsidRPr="00140923">
              <w:rPr>
                <w:b/>
                <w:sz w:val="20"/>
                <w:lang w:val="es-ES_tradnl" w:eastAsia="ja-JP"/>
              </w:rPr>
              <w:t>5,5</w:t>
            </w:r>
            <w:r w:rsidRPr="00140923">
              <w:rPr>
                <w:sz w:val="20"/>
                <w:lang w:val="es-ES_tradnl" w:eastAsia="ja-JP"/>
              </w:rPr>
              <w:t xml:space="preserve">; </w:t>
            </w:r>
            <w:r w:rsidRPr="00140923">
              <w:rPr>
                <w:b/>
                <w:sz w:val="20"/>
                <w:lang w:val="es-ES_tradnl" w:eastAsia="ja-JP"/>
              </w:rPr>
              <w:t>6</w:t>
            </w:r>
            <w:r w:rsidRPr="00140923">
              <w:rPr>
                <w:sz w:val="20"/>
                <w:vertAlign w:val="superscript"/>
                <w:lang w:val="es-ES_tradnl" w:eastAsia="ja-JP"/>
              </w:rPr>
              <w:t>(6)</w:t>
            </w:r>
          </w:p>
        </w:tc>
        <w:tc>
          <w:tcPr>
            <w:tcW w:w="1701" w:type="dxa"/>
            <w:tcBorders>
              <w:top w:val="single" w:sz="4" w:space="0" w:color="auto"/>
              <w:left w:val="single" w:sz="4" w:space="0" w:color="auto"/>
              <w:bottom w:val="single" w:sz="4" w:space="0" w:color="auto"/>
              <w:right w:val="single" w:sz="4" w:space="0" w:color="auto"/>
            </w:tcBorders>
            <w:hideMark/>
          </w:tcPr>
          <w:p w14:paraId="1F88E5EA" w14:textId="77777777" w:rsidR="002B37E9" w:rsidRPr="00140923" w:rsidRDefault="002B37E9" w:rsidP="00226764">
            <w:pPr>
              <w:pStyle w:val="Tabletext"/>
              <w:jc w:val="center"/>
              <w:rPr>
                <w:sz w:val="20"/>
                <w:lang w:val="es-ES_tradnl" w:eastAsia="ja-JP"/>
              </w:rPr>
            </w:pPr>
            <w:r w:rsidRPr="00140923">
              <w:rPr>
                <w:sz w:val="20"/>
                <w:lang w:val="es-ES_tradnl" w:eastAsia="ja-JP"/>
              </w:rPr>
              <w:t>25</w:t>
            </w:r>
            <w:r w:rsidRPr="00140923">
              <w:rPr>
                <w:sz w:val="20"/>
                <w:vertAlign w:val="superscript"/>
                <w:lang w:val="es-ES_tradnl" w:eastAsia="ja-JP"/>
              </w:rPr>
              <w:t>(4)</w:t>
            </w:r>
            <w:r w:rsidRPr="00140923">
              <w:rPr>
                <w:sz w:val="20"/>
                <w:lang w:val="es-ES_tradnl"/>
              </w:rPr>
              <w:t xml:space="preserve">; </w:t>
            </w:r>
            <w:r w:rsidRPr="00140923">
              <w:rPr>
                <w:b/>
                <w:sz w:val="20"/>
                <w:lang w:val="es-ES_tradnl" w:eastAsia="ja-JP"/>
              </w:rPr>
              <w:t>1,75</w:t>
            </w:r>
            <w:r w:rsidRPr="00140923">
              <w:rPr>
                <w:sz w:val="20"/>
                <w:lang w:val="es-ES_tradnl" w:eastAsia="ja-JP"/>
              </w:rPr>
              <w:t xml:space="preserve">; </w:t>
            </w:r>
            <w:r w:rsidRPr="00140923">
              <w:rPr>
                <w:b/>
                <w:sz w:val="20"/>
                <w:lang w:val="es-ES_tradnl" w:eastAsia="ja-JP"/>
              </w:rPr>
              <w:t>3,5</w:t>
            </w:r>
            <w:r w:rsidRPr="00140923">
              <w:rPr>
                <w:sz w:val="20"/>
                <w:lang w:val="es-ES_tradnl" w:eastAsia="ja-JP"/>
              </w:rPr>
              <w:t>; …</w:t>
            </w:r>
            <w:r w:rsidRPr="00140923">
              <w:rPr>
                <w:b/>
                <w:sz w:val="20"/>
                <w:lang w:val="es-ES_tradnl" w:eastAsia="ja-JP"/>
              </w:rPr>
              <w:t>14</w:t>
            </w:r>
            <w:r w:rsidRPr="00140923">
              <w:rPr>
                <w:sz w:val="20"/>
                <w:vertAlign w:val="superscript"/>
                <w:lang w:val="es-ES_tradnl" w:eastAsia="ja-JP"/>
              </w:rPr>
              <w:t>(7)</w:t>
            </w:r>
          </w:p>
        </w:tc>
        <w:tc>
          <w:tcPr>
            <w:tcW w:w="1276" w:type="dxa"/>
            <w:tcBorders>
              <w:top w:val="single" w:sz="4" w:space="0" w:color="auto"/>
              <w:left w:val="single" w:sz="4" w:space="0" w:color="auto"/>
              <w:bottom w:val="single" w:sz="4" w:space="0" w:color="auto"/>
              <w:right w:val="single" w:sz="4" w:space="0" w:color="auto"/>
            </w:tcBorders>
            <w:hideMark/>
          </w:tcPr>
          <w:p w14:paraId="61E91434" w14:textId="77777777" w:rsidR="002B37E9" w:rsidRPr="00140923" w:rsidRDefault="002B37E9" w:rsidP="00226764">
            <w:pPr>
              <w:pStyle w:val="Tabletext"/>
              <w:jc w:val="center"/>
              <w:rPr>
                <w:sz w:val="20"/>
                <w:lang w:val="es-ES_tradnl"/>
              </w:rPr>
            </w:pPr>
            <w:r w:rsidRPr="00140923">
              <w:rPr>
                <w:sz w:val="20"/>
                <w:lang w:val="es-ES_tradnl" w:eastAsia="ja-JP"/>
              </w:rPr>
              <w:t>25</w:t>
            </w:r>
            <w:r w:rsidRPr="00140923">
              <w:rPr>
                <w:sz w:val="20"/>
                <w:vertAlign w:val="superscript"/>
                <w:lang w:val="es-ES_tradnl" w:eastAsia="ja-JP"/>
              </w:rPr>
              <w:t>(4)</w:t>
            </w:r>
            <w:r w:rsidRPr="00140923">
              <w:rPr>
                <w:sz w:val="20"/>
                <w:lang w:val="es-ES_tradnl"/>
              </w:rPr>
              <w:t xml:space="preserve">; </w:t>
            </w:r>
            <w:r w:rsidRPr="00140923">
              <w:rPr>
                <w:b/>
                <w:sz w:val="20"/>
                <w:lang w:val="es-ES_tradnl" w:eastAsia="ja-JP"/>
              </w:rPr>
              <w:t>1,75</w:t>
            </w:r>
            <w:r w:rsidRPr="00140923">
              <w:rPr>
                <w:sz w:val="20"/>
                <w:lang w:val="es-ES_tradnl" w:eastAsia="ja-JP"/>
              </w:rPr>
              <w:t xml:space="preserve">; </w:t>
            </w:r>
            <w:r w:rsidRPr="00140923">
              <w:rPr>
                <w:b/>
                <w:sz w:val="20"/>
                <w:lang w:val="es-ES_tradnl" w:eastAsia="ja-JP"/>
              </w:rPr>
              <w:t>3,5</w:t>
            </w:r>
            <w:r w:rsidRPr="00140923">
              <w:rPr>
                <w:sz w:val="20"/>
                <w:lang w:val="es-ES_tradnl" w:eastAsia="ja-JP"/>
              </w:rPr>
              <w:t>; …</w:t>
            </w:r>
            <w:r w:rsidRPr="00140923">
              <w:rPr>
                <w:b/>
                <w:sz w:val="20"/>
                <w:lang w:val="es-ES_tradnl" w:eastAsia="ja-JP"/>
              </w:rPr>
              <w:t>14</w:t>
            </w:r>
            <w:r w:rsidRPr="00140923">
              <w:rPr>
                <w:sz w:val="20"/>
                <w:vertAlign w:val="superscript"/>
                <w:lang w:val="es-ES_tradnl" w:eastAsia="ja-JP"/>
              </w:rPr>
              <w:t>(7)</w:t>
            </w:r>
          </w:p>
        </w:tc>
        <w:tc>
          <w:tcPr>
            <w:tcW w:w="1275" w:type="dxa"/>
            <w:tcBorders>
              <w:top w:val="single" w:sz="4" w:space="0" w:color="auto"/>
              <w:left w:val="single" w:sz="4" w:space="0" w:color="auto"/>
              <w:bottom w:val="single" w:sz="4" w:space="0" w:color="auto"/>
              <w:right w:val="single" w:sz="4" w:space="0" w:color="auto"/>
            </w:tcBorders>
            <w:hideMark/>
          </w:tcPr>
          <w:p w14:paraId="45B8F2B2" w14:textId="77777777" w:rsidR="002B37E9" w:rsidRPr="00140923" w:rsidRDefault="002B37E9" w:rsidP="00226764">
            <w:pPr>
              <w:pStyle w:val="Tabletext"/>
              <w:jc w:val="center"/>
              <w:rPr>
                <w:sz w:val="20"/>
                <w:lang w:val="es-ES_tradnl" w:eastAsia="ja-JP"/>
              </w:rPr>
            </w:pPr>
            <w:r w:rsidRPr="00140923">
              <w:rPr>
                <w:b/>
                <w:sz w:val="20"/>
                <w:lang w:val="es-ES_tradnl" w:eastAsia="ja-JP"/>
              </w:rPr>
              <w:t>1,75</w:t>
            </w:r>
            <w:r w:rsidRPr="00140923">
              <w:rPr>
                <w:sz w:val="20"/>
                <w:vertAlign w:val="superscript"/>
                <w:lang w:val="es-ES_tradnl" w:eastAsia="ja-JP"/>
              </w:rPr>
              <w:t>(3)</w:t>
            </w:r>
            <w:r w:rsidRPr="00140923">
              <w:rPr>
                <w:sz w:val="20"/>
                <w:lang w:val="es-ES_tradnl" w:eastAsia="ja-JP"/>
              </w:rPr>
              <w:t>; 2,5; 5; 28</w:t>
            </w:r>
            <w:r w:rsidRPr="00140923">
              <w:rPr>
                <w:sz w:val="20"/>
                <w:vertAlign w:val="superscript"/>
                <w:lang w:val="es-ES_tradnl" w:eastAsia="ja-JP"/>
              </w:rPr>
              <w:t>(4)</w:t>
            </w:r>
            <w:r w:rsidRPr="00140923">
              <w:rPr>
                <w:sz w:val="20"/>
                <w:lang w:val="es-ES_tradnl" w:eastAsia="ja-JP"/>
              </w:rPr>
              <w:t>; 30</w:t>
            </w:r>
            <w:r w:rsidRPr="00140923">
              <w:rPr>
                <w:sz w:val="20"/>
                <w:vertAlign w:val="superscript"/>
                <w:lang w:val="es-ES_tradnl" w:eastAsia="ja-JP"/>
              </w:rPr>
              <w:t>(4)</w:t>
            </w:r>
          </w:p>
        </w:tc>
        <w:tc>
          <w:tcPr>
            <w:tcW w:w="1334" w:type="dxa"/>
            <w:gridSpan w:val="2"/>
            <w:tcBorders>
              <w:top w:val="single" w:sz="4" w:space="0" w:color="auto"/>
              <w:left w:val="single" w:sz="4" w:space="0" w:color="auto"/>
              <w:bottom w:val="single" w:sz="4" w:space="0" w:color="auto"/>
              <w:right w:val="single" w:sz="4" w:space="0" w:color="auto"/>
            </w:tcBorders>
            <w:hideMark/>
          </w:tcPr>
          <w:p w14:paraId="63436E67" w14:textId="77777777" w:rsidR="002B37E9" w:rsidRPr="00140923" w:rsidRDefault="002B37E9" w:rsidP="00226764">
            <w:pPr>
              <w:pStyle w:val="Tabletext"/>
              <w:jc w:val="center"/>
              <w:rPr>
                <w:sz w:val="20"/>
                <w:lang w:val="es-ES_tradnl"/>
              </w:rPr>
            </w:pPr>
            <w:r w:rsidRPr="00140923">
              <w:rPr>
                <w:b/>
                <w:sz w:val="20"/>
                <w:lang w:val="es-ES_tradnl" w:eastAsia="ja-JP"/>
              </w:rPr>
              <w:t>1,75</w:t>
            </w:r>
            <w:r w:rsidRPr="00140923">
              <w:rPr>
                <w:sz w:val="20"/>
                <w:vertAlign w:val="superscript"/>
                <w:lang w:val="es-ES_tradnl" w:eastAsia="ja-JP"/>
              </w:rPr>
              <w:t>(3)</w:t>
            </w:r>
            <w:r w:rsidRPr="00140923">
              <w:rPr>
                <w:sz w:val="20"/>
                <w:lang w:val="es-ES_tradnl" w:eastAsia="ja-JP"/>
              </w:rPr>
              <w:t>; 2,5; 5; 28</w:t>
            </w:r>
            <w:r w:rsidRPr="00140923">
              <w:rPr>
                <w:sz w:val="20"/>
                <w:vertAlign w:val="superscript"/>
                <w:lang w:val="es-ES_tradnl" w:eastAsia="ja-JP"/>
              </w:rPr>
              <w:t>(4)</w:t>
            </w:r>
            <w:r w:rsidRPr="00140923">
              <w:rPr>
                <w:sz w:val="20"/>
                <w:lang w:val="es-ES_tradnl" w:eastAsia="ja-JP"/>
              </w:rPr>
              <w:t>; 30</w:t>
            </w:r>
            <w:r w:rsidRPr="00140923">
              <w:rPr>
                <w:sz w:val="20"/>
                <w:vertAlign w:val="superscript"/>
                <w:lang w:val="es-ES_tradnl" w:eastAsia="ja-JP"/>
              </w:rPr>
              <w:t>(4)</w:t>
            </w:r>
          </w:p>
        </w:tc>
      </w:tr>
      <w:tr w:rsidR="002B37E9" w:rsidRPr="00140923" w14:paraId="34D952A1"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628A38" w14:textId="77777777" w:rsidR="002B37E9" w:rsidRPr="00140923" w:rsidRDefault="002B37E9" w:rsidP="00226764">
            <w:pPr>
              <w:pStyle w:val="Tabletext"/>
              <w:jc w:val="left"/>
              <w:rPr>
                <w:sz w:val="20"/>
                <w:lang w:val="es-ES_tradnl"/>
              </w:rPr>
            </w:pPr>
            <w:r w:rsidRPr="00140923">
              <w:rPr>
                <w:sz w:val="20"/>
                <w:lang w:val="es-ES_tradnl"/>
              </w:rPr>
              <w:t>Gama de potencia de salida del transmisor (dBW)</w:t>
            </w:r>
            <w:r w:rsidRPr="00140923">
              <w:rPr>
                <w:sz w:val="20"/>
                <w:vertAlign w:val="superscript"/>
                <w:lang w:val="es-ES_tradnl" w:eastAsia="ja-JP"/>
              </w:rPr>
              <w:t xml:space="preserve">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05D7071" w14:textId="77777777" w:rsidR="002B37E9" w:rsidRPr="00140923" w:rsidRDefault="002B37E9" w:rsidP="00226764">
            <w:pPr>
              <w:pStyle w:val="Tabletext"/>
              <w:jc w:val="center"/>
              <w:rPr>
                <w:sz w:val="20"/>
                <w:lang w:val="es-ES_tradnl" w:eastAsia="ja-JP"/>
              </w:rPr>
            </w:pPr>
            <w:r w:rsidRPr="00140923">
              <w:rPr>
                <w:sz w:val="20"/>
                <w:lang w:val="es-ES_tradnl"/>
              </w:rPr>
              <w:t>Nota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BAF80AE" w14:textId="77777777" w:rsidR="002B37E9" w:rsidRPr="00140923" w:rsidRDefault="002B37E9" w:rsidP="00226764">
            <w:pPr>
              <w:pStyle w:val="Tabletext"/>
              <w:jc w:val="center"/>
              <w:rPr>
                <w:sz w:val="20"/>
                <w:lang w:val="es-ES_tradnl" w:eastAsia="ja-JP"/>
              </w:rPr>
            </w:pPr>
            <w:r w:rsidRPr="00140923">
              <w:rPr>
                <w:sz w:val="20"/>
                <w:lang w:val="es-ES_tradnl"/>
              </w:rPr>
              <w:t>Nota</w:t>
            </w:r>
          </w:p>
        </w:tc>
        <w:tc>
          <w:tcPr>
            <w:tcW w:w="1701" w:type="dxa"/>
            <w:tcBorders>
              <w:top w:val="single" w:sz="4" w:space="0" w:color="auto"/>
              <w:left w:val="single" w:sz="4" w:space="0" w:color="auto"/>
              <w:bottom w:val="single" w:sz="4" w:space="0" w:color="auto"/>
              <w:right w:val="single" w:sz="4" w:space="0" w:color="auto"/>
            </w:tcBorders>
            <w:hideMark/>
          </w:tcPr>
          <w:p w14:paraId="16E8870E" w14:textId="77777777" w:rsidR="002B37E9" w:rsidRPr="00140923" w:rsidRDefault="002B37E9" w:rsidP="00226764">
            <w:pPr>
              <w:pStyle w:val="Tabletext"/>
              <w:jc w:val="center"/>
              <w:rPr>
                <w:sz w:val="20"/>
                <w:lang w:val="es-ES_tradnl" w:eastAsia="ja-JP"/>
              </w:rPr>
            </w:pPr>
            <w:r w:rsidRPr="00140923">
              <w:rPr>
                <w:sz w:val="20"/>
                <w:lang w:val="es-ES_tradnl" w:eastAsia="ja-JP"/>
              </w:rPr>
              <w:t>5</w:t>
            </w:r>
            <w:r w:rsidRPr="00140923">
              <w:rPr>
                <w:sz w:val="20"/>
                <w:lang w:val="es-ES_tradnl"/>
              </w:rPr>
              <w:t>…</w:t>
            </w:r>
            <w:r w:rsidRPr="00140923">
              <w:rPr>
                <w:sz w:val="20"/>
                <w:lang w:val="es-ES_tradnl" w:eastAsia="ja-JP"/>
              </w:rPr>
              <w:t>13</w:t>
            </w:r>
          </w:p>
        </w:tc>
        <w:tc>
          <w:tcPr>
            <w:tcW w:w="1276" w:type="dxa"/>
            <w:tcBorders>
              <w:top w:val="single" w:sz="4" w:space="0" w:color="auto"/>
              <w:left w:val="single" w:sz="4" w:space="0" w:color="auto"/>
              <w:bottom w:val="single" w:sz="4" w:space="0" w:color="auto"/>
              <w:right w:val="single" w:sz="4" w:space="0" w:color="auto"/>
            </w:tcBorders>
            <w:hideMark/>
          </w:tcPr>
          <w:p w14:paraId="7191D0AA" w14:textId="77777777" w:rsidR="002B37E9" w:rsidRPr="00140923" w:rsidRDefault="002B37E9" w:rsidP="00226764">
            <w:pPr>
              <w:pStyle w:val="Tabletext"/>
              <w:jc w:val="center"/>
              <w:rPr>
                <w:sz w:val="20"/>
                <w:lang w:val="es-ES_tradnl" w:eastAsia="ja-JP"/>
              </w:rPr>
            </w:pPr>
            <w:r w:rsidRPr="00140923">
              <w:rPr>
                <w:sz w:val="20"/>
                <w:lang w:val="es-ES_tradnl"/>
              </w:rPr>
              <w:t>−</w:t>
            </w:r>
            <w:r w:rsidRPr="00140923">
              <w:rPr>
                <w:sz w:val="20"/>
                <w:lang w:val="es-ES_tradnl" w:eastAsia="ja-JP"/>
              </w:rPr>
              <w:t>6</w:t>
            </w:r>
            <w:r w:rsidRPr="00140923">
              <w:rPr>
                <w:sz w:val="20"/>
                <w:lang w:val="es-ES_tradnl"/>
              </w:rPr>
              <w:t>…</w:t>
            </w:r>
            <w:r w:rsidRPr="00140923">
              <w:rPr>
                <w:sz w:val="20"/>
                <w:lang w:val="es-ES_tradnl" w:eastAsia="ja-JP"/>
              </w:rPr>
              <w:t>0</w:t>
            </w:r>
          </w:p>
        </w:tc>
        <w:tc>
          <w:tcPr>
            <w:tcW w:w="1701" w:type="dxa"/>
            <w:tcBorders>
              <w:top w:val="single" w:sz="4" w:space="0" w:color="auto"/>
              <w:left w:val="single" w:sz="4" w:space="0" w:color="auto"/>
              <w:bottom w:val="single" w:sz="4" w:space="0" w:color="auto"/>
              <w:right w:val="single" w:sz="4" w:space="0" w:color="auto"/>
            </w:tcBorders>
            <w:hideMark/>
          </w:tcPr>
          <w:p w14:paraId="01FF0CE3" w14:textId="77777777" w:rsidR="002B37E9" w:rsidRPr="00140923" w:rsidRDefault="002B37E9" w:rsidP="00226764">
            <w:pPr>
              <w:pStyle w:val="Tabletext"/>
              <w:jc w:val="center"/>
              <w:rPr>
                <w:sz w:val="20"/>
                <w:lang w:val="es-ES_tradnl" w:eastAsia="ja-JP"/>
              </w:rPr>
            </w:pPr>
            <w:r w:rsidRPr="00140923">
              <w:rPr>
                <w:sz w:val="20"/>
                <w:lang w:val="es-ES_tradnl" w:eastAsia="ja-JP"/>
              </w:rPr>
              <w:t>5</w:t>
            </w:r>
            <w:r w:rsidRPr="00140923">
              <w:rPr>
                <w:sz w:val="20"/>
                <w:lang w:val="es-ES_tradnl"/>
              </w:rPr>
              <w:t>…</w:t>
            </w:r>
            <w:r w:rsidRPr="00140923">
              <w:rPr>
                <w:sz w:val="20"/>
                <w:lang w:val="es-ES_tradnl" w:eastAsia="ja-JP"/>
              </w:rPr>
              <w:t>13</w:t>
            </w:r>
          </w:p>
        </w:tc>
        <w:tc>
          <w:tcPr>
            <w:tcW w:w="1276" w:type="dxa"/>
            <w:tcBorders>
              <w:top w:val="single" w:sz="4" w:space="0" w:color="auto"/>
              <w:left w:val="single" w:sz="4" w:space="0" w:color="auto"/>
              <w:bottom w:val="single" w:sz="4" w:space="0" w:color="auto"/>
              <w:right w:val="single" w:sz="4" w:space="0" w:color="auto"/>
            </w:tcBorders>
            <w:hideMark/>
          </w:tcPr>
          <w:p w14:paraId="309E0F25" w14:textId="77777777" w:rsidR="002B37E9" w:rsidRPr="00140923" w:rsidRDefault="002B37E9" w:rsidP="00226764">
            <w:pPr>
              <w:pStyle w:val="Tabletext"/>
              <w:jc w:val="center"/>
              <w:rPr>
                <w:sz w:val="20"/>
                <w:lang w:val="es-ES_tradnl"/>
              </w:rPr>
            </w:pPr>
            <w:r w:rsidRPr="00140923">
              <w:rPr>
                <w:sz w:val="20"/>
                <w:lang w:val="es-ES_tradnl"/>
              </w:rPr>
              <w:t>−</w:t>
            </w:r>
            <w:r w:rsidRPr="00140923">
              <w:rPr>
                <w:sz w:val="20"/>
                <w:lang w:val="es-ES_tradnl" w:eastAsia="ja-JP"/>
              </w:rPr>
              <w:t>6</w:t>
            </w:r>
            <w:r w:rsidRPr="00140923">
              <w:rPr>
                <w:sz w:val="20"/>
                <w:lang w:val="es-ES_tradnl"/>
              </w:rPr>
              <w:t>…</w:t>
            </w:r>
            <w:r w:rsidRPr="00140923">
              <w:rPr>
                <w:sz w:val="20"/>
                <w:lang w:val="es-ES_tradnl" w:eastAsia="ja-JP"/>
              </w:rPr>
              <w:t>0</w:t>
            </w:r>
          </w:p>
        </w:tc>
        <w:tc>
          <w:tcPr>
            <w:tcW w:w="1275" w:type="dxa"/>
            <w:tcBorders>
              <w:top w:val="single" w:sz="4" w:space="0" w:color="auto"/>
              <w:left w:val="single" w:sz="4" w:space="0" w:color="auto"/>
              <w:bottom w:val="single" w:sz="4" w:space="0" w:color="auto"/>
              <w:right w:val="single" w:sz="4" w:space="0" w:color="auto"/>
            </w:tcBorders>
            <w:hideMark/>
          </w:tcPr>
          <w:p w14:paraId="3AB7DE81" w14:textId="77777777" w:rsidR="002B37E9" w:rsidRPr="00140923" w:rsidRDefault="002B37E9" w:rsidP="00226764">
            <w:pPr>
              <w:pStyle w:val="Tabletext"/>
              <w:jc w:val="center"/>
              <w:rPr>
                <w:sz w:val="20"/>
                <w:lang w:val="es-ES_tradnl" w:eastAsia="ja-JP"/>
              </w:rPr>
            </w:pPr>
            <w:r w:rsidRPr="00140923">
              <w:rPr>
                <w:sz w:val="20"/>
                <w:lang w:val="es-ES_tradnl"/>
              </w:rPr>
              <w:t>−</w:t>
            </w:r>
            <w:r w:rsidRPr="00140923">
              <w:rPr>
                <w:sz w:val="20"/>
                <w:lang w:val="es-ES_tradnl" w:eastAsia="ja-JP"/>
              </w:rPr>
              <w:t>3</w:t>
            </w:r>
          </w:p>
        </w:tc>
        <w:tc>
          <w:tcPr>
            <w:tcW w:w="1334" w:type="dxa"/>
            <w:gridSpan w:val="2"/>
            <w:tcBorders>
              <w:top w:val="single" w:sz="4" w:space="0" w:color="auto"/>
              <w:left w:val="single" w:sz="4" w:space="0" w:color="auto"/>
              <w:bottom w:val="single" w:sz="4" w:space="0" w:color="auto"/>
              <w:right w:val="single" w:sz="4" w:space="0" w:color="auto"/>
            </w:tcBorders>
            <w:hideMark/>
          </w:tcPr>
          <w:p w14:paraId="3ADFC019" w14:textId="77777777" w:rsidR="002B37E9" w:rsidRPr="00140923" w:rsidRDefault="002B37E9" w:rsidP="00226764">
            <w:pPr>
              <w:pStyle w:val="Tabletext"/>
              <w:jc w:val="center"/>
              <w:rPr>
                <w:sz w:val="20"/>
                <w:lang w:val="es-ES_tradnl" w:eastAsia="ja-JP"/>
              </w:rPr>
            </w:pPr>
            <w:r w:rsidRPr="00140923">
              <w:rPr>
                <w:sz w:val="20"/>
                <w:lang w:val="es-ES_tradnl"/>
              </w:rPr>
              <w:t>−</w:t>
            </w:r>
            <w:r w:rsidRPr="00140923">
              <w:rPr>
                <w:sz w:val="20"/>
                <w:lang w:val="es-ES_tradnl" w:eastAsia="ja-JP"/>
              </w:rPr>
              <w:t>12</w:t>
            </w:r>
          </w:p>
        </w:tc>
      </w:tr>
      <w:tr w:rsidR="002B37E9" w:rsidRPr="00140923" w14:paraId="034ED276"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43B246" w14:textId="77777777" w:rsidR="002B37E9" w:rsidRPr="00140923" w:rsidRDefault="002B37E9" w:rsidP="00226764">
            <w:pPr>
              <w:pStyle w:val="Tabletext"/>
              <w:jc w:val="left"/>
              <w:rPr>
                <w:sz w:val="20"/>
                <w:lang w:val="es-ES_tradnl"/>
              </w:rPr>
            </w:pPr>
            <w:r w:rsidRPr="00140923">
              <w:rPr>
                <w:sz w:val="20"/>
                <w:lang w:val="es-ES_tradnl"/>
              </w:rPr>
              <w:t>Gama de densidad de potencia de salida del transmisor (dBW/MHz)</w:t>
            </w:r>
            <w:r w:rsidRPr="00140923">
              <w:rPr>
                <w:sz w:val="20"/>
                <w:vertAlign w:val="superscript"/>
                <w:lang w:val="es-ES_tradnl" w:eastAsia="ja-JP"/>
              </w:rPr>
              <w:t>(1)</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1ADB5C"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5E072D"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F463060" w14:textId="77777777" w:rsidR="002B37E9" w:rsidRPr="00140923" w:rsidRDefault="002B37E9" w:rsidP="00226764">
            <w:pPr>
              <w:pStyle w:val="Tabletext"/>
              <w:jc w:val="center"/>
              <w:rPr>
                <w:sz w:val="20"/>
                <w:lang w:val="es-ES_tradnl"/>
              </w:rPr>
            </w:pPr>
            <w:r w:rsidRPr="00140923">
              <w:rPr>
                <w:sz w:val="20"/>
                <w:lang w:val="es-ES_tradnl" w:eastAsia="ja-JP"/>
              </w:rPr>
              <w:t>−2,78…6,01</w:t>
            </w:r>
          </w:p>
        </w:tc>
        <w:tc>
          <w:tcPr>
            <w:tcW w:w="1276" w:type="dxa"/>
            <w:tcBorders>
              <w:top w:val="single" w:sz="4" w:space="0" w:color="auto"/>
              <w:left w:val="single" w:sz="4" w:space="0" w:color="auto"/>
              <w:bottom w:val="single" w:sz="4" w:space="0" w:color="auto"/>
              <w:right w:val="single" w:sz="4" w:space="0" w:color="auto"/>
            </w:tcBorders>
            <w:hideMark/>
          </w:tcPr>
          <w:p w14:paraId="02BAA36D" w14:textId="77777777" w:rsidR="002B37E9" w:rsidRPr="00140923" w:rsidRDefault="002B37E9" w:rsidP="00226764">
            <w:pPr>
              <w:pStyle w:val="Tabletext"/>
              <w:jc w:val="center"/>
              <w:rPr>
                <w:sz w:val="20"/>
                <w:lang w:val="es-ES_tradnl"/>
              </w:rPr>
            </w:pPr>
            <w:r w:rsidRPr="00140923">
              <w:rPr>
                <w:sz w:val="20"/>
                <w:lang w:val="es-ES_tradnl"/>
              </w:rPr>
              <w:t>−</w:t>
            </w:r>
            <w:r w:rsidRPr="00140923">
              <w:rPr>
                <w:sz w:val="20"/>
                <w:lang w:val="es-ES_tradnl" w:eastAsia="ja-JP"/>
              </w:rPr>
              <w:t>13,8…</w:t>
            </w:r>
            <w:r w:rsidRPr="00140923">
              <w:rPr>
                <w:sz w:val="20"/>
                <w:lang w:val="es-ES_tradnl"/>
              </w:rPr>
              <w:t>−</w:t>
            </w:r>
            <w:r w:rsidRPr="00140923">
              <w:rPr>
                <w:sz w:val="20"/>
                <w:lang w:val="es-ES_tradnl" w:eastAsia="ja-JP"/>
              </w:rPr>
              <w:t>6,99</w:t>
            </w:r>
          </w:p>
        </w:tc>
        <w:tc>
          <w:tcPr>
            <w:tcW w:w="1701" w:type="dxa"/>
            <w:tcBorders>
              <w:top w:val="single" w:sz="4" w:space="0" w:color="auto"/>
              <w:left w:val="single" w:sz="4" w:space="0" w:color="auto"/>
              <w:bottom w:val="single" w:sz="4" w:space="0" w:color="auto"/>
              <w:right w:val="single" w:sz="4" w:space="0" w:color="auto"/>
            </w:tcBorders>
            <w:hideMark/>
          </w:tcPr>
          <w:p w14:paraId="4D1C4A30" w14:textId="77777777" w:rsidR="002B37E9" w:rsidRPr="00140923" w:rsidRDefault="002B37E9" w:rsidP="00226764">
            <w:pPr>
              <w:pStyle w:val="Tabletext"/>
              <w:jc w:val="center"/>
              <w:rPr>
                <w:sz w:val="20"/>
                <w:lang w:val="es-ES_tradnl"/>
              </w:rPr>
            </w:pPr>
            <w:r w:rsidRPr="00140923">
              <w:rPr>
                <w:sz w:val="20"/>
                <w:lang w:val="es-ES_tradnl" w:eastAsia="ja-JP"/>
              </w:rPr>
              <w:t>−6,46…10,6</w:t>
            </w:r>
          </w:p>
        </w:tc>
        <w:tc>
          <w:tcPr>
            <w:tcW w:w="1276" w:type="dxa"/>
            <w:tcBorders>
              <w:top w:val="single" w:sz="4" w:space="0" w:color="auto"/>
              <w:left w:val="single" w:sz="4" w:space="0" w:color="auto"/>
              <w:bottom w:val="single" w:sz="4" w:space="0" w:color="auto"/>
              <w:right w:val="single" w:sz="4" w:space="0" w:color="auto"/>
            </w:tcBorders>
            <w:hideMark/>
          </w:tcPr>
          <w:p w14:paraId="5156F91E" w14:textId="77777777" w:rsidR="002B37E9" w:rsidRPr="00140923" w:rsidRDefault="002B37E9" w:rsidP="00226764">
            <w:pPr>
              <w:pStyle w:val="Tabletext"/>
              <w:ind w:left="-57" w:right="-57"/>
              <w:jc w:val="center"/>
              <w:rPr>
                <w:sz w:val="20"/>
                <w:lang w:val="es-ES_tradnl"/>
              </w:rPr>
            </w:pPr>
            <w:r w:rsidRPr="00140923">
              <w:rPr>
                <w:sz w:val="20"/>
                <w:lang w:val="es-ES_tradnl"/>
              </w:rPr>
              <w:t>−</w:t>
            </w:r>
            <w:r w:rsidRPr="00140923">
              <w:rPr>
                <w:sz w:val="20"/>
                <w:lang w:val="es-ES_tradnl" w:eastAsia="ja-JP"/>
              </w:rPr>
              <w:t>17,5…</w:t>
            </w:r>
            <w:r w:rsidRPr="00140923">
              <w:rPr>
                <w:sz w:val="20"/>
                <w:lang w:val="es-ES_tradnl"/>
              </w:rPr>
              <w:t>−</w:t>
            </w:r>
            <w:r w:rsidRPr="00140923">
              <w:rPr>
                <w:sz w:val="20"/>
                <w:lang w:val="es-ES_tradnl" w:eastAsia="ja-JP"/>
              </w:rPr>
              <w:t>2,43</w:t>
            </w:r>
          </w:p>
        </w:tc>
        <w:tc>
          <w:tcPr>
            <w:tcW w:w="1275" w:type="dxa"/>
            <w:tcBorders>
              <w:top w:val="single" w:sz="4" w:space="0" w:color="auto"/>
              <w:left w:val="single" w:sz="4" w:space="0" w:color="auto"/>
              <w:bottom w:val="single" w:sz="4" w:space="0" w:color="auto"/>
              <w:right w:val="single" w:sz="4" w:space="0" w:color="auto"/>
            </w:tcBorders>
            <w:hideMark/>
          </w:tcPr>
          <w:p w14:paraId="109FD10A" w14:textId="77777777" w:rsidR="002B37E9" w:rsidRPr="00140923" w:rsidRDefault="002B37E9" w:rsidP="00226764">
            <w:pPr>
              <w:pStyle w:val="Tabletext"/>
              <w:jc w:val="center"/>
              <w:rPr>
                <w:sz w:val="20"/>
                <w:lang w:val="es-ES_tradnl"/>
              </w:rPr>
            </w:pPr>
            <w:r w:rsidRPr="00140923">
              <w:rPr>
                <w:sz w:val="20"/>
                <w:lang w:val="es-ES_tradnl"/>
              </w:rPr>
              <w:t>−</w:t>
            </w:r>
            <w:r w:rsidRPr="00140923">
              <w:rPr>
                <w:sz w:val="20"/>
                <w:lang w:val="es-ES_tradnl" w:eastAsia="ja-JP"/>
              </w:rPr>
              <w:t>5,43</w:t>
            </w:r>
          </w:p>
        </w:tc>
        <w:tc>
          <w:tcPr>
            <w:tcW w:w="1334" w:type="dxa"/>
            <w:gridSpan w:val="2"/>
            <w:tcBorders>
              <w:top w:val="single" w:sz="4" w:space="0" w:color="auto"/>
              <w:left w:val="single" w:sz="4" w:space="0" w:color="auto"/>
              <w:bottom w:val="single" w:sz="4" w:space="0" w:color="auto"/>
              <w:right w:val="single" w:sz="4" w:space="0" w:color="auto"/>
            </w:tcBorders>
            <w:hideMark/>
          </w:tcPr>
          <w:p w14:paraId="5E2317A4" w14:textId="77777777" w:rsidR="002B37E9" w:rsidRPr="00140923" w:rsidRDefault="002B37E9" w:rsidP="00226764">
            <w:pPr>
              <w:pStyle w:val="Tabletext"/>
              <w:jc w:val="center"/>
              <w:rPr>
                <w:sz w:val="20"/>
                <w:lang w:val="es-ES_tradnl" w:eastAsia="ja-JP"/>
              </w:rPr>
            </w:pPr>
            <w:r w:rsidRPr="00140923">
              <w:rPr>
                <w:sz w:val="20"/>
                <w:lang w:val="es-ES_tradnl"/>
              </w:rPr>
              <w:t>−</w:t>
            </w:r>
            <w:r w:rsidRPr="00140923">
              <w:rPr>
                <w:sz w:val="20"/>
                <w:lang w:val="es-ES_tradnl" w:eastAsia="ja-JP"/>
              </w:rPr>
              <w:t>14,4</w:t>
            </w:r>
          </w:p>
        </w:tc>
      </w:tr>
      <w:tr w:rsidR="002B37E9" w:rsidRPr="00140923" w14:paraId="4CB5E742"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ECB138" w14:textId="77777777" w:rsidR="002B37E9" w:rsidRPr="00140923" w:rsidRDefault="002B37E9" w:rsidP="00226764">
            <w:pPr>
              <w:pStyle w:val="Tabletext"/>
              <w:jc w:val="left"/>
              <w:rPr>
                <w:sz w:val="20"/>
                <w:lang w:val="es-ES_tradnl"/>
              </w:rPr>
            </w:pPr>
            <w:r w:rsidRPr="00140923">
              <w:rPr>
                <w:sz w:val="20"/>
                <w:lang w:val="es-ES_tradnl"/>
              </w:rPr>
              <w:t>Gama de pérdida del alimentador/</w:t>
            </w:r>
            <w:r w:rsidRPr="00140923">
              <w:rPr>
                <w:sz w:val="20"/>
                <w:lang w:val="es-ES_tradnl"/>
              </w:rPr>
              <w:br/>
              <w:t>multiplexor (dB)</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57553C"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6DCFDB"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CCC00DD" w14:textId="77777777" w:rsidR="002B37E9" w:rsidRPr="00140923" w:rsidRDefault="002B37E9" w:rsidP="00226764">
            <w:pPr>
              <w:pStyle w:val="Tabletext"/>
              <w:jc w:val="center"/>
              <w:rPr>
                <w:sz w:val="20"/>
                <w:lang w:val="es-ES_tradnl" w:eastAsia="ja-JP"/>
              </w:rPr>
            </w:pPr>
            <w:r w:rsidRPr="00140923">
              <w:rPr>
                <w:sz w:val="20"/>
                <w:lang w:val="es-ES_tradnl" w:eastAsia="ja-JP"/>
              </w:rPr>
              <w:t>3</w:t>
            </w:r>
          </w:p>
        </w:tc>
        <w:tc>
          <w:tcPr>
            <w:tcW w:w="1276" w:type="dxa"/>
            <w:tcBorders>
              <w:top w:val="single" w:sz="4" w:space="0" w:color="auto"/>
              <w:left w:val="single" w:sz="4" w:space="0" w:color="auto"/>
              <w:bottom w:val="single" w:sz="4" w:space="0" w:color="auto"/>
              <w:right w:val="single" w:sz="4" w:space="0" w:color="auto"/>
            </w:tcBorders>
            <w:hideMark/>
          </w:tcPr>
          <w:p w14:paraId="494A053D" w14:textId="77777777" w:rsidR="002B37E9" w:rsidRPr="00140923" w:rsidRDefault="002B37E9" w:rsidP="00226764">
            <w:pPr>
              <w:pStyle w:val="Tabletext"/>
              <w:jc w:val="center"/>
              <w:rPr>
                <w:sz w:val="20"/>
                <w:lang w:val="es-ES_tradnl" w:eastAsia="ja-JP"/>
              </w:rPr>
            </w:pPr>
            <w:r w:rsidRPr="00140923">
              <w:rPr>
                <w:sz w:val="20"/>
                <w:lang w:val="es-ES_tradnl" w:eastAsia="ja-JP"/>
              </w:rPr>
              <w:t>0</w:t>
            </w:r>
          </w:p>
        </w:tc>
        <w:tc>
          <w:tcPr>
            <w:tcW w:w="1701" w:type="dxa"/>
            <w:tcBorders>
              <w:top w:val="single" w:sz="4" w:space="0" w:color="auto"/>
              <w:left w:val="single" w:sz="4" w:space="0" w:color="auto"/>
              <w:bottom w:val="single" w:sz="4" w:space="0" w:color="auto"/>
              <w:right w:val="single" w:sz="4" w:space="0" w:color="auto"/>
            </w:tcBorders>
            <w:hideMark/>
          </w:tcPr>
          <w:p w14:paraId="37B7BEAA" w14:textId="77777777" w:rsidR="002B37E9" w:rsidRPr="00140923" w:rsidRDefault="002B37E9" w:rsidP="00226764">
            <w:pPr>
              <w:pStyle w:val="Tabletext"/>
              <w:jc w:val="center"/>
              <w:rPr>
                <w:sz w:val="20"/>
                <w:lang w:val="es-ES_tradnl" w:eastAsia="ja-JP"/>
              </w:rPr>
            </w:pPr>
            <w:r w:rsidRPr="00140923">
              <w:rPr>
                <w:sz w:val="20"/>
                <w:lang w:val="es-ES_tradnl" w:eastAsia="ja-JP"/>
              </w:rPr>
              <w:t>2</w:t>
            </w:r>
          </w:p>
        </w:tc>
        <w:tc>
          <w:tcPr>
            <w:tcW w:w="1276" w:type="dxa"/>
            <w:tcBorders>
              <w:top w:val="single" w:sz="4" w:space="0" w:color="auto"/>
              <w:left w:val="single" w:sz="4" w:space="0" w:color="auto"/>
              <w:bottom w:val="single" w:sz="4" w:space="0" w:color="auto"/>
              <w:right w:val="single" w:sz="4" w:space="0" w:color="auto"/>
            </w:tcBorders>
            <w:hideMark/>
          </w:tcPr>
          <w:p w14:paraId="1F1A60DE" w14:textId="77777777" w:rsidR="002B37E9" w:rsidRPr="00140923" w:rsidRDefault="002B37E9" w:rsidP="00226764">
            <w:pPr>
              <w:pStyle w:val="Tabletext"/>
              <w:jc w:val="center"/>
              <w:rPr>
                <w:sz w:val="20"/>
                <w:lang w:val="es-ES_tradnl" w:eastAsia="ja-JP"/>
              </w:rPr>
            </w:pPr>
            <w:r w:rsidRPr="00140923">
              <w:rPr>
                <w:sz w:val="20"/>
                <w:lang w:val="es-ES_tradnl" w:eastAsia="ja-JP"/>
              </w:rPr>
              <w:t>0</w:t>
            </w:r>
          </w:p>
        </w:tc>
        <w:tc>
          <w:tcPr>
            <w:tcW w:w="1275" w:type="dxa"/>
            <w:tcBorders>
              <w:top w:val="single" w:sz="4" w:space="0" w:color="auto"/>
              <w:left w:val="single" w:sz="4" w:space="0" w:color="auto"/>
              <w:bottom w:val="single" w:sz="4" w:space="0" w:color="auto"/>
              <w:right w:val="single" w:sz="4" w:space="0" w:color="auto"/>
            </w:tcBorders>
            <w:hideMark/>
          </w:tcPr>
          <w:p w14:paraId="5202E7B5" w14:textId="77777777" w:rsidR="002B37E9" w:rsidRPr="00140923" w:rsidRDefault="002B37E9" w:rsidP="00226764">
            <w:pPr>
              <w:pStyle w:val="Tabletext"/>
              <w:jc w:val="center"/>
              <w:rPr>
                <w:sz w:val="20"/>
                <w:lang w:val="es-ES_tradnl" w:eastAsia="ja-JP"/>
              </w:rPr>
            </w:pPr>
            <w:r w:rsidRPr="00140923">
              <w:rPr>
                <w:sz w:val="20"/>
                <w:lang w:val="es-ES_tradnl" w:eastAsia="ja-JP"/>
              </w:rPr>
              <w:t>0,5</w:t>
            </w:r>
          </w:p>
        </w:tc>
        <w:tc>
          <w:tcPr>
            <w:tcW w:w="1334" w:type="dxa"/>
            <w:gridSpan w:val="2"/>
            <w:tcBorders>
              <w:top w:val="single" w:sz="4" w:space="0" w:color="auto"/>
              <w:left w:val="single" w:sz="4" w:space="0" w:color="auto"/>
              <w:bottom w:val="single" w:sz="4" w:space="0" w:color="auto"/>
              <w:right w:val="single" w:sz="4" w:space="0" w:color="auto"/>
            </w:tcBorders>
            <w:hideMark/>
          </w:tcPr>
          <w:p w14:paraId="547FFA65" w14:textId="77777777" w:rsidR="002B37E9" w:rsidRPr="00140923" w:rsidRDefault="002B37E9" w:rsidP="00226764">
            <w:pPr>
              <w:pStyle w:val="Tabletext"/>
              <w:jc w:val="center"/>
              <w:rPr>
                <w:sz w:val="20"/>
                <w:lang w:val="es-ES_tradnl" w:eastAsia="ja-JP"/>
              </w:rPr>
            </w:pPr>
            <w:r w:rsidRPr="00140923">
              <w:rPr>
                <w:sz w:val="20"/>
                <w:lang w:val="es-ES_tradnl" w:eastAsia="ja-JP"/>
              </w:rPr>
              <w:t>0</w:t>
            </w:r>
          </w:p>
        </w:tc>
      </w:tr>
      <w:tr w:rsidR="002B37E9" w:rsidRPr="00140923" w14:paraId="4FB77D81"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759E66" w14:textId="77777777" w:rsidR="002B37E9" w:rsidRPr="00140923" w:rsidRDefault="002B37E9" w:rsidP="00226764">
            <w:pPr>
              <w:pStyle w:val="Tabletext"/>
              <w:jc w:val="left"/>
              <w:rPr>
                <w:sz w:val="20"/>
                <w:lang w:val="es-ES_tradnl"/>
              </w:rPr>
            </w:pPr>
            <w:r w:rsidRPr="00140923">
              <w:rPr>
                <w:sz w:val="20"/>
                <w:lang w:val="es-ES_tradnl"/>
              </w:rPr>
              <w:t>Tipo y gama de ganancia (dBi) de la antena</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4A9D93"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8BE73F"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733235E" w14:textId="77777777" w:rsidR="002B37E9" w:rsidRPr="00140923" w:rsidRDefault="002B37E9" w:rsidP="00226764">
            <w:pPr>
              <w:pStyle w:val="Tabletext"/>
              <w:jc w:val="center"/>
              <w:rPr>
                <w:sz w:val="20"/>
                <w:lang w:val="es-ES_tradnl" w:eastAsia="ja-JP"/>
              </w:rPr>
            </w:pPr>
            <w:r w:rsidRPr="00140923">
              <w:rPr>
                <w:sz w:val="20"/>
                <w:lang w:val="es-ES_tradnl" w:eastAsia="ja-JP"/>
              </w:rPr>
              <w:t>13 (omni-</w:t>
            </w:r>
            <w:r w:rsidRPr="00140923">
              <w:rPr>
                <w:sz w:val="20"/>
                <w:lang w:val="es-ES_tradnl" w:eastAsia="ja-JP"/>
              </w:rPr>
              <w:br/>
              <w:t>direccional)…</w:t>
            </w:r>
            <w:r w:rsidRPr="00140923">
              <w:rPr>
                <w:sz w:val="20"/>
                <w:lang w:val="es-ES_tradnl" w:eastAsia="ja-JP"/>
              </w:rPr>
              <w:br/>
              <w:t>16 (sector)</w:t>
            </w:r>
          </w:p>
        </w:tc>
        <w:tc>
          <w:tcPr>
            <w:tcW w:w="1276" w:type="dxa"/>
            <w:tcBorders>
              <w:top w:val="single" w:sz="4" w:space="0" w:color="auto"/>
              <w:left w:val="single" w:sz="4" w:space="0" w:color="auto"/>
              <w:bottom w:val="single" w:sz="4" w:space="0" w:color="auto"/>
              <w:right w:val="single" w:sz="4" w:space="0" w:color="auto"/>
            </w:tcBorders>
            <w:hideMark/>
          </w:tcPr>
          <w:p w14:paraId="0FE0B1EE" w14:textId="77777777" w:rsidR="002B37E9" w:rsidRPr="00140923" w:rsidRDefault="002B37E9" w:rsidP="00226764">
            <w:pPr>
              <w:pStyle w:val="Tabletext"/>
              <w:jc w:val="center"/>
              <w:rPr>
                <w:sz w:val="20"/>
                <w:lang w:val="es-ES_tradnl" w:eastAsia="ja-JP"/>
              </w:rPr>
            </w:pPr>
            <w:r w:rsidRPr="00140923">
              <w:rPr>
                <w:sz w:val="20"/>
                <w:lang w:val="es-ES_tradnl" w:eastAsia="ja-JP"/>
              </w:rPr>
              <w:t>13 (omni-</w:t>
            </w:r>
            <w:r w:rsidRPr="00140923">
              <w:rPr>
                <w:sz w:val="20"/>
                <w:lang w:val="es-ES_tradnl" w:eastAsia="ja-JP"/>
              </w:rPr>
              <w:br/>
              <w:t>direccional)</w:t>
            </w:r>
          </w:p>
        </w:tc>
        <w:tc>
          <w:tcPr>
            <w:tcW w:w="1701" w:type="dxa"/>
            <w:tcBorders>
              <w:top w:val="single" w:sz="4" w:space="0" w:color="auto"/>
              <w:left w:val="single" w:sz="4" w:space="0" w:color="auto"/>
              <w:bottom w:val="single" w:sz="4" w:space="0" w:color="auto"/>
              <w:right w:val="single" w:sz="4" w:space="0" w:color="auto"/>
            </w:tcBorders>
            <w:hideMark/>
          </w:tcPr>
          <w:p w14:paraId="3A16B6B3" w14:textId="77777777" w:rsidR="002B37E9" w:rsidRPr="00140923" w:rsidRDefault="002B37E9" w:rsidP="00226764">
            <w:pPr>
              <w:pStyle w:val="Tabletext"/>
              <w:jc w:val="center"/>
              <w:rPr>
                <w:sz w:val="20"/>
                <w:lang w:val="es-ES_tradnl" w:eastAsia="ja-JP"/>
              </w:rPr>
            </w:pPr>
            <w:r w:rsidRPr="00140923">
              <w:rPr>
                <w:sz w:val="20"/>
                <w:lang w:val="es-ES_tradnl" w:eastAsia="ja-JP"/>
              </w:rPr>
              <w:t>10 (omni-</w:t>
            </w:r>
            <w:r w:rsidRPr="00140923">
              <w:rPr>
                <w:sz w:val="20"/>
                <w:lang w:val="es-ES_tradnl" w:eastAsia="ja-JP"/>
              </w:rPr>
              <w:br/>
              <w:t>direccional) …</w:t>
            </w:r>
            <w:r w:rsidRPr="00140923">
              <w:rPr>
                <w:sz w:val="20"/>
                <w:lang w:val="es-ES_tradnl" w:eastAsia="ja-JP"/>
              </w:rPr>
              <w:br/>
              <w:t>18 (sector)</w:t>
            </w:r>
          </w:p>
        </w:tc>
        <w:tc>
          <w:tcPr>
            <w:tcW w:w="1276" w:type="dxa"/>
            <w:tcBorders>
              <w:top w:val="single" w:sz="4" w:space="0" w:color="auto"/>
              <w:left w:val="single" w:sz="4" w:space="0" w:color="auto"/>
              <w:bottom w:val="single" w:sz="4" w:space="0" w:color="auto"/>
              <w:right w:val="single" w:sz="4" w:space="0" w:color="auto"/>
            </w:tcBorders>
            <w:hideMark/>
          </w:tcPr>
          <w:p w14:paraId="146BD68F" w14:textId="77777777" w:rsidR="002B37E9" w:rsidRPr="00140923" w:rsidRDefault="002B37E9" w:rsidP="00226764">
            <w:pPr>
              <w:pStyle w:val="Tabletext"/>
              <w:ind w:right="-57"/>
              <w:jc w:val="center"/>
              <w:rPr>
                <w:sz w:val="20"/>
                <w:lang w:val="es-ES_tradnl" w:eastAsia="ja-JP"/>
              </w:rPr>
            </w:pPr>
            <w:r w:rsidRPr="00140923">
              <w:rPr>
                <w:sz w:val="20"/>
                <w:lang w:val="es-ES_tradnl" w:eastAsia="ja-JP"/>
              </w:rPr>
              <w:t>8 (interior)…</w:t>
            </w:r>
          </w:p>
          <w:p w14:paraId="0812E426" w14:textId="77777777" w:rsidR="002B37E9" w:rsidRPr="00140923" w:rsidRDefault="002B37E9" w:rsidP="00226764">
            <w:pPr>
              <w:pStyle w:val="Tabletext"/>
              <w:jc w:val="center"/>
              <w:rPr>
                <w:sz w:val="20"/>
                <w:lang w:val="es-ES_tradnl"/>
              </w:rPr>
            </w:pPr>
            <w:r w:rsidRPr="00140923">
              <w:rPr>
                <w:sz w:val="20"/>
                <w:lang w:val="es-ES_tradnl" w:eastAsia="ja-JP"/>
              </w:rPr>
              <w:t>18 (exterior)</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7C7421F" w14:textId="77777777" w:rsidR="002B37E9" w:rsidRPr="00140923" w:rsidRDefault="002B37E9" w:rsidP="00226764">
            <w:pPr>
              <w:pStyle w:val="Tabletext"/>
              <w:jc w:val="center"/>
              <w:rPr>
                <w:sz w:val="20"/>
                <w:lang w:val="es-ES_tradnl" w:eastAsia="ja-JP"/>
              </w:rPr>
            </w:pPr>
            <w:r w:rsidRPr="00140923">
              <w:rPr>
                <w:sz w:val="20"/>
                <w:lang w:val="es-ES_tradnl" w:eastAsia="ja-JP"/>
              </w:rPr>
              <w:t xml:space="preserve">15 </w:t>
            </w:r>
            <w:r w:rsidRPr="00140923">
              <w:rPr>
                <w:sz w:val="20"/>
                <w:lang w:val="es-ES_tradnl" w:eastAsia="ja-JP"/>
              </w:rPr>
              <w:br/>
            </w:r>
            <w:r w:rsidRPr="00140923">
              <w:rPr>
                <w:sz w:val="20"/>
                <w:lang w:val="es-ES_tradnl"/>
              </w:rPr>
              <w:t>(90° sectorial de microtiras)</w:t>
            </w:r>
          </w:p>
        </w:tc>
        <w:tc>
          <w:tcPr>
            <w:tcW w:w="1334" w:type="dxa"/>
            <w:gridSpan w:val="2"/>
            <w:tcBorders>
              <w:top w:val="single" w:sz="4" w:space="0" w:color="auto"/>
              <w:left w:val="single" w:sz="4" w:space="0" w:color="auto"/>
              <w:bottom w:val="single" w:sz="4" w:space="0" w:color="auto"/>
              <w:right w:val="single" w:sz="4" w:space="0" w:color="auto"/>
            </w:tcBorders>
            <w:hideMark/>
          </w:tcPr>
          <w:p w14:paraId="12408192" w14:textId="77777777" w:rsidR="002B37E9" w:rsidRPr="00140923" w:rsidRDefault="002B37E9" w:rsidP="00226764">
            <w:pPr>
              <w:pStyle w:val="Tabletext"/>
              <w:jc w:val="center"/>
              <w:rPr>
                <w:sz w:val="20"/>
                <w:lang w:val="es-ES_tradnl" w:eastAsia="ja-JP"/>
              </w:rPr>
            </w:pPr>
            <w:r w:rsidRPr="00140923">
              <w:rPr>
                <w:sz w:val="20"/>
                <w:lang w:val="es-ES_tradnl" w:eastAsia="ja-JP"/>
              </w:rPr>
              <w:t>18 (panel)</w:t>
            </w:r>
          </w:p>
        </w:tc>
      </w:tr>
      <w:tr w:rsidR="002B37E9" w:rsidRPr="00140923" w14:paraId="7F5A75B2"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5691EF" w14:textId="77777777" w:rsidR="002B37E9" w:rsidRPr="00140923" w:rsidRDefault="002B37E9" w:rsidP="00226764">
            <w:pPr>
              <w:pStyle w:val="Tabletext"/>
              <w:jc w:val="left"/>
              <w:rPr>
                <w:sz w:val="20"/>
                <w:lang w:val="es-ES_tradnl"/>
              </w:rPr>
            </w:pPr>
            <w:r w:rsidRPr="00140923">
              <w:rPr>
                <w:sz w:val="20"/>
                <w:lang w:val="es-ES_tradnl"/>
              </w:rPr>
              <w:t>Gama de la p.i.r.e. (dBW)</w:t>
            </w:r>
            <w:r w:rsidRPr="00140923">
              <w:rPr>
                <w:sz w:val="20"/>
                <w:vertAlign w:val="superscript"/>
                <w:lang w:val="es-ES_tradnl" w:eastAsia="ja-JP"/>
              </w:rPr>
              <w:t xml:space="preserve">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295006"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EFB3A0"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701" w:type="dxa"/>
            <w:tcBorders>
              <w:top w:val="single" w:sz="4" w:space="0" w:color="auto"/>
              <w:left w:val="single" w:sz="4" w:space="0" w:color="auto"/>
              <w:bottom w:val="single" w:sz="4" w:space="0" w:color="auto"/>
              <w:right w:val="single" w:sz="4" w:space="0" w:color="auto"/>
            </w:tcBorders>
            <w:hideMark/>
          </w:tcPr>
          <w:p w14:paraId="7ACAB280" w14:textId="77777777" w:rsidR="002B37E9" w:rsidRPr="00140923" w:rsidRDefault="002B37E9" w:rsidP="00226764">
            <w:pPr>
              <w:pStyle w:val="Tabletext"/>
              <w:jc w:val="center"/>
              <w:rPr>
                <w:sz w:val="20"/>
                <w:lang w:val="es-ES_tradnl" w:eastAsia="ja-JP"/>
              </w:rPr>
            </w:pPr>
            <w:r w:rsidRPr="00140923">
              <w:rPr>
                <w:sz w:val="20"/>
                <w:lang w:val="es-ES_tradnl" w:eastAsia="ja-JP"/>
              </w:rPr>
              <w:t>23</w:t>
            </w:r>
            <w:r w:rsidRPr="00140923">
              <w:rPr>
                <w:sz w:val="20"/>
                <w:lang w:val="es-ES_tradnl"/>
              </w:rPr>
              <w:t>…</w:t>
            </w:r>
            <w:r w:rsidRPr="00140923">
              <w:rPr>
                <w:sz w:val="20"/>
                <w:lang w:val="es-ES_tradnl" w:eastAsia="ja-JP"/>
              </w:rPr>
              <w:t>26</w:t>
            </w:r>
          </w:p>
        </w:tc>
        <w:tc>
          <w:tcPr>
            <w:tcW w:w="1276" w:type="dxa"/>
            <w:tcBorders>
              <w:top w:val="single" w:sz="4" w:space="0" w:color="auto"/>
              <w:left w:val="single" w:sz="4" w:space="0" w:color="auto"/>
              <w:bottom w:val="single" w:sz="4" w:space="0" w:color="auto"/>
              <w:right w:val="single" w:sz="4" w:space="0" w:color="auto"/>
            </w:tcBorders>
            <w:hideMark/>
          </w:tcPr>
          <w:p w14:paraId="4D2ECD3D" w14:textId="77777777" w:rsidR="002B37E9" w:rsidRPr="00140923" w:rsidRDefault="002B37E9" w:rsidP="00226764">
            <w:pPr>
              <w:pStyle w:val="Tabletext"/>
              <w:jc w:val="center"/>
              <w:rPr>
                <w:sz w:val="20"/>
                <w:lang w:val="es-ES_tradnl" w:eastAsia="ja-JP"/>
              </w:rPr>
            </w:pPr>
            <w:r w:rsidRPr="00140923">
              <w:rPr>
                <w:sz w:val="20"/>
                <w:lang w:val="es-ES_tradnl" w:eastAsia="ja-JP"/>
              </w:rPr>
              <w:t>32</w:t>
            </w:r>
          </w:p>
        </w:tc>
        <w:tc>
          <w:tcPr>
            <w:tcW w:w="1701" w:type="dxa"/>
            <w:tcBorders>
              <w:top w:val="single" w:sz="4" w:space="0" w:color="auto"/>
              <w:left w:val="single" w:sz="4" w:space="0" w:color="auto"/>
              <w:bottom w:val="single" w:sz="4" w:space="0" w:color="auto"/>
              <w:right w:val="single" w:sz="4" w:space="0" w:color="auto"/>
            </w:tcBorders>
            <w:hideMark/>
          </w:tcPr>
          <w:p w14:paraId="17847701" w14:textId="77777777" w:rsidR="002B37E9" w:rsidRPr="00140923" w:rsidRDefault="002B37E9" w:rsidP="00226764">
            <w:pPr>
              <w:pStyle w:val="Tabletext"/>
              <w:jc w:val="center"/>
              <w:rPr>
                <w:sz w:val="20"/>
                <w:lang w:val="es-ES_tradnl" w:eastAsia="ja-JP"/>
              </w:rPr>
            </w:pPr>
            <w:r w:rsidRPr="00140923">
              <w:rPr>
                <w:sz w:val="20"/>
                <w:lang w:val="es-ES_tradnl" w:eastAsia="ja-JP"/>
              </w:rPr>
              <w:t>21</w:t>
            </w:r>
            <w:r w:rsidRPr="00140923">
              <w:rPr>
                <w:sz w:val="20"/>
                <w:lang w:val="es-ES_tradnl"/>
              </w:rPr>
              <w:t>…</w:t>
            </w:r>
            <w:r w:rsidRPr="00140923">
              <w:rPr>
                <w:sz w:val="20"/>
                <w:lang w:val="es-ES_tradnl" w:eastAsia="ja-JP"/>
              </w:rPr>
              <w:t>29</w:t>
            </w:r>
          </w:p>
        </w:tc>
        <w:tc>
          <w:tcPr>
            <w:tcW w:w="1276" w:type="dxa"/>
            <w:tcBorders>
              <w:top w:val="single" w:sz="4" w:space="0" w:color="auto"/>
              <w:left w:val="single" w:sz="4" w:space="0" w:color="auto"/>
              <w:bottom w:val="single" w:sz="4" w:space="0" w:color="auto"/>
              <w:right w:val="single" w:sz="4" w:space="0" w:color="auto"/>
            </w:tcBorders>
            <w:hideMark/>
          </w:tcPr>
          <w:p w14:paraId="4FD60CAC" w14:textId="77777777" w:rsidR="002B37E9" w:rsidRPr="00140923" w:rsidRDefault="002B37E9" w:rsidP="00226764">
            <w:pPr>
              <w:pStyle w:val="Tabletext"/>
              <w:jc w:val="center"/>
              <w:rPr>
                <w:sz w:val="20"/>
                <w:lang w:val="es-ES_tradnl"/>
              </w:rPr>
            </w:pPr>
            <w:r w:rsidRPr="00140923">
              <w:rPr>
                <w:sz w:val="20"/>
                <w:lang w:val="es-ES_tradnl" w:eastAsia="ja-JP"/>
              </w:rPr>
              <w:t>8</w:t>
            </w:r>
            <w:r w:rsidRPr="00140923">
              <w:rPr>
                <w:sz w:val="20"/>
                <w:lang w:val="es-ES_tradnl"/>
              </w:rPr>
              <w:t>…</w:t>
            </w:r>
            <w:r w:rsidRPr="00140923">
              <w:rPr>
                <w:sz w:val="20"/>
                <w:lang w:val="es-ES_tradnl" w:eastAsia="ja-JP"/>
              </w:rPr>
              <w:t>18</w:t>
            </w:r>
          </w:p>
        </w:tc>
        <w:tc>
          <w:tcPr>
            <w:tcW w:w="1275" w:type="dxa"/>
            <w:tcBorders>
              <w:top w:val="single" w:sz="4" w:space="0" w:color="auto"/>
              <w:left w:val="single" w:sz="4" w:space="0" w:color="auto"/>
              <w:bottom w:val="single" w:sz="4" w:space="0" w:color="auto"/>
              <w:right w:val="single" w:sz="4" w:space="0" w:color="auto"/>
            </w:tcBorders>
            <w:hideMark/>
          </w:tcPr>
          <w:p w14:paraId="61B0FBDF" w14:textId="77777777" w:rsidR="002B37E9" w:rsidRPr="00140923" w:rsidRDefault="002B37E9" w:rsidP="00226764">
            <w:pPr>
              <w:pStyle w:val="Tabletext"/>
              <w:jc w:val="center"/>
              <w:rPr>
                <w:sz w:val="20"/>
                <w:lang w:val="es-ES_tradnl" w:eastAsia="ja-JP"/>
              </w:rPr>
            </w:pPr>
            <w:r w:rsidRPr="00140923">
              <w:rPr>
                <w:sz w:val="20"/>
                <w:lang w:val="es-ES_tradnl" w:eastAsia="ja-JP"/>
              </w:rPr>
              <w:t>11,5</w:t>
            </w:r>
          </w:p>
        </w:tc>
        <w:tc>
          <w:tcPr>
            <w:tcW w:w="1334" w:type="dxa"/>
            <w:gridSpan w:val="2"/>
            <w:tcBorders>
              <w:top w:val="single" w:sz="4" w:space="0" w:color="auto"/>
              <w:left w:val="single" w:sz="4" w:space="0" w:color="auto"/>
              <w:bottom w:val="single" w:sz="4" w:space="0" w:color="auto"/>
              <w:right w:val="single" w:sz="4" w:space="0" w:color="auto"/>
            </w:tcBorders>
            <w:hideMark/>
          </w:tcPr>
          <w:p w14:paraId="5DBB8E99" w14:textId="77777777" w:rsidR="002B37E9" w:rsidRPr="00140923" w:rsidRDefault="002B37E9" w:rsidP="00226764">
            <w:pPr>
              <w:pStyle w:val="Tabletext"/>
              <w:jc w:val="center"/>
              <w:rPr>
                <w:sz w:val="20"/>
                <w:lang w:val="es-ES_tradnl" w:eastAsia="ja-JP"/>
              </w:rPr>
            </w:pPr>
            <w:r w:rsidRPr="00140923">
              <w:rPr>
                <w:sz w:val="20"/>
                <w:lang w:val="es-ES_tradnl" w:eastAsia="ja-JP"/>
              </w:rPr>
              <w:t>6</w:t>
            </w:r>
          </w:p>
        </w:tc>
      </w:tr>
      <w:tr w:rsidR="002B37E9" w:rsidRPr="00140923" w14:paraId="4F611207"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622001" w14:textId="77777777" w:rsidR="002B37E9" w:rsidRPr="00140923" w:rsidRDefault="002B37E9" w:rsidP="00226764">
            <w:pPr>
              <w:pStyle w:val="Tabletext"/>
              <w:jc w:val="left"/>
              <w:rPr>
                <w:sz w:val="20"/>
                <w:lang w:val="es-ES_tradnl"/>
              </w:rPr>
            </w:pPr>
            <w:r w:rsidRPr="00140923">
              <w:rPr>
                <w:sz w:val="20"/>
                <w:lang w:val="es-ES_tradnl"/>
              </w:rPr>
              <w:t>Gama de densidad de p.i.r.e. (dBW/MHz)</w:t>
            </w:r>
            <w:r w:rsidRPr="00140923">
              <w:rPr>
                <w:sz w:val="20"/>
                <w:vertAlign w:val="superscript"/>
                <w:lang w:val="es-ES_tradnl" w:eastAsia="ja-JP"/>
              </w:rPr>
              <w:t>(1)</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B72A765"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8CB026"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84E6F5B" w14:textId="77777777" w:rsidR="002B37E9" w:rsidRPr="00140923" w:rsidRDefault="002B37E9" w:rsidP="00226764">
            <w:pPr>
              <w:pStyle w:val="Tabletext"/>
              <w:jc w:val="center"/>
              <w:rPr>
                <w:sz w:val="20"/>
                <w:lang w:val="es-ES_tradnl"/>
              </w:rPr>
            </w:pPr>
            <w:r w:rsidRPr="00140923">
              <w:rPr>
                <w:sz w:val="20"/>
                <w:lang w:val="es-ES_tradnl" w:eastAsia="ja-JP"/>
              </w:rPr>
              <w:t>15,2…19,0</w:t>
            </w:r>
          </w:p>
        </w:tc>
        <w:tc>
          <w:tcPr>
            <w:tcW w:w="1276" w:type="dxa"/>
            <w:tcBorders>
              <w:top w:val="single" w:sz="4" w:space="0" w:color="auto"/>
              <w:left w:val="single" w:sz="4" w:space="0" w:color="auto"/>
              <w:bottom w:val="single" w:sz="4" w:space="0" w:color="auto"/>
              <w:right w:val="single" w:sz="4" w:space="0" w:color="auto"/>
            </w:tcBorders>
            <w:hideMark/>
          </w:tcPr>
          <w:p w14:paraId="3412CFD3" w14:textId="77777777" w:rsidR="002B37E9" w:rsidRPr="00140923" w:rsidRDefault="002B37E9" w:rsidP="00226764">
            <w:pPr>
              <w:pStyle w:val="Tabletext"/>
              <w:jc w:val="center"/>
              <w:rPr>
                <w:sz w:val="20"/>
                <w:lang w:val="es-ES_tradnl"/>
              </w:rPr>
            </w:pPr>
            <w:r w:rsidRPr="00140923">
              <w:rPr>
                <w:sz w:val="20"/>
                <w:lang w:val="es-ES_tradnl" w:eastAsia="ja-JP"/>
              </w:rPr>
              <w:t>24,2…25,0</w:t>
            </w:r>
          </w:p>
        </w:tc>
        <w:tc>
          <w:tcPr>
            <w:tcW w:w="1701" w:type="dxa"/>
            <w:tcBorders>
              <w:top w:val="single" w:sz="4" w:space="0" w:color="auto"/>
              <w:left w:val="single" w:sz="4" w:space="0" w:color="auto"/>
              <w:bottom w:val="single" w:sz="4" w:space="0" w:color="auto"/>
              <w:right w:val="single" w:sz="4" w:space="0" w:color="auto"/>
            </w:tcBorders>
            <w:hideMark/>
          </w:tcPr>
          <w:p w14:paraId="50BB9C5B" w14:textId="77777777" w:rsidR="002B37E9" w:rsidRPr="00140923" w:rsidRDefault="002B37E9" w:rsidP="00226764">
            <w:pPr>
              <w:pStyle w:val="Tabletext"/>
              <w:jc w:val="center"/>
              <w:rPr>
                <w:sz w:val="20"/>
                <w:lang w:val="es-ES_tradnl"/>
              </w:rPr>
            </w:pPr>
            <w:r w:rsidRPr="00140923">
              <w:rPr>
                <w:sz w:val="20"/>
                <w:lang w:val="es-ES_tradnl" w:eastAsia="ja-JP"/>
              </w:rPr>
              <w:t>9,54…26,5</w:t>
            </w:r>
          </w:p>
        </w:tc>
        <w:tc>
          <w:tcPr>
            <w:tcW w:w="1276" w:type="dxa"/>
            <w:tcBorders>
              <w:top w:val="single" w:sz="4" w:space="0" w:color="auto"/>
              <w:left w:val="single" w:sz="4" w:space="0" w:color="auto"/>
              <w:bottom w:val="single" w:sz="4" w:space="0" w:color="auto"/>
              <w:right w:val="single" w:sz="4" w:space="0" w:color="auto"/>
            </w:tcBorders>
            <w:hideMark/>
          </w:tcPr>
          <w:p w14:paraId="486A2C92" w14:textId="77777777" w:rsidR="002B37E9" w:rsidRPr="00140923" w:rsidRDefault="002B37E9" w:rsidP="00226764">
            <w:pPr>
              <w:pStyle w:val="Tabletext"/>
              <w:jc w:val="center"/>
              <w:rPr>
                <w:sz w:val="20"/>
                <w:lang w:val="es-ES_tradnl"/>
              </w:rPr>
            </w:pPr>
            <w:r w:rsidRPr="00140923">
              <w:rPr>
                <w:sz w:val="20"/>
                <w:lang w:val="es-ES_tradnl"/>
              </w:rPr>
              <w:t>−</w:t>
            </w:r>
            <w:r w:rsidRPr="00140923">
              <w:rPr>
                <w:sz w:val="20"/>
                <w:lang w:val="es-ES_tradnl" w:eastAsia="ja-JP"/>
              </w:rPr>
              <w:t>3,46…15,6</w:t>
            </w:r>
          </w:p>
        </w:tc>
        <w:tc>
          <w:tcPr>
            <w:tcW w:w="1275" w:type="dxa"/>
            <w:tcBorders>
              <w:top w:val="single" w:sz="4" w:space="0" w:color="auto"/>
              <w:left w:val="single" w:sz="4" w:space="0" w:color="auto"/>
              <w:bottom w:val="single" w:sz="4" w:space="0" w:color="auto"/>
              <w:right w:val="single" w:sz="4" w:space="0" w:color="auto"/>
            </w:tcBorders>
            <w:hideMark/>
          </w:tcPr>
          <w:p w14:paraId="2C3CAAE4" w14:textId="77777777" w:rsidR="002B37E9" w:rsidRPr="00140923" w:rsidRDefault="002B37E9" w:rsidP="00226764">
            <w:pPr>
              <w:pStyle w:val="Tabletext"/>
              <w:jc w:val="center"/>
              <w:rPr>
                <w:sz w:val="20"/>
                <w:lang w:val="es-ES_tradnl"/>
              </w:rPr>
            </w:pPr>
            <w:r w:rsidRPr="00140923">
              <w:rPr>
                <w:sz w:val="20"/>
                <w:lang w:val="es-ES_tradnl" w:eastAsia="ja-JP"/>
              </w:rPr>
              <w:t>9,07</w:t>
            </w:r>
          </w:p>
        </w:tc>
        <w:tc>
          <w:tcPr>
            <w:tcW w:w="1334" w:type="dxa"/>
            <w:gridSpan w:val="2"/>
            <w:tcBorders>
              <w:top w:val="single" w:sz="4" w:space="0" w:color="auto"/>
              <w:left w:val="single" w:sz="4" w:space="0" w:color="auto"/>
              <w:bottom w:val="single" w:sz="4" w:space="0" w:color="auto"/>
              <w:right w:val="single" w:sz="4" w:space="0" w:color="auto"/>
            </w:tcBorders>
            <w:hideMark/>
          </w:tcPr>
          <w:p w14:paraId="2E74BC1B" w14:textId="77777777" w:rsidR="002B37E9" w:rsidRPr="00140923" w:rsidRDefault="002B37E9" w:rsidP="00226764">
            <w:pPr>
              <w:pStyle w:val="Tabletext"/>
              <w:jc w:val="center"/>
              <w:rPr>
                <w:sz w:val="20"/>
                <w:lang w:val="es-ES_tradnl" w:eastAsia="ja-JP"/>
              </w:rPr>
            </w:pPr>
            <w:r w:rsidRPr="00140923">
              <w:rPr>
                <w:sz w:val="20"/>
                <w:lang w:val="es-ES_tradnl" w:eastAsia="ja-JP"/>
              </w:rPr>
              <w:t>3,57</w:t>
            </w:r>
          </w:p>
        </w:tc>
      </w:tr>
      <w:tr w:rsidR="002B37E9" w:rsidRPr="00140923" w14:paraId="29B601A4"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FD758D" w14:textId="77777777" w:rsidR="002B37E9" w:rsidRPr="00140923" w:rsidRDefault="002B37E9" w:rsidP="00226764">
            <w:pPr>
              <w:pStyle w:val="Tabletext"/>
              <w:jc w:val="left"/>
              <w:rPr>
                <w:sz w:val="20"/>
                <w:lang w:val="es-ES_tradnl"/>
              </w:rPr>
            </w:pPr>
            <w:r w:rsidRPr="00140923">
              <w:rPr>
                <w:sz w:val="20"/>
                <w:lang w:val="es-ES_tradnl"/>
              </w:rPr>
              <w:t xml:space="preserve">Factor de ruido típico del receptor (dB)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B938859"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2AE47"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4449BA8" w14:textId="77777777" w:rsidR="002B37E9" w:rsidRPr="00140923" w:rsidRDefault="002B37E9" w:rsidP="00226764">
            <w:pPr>
              <w:pStyle w:val="Tabletext"/>
              <w:jc w:val="center"/>
              <w:rPr>
                <w:sz w:val="20"/>
                <w:lang w:val="es-ES_tradnl" w:eastAsia="ja-JP"/>
              </w:rPr>
            </w:pPr>
            <w:r w:rsidRPr="00140923">
              <w:rPr>
                <w:sz w:val="20"/>
                <w:lang w:val="es-ES_tradnl" w:eastAsia="ja-JP"/>
              </w:rPr>
              <w:t>4</w:t>
            </w:r>
          </w:p>
        </w:tc>
        <w:tc>
          <w:tcPr>
            <w:tcW w:w="1276" w:type="dxa"/>
            <w:tcBorders>
              <w:top w:val="single" w:sz="4" w:space="0" w:color="auto"/>
              <w:left w:val="single" w:sz="4" w:space="0" w:color="auto"/>
              <w:bottom w:val="single" w:sz="4" w:space="0" w:color="auto"/>
              <w:right w:val="single" w:sz="4" w:space="0" w:color="auto"/>
            </w:tcBorders>
            <w:hideMark/>
          </w:tcPr>
          <w:p w14:paraId="471448E8" w14:textId="77777777" w:rsidR="002B37E9" w:rsidRPr="00140923" w:rsidRDefault="002B37E9" w:rsidP="00226764">
            <w:pPr>
              <w:pStyle w:val="Tabletext"/>
              <w:jc w:val="center"/>
              <w:rPr>
                <w:sz w:val="20"/>
                <w:lang w:val="es-ES_tradnl" w:eastAsia="ja-JP"/>
              </w:rPr>
            </w:pPr>
            <w:r w:rsidRPr="00140923">
              <w:rPr>
                <w:sz w:val="20"/>
                <w:lang w:val="es-ES_tradnl" w:eastAsia="ja-JP"/>
              </w:rPr>
              <w:t>4</w:t>
            </w:r>
          </w:p>
        </w:tc>
        <w:tc>
          <w:tcPr>
            <w:tcW w:w="1701" w:type="dxa"/>
            <w:tcBorders>
              <w:top w:val="single" w:sz="4" w:space="0" w:color="auto"/>
              <w:left w:val="single" w:sz="4" w:space="0" w:color="auto"/>
              <w:bottom w:val="single" w:sz="4" w:space="0" w:color="auto"/>
              <w:right w:val="single" w:sz="4" w:space="0" w:color="auto"/>
            </w:tcBorders>
            <w:hideMark/>
          </w:tcPr>
          <w:p w14:paraId="703DD40E" w14:textId="77777777" w:rsidR="002B37E9" w:rsidRPr="00140923" w:rsidRDefault="002B37E9" w:rsidP="00226764">
            <w:pPr>
              <w:pStyle w:val="Tabletext"/>
              <w:jc w:val="center"/>
              <w:rPr>
                <w:sz w:val="20"/>
                <w:lang w:val="es-ES_tradnl" w:eastAsia="ja-JP"/>
              </w:rPr>
            </w:pPr>
            <w:r w:rsidRPr="00140923">
              <w:rPr>
                <w:sz w:val="20"/>
                <w:lang w:val="es-ES_tradnl" w:eastAsia="ja-JP"/>
              </w:rPr>
              <w:t>3</w:t>
            </w:r>
          </w:p>
        </w:tc>
        <w:tc>
          <w:tcPr>
            <w:tcW w:w="1276" w:type="dxa"/>
            <w:tcBorders>
              <w:top w:val="single" w:sz="4" w:space="0" w:color="auto"/>
              <w:left w:val="single" w:sz="4" w:space="0" w:color="auto"/>
              <w:bottom w:val="single" w:sz="4" w:space="0" w:color="auto"/>
              <w:right w:val="single" w:sz="4" w:space="0" w:color="auto"/>
            </w:tcBorders>
            <w:hideMark/>
          </w:tcPr>
          <w:p w14:paraId="0EFD0CE2" w14:textId="77777777" w:rsidR="002B37E9" w:rsidRPr="00140923" w:rsidRDefault="002B37E9" w:rsidP="00226764">
            <w:pPr>
              <w:pStyle w:val="Tabletext"/>
              <w:jc w:val="center"/>
              <w:rPr>
                <w:sz w:val="20"/>
                <w:lang w:val="es-ES_tradnl" w:eastAsia="ja-JP"/>
              </w:rPr>
            </w:pPr>
            <w:r w:rsidRPr="00140923">
              <w:rPr>
                <w:sz w:val="20"/>
                <w:lang w:val="es-ES_tradnl" w:eastAsia="ja-JP"/>
              </w:rPr>
              <w:t>3</w:t>
            </w:r>
          </w:p>
        </w:tc>
        <w:tc>
          <w:tcPr>
            <w:tcW w:w="1275" w:type="dxa"/>
            <w:tcBorders>
              <w:top w:val="single" w:sz="4" w:space="0" w:color="auto"/>
              <w:left w:val="single" w:sz="4" w:space="0" w:color="auto"/>
              <w:bottom w:val="single" w:sz="4" w:space="0" w:color="auto"/>
              <w:right w:val="single" w:sz="4" w:space="0" w:color="auto"/>
            </w:tcBorders>
            <w:hideMark/>
          </w:tcPr>
          <w:p w14:paraId="1CE3EDE1" w14:textId="77777777" w:rsidR="002B37E9" w:rsidRPr="00140923" w:rsidRDefault="002B37E9" w:rsidP="00226764">
            <w:pPr>
              <w:pStyle w:val="Tabletext"/>
              <w:jc w:val="center"/>
              <w:rPr>
                <w:sz w:val="20"/>
                <w:lang w:val="es-ES_tradnl"/>
              </w:rPr>
            </w:pPr>
            <w:r w:rsidRPr="00140923">
              <w:rPr>
                <w:sz w:val="20"/>
                <w:lang w:val="es-ES_tradnl" w:eastAsia="ja-JP"/>
              </w:rPr>
              <w:t>5</w:t>
            </w:r>
          </w:p>
        </w:tc>
        <w:tc>
          <w:tcPr>
            <w:tcW w:w="1334" w:type="dxa"/>
            <w:gridSpan w:val="2"/>
            <w:tcBorders>
              <w:top w:val="single" w:sz="4" w:space="0" w:color="auto"/>
              <w:left w:val="single" w:sz="4" w:space="0" w:color="auto"/>
              <w:bottom w:val="single" w:sz="4" w:space="0" w:color="auto"/>
              <w:right w:val="single" w:sz="4" w:space="0" w:color="auto"/>
            </w:tcBorders>
            <w:hideMark/>
          </w:tcPr>
          <w:p w14:paraId="6F2997EB" w14:textId="77777777" w:rsidR="002B37E9" w:rsidRPr="00140923" w:rsidRDefault="002B37E9" w:rsidP="00226764">
            <w:pPr>
              <w:pStyle w:val="Tabletext"/>
              <w:jc w:val="center"/>
              <w:rPr>
                <w:sz w:val="20"/>
                <w:lang w:val="es-ES_tradnl" w:eastAsia="ja-JP"/>
              </w:rPr>
            </w:pPr>
            <w:r w:rsidRPr="00140923">
              <w:rPr>
                <w:sz w:val="20"/>
                <w:lang w:val="es-ES_tradnl" w:eastAsia="ja-JP"/>
              </w:rPr>
              <w:t>5</w:t>
            </w:r>
          </w:p>
        </w:tc>
      </w:tr>
      <w:tr w:rsidR="002B37E9" w:rsidRPr="00140923" w14:paraId="77628E0C"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69C060" w14:textId="77777777" w:rsidR="002B37E9" w:rsidRPr="00140923" w:rsidRDefault="002B37E9" w:rsidP="00226764">
            <w:pPr>
              <w:pStyle w:val="Tabletext"/>
              <w:jc w:val="left"/>
              <w:rPr>
                <w:sz w:val="20"/>
                <w:lang w:val="es-ES_tradnl"/>
              </w:rPr>
            </w:pPr>
            <w:r w:rsidRPr="00140923">
              <w:rPr>
                <w:sz w:val="20"/>
                <w:lang w:val="es-ES_tradnl"/>
              </w:rPr>
              <w:t>Densidad de potencia de ruido típica del receptor</w:t>
            </w:r>
            <w:r w:rsidRPr="00140923">
              <w:rPr>
                <w:sz w:val="20"/>
                <w:lang w:val="es-ES_tradnl" w:eastAsia="ja-JP"/>
              </w:rPr>
              <w:t xml:space="preserve"> (=</w:t>
            </w:r>
            <w:r w:rsidRPr="00140923">
              <w:rPr>
                <w:i/>
                <w:iCs/>
                <w:sz w:val="20"/>
                <w:lang w:val="es-ES_tradnl"/>
              </w:rPr>
              <w:t>N</w:t>
            </w:r>
            <w:r w:rsidRPr="00140923">
              <w:rPr>
                <w:i/>
                <w:iCs/>
                <w:sz w:val="20"/>
                <w:vertAlign w:val="subscript"/>
                <w:lang w:val="es-ES_tradnl"/>
              </w:rPr>
              <w:t>RX</w:t>
            </w:r>
            <w:r w:rsidRPr="00140923">
              <w:rPr>
                <w:sz w:val="20"/>
                <w:lang w:val="es-ES_tradnl" w:eastAsia="ja-JP"/>
              </w:rPr>
              <w:t xml:space="preserve">) </w:t>
            </w:r>
            <w:r w:rsidRPr="00140923">
              <w:rPr>
                <w:sz w:val="20"/>
                <w:lang w:val="es-ES_tradnl"/>
              </w:rPr>
              <w:t>(dBW/MHz)</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2060DDF"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4F0C8A"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701" w:type="dxa"/>
            <w:tcBorders>
              <w:top w:val="single" w:sz="4" w:space="0" w:color="auto"/>
              <w:left w:val="single" w:sz="4" w:space="0" w:color="auto"/>
              <w:bottom w:val="single" w:sz="4" w:space="0" w:color="auto"/>
              <w:right w:val="single" w:sz="4" w:space="0" w:color="auto"/>
            </w:tcBorders>
            <w:hideMark/>
          </w:tcPr>
          <w:p w14:paraId="7CA0CC84" w14:textId="77777777" w:rsidR="002B37E9" w:rsidRPr="00140923" w:rsidRDefault="002B37E9" w:rsidP="00226764">
            <w:pPr>
              <w:pStyle w:val="Tabletext"/>
              <w:jc w:val="center"/>
              <w:rPr>
                <w:sz w:val="20"/>
                <w:lang w:val="es-ES_tradnl"/>
              </w:rPr>
            </w:pPr>
            <w:r w:rsidRPr="00140923">
              <w:rPr>
                <w:sz w:val="20"/>
                <w:lang w:val="es-ES_tradnl"/>
              </w:rPr>
              <w:t>−</w:t>
            </w:r>
            <w:r w:rsidRPr="00140923">
              <w:rPr>
                <w:sz w:val="20"/>
                <w:lang w:val="es-ES_tradnl" w:eastAsia="ja-JP"/>
              </w:rPr>
              <w:t>140</w:t>
            </w:r>
          </w:p>
        </w:tc>
        <w:tc>
          <w:tcPr>
            <w:tcW w:w="1276" w:type="dxa"/>
            <w:tcBorders>
              <w:top w:val="single" w:sz="4" w:space="0" w:color="auto"/>
              <w:left w:val="single" w:sz="4" w:space="0" w:color="auto"/>
              <w:bottom w:val="single" w:sz="4" w:space="0" w:color="auto"/>
              <w:right w:val="single" w:sz="4" w:space="0" w:color="auto"/>
            </w:tcBorders>
            <w:hideMark/>
          </w:tcPr>
          <w:p w14:paraId="3FD2E19C" w14:textId="77777777" w:rsidR="002B37E9" w:rsidRPr="00140923" w:rsidRDefault="002B37E9" w:rsidP="00226764">
            <w:pPr>
              <w:pStyle w:val="Tabletext"/>
              <w:jc w:val="center"/>
              <w:rPr>
                <w:sz w:val="20"/>
                <w:lang w:val="es-ES_tradnl"/>
              </w:rPr>
            </w:pPr>
            <w:r w:rsidRPr="00140923">
              <w:rPr>
                <w:sz w:val="20"/>
                <w:lang w:val="es-ES_tradnl"/>
              </w:rPr>
              <w:t>−</w:t>
            </w:r>
            <w:r w:rsidRPr="00140923">
              <w:rPr>
                <w:sz w:val="20"/>
                <w:lang w:val="es-ES_tradnl" w:eastAsia="ja-JP"/>
              </w:rPr>
              <w:t>140</w:t>
            </w:r>
          </w:p>
        </w:tc>
        <w:tc>
          <w:tcPr>
            <w:tcW w:w="1701" w:type="dxa"/>
            <w:tcBorders>
              <w:top w:val="single" w:sz="4" w:space="0" w:color="auto"/>
              <w:left w:val="single" w:sz="4" w:space="0" w:color="auto"/>
              <w:bottom w:val="single" w:sz="4" w:space="0" w:color="auto"/>
              <w:right w:val="single" w:sz="4" w:space="0" w:color="auto"/>
            </w:tcBorders>
            <w:hideMark/>
          </w:tcPr>
          <w:p w14:paraId="1825E8AE" w14:textId="77777777" w:rsidR="002B37E9" w:rsidRPr="00140923" w:rsidRDefault="002B37E9" w:rsidP="00226764">
            <w:pPr>
              <w:pStyle w:val="Tabletext"/>
              <w:jc w:val="center"/>
              <w:rPr>
                <w:sz w:val="20"/>
                <w:lang w:val="es-ES_tradnl" w:eastAsia="ja-JP"/>
              </w:rPr>
            </w:pPr>
            <w:r w:rsidRPr="00140923">
              <w:rPr>
                <w:sz w:val="20"/>
                <w:lang w:val="es-ES_tradnl" w:eastAsia="ja-JP"/>
              </w:rPr>
              <w:t>−141</w:t>
            </w:r>
          </w:p>
        </w:tc>
        <w:tc>
          <w:tcPr>
            <w:tcW w:w="1276" w:type="dxa"/>
            <w:tcBorders>
              <w:top w:val="single" w:sz="4" w:space="0" w:color="auto"/>
              <w:left w:val="single" w:sz="4" w:space="0" w:color="auto"/>
              <w:bottom w:val="single" w:sz="4" w:space="0" w:color="auto"/>
              <w:right w:val="single" w:sz="4" w:space="0" w:color="auto"/>
            </w:tcBorders>
            <w:hideMark/>
          </w:tcPr>
          <w:p w14:paraId="015C07DF" w14:textId="77777777" w:rsidR="002B37E9" w:rsidRPr="00140923" w:rsidRDefault="002B37E9" w:rsidP="00226764">
            <w:pPr>
              <w:pStyle w:val="Tabletext"/>
              <w:jc w:val="center"/>
              <w:rPr>
                <w:sz w:val="20"/>
                <w:lang w:val="es-ES_tradnl" w:eastAsia="ja-JP"/>
              </w:rPr>
            </w:pPr>
            <w:r w:rsidRPr="00140923">
              <w:rPr>
                <w:sz w:val="20"/>
                <w:lang w:val="es-ES_tradnl"/>
              </w:rPr>
              <w:t>−</w:t>
            </w:r>
            <w:r w:rsidRPr="00140923">
              <w:rPr>
                <w:sz w:val="20"/>
                <w:lang w:val="es-ES_tradnl" w:eastAsia="ja-JP"/>
              </w:rPr>
              <w:t>141</w:t>
            </w:r>
          </w:p>
        </w:tc>
        <w:tc>
          <w:tcPr>
            <w:tcW w:w="1275" w:type="dxa"/>
            <w:tcBorders>
              <w:top w:val="single" w:sz="4" w:space="0" w:color="auto"/>
              <w:left w:val="single" w:sz="4" w:space="0" w:color="auto"/>
              <w:bottom w:val="single" w:sz="4" w:space="0" w:color="auto"/>
              <w:right w:val="single" w:sz="4" w:space="0" w:color="auto"/>
            </w:tcBorders>
            <w:hideMark/>
          </w:tcPr>
          <w:p w14:paraId="42A6B361" w14:textId="77777777" w:rsidR="002B37E9" w:rsidRPr="00140923" w:rsidRDefault="002B37E9" w:rsidP="00226764">
            <w:pPr>
              <w:pStyle w:val="Tabletext"/>
              <w:jc w:val="center"/>
              <w:rPr>
                <w:sz w:val="20"/>
                <w:lang w:val="es-ES_tradnl"/>
              </w:rPr>
            </w:pPr>
            <w:r w:rsidRPr="00140923">
              <w:rPr>
                <w:sz w:val="20"/>
                <w:lang w:val="es-ES_tradnl"/>
              </w:rPr>
              <w:t>−</w:t>
            </w:r>
            <w:r w:rsidRPr="00140923">
              <w:rPr>
                <w:sz w:val="20"/>
                <w:lang w:val="es-ES_tradnl" w:eastAsia="ja-JP"/>
              </w:rPr>
              <w:t>139</w:t>
            </w:r>
          </w:p>
        </w:tc>
        <w:tc>
          <w:tcPr>
            <w:tcW w:w="1334" w:type="dxa"/>
            <w:gridSpan w:val="2"/>
            <w:tcBorders>
              <w:top w:val="single" w:sz="4" w:space="0" w:color="auto"/>
              <w:left w:val="single" w:sz="4" w:space="0" w:color="auto"/>
              <w:bottom w:val="single" w:sz="4" w:space="0" w:color="auto"/>
              <w:right w:val="single" w:sz="4" w:space="0" w:color="auto"/>
            </w:tcBorders>
            <w:hideMark/>
          </w:tcPr>
          <w:p w14:paraId="103C6104" w14:textId="77777777" w:rsidR="002B37E9" w:rsidRPr="00140923" w:rsidRDefault="002B37E9" w:rsidP="00226764">
            <w:pPr>
              <w:pStyle w:val="Tabletext"/>
              <w:jc w:val="center"/>
              <w:rPr>
                <w:sz w:val="20"/>
                <w:lang w:val="es-ES_tradnl" w:eastAsia="ja-JP"/>
              </w:rPr>
            </w:pPr>
            <w:r w:rsidRPr="00140923">
              <w:rPr>
                <w:sz w:val="20"/>
                <w:lang w:val="es-ES_tradnl"/>
              </w:rPr>
              <w:t>−</w:t>
            </w:r>
            <w:r w:rsidRPr="00140923">
              <w:rPr>
                <w:sz w:val="20"/>
                <w:lang w:val="es-ES_tradnl" w:eastAsia="ja-JP"/>
              </w:rPr>
              <w:t>139</w:t>
            </w:r>
          </w:p>
        </w:tc>
      </w:tr>
      <w:tr w:rsidR="002B37E9" w:rsidRPr="00140923" w14:paraId="6BFC1CCA"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F05A06" w14:textId="7F8C1452" w:rsidR="002B37E9" w:rsidRPr="00140923" w:rsidRDefault="002B37E9" w:rsidP="00226764">
            <w:pPr>
              <w:pStyle w:val="Tabletext"/>
              <w:jc w:val="left"/>
              <w:rPr>
                <w:sz w:val="20"/>
                <w:lang w:val="es-ES_tradnl"/>
              </w:rPr>
            </w:pPr>
            <w:r w:rsidRPr="00140923">
              <w:rPr>
                <w:sz w:val="20"/>
                <w:lang w:val="es-ES_tradnl"/>
              </w:rPr>
              <w:t>Nivel de entrada normalizado del receptor para una BER de 1 × 10</w:t>
            </w:r>
            <w:r w:rsidR="00A941C1" w:rsidRPr="00A941C1">
              <w:rPr>
                <w:sz w:val="20"/>
                <w:vertAlign w:val="superscript"/>
                <w:lang w:val="es-ES_tradnl"/>
              </w:rPr>
              <w:t>−</w:t>
            </w:r>
            <w:r w:rsidRPr="00140923">
              <w:rPr>
                <w:sz w:val="20"/>
                <w:vertAlign w:val="superscript"/>
                <w:lang w:val="es-ES_tradnl"/>
              </w:rPr>
              <w:t>6</w:t>
            </w:r>
            <w:r w:rsidRPr="00140923">
              <w:rPr>
                <w:sz w:val="20"/>
                <w:lang w:val="es-ES_tradnl"/>
              </w:rPr>
              <w:t xml:space="preserve"> (dBW/MHz)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1BA4ECE"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6DF846" w14:textId="77777777" w:rsidR="002B37E9" w:rsidRPr="00140923" w:rsidRDefault="002B37E9" w:rsidP="00226764">
            <w:pPr>
              <w:tabs>
                <w:tab w:val="clear" w:pos="794"/>
                <w:tab w:val="clear" w:pos="1191"/>
                <w:tab w:val="clear" w:pos="1588"/>
                <w:tab w:val="clear" w:pos="1985"/>
              </w:tabs>
              <w:overflowPunct/>
              <w:autoSpaceDE/>
              <w:autoSpaceDN/>
              <w:adjustRightInd/>
              <w:spacing w:before="0"/>
              <w:jc w:val="left"/>
              <w:rPr>
                <w:sz w:val="20"/>
                <w:lang w:val="es-ES_tradnl" w:eastAsia="ja-JP"/>
              </w:rPr>
            </w:pPr>
          </w:p>
        </w:tc>
        <w:tc>
          <w:tcPr>
            <w:tcW w:w="1701" w:type="dxa"/>
            <w:tcBorders>
              <w:top w:val="single" w:sz="4" w:space="0" w:color="auto"/>
              <w:left w:val="single" w:sz="4" w:space="0" w:color="auto"/>
              <w:bottom w:val="single" w:sz="4" w:space="0" w:color="auto"/>
              <w:right w:val="single" w:sz="4" w:space="0" w:color="auto"/>
            </w:tcBorders>
            <w:hideMark/>
          </w:tcPr>
          <w:p w14:paraId="1CDA5B31" w14:textId="77777777" w:rsidR="002B37E9" w:rsidRPr="00140923" w:rsidRDefault="002B37E9" w:rsidP="00226764">
            <w:pPr>
              <w:pStyle w:val="Tabletext"/>
              <w:jc w:val="center"/>
              <w:rPr>
                <w:sz w:val="20"/>
                <w:lang w:val="es-ES_tradnl"/>
              </w:rPr>
            </w:pPr>
            <w:r w:rsidRPr="00140923">
              <w:rPr>
                <w:sz w:val="20"/>
                <w:lang w:val="es-ES_tradnl"/>
              </w:rPr>
              <w:t>−</w:t>
            </w:r>
            <w:r w:rsidRPr="00140923">
              <w:rPr>
                <w:sz w:val="20"/>
                <w:lang w:val="es-ES_tradnl" w:eastAsia="ja-JP"/>
              </w:rPr>
              <w:t>126,5…</w:t>
            </w:r>
            <w:r w:rsidRPr="00140923">
              <w:rPr>
                <w:sz w:val="20"/>
                <w:lang w:val="es-ES_tradnl"/>
              </w:rPr>
              <w:t>−</w:t>
            </w:r>
            <w:r w:rsidRPr="00140923">
              <w:rPr>
                <w:sz w:val="20"/>
                <w:lang w:val="es-ES_tradnl" w:eastAsia="ja-JP"/>
              </w:rPr>
              <w:t>113,5</w:t>
            </w:r>
          </w:p>
        </w:tc>
        <w:tc>
          <w:tcPr>
            <w:tcW w:w="1276" w:type="dxa"/>
            <w:tcBorders>
              <w:top w:val="single" w:sz="4" w:space="0" w:color="auto"/>
              <w:left w:val="single" w:sz="4" w:space="0" w:color="auto"/>
              <w:bottom w:val="single" w:sz="4" w:space="0" w:color="auto"/>
              <w:right w:val="single" w:sz="4" w:space="0" w:color="auto"/>
            </w:tcBorders>
            <w:hideMark/>
          </w:tcPr>
          <w:p w14:paraId="7FE91E65" w14:textId="77777777" w:rsidR="002B37E9" w:rsidRPr="00140923" w:rsidRDefault="002B37E9" w:rsidP="00226764">
            <w:pPr>
              <w:pStyle w:val="Tabletext"/>
              <w:jc w:val="center"/>
              <w:rPr>
                <w:sz w:val="20"/>
                <w:lang w:val="es-ES_tradnl"/>
              </w:rPr>
            </w:pPr>
            <w:r w:rsidRPr="00140923">
              <w:rPr>
                <w:sz w:val="20"/>
                <w:lang w:val="es-ES_tradnl"/>
              </w:rPr>
              <w:t>−</w:t>
            </w:r>
            <w:r w:rsidRPr="00140923">
              <w:rPr>
                <w:sz w:val="20"/>
                <w:lang w:val="es-ES_tradnl" w:eastAsia="ja-JP"/>
              </w:rPr>
              <w:t>126,5</w:t>
            </w:r>
          </w:p>
        </w:tc>
        <w:tc>
          <w:tcPr>
            <w:tcW w:w="1701" w:type="dxa"/>
            <w:tcBorders>
              <w:top w:val="single" w:sz="4" w:space="0" w:color="auto"/>
              <w:left w:val="single" w:sz="4" w:space="0" w:color="auto"/>
              <w:bottom w:val="single" w:sz="4" w:space="0" w:color="auto"/>
              <w:right w:val="single" w:sz="4" w:space="0" w:color="auto"/>
            </w:tcBorders>
            <w:hideMark/>
          </w:tcPr>
          <w:p w14:paraId="2D40005A" w14:textId="77777777" w:rsidR="002B37E9" w:rsidRPr="00140923" w:rsidRDefault="002B37E9" w:rsidP="00226764">
            <w:pPr>
              <w:pStyle w:val="Tabletext"/>
              <w:jc w:val="center"/>
              <w:rPr>
                <w:sz w:val="20"/>
                <w:lang w:val="es-ES_tradnl" w:eastAsia="ja-JP"/>
              </w:rPr>
            </w:pPr>
            <w:r w:rsidRPr="00140923">
              <w:rPr>
                <w:sz w:val="20"/>
                <w:lang w:val="es-ES_tradnl" w:eastAsia="ja-JP"/>
              </w:rPr>
              <w:t>−127,5…</w:t>
            </w:r>
            <w:r w:rsidRPr="00140923">
              <w:rPr>
                <w:sz w:val="20"/>
                <w:lang w:val="es-ES_tradnl"/>
              </w:rPr>
              <w:t>−</w:t>
            </w:r>
            <w:r w:rsidRPr="00140923">
              <w:rPr>
                <w:sz w:val="20"/>
                <w:lang w:val="es-ES_tradnl" w:eastAsia="ja-JP"/>
              </w:rPr>
              <w:t>114,5</w:t>
            </w:r>
          </w:p>
        </w:tc>
        <w:tc>
          <w:tcPr>
            <w:tcW w:w="1276" w:type="dxa"/>
            <w:tcBorders>
              <w:top w:val="single" w:sz="4" w:space="0" w:color="auto"/>
              <w:left w:val="single" w:sz="4" w:space="0" w:color="auto"/>
              <w:bottom w:val="single" w:sz="4" w:space="0" w:color="auto"/>
              <w:right w:val="single" w:sz="4" w:space="0" w:color="auto"/>
            </w:tcBorders>
            <w:hideMark/>
          </w:tcPr>
          <w:p w14:paraId="0B5A59AF" w14:textId="77777777" w:rsidR="002B37E9" w:rsidRPr="00140923" w:rsidRDefault="002B37E9" w:rsidP="00226764">
            <w:pPr>
              <w:pStyle w:val="Tabletext"/>
              <w:jc w:val="center"/>
              <w:rPr>
                <w:sz w:val="20"/>
                <w:lang w:val="es-ES_tradnl" w:eastAsia="ja-JP"/>
              </w:rPr>
            </w:pPr>
            <w:r w:rsidRPr="00140923">
              <w:rPr>
                <w:sz w:val="20"/>
                <w:lang w:val="es-ES_tradnl"/>
              </w:rPr>
              <w:t>−</w:t>
            </w:r>
            <w:r w:rsidRPr="00140923">
              <w:rPr>
                <w:sz w:val="20"/>
                <w:lang w:val="es-ES_tradnl" w:eastAsia="ja-JP"/>
              </w:rPr>
              <w:t>127,5</w:t>
            </w:r>
          </w:p>
        </w:tc>
        <w:tc>
          <w:tcPr>
            <w:tcW w:w="1275" w:type="dxa"/>
            <w:tcBorders>
              <w:top w:val="single" w:sz="4" w:space="0" w:color="auto"/>
              <w:left w:val="single" w:sz="4" w:space="0" w:color="auto"/>
              <w:bottom w:val="single" w:sz="4" w:space="0" w:color="auto"/>
              <w:right w:val="single" w:sz="4" w:space="0" w:color="auto"/>
            </w:tcBorders>
            <w:hideMark/>
          </w:tcPr>
          <w:p w14:paraId="242F5203" w14:textId="77777777" w:rsidR="002B37E9" w:rsidRPr="00140923" w:rsidRDefault="002B37E9" w:rsidP="00226764">
            <w:pPr>
              <w:pStyle w:val="Tabletext"/>
              <w:jc w:val="center"/>
              <w:rPr>
                <w:sz w:val="20"/>
                <w:lang w:val="es-ES_tradnl"/>
              </w:rPr>
            </w:pPr>
            <w:r w:rsidRPr="00140923">
              <w:rPr>
                <w:sz w:val="20"/>
                <w:lang w:val="es-ES_tradnl"/>
              </w:rPr>
              <w:t>−</w:t>
            </w:r>
            <w:r w:rsidRPr="00140923">
              <w:rPr>
                <w:sz w:val="20"/>
                <w:lang w:val="es-ES_tradnl" w:eastAsia="ja-JP"/>
              </w:rPr>
              <w:t>112,5</w:t>
            </w:r>
          </w:p>
        </w:tc>
        <w:tc>
          <w:tcPr>
            <w:tcW w:w="1334" w:type="dxa"/>
            <w:gridSpan w:val="2"/>
            <w:tcBorders>
              <w:top w:val="single" w:sz="4" w:space="0" w:color="auto"/>
              <w:left w:val="single" w:sz="4" w:space="0" w:color="auto"/>
              <w:bottom w:val="single" w:sz="4" w:space="0" w:color="auto"/>
              <w:right w:val="single" w:sz="4" w:space="0" w:color="auto"/>
            </w:tcBorders>
            <w:hideMark/>
          </w:tcPr>
          <w:p w14:paraId="466A02D9" w14:textId="77777777" w:rsidR="002B37E9" w:rsidRPr="00140923" w:rsidRDefault="002B37E9" w:rsidP="00226764">
            <w:pPr>
              <w:pStyle w:val="Tabletext"/>
              <w:jc w:val="center"/>
              <w:rPr>
                <w:sz w:val="20"/>
                <w:lang w:val="es-ES_tradnl" w:eastAsia="ja-JP"/>
              </w:rPr>
            </w:pPr>
            <w:r w:rsidRPr="00140923">
              <w:rPr>
                <w:sz w:val="20"/>
                <w:lang w:val="es-ES_tradnl"/>
              </w:rPr>
              <w:t>−</w:t>
            </w:r>
            <w:r w:rsidRPr="00140923">
              <w:rPr>
                <w:sz w:val="20"/>
                <w:lang w:val="es-ES_tradnl" w:eastAsia="ja-JP"/>
              </w:rPr>
              <w:t>112,5</w:t>
            </w:r>
          </w:p>
        </w:tc>
      </w:tr>
      <w:tr w:rsidR="002B37E9" w:rsidRPr="00140923" w14:paraId="4F5D4DF7" w14:textId="77777777" w:rsidTr="00226764">
        <w:trPr>
          <w:trHeight w:val="20"/>
          <w:jc w:val="center"/>
        </w:trPr>
        <w:tc>
          <w:tcPr>
            <w:tcW w:w="3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E9690B" w14:textId="77777777" w:rsidR="002B37E9" w:rsidRPr="00140923" w:rsidRDefault="002B37E9" w:rsidP="00226764">
            <w:pPr>
              <w:pStyle w:val="Tabletext"/>
              <w:jc w:val="left"/>
              <w:rPr>
                <w:sz w:val="20"/>
                <w:lang w:val="es-ES_tradnl" w:eastAsia="ja-JP"/>
              </w:rPr>
            </w:pPr>
            <w:r w:rsidRPr="00140923">
              <w:rPr>
                <w:sz w:val="20"/>
                <w:lang w:val="es-ES_tradnl"/>
              </w:rPr>
              <w:t>Densidad de potencia de interferencia a largo plazo nominal (dBW/MHz)</w:t>
            </w:r>
            <w:r w:rsidRPr="00140923">
              <w:rPr>
                <w:sz w:val="20"/>
                <w:vertAlign w:val="superscript"/>
                <w:lang w:val="es-ES_tradnl" w:eastAsia="ja-JP"/>
              </w:rPr>
              <w:t xml:space="preserve">(2) </w:t>
            </w:r>
          </w:p>
        </w:tc>
        <w:tc>
          <w:tcPr>
            <w:tcW w:w="1418" w:type="dxa"/>
            <w:tcBorders>
              <w:top w:val="single" w:sz="4" w:space="0" w:color="auto"/>
              <w:left w:val="single" w:sz="4" w:space="0" w:color="auto"/>
              <w:bottom w:val="single" w:sz="4" w:space="0" w:color="auto"/>
              <w:right w:val="single" w:sz="4" w:space="0" w:color="auto"/>
            </w:tcBorders>
            <w:hideMark/>
          </w:tcPr>
          <w:p w14:paraId="326FA7FC" w14:textId="77777777" w:rsidR="002B37E9" w:rsidRPr="00140923" w:rsidRDefault="002B37E9" w:rsidP="00226764">
            <w:pPr>
              <w:pStyle w:val="Tabletext"/>
              <w:jc w:val="center"/>
              <w:rPr>
                <w:sz w:val="20"/>
                <w:lang w:val="es-ES_tradnl"/>
              </w:rPr>
            </w:pPr>
            <w:r w:rsidRPr="00140923">
              <w:rPr>
                <w:i/>
                <w:iCs/>
                <w:sz w:val="20"/>
                <w:lang w:val="es-ES_tradnl"/>
              </w:rPr>
              <w:t>N</w:t>
            </w:r>
            <w:r w:rsidRPr="00140923">
              <w:rPr>
                <w:i/>
                <w:iCs/>
                <w:sz w:val="20"/>
                <w:vertAlign w:val="subscript"/>
                <w:lang w:val="es-ES_tradnl"/>
              </w:rPr>
              <w:t>RX</w:t>
            </w:r>
            <w:r w:rsidRPr="00140923">
              <w:rPr>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c>
          <w:tcPr>
            <w:tcW w:w="1134" w:type="dxa"/>
            <w:tcBorders>
              <w:top w:val="single" w:sz="4" w:space="0" w:color="auto"/>
              <w:left w:val="single" w:sz="4" w:space="0" w:color="auto"/>
              <w:bottom w:val="single" w:sz="4" w:space="0" w:color="auto"/>
              <w:right w:val="single" w:sz="4" w:space="0" w:color="auto"/>
            </w:tcBorders>
            <w:hideMark/>
          </w:tcPr>
          <w:p w14:paraId="008C31FD" w14:textId="77777777" w:rsidR="002B37E9" w:rsidRPr="00140923" w:rsidRDefault="002B37E9" w:rsidP="00226764">
            <w:pPr>
              <w:pStyle w:val="Tabletext"/>
              <w:jc w:val="center"/>
              <w:rPr>
                <w:sz w:val="20"/>
                <w:lang w:val="es-ES_tradnl"/>
              </w:rPr>
            </w:pPr>
            <w:r w:rsidRPr="00140923">
              <w:rPr>
                <w:i/>
                <w:iCs/>
                <w:sz w:val="20"/>
                <w:lang w:val="es-ES_tradnl"/>
              </w:rPr>
              <w:t>N</w:t>
            </w:r>
            <w:r w:rsidRPr="00140923">
              <w:rPr>
                <w:i/>
                <w:iCs/>
                <w:sz w:val="20"/>
                <w:vertAlign w:val="subscript"/>
                <w:lang w:val="es-ES_tradnl"/>
              </w:rPr>
              <w:t>RX</w:t>
            </w:r>
            <w:r w:rsidRPr="00140923">
              <w:rPr>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c>
          <w:tcPr>
            <w:tcW w:w="1701" w:type="dxa"/>
            <w:tcBorders>
              <w:top w:val="single" w:sz="4" w:space="0" w:color="auto"/>
              <w:left w:val="single" w:sz="4" w:space="0" w:color="auto"/>
              <w:bottom w:val="single" w:sz="4" w:space="0" w:color="auto"/>
              <w:right w:val="single" w:sz="4" w:space="0" w:color="auto"/>
            </w:tcBorders>
            <w:hideMark/>
          </w:tcPr>
          <w:p w14:paraId="1D66564F" w14:textId="77777777" w:rsidR="002B37E9" w:rsidRPr="00140923" w:rsidRDefault="002B37E9" w:rsidP="00226764">
            <w:pPr>
              <w:pStyle w:val="Tabletext"/>
              <w:jc w:val="center"/>
              <w:rPr>
                <w:sz w:val="20"/>
                <w:lang w:val="es-ES_tradnl" w:eastAsia="ja-JP"/>
              </w:rPr>
            </w:pPr>
            <w:r w:rsidRPr="00140923">
              <w:rPr>
                <w:iCs/>
                <w:sz w:val="20"/>
                <w:lang w:val="es-ES_tradnl" w:eastAsia="ja-JP"/>
              </w:rPr>
              <w:sym w:font="Symbol" w:char="F02D"/>
            </w:r>
            <w:r w:rsidRPr="00140923">
              <w:rPr>
                <w:iCs/>
                <w:sz w:val="20"/>
                <w:lang w:val="es-ES_tradnl" w:eastAsia="ja-JP"/>
              </w:rPr>
              <w:t>140</w:t>
            </w:r>
            <w:r w:rsidRPr="00140923">
              <w:rPr>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c>
          <w:tcPr>
            <w:tcW w:w="1276" w:type="dxa"/>
            <w:tcBorders>
              <w:top w:val="single" w:sz="4" w:space="0" w:color="auto"/>
              <w:left w:val="single" w:sz="4" w:space="0" w:color="auto"/>
              <w:bottom w:val="single" w:sz="4" w:space="0" w:color="auto"/>
              <w:right w:val="single" w:sz="4" w:space="0" w:color="auto"/>
            </w:tcBorders>
            <w:hideMark/>
          </w:tcPr>
          <w:p w14:paraId="7A09CC4B" w14:textId="77777777" w:rsidR="002B37E9" w:rsidRPr="00140923" w:rsidRDefault="002B37E9" w:rsidP="00226764">
            <w:pPr>
              <w:pStyle w:val="Tabletext"/>
              <w:jc w:val="center"/>
              <w:rPr>
                <w:sz w:val="20"/>
                <w:lang w:val="es-ES_tradnl" w:eastAsia="ja-JP"/>
              </w:rPr>
            </w:pPr>
            <w:r w:rsidRPr="00140923">
              <w:rPr>
                <w:sz w:val="20"/>
                <w:lang w:val="es-ES_tradnl"/>
              </w:rPr>
              <w:t>−</w:t>
            </w:r>
            <w:r w:rsidRPr="00140923">
              <w:rPr>
                <w:sz w:val="20"/>
                <w:lang w:val="es-ES_tradnl" w:eastAsia="ja-JP"/>
              </w:rPr>
              <w:t>140</w:t>
            </w:r>
            <w:r w:rsidRPr="00140923">
              <w:rPr>
                <w:sz w:val="20"/>
                <w:lang w:val="es-ES_tradnl"/>
              </w:rPr>
              <w:t xml:space="preserve"> +</w:t>
            </w:r>
            <w:r w:rsidRPr="00140923">
              <w:rPr>
                <w:i/>
                <w:sz w:val="20"/>
                <w:lang w:val="es-ES_tradnl"/>
              </w:rPr>
              <w:t xml:space="preserve"> I</w:t>
            </w:r>
            <w:r w:rsidRPr="00140923">
              <w:rPr>
                <w:iCs/>
                <w:sz w:val="20"/>
                <w:lang w:val="es-ES_tradnl"/>
              </w:rPr>
              <w:t>/</w:t>
            </w:r>
            <w:r w:rsidRPr="00140923">
              <w:rPr>
                <w:i/>
                <w:sz w:val="20"/>
                <w:lang w:val="es-ES_tradnl"/>
              </w:rPr>
              <w:t>N</w:t>
            </w:r>
          </w:p>
        </w:tc>
        <w:tc>
          <w:tcPr>
            <w:tcW w:w="1701" w:type="dxa"/>
            <w:tcBorders>
              <w:top w:val="single" w:sz="4" w:space="0" w:color="auto"/>
              <w:left w:val="single" w:sz="4" w:space="0" w:color="auto"/>
              <w:bottom w:val="single" w:sz="4" w:space="0" w:color="auto"/>
              <w:right w:val="single" w:sz="4" w:space="0" w:color="auto"/>
            </w:tcBorders>
            <w:hideMark/>
          </w:tcPr>
          <w:p w14:paraId="64EF5C68" w14:textId="77777777" w:rsidR="002B37E9" w:rsidRPr="00140923" w:rsidRDefault="002B37E9" w:rsidP="00226764">
            <w:pPr>
              <w:pStyle w:val="Tabletext"/>
              <w:jc w:val="center"/>
              <w:rPr>
                <w:sz w:val="20"/>
                <w:lang w:val="es-ES_tradnl" w:eastAsia="ja-JP"/>
              </w:rPr>
            </w:pPr>
            <w:r w:rsidRPr="00140923">
              <w:rPr>
                <w:sz w:val="20"/>
                <w:lang w:val="es-ES_tradnl" w:eastAsia="ja-JP"/>
              </w:rPr>
              <w:t>−141</w:t>
            </w:r>
            <w:r w:rsidRPr="00140923">
              <w:rPr>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c>
          <w:tcPr>
            <w:tcW w:w="1276" w:type="dxa"/>
            <w:tcBorders>
              <w:top w:val="single" w:sz="4" w:space="0" w:color="auto"/>
              <w:left w:val="single" w:sz="4" w:space="0" w:color="auto"/>
              <w:bottom w:val="single" w:sz="4" w:space="0" w:color="auto"/>
              <w:right w:val="single" w:sz="4" w:space="0" w:color="auto"/>
            </w:tcBorders>
            <w:hideMark/>
          </w:tcPr>
          <w:p w14:paraId="4DB8ED74" w14:textId="77777777" w:rsidR="002B37E9" w:rsidRPr="00140923" w:rsidRDefault="002B37E9" w:rsidP="00226764">
            <w:pPr>
              <w:pStyle w:val="Tabletext"/>
              <w:jc w:val="center"/>
              <w:rPr>
                <w:sz w:val="20"/>
                <w:lang w:val="es-ES_tradnl" w:eastAsia="ja-JP"/>
              </w:rPr>
            </w:pPr>
            <w:r w:rsidRPr="00140923">
              <w:rPr>
                <w:sz w:val="20"/>
                <w:lang w:val="es-ES_tradnl"/>
              </w:rPr>
              <w:t>−</w:t>
            </w:r>
            <w:r w:rsidRPr="00140923">
              <w:rPr>
                <w:sz w:val="20"/>
                <w:lang w:val="es-ES_tradnl" w:eastAsia="ja-JP"/>
              </w:rPr>
              <w:t>141</w:t>
            </w:r>
            <w:r w:rsidRPr="00140923">
              <w:rPr>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c>
          <w:tcPr>
            <w:tcW w:w="1275" w:type="dxa"/>
            <w:tcBorders>
              <w:top w:val="single" w:sz="4" w:space="0" w:color="auto"/>
              <w:left w:val="single" w:sz="4" w:space="0" w:color="auto"/>
              <w:bottom w:val="single" w:sz="4" w:space="0" w:color="auto"/>
              <w:right w:val="single" w:sz="4" w:space="0" w:color="auto"/>
            </w:tcBorders>
            <w:hideMark/>
          </w:tcPr>
          <w:p w14:paraId="4A7A55A7" w14:textId="77777777" w:rsidR="002B37E9" w:rsidRPr="00140923" w:rsidRDefault="002B37E9" w:rsidP="00226764">
            <w:pPr>
              <w:pStyle w:val="Tabletext"/>
              <w:jc w:val="center"/>
              <w:rPr>
                <w:sz w:val="20"/>
                <w:lang w:val="es-ES_tradnl" w:eastAsia="ja-JP"/>
              </w:rPr>
            </w:pPr>
            <w:r w:rsidRPr="00140923">
              <w:rPr>
                <w:sz w:val="20"/>
                <w:lang w:val="es-ES_tradnl"/>
              </w:rPr>
              <w:t>−</w:t>
            </w:r>
            <w:r w:rsidRPr="00140923">
              <w:rPr>
                <w:sz w:val="20"/>
                <w:lang w:val="es-ES_tradnl" w:eastAsia="ja-JP"/>
              </w:rPr>
              <w:t>139</w:t>
            </w:r>
            <w:r w:rsidRPr="00140923">
              <w:rPr>
                <w:sz w:val="20"/>
                <w:lang w:val="es-ES_tradnl"/>
              </w:rPr>
              <w:t xml:space="preserve"> +</w:t>
            </w:r>
            <w:r w:rsidRPr="00140923">
              <w:rPr>
                <w:i/>
                <w:sz w:val="20"/>
                <w:lang w:val="es-ES_tradnl"/>
              </w:rPr>
              <w:t xml:space="preserve"> I</w:t>
            </w:r>
            <w:r w:rsidRPr="00140923">
              <w:rPr>
                <w:iCs/>
                <w:sz w:val="20"/>
                <w:lang w:val="es-ES_tradnl"/>
              </w:rPr>
              <w:t>/</w:t>
            </w:r>
            <w:r w:rsidRPr="00140923">
              <w:rPr>
                <w:i/>
                <w:sz w:val="20"/>
                <w:lang w:val="es-ES_tradnl"/>
              </w:rPr>
              <w:t>N</w:t>
            </w:r>
          </w:p>
        </w:tc>
        <w:tc>
          <w:tcPr>
            <w:tcW w:w="1334" w:type="dxa"/>
            <w:gridSpan w:val="2"/>
            <w:tcBorders>
              <w:top w:val="single" w:sz="4" w:space="0" w:color="auto"/>
              <w:left w:val="single" w:sz="4" w:space="0" w:color="auto"/>
              <w:bottom w:val="single" w:sz="4" w:space="0" w:color="auto"/>
              <w:right w:val="single" w:sz="4" w:space="0" w:color="auto"/>
            </w:tcBorders>
            <w:hideMark/>
          </w:tcPr>
          <w:p w14:paraId="5234D1B1" w14:textId="77777777" w:rsidR="002B37E9" w:rsidRPr="00140923" w:rsidRDefault="002B37E9" w:rsidP="00226764">
            <w:pPr>
              <w:pStyle w:val="Tabletext"/>
              <w:jc w:val="center"/>
              <w:rPr>
                <w:sz w:val="20"/>
                <w:lang w:val="es-ES_tradnl" w:eastAsia="ja-JP"/>
              </w:rPr>
            </w:pPr>
            <w:r w:rsidRPr="00140923">
              <w:rPr>
                <w:sz w:val="20"/>
                <w:lang w:val="es-ES_tradnl"/>
              </w:rPr>
              <w:t>−</w:t>
            </w:r>
            <w:r w:rsidRPr="00140923">
              <w:rPr>
                <w:sz w:val="20"/>
                <w:lang w:val="es-ES_tradnl" w:eastAsia="ja-JP"/>
              </w:rPr>
              <w:t>139</w:t>
            </w:r>
            <w:r w:rsidRPr="00140923">
              <w:rPr>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r>
      <w:tr w:rsidR="002B37E9" w:rsidRPr="00140923" w14:paraId="06EC3EF1" w14:textId="77777777" w:rsidTr="00226764">
        <w:trPr>
          <w:jc w:val="center"/>
        </w:trPr>
        <w:tc>
          <w:tcPr>
            <w:tcW w:w="14465" w:type="dxa"/>
            <w:gridSpan w:val="10"/>
            <w:tcBorders>
              <w:top w:val="single" w:sz="4" w:space="0" w:color="auto"/>
              <w:left w:val="nil"/>
              <w:bottom w:val="nil"/>
              <w:right w:val="nil"/>
            </w:tcBorders>
            <w:tcMar>
              <w:top w:w="0" w:type="dxa"/>
              <w:left w:w="57" w:type="dxa"/>
              <w:bottom w:w="0" w:type="dxa"/>
              <w:right w:w="57" w:type="dxa"/>
            </w:tcMar>
          </w:tcPr>
          <w:p w14:paraId="4984CE54" w14:textId="77777777" w:rsidR="002B37E9" w:rsidRPr="00140923" w:rsidRDefault="002B37E9" w:rsidP="00226764">
            <w:pPr>
              <w:pStyle w:val="TableLegendNote"/>
              <w:ind w:left="-56" w:right="0"/>
              <w:rPr>
                <w:lang w:val="es-ES_tradnl"/>
              </w:rPr>
            </w:pPr>
            <w:r w:rsidRPr="004F7602">
              <w:rPr>
                <w:sz w:val="20"/>
                <w:lang w:val="es-ES_tradnl" w:eastAsia="ja-JP"/>
              </w:rPr>
              <w:t>NOTA – El conjunto previsto de parámetros de dos sistemas de referencia para los estudios de compartición/compatibilidad actualmente no están disponibles, o lo están sólo parcialmente. A título provisional, se pueden utilizar los parámetros que figuran en el Anexo 3 para las mismas bandas.</w:t>
            </w:r>
          </w:p>
        </w:tc>
      </w:tr>
      <w:tr w:rsidR="002B37E9" w:rsidRPr="00140923" w14:paraId="086BA40C" w14:textId="77777777" w:rsidTr="00226764">
        <w:trPr>
          <w:gridAfter w:val="1"/>
          <w:wAfter w:w="10" w:type="dxa"/>
          <w:trHeight w:val="20"/>
          <w:jc w:val="center"/>
        </w:trPr>
        <w:tc>
          <w:tcPr>
            <w:tcW w:w="14460" w:type="dxa"/>
            <w:gridSpan w:val="9"/>
            <w:tcBorders>
              <w:top w:val="nil"/>
              <w:left w:val="nil"/>
              <w:bottom w:val="nil"/>
              <w:right w:val="nil"/>
            </w:tcBorders>
            <w:tcMar>
              <w:top w:w="0" w:type="dxa"/>
              <w:left w:w="57" w:type="dxa"/>
              <w:bottom w:w="0" w:type="dxa"/>
              <w:right w:w="57" w:type="dxa"/>
            </w:tcMar>
            <w:vAlign w:val="center"/>
            <w:hideMark/>
          </w:tcPr>
          <w:p w14:paraId="30374F89" w14:textId="41C51375" w:rsidR="002B37E9" w:rsidRPr="00140923" w:rsidRDefault="002B37E9" w:rsidP="00226764">
            <w:pPr>
              <w:pStyle w:val="TableLegendNote"/>
              <w:keepNext/>
              <w:keepLines/>
              <w:spacing w:before="0"/>
              <w:ind w:left="0" w:right="0"/>
              <w:rPr>
                <w:i/>
                <w:iCs/>
                <w:sz w:val="20"/>
                <w:lang w:val="es-ES_tradnl"/>
              </w:rPr>
            </w:pPr>
            <w:r w:rsidRPr="00140923">
              <w:rPr>
                <w:i/>
                <w:iCs/>
                <w:sz w:val="20"/>
                <w:lang w:val="es-ES_tradnl"/>
              </w:rPr>
              <w:lastRenderedPageBreak/>
              <w:t>Notas relativas al Cuadro 1</w:t>
            </w:r>
            <w:r w:rsidR="00480606">
              <w:rPr>
                <w:i/>
                <w:iCs/>
                <w:sz w:val="20"/>
                <w:lang w:val="es-ES_tradnl"/>
              </w:rPr>
              <w:t>4</w:t>
            </w:r>
            <w:r w:rsidRPr="00140923">
              <w:rPr>
                <w:i/>
                <w:iCs/>
                <w:sz w:val="20"/>
                <w:lang w:val="es-ES_tradnl"/>
              </w:rPr>
              <w:t>:</w:t>
            </w:r>
          </w:p>
          <w:p w14:paraId="54F30625"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(1)</w:t>
            </w:r>
            <w:r w:rsidRPr="00140923">
              <w:rPr>
                <w:sz w:val="20"/>
                <w:lang w:val="es-ES_tradnl"/>
              </w:rPr>
              <w:tab/>
              <w:t xml:space="preserve">Para calcular los valores de las densidades del transmisor y de la p.i.r.e., es preciso determinar la separación entre canales y la anchura de banda. En estos Cuadros, la separación entre canales se indica en </w:t>
            </w:r>
            <w:r w:rsidRPr="00140923">
              <w:rPr>
                <w:b/>
                <w:bCs/>
                <w:sz w:val="20"/>
                <w:lang w:val="es-ES_tradnl"/>
              </w:rPr>
              <w:t>negritas</w:t>
            </w:r>
            <w:r w:rsidRPr="00140923">
              <w:rPr>
                <w:sz w:val="20"/>
                <w:lang w:val="es-ES_tradnl"/>
              </w:rPr>
              <w:t xml:space="preserve">. Cuando se da un valor modal (Moda), este se debe considerar como indicativo dentro de la gama especificada y puede que sea necesario realizar más análisis de sensibilidad según cada caso </w:t>
            </w:r>
            <w:r w:rsidRPr="00140923">
              <w:rPr>
                <w:sz w:val="20"/>
                <w:lang w:val="es-ES_tradnl" w:eastAsia="ja-JP"/>
              </w:rPr>
              <w:t>para</w:t>
            </w:r>
            <w:r w:rsidRPr="00140923">
              <w:rPr>
                <w:sz w:val="20"/>
                <w:lang w:val="es-ES_tradnl"/>
              </w:rPr>
              <w:t xml:space="preserve"> evaluar el potencial de una interferencia dada en razón de las variaciones dentro de la gama especificada.</w:t>
            </w:r>
          </w:p>
          <w:p w14:paraId="0A3FAF4F"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(2)</w:t>
            </w:r>
            <w:r w:rsidRPr="00140923">
              <w:rPr>
                <w:sz w:val="20"/>
                <w:lang w:val="es-ES_tradnl"/>
              </w:rPr>
              <w:tab/>
              <w:t>La densidad de potencia de interferencia a largo plazo nominal se define como la «densidad de potencia de ruido del receptor + (I/N requerida)» según se describe en el § 4.13 en el Anexo 2 (véase asimismo el § 4.1 en el Anexo 1).</w:t>
            </w:r>
          </w:p>
          <w:p w14:paraId="48351276" w14:textId="77777777" w:rsidR="002B37E9" w:rsidRPr="00140923" w:rsidRDefault="002B37E9" w:rsidP="00226764">
            <w:pPr>
              <w:pStyle w:val="TableLegendNote"/>
              <w:spacing w:before="60"/>
              <w:ind w:left="280" w:right="-57" w:hanging="337"/>
              <w:rPr>
                <w:sz w:val="20"/>
                <w:lang w:val="es-ES_tradnl"/>
              </w:rPr>
            </w:pPr>
            <w:r w:rsidRPr="00140923">
              <w:rPr>
                <w:sz w:val="20"/>
                <w:vertAlign w:val="superscript"/>
                <w:lang w:val="es-ES_tradnl"/>
              </w:rPr>
              <w:t>(3)</w:t>
            </w:r>
            <w:r w:rsidRPr="00140923">
              <w:rPr>
                <w:sz w:val="20"/>
                <w:lang w:val="es-ES_tradnl"/>
              </w:rPr>
              <w:tab/>
              <w:t xml:space="preserve">Este valor de separación entre </w:t>
            </w:r>
            <w:r w:rsidRPr="00140923">
              <w:rPr>
                <w:sz w:val="20"/>
                <w:lang w:val="es-ES_tradnl" w:eastAsia="ja-JP"/>
              </w:rPr>
              <w:t>canales</w:t>
            </w:r>
            <w:r w:rsidRPr="00140923">
              <w:rPr>
                <w:sz w:val="20"/>
                <w:lang w:val="es-ES_tradnl"/>
              </w:rPr>
              <w:t xml:space="preserve"> no se especifica en la Recomendación de referencia.</w:t>
            </w:r>
          </w:p>
          <w:p w14:paraId="37120B84" w14:textId="77777777" w:rsidR="002B37E9" w:rsidRPr="00140923" w:rsidRDefault="002B37E9" w:rsidP="00226764">
            <w:pPr>
              <w:pStyle w:val="TableLegendNote"/>
              <w:spacing w:before="60"/>
              <w:ind w:left="280" w:right="-57" w:hanging="337"/>
              <w:rPr>
                <w:sz w:val="20"/>
                <w:lang w:val="es-ES_tradnl"/>
              </w:rPr>
            </w:pPr>
            <w:r w:rsidRPr="00140923">
              <w:rPr>
                <w:vertAlign w:val="superscript"/>
                <w:lang w:val="es-ES_tradnl"/>
              </w:rPr>
              <w:t>(4)</w:t>
            </w:r>
            <w:r w:rsidRPr="00140923">
              <w:rPr>
                <w:lang w:val="es-ES_tradnl"/>
              </w:rPr>
              <w:tab/>
            </w:r>
            <w:r w:rsidRPr="00140923">
              <w:rPr>
                <w:sz w:val="20"/>
                <w:lang w:val="es-ES_tradnl"/>
              </w:rPr>
              <w:t>Anchura de banda del bloque de frecuencias.</w:t>
            </w:r>
          </w:p>
          <w:p w14:paraId="4A5087D7" w14:textId="77777777" w:rsidR="002B37E9" w:rsidRPr="00140923" w:rsidRDefault="002B37E9" w:rsidP="00226764">
            <w:pPr>
              <w:pStyle w:val="TableLegendNote"/>
              <w:spacing w:before="60"/>
              <w:ind w:left="280" w:right="-57" w:hanging="337"/>
              <w:rPr>
                <w:sz w:val="20"/>
                <w:lang w:val="es-ES_tradnl"/>
              </w:rPr>
            </w:pPr>
            <w:r w:rsidRPr="00140923">
              <w:rPr>
                <w:sz w:val="18"/>
                <w:szCs w:val="18"/>
                <w:vertAlign w:val="superscript"/>
                <w:lang w:val="es-ES_tradnl"/>
              </w:rPr>
              <w:t>(5</w:t>
            </w:r>
            <w:r w:rsidRPr="00140923">
              <w:rPr>
                <w:sz w:val="18"/>
                <w:vertAlign w:val="superscript"/>
                <w:lang w:val="es-ES_tradnl"/>
              </w:rPr>
              <w:t>)</w:t>
            </w:r>
            <w:r w:rsidRPr="00140923">
              <w:rPr>
                <w:sz w:val="18"/>
                <w:lang w:val="es-ES_tradnl"/>
              </w:rPr>
              <w:tab/>
            </w:r>
            <w:r w:rsidRPr="00140923">
              <w:rPr>
                <w:sz w:val="20"/>
                <w:lang w:val="es-ES_tradnl"/>
              </w:rPr>
              <w:t xml:space="preserve">El formato de modulación </w:t>
            </w:r>
            <w:r w:rsidRPr="00140923">
              <w:rPr>
                <w:sz w:val="20"/>
                <w:lang w:val="es-ES_tradnl" w:eastAsia="ja-JP"/>
              </w:rPr>
              <w:t>generalmente</w:t>
            </w:r>
            <w:r w:rsidRPr="00140923">
              <w:rPr>
                <w:sz w:val="20"/>
                <w:lang w:val="es-ES_tradnl"/>
              </w:rPr>
              <w:t xml:space="preserve"> se modifica de forma dinámica con arreglo a la degradación debida a la propagación.</w:t>
            </w:r>
          </w:p>
          <w:p w14:paraId="0E78287D" w14:textId="77777777" w:rsidR="002B37E9" w:rsidRPr="00140923" w:rsidRDefault="002B37E9" w:rsidP="00226764">
            <w:pPr>
              <w:pStyle w:val="TableLegendNote"/>
              <w:spacing w:before="60"/>
              <w:ind w:left="280" w:right="-57" w:hanging="337"/>
              <w:rPr>
                <w:sz w:val="20"/>
                <w:lang w:val="es-ES_tradnl"/>
              </w:rPr>
            </w:pPr>
            <w:r w:rsidRPr="00140923">
              <w:rPr>
                <w:sz w:val="18"/>
                <w:vertAlign w:val="superscript"/>
                <w:lang w:val="es-ES_tradnl"/>
              </w:rPr>
              <w:t>(</w:t>
            </w:r>
            <w:r w:rsidRPr="00140923">
              <w:rPr>
                <w:sz w:val="18"/>
                <w:szCs w:val="18"/>
                <w:vertAlign w:val="superscript"/>
                <w:lang w:val="es-ES_tradnl"/>
              </w:rPr>
              <w:t>6</w:t>
            </w:r>
            <w:r w:rsidRPr="00140923">
              <w:rPr>
                <w:sz w:val="18"/>
                <w:vertAlign w:val="superscript"/>
                <w:lang w:val="es-ES_tradnl"/>
              </w:rPr>
              <w:t>)</w:t>
            </w:r>
            <w:r w:rsidRPr="00140923">
              <w:rPr>
                <w:sz w:val="18"/>
                <w:lang w:val="es-ES_tradnl"/>
              </w:rPr>
              <w:tab/>
            </w:r>
            <w:r w:rsidRPr="00140923">
              <w:rPr>
                <w:sz w:val="20"/>
                <w:lang w:val="es-ES_tradnl"/>
              </w:rPr>
              <w:t xml:space="preserve">La Recomendación UIT-R F.701 recomienda únicamente un diagrama básico de 0,5 MHz (o un múltiplo entero). Se proponen los valores de 5; 5,5 y 6 MHz como valores de separación entre canales más </w:t>
            </w:r>
            <w:r w:rsidRPr="00140923">
              <w:rPr>
                <w:sz w:val="20"/>
                <w:lang w:val="es-ES_tradnl" w:eastAsia="ja-JP"/>
              </w:rPr>
              <w:t>comunes</w:t>
            </w:r>
            <w:r w:rsidRPr="00140923">
              <w:rPr>
                <w:sz w:val="20"/>
                <w:lang w:val="es-ES_tradnl"/>
              </w:rPr>
              <w:t xml:space="preserve"> para estos sistemas.</w:t>
            </w:r>
          </w:p>
          <w:p w14:paraId="32B5EDAC" w14:textId="77777777" w:rsidR="002B37E9" w:rsidRPr="00140923" w:rsidRDefault="002B37E9" w:rsidP="00226764">
            <w:pPr>
              <w:pStyle w:val="TableLegendNote"/>
              <w:spacing w:before="60"/>
              <w:ind w:left="280" w:right="-57" w:hanging="337"/>
              <w:rPr>
                <w:lang w:val="es-ES_tradnl"/>
              </w:rPr>
            </w:pPr>
            <w:r w:rsidRPr="00140923">
              <w:rPr>
                <w:sz w:val="18"/>
                <w:vertAlign w:val="superscript"/>
                <w:lang w:val="es-ES_tradnl"/>
              </w:rPr>
              <w:t>(7)</w:t>
            </w:r>
            <w:r w:rsidRPr="00140923">
              <w:rPr>
                <w:sz w:val="18"/>
                <w:lang w:val="es-ES_tradnl"/>
              </w:rPr>
              <w:tab/>
            </w:r>
            <w:r w:rsidRPr="00140923">
              <w:rPr>
                <w:sz w:val="20"/>
                <w:lang w:val="es-ES_tradnl"/>
              </w:rPr>
              <w:t xml:space="preserve">La Recomendación UIT-R F.1488 </w:t>
            </w:r>
            <w:r w:rsidRPr="00140923">
              <w:rPr>
                <w:sz w:val="20"/>
                <w:lang w:val="es-ES_tradnl" w:eastAsia="ja-JP"/>
              </w:rPr>
              <w:t>recomienda</w:t>
            </w:r>
            <w:r w:rsidRPr="00140923">
              <w:rPr>
                <w:sz w:val="20"/>
                <w:lang w:val="es-ES_tradnl"/>
              </w:rPr>
              <w:t xml:space="preserve"> únicamente un diagrama básico de 0,25 MHz (o un múltiplo entero). Se proponen los valores de 1,75; 3,5, … 14 MHz como valores de separación entre canales más comunes para estos sistemas.</w:t>
            </w:r>
          </w:p>
        </w:tc>
      </w:tr>
    </w:tbl>
    <w:p w14:paraId="24811B8E" w14:textId="77777777" w:rsidR="002B37E9" w:rsidRPr="00140923" w:rsidRDefault="002B37E9" w:rsidP="002B37E9">
      <w:pPr>
        <w:pStyle w:val="Tablefin"/>
        <w:rPr>
          <w:lang w:val="es-ES_tradnl"/>
        </w:rPr>
      </w:pPr>
    </w:p>
    <w:p w14:paraId="080ADD19" w14:textId="3055811F" w:rsidR="002B37E9" w:rsidRPr="00480606" w:rsidRDefault="002B37E9" w:rsidP="00480606">
      <w:pPr>
        <w:pStyle w:val="TableNo"/>
      </w:pPr>
      <w:r w:rsidRPr="00480606">
        <w:t>CUADRO 15</w:t>
      </w:r>
    </w:p>
    <w:p w14:paraId="23D0B8A3" w14:textId="77777777" w:rsidR="002B37E9" w:rsidRPr="00480606" w:rsidRDefault="002B37E9" w:rsidP="00480606">
      <w:pPr>
        <w:pStyle w:val="Tabletitle"/>
      </w:pPr>
      <w:r w:rsidRPr="00480606">
        <w:t>Parámetros de sistema para los sistemas punto a multipunto del servicio fijo en bandas atribuidas por encima de 11 GHz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909"/>
        <w:gridCol w:w="1112"/>
        <w:gridCol w:w="993"/>
        <w:gridCol w:w="1134"/>
        <w:gridCol w:w="1057"/>
        <w:gridCol w:w="1178"/>
        <w:gridCol w:w="1178"/>
        <w:gridCol w:w="981"/>
        <w:gridCol w:w="1134"/>
        <w:gridCol w:w="691"/>
        <w:gridCol w:w="1015"/>
      </w:tblGrid>
      <w:tr w:rsidR="002B37E9" w:rsidRPr="00140923" w14:paraId="7659A956" w14:textId="77777777" w:rsidTr="00480606">
        <w:trPr>
          <w:trHeight w:val="20"/>
          <w:jc w:val="center"/>
        </w:trPr>
        <w:tc>
          <w:tcPr>
            <w:tcW w:w="30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4813AB" w14:textId="77777777" w:rsidR="002B37E9" w:rsidRPr="00140923" w:rsidRDefault="002B37E9" w:rsidP="00226764">
            <w:pPr>
              <w:pStyle w:val="Tablehead"/>
              <w:rPr>
                <w:sz w:val="20"/>
                <w:lang w:val="es-ES_tradnl"/>
              </w:rPr>
            </w:pPr>
            <w:r w:rsidRPr="00140923">
              <w:rPr>
                <w:sz w:val="20"/>
                <w:lang w:val="es-ES_tradnl"/>
              </w:rPr>
              <w:t>Gama de frecuencias (GHz)</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D274169" w14:textId="77777777" w:rsidR="002B37E9" w:rsidRPr="00140923" w:rsidRDefault="002B37E9" w:rsidP="00226764">
            <w:pPr>
              <w:pStyle w:val="Tablehead"/>
              <w:rPr>
                <w:sz w:val="20"/>
                <w:lang w:val="es-ES_tradnl" w:eastAsia="ja-JP"/>
              </w:rPr>
            </w:pPr>
            <w:r w:rsidRPr="00140923">
              <w:rPr>
                <w:sz w:val="20"/>
                <w:lang w:val="es-ES_tradnl"/>
              </w:rPr>
              <w:t>17,70-19,70</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6605657C" w14:textId="77777777" w:rsidR="002B37E9" w:rsidRPr="00140923" w:rsidRDefault="002B37E9" w:rsidP="00226764">
            <w:pPr>
              <w:pStyle w:val="Tablehead"/>
              <w:rPr>
                <w:sz w:val="20"/>
                <w:lang w:val="es-ES_tradnl"/>
              </w:rPr>
            </w:pPr>
            <w:r w:rsidRPr="00140923">
              <w:rPr>
                <w:sz w:val="20"/>
                <w:lang w:val="es-ES_tradnl"/>
              </w:rPr>
              <w:t>21,20-23,60</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14:paraId="78132820" w14:textId="77777777" w:rsidR="002B37E9" w:rsidRPr="00140923" w:rsidRDefault="002B37E9" w:rsidP="00226764">
            <w:pPr>
              <w:pStyle w:val="Tablehead"/>
              <w:rPr>
                <w:sz w:val="20"/>
                <w:lang w:val="es-ES_tradnl" w:eastAsia="ja-JP"/>
              </w:rPr>
            </w:pPr>
            <w:r w:rsidRPr="00140923">
              <w:rPr>
                <w:sz w:val="20"/>
                <w:lang w:val="es-ES_tradnl"/>
              </w:rPr>
              <w:t>24,25-29,50</w:t>
            </w:r>
          </w:p>
        </w:tc>
        <w:tc>
          <w:tcPr>
            <w:tcW w:w="2115" w:type="dxa"/>
            <w:gridSpan w:val="2"/>
            <w:tcBorders>
              <w:top w:val="single" w:sz="4" w:space="0" w:color="auto"/>
              <w:left w:val="single" w:sz="4" w:space="0" w:color="auto"/>
              <w:bottom w:val="single" w:sz="4" w:space="0" w:color="auto"/>
              <w:right w:val="single" w:sz="4" w:space="0" w:color="auto"/>
            </w:tcBorders>
            <w:vAlign w:val="center"/>
            <w:hideMark/>
          </w:tcPr>
          <w:p w14:paraId="11F74AEA" w14:textId="77777777" w:rsidR="002B37E9" w:rsidRPr="00140923" w:rsidRDefault="002B37E9" w:rsidP="00226764">
            <w:pPr>
              <w:pStyle w:val="Tablehead"/>
              <w:rPr>
                <w:sz w:val="20"/>
                <w:lang w:val="es-ES_tradnl" w:eastAsia="ja-JP"/>
              </w:rPr>
            </w:pPr>
            <w:r w:rsidRPr="00140923">
              <w:rPr>
                <w:sz w:val="20"/>
                <w:lang w:val="es-ES_tradnl"/>
              </w:rPr>
              <w:t>31,8-33,4</w:t>
            </w:r>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5701AD13" w14:textId="77777777" w:rsidR="002B37E9" w:rsidRPr="00140923" w:rsidRDefault="002B37E9" w:rsidP="00226764">
            <w:pPr>
              <w:pStyle w:val="Tablehead"/>
              <w:rPr>
                <w:sz w:val="20"/>
                <w:lang w:val="es-ES_tradnl" w:eastAsia="ja-JP"/>
              </w:rPr>
            </w:pPr>
            <w:r w:rsidRPr="00140923">
              <w:rPr>
                <w:sz w:val="20"/>
                <w:lang w:val="es-ES_tradnl"/>
              </w:rPr>
              <w:t>38,60-40,00</w:t>
            </w:r>
          </w:p>
        </w:tc>
      </w:tr>
      <w:tr w:rsidR="002B37E9" w:rsidRPr="00140923" w14:paraId="17FE5987" w14:textId="77777777" w:rsidTr="00480606">
        <w:trPr>
          <w:trHeight w:val="20"/>
          <w:jc w:val="center"/>
        </w:trPr>
        <w:tc>
          <w:tcPr>
            <w:tcW w:w="30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C2369C" w14:textId="77777777" w:rsidR="002B37E9" w:rsidRPr="00140923" w:rsidRDefault="002B37E9" w:rsidP="00226764">
            <w:pPr>
              <w:pStyle w:val="Tabletext"/>
              <w:jc w:val="left"/>
              <w:rPr>
                <w:rFonts w:asciiTheme="majorBidi" w:hAnsiTheme="majorBidi" w:cstheme="majorBidi"/>
                <w:sz w:val="20"/>
                <w:lang w:val="es-ES_tradnl"/>
              </w:rPr>
            </w:pPr>
            <w:r w:rsidRPr="00140923">
              <w:rPr>
                <w:rFonts w:asciiTheme="majorBidi" w:hAnsiTheme="majorBidi" w:cstheme="majorBidi"/>
                <w:sz w:val="20"/>
                <w:lang w:val="es-ES_tradnl"/>
              </w:rPr>
              <w:t>Recomendación UIT-R de referencia</w:t>
            </w:r>
          </w:p>
        </w:tc>
        <w:tc>
          <w:tcPr>
            <w:tcW w:w="2021" w:type="dxa"/>
            <w:gridSpan w:val="2"/>
            <w:tcBorders>
              <w:top w:val="single" w:sz="4" w:space="0" w:color="auto"/>
              <w:left w:val="single" w:sz="4" w:space="0" w:color="auto"/>
              <w:bottom w:val="single" w:sz="4" w:space="0" w:color="auto"/>
              <w:right w:val="single" w:sz="4" w:space="0" w:color="auto"/>
            </w:tcBorders>
            <w:hideMark/>
          </w:tcPr>
          <w:p w14:paraId="7DB5EDF0"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rPr>
              <w:t>F.</w:t>
            </w:r>
            <w:r w:rsidRPr="00140923">
              <w:rPr>
                <w:rFonts w:asciiTheme="majorBidi" w:hAnsiTheme="majorBidi" w:cstheme="majorBidi"/>
                <w:sz w:val="20"/>
                <w:lang w:val="es-ES_tradnl" w:eastAsia="ja-JP"/>
              </w:rPr>
              <w:t>595</w:t>
            </w:r>
          </w:p>
        </w:tc>
        <w:tc>
          <w:tcPr>
            <w:tcW w:w="2127" w:type="dxa"/>
            <w:gridSpan w:val="2"/>
            <w:tcBorders>
              <w:top w:val="single" w:sz="4" w:space="0" w:color="auto"/>
              <w:left w:val="single" w:sz="4" w:space="0" w:color="auto"/>
              <w:bottom w:val="single" w:sz="4" w:space="0" w:color="auto"/>
              <w:right w:val="single" w:sz="4" w:space="0" w:color="auto"/>
            </w:tcBorders>
            <w:hideMark/>
          </w:tcPr>
          <w:p w14:paraId="47760646" w14:textId="77777777" w:rsidR="002B37E9" w:rsidRPr="00140923" w:rsidRDefault="002B37E9" w:rsidP="00226764">
            <w:pPr>
              <w:pStyle w:val="Tabletext"/>
              <w:jc w:val="center"/>
              <w:rPr>
                <w:rFonts w:asciiTheme="majorBidi" w:hAnsiTheme="majorBidi" w:cstheme="majorBidi"/>
                <w:sz w:val="20"/>
                <w:lang w:val="es-ES_tradnl"/>
              </w:rPr>
            </w:pPr>
            <w:r w:rsidRPr="00140923">
              <w:rPr>
                <w:rFonts w:asciiTheme="majorBidi" w:hAnsiTheme="majorBidi" w:cstheme="majorBidi"/>
                <w:sz w:val="20"/>
                <w:lang w:val="es-ES_tradnl"/>
              </w:rPr>
              <w:t>F.</w:t>
            </w:r>
            <w:r w:rsidRPr="00140923">
              <w:rPr>
                <w:rFonts w:asciiTheme="majorBidi" w:hAnsiTheme="majorBidi" w:cstheme="majorBidi"/>
                <w:sz w:val="20"/>
                <w:lang w:val="es-ES_tradnl" w:eastAsia="ja-JP"/>
              </w:rPr>
              <w:t>637</w:t>
            </w:r>
          </w:p>
        </w:tc>
        <w:tc>
          <w:tcPr>
            <w:tcW w:w="3413" w:type="dxa"/>
            <w:gridSpan w:val="3"/>
            <w:tcBorders>
              <w:top w:val="single" w:sz="4" w:space="0" w:color="auto"/>
              <w:left w:val="single" w:sz="4" w:space="0" w:color="auto"/>
              <w:bottom w:val="single" w:sz="4" w:space="0" w:color="auto"/>
              <w:right w:val="single" w:sz="4" w:space="0" w:color="auto"/>
            </w:tcBorders>
            <w:hideMark/>
          </w:tcPr>
          <w:p w14:paraId="15DB8F76"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rPr>
              <w:t>F.</w:t>
            </w:r>
            <w:r w:rsidRPr="00140923">
              <w:rPr>
                <w:rFonts w:asciiTheme="majorBidi" w:hAnsiTheme="majorBidi" w:cstheme="majorBidi"/>
                <w:sz w:val="20"/>
                <w:lang w:val="es-ES_tradnl" w:eastAsia="ja-JP"/>
              </w:rPr>
              <w:t>748</w:t>
            </w:r>
          </w:p>
        </w:tc>
        <w:tc>
          <w:tcPr>
            <w:tcW w:w="2115" w:type="dxa"/>
            <w:gridSpan w:val="2"/>
            <w:tcBorders>
              <w:top w:val="single" w:sz="4" w:space="0" w:color="auto"/>
              <w:left w:val="single" w:sz="4" w:space="0" w:color="auto"/>
              <w:bottom w:val="single" w:sz="4" w:space="0" w:color="auto"/>
              <w:right w:val="single" w:sz="4" w:space="0" w:color="auto"/>
            </w:tcBorders>
            <w:hideMark/>
          </w:tcPr>
          <w:p w14:paraId="231B6827"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F.1520</w:t>
            </w:r>
          </w:p>
        </w:tc>
        <w:tc>
          <w:tcPr>
            <w:tcW w:w="1706" w:type="dxa"/>
            <w:gridSpan w:val="2"/>
            <w:tcBorders>
              <w:top w:val="single" w:sz="4" w:space="0" w:color="auto"/>
              <w:left w:val="single" w:sz="4" w:space="0" w:color="auto"/>
              <w:bottom w:val="single" w:sz="4" w:space="0" w:color="auto"/>
              <w:right w:val="single" w:sz="4" w:space="0" w:color="auto"/>
            </w:tcBorders>
            <w:hideMark/>
          </w:tcPr>
          <w:p w14:paraId="6D77622D"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rPr>
              <w:t>F.</w:t>
            </w:r>
            <w:r w:rsidRPr="00140923">
              <w:rPr>
                <w:rFonts w:asciiTheme="majorBidi" w:hAnsiTheme="majorBidi" w:cstheme="majorBidi"/>
                <w:sz w:val="20"/>
                <w:lang w:val="es-ES_tradnl" w:eastAsia="ja-JP"/>
              </w:rPr>
              <w:t>749</w:t>
            </w:r>
          </w:p>
        </w:tc>
      </w:tr>
      <w:tr w:rsidR="002B37E9" w:rsidRPr="00140923" w14:paraId="165ED4B0" w14:textId="77777777" w:rsidTr="00480606">
        <w:trPr>
          <w:trHeight w:val="20"/>
          <w:jc w:val="center"/>
        </w:trPr>
        <w:tc>
          <w:tcPr>
            <w:tcW w:w="30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BD4937" w14:textId="77777777" w:rsidR="002B37E9" w:rsidRPr="00140923" w:rsidRDefault="002B37E9" w:rsidP="00226764">
            <w:pPr>
              <w:pStyle w:val="Tabletext"/>
              <w:jc w:val="left"/>
              <w:rPr>
                <w:rFonts w:asciiTheme="majorBidi" w:hAnsiTheme="majorBidi" w:cstheme="majorBidi"/>
                <w:sz w:val="20"/>
                <w:lang w:val="es-ES_tradnl"/>
              </w:rPr>
            </w:pPr>
            <w:r w:rsidRPr="00140923">
              <w:rPr>
                <w:rFonts w:asciiTheme="majorBidi" w:hAnsiTheme="majorBidi" w:cstheme="majorBidi"/>
                <w:sz w:val="20"/>
                <w:lang w:val="es-ES_tradnl"/>
              </w:rPr>
              <w:t>Modulación</w:t>
            </w:r>
          </w:p>
        </w:tc>
        <w:tc>
          <w:tcPr>
            <w:tcW w:w="909" w:type="dxa"/>
            <w:tcBorders>
              <w:top w:val="single" w:sz="4" w:space="0" w:color="auto"/>
              <w:left w:val="single" w:sz="4" w:space="0" w:color="auto"/>
              <w:bottom w:val="single" w:sz="4" w:space="0" w:color="auto"/>
              <w:right w:val="single" w:sz="4" w:space="0" w:color="auto"/>
            </w:tcBorders>
            <w:hideMark/>
          </w:tcPr>
          <w:p w14:paraId="5FAE8D28" w14:textId="77777777" w:rsidR="002B37E9" w:rsidRPr="00140923" w:rsidRDefault="002B37E9" w:rsidP="00226764">
            <w:pPr>
              <w:pStyle w:val="Tabletext"/>
              <w:jc w:val="center"/>
              <w:rPr>
                <w:rFonts w:asciiTheme="majorBidi" w:hAnsiTheme="majorBidi" w:cstheme="majorBidi"/>
                <w:sz w:val="20"/>
                <w:lang w:val="es-ES_tradnl"/>
              </w:rPr>
            </w:pPr>
            <w:r w:rsidRPr="00140923">
              <w:rPr>
                <w:rFonts w:asciiTheme="majorBidi" w:hAnsiTheme="majorBidi" w:cstheme="majorBidi"/>
                <w:sz w:val="20"/>
                <w:lang w:val="es-ES_tradnl" w:eastAsia="ja-JP"/>
              </w:rPr>
              <w:t>Estación central</w:t>
            </w:r>
          </w:p>
        </w:tc>
        <w:tc>
          <w:tcPr>
            <w:tcW w:w="1112" w:type="dxa"/>
            <w:tcBorders>
              <w:top w:val="single" w:sz="4" w:space="0" w:color="auto"/>
              <w:left w:val="single" w:sz="4" w:space="0" w:color="auto"/>
              <w:bottom w:val="single" w:sz="4" w:space="0" w:color="auto"/>
              <w:right w:val="single" w:sz="4" w:space="0" w:color="auto"/>
            </w:tcBorders>
            <w:hideMark/>
          </w:tcPr>
          <w:p w14:paraId="466A30FD"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Estaciones terminales</w:t>
            </w:r>
          </w:p>
        </w:tc>
        <w:tc>
          <w:tcPr>
            <w:tcW w:w="993" w:type="dxa"/>
            <w:tcBorders>
              <w:top w:val="single" w:sz="4" w:space="0" w:color="auto"/>
              <w:left w:val="single" w:sz="4" w:space="0" w:color="auto"/>
              <w:bottom w:val="single" w:sz="4" w:space="0" w:color="auto"/>
              <w:right w:val="single" w:sz="4" w:space="0" w:color="auto"/>
            </w:tcBorders>
            <w:hideMark/>
          </w:tcPr>
          <w:p w14:paraId="72E6449B" w14:textId="77777777" w:rsidR="002B37E9" w:rsidRPr="00140923" w:rsidRDefault="002B37E9" w:rsidP="00226764">
            <w:pPr>
              <w:pStyle w:val="Tabletext"/>
              <w:jc w:val="center"/>
              <w:rPr>
                <w:rFonts w:asciiTheme="majorBidi" w:hAnsiTheme="majorBidi" w:cstheme="majorBidi"/>
                <w:sz w:val="20"/>
                <w:lang w:val="es-ES_tradnl"/>
              </w:rPr>
            </w:pPr>
            <w:r w:rsidRPr="00140923">
              <w:rPr>
                <w:rFonts w:asciiTheme="majorBidi" w:hAnsiTheme="majorBidi" w:cstheme="majorBidi"/>
                <w:sz w:val="20"/>
                <w:lang w:val="es-ES_tradnl" w:eastAsia="ja-JP"/>
              </w:rPr>
              <w:t>Estación central</w:t>
            </w:r>
          </w:p>
        </w:tc>
        <w:tc>
          <w:tcPr>
            <w:tcW w:w="1134" w:type="dxa"/>
            <w:tcBorders>
              <w:top w:val="single" w:sz="4" w:space="0" w:color="auto"/>
              <w:left w:val="single" w:sz="4" w:space="0" w:color="auto"/>
              <w:bottom w:val="single" w:sz="4" w:space="0" w:color="auto"/>
              <w:right w:val="single" w:sz="4" w:space="0" w:color="auto"/>
            </w:tcBorders>
            <w:hideMark/>
          </w:tcPr>
          <w:p w14:paraId="06E2E154" w14:textId="77777777" w:rsidR="002B37E9" w:rsidRPr="00140923" w:rsidRDefault="002B37E9" w:rsidP="00226764">
            <w:pPr>
              <w:pStyle w:val="Tabletext"/>
              <w:jc w:val="center"/>
              <w:rPr>
                <w:rFonts w:asciiTheme="majorBidi" w:hAnsiTheme="majorBidi" w:cstheme="majorBidi"/>
                <w:sz w:val="20"/>
                <w:lang w:val="es-ES_tradnl"/>
              </w:rPr>
            </w:pPr>
            <w:r w:rsidRPr="00140923">
              <w:rPr>
                <w:rFonts w:asciiTheme="majorBidi" w:hAnsiTheme="majorBidi" w:cstheme="majorBidi"/>
                <w:sz w:val="20"/>
                <w:lang w:val="es-ES_tradnl" w:eastAsia="ja-JP"/>
              </w:rPr>
              <w:t>Estaciones terminales</w:t>
            </w:r>
          </w:p>
        </w:tc>
        <w:tc>
          <w:tcPr>
            <w:tcW w:w="1057" w:type="dxa"/>
            <w:tcBorders>
              <w:top w:val="single" w:sz="4" w:space="0" w:color="auto"/>
              <w:left w:val="single" w:sz="4" w:space="0" w:color="auto"/>
              <w:bottom w:val="single" w:sz="4" w:space="0" w:color="auto"/>
              <w:right w:val="single" w:sz="4" w:space="0" w:color="auto"/>
            </w:tcBorders>
            <w:hideMark/>
          </w:tcPr>
          <w:p w14:paraId="48EB0019" w14:textId="4C66B6CE" w:rsidR="002B37E9" w:rsidRPr="00140923" w:rsidRDefault="002B37E9" w:rsidP="00226764">
            <w:pPr>
              <w:pStyle w:val="Tabletext"/>
              <w:ind w:left="-57" w:right="-57"/>
              <w:jc w:val="center"/>
              <w:rPr>
                <w:rFonts w:asciiTheme="majorBidi" w:hAnsiTheme="majorBidi" w:cstheme="majorBidi"/>
                <w:sz w:val="20"/>
                <w:lang w:val="es-ES_tradnl" w:eastAsia="ja-JP"/>
              </w:rPr>
            </w:pPr>
            <w:r w:rsidRPr="00140923">
              <w:rPr>
                <w:sz w:val="20"/>
                <w:lang w:val="es-ES_tradnl" w:eastAsia="ja-JP"/>
              </w:rPr>
              <w:t xml:space="preserve">Multipunto (malla) 60 cm Estación con antena de alta ganancia </w:t>
            </w:r>
            <w:r w:rsidRPr="00140923">
              <w:rPr>
                <w:sz w:val="20"/>
                <w:lang w:val="es-ES_tradnl" w:eastAsia="ja-JP"/>
              </w:rPr>
              <w:br/>
            </w:r>
            <w:r w:rsidRPr="00140923">
              <w:rPr>
                <w:rFonts w:asciiTheme="majorBidi" w:hAnsiTheme="majorBidi" w:cstheme="majorBidi"/>
                <w:sz w:val="20"/>
                <w:lang w:val="es-ES_tradnl" w:eastAsia="ja-JP"/>
              </w:rPr>
              <w:t>MDP-4 a través de MAQ-</w:t>
            </w:r>
            <w:r w:rsidRPr="00140923">
              <w:rPr>
                <w:sz w:val="20"/>
                <w:lang w:val="es-ES_tradnl" w:eastAsia="ja-JP"/>
              </w:rPr>
              <w:t>256</w:t>
            </w:r>
            <w:r w:rsidRPr="00140923">
              <w:rPr>
                <w:sz w:val="20"/>
                <w:vertAlign w:val="superscript"/>
                <w:lang w:val="es-ES_tradnl" w:eastAsia="ja-JP"/>
              </w:rPr>
              <w:t>(6)</w:t>
            </w:r>
          </w:p>
        </w:tc>
        <w:tc>
          <w:tcPr>
            <w:tcW w:w="1178" w:type="dxa"/>
            <w:tcBorders>
              <w:top w:val="single" w:sz="4" w:space="0" w:color="auto"/>
              <w:left w:val="single" w:sz="4" w:space="0" w:color="auto"/>
              <w:bottom w:val="single" w:sz="4" w:space="0" w:color="auto"/>
              <w:right w:val="single" w:sz="4" w:space="0" w:color="auto"/>
            </w:tcBorders>
            <w:hideMark/>
          </w:tcPr>
          <w:p w14:paraId="7A6F9BD7"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Estación central</w:t>
            </w:r>
            <w:r w:rsidRPr="00140923">
              <w:rPr>
                <w:rFonts w:asciiTheme="majorBidi" w:hAnsiTheme="majorBidi" w:cstheme="majorBidi"/>
                <w:sz w:val="20"/>
                <w:lang w:val="es-ES_tradnl" w:eastAsia="ja-JP"/>
              </w:rPr>
              <w:br/>
              <w:t>MDP-4 a través de MAQ-16</w:t>
            </w:r>
            <w:r w:rsidRPr="00140923">
              <w:rPr>
                <w:rFonts w:asciiTheme="majorBidi" w:hAnsiTheme="majorBidi" w:cstheme="majorBidi"/>
                <w:sz w:val="20"/>
                <w:vertAlign w:val="superscript"/>
                <w:lang w:val="es-ES_tradnl" w:eastAsia="ja-JP"/>
              </w:rPr>
              <w:t>(6)</w:t>
            </w:r>
          </w:p>
        </w:tc>
        <w:tc>
          <w:tcPr>
            <w:tcW w:w="1178" w:type="dxa"/>
            <w:tcBorders>
              <w:top w:val="single" w:sz="4" w:space="0" w:color="auto"/>
              <w:left w:val="single" w:sz="4" w:space="0" w:color="auto"/>
              <w:bottom w:val="single" w:sz="4" w:space="0" w:color="auto"/>
              <w:right w:val="single" w:sz="4" w:space="0" w:color="auto"/>
            </w:tcBorders>
            <w:hideMark/>
          </w:tcPr>
          <w:p w14:paraId="26BA825D"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Estaciones terminales</w:t>
            </w:r>
            <w:r w:rsidRPr="00140923">
              <w:rPr>
                <w:rFonts w:asciiTheme="majorBidi" w:hAnsiTheme="majorBidi" w:cstheme="majorBidi"/>
                <w:sz w:val="20"/>
                <w:lang w:val="es-ES_tradnl" w:eastAsia="ja-JP"/>
              </w:rPr>
              <w:br/>
              <w:t>MDP-4 a través de MAQ-16</w:t>
            </w:r>
            <w:r w:rsidRPr="00140923">
              <w:rPr>
                <w:rFonts w:asciiTheme="majorBidi" w:hAnsiTheme="majorBidi" w:cstheme="majorBidi"/>
                <w:sz w:val="20"/>
                <w:vertAlign w:val="superscript"/>
                <w:lang w:val="es-ES_tradnl" w:eastAsia="ja-JP"/>
              </w:rPr>
              <w:t>(6)</w:t>
            </w:r>
          </w:p>
        </w:tc>
        <w:tc>
          <w:tcPr>
            <w:tcW w:w="981" w:type="dxa"/>
            <w:tcBorders>
              <w:top w:val="single" w:sz="4" w:space="0" w:color="auto"/>
              <w:left w:val="single" w:sz="4" w:space="0" w:color="auto"/>
              <w:bottom w:val="single" w:sz="4" w:space="0" w:color="auto"/>
              <w:right w:val="single" w:sz="4" w:space="0" w:color="auto"/>
            </w:tcBorders>
            <w:hideMark/>
          </w:tcPr>
          <w:p w14:paraId="5C27FBFB"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Estación central</w:t>
            </w:r>
          </w:p>
        </w:tc>
        <w:tc>
          <w:tcPr>
            <w:tcW w:w="1134" w:type="dxa"/>
            <w:tcBorders>
              <w:top w:val="single" w:sz="4" w:space="0" w:color="auto"/>
              <w:left w:val="single" w:sz="4" w:space="0" w:color="auto"/>
              <w:bottom w:val="single" w:sz="4" w:space="0" w:color="auto"/>
              <w:right w:val="single" w:sz="4" w:space="0" w:color="auto"/>
            </w:tcBorders>
            <w:hideMark/>
          </w:tcPr>
          <w:p w14:paraId="04FAAFFE"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Estaciones terminales</w:t>
            </w:r>
          </w:p>
        </w:tc>
        <w:tc>
          <w:tcPr>
            <w:tcW w:w="691" w:type="dxa"/>
            <w:tcBorders>
              <w:top w:val="single" w:sz="4" w:space="0" w:color="auto"/>
              <w:left w:val="single" w:sz="4" w:space="0" w:color="auto"/>
              <w:bottom w:val="single" w:sz="4" w:space="0" w:color="auto"/>
              <w:right w:val="single" w:sz="4" w:space="0" w:color="auto"/>
            </w:tcBorders>
            <w:hideMark/>
          </w:tcPr>
          <w:p w14:paraId="203E54A7" w14:textId="77777777" w:rsidR="002B37E9" w:rsidRPr="00480606" w:rsidRDefault="002B37E9" w:rsidP="00226764">
            <w:pPr>
              <w:pStyle w:val="Tabletext"/>
              <w:ind w:right="-57"/>
              <w:jc w:val="center"/>
              <w:rPr>
                <w:rFonts w:asciiTheme="majorBidi" w:hAnsiTheme="majorBidi" w:cstheme="majorBidi"/>
                <w:spacing w:val="-20"/>
                <w:sz w:val="20"/>
                <w:lang w:val="es-ES_tradnl" w:eastAsia="ja-JP"/>
              </w:rPr>
            </w:pPr>
            <w:r w:rsidRPr="00480606">
              <w:rPr>
                <w:rFonts w:asciiTheme="majorBidi" w:hAnsiTheme="majorBidi" w:cstheme="majorBidi"/>
                <w:spacing w:val="-20"/>
                <w:sz w:val="20"/>
                <w:lang w:val="es-ES_tradnl" w:eastAsia="ja-JP"/>
              </w:rPr>
              <w:t>Estación central</w:t>
            </w:r>
          </w:p>
        </w:tc>
        <w:tc>
          <w:tcPr>
            <w:tcW w:w="1015" w:type="dxa"/>
            <w:tcBorders>
              <w:top w:val="single" w:sz="4" w:space="0" w:color="auto"/>
              <w:left w:val="single" w:sz="4" w:space="0" w:color="auto"/>
              <w:bottom w:val="single" w:sz="4" w:space="0" w:color="auto"/>
              <w:right w:val="single" w:sz="4" w:space="0" w:color="auto"/>
            </w:tcBorders>
            <w:hideMark/>
          </w:tcPr>
          <w:p w14:paraId="1242590C" w14:textId="77777777" w:rsidR="002B37E9" w:rsidRPr="00140923" w:rsidRDefault="002B37E9" w:rsidP="00226764">
            <w:pPr>
              <w:pStyle w:val="Tabletext"/>
              <w:ind w:left="-57" w:right="-57"/>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Estaciones terminales</w:t>
            </w:r>
          </w:p>
        </w:tc>
      </w:tr>
      <w:tr w:rsidR="002B37E9" w:rsidRPr="00140923" w14:paraId="375B3858" w14:textId="77777777" w:rsidTr="00480606">
        <w:trPr>
          <w:trHeight w:val="20"/>
          <w:jc w:val="center"/>
        </w:trPr>
        <w:tc>
          <w:tcPr>
            <w:tcW w:w="30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1227AC" w14:textId="77777777" w:rsidR="002B37E9" w:rsidRPr="00140923" w:rsidRDefault="002B37E9" w:rsidP="00226764">
            <w:pPr>
              <w:pStyle w:val="Tabletext"/>
              <w:jc w:val="left"/>
              <w:rPr>
                <w:rFonts w:asciiTheme="majorBidi" w:hAnsiTheme="majorBidi" w:cstheme="majorBidi"/>
                <w:sz w:val="20"/>
                <w:lang w:val="es-ES_tradnl"/>
              </w:rPr>
            </w:pPr>
            <w:r w:rsidRPr="00140923">
              <w:rPr>
                <w:rFonts w:asciiTheme="majorBidi" w:hAnsiTheme="majorBidi" w:cstheme="majorBidi"/>
                <w:sz w:val="20"/>
                <w:lang w:val="es-ES_tradnl"/>
              </w:rPr>
              <w:t xml:space="preserve">Separación de canales y anchura de banda de ruido del receptor (MHz) </w:t>
            </w:r>
          </w:p>
        </w:tc>
        <w:tc>
          <w:tcPr>
            <w:tcW w:w="909" w:type="dxa"/>
            <w:tcBorders>
              <w:top w:val="single" w:sz="4" w:space="0" w:color="auto"/>
              <w:left w:val="single" w:sz="4" w:space="0" w:color="auto"/>
              <w:bottom w:val="single" w:sz="4" w:space="0" w:color="auto"/>
              <w:right w:val="single" w:sz="4" w:space="0" w:color="auto"/>
            </w:tcBorders>
            <w:hideMark/>
          </w:tcPr>
          <w:p w14:paraId="0688D31F" w14:textId="77777777" w:rsidR="002B37E9" w:rsidRPr="00140923" w:rsidRDefault="002B37E9" w:rsidP="00226764">
            <w:pPr>
              <w:pStyle w:val="Tabletext"/>
              <w:ind w:left="-57" w:right="-57"/>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2,5; 5; 10; 20; 30; 40; 50</w:t>
            </w:r>
          </w:p>
        </w:tc>
        <w:tc>
          <w:tcPr>
            <w:tcW w:w="1112" w:type="dxa"/>
            <w:tcBorders>
              <w:top w:val="single" w:sz="4" w:space="0" w:color="auto"/>
              <w:left w:val="single" w:sz="4" w:space="0" w:color="auto"/>
              <w:bottom w:val="single" w:sz="4" w:space="0" w:color="auto"/>
              <w:right w:val="single" w:sz="4" w:space="0" w:color="auto"/>
            </w:tcBorders>
            <w:hideMark/>
          </w:tcPr>
          <w:p w14:paraId="4A17F360" w14:textId="77777777" w:rsidR="002B37E9" w:rsidRPr="00140923" w:rsidRDefault="002B37E9" w:rsidP="00226764">
            <w:pPr>
              <w:pStyle w:val="Tabletext"/>
              <w:jc w:val="center"/>
              <w:rPr>
                <w:rFonts w:asciiTheme="majorBidi" w:hAnsiTheme="majorBidi" w:cstheme="majorBidi"/>
                <w:sz w:val="20"/>
                <w:lang w:val="es-ES_tradnl"/>
              </w:rPr>
            </w:pPr>
            <w:r w:rsidRPr="00140923">
              <w:rPr>
                <w:rFonts w:asciiTheme="majorBidi" w:hAnsiTheme="majorBidi" w:cstheme="majorBidi"/>
                <w:sz w:val="20"/>
                <w:lang w:val="es-ES_tradnl" w:eastAsia="ja-JP"/>
              </w:rPr>
              <w:t>2,5; 5; 10; 20; 30;</w:t>
            </w:r>
            <w:r w:rsidRPr="00140923">
              <w:rPr>
                <w:rFonts w:asciiTheme="majorBidi" w:hAnsiTheme="majorBidi" w:cstheme="majorBidi"/>
                <w:sz w:val="20"/>
                <w:lang w:val="es-ES_tradnl" w:eastAsia="ja-JP"/>
              </w:rPr>
              <w:br/>
              <w:t>40; 50</w:t>
            </w:r>
          </w:p>
        </w:tc>
        <w:tc>
          <w:tcPr>
            <w:tcW w:w="993" w:type="dxa"/>
            <w:tcBorders>
              <w:top w:val="single" w:sz="4" w:space="0" w:color="auto"/>
              <w:left w:val="single" w:sz="4" w:space="0" w:color="auto"/>
              <w:bottom w:val="single" w:sz="4" w:space="0" w:color="auto"/>
              <w:right w:val="single" w:sz="4" w:space="0" w:color="auto"/>
            </w:tcBorders>
            <w:hideMark/>
          </w:tcPr>
          <w:p w14:paraId="13E07CAC" w14:textId="77777777" w:rsidR="002B37E9" w:rsidRPr="00140923" w:rsidRDefault="002B37E9" w:rsidP="00226764">
            <w:pPr>
              <w:pStyle w:val="Tabletext"/>
              <w:jc w:val="center"/>
              <w:rPr>
                <w:rFonts w:asciiTheme="majorBidi" w:hAnsiTheme="majorBidi" w:cstheme="majorBidi"/>
                <w:sz w:val="20"/>
                <w:lang w:val="es-ES_tradnl"/>
              </w:rPr>
            </w:pPr>
            <w:r w:rsidRPr="00140923">
              <w:rPr>
                <w:rFonts w:asciiTheme="majorBidi" w:hAnsiTheme="majorBidi" w:cstheme="majorBidi"/>
                <w:caps/>
                <w:sz w:val="20"/>
                <w:lang w:val="es-ES_tradnl" w:eastAsia="ja-JP"/>
              </w:rPr>
              <w:t>3,5; 7; 14; 28</w:t>
            </w:r>
          </w:p>
        </w:tc>
        <w:tc>
          <w:tcPr>
            <w:tcW w:w="1134" w:type="dxa"/>
            <w:tcBorders>
              <w:top w:val="single" w:sz="4" w:space="0" w:color="auto"/>
              <w:left w:val="single" w:sz="4" w:space="0" w:color="auto"/>
              <w:bottom w:val="single" w:sz="4" w:space="0" w:color="auto"/>
              <w:right w:val="single" w:sz="4" w:space="0" w:color="auto"/>
            </w:tcBorders>
            <w:hideMark/>
          </w:tcPr>
          <w:p w14:paraId="261BA150"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caps/>
                <w:sz w:val="20"/>
                <w:lang w:val="es-ES_tradnl" w:eastAsia="ja-JP"/>
              </w:rPr>
              <w:t>3,5; 7;</w:t>
            </w:r>
            <w:r w:rsidRPr="00140923">
              <w:rPr>
                <w:rFonts w:asciiTheme="majorBidi" w:hAnsiTheme="majorBidi" w:cstheme="majorBidi"/>
                <w:caps/>
                <w:sz w:val="20"/>
                <w:lang w:val="es-ES_tradnl" w:eastAsia="ja-JP"/>
              </w:rPr>
              <w:br/>
              <w:t>14; 28</w:t>
            </w:r>
          </w:p>
        </w:tc>
        <w:tc>
          <w:tcPr>
            <w:tcW w:w="1057" w:type="dxa"/>
            <w:tcBorders>
              <w:top w:val="single" w:sz="4" w:space="0" w:color="auto"/>
              <w:left w:val="single" w:sz="4" w:space="0" w:color="auto"/>
              <w:bottom w:val="single" w:sz="4" w:space="0" w:color="auto"/>
              <w:right w:val="single" w:sz="4" w:space="0" w:color="auto"/>
            </w:tcBorders>
            <w:hideMark/>
          </w:tcPr>
          <w:p w14:paraId="0D0830D7" w14:textId="77777777" w:rsidR="002B37E9" w:rsidRPr="00140923" w:rsidRDefault="002B37E9" w:rsidP="00226764">
            <w:pPr>
              <w:pStyle w:val="Tabletext"/>
              <w:jc w:val="center"/>
              <w:rPr>
                <w:rFonts w:asciiTheme="majorBidi" w:hAnsiTheme="majorBidi" w:cstheme="majorBidi"/>
                <w:caps/>
                <w:sz w:val="20"/>
                <w:lang w:val="es-ES_tradnl" w:eastAsia="ja-JP"/>
              </w:rPr>
            </w:pPr>
            <w:r w:rsidRPr="00140923">
              <w:rPr>
                <w:sz w:val="20"/>
                <w:lang w:val="es-ES_tradnl" w:eastAsia="ja-JP"/>
              </w:rPr>
              <w:t xml:space="preserve">40, 50, </w:t>
            </w:r>
            <w:r w:rsidRPr="00140923">
              <w:rPr>
                <w:caps/>
                <w:sz w:val="20"/>
                <w:lang w:val="es-ES_tradnl" w:eastAsia="ja-JP"/>
              </w:rPr>
              <w:t>56, 100, 112</w:t>
            </w:r>
          </w:p>
        </w:tc>
        <w:tc>
          <w:tcPr>
            <w:tcW w:w="1178" w:type="dxa"/>
            <w:tcBorders>
              <w:top w:val="single" w:sz="4" w:space="0" w:color="auto"/>
              <w:left w:val="single" w:sz="4" w:space="0" w:color="auto"/>
              <w:bottom w:val="single" w:sz="4" w:space="0" w:color="auto"/>
              <w:right w:val="single" w:sz="4" w:space="0" w:color="auto"/>
            </w:tcBorders>
            <w:hideMark/>
          </w:tcPr>
          <w:p w14:paraId="0E46531E"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caps/>
                <w:sz w:val="20"/>
                <w:lang w:val="es-ES_tradnl" w:eastAsia="ja-JP"/>
              </w:rPr>
              <w:t xml:space="preserve">3,5; 7; 14; 28; </w:t>
            </w:r>
            <w:r w:rsidRPr="00140923">
              <w:rPr>
                <w:rFonts w:asciiTheme="majorBidi" w:hAnsiTheme="majorBidi" w:cstheme="majorBidi"/>
                <w:b/>
                <w:caps/>
                <w:sz w:val="20"/>
                <w:lang w:val="es-ES_tradnl" w:eastAsia="ja-JP"/>
              </w:rPr>
              <w:t>30</w:t>
            </w:r>
            <w:r w:rsidRPr="00140923">
              <w:rPr>
                <w:rFonts w:asciiTheme="majorBidi" w:hAnsiTheme="majorBidi" w:cstheme="majorBidi"/>
                <w:sz w:val="20"/>
                <w:vertAlign w:val="superscript"/>
                <w:lang w:val="es-ES_tradnl" w:eastAsia="ja-JP"/>
              </w:rPr>
              <w:t>(3)</w:t>
            </w:r>
            <w:r w:rsidRPr="00140923">
              <w:rPr>
                <w:rFonts w:asciiTheme="majorBidi" w:hAnsiTheme="majorBidi" w:cstheme="majorBidi"/>
                <w:sz w:val="20"/>
                <w:lang w:val="es-ES_tradnl" w:eastAsia="ja-JP"/>
              </w:rPr>
              <w:t xml:space="preserve">; </w:t>
            </w:r>
            <w:r w:rsidRPr="00140923">
              <w:rPr>
                <w:rFonts w:asciiTheme="majorBidi" w:hAnsiTheme="majorBidi" w:cstheme="majorBidi"/>
                <w:caps/>
                <w:sz w:val="20"/>
                <w:lang w:val="es-ES_tradnl" w:eastAsia="ja-JP"/>
              </w:rPr>
              <w:t>56; 112; 40</w:t>
            </w:r>
            <w:r w:rsidRPr="00140923">
              <w:rPr>
                <w:rFonts w:asciiTheme="majorBidi" w:hAnsiTheme="majorBidi" w:cstheme="majorBidi"/>
                <w:sz w:val="20"/>
                <w:vertAlign w:val="superscript"/>
                <w:lang w:val="es-ES_tradnl" w:eastAsia="ja-JP"/>
              </w:rPr>
              <w:t>(4)</w:t>
            </w:r>
            <w:r w:rsidRPr="00140923">
              <w:rPr>
                <w:rFonts w:asciiTheme="majorBidi" w:hAnsiTheme="majorBidi" w:cstheme="majorBidi"/>
                <w:caps/>
                <w:sz w:val="20"/>
                <w:lang w:val="es-ES_tradnl" w:eastAsia="ja-JP"/>
              </w:rPr>
              <w:t>; 60</w:t>
            </w:r>
            <w:r w:rsidRPr="00140923">
              <w:rPr>
                <w:rFonts w:asciiTheme="majorBidi" w:hAnsiTheme="majorBidi" w:cstheme="majorBidi"/>
                <w:sz w:val="20"/>
                <w:vertAlign w:val="superscript"/>
                <w:lang w:val="es-ES_tradnl" w:eastAsia="ja-JP"/>
              </w:rPr>
              <w:t>(4);</w:t>
            </w:r>
          </w:p>
        </w:tc>
        <w:tc>
          <w:tcPr>
            <w:tcW w:w="1178" w:type="dxa"/>
            <w:tcBorders>
              <w:top w:val="single" w:sz="4" w:space="0" w:color="auto"/>
              <w:left w:val="single" w:sz="4" w:space="0" w:color="auto"/>
              <w:bottom w:val="single" w:sz="4" w:space="0" w:color="auto"/>
              <w:right w:val="single" w:sz="4" w:space="0" w:color="auto"/>
            </w:tcBorders>
            <w:hideMark/>
          </w:tcPr>
          <w:p w14:paraId="3AEF636A"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caps/>
                <w:sz w:val="20"/>
                <w:lang w:val="es-ES_tradnl" w:eastAsia="ja-JP"/>
              </w:rPr>
              <w:t xml:space="preserve">3,5; 7; 14; 28; </w:t>
            </w:r>
            <w:r w:rsidRPr="00140923">
              <w:rPr>
                <w:rFonts w:asciiTheme="majorBidi" w:hAnsiTheme="majorBidi" w:cstheme="majorBidi"/>
                <w:b/>
                <w:caps/>
                <w:sz w:val="20"/>
                <w:lang w:val="es-ES_tradnl" w:eastAsia="ja-JP"/>
              </w:rPr>
              <w:t>30</w:t>
            </w:r>
            <w:r w:rsidRPr="00140923">
              <w:rPr>
                <w:rFonts w:asciiTheme="majorBidi" w:hAnsiTheme="majorBidi" w:cstheme="majorBidi"/>
                <w:sz w:val="20"/>
                <w:vertAlign w:val="superscript"/>
                <w:lang w:val="es-ES_tradnl" w:eastAsia="ja-JP"/>
              </w:rPr>
              <w:t>(3)</w:t>
            </w:r>
            <w:r w:rsidRPr="00140923">
              <w:rPr>
                <w:rFonts w:asciiTheme="majorBidi" w:hAnsiTheme="majorBidi" w:cstheme="majorBidi"/>
                <w:sz w:val="20"/>
                <w:lang w:val="es-ES_tradnl" w:eastAsia="ja-JP"/>
              </w:rPr>
              <w:t xml:space="preserve">; </w:t>
            </w:r>
            <w:r w:rsidRPr="00140923">
              <w:rPr>
                <w:rFonts w:asciiTheme="majorBidi" w:hAnsiTheme="majorBidi" w:cstheme="majorBidi"/>
                <w:caps/>
                <w:sz w:val="20"/>
                <w:lang w:val="es-ES_tradnl" w:eastAsia="ja-JP"/>
              </w:rPr>
              <w:t>56; 112; 40</w:t>
            </w:r>
            <w:r w:rsidRPr="00140923">
              <w:rPr>
                <w:rFonts w:asciiTheme="majorBidi" w:hAnsiTheme="majorBidi" w:cstheme="majorBidi"/>
                <w:sz w:val="20"/>
                <w:vertAlign w:val="superscript"/>
                <w:lang w:val="es-ES_tradnl" w:eastAsia="ja-JP"/>
              </w:rPr>
              <w:t>(4)</w:t>
            </w:r>
            <w:r w:rsidRPr="00140923">
              <w:rPr>
                <w:rFonts w:asciiTheme="majorBidi" w:hAnsiTheme="majorBidi" w:cstheme="majorBidi"/>
                <w:caps/>
                <w:sz w:val="20"/>
                <w:lang w:val="es-ES_tradnl" w:eastAsia="ja-JP"/>
              </w:rPr>
              <w:t>; 60</w:t>
            </w:r>
            <w:r w:rsidRPr="00140923">
              <w:rPr>
                <w:rFonts w:asciiTheme="majorBidi" w:hAnsiTheme="majorBidi" w:cstheme="majorBidi"/>
                <w:sz w:val="20"/>
                <w:vertAlign w:val="superscript"/>
                <w:lang w:val="es-ES_tradnl" w:eastAsia="ja-JP"/>
              </w:rPr>
              <w:t>(4)</w:t>
            </w:r>
          </w:p>
        </w:tc>
        <w:tc>
          <w:tcPr>
            <w:tcW w:w="981" w:type="dxa"/>
            <w:tcBorders>
              <w:top w:val="single" w:sz="4" w:space="0" w:color="auto"/>
              <w:left w:val="single" w:sz="4" w:space="0" w:color="auto"/>
              <w:bottom w:val="single" w:sz="4" w:space="0" w:color="auto"/>
              <w:right w:val="single" w:sz="4" w:space="0" w:color="auto"/>
            </w:tcBorders>
            <w:hideMark/>
          </w:tcPr>
          <w:p w14:paraId="0CC5B838" w14:textId="77777777" w:rsidR="002B37E9" w:rsidRPr="00140923" w:rsidRDefault="002B37E9" w:rsidP="00226764">
            <w:pPr>
              <w:pStyle w:val="Tabletext"/>
              <w:ind w:left="-57" w:right="-57"/>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3,</w:t>
            </w:r>
            <w:r w:rsidRPr="00140923">
              <w:rPr>
                <w:rFonts w:asciiTheme="majorBidi" w:hAnsiTheme="majorBidi" w:cstheme="majorBidi"/>
                <w:sz w:val="20"/>
                <w:lang w:val="es-ES_tradnl"/>
              </w:rPr>
              <w:t>5</w:t>
            </w:r>
            <w:r w:rsidRPr="00140923">
              <w:rPr>
                <w:rFonts w:asciiTheme="majorBidi" w:hAnsiTheme="majorBidi" w:cstheme="majorBidi"/>
                <w:sz w:val="20"/>
                <w:lang w:val="es-ES_tradnl" w:eastAsia="ja-JP"/>
              </w:rPr>
              <w:t>; 7; 14; 28; 56</w:t>
            </w:r>
            <w:r w:rsidRPr="00140923">
              <w:rPr>
                <w:rFonts w:asciiTheme="majorBidi" w:hAnsiTheme="majorBidi" w:cstheme="majorBidi"/>
                <w:caps/>
                <w:sz w:val="20"/>
                <w:vertAlign w:val="superscript"/>
                <w:lang w:val="es-ES_tradnl" w:eastAsia="ja-JP"/>
              </w:rPr>
              <w:t>(4)</w:t>
            </w:r>
            <w:r w:rsidRPr="00140923">
              <w:rPr>
                <w:rFonts w:asciiTheme="majorBidi" w:hAnsiTheme="majorBidi" w:cstheme="majorBidi"/>
                <w:sz w:val="20"/>
                <w:lang w:val="es-ES_tradnl" w:eastAsia="ja-JP"/>
              </w:rPr>
              <w:t>; 112; 168</w:t>
            </w:r>
          </w:p>
        </w:tc>
        <w:tc>
          <w:tcPr>
            <w:tcW w:w="1134" w:type="dxa"/>
            <w:tcBorders>
              <w:top w:val="single" w:sz="4" w:space="0" w:color="auto"/>
              <w:left w:val="single" w:sz="4" w:space="0" w:color="auto"/>
              <w:bottom w:val="single" w:sz="4" w:space="0" w:color="auto"/>
              <w:right w:val="single" w:sz="4" w:space="0" w:color="auto"/>
            </w:tcBorders>
            <w:hideMark/>
          </w:tcPr>
          <w:p w14:paraId="1839069A"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3,</w:t>
            </w:r>
            <w:r w:rsidRPr="00140923">
              <w:rPr>
                <w:rFonts w:asciiTheme="majorBidi" w:hAnsiTheme="majorBidi" w:cstheme="majorBidi"/>
                <w:sz w:val="20"/>
                <w:lang w:val="es-ES_tradnl"/>
              </w:rPr>
              <w:t>5</w:t>
            </w:r>
            <w:r w:rsidRPr="00140923">
              <w:rPr>
                <w:rFonts w:asciiTheme="majorBidi" w:hAnsiTheme="majorBidi" w:cstheme="majorBidi"/>
                <w:sz w:val="20"/>
                <w:lang w:val="es-ES_tradnl" w:eastAsia="ja-JP"/>
              </w:rPr>
              <w:t>; 7; 14; 28; 56</w:t>
            </w:r>
            <w:r w:rsidRPr="00140923">
              <w:rPr>
                <w:rFonts w:asciiTheme="majorBidi" w:hAnsiTheme="majorBidi" w:cstheme="majorBidi"/>
                <w:caps/>
                <w:sz w:val="20"/>
                <w:vertAlign w:val="superscript"/>
                <w:lang w:val="es-ES_tradnl" w:eastAsia="ja-JP"/>
              </w:rPr>
              <w:t>(4)</w:t>
            </w:r>
            <w:r w:rsidRPr="00140923">
              <w:rPr>
                <w:rFonts w:asciiTheme="majorBidi" w:hAnsiTheme="majorBidi" w:cstheme="majorBidi"/>
                <w:sz w:val="20"/>
                <w:lang w:val="es-ES_tradnl" w:eastAsia="ja-JP"/>
              </w:rPr>
              <w:t>; 112; 168</w:t>
            </w:r>
          </w:p>
        </w:tc>
        <w:tc>
          <w:tcPr>
            <w:tcW w:w="691" w:type="dxa"/>
            <w:tcBorders>
              <w:top w:val="single" w:sz="4" w:space="0" w:color="auto"/>
              <w:left w:val="single" w:sz="4" w:space="0" w:color="auto"/>
              <w:bottom w:val="single" w:sz="4" w:space="0" w:color="auto"/>
              <w:right w:val="single" w:sz="4" w:space="0" w:color="auto"/>
            </w:tcBorders>
            <w:hideMark/>
          </w:tcPr>
          <w:p w14:paraId="5EBEF5A5" w14:textId="77777777" w:rsidR="002B37E9" w:rsidRPr="00140923" w:rsidRDefault="002B37E9" w:rsidP="00226764">
            <w:pPr>
              <w:pStyle w:val="Tabletext"/>
              <w:ind w:left="-57" w:right="-57"/>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50</w:t>
            </w:r>
            <w:r w:rsidRPr="00140923">
              <w:rPr>
                <w:rFonts w:asciiTheme="majorBidi" w:hAnsiTheme="majorBidi" w:cstheme="majorBidi"/>
                <w:sz w:val="20"/>
                <w:vertAlign w:val="superscript"/>
                <w:lang w:val="es-ES_tradnl" w:eastAsia="ja-JP"/>
              </w:rPr>
              <w:t>(4)</w:t>
            </w:r>
            <w:r w:rsidRPr="00140923">
              <w:rPr>
                <w:rFonts w:asciiTheme="majorBidi" w:hAnsiTheme="majorBidi" w:cstheme="majorBidi"/>
                <w:sz w:val="20"/>
                <w:lang w:val="es-ES_tradnl" w:eastAsia="ja-JP"/>
              </w:rPr>
              <w:t>; 60</w:t>
            </w:r>
            <w:r w:rsidRPr="00140923">
              <w:rPr>
                <w:rFonts w:asciiTheme="majorBidi" w:hAnsiTheme="majorBidi" w:cstheme="majorBidi"/>
                <w:sz w:val="20"/>
                <w:vertAlign w:val="superscript"/>
                <w:lang w:val="es-ES_tradnl" w:eastAsia="ja-JP"/>
              </w:rPr>
              <w:t>(4)</w:t>
            </w:r>
          </w:p>
        </w:tc>
        <w:tc>
          <w:tcPr>
            <w:tcW w:w="1015" w:type="dxa"/>
            <w:tcBorders>
              <w:top w:val="single" w:sz="4" w:space="0" w:color="auto"/>
              <w:left w:val="single" w:sz="4" w:space="0" w:color="auto"/>
              <w:bottom w:val="single" w:sz="4" w:space="0" w:color="auto"/>
              <w:right w:val="single" w:sz="4" w:space="0" w:color="auto"/>
            </w:tcBorders>
            <w:hideMark/>
          </w:tcPr>
          <w:p w14:paraId="5EE2A184" w14:textId="77777777" w:rsidR="002B37E9" w:rsidRPr="00140923" w:rsidRDefault="002B37E9" w:rsidP="00226764">
            <w:pPr>
              <w:pStyle w:val="Tabletext"/>
              <w:jc w:val="center"/>
              <w:rPr>
                <w:rFonts w:asciiTheme="majorBidi" w:hAnsiTheme="majorBidi" w:cstheme="majorBidi"/>
                <w:sz w:val="20"/>
                <w:lang w:val="es-ES_tradnl"/>
              </w:rPr>
            </w:pPr>
            <w:r w:rsidRPr="00140923">
              <w:rPr>
                <w:rFonts w:asciiTheme="majorBidi" w:hAnsiTheme="majorBidi" w:cstheme="majorBidi"/>
                <w:sz w:val="20"/>
                <w:lang w:val="es-ES_tradnl" w:eastAsia="ja-JP"/>
              </w:rPr>
              <w:t>50</w:t>
            </w:r>
            <w:r w:rsidRPr="00140923">
              <w:rPr>
                <w:rFonts w:asciiTheme="majorBidi" w:hAnsiTheme="majorBidi" w:cstheme="majorBidi"/>
                <w:sz w:val="20"/>
                <w:vertAlign w:val="superscript"/>
                <w:lang w:val="es-ES_tradnl" w:eastAsia="ja-JP"/>
              </w:rPr>
              <w:t>(4)</w:t>
            </w:r>
            <w:r w:rsidRPr="00140923">
              <w:rPr>
                <w:rFonts w:asciiTheme="majorBidi" w:hAnsiTheme="majorBidi" w:cstheme="majorBidi"/>
                <w:sz w:val="20"/>
                <w:lang w:val="es-ES_tradnl" w:eastAsia="ja-JP"/>
              </w:rPr>
              <w:t>; 60</w:t>
            </w:r>
            <w:r w:rsidRPr="00140923">
              <w:rPr>
                <w:rFonts w:asciiTheme="majorBidi" w:hAnsiTheme="majorBidi" w:cstheme="majorBidi"/>
                <w:sz w:val="20"/>
                <w:vertAlign w:val="superscript"/>
                <w:lang w:val="es-ES_tradnl" w:eastAsia="ja-JP"/>
              </w:rPr>
              <w:t>(4)</w:t>
            </w:r>
          </w:p>
        </w:tc>
      </w:tr>
    </w:tbl>
    <w:p w14:paraId="418D5751" w14:textId="77777777" w:rsidR="002B37E9" w:rsidRPr="00140923" w:rsidRDefault="002B37E9" w:rsidP="002B37E9">
      <w:pPr>
        <w:pStyle w:val="Tablefin"/>
        <w:rPr>
          <w:lang w:val="es-ES_tradnl"/>
        </w:rPr>
      </w:pPr>
    </w:p>
    <w:p w14:paraId="665BA5FA" w14:textId="2E4B0AA3" w:rsidR="002B37E9" w:rsidRPr="00480606" w:rsidRDefault="002B37E9" w:rsidP="00480606">
      <w:pPr>
        <w:pStyle w:val="TableNo"/>
      </w:pPr>
      <w:r w:rsidRPr="00480606">
        <w:lastRenderedPageBreak/>
        <w:t>CUADRO 1</w:t>
      </w:r>
      <w:r w:rsidR="00480606">
        <w:t>5</w:t>
      </w:r>
      <w:r w:rsidRPr="00480606">
        <w:t xml:space="preserve"> (</w:t>
      </w:r>
      <w:r w:rsidRPr="00480606">
        <w:rPr>
          <w:i/>
          <w:iCs/>
        </w:rPr>
        <w:t>fin</w:t>
      </w:r>
      <w:r w:rsidRPr="00480606">
        <w:t>)</w:t>
      </w:r>
    </w:p>
    <w:tbl>
      <w:tblPr>
        <w:tblW w:w="14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6"/>
        <w:gridCol w:w="916"/>
        <w:gridCol w:w="1077"/>
        <w:gridCol w:w="943"/>
        <w:gridCol w:w="1077"/>
        <w:gridCol w:w="1247"/>
        <w:gridCol w:w="1191"/>
        <w:gridCol w:w="1192"/>
        <w:gridCol w:w="907"/>
        <w:gridCol w:w="1078"/>
        <w:gridCol w:w="850"/>
        <w:gridCol w:w="1026"/>
        <w:gridCol w:w="7"/>
      </w:tblGrid>
      <w:tr w:rsidR="002B37E9" w:rsidRPr="00140923" w14:paraId="0E3217B2" w14:textId="77777777" w:rsidTr="00226764">
        <w:trPr>
          <w:trHeight w:val="20"/>
          <w:jc w:val="center"/>
        </w:trPr>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FB42B5" w14:textId="77777777" w:rsidR="002B37E9" w:rsidRPr="00140923" w:rsidRDefault="002B37E9" w:rsidP="00480606">
            <w:pPr>
              <w:pStyle w:val="Tablehead"/>
              <w:rPr>
                <w:sz w:val="20"/>
                <w:lang w:val="es-ES_tradnl"/>
              </w:rPr>
            </w:pPr>
            <w:r w:rsidRPr="00140923">
              <w:rPr>
                <w:sz w:val="20"/>
                <w:lang w:val="es-ES_tradnl"/>
              </w:rPr>
              <w:t>Gama de frecuencias (GHz)</w:t>
            </w:r>
          </w:p>
        </w:tc>
        <w:tc>
          <w:tcPr>
            <w:tcW w:w="1993" w:type="dxa"/>
            <w:gridSpan w:val="2"/>
            <w:tcBorders>
              <w:top w:val="single" w:sz="4" w:space="0" w:color="auto"/>
              <w:left w:val="single" w:sz="4" w:space="0" w:color="auto"/>
              <w:bottom w:val="single" w:sz="4" w:space="0" w:color="auto"/>
              <w:right w:val="single" w:sz="4" w:space="0" w:color="auto"/>
            </w:tcBorders>
            <w:vAlign w:val="center"/>
            <w:hideMark/>
          </w:tcPr>
          <w:p w14:paraId="163B0042" w14:textId="77777777" w:rsidR="002B37E9" w:rsidRPr="00140923" w:rsidRDefault="002B37E9" w:rsidP="00480606">
            <w:pPr>
              <w:pStyle w:val="Tablehead"/>
              <w:rPr>
                <w:sz w:val="20"/>
                <w:lang w:val="es-ES_tradnl" w:eastAsia="ja-JP"/>
              </w:rPr>
            </w:pPr>
            <w:r w:rsidRPr="00140923">
              <w:rPr>
                <w:sz w:val="20"/>
                <w:lang w:val="es-ES_tradnl"/>
              </w:rPr>
              <w:t>17,70-19,70</w:t>
            </w:r>
          </w:p>
        </w:tc>
        <w:tc>
          <w:tcPr>
            <w:tcW w:w="2020" w:type="dxa"/>
            <w:gridSpan w:val="2"/>
            <w:tcBorders>
              <w:top w:val="single" w:sz="4" w:space="0" w:color="auto"/>
              <w:left w:val="single" w:sz="4" w:space="0" w:color="auto"/>
              <w:bottom w:val="single" w:sz="4" w:space="0" w:color="auto"/>
              <w:right w:val="single" w:sz="4" w:space="0" w:color="auto"/>
            </w:tcBorders>
            <w:vAlign w:val="center"/>
            <w:hideMark/>
          </w:tcPr>
          <w:p w14:paraId="7085AA08" w14:textId="77777777" w:rsidR="002B37E9" w:rsidRPr="00140923" w:rsidRDefault="002B37E9" w:rsidP="00480606">
            <w:pPr>
              <w:pStyle w:val="Tablehead"/>
              <w:rPr>
                <w:sz w:val="20"/>
                <w:lang w:val="es-ES_tradnl"/>
              </w:rPr>
            </w:pPr>
            <w:r w:rsidRPr="00140923">
              <w:rPr>
                <w:sz w:val="20"/>
                <w:lang w:val="es-ES_tradnl"/>
              </w:rPr>
              <w:t>21,20-23,60</w:t>
            </w:r>
          </w:p>
        </w:tc>
        <w:tc>
          <w:tcPr>
            <w:tcW w:w="3630" w:type="dxa"/>
            <w:gridSpan w:val="3"/>
            <w:tcBorders>
              <w:top w:val="single" w:sz="4" w:space="0" w:color="auto"/>
              <w:left w:val="single" w:sz="4" w:space="0" w:color="auto"/>
              <w:bottom w:val="single" w:sz="4" w:space="0" w:color="auto"/>
              <w:right w:val="single" w:sz="4" w:space="0" w:color="auto"/>
            </w:tcBorders>
            <w:vAlign w:val="center"/>
            <w:hideMark/>
          </w:tcPr>
          <w:p w14:paraId="52D8EEBD" w14:textId="77777777" w:rsidR="002B37E9" w:rsidRPr="00140923" w:rsidRDefault="002B37E9" w:rsidP="00480606">
            <w:pPr>
              <w:pStyle w:val="Tablehead"/>
              <w:rPr>
                <w:sz w:val="20"/>
                <w:lang w:val="es-ES_tradnl" w:eastAsia="ja-JP"/>
              </w:rPr>
            </w:pPr>
            <w:r w:rsidRPr="00140923">
              <w:rPr>
                <w:sz w:val="20"/>
                <w:lang w:val="es-ES_tradnl"/>
              </w:rPr>
              <w:t>24,25-29,50</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74BAFFC" w14:textId="77777777" w:rsidR="002B37E9" w:rsidRPr="00140923" w:rsidRDefault="002B37E9" w:rsidP="00480606">
            <w:pPr>
              <w:pStyle w:val="Tablehead"/>
              <w:rPr>
                <w:sz w:val="20"/>
                <w:lang w:val="es-ES_tradnl" w:eastAsia="ja-JP"/>
              </w:rPr>
            </w:pPr>
            <w:r w:rsidRPr="00140923">
              <w:rPr>
                <w:sz w:val="20"/>
                <w:lang w:val="es-ES_tradnl"/>
              </w:rPr>
              <w:t>31,8-33,4</w:t>
            </w:r>
          </w:p>
        </w:tc>
        <w:tc>
          <w:tcPr>
            <w:tcW w:w="1881" w:type="dxa"/>
            <w:gridSpan w:val="3"/>
            <w:tcBorders>
              <w:top w:val="single" w:sz="4" w:space="0" w:color="auto"/>
              <w:left w:val="single" w:sz="4" w:space="0" w:color="auto"/>
              <w:bottom w:val="single" w:sz="4" w:space="0" w:color="auto"/>
              <w:right w:val="single" w:sz="4" w:space="0" w:color="auto"/>
            </w:tcBorders>
            <w:vAlign w:val="center"/>
            <w:hideMark/>
          </w:tcPr>
          <w:p w14:paraId="5DAB42E4" w14:textId="77777777" w:rsidR="002B37E9" w:rsidRPr="00140923" w:rsidRDefault="002B37E9" w:rsidP="00480606">
            <w:pPr>
              <w:pStyle w:val="Tablehead"/>
              <w:rPr>
                <w:sz w:val="20"/>
                <w:lang w:val="es-ES_tradnl" w:eastAsia="ja-JP"/>
              </w:rPr>
            </w:pPr>
            <w:r w:rsidRPr="00140923">
              <w:rPr>
                <w:sz w:val="20"/>
                <w:lang w:val="es-ES_tradnl"/>
              </w:rPr>
              <w:t>38,60-40,00</w:t>
            </w:r>
          </w:p>
        </w:tc>
      </w:tr>
      <w:tr w:rsidR="002B37E9" w:rsidRPr="00140923" w14:paraId="189472C1" w14:textId="77777777" w:rsidTr="00226764">
        <w:trPr>
          <w:gridAfter w:val="1"/>
          <w:wAfter w:w="7" w:type="dxa"/>
          <w:trHeight w:val="20"/>
          <w:jc w:val="center"/>
        </w:trPr>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C3CC99" w14:textId="77777777" w:rsidR="002B37E9" w:rsidRPr="00140923" w:rsidRDefault="002B37E9" w:rsidP="00226764">
            <w:pPr>
              <w:pStyle w:val="Tabletext"/>
              <w:jc w:val="left"/>
              <w:rPr>
                <w:rFonts w:asciiTheme="majorBidi" w:hAnsiTheme="majorBidi" w:cstheme="majorBidi"/>
                <w:sz w:val="20"/>
                <w:lang w:val="es-ES_tradnl"/>
              </w:rPr>
            </w:pPr>
            <w:r w:rsidRPr="00140923">
              <w:rPr>
                <w:rFonts w:asciiTheme="majorBidi" w:hAnsiTheme="majorBidi" w:cstheme="majorBidi"/>
                <w:sz w:val="20"/>
                <w:lang w:val="es-ES_tradnl"/>
              </w:rPr>
              <w:t>Recomendación UIT-R de referencia</w:t>
            </w:r>
          </w:p>
        </w:tc>
        <w:tc>
          <w:tcPr>
            <w:tcW w:w="1994" w:type="dxa"/>
            <w:gridSpan w:val="2"/>
            <w:tcBorders>
              <w:top w:val="single" w:sz="4" w:space="0" w:color="auto"/>
              <w:left w:val="single" w:sz="4" w:space="0" w:color="auto"/>
              <w:bottom w:val="single" w:sz="4" w:space="0" w:color="auto"/>
              <w:right w:val="single" w:sz="4" w:space="0" w:color="auto"/>
            </w:tcBorders>
            <w:hideMark/>
          </w:tcPr>
          <w:p w14:paraId="1C8CE79F"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rPr>
              <w:t>F.</w:t>
            </w:r>
            <w:r w:rsidRPr="00140923">
              <w:rPr>
                <w:rFonts w:asciiTheme="majorBidi" w:hAnsiTheme="majorBidi" w:cstheme="majorBidi"/>
                <w:sz w:val="20"/>
                <w:lang w:val="es-ES_tradnl" w:eastAsia="ja-JP"/>
              </w:rPr>
              <w:t>595</w:t>
            </w:r>
          </w:p>
        </w:tc>
        <w:tc>
          <w:tcPr>
            <w:tcW w:w="2019" w:type="dxa"/>
            <w:gridSpan w:val="2"/>
            <w:tcBorders>
              <w:top w:val="single" w:sz="4" w:space="0" w:color="auto"/>
              <w:left w:val="single" w:sz="4" w:space="0" w:color="auto"/>
              <w:bottom w:val="single" w:sz="4" w:space="0" w:color="auto"/>
              <w:right w:val="single" w:sz="4" w:space="0" w:color="auto"/>
            </w:tcBorders>
            <w:hideMark/>
          </w:tcPr>
          <w:p w14:paraId="649E70A9" w14:textId="77777777" w:rsidR="002B37E9" w:rsidRPr="00140923" w:rsidRDefault="002B37E9" w:rsidP="00226764">
            <w:pPr>
              <w:pStyle w:val="Tabletext"/>
              <w:jc w:val="center"/>
              <w:rPr>
                <w:rFonts w:asciiTheme="majorBidi" w:hAnsiTheme="majorBidi" w:cstheme="majorBidi"/>
                <w:sz w:val="20"/>
                <w:lang w:val="es-ES_tradnl"/>
              </w:rPr>
            </w:pPr>
            <w:r w:rsidRPr="00140923">
              <w:rPr>
                <w:rFonts w:asciiTheme="majorBidi" w:hAnsiTheme="majorBidi" w:cstheme="majorBidi"/>
                <w:sz w:val="20"/>
                <w:lang w:val="es-ES_tradnl"/>
              </w:rPr>
              <w:t>F.</w:t>
            </w:r>
            <w:r w:rsidRPr="00140923">
              <w:rPr>
                <w:rFonts w:asciiTheme="majorBidi" w:hAnsiTheme="majorBidi" w:cstheme="majorBidi"/>
                <w:sz w:val="20"/>
                <w:lang w:val="es-ES_tradnl" w:eastAsia="ja-JP"/>
              </w:rPr>
              <w:t>637</w:t>
            </w:r>
          </w:p>
        </w:tc>
        <w:tc>
          <w:tcPr>
            <w:tcW w:w="3629" w:type="dxa"/>
            <w:gridSpan w:val="3"/>
            <w:tcBorders>
              <w:top w:val="single" w:sz="4" w:space="0" w:color="auto"/>
              <w:left w:val="single" w:sz="4" w:space="0" w:color="auto"/>
              <w:bottom w:val="single" w:sz="4" w:space="0" w:color="auto"/>
              <w:right w:val="single" w:sz="4" w:space="0" w:color="auto"/>
            </w:tcBorders>
            <w:hideMark/>
          </w:tcPr>
          <w:p w14:paraId="2D55028D"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rPr>
              <w:t>F.</w:t>
            </w:r>
            <w:r w:rsidRPr="00140923">
              <w:rPr>
                <w:rFonts w:asciiTheme="majorBidi" w:hAnsiTheme="majorBidi" w:cstheme="majorBidi"/>
                <w:sz w:val="20"/>
                <w:lang w:val="es-ES_tradnl" w:eastAsia="ja-JP"/>
              </w:rPr>
              <w:t>748</w:t>
            </w:r>
          </w:p>
        </w:tc>
        <w:tc>
          <w:tcPr>
            <w:tcW w:w="1984" w:type="dxa"/>
            <w:gridSpan w:val="2"/>
            <w:tcBorders>
              <w:top w:val="single" w:sz="4" w:space="0" w:color="auto"/>
              <w:left w:val="single" w:sz="4" w:space="0" w:color="auto"/>
              <w:bottom w:val="single" w:sz="4" w:space="0" w:color="auto"/>
              <w:right w:val="single" w:sz="4" w:space="0" w:color="auto"/>
            </w:tcBorders>
            <w:hideMark/>
          </w:tcPr>
          <w:p w14:paraId="314F9811"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F.1520</w:t>
            </w:r>
          </w:p>
        </w:tc>
        <w:tc>
          <w:tcPr>
            <w:tcW w:w="1876" w:type="dxa"/>
            <w:gridSpan w:val="2"/>
            <w:tcBorders>
              <w:top w:val="single" w:sz="4" w:space="0" w:color="auto"/>
              <w:left w:val="single" w:sz="4" w:space="0" w:color="auto"/>
              <w:bottom w:val="single" w:sz="4" w:space="0" w:color="auto"/>
              <w:right w:val="single" w:sz="4" w:space="0" w:color="auto"/>
            </w:tcBorders>
            <w:hideMark/>
          </w:tcPr>
          <w:p w14:paraId="55898A88" w14:textId="77777777" w:rsidR="002B37E9" w:rsidRPr="00140923" w:rsidRDefault="002B37E9" w:rsidP="00226764">
            <w:pPr>
              <w:pStyle w:val="Tabletext"/>
              <w:jc w:val="center"/>
              <w:rPr>
                <w:rFonts w:asciiTheme="majorBidi" w:hAnsiTheme="majorBidi" w:cstheme="majorBidi"/>
                <w:sz w:val="20"/>
                <w:lang w:val="es-ES_tradnl" w:eastAsia="ja-JP"/>
              </w:rPr>
            </w:pPr>
            <w:r w:rsidRPr="00140923">
              <w:rPr>
                <w:rFonts w:asciiTheme="majorBidi" w:hAnsiTheme="majorBidi" w:cstheme="majorBidi"/>
                <w:sz w:val="20"/>
                <w:lang w:val="es-ES_tradnl"/>
              </w:rPr>
              <w:t>F.</w:t>
            </w:r>
            <w:r w:rsidRPr="00140923">
              <w:rPr>
                <w:rFonts w:asciiTheme="majorBidi" w:hAnsiTheme="majorBidi" w:cstheme="majorBidi"/>
                <w:sz w:val="20"/>
                <w:lang w:val="es-ES_tradnl" w:eastAsia="ja-JP"/>
              </w:rPr>
              <w:t>749</w:t>
            </w:r>
          </w:p>
        </w:tc>
      </w:tr>
      <w:tr w:rsidR="002B37E9" w:rsidRPr="00140923" w14:paraId="4A58D25E" w14:textId="77777777" w:rsidTr="00226764">
        <w:trPr>
          <w:trHeight w:val="20"/>
          <w:jc w:val="center"/>
        </w:trPr>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030672" w14:textId="77777777" w:rsidR="002B37E9" w:rsidRPr="00140923" w:rsidRDefault="002B37E9" w:rsidP="00226764">
            <w:pPr>
              <w:pStyle w:val="Tabletext"/>
              <w:spacing w:before="20" w:after="20"/>
              <w:jc w:val="left"/>
              <w:rPr>
                <w:rFonts w:asciiTheme="majorBidi" w:hAnsiTheme="majorBidi" w:cstheme="majorBidi"/>
                <w:sz w:val="20"/>
                <w:lang w:val="es-ES_tradnl"/>
              </w:rPr>
            </w:pPr>
            <w:r w:rsidRPr="00140923">
              <w:rPr>
                <w:rFonts w:asciiTheme="majorBidi" w:hAnsiTheme="majorBidi" w:cstheme="majorBidi"/>
                <w:sz w:val="20"/>
                <w:lang w:val="es-ES_tradnl"/>
              </w:rPr>
              <w:t>Gama de potencia de salida del transmisor (dBW)</w:t>
            </w:r>
          </w:p>
        </w:tc>
        <w:tc>
          <w:tcPr>
            <w:tcW w:w="917" w:type="dxa"/>
            <w:vMerge w:val="restart"/>
            <w:tcBorders>
              <w:top w:val="single" w:sz="4" w:space="0" w:color="auto"/>
              <w:left w:val="single" w:sz="4" w:space="0" w:color="auto"/>
              <w:bottom w:val="single" w:sz="4" w:space="0" w:color="auto"/>
              <w:right w:val="single" w:sz="4" w:space="0" w:color="auto"/>
            </w:tcBorders>
            <w:hideMark/>
          </w:tcPr>
          <w:p w14:paraId="191AFCF6"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NOTA</w:t>
            </w:r>
          </w:p>
        </w:tc>
        <w:tc>
          <w:tcPr>
            <w:tcW w:w="1076" w:type="dxa"/>
            <w:vMerge w:val="restart"/>
            <w:tcBorders>
              <w:top w:val="single" w:sz="4" w:space="0" w:color="auto"/>
              <w:left w:val="single" w:sz="4" w:space="0" w:color="auto"/>
              <w:bottom w:val="single" w:sz="4" w:space="0" w:color="auto"/>
              <w:right w:val="single" w:sz="4" w:space="0" w:color="auto"/>
            </w:tcBorders>
            <w:hideMark/>
          </w:tcPr>
          <w:p w14:paraId="3B673006"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NOTA</w:t>
            </w:r>
          </w:p>
        </w:tc>
        <w:tc>
          <w:tcPr>
            <w:tcW w:w="943" w:type="dxa"/>
            <w:vMerge w:val="restart"/>
            <w:tcBorders>
              <w:top w:val="single" w:sz="4" w:space="0" w:color="auto"/>
              <w:left w:val="single" w:sz="4" w:space="0" w:color="auto"/>
              <w:bottom w:val="single" w:sz="4" w:space="0" w:color="auto"/>
              <w:right w:val="single" w:sz="4" w:space="0" w:color="auto"/>
            </w:tcBorders>
            <w:hideMark/>
          </w:tcPr>
          <w:p w14:paraId="00AA3B0A"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NOTA</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DA78E7B"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NOTA</w:t>
            </w:r>
          </w:p>
        </w:tc>
        <w:tc>
          <w:tcPr>
            <w:tcW w:w="1247" w:type="dxa"/>
            <w:tcBorders>
              <w:top w:val="single" w:sz="4" w:space="0" w:color="auto"/>
              <w:left w:val="single" w:sz="4" w:space="0" w:color="auto"/>
              <w:bottom w:val="single" w:sz="4" w:space="0" w:color="auto"/>
              <w:right w:val="single" w:sz="4" w:space="0" w:color="auto"/>
            </w:tcBorders>
            <w:hideMark/>
          </w:tcPr>
          <w:p w14:paraId="4011BFBB"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sz w:val="20"/>
                <w:lang w:val="es-ES_tradnl" w:eastAsia="ja-JP"/>
              </w:rPr>
              <w:t>−12 a −5</w:t>
            </w:r>
          </w:p>
        </w:tc>
        <w:tc>
          <w:tcPr>
            <w:tcW w:w="1191" w:type="dxa"/>
            <w:tcBorders>
              <w:top w:val="single" w:sz="4" w:space="0" w:color="auto"/>
              <w:left w:val="single" w:sz="4" w:space="0" w:color="auto"/>
              <w:bottom w:val="single" w:sz="4" w:space="0" w:color="auto"/>
              <w:right w:val="single" w:sz="4" w:space="0" w:color="auto"/>
            </w:tcBorders>
            <w:hideMark/>
          </w:tcPr>
          <w:p w14:paraId="03F52D03" w14:textId="77777777" w:rsidR="002B37E9" w:rsidRPr="00140923" w:rsidRDefault="002B37E9" w:rsidP="00226764">
            <w:pPr>
              <w:pStyle w:val="Tabletext"/>
              <w:spacing w:before="20" w:after="20"/>
              <w:jc w:val="center"/>
              <w:rPr>
                <w:rFonts w:asciiTheme="majorBidi" w:hAnsiTheme="majorBidi" w:cstheme="majorBidi"/>
                <w:sz w:val="20"/>
                <w:lang w:val="es-ES_tradnl"/>
              </w:rPr>
            </w:pPr>
            <w:r w:rsidRPr="00140923">
              <w:rPr>
                <w:rFonts w:asciiTheme="majorBidi" w:hAnsiTheme="majorBidi" w:cstheme="majorBidi"/>
                <w:sz w:val="20"/>
                <w:lang w:val="es-ES_tradnl" w:eastAsia="ja-JP"/>
              </w:rPr>
              <w:t>−19</w:t>
            </w:r>
          </w:p>
        </w:tc>
        <w:tc>
          <w:tcPr>
            <w:tcW w:w="1192" w:type="dxa"/>
            <w:tcBorders>
              <w:top w:val="single" w:sz="4" w:space="0" w:color="auto"/>
              <w:left w:val="single" w:sz="4" w:space="0" w:color="auto"/>
              <w:bottom w:val="single" w:sz="4" w:space="0" w:color="auto"/>
              <w:right w:val="single" w:sz="4" w:space="0" w:color="auto"/>
            </w:tcBorders>
            <w:hideMark/>
          </w:tcPr>
          <w:p w14:paraId="6FCC6D35"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sz w:val="20"/>
                <w:lang w:val="es-ES_tradnl" w:eastAsia="ja-JP"/>
              </w:rPr>
              <w:t>[−</w:t>
            </w:r>
            <w:r w:rsidRPr="00140923">
              <w:rPr>
                <w:sz w:val="20"/>
                <w:lang w:val="es-ES_tradnl"/>
              </w:rPr>
              <w:t>39…−19</w:t>
            </w:r>
            <w:r w:rsidRPr="00140923">
              <w:rPr>
                <w:sz w:val="20"/>
                <w:lang w:val="es-ES_tradnl" w:eastAsia="ja-JP"/>
              </w:rPr>
              <w:t>]</w:t>
            </w:r>
          </w:p>
        </w:tc>
        <w:tc>
          <w:tcPr>
            <w:tcW w:w="907" w:type="dxa"/>
            <w:vMerge w:val="restart"/>
            <w:tcBorders>
              <w:top w:val="single" w:sz="4" w:space="0" w:color="auto"/>
              <w:left w:val="single" w:sz="4" w:space="0" w:color="auto"/>
              <w:bottom w:val="single" w:sz="4" w:space="0" w:color="auto"/>
              <w:right w:val="single" w:sz="4" w:space="0" w:color="auto"/>
            </w:tcBorders>
            <w:hideMark/>
          </w:tcPr>
          <w:p w14:paraId="10866F09"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NOTA</w:t>
            </w:r>
          </w:p>
        </w:tc>
        <w:tc>
          <w:tcPr>
            <w:tcW w:w="1078" w:type="dxa"/>
            <w:vMerge w:val="restart"/>
            <w:tcBorders>
              <w:top w:val="single" w:sz="4" w:space="0" w:color="auto"/>
              <w:left w:val="single" w:sz="4" w:space="0" w:color="auto"/>
              <w:bottom w:val="single" w:sz="4" w:space="0" w:color="auto"/>
              <w:right w:val="single" w:sz="4" w:space="0" w:color="auto"/>
            </w:tcBorders>
            <w:hideMark/>
          </w:tcPr>
          <w:p w14:paraId="105E6B96"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NOTA</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1521FA1"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NOTA</w:t>
            </w:r>
          </w:p>
        </w:tc>
        <w:tc>
          <w:tcPr>
            <w:tcW w:w="1031" w:type="dxa"/>
            <w:gridSpan w:val="2"/>
            <w:vMerge w:val="restart"/>
            <w:tcBorders>
              <w:top w:val="single" w:sz="4" w:space="0" w:color="auto"/>
              <w:left w:val="single" w:sz="4" w:space="0" w:color="auto"/>
              <w:bottom w:val="single" w:sz="4" w:space="0" w:color="auto"/>
              <w:right w:val="single" w:sz="4" w:space="0" w:color="auto"/>
            </w:tcBorders>
            <w:hideMark/>
          </w:tcPr>
          <w:p w14:paraId="16941791"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NOTA</w:t>
            </w:r>
          </w:p>
        </w:tc>
      </w:tr>
      <w:tr w:rsidR="002B37E9" w:rsidRPr="00140923" w14:paraId="542DE2A3" w14:textId="77777777" w:rsidTr="00226764">
        <w:trPr>
          <w:trHeight w:val="20"/>
          <w:jc w:val="center"/>
        </w:trPr>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8B3EEF" w14:textId="77777777" w:rsidR="002B37E9" w:rsidRPr="00140923" w:rsidRDefault="002B37E9" w:rsidP="00226764">
            <w:pPr>
              <w:pStyle w:val="Tabletext"/>
              <w:spacing w:before="20" w:after="20"/>
              <w:jc w:val="left"/>
              <w:rPr>
                <w:rFonts w:asciiTheme="majorBidi" w:hAnsiTheme="majorBidi" w:cstheme="majorBidi"/>
                <w:sz w:val="20"/>
                <w:lang w:val="es-ES_tradnl"/>
              </w:rPr>
            </w:pPr>
            <w:r w:rsidRPr="00140923">
              <w:rPr>
                <w:rFonts w:asciiTheme="majorBidi" w:hAnsiTheme="majorBidi" w:cstheme="majorBidi"/>
                <w:sz w:val="20"/>
                <w:lang w:val="es-ES_tradnl"/>
              </w:rPr>
              <w:t>Gama de densidad de potencia de salida del transmisor (dBW/MHz)</w:t>
            </w:r>
            <w:r w:rsidRPr="00140923">
              <w:rPr>
                <w:rFonts w:asciiTheme="majorBidi" w:hAnsiTheme="majorBidi" w:cstheme="majorBidi"/>
                <w:sz w:val="20"/>
                <w:vertAlign w:val="superscript"/>
                <w:lang w:val="es-ES_tradnl" w:eastAsia="ja-JP"/>
              </w:rPr>
              <w:t xml:space="preserve">(1) </w:t>
            </w: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14FA280D"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5BDF2A4D"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1B66B2ED"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DEAF79A"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247" w:type="dxa"/>
            <w:tcBorders>
              <w:top w:val="single" w:sz="4" w:space="0" w:color="auto"/>
              <w:left w:val="single" w:sz="4" w:space="0" w:color="auto"/>
              <w:bottom w:val="single" w:sz="4" w:space="0" w:color="auto"/>
              <w:right w:val="single" w:sz="4" w:space="0" w:color="auto"/>
            </w:tcBorders>
            <w:hideMark/>
          </w:tcPr>
          <w:p w14:paraId="4A29B00D"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sz w:val="20"/>
                <w:lang w:val="es-ES_tradnl" w:eastAsia="ja-JP"/>
              </w:rPr>
              <w:t>−62 a −28</w:t>
            </w:r>
          </w:p>
        </w:tc>
        <w:tc>
          <w:tcPr>
            <w:tcW w:w="1191" w:type="dxa"/>
            <w:tcBorders>
              <w:top w:val="single" w:sz="4" w:space="0" w:color="auto"/>
              <w:left w:val="single" w:sz="4" w:space="0" w:color="auto"/>
              <w:bottom w:val="single" w:sz="4" w:space="0" w:color="auto"/>
              <w:right w:val="single" w:sz="4" w:space="0" w:color="auto"/>
            </w:tcBorders>
            <w:hideMark/>
          </w:tcPr>
          <w:p w14:paraId="3C53CC26"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−33,8</w:t>
            </w:r>
            <w:r w:rsidRPr="00140923">
              <w:rPr>
                <w:rFonts w:asciiTheme="majorBidi" w:hAnsiTheme="majorBidi" w:cstheme="majorBidi"/>
                <w:sz w:val="20"/>
                <w:vertAlign w:val="superscript"/>
                <w:lang w:val="es-ES_tradnl" w:eastAsia="ja-JP"/>
              </w:rPr>
              <w:t>(6)</w:t>
            </w:r>
          </w:p>
        </w:tc>
        <w:tc>
          <w:tcPr>
            <w:tcW w:w="1192" w:type="dxa"/>
            <w:tcBorders>
              <w:top w:val="single" w:sz="4" w:space="0" w:color="auto"/>
              <w:left w:val="single" w:sz="4" w:space="0" w:color="auto"/>
              <w:bottom w:val="single" w:sz="4" w:space="0" w:color="auto"/>
              <w:right w:val="single" w:sz="4" w:space="0" w:color="auto"/>
            </w:tcBorders>
            <w:hideMark/>
          </w:tcPr>
          <w:p w14:paraId="75CB9715"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−53,8…</w:t>
            </w:r>
            <w:r w:rsidRPr="00140923">
              <w:rPr>
                <w:rFonts w:asciiTheme="majorBidi" w:hAnsiTheme="majorBidi" w:cstheme="majorBidi"/>
                <w:sz w:val="20"/>
                <w:lang w:val="es-ES_tradnl" w:eastAsia="ja-JP"/>
              </w:rPr>
              <w:br/>
            </w:r>
            <w:r w:rsidRPr="00140923">
              <w:rPr>
                <w:rFonts w:asciiTheme="majorBidi" w:hAnsiTheme="majorBidi" w:cstheme="majorBidi"/>
                <w:sz w:val="20"/>
                <w:lang w:val="es-ES_tradnl"/>
              </w:rPr>
              <w:t>−</w:t>
            </w:r>
            <w:r w:rsidRPr="00140923">
              <w:rPr>
                <w:rFonts w:asciiTheme="majorBidi" w:hAnsiTheme="majorBidi" w:cstheme="majorBidi"/>
                <w:sz w:val="20"/>
                <w:lang w:val="es-ES_tradnl" w:eastAsia="ja-JP"/>
              </w:rPr>
              <w:t>33,8</w:t>
            </w:r>
            <w:r w:rsidRPr="00140923">
              <w:rPr>
                <w:rFonts w:asciiTheme="majorBidi" w:hAnsiTheme="majorBidi" w:cstheme="majorBidi"/>
                <w:sz w:val="20"/>
                <w:vertAlign w:val="superscript"/>
                <w:lang w:val="es-ES_tradnl" w:eastAsia="ja-JP"/>
              </w:rPr>
              <w:t>(5)</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1E6FF332"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47D194AA"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410CE2"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14:paraId="30980CC0"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r>
      <w:tr w:rsidR="002B37E9" w:rsidRPr="00140923" w14:paraId="3AA1217F" w14:textId="77777777" w:rsidTr="00226764">
        <w:trPr>
          <w:trHeight w:val="20"/>
          <w:jc w:val="center"/>
        </w:trPr>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5C6C97" w14:textId="77777777" w:rsidR="002B37E9" w:rsidRPr="00140923" w:rsidRDefault="002B37E9" w:rsidP="00226764">
            <w:pPr>
              <w:pStyle w:val="Tabletext"/>
              <w:spacing w:before="20" w:after="20"/>
              <w:jc w:val="left"/>
              <w:rPr>
                <w:rFonts w:asciiTheme="majorBidi" w:hAnsiTheme="majorBidi" w:cstheme="majorBidi"/>
                <w:sz w:val="20"/>
                <w:lang w:val="es-ES_tradnl"/>
              </w:rPr>
            </w:pPr>
            <w:r w:rsidRPr="00140923">
              <w:rPr>
                <w:rFonts w:asciiTheme="majorBidi" w:hAnsiTheme="majorBidi" w:cstheme="majorBidi"/>
                <w:sz w:val="20"/>
                <w:lang w:val="es-ES_tradnl"/>
              </w:rPr>
              <w:t>Gama de pérdida del alimentador/</w:t>
            </w:r>
            <w:r w:rsidRPr="00140923">
              <w:rPr>
                <w:rFonts w:asciiTheme="majorBidi" w:hAnsiTheme="majorBidi" w:cstheme="majorBidi"/>
                <w:sz w:val="20"/>
                <w:lang w:val="es-ES_tradnl"/>
              </w:rPr>
              <w:br/>
              <w:t xml:space="preserve">multiplexor (dB) </w:t>
            </w: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17BED3D8"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0ED1CA08"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2140501A"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B4DBBF4"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247" w:type="dxa"/>
            <w:tcBorders>
              <w:top w:val="single" w:sz="4" w:space="0" w:color="auto"/>
              <w:left w:val="single" w:sz="4" w:space="0" w:color="auto"/>
              <w:bottom w:val="single" w:sz="4" w:space="0" w:color="auto"/>
              <w:right w:val="single" w:sz="4" w:space="0" w:color="auto"/>
            </w:tcBorders>
            <w:hideMark/>
          </w:tcPr>
          <w:p w14:paraId="3030568F"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sz w:val="20"/>
                <w:lang w:val="es-ES_tradnl"/>
              </w:rPr>
              <w:t>0</w:t>
            </w:r>
            <w:r w:rsidRPr="00140923">
              <w:rPr>
                <w:sz w:val="20"/>
                <w:lang w:val="es-ES_tradnl" w:eastAsia="ja-JP"/>
              </w:rPr>
              <w:t xml:space="preserve"> a 1</w:t>
            </w:r>
          </w:p>
        </w:tc>
        <w:tc>
          <w:tcPr>
            <w:tcW w:w="1191" w:type="dxa"/>
            <w:tcBorders>
              <w:top w:val="single" w:sz="4" w:space="0" w:color="auto"/>
              <w:left w:val="single" w:sz="4" w:space="0" w:color="auto"/>
              <w:bottom w:val="single" w:sz="4" w:space="0" w:color="auto"/>
              <w:right w:val="single" w:sz="4" w:space="0" w:color="auto"/>
            </w:tcBorders>
            <w:hideMark/>
          </w:tcPr>
          <w:p w14:paraId="49757A66" w14:textId="77777777" w:rsidR="002B37E9" w:rsidRPr="00140923" w:rsidRDefault="002B37E9" w:rsidP="00226764">
            <w:pPr>
              <w:pStyle w:val="Tabletext"/>
              <w:spacing w:before="20" w:after="20"/>
              <w:jc w:val="center"/>
              <w:rPr>
                <w:rFonts w:asciiTheme="majorBidi" w:hAnsiTheme="majorBidi" w:cstheme="majorBidi"/>
                <w:sz w:val="20"/>
                <w:lang w:val="es-ES_tradnl"/>
              </w:rPr>
            </w:pPr>
            <w:r w:rsidRPr="00140923">
              <w:rPr>
                <w:rFonts w:asciiTheme="majorBidi" w:hAnsiTheme="majorBidi" w:cstheme="majorBidi"/>
                <w:sz w:val="20"/>
                <w:lang w:val="es-ES_tradnl" w:eastAsia="ja-JP"/>
              </w:rPr>
              <w:t>0</w:t>
            </w:r>
          </w:p>
        </w:tc>
        <w:tc>
          <w:tcPr>
            <w:tcW w:w="1192" w:type="dxa"/>
            <w:tcBorders>
              <w:top w:val="single" w:sz="4" w:space="0" w:color="auto"/>
              <w:left w:val="single" w:sz="4" w:space="0" w:color="auto"/>
              <w:bottom w:val="single" w:sz="4" w:space="0" w:color="auto"/>
              <w:right w:val="single" w:sz="4" w:space="0" w:color="auto"/>
            </w:tcBorders>
            <w:hideMark/>
          </w:tcPr>
          <w:p w14:paraId="3AE57BB6" w14:textId="77777777" w:rsidR="002B37E9" w:rsidRPr="00140923" w:rsidRDefault="002B37E9" w:rsidP="00226764">
            <w:pPr>
              <w:pStyle w:val="Tabletext"/>
              <w:spacing w:before="20" w:after="20"/>
              <w:jc w:val="center"/>
              <w:rPr>
                <w:rFonts w:asciiTheme="majorBidi" w:hAnsiTheme="majorBidi" w:cstheme="majorBidi"/>
                <w:sz w:val="20"/>
                <w:lang w:val="es-ES_tradnl"/>
              </w:rPr>
            </w:pPr>
            <w:r w:rsidRPr="00140923">
              <w:rPr>
                <w:rFonts w:asciiTheme="majorBidi" w:hAnsiTheme="majorBidi" w:cstheme="majorBidi"/>
                <w:sz w:val="20"/>
                <w:lang w:val="es-ES_tradnl" w:eastAsia="ja-JP"/>
              </w:rPr>
              <w:t>0</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10C7DB19"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5E2D09B9"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DAEE87"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14:paraId="69FD6F3B"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r>
      <w:tr w:rsidR="002B37E9" w:rsidRPr="00140923" w14:paraId="75830940" w14:textId="77777777" w:rsidTr="00226764">
        <w:trPr>
          <w:trHeight w:val="20"/>
          <w:jc w:val="center"/>
        </w:trPr>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8EDC21" w14:textId="77777777" w:rsidR="002B37E9" w:rsidRPr="00140923" w:rsidRDefault="002B37E9" w:rsidP="00226764">
            <w:pPr>
              <w:pStyle w:val="Tabletext"/>
              <w:spacing w:before="20" w:after="20"/>
              <w:jc w:val="left"/>
              <w:rPr>
                <w:rFonts w:asciiTheme="majorBidi" w:hAnsiTheme="majorBidi" w:cstheme="majorBidi"/>
                <w:sz w:val="20"/>
                <w:lang w:val="es-ES_tradnl"/>
              </w:rPr>
            </w:pPr>
            <w:r w:rsidRPr="00140923">
              <w:rPr>
                <w:rFonts w:asciiTheme="majorBidi" w:hAnsiTheme="majorBidi" w:cstheme="majorBidi"/>
                <w:sz w:val="20"/>
                <w:lang w:val="es-ES_tradnl"/>
              </w:rPr>
              <w:t xml:space="preserve">Tipo y gama de ganancia (dBi) de la antena </w:t>
            </w: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4D9FB368"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02B27952"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13E4FEC8"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30EF6C7"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247" w:type="dxa"/>
            <w:tcBorders>
              <w:top w:val="single" w:sz="4" w:space="0" w:color="auto"/>
              <w:left w:val="single" w:sz="4" w:space="0" w:color="auto"/>
              <w:bottom w:val="single" w:sz="4" w:space="0" w:color="auto"/>
              <w:right w:val="single" w:sz="4" w:space="0" w:color="auto"/>
            </w:tcBorders>
            <w:hideMark/>
          </w:tcPr>
          <w:p w14:paraId="001E2303"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sz w:val="20"/>
                <w:lang w:val="es-ES_tradnl" w:eastAsia="ja-JP"/>
              </w:rPr>
              <w:t>43 (direccional)</w:t>
            </w:r>
          </w:p>
        </w:tc>
        <w:tc>
          <w:tcPr>
            <w:tcW w:w="1191" w:type="dxa"/>
            <w:tcBorders>
              <w:top w:val="single" w:sz="4" w:space="0" w:color="auto"/>
              <w:left w:val="single" w:sz="4" w:space="0" w:color="auto"/>
              <w:bottom w:val="single" w:sz="4" w:space="0" w:color="auto"/>
              <w:right w:val="single" w:sz="4" w:space="0" w:color="auto"/>
            </w:tcBorders>
            <w:hideMark/>
          </w:tcPr>
          <w:p w14:paraId="1F31E117" w14:textId="77777777" w:rsidR="002B37E9" w:rsidRPr="00140923" w:rsidRDefault="002B37E9" w:rsidP="00226764">
            <w:pPr>
              <w:pStyle w:val="Tabletext"/>
              <w:spacing w:before="20" w:after="20"/>
              <w:ind w:left="-57" w:right="-57"/>
              <w:jc w:val="center"/>
              <w:rPr>
                <w:rFonts w:asciiTheme="majorBidi" w:hAnsiTheme="majorBidi" w:cstheme="majorBidi"/>
                <w:sz w:val="20"/>
                <w:lang w:val="es-ES_tradnl"/>
              </w:rPr>
            </w:pPr>
            <w:r w:rsidRPr="00140923">
              <w:rPr>
                <w:rFonts w:asciiTheme="majorBidi" w:hAnsiTheme="majorBidi" w:cstheme="majorBidi"/>
                <w:sz w:val="20"/>
                <w:lang w:val="es-ES_tradnl" w:eastAsia="ja-JP"/>
              </w:rPr>
              <w:t>6,5 (omnidi-reccional)</w:t>
            </w:r>
            <w:r w:rsidRPr="00140923">
              <w:rPr>
                <w:rFonts w:asciiTheme="majorBidi" w:hAnsiTheme="majorBidi" w:cstheme="majorBidi"/>
                <w:sz w:val="20"/>
                <w:lang w:val="es-ES_tradnl"/>
              </w:rPr>
              <w:t>…</w:t>
            </w:r>
          </w:p>
        </w:tc>
        <w:tc>
          <w:tcPr>
            <w:tcW w:w="1192" w:type="dxa"/>
            <w:tcBorders>
              <w:top w:val="single" w:sz="4" w:space="0" w:color="auto"/>
              <w:left w:val="single" w:sz="4" w:space="0" w:color="auto"/>
              <w:bottom w:val="single" w:sz="4" w:space="0" w:color="auto"/>
              <w:right w:val="single" w:sz="4" w:space="0" w:color="auto"/>
            </w:tcBorders>
            <w:hideMark/>
          </w:tcPr>
          <w:p w14:paraId="5794EF45" w14:textId="77777777" w:rsidR="002B37E9" w:rsidRPr="00140923" w:rsidRDefault="002B37E9" w:rsidP="00226764">
            <w:pPr>
              <w:pStyle w:val="Tabletext"/>
              <w:spacing w:before="20" w:after="20"/>
              <w:jc w:val="center"/>
              <w:rPr>
                <w:rFonts w:asciiTheme="majorBidi" w:hAnsiTheme="majorBidi" w:cstheme="majorBidi"/>
                <w:sz w:val="20"/>
                <w:lang w:val="es-ES_tradnl"/>
              </w:rPr>
            </w:pPr>
            <w:r w:rsidRPr="00140923">
              <w:rPr>
                <w:rFonts w:asciiTheme="majorBidi" w:hAnsiTheme="majorBidi" w:cstheme="majorBidi"/>
                <w:sz w:val="20"/>
                <w:lang w:val="es-ES_tradnl" w:eastAsia="ja-JP"/>
              </w:rPr>
              <w:t xml:space="preserve">15 (plana) </w:t>
            </w:r>
            <w:r w:rsidRPr="00140923">
              <w:rPr>
                <w:rFonts w:asciiTheme="majorBidi" w:hAnsiTheme="majorBidi" w:cstheme="majorBidi"/>
                <w:sz w:val="20"/>
                <w:lang w:val="es-ES_tradnl"/>
              </w:rPr>
              <w:t>… 35</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7AC0FF9"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6EED7821"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7267E6E"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14:paraId="0ACCFFEE"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r>
      <w:tr w:rsidR="002B37E9" w:rsidRPr="00140923" w14:paraId="069A1BF5" w14:textId="77777777" w:rsidTr="00226764">
        <w:trPr>
          <w:trHeight w:val="20"/>
          <w:jc w:val="center"/>
        </w:trPr>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06DA81" w14:textId="77777777" w:rsidR="002B37E9" w:rsidRPr="00140923" w:rsidRDefault="002B37E9" w:rsidP="00226764">
            <w:pPr>
              <w:pStyle w:val="Tabletext"/>
              <w:spacing w:before="20" w:after="20"/>
              <w:jc w:val="left"/>
              <w:rPr>
                <w:rFonts w:asciiTheme="majorBidi" w:hAnsiTheme="majorBidi" w:cstheme="majorBidi"/>
                <w:sz w:val="20"/>
                <w:lang w:val="es-ES_tradnl"/>
              </w:rPr>
            </w:pPr>
            <w:r w:rsidRPr="00140923">
              <w:rPr>
                <w:rFonts w:asciiTheme="majorBidi" w:hAnsiTheme="majorBidi" w:cstheme="majorBidi"/>
                <w:sz w:val="20"/>
                <w:lang w:val="es-ES_tradnl"/>
              </w:rPr>
              <w:t>Gama de la p.i.r.e. (dBW)</w:t>
            </w:r>
            <w:r w:rsidRPr="00140923">
              <w:rPr>
                <w:rFonts w:asciiTheme="majorBidi" w:hAnsiTheme="majorBidi" w:cstheme="majorBidi"/>
                <w:sz w:val="20"/>
                <w:vertAlign w:val="superscript"/>
                <w:lang w:val="es-ES_tradnl" w:eastAsia="ja-JP"/>
              </w:rPr>
              <w:t xml:space="preserve"> </w:t>
            </w: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04F96341"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6E6166AA"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29AC6E7C"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7176615"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247" w:type="dxa"/>
            <w:tcBorders>
              <w:top w:val="single" w:sz="4" w:space="0" w:color="auto"/>
              <w:left w:val="single" w:sz="4" w:space="0" w:color="auto"/>
              <w:bottom w:val="single" w:sz="4" w:space="0" w:color="auto"/>
              <w:right w:val="single" w:sz="4" w:space="0" w:color="auto"/>
            </w:tcBorders>
            <w:hideMark/>
          </w:tcPr>
          <w:p w14:paraId="37B42811"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sz w:val="20"/>
                <w:lang w:val="es-ES_tradnl"/>
              </w:rPr>
              <w:t>29 a 36,5 dBW</w:t>
            </w:r>
          </w:p>
        </w:tc>
        <w:tc>
          <w:tcPr>
            <w:tcW w:w="1191" w:type="dxa"/>
            <w:tcBorders>
              <w:top w:val="single" w:sz="4" w:space="0" w:color="auto"/>
              <w:left w:val="single" w:sz="4" w:space="0" w:color="auto"/>
              <w:bottom w:val="single" w:sz="4" w:space="0" w:color="auto"/>
              <w:right w:val="single" w:sz="4" w:space="0" w:color="auto"/>
            </w:tcBorders>
            <w:hideMark/>
          </w:tcPr>
          <w:p w14:paraId="1571F85C" w14:textId="77777777" w:rsidR="002B37E9" w:rsidRPr="00140923" w:rsidRDefault="002B37E9" w:rsidP="00226764">
            <w:pPr>
              <w:pStyle w:val="Tabletext"/>
              <w:spacing w:before="20" w:after="20"/>
              <w:jc w:val="center"/>
              <w:rPr>
                <w:rFonts w:asciiTheme="majorBidi" w:hAnsiTheme="majorBidi" w:cstheme="majorBidi"/>
                <w:sz w:val="20"/>
                <w:lang w:val="es-ES_tradnl"/>
              </w:rPr>
            </w:pPr>
            <w:r w:rsidRPr="00140923">
              <w:rPr>
                <w:rFonts w:asciiTheme="majorBidi" w:hAnsiTheme="majorBidi" w:cstheme="majorBidi"/>
                <w:sz w:val="20"/>
                <w:lang w:val="es-ES_tradnl" w:eastAsia="ja-JP"/>
              </w:rPr>
              <w:t>−12,5</w:t>
            </w:r>
            <w:r w:rsidRPr="00140923">
              <w:rPr>
                <w:rFonts w:asciiTheme="majorBidi" w:hAnsiTheme="majorBidi" w:cstheme="majorBidi"/>
                <w:sz w:val="20"/>
                <w:lang w:val="es-ES_tradnl"/>
              </w:rPr>
              <w:t>…</w:t>
            </w:r>
          </w:p>
        </w:tc>
        <w:tc>
          <w:tcPr>
            <w:tcW w:w="1192" w:type="dxa"/>
            <w:tcBorders>
              <w:top w:val="single" w:sz="4" w:space="0" w:color="auto"/>
              <w:left w:val="single" w:sz="4" w:space="0" w:color="auto"/>
              <w:bottom w:val="single" w:sz="4" w:space="0" w:color="auto"/>
              <w:right w:val="single" w:sz="4" w:space="0" w:color="auto"/>
            </w:tcBorders>
            <w:hideMark/>
          </w:tcPr>
          <w:p w14:paraId="50518F47"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−7,5</w:t>
            </w:r>
            <w:r w:rsidRPr="00140923">
              <w:rPr>
                <w:rFonts w:asciiTheme="majorBidi" w:hAnsiTheme="majorBidi" w:cstheme="majorBidi"/>
                <w:sz w:val="20"/>
                <w:lang w:val="es-ES_tradnl"/>
              </w:rPr>
              <w:t>…</w:t>
            </w:r>
            <w:r w:rsidRPr="00140923">
              <w:rPr>
                <w:rFonts w:asciiTheme="majorBidi" w:hAnsiTheme="majorBidi" w:cstheme="majorBidi"/>
                <w:sz w:val="20"/>
                <w:lang w:val="es-ES_tradnl" w:eastAsia="ja-JP"/>
              </w:rPr>
              <w:t>12,5</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63F276ED"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67C93DA8"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4F54E3"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14:paraId="34784FCC"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r>
      <w:tr w:rsidR="002B37E9" w:rsidRPr="00140923" w14:paraId="0EC4496D" w14:textId="77777777" w:rsidTr="00226764">
        <w:trPr>
          <w:trHeight w:val="20"/>
          <w:jc w:val="center"/>
        </w:trPr>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2F271F" w14:textId="77777777" w:rsidR="002B37E9" w:rsidRPr="00140923" w:rsidRDefault="002B37E9" w:rsidP="00226764">
            <w:pPr>
              <w:pStyle w:val="Tabletext"/>
              <w:spacing w:before="20" w:after="20"/>
              <w:jc w:val="left"/>
              <w:rPr>
                <w:rFonts w:asciiTheme="majorBidi" w:hAnsiTheme="majorBidi" w:cstheme="majorBidi"/>
                <w:sz w:val="20"/>
                <w:lang w:val="es-ES_tradnl"/>
              </w:rPr>
            </w:pPr>
            <w:r w:rsidRPr="00140923">
              <w:rPr>
                <w:rFonts w:asciiTheme="majorBidi" w:hAnsiTheme="majorBidi" w:cstheme="majorBidi"/>
                <w:sz w:val="20"/>
                <w:lang w:val="es-ES_tradnl"/>
              </w:rPr>
              <w:t>Gama de densidad de p.i.r.e. (dBW/MHz)</w:t>
            </w:r>
            <w:r w:rsidRPr="00140923">
              <w:rPr>
                <w:rFonts w:asciiTheme="majorBidi" w:hAnsiTheme="majorBidi" w:cstheme="majorBidi"/>
                <w:sz w:val="20"/>
                <w:vertAlign w:val="superscript"/>
                <w:lang w:val="es-ES_tradnl" w:eastAsia="ja-JP"/>
              </w:rPr>
              <w:t>(1)</w:t>
            </w: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68FCB50A"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41BA263C"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1D59B154"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4F49BB7"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247" w:type="dxa"/>
            <w:tcBorders>
              <w:top w:val="single" w:sz="4" w:space="0" w:color="auto"/>
              <w:left w:val="single" w:sz="4" w:space="0" w:color="auto"/>
              <w:bottom w:val="single" w:sz="4" w:space="0" w:color="auto"/>
              <w:right w:val="single" w:sz="4" w:space="0" w:color="auto"/>
            </w:tcBorders>
            <w:hideMark/>
          </w:tcPr>
          <w:p w14:paraId="070677CD"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sz w:val="20"/>
                <w:lang w:val="es-ES_tradnl"/>
              </w:rPr>
              <w:t>17…18</w:t>
            </w:r>
          </w:p>
        </w:tc>
        <w:tc>
          <w:tcPr>
            <w:tcW w:w="1191" w:type="dxa"/>
            <w:tcBorders>
              <w:top w:val="single" w:sz="4" w:space="0" w:color="auto"/>
              <w:left w:val="single" w:sz="4" w:space="0" w:color="auto"/>
              <w:bottom w:val="single" w:sz="4" w:space="0" w:color="auto"/>
              <w:right w:val="single" w:sz="4" w:space="0" w:color="auto"/>
            </w:tcBorders>
            <w:hideMark/>
          </w:tcPr>
          <w:p w14:paraId="1E2EAF6B"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−27,3</w:t>
            </w:r>
            <w:r w:rsidRPr="00140923">
              <w:rPr>
                <w:rFonts w:asciiTheme="majorBidi" w:hAnsiTheme="majorBidi" w:cstheme="majorBidi"/>
                <w:sz w:val="20"/>
                <w:vertAlign w:val="superscript"/>
                <w:lang w:val="es-ES_tradnl" w:eastAsia="ja-JP"/>
              </w:rPr>
              <w:t>(5)</w:t>
            </w:r>
          </w:p>
        </w:tc>
        <w:tc>
          <w:tcPr>
            <w:tcW w:w="1192" w:type="dxa"/>
            <w:tcBorders>
              <w:top w:val="single" w:sz="4" w:space="0" w:color="auto"/>
              <w:left w:val="single" w:sz="4" w:space="0" w:color="auto"/>
              <w:bottom w:val="single" w:sz="4" w:space="0" w:color="auto"/>
              <w:right w:val="single" w:sz="4" w:space="0" w:color="auto"/>
            </w:tcBorders>
            <w:hideMark/>
          </w:tcPr>
          <w:p w14:paraId="000C5B57"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rPr>
              <w:t>−</w:t>
            </w:r>
            <w:r w:rsidRPr="00140923">
              <w:rPr>
                <w:rFonts w:asciiTheme="majorBidi" w:hAnsiTheme="majorBidi" w:cstheme="majorBidi"/>
                <w:sz w:val="20"/>
                <w:lang w:val="es-ES_tradnl" w:eastAsia="ja-JP"/>
              </w:rPr>
              <w:t>22,3…</w:t>
            </w:r>
            <w:r w:rsidRPr="00140923">
              <w:rPr>
                <w:rFonts w:asciiTheme="majorBidi" w:hAnsiTheme="majorBidi" w:cstheme="majorBidi"/>
                <w:sz w:val="20"/>
                <w:lang w:val="es-ES_tradnl" w:eastAsia="ja-JP"/>
              </w:rPr>
              <w:br/>
            </w:r>
            <w:r w:rsidRPr="00140923">
              <w:rPr>
                <w:rFonts w:asciiTheme="majorBidi" w:hAnsiTheme="majorBidi" w:cstheme="majorBidi"/>
                <w:sz w:val="20"/>
                <w:lang w:val="es-ES_tradnl"/>
              </w:rPr>
              <w:t>−</w:t>
            </w:r>
            <w:r w:rsidRPr="00140923">
              <w:rPr>
                <w:rFonts w:asciiTheme="majorBidi" w:hAnsiTheme="majorBidi" w:cstheme="majorBidi"/>
                <w:sz w:val="20"/>
                <w:lang w:val="es-ES_tradnl" w:eastAsia="ja-JP"/>
              </w:rPr>
              <w:t>2,3</w:t>
            </w:r>
            <w:r w:rsidRPr="00140923">
              <w:rPr>
                <w:rFonts w:asciiTheme="majorBidi" w:hAnsiTheme="majorBidi" w:cstheme="majorBidi"/>
                <w:sz w:val="20"/>
                <w:vertAlign w:val="superscript"/>
                <w:lang w:val="es-ES_tradnl" w:eastAsia="ja-JP"/>
              </w:rPr>
              <w:t>(5)</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7518C64F"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527CBD42"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757E7F"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14:paraId="348288BB"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r>
      <w:tr w:rsidR="002B37E9" w:rsidRPr="00140923" w14:paraId="7D9E664B" w14:textId="77777777" w:rsidTr="00226764">
        <w:trPr>
          <w:trHeight w:val="20"/>
          <w:jc w:val="center"/>
        </w:trPr>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4185C2" w14:textId="77777777" w:rsidR="002B37E9" w:rsidRPr="00140923" w:rsidRDefault="002B37E9" w:rsidP="00226764">
            <w:pPr>
              <w:pStyle w:val="Tabletext"/>
              <w:spacing w:before="20" w:after="20"/>
              <w:jc w:val="left"/>
              <w:rPr>
                <w:rFonts w:asciiTheme="majorBidi" w:hAnsiTheme="majorBidi" w:cstheme="majorBidi"/>
                <w:sz w:val="20"/>
                <w:lang w:val="es-ES_tradnl"/>
              </w:rPr>
            </w:pPr>
            <w:r w:rsidRPr="00140923">
              <w:rPr>
                <w:rFonts w:asciiTheme="majorBidi" w:hAnsiTheme="majorBidi" w:cstheme="majorBidi"/>
                <w:sz w:val="20"/>
                <w:lang w:val="es-ES_tradnl"/>
              </w:rPr>
              <w:t>Factor de ruido típico del receptor (dB)</w:t>
            </w: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3BB52EEE"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30D636EE"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25061377"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5258F40"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247" w:type="dxa"/>
            <w:tcBorders>
              <w:top w:val="single" w:sz="4" w:space="0" w:color="auto"/>
              <w:left w:val="single" w:sz="4" w:space="0" w:color="auto"/>
              <w:bottom w:val="single" w:sz="4" w:space="0" w:color="auto"/>
              <w:right w:val="single" w:sz="4" w:space="0" w:color="auto"/>
            </w:tcBorders>
            <w:hideMark/>
          </w:tcPr>
          <w:p w14:paraId="3CF56DFB"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sz w:val="20"/>
                <w:lang w:val="es-ES_tradnl" w:eastAsia="ja-JP"/>
              </w:rPr>
              <w:t>6</w:t>
            </w:r>
          </w:p>
        </w:tc>
        <w:tc>
          <w:tcPr>
            <w:tcW w:w="1191" w:type="dxa"/>
            <w:tcBorders>
              <w:top w:val="single" w:sz="4" w:space="0" w:color="auto"/>
              <w:left w:val="single" w:sz="4" w:space="0" w:color="auto"/>
              <w:bottom w:val="single" w:sz="4" w:space="0" w:color="auto"/>
              <w:right w:val="single" w:sz="4" w:space="0" w:color="auto"/>
            </w:tcBorders>
            <w:hideMark/>
          </w:tcPr>
          <w:p w14:paraId="2E890708"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8</w:t>
            </w:r>
          </w:p>
        </w:tc>
        <w:tc>
          <w:tcPr>
            <w:tcW w:w="1192" w:type="dxa"/>
            <w:tcBorders>
              <w:top w:val="single" w:sz="4" w:space="0" w:color="auto"/>
              <w:left w:val="single" w:sz="4" w:space="0" w:color="auto"/>
              <w:bottom w:val="single" w:sz="4" w:space="0" w:color="auto"/>
              <w:right w:val="single" w:sz="4" w:space="0" w:color="auto"/>
            </w:tcBorders>
            <w:hideMark/>
          </w:tcPr>
          <w:p w14:paraId="59DF975F"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8</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71BEECB4"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448BA363"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07D951"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14:paraId="1428D5CA"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r>
      <w:tr w:rsidR="002B37E9" w:rsidRPr="00140923" w14:paraId="001CC4F0" w14:textId="77777777" w:rsidTr="00226764">
        <w:trPr>
          <w:trHeight w:val="20"/>
          <w:jc w:val="center"/>
        </w:trPr>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C74920" w14:textId="77777777" w:rsidR="002B37E9" w:rsidRPr="00140923" w:rsidRDefault="002B37E9" w:rsidP="00226764">
            <w:pPr>
              <w:pStyle w:val="Tabletext"/>
              <w:spacing w:before="20" w:after="20"/>
              <w:ind w:right="-113"/>
              <w:jc w:val="left"/>
              <w:rPr>
                <w:rFonts w:asciiTheme="majorBidi" w:hAnsiTheme="majorBidi" w:cstheme="majorBidi"/>
                <w:sz w:val="20"/>
                <w:lang w:val="es-ES_tradnl"/>
              </w:rPr>
            </w:pPr>
            <w:r w:rsidRPr="00140923">
              <w:rPr>
                <w:rFonts w:asciiTheme="majorBidi" w:hAnsiTheme="majorBidi" w:cstheme="majorBidi"/>
                <w:sz w:val="20"/>
                <w:lang w:val="es-ES_tradnl"/>
              </w:rPr>
              <w:t xml:space="preserve">Densidad de potencia de ruido típica del receptor </w:t>
            </w:r>
            <w:r w:rsidRPr="00140923">
              <w:rPr>
                <w:rFonts w:asciiTheme="majorBidi" w:hAnsiTheme="majorBidi" w:cstheme="majorBidi"/>
                <w:sz w:val="20"/>
                <w:lang w:val="es-ES_tradnl" w:eastAsia="ja-JP"/>
              </w:rPr>
              <w:t>(=</w:t>
            </w:r>
            <w:r w:rsidRPr="00140923">
              <w:rPr>
                <w:rFonts w:asciiTheme="majorBidi" w:hAnsiTheme="majorBidi" w:cstheme="majorBidi"/>
                <w:i/>
                <w:iCs/>
                <w:sz w:val="20"/>
                <w:lang w:val="es-ES_tradnl"/>
              </w:rPr>
              <w:t>N</w:t>
            </w:r>
            <w:r w:rsidRPr="00140923">
              <w:rPr>
                <w:rFonts w:asciiTheme="majorBidi" w:hAnsiTheme="majorBidi" w:cstheme="majorBidi"/>
                <w:i/>
                <w:iCs/>
                <w:sz w:val="20"/>
                <w:vertAlign w:val="subscript"/>
                <w:lang w:val="es-ES_tradnl"/>
              </w:rPr>
              <w:t>RX</w:t>
            </w:r>
            <w:r w:rsidRPr="00140923">
              <w:rPr>
                <w:rFonts w:asciiTheme="majorBidi" w:hAnsiTheme="majorBidi" w:cstheme="majorBidi"/>
                <w:sz w:val="20"/>
                <w:lang w:val="es-ES_tradnl" w:eastAsia="ja-JP"/>
              </w:rPr>
              <w:t>)</w:t>
            </w:r>
            <w:r w:rsidRPr="00140923">
              <w:rPr>
                <w:rFonts w:asciiTheme="majorBidi" w:hAnsiTheme="majorBidi" w:cstheme="majorBidi"/>
                <w:sz w:val="20"/>
                <w:lang w:val="es-ES_tradnl"/>
              </w:rPr>
              <w:t xml:space="preserve"> (dBW/MHz)</w:t>
            </w: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384D3076"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0448DE8F"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7A8ED68F"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4CA1825"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247" w:type="dxa"/>
            <w:tcBorders>
              <w:top w:val="single" w:sz="4" w:space="0" w:color="auto"/>
              <w:left w:val="single" w:sz="4" w:space="0" w:color="auto"/>
              <w:bottom w:val="single" w:sz="4" w:space="0" w:color="auto"/>
              <w:right w:val="single" w:sz="4" w:space="0" w:color="auto"/>
            </w:tcBorders>
            <w:hideMark/>
          </w:tcPr>
          <w:p w14:paraId="680D285E"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sz w:val="20"/>
                <w:lang w:val="es-ES_tradnl" w:eastAsia="ja-JP"/>
              </w:rPr>
              <w:t>−138</w:t>
            </w:r>
          </w:p>
        </w:tc>
        <w:tc>
          <w:tcPr>
            <w:tcW w:w="1191" w:type="dxa"/>
            <w:tcBorders>
              <w:top w:val="single" w:sz="4" w:space="0" w:color="auto"/>
              <w:left w:val="single" w:sz="4" w:space="0" w:color="auto"/>
              <w:bottom w:val="single" w:sz="4" w:space="0" w:color="auto"/>
              <w:right w:val="single" w:sz="4" w:space="0" w:color="auto"/>
            </w:tcBorders>
            <w:hideMark/>
          </w:tcPr>
          <w:p w14:paraId="5BD291B0"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−136</w:t>
            </w:r>
          </w:p>
        </w:tc>
        <w:tc>
          <w:tcPr>
            <w:tcW w:w="1192" w:type="dxa"/>
            <w:tcBorders>
              <w:top w:val="single" w:sz="4" w:space="0" w:color="auto"/>
              <w:left w:val="single" w:sz="4" w:space="0" w:color="auto"/>
              <w:bottom w:val="single" w:sz="4" w:space="0" w:color="auto"/>
              <w:right w:val="single" w:sz="4" w:space="0" w:color="auto"/>
            </w:tcBorders>
            <w:hideMark/>
          </w:tcPr>
          <w:p w14:paraId="382BEA39"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−136</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7C56C05"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3BCDB117"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0F9ED0"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14:paraId="3B4C7B23"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r>
      <w:tr w:rsidR="002B37E9" w:rsidRPr="00140923" w14:paraId="3401B8DA" w14:textId="77777777" w:rsidTr="00226764">
        <w:trPr>
          <w:trHeight w:val="20"/>
          <w:jc w:val="center"/>
        </w:trPr>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BBC8C8" w14:textId="6E922DC5" w:rsidR="002B37E9" w:rsidRPr="00140923" w:rsidRDefault="002B37E9" w:rsidP="00226764">
            <w:pPr>
              <w:pStyle w:val="Tabletext"/>
              <w:spacing w:before="20" w:after="20"/>
              <w:jc w:val="left"/>
              <w:rPr>
                <w:rFonts w:asciiTheme="majorBidi" w:hAnsiTheme="majorBidi" w:cstheme="majorBidi"/>
                <w:sz w:val="20"/>
                <w:lang w:val="es-ES_tradnl"/>
              </w:rPr>
            </w:pPr>
            <w:r w:rsidRPr="00140923">
              <w:rPr>
                <w:rFonts w:asciiTheme="majorBidi" w:hAnsiTheme="majorBidi" w:cstheme="majorBidi"/>
                <w:sz w:val="20"/>
                <w:lang w:val="es-ES_tradnl"/>
              </w:rPr>
              <w:t>Nivel de entrada normalizado del receptor para una BER de 1 × 10</w:t>
            </w:r>
            <w:r w:rsidR="00A941C1" w:rsidRPr="00A941C1">
              <w:rPr>
                <w:rFonts w:asciiTheme="majorBidi" w:hAnsiTheme="majorBidi" w:cstheme="majorBidi"/>
                <w:sz w:val="20"/>
                <w:vertAlign w:val="superscript"/>
                <w:lang w:val="es-ES_tradnl"/>
              </w:rPr>
              <w:t>−</w:t>
            </w:r>
            <w:r w:rsidRPr="00140923">
              <w:rPr>
                <w:rFonts w:asciiTheme="majorBidi" w:hAnsiTheme="majorBidi" w:cstheme="majorBidi"/>
                <w:sz w:val="20"/>
                <w:vertAlign w:val="superscript"/>
                <w:lang w:val="es-ES_tradnl"/>
              </w:rPr>
              <w:t>6</w:t>
            </w:r>
            <w:r w:rsidRPr="00140923">
              <w:rPr>
                <w:rFonts w:asciiTheme="majorBidi" w:hAnsiTheme="majorBidi" w:cstheme="majorBidi"/>
                <w:sz w:val="20"/>
                <w:lang w:val="es-ES_tradnl"/>
              </w:rPr>
              <w:t xml:space="preserve"> (dBW/MHz) </w:t>
            </w: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41129732"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013F28AB"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6F07D0E1"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9E540C0"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247" w:type="dxa"/>
            <w:tcBorders>
              <w:top w:val="single" w:sz="4" w:space="0" w:color="auto"/>
              <w:left w:val="single" w:sz="4" w:space="0" w:color="auto"/>
              <w:bottom w:val="single" w:sz="4" w:space="0" w:color="auto"/>
              <w:right w:val="single" w:sz="4" w:space="0" w:color="auto"/>
            </w:tcBorders>
            <w:hideMark/>
          </w:tcPr>
          <w:p w14:paraId="0AF1D241"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sz w:val="20"/>
                <w:lang w:val="es-ES_tradnl" w:eastAsia="ja-JP"/>
              </w:rPr>
              <w:t>−130</w:t>
            </w:r>
          </w:p>
        </w:tc>
        <w:tc>
          <w:tcPr>
            <w:tcW w:w="1191" w:type="dxa"/>
            <w:tcBorders>
              <w:top w:val="single" w:sz="4" w:space="0" w:color="auto"/>
              <w:left w:val="single" w:sz="4" w:space="0" w:color="auto"/>
              <w:bottom w:val="single" w:sz="4" w:space="0" w:color="auto"/>
              <w:right w:val="single" w:sz="4" w:space="0" w:color="auto"/>
            </w:tcBorders>
            <w:hideMark/>
          </w:tcPr>
          <w:p w14:paraId="7A1BCC8B"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−122,5…</w:t>
            </w:r>
            <w:r w:rsidRPr="00140923">
              <w:rPr>
                <w:rFonts w:asciiTheme="majorBidi" w:hAnsiTheme="majorBidi" w:cstheme="majorBidi"/>
                <w:sz w:val="20"/>
                <w:lang w:val="es-ES_tradnl" w:eastAsia="ja-JP"/>
              </w:rPr>
              <w:br/>
              <w:t>−115,5</w:t>
            </w:r>
          </w:p>
        </w:tc>
        <w:tc>
          <w:tcPr>
            <w:tcW w:w="1192" w:type="dxa"/>
            <w:tcBorders>
              <w:top w:val="single" w:sz="4" w:space="0" w:color="auto"/>
              <w:left w:val="single" w:sz="4" w:space="0" w:color="auto"/>
              <w:bottom w:val="single" w:sz="4" w:space="0" w:color="auto"/>
              <w:right w:val="single" w:sz="4" w:space="0" w:color="auto"/>
            </w:tcBorders>
            <w:hideMark/>
          </w:tcPr>
          <w:p w14:paraId="1782F4E6" w14:textId="77777777" w:rsidR="002B37E9" w:rsidRPr="00140923" w:rsidRDefault="002B37E9" w:rsidP="00226764">
            <w:pPr>
              <w:pStyle w:val="Tabletext"/>
              <w:spacing w:before="20" w:after="20"/>
              <w:jc w:val="center"/>
              <w:rPr>
                <w:rFonts w:asciiTheme="majorBidi" w:hAnsiTheme="majorBidi" w:cstheme="majorBidi"/>
                <w:sz w:val="20"/>
                <w:lang w:val="es-ES_tradnl"/>
              </w:rPr>
            </w:pPr>
            <w:r w:rsidRPr="00140923">
              <w:rPr>
                <w:rFonts w:asciiTheme="majorBidi" w:hAnsiTheme="majorBidi" w:cstheme="majorBidi"/>
                <w:sz w:val="20"/>
                <w:lang w:val="es-ES_tradnl" w:eastAsia="ja-JP"/>
              </w:rPr>
              <w:t>−122,5…</w:t>
            </w:r>
            <w:r w:rsidRPr="00140923">
              <w:rPr>
                <w:rFonts w:asciiTheme="majorBidi" w:hAnsiTheme="majorBidi" w:cstheme="majorBidi"/>
                <w:sz w:val="20"/>
                <w:lang w:val="es-ES_tradnl" w:eastAsia="ja-JP"/>
              </w:rPr>
              <w:br/>
              <w:t>−115,5</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15F9CD89"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2B4EBA2B"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648BC58"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14:paraId="2F6E42B4" w14:textId="77777777" w:rsidR="002B37E9" w:rsidRPr="00140923" w:rsidRDefault="002B37E9" w:rsidP="00226764">
            <w:pPr>
              <w:tabs>
                <w:tab w:val="clear" w:pos="794"/>
                <w:tab w:val="clear" w:pos="1191"/>
                <w:tab w:val="clear" w:pos="1588"/>
                <w:tab w:val="clear" w:pos="1985"/>
              </w:tabs>
              <w:overflowPunct/>
              <w:autoSpaceDE/>
              <w:autoSpaceDN/>
              <w:adjustRightInd/>
              <w:spacing w:before="20" w:after="20"/>
              <w:jc w:val="left"/>
              <w:rPr>
                <w:rFonts w:asciiTheme="majorBidi" w:hAnsiTheme="majorBidi" w:cstheme="majorBidi"/>
                <w:sz w:val="20"/>
                <w:lang w:val="es-ES_tradnl" w:eastAsia="ja-JP"/>
              </w:rPr>
            </w:pPr>
          </w:p>
        </w:tc>
      </w:tr>
      <w:tr w:rsidR="002B37E9" w:rsidRPr="00140923" w14:paraId="16A0CFFE" w14:textId="77777777" w:rsidTr="00226764">
        <w:trPr>
          <w:trHeight w:val="20"/>
          <w:jc w:val="center"/>
        </w:trPr>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1D4548" w14:textId="77777777" w:rsidR="002B37E9" w:rsidRPr="00140923" w:rsidRDefault="002B37E9" w:rsidP="00226764">
            <w:pPr>
              <w:pStyle w:val="Tabletext"/>
              <w:spacing w:before="20" w:after="20"/>
              <w:ind w:right="-113"/>
              <w:jc w:val="left"/>
              <w:rPr>
                <w:rFonts w:asciiTheme="majorBidi" w:hAnsiTheme="majorBidi" w:cstheme="majorBidi"/>
                <w:sz w:val="20"/>
                <w:lang w:val="es-ES_tradnl" w:eastAsia="ja-JP"/>
              </w:rPr>
            </w:pPr>
            <w:r w:rsidRPr="00140923">
              <w:rPr>
                <w:rFonts w:asciiTheme="majorBidi" w:hAnsiTheme="majorBidi" w:cstheme="majorBidi"/>
                <w:sz w:val="20"/>
                <w:lang w:val="es-ES_tradnl"/>
              </w:rPr>
              <w:t>Densidad de potencia de interferencia a largo plazo nominal (dBW/MHz)</w:t>
            </w:r>
            <w:r w:rsidRPr="00140923">
              <w:rPr>
                <w:rFonts w:asciiTheme="majorBidi" w:hAnsiTheme="majorBidi" w:cstheme="majorBidi"/>
                <w:sz w:val="20"/>
                <w:vertAlign w:val="superscript"/>
                <w:lang w:val="es-ES_tradnl" w:eastAsia="ja-JP"/>
              </w:rPr>
              <w:t xml:space="preserve">(2) </w:t>
            </w:r>
          </w:p>
        </w:tc>
        <w:tc>
          <w:tcPr>
            <w:tcW w:w="917" w:type="dxa"/>
            <w:tcBorders>
              <w:top w:val="single" w:sz="4" w:space="0" w:color="auto"/>
              <w:left w:val="single" w:sz="4" w:space="0" w:color="auto"/>
              <w:bottom w:val="single" w:sz="4" w:space="0" w:color="auto"/>
              <w:right w:val="single" w:sz="4" w:space="0" w:color="auto"/>
            </w:tcBorders>
            <w:hideMark/>
          </w:tcPr>
          <w:p w14:paraId="1AF7BCF1" w14:textId="77777777" w:rsidR="002B37E9" w:rsidRPr="00140923" w:rsidRDefault="002B37E9" w:rsidP="00226764">
            <w:pPr>
              <w:pStyle w:val="Tabletext"/>
              <w:spacing w:before="20" w:after="20"/>
              <w:ind w:left="-57" w:right="-57"/>
              <w:jc w:val="center"/>
              <w:rPr>
                <w:rFonts w:asciiTheme="majorBidi" w:hAnsiTheme="majorBidi" w:cstheme="majorBidi"/>
                <w:sz w:val="20"/>
                <w:lang w:val="es-ES_tradnl" w:eastAsia="ja-JP"/>
              </w:rPr>
            </w:pPr>
            <w:r w:rsidRPr="00140923">
              <w:rPr>
                <w:rFonts w:asciiTheme="majorBidi" w:hAnsiTheme="majorBidi" w:cstheme="majorBidi"/>
                <w:i/>
                <w:iCs/>
                <w:sz w:val="20"/>
                <w:lang w:val="es-ES_tradnl"/>
              </w:rPr>
              <w:t>N</w:t>
            </w:r>
            <w:r w:rsidRPr="00140923">
              <w:rPr>
                <w:rFonts w:asciiTheme="majorBidi" w:hAnsiTheme="majorBidi" w:cstheme="majorBidi"/>
                <w:i/>
                <w:iCs/>
                <w:sz w:val="20"/>
                <w:vertAlign w:val="subscript"/>
                <w:lang w:val="es-ES_tradnl"/>
              </w:rPr>
              <w:t>RX</w:t>
            </w:r>
            <w:r w:rsidRPr="00140923">
              <w:rPr>
                <w:rFonts w:asciiTheme="majorBidi" w:hAnsiTheme="majorBidi" w:cstheme="majorBidi"/>
                <w:sz w:val="20"/>
                <w:lang w:val="es-ES_tradnl"/>
              </w:rPr>
              <w:t xml:space="preserve"> + </w:t>
            </w:r>
            <w:r w:rsidRPr="00140923">
              <w:rPr>
                <w:rFonts w:asciiTheme="majorBidi" w:hAnsiTheme="majorBidi" w:cstheme="majorBidi"/>
                <w:i/>
                <w:sz w:val="20"/>
                <w:lang w:val="es-ES_tradnl"/>
              </w:rPr>
              <w:t>I</w:t>
            </w:r>
            <w:r w:rsidRPr="00140923">
              <w:rPr>
                <w:rFonts w:asciiTheme="majorBidi" w:hAnsiTheme="majorBidi" w:cstheme="majorBidi"/>
                <w:iCs/>
                <w:sz w:val="20"/>
                <w:lang w:val="es-ES_tradnl"/>
              </w:rPr>
              <w:t>/</w:t>
            </w:r>
            <w:r w:rsidRPr="00140923">
              <w:rPr>
                <w:rFonts w:asciiTheme="majorBidi" w:hAnsiTheme="majorBidi" w:cstheme="majorBidi"/>
                <w:i/>
                <w:sz w:val="20"/>
                <w:lang w:val="es-ES_tradnl"/>
              </w:rPr>
              <w:t>N</w:t>
            </w:r>
          </w:p>
        </w:tc>
        <w:tc>
          <w:tcPr>
            <w:tcW w:w="1076" w:type="dxa"/>
            <w:tcBorders>
              <w:top w:val="single" w:sz="4" w:space="0" w:color="auto"/>
              <w:left w:val="single" w:sz="4" w:space="0" w:color="auto"/>
              <w:bottom w:val="single" w:sz="4" w:space="0" w:color="auto"/>
              <w:right w:val="single" w:sz="4" w:space="0" w:color="auto"/>
            </w:tcBorders>
            <w:hideMark/>
          </w:tcPr>
          <w:p w14:paraId="2D181E9A"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i/>
                <w:iCs/>
                <w:sz w:val="20"/>
                <w:lang w:val="es-ES_tradnl"/>
              </w:rPr>
              <w:t>N</w:t>
            </w:r>
            <w:r w:rsidRPr="00140923">
              <w:rPr>
                <w:rFonts w:asciiTheme="majorBidi" w:hAnsiTheme="majorBidi" w:cstheme="majorBidi"/>
                <w:i/>
                <w:iCs/>
                <w:sz w:val="20"/>
                <w:vertAlign w:val="subscript"/>
                <w:lang w:val="es-ES_tradnl"/>
              </w:rPr>
              <w:t>RX</w:t>
            </w:r>
            <w:r w:rsidRPr="00140923">
              <w:rPr>
                <w:rFonts w:asciiTheme="majorBidi" w:hAnsiTheme="majorBidi" w:cstheme="majorBidi"/>
                <w:sz w:val="20"/>
                <w:lang w:val="es-ES_tradnl"/>
              </w:rPr>
              <w:t xml:space="preserve"> + </w:t>
            </w:r>
            <w:r w:rsidRPr="00140923">
              <w:rPr>
                <w:rFonts w:asciiTheme="majorBidi" w:hAnsiTheme="majorBidi" w:cstheme="majorBidi"/>
                <w:i/>
                <w:sz w:val="20"/>
                <w:lang w:val="es-ES_tradnl"/>
              </w:rPr>
              <w:t>I</w:t>
            </w:r>
            <w:r w:rsidRPr="00140923">
              <w:rPr>
                <w:rFonts w:asciiTheme="majorBidi" w:hAnsiTheme="majorBidi" w:cstheme="majorBidi"/>
                <w:iCs/>
                <w:sz w:val="20"/>
                <w:lang w:val="es-ES_tradnl"/>
              </w:rPr>
              <w:t>/</w:t>
            </w:r>
            <w:r w:rsidRPr="00140923">
              <w:rPr>
                <w:rFonts w:asciiTheme="majorBidi" w:hAnsiTheme="majorBidi" w:cstheme="majorBidi"/>
                <w:i/>
                <w:sz w:val="20"/>
                <w:lang w:val="es-ES_tradnl"/>
              </w:rPr>
              <w:t>N</w:t>
            </w:r>
          </w:p>
        </w:tc>
        <w:tc>
          <w:tcPr>
            <w:tcW w:w="943" w:type="dxa"/>
            <w:tcBorders>
              <w:top w:val="single" w:sz="4" w:space="0" w:color="auto"/>
              <w:left w:val="single" w:sz="4" w:space="0" w:color="auto"/>
              <w:bottom w:val="single" w:sz="4" w:space="0" w:color="auto"/>
              <w:right w:val="single" w:sz="4" w:space="0" w:color="auto"/>
            </w:tcBorders>
            <w:hideMark/>
          </w:tcPr>
          <w:p w14:paraId="115AC481" w14:textId="77777777" w:rsidR="002B37E9" w:rsidRPr="00140923" w:rsidRDefault="002B37E9" w:rsidP="00226764">
            <w:pPr>
              <w:pStyle w:val="Tabletext"/>
              <w:spacing w:before="20" w:after="20"/>
              <w:ind w:left="-57" w:right="-57"/>
              <w:jc w:val="center"/>
              <w:rPr>
                <w:rFonts w:asciiTheme="majorBidi" w:hAnsiTheme="majorBidi" w:cstheme="majorBidi"/>
                <w:sz w:val="20"/>
                <w:lang w:val="es-ES_tradnl" w:eastAsia="ja-JP"/>
              </w:rPr>
            </w:pPr>
            <w:r w:rsidRPr="00140923">
              <w:rPr>
                <w:rFonts w:asciiTheme="majorBidi" w:hAnsiTheme="majorBidi" w:cstheme="majorBidi"/>
                <w:i/>
                <w:iCs/>
                <w:sz w:val="20"/>
                <w:lang w:val="es-ES_tradnl"/>
              </w:rPr>
              <w:t>N</w:t>
            </w:r>
            <w:r w:rsidRPr="00140923">
              <w:rPr>
                <w:rFonts w:asciiTheme="majorBidi" w:hAnsiTheme="majorBidi" w:cstheme="majorBidi"/>
                <w:i/>
                <w:iCs/>
                <w:sz w:val="20"/>
                <w:vertAlign w:val="subscript"/>
                <w:lang w:val="es-ES_tradnl"/>
              </w:rPr>
              <w:t>RX</w:t>
            </w:r>
            <w:r w:rsidRPr="00140923">
              <w:rPr>
                <w:rFonts w:asciiTheme="majorBidi" w:hAnsiTheme="majorBidi" w:cstheme="majorBidi"/>
                <w:sz w:val="20"/>
                <w:lang w:val="es-ES_tradnl"/>
              </w:rPr>
              <w:t xml:space="preserve"> + </w:t>
            </w:r>
            <w:r w:rsidRPr="00140923">
              <w:rPr>
                <w:rFonts w:asciiTheme="majorBidi" w:hAnsiTheme="majorBidi" w:cstheme="majorBidi"/>
                <w:i/>
                <w:sz w:val="20"/>
                <w:lang w:val="es-ES_tradnl"/>
              </w:rPr>
              <w:t>I</w:t>
            </w:r>
            <w:r w:rsidRPr="00140923">
              <w:rPr>
                <w:rFonts w:asciiTheme="majorBidi" w:hAnsiTheme="majorBidi" w:cstheme="majorBidi"/>
                <w:iCs/>
                <w:sz w:val="20"/>
                <w:lang w:val="es-ES_tradnl"/>
              </w:rPr>
              <w:t>/</w:t>
            </w:r>
            <w:r w:rsidRPr="00140923">
              <w:rPr>
                <w:rFonts w:asciiTheme="majorBidi" w:hAnsiTheme="majorBidi" w:cstheme="majorBidi"/>
                <w:i/>
                <w:sz w:val="20"/>
                <w:lang w:val="es-ES_tradnl"/>
              </w:rPr>
              <w:t>N</w:t>
            </w:r>
          </w:p>
        </w:tc>
        <w:tc>
          <w:tcPr>
            <w:tcW w:w="1077" w:type="dxa"/>
            <w:tcBorders>
              <w:top w:val="single" w:sz="4" w:space="0" w:color="auto"/>
              <w:left w:val="single" w:sz="4" w:space="0" w:color="auto"/>
              <w:bottom w:val="single" w:sz="4" w:space="0" w:color="auto"/>
              <w:right w:val="single" w:sz="4" w:space="0" w:color="auto"/>
            </w:tcBorders>
            <w:hideMark/>
          </w:tcPr>
          <w:p w14:paraId="62313212"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i/>
                <w:iCs/>
                <w:sz w:val="20"/>
                <w:lang w:val="es-ES_tradnl"/>
              </w:rPr>
              <w:t>N</w:t>
            </w:r>
            <w:r w:rsidRPr="00140923">
              <w:rPr>
                <w:rFonts w:asciiTheme="majorBidi" w:hAnsiTheme="majorBidi" w:cstheme="majorBidi"/>
                <w:i/>
                <w:iCs/>
                <w:sz w:val="20"/>
                <w:vertAlign w:val="subscript"/>
                <w:lang w:val="es-ES_tradnl"/>
              </w:rPr>
              <w:t>RX</w:t>
            </w:r>
            <w:r w:rsidRPr="00140923">
              <w:rPr>
                <w:rFonts w:asciiTheme="majorBidi" w:hAnsiTheme="majorBidi" w:cstheme="majorBidi"/>
                <w:sz w:val="20"/>
                <w:lang w:val="es-ES_tradnl"/>
              </w:rPr>
              <w:t xml:space="preserve"> + </w:t>
            </w:r>
            <w:r w:rsidRPr="00140923">
              <w:rPr>
                <w:rFonts w:asciiTheme="majorBidi" w:hAnsiTheme="majorBidi" w:cstheme="majorBidi"/>
                <w:i/>
                <w:sz w:val="20"/>
                <w:lang w:val="es-ES_tradnl"/>
              </w:rPr>
              <w:t>I</w:t>
            </w:r>
            <w:r w:rsidRPr="00140923">
              <w:rPr>
                <w:rFonts w:asciiTheme="majorBidi" w:hAnsiTheme="majorBidi" w:cstheme="majorBidi"/>
                <w:iCs/>
                <w:sz w:val="20"/>
                <w:lang w:val="es-ES_tradnl"/>
              </w:rPr>
              <w:t>/</w:t>
            </w:r>
            <w:r w:rsidRPr="00140923">
              <w:rPr>
                <w:rFonts w:asciiTheme="majorBidi" w:hAnsiTheme="majorBidi" w:cstheme="majorBidi"/>
                <w:i/>
                <w:sz w:val="20"/>
                <w:lang w:val="es-ES_tradnl"/>
              </w:rPr>
              <w:t>N</w:t>
            </w:r>
          </w:p>
        </w:tc>
        <w:tc>
          <w:tcPr>
            <w:tcW w:w="1247" w:type="dxa"/>
            <w:tcBorders>
              <w:top w:val="single" w:sz="4" w:space="0" w:color="auto"/>
              <w:left w:val="single" w:sz="4" w:space="0" w:color="auto"/>
              <w:bottom w:val="single" w:sz="4" w:space="0" w:color="auto"/>
              <w:right w:val="single" w:sz="4" w:space="0" w:color="auto"/>
            </w:tcBorders>
            <w:hideMark/>
          </w:tcPr>
          <w:p w14:paraId="145AD8FF"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sz w:val="20"/>
                <w:lang w:val="es-ES_tradnl" w:eastAsia="ja-JP"/>
              </w:rPr>
              <w:t>−138</w:t>
            </w:r>
            <w:r w:rsidRPr="00140923">
              <w:rPr>
                <w:sz w:val="20"/>
                <w:lang w:val="es-ES_tradnl"/>
              </w:rPr>
              <w:t xml:space="preserve"> + </w:t>
            </w:r>
            <w:r w:rsidRPr="00140923">
              <w:rPr>
                <w:i/>
                <w:sz w:val="20"/>
                <w:lang w:val="es-ES_tradnl"/>
              </w:rPr>
              <w:t>I</w:t>
            </w:r>
            <w:r w:rsidRPr="00140923">
              <w:rPr>
                <w:sz w:val="20"/>
                <w:lang w:val="es-ES_tradnl"/>
              </w:rPr>
              <w:t>/</w:t>
            </w:r>
            <w:r w:rsidRPr="00140923">
              <w:rPr>
                <w:i/>
                <w:sz w:val="20"/>
                <w:lang w:val="es-ES_tradnl"/>
              </w:rPr>
              <w:t>N</w:t>
            </w:r>
          </w:p>
        </w:tc>
        <w:tc>
          <w:tcPr>
            <w:tcW w:w="1191" w:type="dxa"/>
            <w:tcBorders>
              <w:top w:val="single" w:sz="4" w:space="0" w:color="auto"/>
              <w:left w:val="single" w:sz="4" w:space="0" w:color="auto"/>
              <w:bottom w:val="single" w:sz="4" w:space="0" w:color="auto"/>
              <w:right w:val="single" w:sz="4" w:space="0" w:color="auto"/>
            </w:tcBorders>
            <w:hideMark/>
          </w:tcPr>
          <w:p w14:paraId="7C437D29"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−136</w:t>
            </w:r>
            <w:r w:rsidRPr="00140923">
              <w:rPr>
                <w:rFonts w:asciiTheme="majorBidi" w:hAnsiTheme="majorBidi" w:cstheme="majorBidi"/>
                <w:sz w:val="20"/>
                <w:lang w:val="es-ES_tradnl"/>
              </w:rPr>
              <w:t xml:space="preserve"> + </w:t>
            </w:r>
            <w:r w:rsidRPr="00140923">
              <w:rPr>
                <w:rFonts w:asciiTheme="majorBidi" w:hAnsiTheme="majorBidi" w:cstheme="majorBidi"/>
                <w:i/>
                <w:sz w:val="20"/>
                <w:lang w:val="es-ES_tradnl"/>
              </w:rPr>
              <w:t>I</w:t>
            </w:r>
            <w:r w:rsidRPr="00140923">
              <w:rPr>
                <w:rFonts w:asciiTheme="majorBidi" w:hAnsiTheme="majorBidi" w:cstheme="majorBidi"/>
                <w:iCs/>
                <w:sz w:val="20"/>
                <w:lang w:val="es-ES_tradnl"/>
              </w:rPr>
              <w:t>/</w:t>
            </w:r>
            <w:r w:rsidRPr="00140923">
              <w:rPr>
                <w:rFonts w:asciiTheme="majorBidi" w:hAnsiTheme="majorBidi" w:cstheme="majorBidi"/>
                <w:i/>
                <w:sz w:val="20"/>
                <w:lang w:val="es-ES_tradnl"/>
              </w:rPr>
              <w:t>N</w:t>
            </w:r>
          </w:p>
        </w:tc>
        <w:tc>
          <w:tcPr>
            <w:tcW w:w="1192" w:type="dxa"/>
            <w:tcBorders>
              <w:top w:val="single" w:sz="4" w:space="0" w:color="auto"/>
              <w:left w:val="single" w:sz="4" w:space="0" w:color="auto"/>
              <w:bottom w:val="single" w:sz="4" w:space="0" w:color="auto"/>
              <w:right w:val="single" w:sz="4" w:space="0" w:color="auto"/>
            </w:tcBorders>
            <w:hideMark/>
          </w:tcPr>
          <w:p w14:paraId="44257585"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sz w:val="20"/>
                <w:lang w:val="es-ES_tradnl" w:eastAsia="ja-JP"/>
              </w:rPr>
              <w:t>−136</w:t>
            </w:r>
            <w:r w:rsidRPr="00140923">
              <w:rPr>
                <w:rFonts w:asciiTheme="majorBidi" w:hAnsiTheme="majorBidi" w:cstheme="majorBidi"/>
                <w:sz w:val="20"/>
                <w:lang w:val="es-ES_tradnl"/>
              </w:rPr>
              <w:t xml:space="preserve"> + </w:t>
            </w:r>
            <w:r w:rsidRPr="00140923">
              <w:rPr>
                <w:rFonts w:asciiTheme="majorBidi" w:hAnsiTheme="majorBidi" w:cstheme="majorBidi"/>
                <w:i/>
                <w:sz w:val="20"/>
                <w:lang w:val="es-ES_tradnl"/>
              </w:rPr>
              <w:t>I</w:t>
            </w:r>
            <w:r w:rsidRPr="00140923">
              <w:rPr>
                <w:rFonts w:asciiTheme="majorBidi" w:hAnsiTheme="majorBidi" w:cstheme="majorBidi"/>
                <w:iCs/>
                <w:sz w:val="20"/>
                <w:lang w:val="es-ES_tradnl"/>
              </w:rPr>
              <w:t>/</w:t>
            </w:r>
            <w:r w:rsidRPr="00140923">
              <w:rPr>
                <w:rFonts w:asciiTheme="majorBidi" w:hAnsiTheme="majorBidi" w:cstheme="majorBidi"/>
                <w:i/>
                <w:sz w:val="20"/>
                <w:lang w:val="es-ES_tradnl"/>
              </w:rPr>
              <w:t>N</w:t>
            </w:r>
          </w:p>
        </w:tc>
        <w:tc>
          <w:tcPr>
            <w:tcW w:w="907" w:type="dxa"/>
            <w:tcBorders>
              <w:top w:val="single" w:sz="4" w:space="0" w:color="auto"/>
              <w:left w:val="single" w:sz="4" w:space="0" w:color="auto"/>
              <w:bottom w:val="single" w:sz="4" w:space="0" w:color="auto"/>
              <w:right w:val="single" w:sz="4" w:space="0" w:color="auto"/>
            </w:tcBorders>
            <w:hideMark/>
          </w:tcPr>
          <w:p w14:paraId="6C1A513F" w14:textId="77777777" w:rsidR="002B37E9" w:rsidRPr="00140923" w:rsidRDefault="002B37E9" w:rsidP="00226764">
            <w:pPr>
              <w:pStyle w:val="Tabletext"/>
              <w:spacing w:before="20" w:after="20"/>
              <w:ind w:left="-57" w:right="-57"/>
              <w:jc w:val="center"/>
              <w:rPr>
                <w:rFonts w:asciiTheme="majorBidi" w:hAnsiTheme="majorBidi" w:cstheme="majorBidi"/>
                <w:sz w:val="20"/>
                <w:lang w:val="es-ES_tradnl" w:eastAsia="ja-JP"/>
              </w:rPr>
            </w:pPr>
            <w:r w:rsidRPr="00140923">
              <w:rPr>
                <w:rFonts w:asciiTheme="majorBidi" w:hAnsiTheme="majorBidi" w:cstheme="majorBidi"/>
                <w:i/>
                <w:iCs/>
                <w:sz w:val="20"/>
                <w:lang w:val="es-ES_tradnl"/>
              </w:rPr>
              <w:t>N</w:t>
            </w:r>
            <w:r w:rsidRPr="00140923">
              <w:rPr>
                <w:rFonts w:asciiTheme="majorBidi" w:hAnsiTheme="majorBidi" w:cstheme="majorBidi"/>
                <w:i/>
                <w:iCs/>
                <w:sz w:val="20"/>
                <w:vertAlign w:val="subscript"/>
                <w:lang w:val="es-ES_tradnl"/>
              </w:rPr>
              <w:t>RX</w:t>
            </w:r>
            <w:r w:rsidRPr="00140923">
              <w:rPr>
                <w:rFonts w:asciiTheme="majorBidi" w:hAnsiTheme="majorBidi" w:cstheme="majorBidi"/>
                <w:sz w:val="20"/>
                <w:lang w:val="es-ES_tradnl"/>
              </w:rPr>
              <w:t xml:space="preserve"> + </w:t>
            </w:r>
            <w:r w:rsidRPr="00140923">
              <w:rPr>
                <w:rFonts w:asciiTheme="majorBidi" w:hAnsiTheme="majorBidi" w:cstheme="majorBidi"/>
                <w:i/>
                <w:sz w:val="20"/>
                <w:lang w:val="es-ES_tradnl"/>
              </w:rPr>
              <w:t>I/N</w:t>
            </w:r>
          </w:p>
        </w:tc>
        <w:tc>
          <w:tcPr>
            <w:tcW w:w="1078" w:type="dxa"/>
            <w:tcBorders>
              <w:top w:val="single" w:sz="4" w:space="0" w:color="auto"/>
              <w:left w:val="single" w:sz="4" w:space="0" w:color="auto"/>
              <w:bottom w:val="single" w:sz="4" w:space="0" w:color="auto"/>
              <w:right w:val="single" w:sz="4" w:space="0" w:color="auto"/>
            </w:tcBorders>
            <w:hideMark/>
          </w:tcPr>
          <w:p w14:paraId="48ABC73C"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i/>
                <w:iCs/>
                <w:sz w:val="20"/>
                <w:lang w:val="es-ES_tradnl"/>
              </w:rPr>
              <w:t>N</w:t>
            </w:r>
            <w:r w:rsidRPr="00140923">
              <w:rPr>
                <w:rFonts w:asciiTheme="majorBidi" w:hAnsiTheme="majorBidi" w:cstheme="majorBidi"/>
                <w:i/>
                <w:iCs/>
                <w:sz w:val="20"/>
                <w:vertAlign w:val="subscript"/>
                <w:lang w:val="es-ES_tradnl"/>
              </w:rPr>
              <w:t>RX</w:t>
            </w:r>
            <w:r w:rsidRPr="00140923">
              <w:rPr>
                <w:rFonts w:asciiTheme="majorBidi" w:hAnsiTheme="majorBidi" w:cstheme="majorBidi"/>
                <w:sz w:val="20"/>
                <w:lang w:val="es-ES_tradnl"/>
              </w:rPr>
              <w:t xml:space="preserve"> + </w:t>
            </w:r>
            <w:r w:rsidRPr="00140923">
              <w:rPr>
                <w:rFonts w:asciiTheme="majorBidi" w:hAnsiTheme="majorBidi" w:cstheme="majorBidi"/>
                <w:i/>
                <w:sz w:val="20"/>
                <w:lang w:val="es-ES_tradnl"/>
              </w:rPr>
              <w:t>I</w:t>
            </w:r>
            <w:r w:rsidRPr="00140923">
              <w:rPr>
                <w:rFonts w:asciiTheme="majorBidi" w:hAnsiTheme="majorBidi" w:cstheme="majorBidi"/>
                <w:iCs/>
                <w:sz w:val="20"/>
                <w:lang w:val="es-ES_tradnl"/>
              </w:rPr>
              <w:t>/</w:t>
            </w:r>
            <w:r w:rsidRPr="00140923">
              <w:rPr>
                <w:rFonts w:asciiTheme="majorBidi" w:hAnsiTheme="majorBidi" w:cstheme="majorBidi"/>
                <w:i/>
                <w:sz w:val="20"/>
                <w:lang w:val="es-ES_tradnl"/>
              </w:rPr>
              <w:t>N</w:t>
            </w:r>
          </w:p>
        </w:tc>
        <w:tc>
          <w:tcPr>
            <w:tcW w:w="850" w:type="dxa"/>
            <w:tcBorders>
              <w:top w:val="single" w:sz="4" w:space="0" w:color="auto"/>
              <w:left w:val="single" w:sz="4" w:space="0" w:color="auto"/>
              <w:bottom w:val="single" w:sz="4" w:space="0" w:color="auto"/>
              <w:right w:val="single" w:sz="4" w:space="0" w:color="auto"/>
            </w:tcBorders>
            <w:hideMark/>
          </w:tcPr>
          <w:p w14:paraId="010731A0" w14:textId="77777777" w:rsidR="002B37E9" w:rsidRPr="00140923" w:rsidRDefault="002B37E9" w:rsidP="00226764">
            <w:pPr>
              <w:pStyle w:val="Tabletext"/>
              <w:spacing w:before="20" w:after="20"/>
              <w:ind w:left="-113" w:right="-113"/>
              <w:jc w:val="center"/>
              <w:rPr>
                <w:rFonts w:asciiTheme="majorBidi" w:hAnsiTheme="majorBidi" w:cstheme="majorBidi"/>
                <w:sz w:val="20"/>
                <w:lang w:val="es-ES_tradnl" w:eastAsia="ja-JP"/>
              </w:rPr>
            </w:pPr>
            <w:r w:rsidRPr="00140923">
              <w:rPr>
                <w:rFonts w:asciiTheme="majorBidi" w:hAnsiTheme="majorBidi" w:cstheme="majorBidi"/>
                <w:i/>
                <w:iCs/>
                <w:sz w:val="20"/>
                <w:lang w:val="es-ES_tradnl"/>
              </w:rPr>
              <w:t>N</w:t>
            </w:r>
            <w:r w:rsidRPr="00140923">
              <w:rPr>
                <w:rFonts w:asciiTheme="majorBidi" w:hAnsiTheme="majorBidi" w:cstheme="majorBidi"/>
                <w:i/>
                <w:iCs/>
                <w:sz w:val="20"/>
                <w:vertAlign w:val="subscript"/>
                <w:lang w:val="es-ES_tradnl"/>
              </w:rPr>
              <w:t>RX</w:t>
            </w:r>
            <w:r w:rsidRPr="00140923">
              <w:rPr>
                <w:rFonts w:asciiTheme="majorBidi" w:hAnsiTheme="majorBidi" w:cstheme="majorBidi"/>
                <w:sz w:val="20"/>
                <w:lang w:val="es-ES_tradnl"/>
              </w:rPr>
              <w:t xml:space="preserve"> + </w:t>
            </w:r>
            <w:r w:rsidRPr="00140923">
              <w:rPr>
                <w:rFonts w:asciiTheme="majorBidi" w:hAnsiTheme="majorBidi" w:cstheme="majorBidi"/>
                <w:i/>
                <w:sz w:val="20"/>
                <w:lang w:val="es-ES_tradnl"/>
              </w:rPr>
              <w:t>I</w:t>
            </w:r>
            <w:r w:rsidRPr="00140923">
              <w:rPr>
                <w:rFonts w:asciiTheme="majorBidi" w:hAnsiTheme="majorBidi" w:cstheme="majorBidi"/>
                <w:iCs/>
                <w:sz w:val="20"/>
                <w:lang w:val="es-ES_tradnl"/>
              </w:rPr>
              <w:t>/</w:t>
            </w:r>
            <w:r w:rsidRPr="00140923">
              <w:rPr>
                <w:rFonts w:asciiTheme="majorBidi" w:hAnsiTheme="majorBidi" w:cstheme="majorBidi"/>
                <w:i/>
                <w:sz w:val="20"/>
                <w:lang w:val="es-ES_tradnl"/>
              </w:rPr>
              <w:t>N</w:t>
            </w:r>
          </w:p>
        </w:tc>
        <w:tc>
          <w:tcPr>
            <w:tcW w:w="1031" w:type="dxa"/>
            <w:gridSpan w:val="2"/>
            <w:tcBorders>
              <w:top w:val="single" w:sz="4" w:space="0" w:color="auto"/>
              <w:left w:val="single" w:sz="4" w:space="0" w:color="auto"/>
              <w:bottom w:val="single" w:sz="4" w:space="0" w:color="auto"/>
              <w:right w:val="single" w:sz="4" w:space="0" w:color="auto"/>
            </w:tcBorders>
            <w:hideMark/>
          </w:tcPr>
          <w:p w14:paraId="0C077F06" w14:textId="77777777" w:rsidR="002B37E9" w:rsidRPr="00140923" w:rsidRDefault="002B37E9" w:rsidP="00226764">
            <w:pPr>
              <w:pStyle w:val="Tabletext"/>
              <w:spacing w:before="20" w:after="20"/>
              <w:jc w:val="center"/>
              <w:rPr>
                <w:rFonts w:asciiTheme="majorBidi" w:hAnsiTheme="majorBidi" w:cstheme="majorBidi"/>
                <w:sz w:val="20"/>
                <w:lang w:val="es-ES_tradnl" w:eastAsia="ja-JP"/>
              </w:rPr>
            </w:pPr>
            <w:r w:rsidRPr="00140923">
              <w:rPr>
                <w:rFonts w:asciiTheme="majorBidi" w:hAnsiTheme="majorBidi" w:cstheme="majorBidi"/>
                <w:i/>
                <w:iCs/>
                <w:sz w:val="20"/>
                <w:lang w:val="es-ES_tradnl"/>
              </w:rPr>
              <w:t>N</w:t>
            </w:r>
            <w:r w:rsidRPr="00140923">
              <w:rPr>
                <w:rFonts w:asciiTheme="majorBidi" w:hAnsiTheme="majorBidi" w:cstheme="majorBidi"/>
                <w:i/>
                <w:iCs/>
                <w:sz w:val="20"/>
                <w:vertAlign w:val="subscript"/>
                <w:lang w:val="es-ES_tradnl"/>
              </w:rPr>
              <w:t>RX</w:t>
            </w:r>
            <w:r w:rsidRPr="00140923">
              <w:rPr>
                <w:rFonts w:asciiTheme="majorBidi" w:hAnsiTheme="majorBidi" w:cstheme="majorBidi"/>
                <w:sz w:val="20"/>
                <w:lang w:val="es-ES_tradnl"/>
              </w:rPr>
              <w:t xml:space="preserve"> + </w:t>
            </w:r>
            <w:r w:rsidRPr="00140923">
              <w:rPr>
                <w:rFonts w:asciiTheme="majorBidi" w:hAnsiTheme="majorBidi" w:cstheme="majorBidi"/>
                <w:i/>
                <w:sz w:val="20"/>
                <w:lang w:val="es-ES_tradnl"/>
              </w:rPr>
              <w:t>I</w:t>
            </w:r>
            <w:r w:rsidRPr="00140923">
              <w:rPr>
                <w:rFonts w:asciiTheme="majorBidi" w:hAnsiTheme="majorBidi" w:cstheme="majorBidi"/>
                <w:iCs/>
                <w:sz w:val="20"/>
                <w:lang w:val="es-ES_tradnl"/>
              </w:rPr>
              <w:t>/</w:t>
            </w:r>
            <w:r w:rsidRPr="00140923">
              <w:rPr>
                <w:rFonts w:asciiTheme="majorBidi" w:hAnsiTheme="majorBidi" w:cstheme="majorBidi"/>
                <w:i/>
                <w:sz w:val="20"/>
                <w:lang w:val="es-ES_tradnl"/>
              </w:rPr>
              <w:t>N</w:t>
            </w:r>
          </w:p>
        </w:tc>
      </w:tr>
      <w:tr w:rsidR="002B37E9" w:rsidRPr="00140923" w14:paraId="098D5D4E" w14:textId="77777777" w:rsidTr="0022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4627" w:type="dxa"/>
            <w:gridSpan w:val="13"/>
            <w:hideMark/>
          </w:tcPr>
          <w:p w14:paraId="3257F4D7" w14:textId="77777777" w:rsidR="002B37E9" w:rsidRPr="00140923" w:rsidRDefault="002B37E9" w:rsidP="00226764">
            <w:pPr>
              <w:pStyle w:val="TableLegendNote"/>
              <w:rPr>
                <w:sz w:val="20"/>
                <w:lang w:val="es-ES_tradnl"/>
              </w:rPr>
            </w:pPr>
            <w:r w:rsidRPr="00140923">
              <w:rPr>
                <w:sz w:val="20"/>
                <w:lang w:val="es-ES_tradnl"/>
              </w:rPr>
              <w:t>NOTA – El conjunto previsto de parámetros de dos sistemas de referencia para los estudios de compartición/compatibilidad actualmente no están disponibles, o lo están sólo parcialmente. A título provisional, se pueden utilizar los parámetros que figuran en el Anexo 3 para las mismas bandas.</w:t>
            </w:r>
          </w:p>
          <w:p w14:paraId="7358A8B8" w14:textId="77777777" w:rsidR="002B37E9" w:rsidRPr="00140923" w:rsidRDefault="002B37E9" w:rsidP="00226764">
            <w:pPr>
              <w:pStyle w:val="Tablelegend"/>
              <w:spacing w:before="40"/>
              <w:rPr>
                <w:sz w:val="20"/>
                <w:lang w:val="es-ES_tradnl"/>
              </w:rPr>
            </w:pPr>
            <w:r w:rsidRPr="00140923">
              <w:rPr>
                <w:sz w:val="20"/>
                <w:vertAlign w:val="superscript"/>
                <w:lang w:val="es-ES_tradnl"/>
              </w:rPr>
              <w:t>(1)</w:t>
            </w:r>
            <w:r w:rsidRPr="00140923">
              <w:rPr>
                <w:sz w:val="20"/>
                <w:lang w:val="es-ES_tradnl"/>
              </w:rPr>
              <w:tab/>
              <w:t xml:space="preserve">Para calcular los valores de las densidades del transmisor y de la p.i.r.e., es preciso determinar la separación entre canales y la anchura de banda. En estos Cuadros, la separación entre canales se indica en </w:t>
            </w:r>
            <w:r w:rsidRPr="00140923">
              <w:rPr>
                <w:b/>
                <w:bCs/>
                <w:sz w:val="20"/>
                <w:lang w:val="es-ES_tradnl"/>
              </w:rPr>
              <w:t>negritas</w:t>
            </w:r>
            <w:r w:rsidRPr="00140923">
              <w:rPr>
                <w:sz w:val="20"/>
                <w:lang w:val="es-ES_tradnl"/>
              </w:rPr>
              <w:t>. Cuando se da un valor modal (Moda), este se debe considerar como indicativo dentro de la gama especificada y puede que sea necesario realizar más análisis de sensibilidad según cada caso para evaluar el potencial de una interferencia dada en razón de las variaciones dentro de la gama especificada.</w:t>
            </w:r>
          </w:p>
          <w:p w14:paraId="2B4D7D6A" w14:textId="77777777" w:rsidR="002B37E9" w:rsidRPr="00140923" w:rsidRDefault="002B37E9" w:rsidP="00226764">
            <w:pPr>
              <w:pStyle w:val="Tablelegend"/>
              <w:spacing w:before="40"/>
              <w:rPr>
                <w:sz w:val="20"/>
                <w:lang w:val="es-ES_tradnl"/>
              </w:rPr>
            </w:pPr>
            <w:r w:rsidRPr="00140923">
              <w:rPr>
                <w:sz w:val="20"/>
                <w:vertAlign w:val="superscript"/>
                <w:lang w:val="es-ES_tradnl"/>
              </w:rPr>
              <w:t>(2)</w:t>
            </w:r>
            <w:r w:rsidRPr="00140923">
              <w:rPr>
                <w:sz w:val="20"/>
                <w:lang w:val="es-ES_tradnl"/>
              </w:rPr>
              <w:tab/>
              <w:t>La densidad de potencia de interferencia a largo plazo nominal se define como la «densidad de potencia de ruido del receptor + (I/N requerida)» según se describe en el § 4.13 en el Anexo 2 (véase asimismo el § 4.1 en el Anexo 1).</w:t>
            </w:r>
          </w:p>
          <w:p w14:paraId="56D11037" w14:textId="77777777" w:rsidR="002B37E9" w:rsidRPr="00140923" w:rsidRDefault="002B37E9" w:rsidP="00226764">
            <w:pPr>
              <w:pStyle w:val="Tablelegend"/>
              <w:spacing w:before="40"/>
              <w:rPr>
                <w:sz w:val="20"/>
                <w:lang w:val="es-ES_tradnl"/>
              </w:rPr>
            </w:pPr>
            <w:r w:rsidRPr="00140923">
              <w:rPr>
                <w:sz w:val="20"/>
                <w:vertAlign w:val="superscript"/>
                <w:lang w:val="es-ES_tradnl"/>
              </w:rPr>
              <w:t>(3)</w:t>
            </w:r>
            <w:r w:rsidRPr="00140923">
              <w:rPr>
                <w:sz w:val="20"/>
                <w:lang w:val="es-ES_tradnl"/>
              </w:rPr>
              <w:tab/>
              <w:t>Este valor de separación entre canales no se especifica en la Recomendación de referencia.</w:t>
            </w:r>
          </w:p>
          <w:p w14:paraId="2D67FD7A" w14:textId="77777777" w:rsidR="002B37E9" w:rsidRPr="00140923" w:rsidRDefault="002B37E9" w:rsidP="00226764">
            <w:pPr>
              <w:pStyle w:val="Tablelegend"/>
              <w:spacing w:before="40"/>
              <w:rPr>
                <w:sz w:val="20"/>
                <w:lang w:val="es-ES_tradnl"/>
              </w:rPr>
            </w:pPr>
            <w:r w:rsidRPr="00140923">
              <w:rPr>
                <w:sz w:val="20"/>
                <w:vertAlign w:val="superscript"/>
                <w:lang w:val="es-ES_tradnl"/>
              </w:rPr>
              <w:t>(4)</w:t>
            </w:r>
            <w:r w:rsidRPr="00140923">
              <w:rPr>
                <w:sz w:val="20"/>
                <w:lang w:val="es-ES_tradnl"/>
              </w:rPr>
              <w:tab/>
              <w:t>Anchura de banda del bloque de frecuencias.</w:t>
            </w:r>
          </w:p>
          <w:p w14:paraId="0973EF97" w14:textId="77777777" w:rsidR="002B37E9" w:rsidRPr="00140923" w:rsidRDefault="002B37E9" w:rsidP="00226764">
            <w:pPr>
              <w:pStyle w:val="Tablelegend"/>
              <w:spacing w:before="40"/>
              <w:rPr>
                <w:sz w:val="20"/>
                <w:lang w:val="es-ES_tradnl"/>
              </w:rPr>
            </w:pPr>
            <w:r w:rsidRPr="00140923">
              <w:rPr>
                <w:sz w:val="20"/>
                <w:vertAlign w:val="superscript"/>
                <w:lang w:val="es-ES_tradnl"/>
              </w:rPr>
              <w:t>(5)</w:t>
            </w:r>
            <w:r w:rsidRPr="00140923">
              <w:rPr>
                <w:sz w:val="20"/>
                <w:lang w:val="es-ES_tradnl"/>
              </w:rPr>
              <w:tab/>
              <w:t>Estos valores de densidad del receptor y de p.i.r.e. se calculan a partir de una separación entre canales (anchura de banda) de 30 MHz dentro de un bloque de frecuencias de 60 MHz.</w:t>
            </w:r>
          </w:p>
          <w:p w14:paraId="3FBB2529" w14:textId="77777777" w:rsidR="002B37E9" w:rsidRPr="00140923" w:rsidRDefault="002B37E9" w:rsidP="00226764">
            <w:pPr>
              <w:pStyle w:val="Tablelegend"/>
              <w:spacing w:before="40"/>
              <w:rPr>
                <w:sz w:val="20"/>
                <w:lang w:val="es-ES_tradnl"/>
              </w:rPr>
            </w:pPr>
            <w:r w:rsidRPr="00140923">
              <w:rPr>
                <w:sz w:val="20"/>
                <w:vertAlign w:val="superscript"/>
                <w:lang w:val="es-ES_tradnl"/>
              </w:rPr>
              <w:t>(6)</w:t>
            </w:r>
            <w:r w:rsidRPr="00140923">
              <w:rPr>
                <w:sz w:val="20"/>
                <w:lang w:val="es-ES_tradnl"/>
              </w:rPr>
              <w:tab/>
              <w:t>El formato de modulación generalmente se modifica de forma dinámica con arreglo a la degradación debida a la propagación.</w:t>
            </w:r>
          </w:p>
        </w:tc>
      </w:tr>
    </w:tbl>
    <w:p w14:paraId="0F4130C9" w14:textId="77777777" w:rsidR="002B37E9" w:rsidRPr="00140923" w:rsidRDefault="002B37E9" w:rsidP="002B37E9">
      <w:pPr>
        <w:tabs>
          <w:tab w:val="clear" w:pos="794"/>
          <w:tab w:val="clear" w:pos="1191"/>
          <w:tab w:val="clear" w:pos="1588"/>
          <w:tab w:val="clear" w:pos="1985"/>
        </w:tabs>
        <w:overflowPunct/>
        <w:autoSpaceDE/>
        <w:autoSpaceDN/>
        <w:adjustRightInd/>
        <w:spacing w:before="0"/>
        <w:jc w:val="left"/>
        <w:rPr>
          <w:b/>
          <w:sz w:val="28"/>
          <w:lang w:val="es-ES_tradnl"/>
        </w:rPr>
        <w:sectPr w:rsidR="002B37E9" w:rsidRPr="00140923" w:rsidSect="00480606">
          <w:headerReference w:type="even" r:id="rId119"/>
          <w:headerReference w:type="default" r:id="rId120"/>
          <w:pgSz w:w="16834" w:h="11907" w:orient="landscape"/>
          <w:pgMar w:top="1134" w:right="1418" w:bottom="1134" w:left="1134" w:header="720" w:footer="482" w:gutter="0"/>
          <w:cols w:space="720"/>
        </w:sectPr>
      </w:pPr>
    </w:p>
    <w:p w14:paraId="52F95261" w14:textId="77777777" w:rsidR="002B37E9" w:rsidRPr="00140923" w:rsidRDefault="002B37E9" w:rsidP="00480606">
      <w:pPr>
        <w:pStyle w:val="StyleAppendixNoTitleBefore0pt"/>
        <w:rPr>
          <w:lang w:val="es-ES_tradnl"/>
        </w:rPr>
      </w:pPr>
      <w:bookmarkStart w:id="58" w:name="_Toc39157097"/>
      <w:r w:rsidRPr="00140923">
        <w:rPr>
          <w:lang w:val="es-ES_tradnl"/>
        </w:rPr>
        <w:lastRenderedPageBreak/>
        <w:t>Adjunto 1</w:t>
      </w:r>
      <w:r w:rsidRPr="00140923">
        <w:rPr>
          <w:lang w:val="es-ES_tradnl"/>
        </w:rPr>
        <w:br/>
        <w:t>al Anexo 2</w:t>
      </w:r>
      <w:r w:rsidRPr="00140923">
        <w:rPr>
          <w:lang w:val="es-ES_tradnl"/>
        </w:rPr>
        <w:br/>
      </w:r>
      <w:r w:rsidRPr="00140923">
        <w:rPr>
          <w:lang w:val="es-ES_tradnl"/>
        </w:rPr>
        <w:br/>
        <w:t>Ejemplos de estudios de distribuciones estadísticas</w:t>
      </w:r>
      <w:bookmarkEnd w:id="58"/>
    </w:p>
    <w:p w14:paraId="41DA3864" w14:textId="77777777" w:rsidR="002B37E9" w:rsidRPr="00140923" w:rsidRDefault="002B37E9" w:rsidP="002B37E9">
      <w:pPr>
        <w:pStyle w:val="Normalaftertitle"/>
        <w:rPr>
          <w:lang w:val="es-ES_tradnl"/>
        </w:rPr>
      </w:pPr>
      <w:r w:rsidRPr="00140923">
        <w:rPr>
          <w:lang w:val="es-ES_tradnl"/>
        </w:rPr>
        <w:t>Los ejemplos que siguen a continuación provienen del análisis de algunas redes punto a punto en las redes de infraestructura móvil con funciones estadísticas vinculadas a las estadísticas de las estaciones de base móviles en el territorio de una administración. La descripción de dichas redes es la siguiente:</w:t>
      </w:r>
    </w:p>
    <w:p w14:paraId="6BB23668" w14:textId="77777777" w:rsidR="002B37E9" w:rsidRPr="00140923" w:rsidRDefault="002B37E9" w:rsidP="002B37E9">
      <w:pPr>
        <w:pStyle w:val="enumlev1"/>
        <w:rPr>
          <w:lang w:val="es-ES_tradnl"/>
        </w:rPr>
      </w:pPr>
      <w:r w:rsidRPr="00140923">
        <w:rPr>
          <w:lang w:val="es-ES_tradnl"/>
        </w:rPr>
        <w:t>–</w:t>
      </w:r>
      <w:r w:rsidRPr="00140923">
        <w:rPr>
          <w:lang w:val="es-ES_tradnl"/>
        </w:rPr>
        <w:tab/>
        <w:t>1 335 enlaces con longitud de trayecto de 16-0,4 km en la banda de 11 GHz;</w:t>
      </w:r>
    </w:p>
    <w:p w14:paraId="2EDE2B12" w14:textId="77777777" w:rsidR="002B37E9" w:rsidRPr="00140923" w:rsidRDefault="002B37E9" w:rsidP="002B37E9">
      <w:pPr>
        <w:pStyle w:val="enumlev1"/>
        <w:rPr>
          <w:lang w:val="es-ES_tradnl"/>
        </w:rPr>
      </w:pPr>
      <w:r w:rsidRPr="00140923">
        <w:rPr>
          <w:lang w:val="es-ES_tradnl"/>
        </w:rPr>
        <w:t>–</w:t>
      </w:r>
      <w:r w:rsidRPr="00140923">
        <w:rPr>
          <w:lang w:val="es-ES_tradnl"/>
        </w:rPr>
        <w:tab/>
        <w:t>1 285 enlaces con longitud de trayecto de 8,7-0,1 km en la banda de 15 GHz;</w:t>
      </w:r>
    </w:p>
    <w:p w14:paraId="1C270B9C" w14:textId="77777777" w:rsidR="002B37E9" w:rsidRPr="00140923" w:rsidRDefault="002B37E9" w:rsidP="002B37E9">
      <w:pPr>
        <w:pStyle w:val="enumlev1"/>
        <w:rPr>
          <w:lang w:val="es-ES_tradnl"/>
        </w:rPr>
      </w:pPr>
      <w:r w:rsidRPr="00140923">
        <w:rPr>
          <w:lang w:val="es-ES_tradnl"/>
        </w:rPr>
        <w:t>–</w:t>
      </w:r>
      <w:r w:rsidRPr="00140923">
        <w:rPr>
          <w:lang w:val="es-ES_tradnl"/>
        </w:rPr>
        <w:tab/>
        <w:t>1 058 enlaces con longitud de trayecto de 5,1-0,1 km en la banda de 18 GHz.</w:t>
      </w:r>
    </w:p>
    <w:p w14:paraId="20F530BF" w14:textId="47FE0F64" w:rsidR="002B37E9" w:rsidRPr="00140923" w:rsidRDefault="002B37E9" w:rsidP="002B37E9">
      <w:pPr>
        <w:rPr>
          <w:lang w:val="es-ES_tradnl"/>
        </w:rPr>
      </w:pPr>
      <w:r w:rsidRPr="00140923">
        <w:rPr>
          <w:lang w:val="es-ES_tradnl"/>
        </w:rPr>
        <w:t>En el Cuadro 16 se presentan las correspondientes distribuciones estadísticas de la p.i.r.e.</w:t>
      </w:r>
    </w:p>
    <w:p w14:paraId="795BD764" w14:textId="336AEDC3" w:rsidR="002B37E9" w:rsidRPr="00140923" w:rsidRDefault="002B37E9" w:rsidP="002B37E9">
      <w:pPr>
        <w:pStyle w:val="TableNo"/>
        <w:rPr>
          <w:lang w:val="es-ES_tradnl" w:eastAsia="ja-JP"/>
        </w:rPr>
      </w:pPr>
      <w:r w:rsidRPr="00140923">
        <w:rPr>
          <w:lang w:val="es-ES_tradnl"/>
        </w:rPr>
        <w:t>CUADRO</w:t>
      </w:r>
      <w:r w:rsidRPr="00140923">
        <w:rPr>
          <w:lang w:val="es-ES_tradnl" w:eastAsia="ja-JP"/>
        </w:rPr>
        <w:t xml:space="preserve"> 16</w:t>
      </w:r>
    </w:p>
    <w:p w14:paraId="53630685" w14:textId="77777777" w:rsidR="002B37E9" w:rsidRPr="00140923" w:rsidRDefault="002B37E9" w:rsidP="002B37E9">
      <w:pPr>
        <w:pStyle w:val="Tabletitle"/>
        <w:rPr>
          <w:lang w:val="es-ES_tradnl" w:eastAsia="ja-JP"/>
        </w:rPr>
      </w:pPr>
      <w:r w:rsidRPr="00140923">
        <w:rPr>
          <w:lang w:val="es-ES_tradnl" w:eastAsia="ja-JP"/>
        </w:rPr>
        <w:t xml:space="preserve">Diferencia entre los valores máximos teóricos y la dispersión </w:t>
      </w:r>
      <w:r w:rsidRPr="00140923">
        <w:rPr>
          <w:lang w:val="es-ES_tradnl" w:eastAsia="ja-JP"/>
        </w:rPr>
        <w:br/>
        <w:t>estadística de los datos reales de p.i.r.e.; los tres sistemas</w:t>
      </w:r>
      <w:r w:rsidRPr="00140923">
        <w:rPr>
          <w:lang w:val="es-ES_tradnl" w:eastAsia="ja-JP"/>
        </w:rPr>
        <w:br/>
        <w:t xml:space="preserve">del ejemplo son para la misma administración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5"/>
        <w:gridCol w:w="1928"/>
        <w:gridCol w:w="1928"/>
        <w:gridCol w:w="1928"/>
      </w:tblGrid>
      <w:tr w:rsidR="002B37E9" w:rsidRPr="00140923" w14:paraId="29234A27" w14:textId="77777777" w:rsidTr="00226764">
        <w:trPr>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18FE0B70" w14:textId="77777777" w:rsidR="002B37E9" w:rsidRPr="00140923" w:rsidRDefault="002B37E9" w:rsidP="00226764">
            <w:pPr>
              <w:pStyle w:val="Tablehead"/>
              <w:rPr>
                <w:lang w:val="es-ES_tradnl"/>
              </w:rPr>
            </w:pPr>
            <w:r w:rsidRPr="00140923">
              <w:rPr>
                <w:lang w:val="es-ES_tradnl"/>
              </w:rPr>
              <w:t>Banda de frecuencias</w:t>
            </w:r>
            <w:r w:rsidRPr="00140923">
              <w:rPr>
                <w:lang w:val="es-ES_tradnl"/>
              </w:rPr>
              <w:br/>
              <w:t>(GHz)</w:t>
            </w:r>
          </w:p>
        </w:tc>
        <w:tc>
          <w:tcPr>
            <w:tcW w:w="1928" w:type="dxa"/>
            <w:tcBorders>
              <w:top w:val="single" w:sz="4" w:space="0" w:color="auto"/>
              <w:left w:val="single" w:sz="4" w:space="0" w:color="auto"/>
              <w:bottom w:val="single" w:sz="4" w:space="0" w:color="auto"/>
              <w:right w:val="single" w:sz="4" w:space="0" w:color="auto"/>
            </w:tcBorders>
            <w:vAlign w:val="center"/>
            <w:hideMark/>
          </w:tcPr>
          <w:p w14:paraId="65098979" w14:textId="77777777" w:rsidR="002B37E9" w:rsidRPr="00140923" w:rsidRDefault="002B37E9" w:rsidP="00226764">
            <w:pPr>
              <w:pStyle w:val="Tablehead"/>
              <w:rPr>
                <w:lang w:val="es-ES_tradnl"/>
              </w:rPr>
            </w:pPr>
            <w:r w:rsidRPr="00140923">
              <w:rPr>
                <w:lang w:val="es-ES_tradnl"/>
              </w:rPr>
              <w:t>10,715-10,955</w:t>
            </w:r>
            <w:r w:rsidRPr="00140923">
              <w:rPr>
                <w:lang w:val="es-ES_tradnl"/>
              </w:rPr>
              <w:br/>
              <w:t>11,245-11,485</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9EBD33B" w14:textId="77777777" w:rsidR="002B37E9" w:rsidRPr="00140923" w:rsidRDefault="002B37E9" w:rsidP="00226764">
            <w:pPr>
              <w:pStyle w:val="Tablehead"/>
              <w:rPr>
                <w:lang w:val="es-ES_tradnl"/>
              </w:rPr>
            </w:pPr>
            <w:r w:rsidRPr="00140923">
              <w:rPr>
                <w:lang w:val="es-ES_tradnl"/>
              </w:rPr>
              <w:t>14,5-14,660</w:t>
            </w:r>
            <w:r w:rsidRPr="00140923">
              <w:rPr>
                <w:lang w:val="es-ES_tradnl"/>
              </w:rPr>
              <w:br/>
              <w:t>14,970-15,130</w:t>
            </w:r>
          </w:p>
        </w:tc>
        <w:tc>
          <w:tcPr>
            <w:tcW w:w="1928" w:type="dxa"/>
            <w:tcBorders>
              <w:top w:val="single" w:sz="4" w:space="0" w:color="auto"/>
              <w:left w:val="single" w:sz="4" w:space="0" w:color="auto"/>
              <w:bottom w:val="single" w:sz="4" w:space="0" w:color="auto"/>
              <w:right w:val="single" w:sz="4" w:space="0" w:color="auto"/>
            </w:tcBorders>
            <w:hideMark/>
          </w:tcPr>
          <w:p w14:paraId="271343F8" w14:textId="77777777" w:rsidR="002B37E9" w:rsidRPr="00140923" w:rsidRDefault="002B37E9" w:rsidP="00226764">
            <w:pPr>
              <w:pStyle w:val="Tablehead"/>
              <w:rPr>
                <w:lang w:val="es-ES_tradnl"/>
              </w:rPr>
            </w:pPr>
            <w:r w:rsidRPr="00140923">
              <w:rPr>
                <w:lang w:val="es-ES_tradnl"/>
              </w:rPr>
              <w:t>17,850-17,970</w:t>
            </w:r>
            <w:r w:rsidRPr="00140923">
              <w:rPr>
                <w:lang w:val="es-ES_tradnl"/>
              </w:rPr>
              <w:br/>
              <w:t>18,600-18,720</w:t>
            </w:r>
          </w:p>
        </w:tc>
      </w:tr>
      <w:tr w:rsidR="002B37E9" w:rsidRPr="00140923" w14:paraId="0DD61D3A" w14:textId="77777777" w:rsidTr="00226764">
        <w:trPr>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49E07177" w14:textId="77777777" w:rsidR="002B37E9" w:rsidRPr="00140923" w:rsidRDefault="002B37E9" w:rsidP="00226764">
            <w:pPr>
              <w:pStyle w:val="Tabletext"/>
              <w:rPr>
                <w:lang w:val="es-ES_tradnl"/>
              </w:rPr>
            </w:pPr>
            <w:r w:rsidRPr="00140923">
              <w:rPr>
                <w:lang w:val="es-ES_tradnl" w:eastAsia="ja-JP"/>
              </w:rPr>
              <w:t>Máximo teórico</w:t>
            </w:r>
            <w:r w:rsidRPr="00140923">
              <w:rPr>
                <w:vertAlign w:val="superscript"/>
                <w:lang w:val="es-ES_tradnl"/>
              </w:rPr>
              <w:t>(1)</w:t>
            </w:r>
          </w:p>
        </w:tc>
        <w:tc>
          <w:tcPr>
            <w:tcW w:w="1928" w:type="dxa"/>
            <w:tcBorders>
              <w:top w:val="single" w:sz="4" w:space="0" w:color="auto"/>
              <w:left w:val="single" w:sz="4" w:space="0" w:color="auto"/>
              <w:bottom w:val="single" w:sz="4" w:space="0" w:color="auto"/>
              <w:right w:val="single" w:sz="4" w:space="0" w:color="auto"/>
            </w:tcBorders>
            <w:hideMark/>
          </w:tcPr>
          <w:p w14:paraId="426DBE05" w14:textId="77777777" w:rsidR="002B37E9" w:rsidRPr="00140923" w:rsidRDefault="002B37E9" w:rsidP="00226764">
            <w:pPr>
              <w:pStyle w:val="Tabletext"/>
              <w:jc w:val="center"/>
              <w:rPr>
                <w:rFonts w:eastAsia="MS PGothic"/>
                <w:lang w:val="es-ES_tradnl"/>
              </w:rPr>
            </w:pPr>
            <w:r w:rsidRPr="00140923">
              <w:rPr>
                <w:lang w:val="es-ES_tradnl"/>
              </w:rPr>
              <w:t>40,3</w:t>
            </w:r>
          </w:p>
        </w:tc>
        <w:tc>
          <w:tcPr>
            <w:tcW w:w="1928" w:type="dxa"/>
            <w:tcBorders>
              <w:top w:val="single" w:sz="4" w:space="0" w:color="auto"/>
              <w:left w:val="single" w:sz="4" w:space="0" w:color="auto"/>
              <w:bottom w:val="single" w:sz="4" w:space="0" w:color="auto"/>
              <w:right w:val="single" w:sz="4" w:space="0" w:color="auto"/>
            </w:tcBorders>
            <w:hideMark/>
          </w:tcPr>
          <w:p w14:paraId="071F8CDA" w14:textId="77777777" w:rsidR="002B37E9" w:rsidRPr="00140923" w:rsidRDefault="002B37E9" w:rsidP="00226764">
            <w:pPr>
              <w:pStyle w:val="Tabletext"/>
              <w:jc w:val="center"/>
              <w:rPr>
                <w:rFonts w:eastAsia="MS PGothic"/>
                <w:lang w:val="es-ES_tradnl"/>
              </w:rPr>
            </w:pPr>
            <w:r w:rsidRPr="00140923">
              <w:rPr>
                <w:lang w:val="es-ES_tradnl"/>
              </w:rPr>
              <w:t>38,1</w:t>
            </w:r>
          </w:p>
        </w:tc>
        <w:tc>
          <w:tcPr>
            <w:tcW w:w="1928" w:type="dxa"/>
            <w:tcBorders>
              <w:top w:val="single" w:sz="4" w:space="0" w:color="auto"/>
              <w:left w:val="single" w:sz="4" w:space="0" w:color="auto"/>
              <w:bottom w:val="single" w:sz="4" w:space="0" w:color="auto"/>
              <w:right w:val="single" w:sz="4" w:space="0" w:color="auto"/>
            </w:tcBorders>
            <w:hideMark/>
          </w:tcPr>
          <w:p w14:paraId="606B422A" w14:textId="77777777" w:rsidR="002B37E9" w:rsidRPr="00140923" w:rsidRDefault="002B37E9" w:rsidP="00226764">
            <w:pPr>
              <w:pStyle w:val="Tabletext"/>
              <w:jc w:val="center"/>
              <w:rPr>
                <w:rFonts w:eastAsia="MS PGothic"/>
                <w:lang w:val="es-ES_tradnl"/>
              </w:rPr>
            </w:pPr>
            <w:r w:rsidRPr="00140923">
              <w:rPr>
                <w:lang w:val="es-ES_tradnl"/>
              </w:rPr>
              <w:t>35</w:t>
            </w:r>
          </w:p>
        </w:tc>
      </w:tr>
      <w:tr w:rsidR="002B37E9" w:rsidRPr="00140923" w14:paraId="556E927D" w14:textId="77777777" w:rsidTr="00226764">
        <w:trPr>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6A2BF6FC" w14:textId="77777777" w:rsidR="002B37E9" w:rsidRPr="00140923" w:rsidRDefault="002B37E9" w:rsidP="00226764">
            <w:pPr>
              <w:pStyle w:val="Tabletext"/>
              <w:rPr>
                <w:lang w:val="es-ES_tradnl" w:eastAsia="ja-JP"/>
              </w:rPr>
            </w:pPr>
            <w:r w:rsidRPr="00140923">
              <w:rPr>
                <w:lang w:val="es-ES_tradnl" w:eastAsia="ja-JP"/>
              </w:rPr>
              <w:t>Máximo de los datos reales</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3AF153D" w14:textId="77777777" w:rsidR="002B37E9" w:rsidRPr="00140923" w:rsidRDefault="002B37E9" w:rsidP="00226764">
            <w:pPr>
              <w:pStyle w:val="Tabletext"/>
              <w:jc w:val="center"/>
              <w:rPr>
                <w:rFonts w:eastAsia="MS PGothic"/>
                <w:lang w:val="es-ES_tradnl"/>
              </w:rPr>
            </w:pPr>
            <w:r w:rsidRPr="00140923">
              <w:rPr>
                <w:lang w:val="es-ES_tradnl"/>
              </w:rPr>
              <w:t>38,8</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ECE8A05" w14:textId="77777777" w:rsidR="002B37E9" w:rsidRPr="00140923" w:rsidRDefault="002B37E9" w:rsidP="00226764">
            <w:pPr>
              <w:pStyle w:val="Tabletext"/>
              <w:jc w:val="center"/>
              <w:rPr>
                <w:rFonts w:eastAsia="MS PGothic"/>
                <w:lang w:val="es-ES_tradnl"/>
              </w:rPr>
            </w:pPr>
            <w:r w:rsidRPr="00140923">
              <w:rPr>
                <w:lang w:val="es-ES_tradnl"/>
              </w:rPr>
              <w:t>35,4</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491B8E2" w14:textId="77777777" w:rsidR="002B37E9" w:rsidRPr="00140923" w:rsidRDefault="002B37E9" w:rsidP="00226764">
            <w:pPr>
              <w:pStyle w:val="Tabletext"/>
              <w:jc w:val="center"/>
              <w:rPr>
                <w:rFonts w:eastAsia="MS PGothic"/>
                <w:lang w:val="es-ES_tradnl"/>
              </w:rPr>
            </w:pPr>
            <w:r w:rsidRPr="00140923">
              <w:rPr>
                <w:lang w:val="es-ES_tradnl"/>
              </w:rPr>
              <w:t>33</w:t>
            </w:r>
          </w:p>
        </w:tc>
      </w:tr>
      <w:tr w:rsidR="002B37E9" w:rsidRPr="00140923" w14:paraId="4ACF15F0" w14:textId="77777777" w:rsidTr="00226764">
        <w:trPr>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0DF69DD4" w14:textId="77777777" w:rsidR="002B37E9" w:rsidRPr="00140923" w:rsidRDefault="002B37E9" w:rsidP="00226764">
            <w:pPr>
              <w:pStyle w:val="Tabletext"/>
              <w:rPr>
                <w:lang w:val="es-ES_tradnl" w:eastAsia="ja-JP"/>
              </w:rPr>
            </w:pPr>
            <w:r w:rsidRPr="00140923">
              <w:rPr>
                <w:lang w:val="es-ES_tradnl" w:eastAsia="ja-JP"/>
              </w:rPr>
              <w:t>Media de los datos reales (</w:t>
            </w:r>
            <w:r w:rsidRPr="00140923">
              <w:rPr>
                <w:lang w:val="es-ES_tradnl"/>
              </w:rPr>
              <w:sym w:font="Symbol" w:char="F06D"/>
            </w:r>
            <w:r w:rsidRPr="00140923">
              <w:rPr>
                <w:lang w:val="es-ES_tradnl"/>
              </w:rPr>
              <w:t>)</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9118E61" w14:textId="77777777" w:rsidR="002B37E9" w:rsidRPr="00140923" w:rsidRDefault="002B37E9" w:rsidP="00226764">
            <w:pPr>
              <w:pStyle w:val="Tabletext"/>
              <w:jc w:val="center"/>
              <w:rPr>
                <w:rFonts w:eastAsia="MS PGothic"/>
                <w:lang w:val="es-ES_tradnl"/>
              </w:rPr>
            </w:pPr>
            <w:r w:rsidRPr="00140923">
              <w:rPr>
                <w:lang w:val="es-ES_tradnl"/>
              </w:rPr>
              <w:t>31,7</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18FFA34" w14:textId="77777777" w:rsidR="002B37E9" w:rsidRPr="00140923" w:rsidRDefault="002B37E9" w:rsidP="00226764">
            <w:pPr>
              <w:pStyle w:val="Tabletext"/>
              <w:jc w:val="center"/>
              <w:rPr>
                <w:rFonts w:eastAsia="MS PGothic"/>
                <w:lang w:val="es-ES_tradnl"/>
              </w:rPr>
            </w:pPr>
            <w:r w:rsidRPr="00140923">
              <w:rPr>
                <w:lang w:val="es-ES_tradnl"/>
              </w:rPr>
              <w:t>28,4</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B7E63FF" w14:textId="77777777" w:rsidR="002B37E9" w:rsidRPr="00140923" w:rsidRDefault="002B37E9" w:rsidP="00226764">
            <w:pPr>
              <w:pStyle w:val="Tabletext"/>
              <w:jc w:val="center"/>
              <w:rPr>
                <w:rFonts w:eastAsia="MS PGothic"/>
                <w:lang w:val="es-ES_tradnl"/>
              </w:rPr>
            </w:pPr>
            <w:r w:rsidRPr="00140923">
              <w:rPr>
                <w:lang w:val="es-ES_tradnl"/>
              </w:rPr>
              <w:t>22,8</w:t>
            </w:r>
          </w:p>
        </w:tc>
      </w:tr>
      <w:tr w:rsidR="002B37E9" w:rsidRPr="00140923" w14:paraId="4C87E9E4" w14:textId="77777777" w:rsidTr="00226764">
        <w:trPr>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05896C09" w14:textId="77777777" w:rsidR="002B37E9" w:rsidRPr="00140923" w:rsidRDefault="002B37E9" w:rsidP="00226764">
            <w:pPr>
              <w:pStyle w:val="Tabletext"/>
              <w:rPr>
                <w:lang w:val="es-ES_tradnl" w:eastAsia="ja-JP"/>
              </w:rPr>
            </w:pPr>
            <w:r w:rsidRPr="00140923">
              <w:rPr>
                <w:lang w:val="es-ES_tradnl" w:eastAsia="ja-JP"/>
              </w:rPr>
              <w:t>Desviación típica de los datos reales (</w:t>
            </w:r>
            <w:r w:rsidRPr="00140923">
              <w:rPr>
                <w:lang w:val="es-ES_tradnl" w:eastAsia="ja-JP"/>
              </w:rPr>
              <w:sym w:font="Symbol" w:char="F073"/>
            </w:r>
            <w:r w:rsidRPr="00140923">
              <w:rPr>
                <w:lang w:val="es-ES_tradnl" w:eastAsia="ja-JP"/>
              </w:rPr>
              <w:t>)</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4025291" w14:textId="77777777" w:rsidR="002B37E9" w:rsidRPr="00140923" w:rsidRDefault="002B37E9" w:rsidP="00226764">
            <w:pPr>
              <w:pStyle w:val="Tabletext"/>
              <w:jc w:val="center"/>
              <w:rPr>
                <w:rFonts w:eastAsia="MS PGothic"/>
                <w:lang w:val="es-ES_tradnl"/>
              </w:rPr>
            </w:pPr>
            <w:r w:rsidRPr="00140923">
              <w:rPr>
                <w:lang w:val="es-ES_tradnl"/>
              </w:rPr>
              <w:t>3,2</w:t>
            </w:r>
          </w:p>
        </w:tc>
        <w:tc>
          <w:tcPr>
            <w:tcW w:w="1928" w:type="dxa"/>
            <w:tcBorders>
              <w:top w:val="single" w:sz="4" w:space="0" w:color="auto"/>
              <w:left w:val="single" w:sz="4" w:space="0" w:color="auto"/>
              <w:bottom w:val="single" w:sz="4" w:space="0" w:color="auto"/>
              <w:right w:val="single" w:sz="4" w:space="0" w:color="auto"/>
            </w:tcBorders>
            <w:vAlign w:val="center"/>
            <w:hideMark/>
          </w:tcPr>
          <w:p w14:paraId="6826281D" w14:textId="77777777" w:rsidR="002B37E9" w:rsidRPr="00140923" w:rsidRDefault="002B37E9" w:rsidP="00226764">
            <w:pPr>
              <w:pStyle w:val="Tabletext"/>
              <w:jc w:val="center"/>
              <w:rPr>
                <w:rFonts w:eastAsia="MS PGothic"/>
                <w:lang w:val="es-ES_tradnl"/>
              </w:rPr>
            </w:pPr>
            <w:r w:rsidRPr="00140923">
              <w:rPr>
                <w:lang w:val="es-ES_tradnl"/>
              </w:rPr>
              <w:t>3,2</w:t>
            </w:r>
          </w:p>
        </w:tc>
        <w:tc>
          <w:tcPr>
            <w:tcW w:w="1928" w:type="dxa"/>
            <w:tcBorders>
              <w:top w:val="single" w:sz="4" w:space="0" w:color="auto"/>
              <w:left w:val="single" w:sz="4" w:space="0" w:color="auto"/>
              <w:bottom w:val="single" w:sz="4" w:space="0" w:color="auto"/>
              <w:right w:val="single" w:sz="4" w:space="0" w:color="auto"/>
            </w:tcBorders>
            <w:vAlign w:val="center"/>
            <w:hideMark/>
          </w:tcPr>
          <w:p w14:paraId="1ADDDD85" w14:textId="77777777" w:rsidR="002B37E9" w:rsidRPr="00140923" w:rsidRDefault="002B37E9" w:rsidP="00226764">
            <w:pPr>
              <w:pStyle w:val="Tabletext"/>
              <w:jc w:val="center"/>
              <w:rPr>
                <w:rFonts w:eastAsia="MS PGothic"/>
                <w:lang w:val="es-ES_tradnl"/>
              </w:rPr>
            </w:pPr>
            <w:r w:rsidRPr="00140923">
              <w:rPr>
                <w:lang w:val="es-ES_tradnl"/>
              </w:rPr>
              <w:t>4,3</w:t>
            </w:r>
          </w:p>
        </w:tc>
      </w:tr>
      <w:tr w:rsidR="002B37E9" w:rsidRPr="00140923" w14:paraId="43CC4410" w14:textId="77777777" w:rsidTr="00226764">
        <w:trPr>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1524C0F9" w14:textId="77777777" w:rsidR="002B37E9" w:rsidRPr="00140923" w:rsidRDefault="002B37E9" w:rsidP="00226764">
            <w:pPr>
              <w:pStyle w:val="Tabletext"/>
              <w:jc w:val="left"/>
              <w:rPr>
                <w:lang w:val="es-ES_tradnl" w:eastAsia="ja-JP"/>
              </w:rPr>
            </w:pPr>
            <w:r w:rsidRPr="00140923">
              <w:rPr>
                <w:lang w:val="es-ES_tradnl" w:eastAsia="ja-JP"/>
              </w:rPr>
              <w:t>Diferencia entre el máximo teórico y el máximo de los datos reales</w:t>
            </w:r>
          </w:p>
        </w:tc>
        <w:tc>
          <w:tcPr>
            <w:tcW w:w="1928" w:type="dxa"/>
            <w:tcBorders>
              <w:top w:val="single" w:sz="4" w:space="0" w:color="auto"/>
              <w:left w:val="single" w:sz="4" w:space="0" w:color="auto"/>
              <w:bottom w:val="single" w:sz="4" w:space="0" w:color="auto"/>
              <w:right w:val="single" w:sz="4" w:space="0" w:color="auto"/>
            </w:tcBorders>
            <w:hideMark/>
          </w:tcPr>
          <w:p w14:paraId="3E0BCE93" w14:textId="77777777" w:rsidR="002B37E9" w:rsidRPr="00140923" w:rsidRDefault="002B37E9" w:rsidP="00226764">
            <w:pPr>
              <w:pStyle w:val="Tabletext"/>
              <w:jc w:val="center"/>
              <w:rPr>
                <w:rFonts w:eastAsia="MS PGothic"/>
                <w:lang w:val="es-ES_tradnl"/>
              </w:rPr>
            </w:pPr>
            <w:r w:rsidRPr="00140923">
              <w:rPr>
                <w:lang w:val="es-ES_tradnl"/>
              </w:rPr>
              <w:t>1,5</w:t>
            </w:r>
          </w:p>
        </w:tc>
        <w:tc>
          <w:tcPr>
            <w:tcW w:w="1928" w:type="dxa"/>
            <w:tcBorders>
              <w:top w:val="single" w:sz="4" w:space="0" w:color="auto"/>
              <w:left w:val="single" w:sz="4" w:space="0" w:color="auto"/>
              <w:bottom w:val="single" w:sz="4" w:space="0" w:color="auto"/>
              <w:right w:val="single" w:sz="4" w:space="0" w:color="auto"/>
            </w:tcBorders>
            <w:hideMark/>
          </w:tcPr>
          <w:p w14:paraId="6600A721" w14:textId="77777777" w:rsidR="002B37E9" w:rsidRPr="00140923" w:rsidRDefault="002B37E9" w:rsidP="00226764">
            <w:pPr>
              <w:pStyle w:val="Tabletext"/>
              <w:jc w:val="center"/>
              <w:rPr>
                <w:rFonts w:eastAsia="MS PGothic"/>
                <w:lang w:val="es-ES_tradnl"/>
              </w:rPr>
            </w:pPr>
            <w:r w:rsidRPr="00140923">
              <w:rPr>
                <w:lang w:val="es-ES_tradnl"/>
              </w:rPr>
              <w:t>2,7</w:t>
            </w:r>
          </w:p>
        </w:tc>
        <w:tc>
          <w:tcPr>
            <w:tcW w:w="1928" w:type="dxa"/>
            <w:tcBorders>
              <w:top w:val="single" w:sz="4" w:space="0" w:color="auto"/>
              <w:left w:val="single" w:sz="4" w:space="0" w:color="auto"/>
              <w:bottom w:val="single" w:sz="4" w:space="0" w:color="auto"/>
              <w:right w:val="single" w:sz="4" w:space="0" w:color="auto"/>
            </w:tcBorders>
            <w:hideMark/>
          </w:tcPr>
          <w:p w14:paraId="42189300" w14:textId="77777777" w:rsidR="002B37E9" w:rsidRPr="00140923" w:rsidRDefault="002B37E9" w:rsidP="00226764">
            <w:pPr>
              <w:pStyle w:val="Tabletext"/>
              <w:jc w:val="center"/>
              <w:rPr>
                <w:rFonts w:eastAsia="MS PGothic"/>
                <w:lang w:val="es-ES_tradnl"/>
              </w:rPr>
            </w:pPr>
            <w:r w:rsidRPr="00140923">
              <w:rPr>
                <w:lang w:val="es-ES_tradnl"/>
              </w:rPr>
              <w:t>2</w:t>
            </w:r>
          </w:p>
        </w:tc>
      </w:tr>
      <w:tr w:rsidR="002B37E9" w:rsidRPr="00140923" w14:paraId="7363FCE4" w14:textId="77777777" w:rsidTr="00226764">
        <w:trPr>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0E5BE438" w14:textId="77777777" w:rsidR="002B37E9" w:rsidRPr="00140923" w:rsidRDefault="002B37E9" w:rsidP="00226764">
            <w:pPr>
              <w:pStyle w:val="Tabletext"/>
              <w:rPr>
                <w:rFonts w:ascii="Symbol" w:eastAsia="MS PGothic" w:hAnsi="Symbol" w:hint="eastAsia"/>
                <w:lang w:val="es-ES_tradnl"/>
              </w:rPr>
            </w:pPr>
            <w:r w:rsidRPr="00140923">
              <w:rPr>
                <w:lang w:val="es-ES_tradnl"/>
              </w:rPr>
              <w:sym w:font="Symbol" w:char="F06D"/>
            </w:r>
            <w:r w:rsidRPr="00140923">
              <w:rPr>
                <w:lang w:val="es-ES_tradnl"/>
              </w:rPr>
              <w:t xml:space="preserve"> + 2</w:t>
            </w:r>
            <w:r w:rsidRPr="00140923">
              <w:rPr>
                <w:lang w:val="es-ES_tradnl" w:eastAsia="ja-JP"/>
              </w:rPr>
              <w:sym w:font="Symbol" w:char="F073"/>
            </w:r>
          </w:p>
        </w:tc>
        <w:tc>
          <w:tcPr>
            <w:tcW w:w="1928" w:type="dxa"/>
            <w:tcBorders>
              <w:top w:val="single" w:sz="4" w:space="0" w:color="auto"/>
              <w:left w:val="single" w:sz="4" w:space="0" w:color="auto"/>
              <w:bottom w:val="single" w:sz="4" w:space="0" w:color="auto"/>
              <w:right w:val="single" w:sz="4" w:space="0" w:color="auto"/>
            </w:tcBorders>
            <w:vAlign w:val="center"/>
            <w:hideMark/>
          </w:tcPr>
          <w:p w14:paraId="764EF9FA" w14:textId="77777777" w:rsidR="002B37E9" w:rsidRPr="00140923" w:rsidRDefault="002B37E9" w:rsidP="00226764">
            <w:pPr>
              <w:pStyle w:val="Tabletext"/>
              <w:jc w:val="center"/>
              <w:rPr>
                <w:rFonts w:eastAsia="MS PGothic"/>
                <w:lang w:val="es-ES_tradnl"/>
              </w:rPr>
            </w:pPr>
            <w:r w:rsidRPr="00140923">
              <w:rPr>
                <w:lang w:val="es-ES_tradnl"/>
              </w:rPr>
              <w:t>38,1</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ED8F085" w14:textId="77777777" w:rsidR="002B37E9" w:rsidRPr="00140923" w:rsidRDefault="002B37E9" w:rsidP="00226764">
            <w:pPr>
              <w:pStyle w:val="Tabletext"/>
              <w:jc w:val="center"/>
              <w:rPr>
                <w:rFonts w:eastAsia="MS PGothic"/>
                <w:lang w:val="es-ES_tradnl"/>
              </w:rPr>
            </w:pPr>
            <w:r w:rsidRPr="00140923">
              <w:rPr>
                <w:lang w:val="es-ES_tradnl"/>
              </w:rPr>
              <w:t>34,8</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38FEC2A" w14:textId="77777777" w:rsidR="002B37E9" w:rsidRPr="00140923" w:rsidRDefault="002B37E9" w:rsidP="00226764">
            <w:pPr>
              <w:pStyle w:val="Tabletext"/>
              <w:jc w:val="center"/>
              <w:rPr>
                <w:rFonts w:eastAsia="MS PGothic"/>
                <w:lang w:val="es-ES_tradnl"/>
              </w:rPr>
            </w:pPr>
            <w:r w:rsidRPr="00140923">
              <w:rPr>
                <w:lang w:val="es-ES_tradnl"/>
              </w:rPr>
              <w:t>31,4</w:t>
            </w:r>
          </w:p>
        </w:tc>
      </w:tr>
      <w:tr w:rsidR="002B37E9" w:rsidRPr="00140923" w14:paraId="5EE66A32" w14:textId="77777777" w:rsidTr="00226764">
        <w:trPr>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5DE9BDEC" w14:textId="77777777" w:rsidR="002B37E9" w:rsidRPr="00140923" w:rsidRDefault="002B37E9" w:rsidP="00226764">
            <w:pPr>
              <w:pStyle w:val="Tabletext"/>
              <w:rPr>
                <w:rFonts w:eastAsia="MS PGothic"/>
                <w:lang w:val="es-ES_tradnl"/>
              </w:rPr>
            </w:pPr>
            <w:r w:rsidRPr="00140923">
              <w:rPr>
                <w:lang w:val="es-ES_tradnl"/>
              </w:rPr>
              <w:t>Máximo teórico (</w:t>
            </w:r>
            <w:r w:rsidRPr="00140923">
              <w:rPr>
                <w:lang w:val="es-ES_tradnl"/>
              </w:rPr>
              <w:sym w:font="Symbol" w:char="F06D"/>
            </w:r>
            <w:r w:rsidRPr="00140923">
              <w:rPr>
                <w:lang w:val="es-ES_tradnl"/>
              </w:rPr>
              <w:t xml:space="preserve"> + 2</w:t>
            </w:r>
            <w:r w:rsidRPr="00140923">
              <w:rPr>
                <w:lang w:val="es-ES_tradnl" w:eastAsia="ja-JP"/>
              </w:rPr>
              <w:sym w:font="Symbol" w:char="F073"/>
            </w:r>
            <w:r w:rsidRPr="00140923">
              <w:rPr>
                <w:lang w:val="es-ES_tradnl"/>
              </w:rPr>
              <w:t>)</w:t>
            </w:r>
          </w:p>
        </w:tc>
        <w:tc>
          <w:tcPr>
            <w:tcW w:w="1928" w:type="dxa"/>
            <w:tcBorders>
              <w:top w:val="single" w:sz="4" w:space="0" w:color="auto"/>
              <w:left w:val="single" w:sz="4" w:space="0" w:color="auto"/>
              <w:bottom w:val="single" w:sz="4" w:space="0" w:color="auto"/>
              <w:right w:val="single" w:sz="4" w:space="0" w:color="auto"/>
            </w:tcBorders>
            <w:vAlign w:val="center"/>
            <w:hideMark/>
          </w:tcPr>
          <w:p w14:paraId="6B27F3C1" w14:textId="77777777" w:rsidR="002B37E9" w:rsidRPr="00140923" w:rsidRDefault="002B37E9" w:rsidP="00226764">
            <w:pPr>
              <w:pStyle w:val="Tabletext"/>
              <w:jc w:val="center"/>
              <w:rPr>
                <w:rFonts w:eastAsia="MS PGothic"/>
                <w:lang w:val="es-ES_tradnl"/>
              </w:rPr>
            </w:pPr>
            <w:r w:rsidRPr="00140923">
              <w:rPr>
                <w:lang w:val="es-ES_tradnl"/>
              </w:rPr>
              <w:t>2,2</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6BF17F7" w14:textId="77777777" w:rsidR="002B37E9" w:rsidRPr="00140923" w:rsidRDefault="002B37E9" w:rsidP="00226764">
            <w:pPr>
              <w:pStyle w:val="Tabletext"/>
              <w:jc w:val="center"/>
              <w:rPr>
                <w:rFonts w:eastAsia="MS PGothic"/>
                <w:lang w:val="es-ES_tradnl"/>
              </w:rPr>
            </w:pPr>
            <w:r w:rsidRPr="00140923">
              <w:rPr>
                <w:lang w:val="es-ES_tradnl"/>
              </w:rPr>
              <w:t>3,3</w:t>
            </w:r>
          </w:p>
        </w:tc>
        <w:tc>
          <w:tcPr>
            <w:tcW w:w="1928" w:type="dxa"/>
            <w:tcBorders>
              <w:top w:val="single" w:sz="4" w:space="0" w:color="auto"/>
              <w:left w:val="single" w:sz="4" w:space="0" w:color="auto"/>
              <w:bottom w:val="single" w:sz="4" w:space="0" w:color="auto"/>
              <w:right w:val="single" w:sz="4" w:space="0" w:color="auto"/>
            </w:tcBorders>
            <w:vAlign w:val="center"/>
            <w:hideMark/>
          </w:tcPr>
          <w:p w14:paraId="1C074B74" w14:textId="77777777" w:rsidR="002B37E9" w:rsidRPr="00140923" w:rsidRDefault="002B37E9" w:rsidP="00226764">
            <w:pPr>
              <w:pStyle w:val="Tabletext"/>
              <w:jc w:val="center"/>
              <w:rPr>
                <w:rFonts w:eastAsia="MS PGothic"/>
                <w:lang w:val="es-ES_tradnl"/>
              </w:rPr>
            </w:pPr>
            <w:r w:rsidRPr="00140923">
              <w:rPr>
                <w:lang w:val="es-ES_tradnl"/>
              </w:rPr>
              <w:t>3,6</w:t>
            </w:r>
          </w:p>
        </w:tc>
      </w:tr>
      <w:tr w:rsidR="002B37E9" w:rsidRPr="00140923" w14:paraId="732B9868" w14:textId="77777777" w:rsidTr="00226764">
        <w:trPr>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4884DDD3" w14:textId="77777777" w:rsidR="002B37E9" w:rsidRPr="00140923" w:rsidRDefault="002B37E9" w:rsidP="00226764">
            <w:pPr>
              <w:pStyle w:val="Tabletext"/>
              <w:rPr>
                <w:rFonts w:ascii="Symbol" w:eastAsia="MS PGothic" w:hAnsi="Symbol" w:hint="eastAsia"/>
                <w:lang w:val="es-ES_tradnl"/>
              </w:rPr>
            </w:pPr>
            <w:r w:rsidRPr="00140923">
              <w:rPr>
                <w:lang w:val="es-ES_tradnl"/>
              </w:rPr>
              <w:sym w:font="Symbol" w:char="F06D"/>
            </w:r>
            <w:r w:rsidRPr="00140923">
              <w:rPr>
                <w:lang w:val="es-ES_tradnl"/>
              </w:rPr>
              <w:t xml:space="preserve"> + 1,64</w:t>
            </w:r>
            <w:r w:rsidRPr="00140923">
              <w:rPr>
                <w:lang w:val="es-ES_tradnl" w:eastAsia="ja-JP"/>
              </w:rPr>
              <w:sym w:font="Symbol" w:char="F073"/>
            </w:r>
          </w:p>
        </w:tc>
        <w:tc>
          <w:tcPr>
            <w:tcW w:w="1928" w:type="dxa"/>
            <w:tcBorders>
              <w:top w:val="single" w:sz="4" w:space="0" w:color="auto"/>
              <w:left w:val="single" w:sz="4" w:space="0" w:color="auto"/>
              <w:bottom w:val="single" w:sz="4" w:space="0" w:color="auto"/>
              <w:right w:val="single" w:sz="4" w:space="0" w:color="auto"/>
            </w:tcBorders>
            <w:vAlign w:val="center"/>
            <w:hideMark/>
          </w:tcPr>
          <w:p w14:paraId="2C3EC371" w14:textId="77777777" w:rsidR="002B37E9" w:rsidRPr="00140923" w:rsidRDefault="002B37E9" w:rsidP="00226764">
            <w:pPr>
              <w:pStyle w:val="Tabletext"/>
              <w:jc w:val="center"/>
              <w:rPr>
                <w:rFonts w:eastAsia="MS PGothic"/>
                <w:lang w:val="es-ES_tradnl"/>
              </w:rPr>
            </w:pPr>
            <w:r w:rsidRPr="00140923">
              <w:rPr>
                <w:lang w:val="es-ES_tradnl"/>
              </w:rPr>
              <w:t>37</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EDC8D14" w14:textId="77777777" w:rsidR="002B37E9" w:rsidRPr="00140923" w:rsidRDefault="002B37E9" w:rsidP="00226764">
            <w:pPr>
              <w:pStyle w:val="Tabletext"/>
              <w:jc w:val="center"/>
              <w:rPr>
                <w:rFonts w:eastAsia="MS PGothic"/>
                <w:lang w:val="es-ES_tradnl"/>
              </w:rPr>
            </w:pPr>
            <w:r w:rsidRPr="00140923">
              <w:rPr>
                <w:lang w:val="es-ES_tradnl"/>
              </w:rPr>
              <w:t>33,7</w:t>
            </w:r>
          </w:p>
        </w:tc>
        <w:tc>
          <w:tcPr>
            <w:tcW w:w="1928" w:type="dxa"/>
            <w:tcBorders>
              <w:top w:val="single" w:sz="4" w:space="0" w:color="auto"/>
              <w:left w:val="single" w:sz="4" w:space="0" w:color="auto"/>
              <w:bottom w:val="single" w:sz="4" w:space="0" w:color="auto"/>
              <w:right w:val="single" w:sz="4" w:space="0" w:color="auto"/>
            </w:tcBorders>
            <w:vAlign w:val="center"/>
            <w:hideMark/>
          </w:tcPr>
          <w:p w14:paraId="6E1D3FF5" w14:textId="77777777" w:rsidR="002B37E9" w:rsidRPr="00140923" w:rsidRDefault="002B37E9" w:rsidP="00226764">
            <w:pPr>
              <w:pStyle w:val="Tabletext"/>
              <w:jc w:val="center"/>
              <w:rPr>
                <w:rFonts w:eastAsia="MS PGothic"/>
                <w:lang w:val="es-ES_tradnl"/>
              </w:rPr>
            </w:pPr>
            <w:r w:rsidRPr="00140923">
              <w:rPr>
                <w:lang w:val="es-ES_tradnl"/>
              </w:rPr>
              <w:t>29,9</w:t>
            </w:r>
          </w:p>
        </w:tc>
      </w:tr>
      <w:tr w:rsidR="002B37E9" w:rsidRPr="00140923" w14:paraId="075585E4" w14:textId="77777777" w:rsidTr="00226764">
        <w:trPr>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6A82B81A" w14:textId="77777777" w:rsidR="002B37E9" w:rsidRPr="00140923" w:rsidRDefault="002B37E9" w:rsidP="00226764">
            <w:pPr>
              <w:pStyle w:val="Tabletext"/>
              <w:rPr>
                <w:rFonts w:eastAsia="MS PGothic"/>
                <w:lang w:val="es-ES_tradnl"/>
              </w:rPr>
            </w:pPr>
            <w:r w:rsidRPr="00140923">
              <w:rPr>
                <w:lang w:val="es-ES_tradnl"/>
              </w:rPr>
              <w:t>Máximo teórico (</w:t>
            </w:r>
            <w:r w:rsidRPr="00140923">
              <w:rPr>
                <w:lang w:val="es-ES_tradnl"/>
              </w:rPr>
              <w:sym w:font="Symbol" w:char="F06D"/>
            </w:r>
            <w:r w:rsidRPr="00140923">
              <w:rPr>
                <w:lang w:val="es-ES_tradnl"/>
              </w:rPr>
              <w:t xml:space="preserve"> + 1,64</w:t>
            </w:r>
            <w:r w:rsidRPr="00140923">
              <w:rPr>
                <w:lang w:val="es-ES_tradnl" w:eastAsia="ja-JP"/>
              </w:rPr>
              <w:sym w:font="Symbol" w:char="F073"/>
            </w:r>
            <w:r w:rsidRPr="00140923">
              <w:rPr>
                <w:lang w:val="es-ES_tradnl"/>
              </w:rPr>
              <w:t>)</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3DDB40F" w14:textId="77777777" w:rsidR="002B37E9" w:rsidRPr="00140923" w:rsidRDefault="002B37E9" w:rsidP="00226764">
            <w:pPr>
              <w:pStyle w:val="Tabletext"/>
              <w:jc w:val="center"/>
              <w:rPr>
                <w:rFonts w:eastAsia="MS PGothic"/>
                <w:lang w:val="es-ES_tradnl"/>
              </w:rPr>
            </w:pPr>
            <w:r w:rsidRPr="00140923">
              <w:rPr>
                <w:lang w:val="es-ES_tradnl"/>
              </w:rPr>
              <w:t>3,3</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B516B87" w14:textId="77777777" w:rsidR="002B37E9" w:rsidRPr="00140923" w:rsidRDefault="002B37E9" w:rsidP="00226764">
            <w:pPr>
              <w:pStyle w:val="Tabletext"/>
              <w:jc w:val="center"/>
              <w:rPr>
                <w:rFonts w:eastAsia="MS PGothic"/>
                <w:lang w:val="es-ES_tradnl"/>
              </w:rPr>
            </w:pPr>
            <w:r w:rsidRPr="00140923">
              <w:rPr>
                <w:lang w:val="es-ES_tradnl"/>
              </w:rPr>
              <w:t>4,4</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D971034" w14:textId="77777777" w:rsidR="002B37E9" w:rsidRPr="00140923" w:rsidRDefault="002B37E9" w:rsidP="00226764">
            <w:pPr>
              <w:pStyle w:val="Tabletext"/>
              <w:jc w:val="center"/>
              <w:rPr>
                <w:rFonts w:eastAsia="MS PGothic"/>
                <w:lang w:val="es-ES_tradnl"/>
              </w:rPr>
            </w:pPr>
            <w:r w:rsidRPr="00140923">
              <w:rPr>
                <w:lang w:val="es-ES_tradnl"/>
              </w:rPr>
              <w:t>5,1</w:t>
            </w:r>
          </w:p>
        </w:tc>
      </w:tr>
      <w:tr w:rsidR="002B37E9" w:rsidRPr="00140923" w14:paraId="129CFBAA" w14:textId="77777777" w:rsidTr="00226764">
        <w:trPr>
          <w:jc w:val="center"/>
        </w:trPr>
        <w:tc>
          <w:tcPr>
            <w:tcW w:w="9639" w:type="dxa"/>
            <w:gridSpan w:val="4"/>
            <w:tcBorders>
              <w:top w:val="single" w:sz="4" w:space="0" w:color="auto"/>
              <w:left w:val="nil"/>
              <w:bottom w:val="nil"/>
              <w:right w:val="nil"/>
            </w:tcBorders>
            <w:vAlign w:val="center"/>
            <w:hideMark/>
          </w:tcPr>
          <w:p w14:paraId="76FE3DFD" w14:textId="77777777" w:rsidR="002B37E9" w:rsidRPr="00140923" w:rsidRDefault="002B37E9" w:rsidP="00226764">
            <w:pPr>
              <w:pStyle w:val="Tablelegend"/>
              <w:rPr>
                <w:lang w:val="es-ES_tradnl"/>
              </w:rPr>
            </w:pPr>
            <w:r w:rsidRPr="00140923">
              <w:rPr>
                <w:vertAlign w:val="superscript"/>
                <w:lang w:val="es-ES_tradnl"/>
              </w:rPr>
              <w:t>(1)</w:t>
            </w:r>
            <w:r w:rsidRPr="00140923">
              <w:rPr>
                <w:lang w:val="es-ES_tradnl"/>
              </w:rPr>
              <w:tab/>
              <w:t>Máximo teórico</w:t>
            </w:r>
            <w:r w:rsidRPr="00140923">
              <w:rPr>
                <w:lang w:val="es-ES_tradnl" w:eastAsia="ja-JP"/>
              </w:rPr>
              <w:t xml:space="preserve"> = Potencia de salida del transmisor </w:t>
            </w:r>
            <w:r w:rsidRPr="00140923">
              <w:rPr>
                <w:lang w:val="es-ES_tradnl"/>
              </w:rPr>
              <w:t>(máxima)</w:t>
            </w:r>
            <w:r w:rsidRPr="00140923">
              <w:rPr>
                <w:lang w:val="es-ES_tradnl" w:eastAsia="ja-JP"/>
              </w:rPr>
              <w:t xml:space="preserve"> − Pérdida del alimentador/multiplexor</w:t>
            </w:r>
            <w:r w:rsidRPr="00140923">
              <w:rPr>
                <w:lang w:val="es-ES_tradnl"/>
              </w:rPr>
              <w:t xml:space="preserve"> (</w:t>
            </w:r>
            <w:r w:rsidRPr="00140923">
              <w:rPr>
                <w:lang w:val="es-ES_tradnl" w:eastAsia="ja-JP"/>
              </w:rPr>
              <w:t>mínima</w:t>
            </w:r>
            <w:r w:rsidRPr="00140923">
              <w:rPr>
                <w:lang w:val="es-ES_tradnl"/>
              </w:rPr>
              <w:t>)</w:t>
            </w:r>
            <w:r w:rsidRPr="00140923">
              <w:rPr>
                <w:lang w:val="es-ES_tradnl" w:eastAsia="ja-JP"/>
              </w:rPr>
              <w:t xml:space="preserve"> + </w:t>
            </w:r>
            <w:r w:rsidRPr="00140923">
              <w:rPr>
                <w:lang w:val="es-ES_tradnl"/>
              </w:rPr>
              <w:t>Ganancia de antena (máxima)</w:t>
            </w:r>
            <w:r w:rsidRPr="00140923">
              <w:rPr>
                <w:lang w:val="es-ES_tradnl" w:eastAsia="ja-JP"/>
              </w:rPr>
              <w:t>; este valor puede no coincidir con el máximo de los datos reales.</w:t>
            </w:r>
          </w:p>
        </w:tc>
      </w:tr>
    </w:tbl>
    <w:p w14:paraId="2B6F59D6" w14:textId="77777777" w:rsidR="002B37E9" w:rsidRPr="004F7602" w:rsidRDefault="002B37E9" w:rsidP="002B37E9">
      <w:pPr>
        <w:pStyle w:val="Tablefin"/>
        <w:rPr>
          <w:lang w:val="es-ES_tradnl"/>
        </w:rPr>
      </w:pPr>
    </w:p>
    <w:p w14:paraId="69D63F9B" w14:textId="77777777" w:rsidR="002B37E9" w:rsidRPr="00140923" w:rsidRDefault="002B37E9" w:rsidP="002B37E9">
      <w:pPr>
        <w:rPr>
          <w:lang w:val="es-ES_tradnl"/>
        </w:rPr>
      </w:pPr>
      <w:r w:rsidRPr="00140923">
        <w:rPr>
          <w:lang w:val="es-ES_tradnl"/>
        </w:rPr>
        <w:t>Las diferencias entre el máximo teórico y el máximo de los datos reales varían entre 1,5 y 2,7 dB. En los análisis de estos sistemas se utilizaron más de 2 000 puntos de datos del transmisor real. Para ello, suponiendo que un conjunto de datos superior a los 2 000 puntos de datos sigue una distribución normal, se calcularon los valores de 2</w:t>
      </w:r>
      <w:r w:rsidRPr="00140923">
        <w:rPr>
          <w:lang w:val="es-ES_tradnl" w:eastAsia="ja-JP"/>
        </w:rPr>
        <w:sym w:font="Symbol" w:char="F073"/>
      </w:r>
      <w:r w:rsidRPr="00140923">
        <w:rPr>
          <w:lang w:val="es-ES_tradnl"/>
        </w:rPr>
        <w:t xml:space="preserve"> y 1,64</w:t>
      </w:r>
      <w:r w:rsidRPr="00140923">
        <w:rPr>
          <w:lang w:val="es-ES_tradnl" w:eastAsia="ja-JP"/>
        </w:rPr>
        <w:sym w:font="Symbol" w:char="F073"/>
      </w:r>
      <w:r w:rsidRPr="00140923">
        <w:rPr>
          <w:lang w:val="es-ES_tradnl"/>
        </w:rPr>
        <w:t xml:space="preserve">, donde </w:t>
      </w:r>
      <w:r w:rsidRPr="00140923">
        <w:rPr>
          <w:lang w:val="es-ES_tradnl" w:eastAsia="ja-JP"/>
        </w:rPr>
        <w:sym w:font="Symbol" w:char="F073"/>
      </w:r>
      <w:r w:rsidRPr="00140923">
        <w:rPr>
          <w:lang w:val="es-ES_tradnl"/>
        </w:rPr>
        <w:t xml:space="preserve"> es la desviación típica, y </w:t>
      </w:r>
      <w:r w:rsidRPr="00140923">
        <w:rPr>
          <w:lang w:val="es-ES_tradnl"/>
        </w:rPr>
        <w:sym w:font="Symbol" w:char="F06D"/>
      </w:r>
      <w:r w:rsidRPr="00140923">
        <w:rPr>
          <w:lang w:val="es-ES_tradnl"/>
        </w:rPr>
        <w:t xml:space="preserve"> la media. Alrededor del 95% de los puntos de datos se encuentran a menos de 2</w:t>
      </w:r>
      <w:r w:rsidRPr="00140923">
        <w:rPr>
          <w:lang w:val="es-ES_tradnl" w:eastAsia="ja-JP"/>
        </w:rPr>
        <w:sym w:font="Symbol" w:char="F073"/>
      </w:r>
      <w:r w:rsidRPr="00140923">
        <w:rPr>
          <w:lang w:val="es-ES_tradnl" w:eastAsia="ja-JP"/>
        </w:rPr>
        <w:t xml:space="preserve"> con respecto a la media</w:t>
      </w:r>
      <w:r w:rsidRPr="00140923">
        <w:rPr>
          <w:lang w:val="es-ES_tradnl"/>
        </w:rPr>
        <w:t>, y alrededor del 90% a menos de 1,64</w:t>
      </w:r>
      <w:r w:rsidRPr="00140923">
        <w:rPr>
          <w:lang w:val="es-ES_tradnl" w:eastAsia="ja-JP"/>
        </w:rPr>
        <w:sym w:font="Symbol" w:char="F073"/>
      </w:r>
      <w:r w:rsidRPr="00140923">
        <w:rPr>
          <w:lang w:val="es-ES_tradnl" w:eastAsia="ja-JP"/>
        </w:rPr>
        <w:t xml:space="preserve"> con respecto a la media</w:t>
      </w:r>
      <w:r w:rsidRPr="00140923">
        <w:rPr>
          <w:lang w:val="es-ES_tradnl"/>
        </w:rPr>
        <w:t>. Para el 95% de los puntos de datos la p.i.r.e. tiene un valor menor respecto del máximo teórico de unos 3 dB, y para el 90% de unos 4 dB.</w:t>
      </w:r>
    </w:p>
    <w:p w14:paraId="5B53077B" w14:textId="77777777" w:rsidR="002B37E9" w:rsidRPr="00140923" w:rsidRDefault="002B37E9" w:rsidP="002B37E9">
      <w:pPr>
        <w:rPr>
          <w:lang w:val="es-ES_tradnl" w:eastAsia="ja-JP"/>
        </w:rPr>
      </w:pPr>
      <w:r w:rsidRPr="00140923">
        <w:rPr>
          <w:lang w:val="es-ES_tradnl"/>
        </w:rPr>
        <w:t>Cabe señalar que este análisis puede conducir a resultados ligeramente diferentes en función de la distribución estadística de los datos.</w:t>
      </w:r>
    </w:p>
    <w:p w14:paraId="1B52E249" w14:textId="77777777" w:rsidR="002B37E9" w:rsidRPr="00140923" w:rsidRDefault="002B37E9" w:rsidP="002B37E9">
      <w:pPr>
        <w:rPr>
          <w:lang w:val="es-ES_tradnl"/>
        </w:rPr>
      </w:pPr>
      <w:r w:rsidRPr="00140923">
        <w:rPr>
          <w:lang w:val="es-ES_tradnl"/>
        </w:rPr>
        <w:t>Sin embargo, se demuestra que, en los ejemplos prácticos, existen diferencias entre el máximo teórico y los valores máximos de los datos reales.</w:t>
      </w:r>
    </w:p>
    <w:p w14:paraId="55BFD3E0" w14:textId="77777777" w:rsidR="002B37E9" w:rsidRPr="00140923" w:rsidRDefault="002B37E9" w:rsidP="002B37E9">
      <w:pPr>
        <w:pStyle w:val="AnnexNoTitle"/>
        <w:rPr>
          <w:lang w:val="es-ES_tradnl"/>
        </w:rPr>
      </w:pPr>
      <w:bookmarkStart w:id="59" w:name="_Toc39157098"/>
      <w:r w:rsidRPr="00140923">
        <w:rPr>
          <w:lang w:val="es-ES_tradnl"/>
        </w:rPr>
        <w:lastRenderedPageBreak/>
        <w:t>Anexo 3</w:t>
      </w:r>
      <w:r w:rsidRPr="00140923">
        <w:rPr>
          <w:lang w:val="es-ES_tradnl"/>
        </w:rPr>
        <w:br/>
      </w:r>
      <w:r w:rsidRPr="00140923">
        <w:rPr>
          <w:lang w:val="es-ES_tradnl"/>
        </w:rPr>
        <w:br/>
        <w:t>Otros parámetros de sistema específicos del servicio fijo</w:t>
      </w:r>
      <w:bookmarkEnd w:id="59"/>
    </w:p>
    <w:p w14:paraId="3B300B8C" w14:textId="77777777" w:rsidR="002B37E9" w:rsidRPr="00140923" w:rsidRDefault="002B37E9" w:rsidP="002B37E9">
      <w:pPr>
        <w:pStyle w:val="Normalaftertitle"/>
        <w:rPr>
          <w:lang w:val="es-ES_tradnl"/>
        </w:rPr>
      </w:pPr>
      <w:r w:rsidRPr="00140923">
        <w:rPr>
          <w:lang w:val="es-ES_tradnl" w:eastAsia="ja-JP"/>
        </w:rPr>
        <w:t>La información del presente Anexo también representa sistemas reales aplicados a lo largo del tiempo. Puede que algunos de estos parámetros estén obsoletos, pero las administraciones aún no han contribuido con nuevos conjuntos de parámetros consolidados;</w:t>
      </w:r>
      <w:r w:rsidRPr="00140923">
        <w:rPr>
          <w:lang w:val="es-ES_tradnl"/>
        </w:rPr>
        <w:t xml:space="preserve"> no obstante, estos parámetros todavía pueden utilizarse a título provisional cuando, para las bandas concernidas, no se ofrezcan datos de sistemas de referencia en los cuadros del Anexo 2.</w:t>
      </w:r>
    </w:p>
    <w:p w14:paraId="3D37C52A" w14:textId="0F1AE44C" w:rsidR="002B37E9" w:rsidRPr="00480606" w:rsidRDefault="002B37E9" w:rsidP="002B37E9">
      <w:pPr>
        <w:rPr>
          <w:lang w:val="es-ES_tradnl" w:eastAsia="ja-JP"/>
        </w:rPr>
      </w:pPr>
      <w:r w:rsidRPr="00480606">
        <w:rPr>
          <w:lang w:val="es-ES_tradnl" w:eastAsia="ja-JP"/>
        </w:rPr>
        <w:t xml:space="preserve">El presente Anexo se basa en el Informe </w:t>
      </w:r>
      <w:hyperlink r:id="rId121" w:history="1">
        <w:r w:rsidRPr="00480606">
          <w:rPr>
            <w:rStyle w:val="Hyperlink"/>
            <w:color w:val="auto"/>
            <w:u w:val="none"/>
            <w:lang w:val="es-ES_tradnl" w:eastAsia="ja-JP"/>
          </w:rPr>
          <w:t>UIT-R F.2108</w:t>
        </w:r>
      </w:hyperlink>
      <w:r w:rsidRPr="00480606">
        <w:rPr>
          <w:lang w:val="es-ES_tradnl" w:eastAsia="ja-JP"/>
        </w:rPr>
        <w:t>. Se han actualizado los siguientes términos:</w:t>
      </w:r>
    </w:p>
    <w:p w14:paraId="1F93A4CA" w14:textId="77777777" w:rsidR="002B37E9" w:rsidRPr="00140923" w:rsidRDefault="002B37E9" w:rsidP="002B37E9">
      <w:pPr>
        <w:pStyle w:val="enumlev1"/>
        <w:rPr>
          <w:lang w:val="es-ES_tradnl" w:eastAsia="ja-JP"/>
        </w:rPr>
      </w:pPr>
      <w:r w:rsidRPr="00140923">
        <w:rPr>
          <w:lang w:val="es-ES_tradnl" w:eastAsia="ja-JP"/>
        </w:rPr>
        <w:t>–</w:t>
      </w:r>
      <w:r w:rsidRPr="00140923">
        <w:rPr>
          <w:lang w:val="es-ES_tradnl" w:eastAsia="ja-JP"/>
        </w:rPr>
        <w:tab/>
      </w:r>
      <w:r w:rsidRPr="00140923">
        <w:rPr>
          <w:lang w:val="es-ES_tradnl"/>
        </w:rPr>
        <w:t>Los términos en inglés «Hub», «Base station» y «Central station» de la Recomendación precedente se han unificado en esta versión en español en «Estación central»</w:t>
      </w:r>
      <w:r w:rsidRPr="00140923">
        <w:rPr>
          <w:lang w:val="es-ES_tradnl" w:eastAsia="ja-JP"/>
        </w:rPr>
        <w:t>.</w:t>
      </w:r>
    </w:p>
    <w:p w14:paraId="7E25ACA0" w14:textId="77777777" w:rsidR="002B37E9" w:rsidRPr="00140923" w:rsidRDefault="002B37E9" w:rsidP="002B37E9">
      <w:pPr>
        <w:pStyle w:val="enumlev1"/>
        <w:rPr>
          <w:lang w:val="es-ES_tradnl" w:eastAsia="ja-JP"/>
        </w:rPr>
      </w:pPr>
      <w:r w:rsidRPr="00140923">
        <w:rPr>
          <w:lang w:val="es-ES_tradnl" w:eastAsia="ja-JP"/>
        </w:rPr>
        <w:t>–</w:t>
      </w:r>
      <w:r w:rsidRPr="00140923">
        <w:rPr>
          <w:lang w:val="es-ES_tradnl" w:eastAsia="ja-JP"/>
        </w:rPr>
        <w:tab/>
      </w:r>
      <w:r w:rsidRPr="00140923">
        <w:rPr>
          <w:lang w:val="es-ES_tradnl"/>
        </w:rPr>
        <w:t>Los términos en inglés «Remote station», «Out station» y «Terminal station» de la Recomendación precedente se han unificado en esta versión en español en «Estación terminal»</w:t>
      </w:r>
      <w:r w:rsidRPr="00140923">
        <w:rPr>
          <w:lang w:val="es-ES_tradnl" w:eastAsia="ja-JP"/>
        </w:rPr>
        <w:t>.</w:t>
      </w:r>
    </w:p>
    <w:p w14:paraId="065C6EC3" w14:textId="352B2DBF" w:rsidR="002B37E9" w:rsidRPr="00140923" w:rsidRDefault="002B37E9" w:rsidP="002B37E9">
      <w:pPr>
        <w:rPr>
          <w:lang w:val="es-ES_tradnl"/>
        </w:rPr>
      </w:pPr>
      <w:r w:rsidRPr="00140923">
        <w:rPr>
          <w:lang w:val="es-ES_tradnl"/>
        </w:rPr>
        <w:t xml:space="preserve">Para cada una de las gamas de frecuencias </w:t>
      </w:r>
      <w:r w:rsidRPr="00140923">
        <w:rPr>
          <w:lang w:val="es-ES_tradnl" w:eastAsia="ja-JP"/>
        </w:rPr>
        <w:t>incluidas en los Cuadros </w:t>
      </w:r>
      <w:r w:rsidRPr="00140923">
        <w:rPr>
          <w:lang w:val="es-ES_tradnl"/>
        </w:rPr>
        <w:t>17 a 20</w:t>
      </w:r>
      <w:r w:rsidRPr="00140923">
        <w:rPr>
          <w:lang w:val="es-ES_tradnl" w:eastAsia="ja-JP"/>
        </w:rPr>
        <w:t>, las dos columnas previstas comprenden los valores representativos de los sistemas más simples y de los sistemas más complejos, respectivamente (véase el</w:t>
      </w:r>
      <w:r w:rsidRPr="00140923">
        <w:rPr>
          <w:lang w:val="es-ES_tradnl"/>
        </w:rPr>
        <w:t xml:space="preserve"> § 4.3 del Anexo 2).</w:t>
      </w:r>
    </w:p>
    <w:p w14:paraId="2311F367" w14:textId="77777777" w:rsidR="002B37E9" w:rsidRPr="00140923" w:rsidRDefault="002B37E9" w:rsidP="002B37E9">
      <w:pPr>
        <w:rPr>
          <w:lang w:val="es-ES_tradnl"/>
        </w:rPr>
      </w:pPr>
    </w:p>
    <w:p w14:paraId="02B3719E" w14:textId="77777777" w:rsidR="002B37E9" w:rsidRPr="00140923" w:rsidRDefault="002B37E9" w:rsidP="002B37E9">
      <w:pPr>
        <w:tabs>
          <w:tab w:val="clear" w:pos="794"/>
          <w:tab w:val="clear" w:pos="1191"/>
          <w:tab w:val="clear" w:pos="1588"/>
          <w:tab w:val="clear" w:pos="1985"/>
        </w:tabs>
        <w:overflowPunct/>
        <w:autoSpaceDE/>
        <w:autoSpaceDN/>
        <w:adjustRightInd/>
        <w:spacing w:before="0"/>
        <w:jc w:val="left"/>
        <w:rPr>
          <w:lang w:val="es-ES_tradnl"/>
        </w:rPr>
        <w:sectPr w:rsidR="002B37E9" w:rsidRPr="00140923" w:rsidSect="0011206E">
          <w:headerReference w:type="even" r:id="rId122"/>
          <w:headerReference w:type="default" r:id="rId123"/>
          <w:pgSz w:w="11907" w:h="16834"/>
          <w:pgMar w:top="1418" w:right="1134" w:bottom="1134" w:left="1134" w:header="720" w:footer="482" w:gutter="0"/>
          <w:cols w:space="720"/>
        </w:sectPr>
      </w:pPr>
    </w:p>
    <w:p w14:paraId="391A5A8B" w14:textId="62CF03F0" w:rsidR="002B37E9" w:rsidRPr="00140923" w:rsidRDefault="002B37E9" w:rsidP="00480606">
      <w:pPr>
        <w:pStyle w:val="TableNo"/>
        <w:spacing w:before="0"/>
        <w:rPr>
          <w:lang w:val="es-ES_tradnl" w:eastAsia="ja-JP"/>
        </w:rPr>
      </w:pPr>
      <w:r w:rsidRPr="00480606">
        <w:lastRenderedPageBreak/>
        <w:t>CUADRO</w:t>
      </w:r>
      <w:r w:rsidRPr="00140923">
        <w:rPr>
          <w:lang w:val="es-ES_tradnl"/>
        </w:rPr>
        <w:t xml:space="preserve"> 17</w:t>
      </w:r>
    </w:p>
    <w:p w14:paraId="43105D6A" w14:textId="77777777" w:rsidR="002B37E9" w:rsidRPr="00480606" w:rsidRDefault="002B37E9" w:rsidP="00480606">
      <w:pPr>
        <w:pStyle w:val="Tabletitle"/>
      </w:pPr>
      <w:r w:rsidRPr="00480606">
        <w:t>Parámetros de sistema para los sistemas punto a punto del servicio fijo en bandas atribuidas por debajo de 3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474"/>
        <w:gridCol w:w="1474"/>
        <w:gridCol w:w="1077"/>
        <w:gridCol w:w="1191"/>
        <w:gridCol w:w="1134"/>
        <w:gridCol w:w="992"/>
        <w:gridCol w:w="1134"/>
        <w:gridCol w:w="1247"/>
        <w:gridCol w:w="1191"/>
      </w:tblGrid>
      <w:tr w:rsidR="002B37E9" w:rsidRPr="00140923" w14:paraId="0381B5E2"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5DC90F5" w14:textId="77777777" w:rsidR="002B37E9" w:rsidRPr="00140923" w:rsidRDefault="002B37E9" w:rsidP="00226764">
            <w:pPr>
              <w:pStyle w:val="Tablehead"/>
              <w:spacing w:before="60" w:after="60"/>
              <w:rPr>
                <w:sz w:val="20"/>
                <w:lang w:val="es-ES_tradnl"/>
              </w:rPr>
            </w:pPr>
            <w:r w:rsidRPr="00140923">
              <w:rPr>
                <w:sz w:val="20"/>
                <w:lang w:val="es-ES_tradnl" w:eastAsia="ja-JP"/>
              </w:rPr>
              <w:t>Gama de frecuencias</w:t>
            </w:r>
            <w:r w:rsidRPr="00140923">
              <w:rPr>
                <w:sz w:val="20"/>
                <w:lang w:val="es-ES_tradnl" w:eastAsia="ja-JP"/>
              </w:rPr>
              <w:br/>
              <w:t>(GHz)</w:t>
            </w:r>
          </w:p>
        </w:tc>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59B204F5" w14:textId="77777777" w:rsidR="002B37E9" w:rsidRPr="00140923" w:rsidRDefault="002B37E9" w:rsidP="00226764">
            <w:pPr>
              <w:pStyle w:val="Tablehead"/>
              <w:spacing w:before="60" w:after="60"/>
              <w:rPr>
                <w:sz w:val="20"/>
                <w:lang w:val="es-ES_tradnl" w:eastAsia="ja-JP"/>
              </w:rPr>
            </w:pPr>
            <w:r w:rsidRPr="00140923">
              <w:rPr>
                <w:sz w:val="20"/>
                <w:lang w:val="es-ES_tradnl" w:eastAsia="ja-JP"/>
              </w:rPr>
              <w:t>0,4061-0,450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D7511CF" w14:textId="77777777" w:rsidR="002B37E9" w:rsidRPr="00140923" w:rsidRDefault="002B37E9" w:rsidP="00226764">
            <w:pPr>
              <w:pStyle w:val="Tablehead"/>
              <w:spacing w:before="60" w:after="60"/>
              <w:rPr>
                <w:sz w:val="20"/>
                <w:lang w:val="es-ES_tradnl"/>
              </w:rPr>
            </w:pPr>
            <w:r w:rsidRPr="00140923">
              <w:rPr>
                <w:sz w:val="20"/>
                <w:lang w:val="es-ES_tradnl" w:eastAsia="ja-JP"/>
              </w:rPr>
              <w:t>1,350-1,530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F38EDC5" w14:textId="77777777" w:rsidR="002B37E9" w:rsidRPr="00140923" w:rsidRDefault="002B37E9" w:rsidP="00226764">
            <w:pPr>
              <w:pStyle w:val="Tablehead"/>
              <w:spacing w:before="60" w:after="60"/>
              <w:rPr>
                <w:sz w:val="20"/>
                <w:lang w:val="es-ES_tradnl"/>
              </w:rPr>
            </w:pPr>
            <w:r w:rsidRPr="00140923">
              <w:rPr>
                <w:sz w:val="20"/>
                <w:lang w:val="es-ES_tradnl" w:eastAsia="ja-JP"/>
              </w:rPr>
              <w:t>1,700-2,100</w:t>
            </w:r>
            <w:r w:rsidRPr="00140923">
              <w:rPr>
                <w:sz w:val="20"/>
                <w:lang w:val="es-ES_tradnl" w:eastAsia="ja-JP"/>
              </w:rPr>
              <w:br/>
              <w:t>1,900-2,300</w:t>
            </w: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14:paraId="3606618E" w14:textId="77777777" w:rsidR="002B37E9" w:rsidRPr="00140923" w:rsidRDefault="002B37E9" w:rsidP="00226764">
            <w:pPr>
              <w:pStyle w:val="Tablehead"/>
              <w:spacing w:before="60" w:after="60"/>
              <w:rPr>
                <w:sz w:val="20"/>
                <w:lang w:val="es-ES_tradnl" w:eastAsia="ja-JP"/>
              </w:rPr>
            </w:pPr>
            <w:r w:rsidRPr="00140923">
              <w:rPr>
                <w:sz w:val="20"/>
                <w:lang w:val="es-ES_tradnl" w:eastAsia="ja-JP"/>
              </w:rPr>
              <w:t>1,900-2,300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DD946E6" w14:textId="77777777" w:rsidR="002B37E9" w:rsidRPr="00140923" w:rsidRDefault="002B37E9" w:rsidP="00226764">
            <w:pPr>
              <w:pStyle w:val="Tablehead"/>
              <w:spacing w:before="60" w:after="60"/>
              <w:rPr>
                <w:sz w:val="20"/>
                <w:lang w:val="es-ES_tradnl"/>
              </w:rPr>
            </w:pPr>
            <w:r w:rsidRPr="00140923">
              <w:rPr>
                <w:sz w:val="20"/>
                <w:lang w:val="es-ES_tradnl" w:eastAsia="ja-JP"/>
              </w:rPr>
              <w:t>2,290-2,670</w:t>
            </w:r>
          </w:p>
        </w:tc>
      </w:tr>
      <w:tr w:rsidR="002B37E9" w:rsidRPr="00140923" w14:paraId="53AA92A9"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2B47CA" w14:textId="77777777" w:rsidR="002B37E9" w:rsidRPr="00140923" w:rsidRDefault="002B37E9" w:rsidP="00226764">
            <w:pPr>
              <w:pStyle w:val="Tabletext"/>
              <w:jc w:val="left"/>
              <w:rPr>
                <w:color w:val="000000"/>
                <w:sz w:val="20"/>
                <w:lang w:val="es-ES_tradnl"/>
              </w:rPr>
            </w:pPr>
            <w:r w:rsidRPr="00140923">
              <w:rPr>
                <w:sz w:val="20"/>
                <w:lang w:val="es-ES_tradnl"/>
              </w:rPr>
              <w:t>Recomendación UIT-R de referencia</w:t>
            </w:r>
          </w:p>
        </w:tc>
        <w:tc>
          <w:tcPr>
            <w:tcW w:w="2948" w:type="dxa"/>
            <w:gridSpan w:val="2"/>
            <w:tcBorders>
              <w:top w:val="single" w:sz="4" w:space="0" w:color="auto"/>
              <w:left w:val="single" w:sz="4" w:space="0" w:color="auto"/>
              <w:bottom w:val="single" w:sz="4" w:space="0" w:color="auto"/>
              <w:right w:val="single" w:sz="4" w:space="0" w:color="auto"/>
            </w:tcBorders>
            <w:hideMark/>
          </w:tcPr>
          <w:p w14:paraId="716DDC0F"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rPr>
              <w:t>F.</w:t>
            </w:r>
            <w:r w:rsidRPr="00140923">
              <w:rPr>
                <w:color w:val="000000"/>
                <w:sz w:val="20"/>
                <w:lang w:val="es-ES_tradnl" w:eastAsia="ja-JP"/>
              </w:rPr>
              <w:t>1567</w:t>
            </w:r>
          </w:p>
        </w:tc>
        <w:tc>
          <w:tcPr>
            <w:tcW w:w="2268" w:type="dxa"/>
            <w:gridSpan w:val="2"/>
            <w:tcBorders>
              <w:top w:val="single" w:sz="4" w:space="0" w:color="auto"/>
              <w:left w:val="single" w:sz="4" w:space="0" w:color="auto"/>
              <w:bottom w:val="single" w:sz="4" w:space="0" w:color="auto"/>
              <w:right w:val="single" w:sz="4" w:space="0" w:color="auto"/>
            </w:tcBorders>
            <w:hideMark/>
          </w:tcPr>
          <w:p w14:paraId="1EA016D3" w14:textId="77777777" w:rsidR="002B37E9" w:rsidRPr="00140923" w:rsidRDefault="002B37E9" w:rsidP="00226764">
            <w:pPr>
              <w:pStyle w:val="Tabletext"/>
              <w:jc w:val="center"/>
              <w:rPr>
                <w:color w:val="000000"/>
                <w:sz w:val="20"/>
                <w:lang w:val="es-ES_tradnl"/>
              </w:rPr>
            </w:pPr>
            <w:r w:rsidRPr="00140923">
              <w:rPr>
                <w:color w:val="000000"/>
                <w:sz w:val="20"/>
                <w:lang w:val="es-ES_tradnl"/>
              </w:rPr>
              <w:t>F.</w:t>
            </w:r>
            <w:r w:rsidRPr="00140923">
              <w:rPr>
                <w:color w:val="000000"/>
                <w:sz w:val="20"/>
                <w:lang w:val="es-ES_tradnl" w:eastAsia="ja-JP"/>
              </w:rPr>
              <w:t>1242</w:t>
            </w:r>
          </w:p>
        </w:tc>
        <w:tc>
          <w:tcPr>
            <w:tcW w:w="2126" w:type="dxa"/>
            <w:gridSpan w:val="2"/>
            <w:tcBorders>
              <w:top w:val="single" w:sz="4" w:space="0" w:color="auto"/>
              <w:left w:val="single" w:sz="4" w:space="0" w:color="auto"/>
              <w:bottom w:val="single" w:sz="4" w:space="0" w:color="auto"/>
              <w:right w:val="single" w:sz="4" w:space="0" w:color="auto"/>
            </w:tcBorders>
            <w:hideMark/>
          </w:tcPr>
          <w:p w14:paraId="7E985B5D" w14:textId="77777777" w:rsidR="002B37E9" w:rsidRPr="00140923" w:rsidRDefault="002B37E9" w:rsidP="00226764">
            <w:pPr>
              <w:pStyle w:val="Tabletext"/>
              <w:jc w:val="center"/>
              <w:rPr>
                <w:color w:val="000000"/>
                <w:sz w:val="20"/>
                <w:lang w:val="es-ES_tradnl"/>
              </w:rPr>
            </w:pPr>
            <w:r w:rsidRPr="00140923">
              <w:rPr>
                <w:color w:val="000000"/>
                <w:sz w:val="20"/>
                <w:lang w:val="es-ES_tradnl"/>
              </w:rPr>
              <w:t>F.</w:t>
            </w:r>
            <w:r w:rsidRPr="00140923">
              <w:rPr>
                <w:color w:val="000000"/>
                <w:sz w:val="20"/>
                <w:lang w:val="es-ES_tradnl" w:eastAsia="ja-JP"/>
              </w:rPr>
              <w:t>382</w:t>
            </w:r>
          </w:p>
        </w:tc>
        <w:tc>
          <w:tcPr>
            <w:tcW w:w="2381" w:type="dxa"/>
            <w:gridSpan w:val="2"/>
            <w:tcBorders>
              <w:top w:val="single" w:sz="4" w:space="0" w:color="auto"/>
              <w:left w:val="single" w:sz="4" w:space="0" w:color="auto"/>
              <w:bottom w:val="single" w:sz="4" w:space="0" w:color="auto"/>
              <w:right w:val="single" w:sz="4" w:space="0" w:color="auto"/>
            </w:tcBorders>
            <w:hideMark/>
          </w:tcPr>
          <w:p w14:paraId="35F60043"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rPr>
              <w:t>F.</w:t>
            </w:r>
            <w:r w:rsidRPr="00140923">
              <w:rPr>
                <w:color w:val="000000"/>
                <w:sz w:val="20"/>
                <w:lang w:val="es-ES_tradnl" w:eastAsia="ja-JP"/>
              </w:rPr>
              <w:t>1098</w:t>
            </w:r>
          </w:p>
        </w:tc>
        <w:tc>
          <w:tcPr>
            <w:tcW w:w="1191" w:type="dxa"/>
            <w:tcBorders>
              <w:top w:val="single" w:sz="4" w:space="0" w:color="auto"/>
              <w:left w:val="single" w:sz="4" w:space="0" w:color="auto"/>
              <w:bottom w:val="single" w:sz="4" w:space="0" w:color="auto"/>
              <w:right w:val="single" w:sz="4" w:space="0" w:color="auto"/>
            </w:tcBorders>
            <w:hideMark/>
          </w:tcPr>
          <w:p w14:paraId="3974DF62" w14:textId="77777777" w:rsidR="002B37E9" w:rsidRPr="00140923" w:rsidRDefault="002B37E9" w:rsidP="00226764">
            <w:pPr>
              <w:pStyle w:val="Tabletext"/>
              <w:jc w:val="center"/>
              <w:rPr>
                <w:color w:val="000000"/>
                <w:sz w:val="20"/>
                <w:lang w:val="es-ES_tradnl"/>
              </w:rPr>
            </w:pPr>
            <w:r w:rsidRPr="00140923">
              <w:rPr>
                <w:color w:val="000000"/>
                <w:sz w:val="20"/>
                <w:lang w:val="es-ES_tradnl"/>
              </w:rPr>
              <w:t>F.</w:t>
            </w:r>
            <w:r w:rsidRPr="00140923">
              <w:rPr>
                <w:color w:val="000000"/>
                <w:sz w:val="20"/>
                <w:lang w:val="es-ES_tradnl" w:eastAsia="ja-JP"/>
              </w:rPr>
              <w:t>1243</w:t>
            </w:r>
          </w:p>
        </w:tc>
      </w:tr>
      <w:tr w:rsidR="002B37E9" w:rsidRPr="00140923" w14:paraId="3BBB63F3"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C931FD" w14:textId="77777777" w:rsidR="002B37E9" w:rsidRPr="00140923" w:rsidRDefault="002B37E9" w:rsidP="00226764">
            <w:pPr>
              <w:pStyle w:val="Tabletext"/>
              <w:jc w:val="left"/>
              <w:rPr>
                <w:color w:val="000000"/>
                <w:sz w:val="20"/>
                <w:lang w:val="es-ES_tradnl"/>
              </w:rPr>
            </w:pPr>
            <w:r w:rsidRPr="00140923">
              <w:rPr>
                <w:color w:val="000000"/>
                <w:sz w:val="20"/>
                <w:lang w:val="es-ES_tradnl"/>
              </w:rPr>
              <w:t>Modulación</w:t>
            </w:r>
          </w:p>
        </w:tc>
        <w:tc>
          <w:tcPr>
            <w:tcW w:w="1474" w:type="dxa"/>
            <w:tcBorders>
              <w:top w:val="single" w:sz="4" w:space="0" w:color="auto"/>
              <w:left w:val="single" w:sz="4" w:space="0" w:color="auto"/>
              <w:bottom w:val="single" w:sz="4" w:space="0" w:color="auto"/>
              <w:right w:val="single" w:sz="4" w:space="0" w:color="auto"/>
            </w:tcBorders>
            <w:hideMark/>
          </w:tcPr>
          <w:p w14:paraId="2E8F9386" w14:textId="77777777" w:rsidR="002B37E9" w:rsidRPr="00140923" w:rsidRDefault="002B37E9" w:rsidP="00226764">
            <w:pPr>
              <w:pStyle w:val="Tabletext"/>
              <w:jc w:val="center"/>
              <w:rPr>
                <w:color w:val="000000"/>
                <w:sz w:val="20"/>
                <w:lang w:val="es-ES_tradnl"/>
              </w:rPr>
            </w:pPr>
            <w:r w:rsidRPr="00140923">
              <w:rPr>
                <w:color w:val="000000"/>
                <w:sz w:val="20"/>
                <w:lang w:val="es-ES_tradnl"/>
              </w:rPr>
              <w:t>MDP-4</w:t>
            </w:r>
          </w:p>
        </w:tc>
        <w:tc>
          <w:tcPr>
            <w:tcW w:w="1474" w:type="dxa"/>
            <w:tcBorders>
              <w:top w:val="single" w:sz="4" w:space="0" w:color="auto"/>
              <w:left w:val="single" w:sz="4" w:space="0" w:color="auto"/>
              <w:bottom w:val="single" w:sz="4" w:space="0" w:color="auto"/>
              <w:right w:val="single" w:sz="4" w:space="0" w:color="auto"/>
            </w:tcBorders>
            <w:hideMark/>
          </w:tcPr>
          <w:p w14:paraId="551B42A3"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MAQ-32</w:t>
            </w:r>
          </w:p>
        </w:tc>
        <w:tc>
          <w:tcPr>
            <w:tcW w:w="1077" w:type="dxa"/>
            <w:tcBorders>
              <w:top w:val="single" w:sz="4" w:space="0" w:color="auto"/>
              <w:left w:val="single" w:sz="4" w:space="0" w:color="auto"/>
              <w:bottom w:val="single" w:sz="4" w:space="0" w:color="auto"/>
              <w:right w:val="single" w:sz="4" w:space="0" w:color="auto"/>
            </w:tcBorders>
            <w:hideMark/>
          </w:tcPr>
          <w:p w14:paraId="11D84195" w14:textId="77777777" w:rsidR="002B37E9" w:rsidRPr="00140923" w:rsidRDefault="002B37E9" w:rsidP="00226764">
            <w:pPr>
              <w:pStyle w:val="Tabletext"/>
              <w:jc w:val="center"/>
              <w:rPr>
                <w:color w:val="000000"/>
                <w:sz w:val="20"/>
                <w:lang w:val="es-ES_tradnl"/>
              </w:rPr>
            </w:pPr>
            <w:r w:rsidRPr="00140923">
              <w:rPr>
                <w:color w:val="000000"/>
                <w:sz w:val="20"/>
                <w:lang w:val="es-ES_tradnl"/>
              </w:rPr>
              <w:t>MDM</w:t>
            </w:r>
          </w:p>
        </w:tc>
        <w:tc>
          <w:tcPr>
            <w:tcW w:w="1191" w:type="dxa"/>
            <w:tcBorders>
              <w:top w:val="single" w:sz="4" w:space="0" w:color="auto"/>
              <w:left w:val="single" w:sz="4" w:space="0" w:color="auto"/>
              <w:bottom w:val="single" w:sz="4" w:space="0" w:color="auto"/>
              <w:right w:val="single" w:sz="4" w:space="0" w:color="auto"/>
            </w:tcBorders>
            <w:hideMark/>
          </w:tcPr>
          <w:p w14:paraId="3058A6DB" w14:textId="77777777" w:rsidR="002B37E9" w:rsidRPr="00140923" w:rsidRDefault="002B37E9" w:rsidP="00226764">
            <w:pPr>
              <w:pStyle w:val="Tabletext"/>
              <w:jc w:val="center"/>
              <w:rPr>
                <w:color w:val="000000"/>
                <w:sz w:val="20"/>
                <w:lang w:val="es-ES_tradnl"/>
              </w:rPr>
            </w:pPr>
            <w:r w:rsidRPr="00140923">
              <w:rPr>
                <w:color w:val="000000"/>
                <w:sz w:val="20"/>
                <w:lang w:val="es-ES_tradnl"/>
              </w:rPr>
              <w:t>MDP-4</w:t>
            </w:r>
          </w:p>
        </w:tc>
        <w:tc>
          <w:tcPr>
            <w:tcW w:w="1134" w:type="dxa"/>
            <w:tcBorders>
              <w:top w:val="single" w:sz="4" w:space="0" w:color="auto"/>
              <w:left w:val="single" w:sz="4" w:space="0" w:color="auto"/>
              <w:bottom w:val="single" w:sz="4" w:space="0" w:color="auto"/>
              <w:right w:val="single" w:sz="4" w:space="0" w:color="auto"/>
            </w:tcBorders>
            <w:hideMark/>
          </w:tcPr>
          <w:p w14:paraId="5405DC1A" w14:textId="77777777" w:rsidR="002B37E9" w:rsidRPr="00140923" w:rsidRDefault="002B37E9" w:rsidP="00226764">
            <w:pPr>
              <w:pStyle w:val="Tabletext"/>
              <w:jc w:val="center"/>
              <w:rPr>
                <w:color w:val="000000"/>
                <w:sz w:val="20"/>
                <w:lang w:val="es-ES_tradnl"/>
              </w:rPr>
            </w:pPr>
            <w:r w:rsidRPr="00140923">
              <w:rPr>
                <w:color w:val="000000"/>
                <w:sz w:val="20"/>
                <w:lang w:val="es-ES_tradnl"/>
              </w:rPr>
              <w:t>MDP-4 O</w:t>
            </w:r>
          </w:p>
        </w:tc>
        <w:tc>
          <w:tcPr>
            <w:tcW w:w="992" w:type="dxa"/>
            <w:tcBorders>
              <w:top w:val="single" w:sz="4" w:space="0" w:color="auto"/>
              <w:left w:val="single" w:sz="4" w:space="0" w:color="auto"/>
              <w:bottom w:val="single" w:sz="4" w:space="0" w:color="auto"/>
              <w:right w:val="single" w:sz="4" w:space="0" w:color="auto"/>
            </w:tcBorders>
            <w:hideMark/>
          </w:tcPr>
          <w:p w14:paraId="7FD9A24A" w14:textId="77777777" w:rsidR="002B37E9" w:rsidRPr="00140923" w:rsidRDefault="002B37E9" w:rsidP="00226764">
            <w:pPr>
              <w:pStyle w:val="Tabletext"/>
              <w:jc w:val="center"/>
              <w:rPr>
                <w:color w:val="000000"/>
                <w:sz w:val="20"/>
                <w:lang w:val="es-ES_tradnl"/>
              </w:rPr>
            </w:pPr>
            <w:r w:rsidRPr="00140923">
              <w:rPr>
                <w:color w:val="000000"/>
                <w:sz w:val="20"/>
                <w:lang w:val="es-ES_tradnl"/>
              </w:rPr>
              <w:t>MDP-4</w:t>
            </w:r>
          </w:p>
        </w:tc>
        <w:tc>
          <w:tcPr>
            <w:tcW w:w="1134" w:type="dxa"/>
            <w:tcBorders>
              <w:top w:val="single" w:sz="4" w:space="0" w:color="auto"/>
              <w:left w:val="single" w:sz="4" w:space="0" w:color="auto"/>
              <w:bottom w:val="single" w:sz="4" w:space="0" w:color="auto"/>
              <w:right w:val="single" w:sz="4" w:space="0" w:color="auto"/>
            </w:tcBorders>
            <w:hideMark/>
          </w:tcPr>
          <w:p w14:paraId="5B33F0B6"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rPr>
              <w:t>MDP-4</w:t>
            </w:r>
          </w:p>
        </w:tc>
        <w:tc>
          <w:tcPr>
            <w:tcW w:w="1247" w:type="dxa"/>
            <w:tcBorders>
              <w:top w:val="single" w:sz="4" w:space="0" w:color="auto"/>
              <w:left w:val="single" w:sz="4" w:space="0" w:color="auto"/>
              <w:bottom w:val="single" w:sz="4" w:space="0" w:color="auto"/>
              <w:right w:val="single" w:sz="4" w:space="0" w:color="auto"/>
            </w:tcBorders>
            <w:hideMark/>
          </w:tcPr>
          <w:p w14:paraId="72A64B75"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MAQ-256</w:t>
            </w:r>
          </w:p>
        </w:tc>
        <w:tc>
          <w:tcPr>
            <w:tcW w:w="1191" w:type="dxa"/>
            <w:tcBorders>
              <w:top w:val="single" w:sz="4" w:space="0" w:color="auto"/>
              <w:left w:val="single" w:sz="4" w:space="0" w:color="auto"/>
              <w:bottom w:val="single" w:sz="4" w:space="0" w:color="auto"/>
              <w:right w:val="single" w:sz="4" w:space="0" w:color="auto"/>
            </w:tcBorders>
            <w:hideMark/>
          </w:tcPr>
          <w:p w14:paraId="70A9C36F" w14:textId="77777777" w:rsidR="002B37E9" w:rsidRPr="00140923" w:rsidRDefault="002B37E9" w:rsidP="00226764">
            <w:pPr>
              <w:pStyle w:val="Tabletext"/>
              <w:jc w:val="center"/>
              <w:rPr>
                <w:color w:val="000000"/>
                <w:sz w:val="20"/>
                <w:lang w:val="es-ES_tradnl"/>
              </w:rPr>
            </w:pPr>
            <w:r w:rsidRPr="00140923">
              <w:rPr>
                <w:color w:val="000000"/>
                <w:sz w:val="20"/>
                <w:lang w:val="es-ES_tradnl"/>
              </w:rPr>
              <w:t>MDM</w:t>
            </w:r>
          </w:p>
        </w:tc>
      </w:tr>
      <w:tr w:rsidR="002B37E9" w:rsidRPr="00140923" w14:paraId="14341968"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F6270A" w14:textId="77777777" w:rsidR="002B37E9" w:rsidRPr="00140923" w:rsidRDefault="002B37E9" w:rsidP="00226764">
            <w:pPr>
              <w:pStyle w:val="Tabletext"/>
              <w:jc w:val="left"/>
              <w:rPr>
                <w:color w:val="000000"/>
                <w:sz w:val="20"/>
                <w:lang w:val="es-ES_tradnl"/>
              </w:rPr>
            </w:pPr>
            <w:r w:rsidRPr="00140923">
              <w:rPr>
                <w:color w:val="000000"/>
                <w:sz w:val="20"/>
                <w:lang w:val="es-ES_tradnl"/>
              </w:rPr>
              <w:t xml:space="preserve">Separación de canales y anchura de banda de ruido del receptor (MHz) </w:t>
            </w:r>
          </w:p>
        </w:tc>
        <w:tc>
          <w:tcPr>
            <w:tcW w:w="1474" w:type="dxa"/>
            <w:tcBorders>
              <w:top w:val="single" w:sz="4" w:space="0" w:color="auto"/>
              <w:left w:val="single" w:sz="4" w:space="0" w:color="auto"/>
              <w:bottom w:val="single" w:sz="4" w:space="0" w:color="auto"/>
              <w:right w:val="single" w:sz="4" w:space="0" w:color="auto"/>
            </w:tcBorders>
            <w:hideMark/>
          </w:tcPr>
          <w:p w14:paraId="6444623A"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0</w:t>
            </w:r>
            <w:r w:rsidRPr="00140923">
              <w:rPr>
                <w:color w:val="000000"/>
                <w:sz w:val="20"/>
                <w:lang w:val="es-ES_tradnl"/>
              </w:rPr>
              <w:t>,</w:t>
            </w:r>
            <w:r w:rsidRPr="00140923">
              <w:rPr>
                <w:color w:val="000000"/>
                <w:sz w:val="20"/>
                <w:lang w:val="es-ES_tradnl" w:eastAsia="ja-JP"/>
              </w:rPr>
              <w:t>0</w:t>
            </w:r>
            <w:r w:rsidRPr="00140923">
              <w:rPr>
                <w:color w:val="000000"/>
                <w:sz w:val="20"/>
                <w:lang w:val="es-ES_tradnl"/>
              </w:rPr>
              <w:t>5</w:t>
            </w:r>
            <w:r w:rsidRPr="00140923">
              <w:rPr>
                <w:color w:val="000000"/>
                <w:sz w:val="20"/>
                <w:lang w:val="es-ES_tradnl" w:eastAsia="ja-JP"/>
              </w:rPr>
              <w:t xml:space="preserve">; 0,1; 0,15; 0,2; </w:t>
            </w:r>
            <w:r w:rsidRPr="00140923">
              <w:rPr>
                <w:b/>
                <w:color w:val="000000"/>
                <w:sz w:val="20"/>
                <w:lang w:val="es-ES_tradnl" w:eastAsia="ja-JP"/>
              </w:rPr>
              <w:t>0,25</w:t>
            </w:r>
            <w:r w:rsidRPr="00140923">
              <w:rPr>
                <w:color w:val="000000"/>
                <w:sz w:val="20"/>
                <w:lang w:val="es-ES_tradnl" w:eastAsia="ja-JP"/>
              </w:rPr>
              <w:t xml:space="preserve">; 0,3; 0,5; 0,6; 0,75; 1; 1,75; </w:t>
            </w:r>
            <w:r w:rsidRPr="00140923">
              <w:rPr>
                <w:b/>
                <w:color w:val="000000"/>
                <w:sz w:val="20"/>
                <w:lang w:val="es-ES_tradnl" w:eastAsia="ja-JP"/>
              </w:rPr>
              <w:t>3,5</w:t>
            </w:r>
          </w:p>
        </w:tc>
        <w:tc>
          <w:tcPr>
            <w:tcW w:w="1474" w:type="dxa"/>
            <w:tcBorders>
              <w:top w:val="single" w:sz="4" w:space="0" w:color="auto"/>
              <w:left w:val="single" w:sz="4" w:space="0" w:color="auto"/>
              <w:bottom w:val="single" w:sz="4" w:space="0" w:color="auto"/>
              <w:right w:val="single" w:sz="4" w:space="0" w:color="auto"/>
            </w:tcBorders>
            <w:hideMark/>
          </w:tcPr>
          <w:p w14:paraId="2E7942BB"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0</w:t>
            </w:r>
            <w:r w:rsidRPr="00140923">
              <w:rPr>
                <w:color w:val="000000"/>
                <w:sz w:val="20"/>
                <w:lang w:val="es-ES_tradnl"/>
              </w:rPr>
              <w:t>,</w:t>
            </w:r>
            <w:r w:rsidRPr="00140923">
              <w:rPr>
                <w:color w:val="000000"/>
                <w:sz w:val="20"/>
                <w:lang w:val="es-ES_tradnl" w:eastAsia="ja-JP"/>
              </w:rPr>
              <w:t>0</w:t>
            </w:r>
            <w:r w:rsidRPr="00140923">
              <w:rPr>
                <w:color w:val="000000"/>
                <w:sz w:val="20"/>
                <w:lang w:val="es-ES_tradnl"/>
              </w:rPr>
              <w:t>5</w:t>
            </w:r>
            <w:r w:rsidRPr="00140923">
              <w:rPr>
                <w:color w:val="000000"/>
                <w:sz w:val="20"/>
                <w:lang w:val="es-ES_tradnl" w:eastAsia="ja-JP"/>
              </w:rPr>
              <w:t xml:space="preserve">; 0,1; 0,15; </w:t>
            </w:r>
            <w:r w:rsidRPr="00140923">
              <w:rPr>
                <w:b/>
                <w:color w:val="000000"/>
                <w:sz w:val="20"/>
                <w:lang w:val="es-ES_tradnl" w:eastAsia="ja-JP"/>
              </w:rPr>
              <w:t>0,2</w:t>
            </w:r>
            <w:r w:rsidRPr="00140923">
              <w:rPr>
                <w:color w:val="000000"/>
                <w:sz w:val="20"/>
                <w:lang w:val="es-ES_tradnl" w:eastAsia="ja-JP"/>
              </w:rPr>
              <w:t xml:space="preserve">; 0,25; 0,3; 0,5; 0,6; 0,75; 1; </w:t>
            </w:r>
            <w:r w:rsidRPr="00140923">
              <w:rPr>
                <w:b/>
                <w:color w:val="000000"/>
                <w:sz w:val="20"/>
                <w:lang w:val="es-ES_tradnl" w:eastAsia="ja-JP"/>
              </w:rPr>
              <w:t>1,75</w:t>
            </w:r>
            <w:r w:rsidRPr="00140923">
              <w:rPr>
                <w:color w:val="000000"/>
                <w:sz w:val="20"/>
                <w:lang w:val="es-ES_tradnl" w:eastAsia="ja-JP"/>
              </w:rPr>
              <w:t>; 3,5</w:t>
            </w:r>
          </w:p>
        </w:tc>
        <w:tc>
          <w:tcPr>
            <w:tcW w:w="1077" w:type="dxa"/>
            <w:tcBorders>
              <w:top w:val="single" w:sz="4" w:space="0" w:color="auto"/>
              <w:left w:val="single" w:sz="4" w:space="0" w:color="auto"/>
              <w:bottom w:val="single" w:sz="4" w:space="0" w:color="auto"/>
              <w:right w:val="single" w:sz="4" w:space="0" w:color="auto"/>
            </w:tcBorders>
            <w:hideMark/>
          </w:tcPr>
          <w:p w14:paraId="7D01DCD7" w14:textId="77777777" w:rsidR="002B37E9" w:rsidRPr="00140923" w:rsidRDefault="002B37E9" w:rsidP="00226764">
            <w:pPr>
              <w:pStyle w:val="Tabletext"/>
              <w:jc w:val="center"/>
              <w:rPr>
                <w:color w:val="000000"/>
                <w:sz w:val="20"/>
                <w:lang w:val="es-ES_tradnl"/>
              </w:rPr>
            </w:pPr>
            <w:r w:rsidRPr="00140923">
              <w:rPr>
                <w:caps/>
                <w:color w:val="000000"/>
                <w:sz w:val="20"/>
                <w:lang w:val="es-ES_tradnl" w:eastAsia="ja-JP"/>
              </w:rPr>
              <w:t xml:space="preserve">0,25; 0,5; 1; </w:t>
            </w:r>
            <w:r w:rsidRPr="00140923">
              <w:rPr>
                <w:b/>
                <w:caps/>
                <w:color w:val="000000"/>
                <w:sz w:val="20"/>
                <w:lang w:val="es-ES_tradnl" w:eastAsia="ja-JP"/>
              </w:rPr>
              <w:t>2</w:t>
            </w:r>
            <w:r w:rsidRPr="00140923">
              <w:rPr>
                <w:caps/>
                <w:color w:val="000000"/>
                <w:sz w:val="20"/>
                <w:lang w:val="es-ES_tradnl" w:eastAsia="ja-JP"/>
              </w:rPr>
              <w:t>; 3,5</w:t>
            </w:r>
          </w:p>
        </w:tc>
        <w:tc>
          <w:tcPr>
            <w:tcW w:w="1191" w:type="dxa"/>
            <w:tcBorders>
              <w:top w:val="single" w:sz="4" w:space="0" w:color="auto"/>
              <w:left w:val="single" w:sz="4" w:space="0" w:color="auto"/>
              <w:bottom w:val="single" w:sz="4" w:space="0" w:color="auto"/>
              <w:right w:val="single" w:sz="4" w:space="0" w:color="auto"/>
            </w:tcBorders>
            <w:hideMark/>
          </w:tcPr>
          <w:p w14:paraId="4B822D4C" w14:textId="77777777" w:rsidR="002B37E9" w:rsidRPr="00140923" w:rsidRDefault="002B37E9" w:rsidP="00226764">
            <w:pPr>
              <w:pStyle w:val="Tabletext"/>
              <w:jc w:val="center"/>
              <w:rPr>
                <w:color w:val="000000"/>
                <w:sz w:val="20"/>
                <w:lang w:val="es-ES_tradnl" w:eastAsia="ja-JP"/>
              </w:rPr>
            </w:pPr>
            <w:r w:rsidRPr="00140923">
              <w:rPr>
                <w:caps/>
                <w:color w:val="000000"/>
                <w:sz w:val="20"/>
                <w:lang w:val="es-ES_tradnl" w:eastAsia="ja-JP"/>
              </w:rPr>
              <w:t>0,25; 0,5;</w:t>
            </w:r>
            <w:r w:rsidRPr="00140923">
              <w:rPr>
                <w:caps/>
                <w:color w:val="000000"/>
                <w:sz w:val="20"/>
                <w:lang w:val="es-ES_tradnl" w:eastAsia="ja-JP"/>
              </w:rPr>
              <w:br/>
            </w:r>
            <w:r w:rsidRPr="00140923">
              <w:rPr>
                <w:b/>
                <w:caps/>
                <w:color w:val="000000"/>
                <w:sz w:val="20"/>
                <w:lang w:val="es-ES_tradnl" w:eastAsia="ja-JP"/>
              </w:rPr>
              <w:t>1</w:t>
            </w:r>
            <w:r w:rsidRPr="00140923">
              <w:rPr>
                <w:caps/>
                <w:color w:val="000000"/>
                <w:sz w:val="20"/>
                <w:lang w:val="es-ES_tradnl" w:eastAsia="ja-JP"/>
              </w:rPr>
              <w:t xml:space="preserve">; </w:t>
            </w:r>
            <w:r w:rsidRPr="00140923">
              <w:rPr>
                <w:b/>
                <w:caps/>
                <w:color w:val="000000"/>
                <w:sz w:val="20"/>
                <w:lang w:val="es-ES_tradnl" w:eastAsia="ja-JP"/>
              </w:rPr>
              <w:t>2</w:t>
            </w:r>
            <w:r w:rsidRPr="00140923">
              <w:rPr>
                <w:caps/>
                <w:color w:val="000000"/>
                <w:sz w:val="20"/>
                <w:lang w:val="es-ES_tradnl" w:eastAsia="ja-JP"/>
              </w:rPr>
              <w:t xml:space="preserve">; </w:t>
            </w:r>
            <w:r w:rsidRPr="00140923">
              <w:rPr>
                <w:b/>
                <w:caps/>
                <w:color w:val="000000"/>
                <w:sz w:val="20"/>
                <w:lang w:val="es-ES_tradnl" w:eastAsia="ja-JP"/>
              </w:rPr>
              <w:t>3,5</w:t>
            </w:r>
          </w:p>
        </w:tc>
        <w:tc>
          <w:tcPr>
            <w:tcW w:w="1134" w:type="dxa"/>
            <w:tcBorders>
              <w:top w:val="single" w:sz="4" w:space="0" w:color="auto"/>
              <w:left w:val="single" w:sz="4" w:space="0" w:color="auto"/>
              <w:bottom w:val="single" w:sz="4" w:space="0" w:color="auto"/>
              <w:right w:val="single" w:sz="4" w:space="0" w:color="auto"/>
            </w:tcBorders>
            <w:hideMark/>
          </w:tcPr>
          <w:p w14:paraId="5C10ACED" w14:textId="77777777" w:rsidR="002B37E9" w:rsidRPr="00140923" w:rsidRDefault="002B37E9" w:rsidP="00226764">
            <w:pPr>
              <w:pStyle w:val="Tabletext"/>
              <w:jc w:val="center"/>
              <w:rPr>
                <w:b/>
                <w:color w:val="000000"/>
                <w:sz w:val="20"/>
                <w:lang w:val="es-ES_tradnl" w:eastAsia="ja-JP"/>
              </w:rPr>
            </w:pPr>
            <w:r w:rsidRPr="00140923">
              <w:rPr>
                <w:b/>
                <w:color w:val="000000"/>
                <w:sz w:val="20"/>
                <w:lang w:val="es-ES_tradnl" w:eastAsia="ja-JP"/>
              </w:rPr>
              <w:t>29</w:t>
            </w:r>
          </w:p>
        </w:tc>
        <w:tc>
          <w:tcPr>
            <w:tcW w:w="992" w:type="dxa"/>
            <w:tcBorders>
              <w:top w:val="single" w:sz="4" w:space="0" w:color="auto"/>
              <w:left w:val="single" w:sz="4" w:space="0" w:color="auto"/>
              <w:bottom w:val="single" w:sz="4" w:space="0" w:color="auto"/>
              <w:right w:val="single" w:sz="4" w:space="0" w:color="auto"/>
            </w:tcBorders>
            <w:hideMark/>
          </w:tcPr>
          <w:p w14:paraId="06C6E4A8" w14:textId="77777777" w:rsidR="002B37E9" w:rsidRPr="00140923" w:rsidRDefault="002B37E9" w:rsidP="00226764">
            <w:pPr>
              <w:pStyle w:val="Tabletext"/>
              <w:jc w:val="center"/>
              <w:rPr>
                <w:b/>
                <w:color w:val="000000"/>
                <w:sz w:val="20"/>
                <w:lang w:val="es-ES_tradnl" w:eastAsia="ja-JP"/>
              </w:rPr>
            </w:pPr>
            <w:r w:rsidRPr="00140923">
              <w:rPr>
                <w:b/>
                <w:color w:val="000000"/>
                <w:sz w:val="20"/>
                <w:lang w:val="es-ES_tradnl" w:eastAsia="ja-JP"/>
              </w:rPr>
              <w:t>29</w:t>
            </w:r>
          </w:p>
        </w:tc>
        <w:tc>
          <w:tcPr>
            <w:tcW w:w="1134" w:type="dxa"/>
            <w:tcBorders>
              <w:top w:val="single" w:sz="4" w:space="0" w:color="auto"/>
              <w:left w:val="single" w:sz="4" w:space="0" w:color="auto"/>
              <w:bottom w:val="single" w:sz="4" w:space="0" w:color="auto"/>
              <w:right w:val="single" w:sz="4" w:space="0" w:color="auto"/>
            </w:tcBorders>
            <w:hideMark/>
          </w:tcPr>
          <w:p w14:paraId="173EAB5E"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1,75;</w:t>
            </w:r>
            <w:r w:rsidRPr="00140923">
              <w:rPr>
                <w:b/>
                <w:color w:val="000000"/>
                <w:sz w:val="20"/>
                <w:lang w:val="es-ES_tradnl" w:eastAsia="ja-JP"/>
              </w:rPr>
              <w:t xml:space="preserve"> 2</w:t>
            </w:r>
            <w:r w:rsidRPr="00140923">
              <w:rPr>
                <w:b/>
                <w:color w:val="000000"/>
                <w:sz w:val="20"/>
                <w:lang w:val="es-ES_tradnl"/>
              </w:rPr>
              <w:t>,5</w:t>
            </w:r>
            <w:r w:rsidRPr="00140923">
              <w:rPr>
                <w:color w:val="000000"/>
                <w:sz w:val="20"/>
                <w:lang w:val="es-ES_tradnl" w:eastAsia="ja-JP"/>
              </w:rPr>
              <w:t xml:space="preserve">; 3,5; </w:t>
            </w:r>
            <w:r w:rsidRPr="00140923">
              <w:rPr>
                <w:b/>
                <w:color w:val="000000"/>
                <w:sz w:val="20"/>
                <w:lang w:val="es-ES_tradnl" w:eastAsia="ja-JP"/>
              </w:rPr>
              <w:t>7</w:t>
            </w:r>
            <w:r w:rsidRPr="00140923">
              <w:rPr>
                <w:color w:val="000000"/>
                <w:sz w:val="20"/>
                <w:lang w:val="es-ES_tradnl" w:eastAsia="ja-JP"/>
              </w:rPr>
              <w:t>;</w:t>
            </w:r>
            <w:r w:rsidRPr="00140923">
              <w:rPr>
                <w:color w:val="000000"/>
                <w:sz w:val="20"/>
                <w:lang w:val="es-ES_tradnl" w:eastAsia="ja-JP"/>
              </w:rPr>
              <w:br/>
              <w:t xml:space="preserve">10; </w:t>
            </w:r>
            <w:r w:rsidRPr="00140923">
              <w:rPr>
                <w:b/>
                <w:color w:val="000000"/>
                <w:sz w:val="20"/>
                <w:lang w:val="es-ES_tradnl" w:eastAsia="ja-JP"/>
              </w:rPr>
              <w:t>14</w:t>
            </w:r>
          </w:p>
        </w:tc>
        <w:tc>
          <w:tcPr>
            <w:tcW w:w="1247" w:type="dxa"/>
            <w:tcBorders>
              <w:top w:val="single" w:sz="4" w:space="0" w:color="auto"/>
              <w:left w:val="single" w:sz="4" w:space="0" w:color="auto"/>
              <w:bottom w:val="single" w:sz="4" w:space="0" w:color="auto"/>
              <w:right w:val="single" w:sz="4" w:space="0" w:color="auto"/>
            </w:tcBorders>
            <w:hideMark/>
          </w:tcPr>
          <w:p w14:paraId="5A4100AD"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1,75; 2</w:t>
            </w:r>
            <w:r w:rsidRPr="00140923">
              <w:rPr>
                <w:color w:val="000000"/>
                <w:sz w:val="20"/>
                <w:lang w:val="es-ES_tradnl"/>
              </w:rPr>
              <w:t>,5</w:t>
            </w:r>
            <w:r w:rsidRPr="00140923">
              <w:rPr>
                <w:color w:val="000000"/>
                <w:sz w:val="20"/>
                <w:lang w:val="es-ES_tradnl" w:eastAsia="ja-JP"/>
              </w:rPr>
              <w:t xml:space="preserve">; </w:t>
            </w:r>
            <w:r w:rsidRPr="00140923">
              <w:rPr>
                <w:b/>
                <w:color w:val="000000"/>
                <w:sz w:val="20"/>
                <w:lang w:val="es-ES_tradnl" w:eastAsia="ja-JP"/>
              </w:rPr>
              <w:t>3,5</w:t>
            </w:r>
            <w:r w:rsidRPr="00140923">
              <w:rPr>
                <w:color w:val="000000"/>
                <w:sz w:val="20"/>
                <w:lang w:val="es-ES_tradnl" w:eastAsia="ja-JP"/>
              </w:rPr>
              <w:t>; 7; 10; 14</w:t>
            </w:r>
          </w:p>
        </w:tc>
        <w:tc>
          <w:tcPr>
            <w:tcW w:w="1191" w:type="dxa"/>
            <w:tcBorders>
              <w:top w:val="single" w:sz="4" w:space="0" w:color="auto"/>
              <w:left w:val="single" w:sz="4" w:space="0" w:color="auto"/>
              <w:bottom w:val="single" w:sz="4" w:space="0" w:color="auto"/>
              <w:right w:val="single" w:sz="4" w:space="0" w:color="auto"/>
            </w:tcBorders>
            <w:hideMark/>
          </w:tcPr>
          <w:p w14:paraId="0AC3CA49"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0,2</w:t>
            </w:r>
            <w:r w:rsidRPr="00140923">
              <w:rPr>
                <w:color w:val="000000"/>
                <w:sz w:val="20"/>
                <w:lang w:val="es-ES_tradnl"/>
              </w:rPr>
              <w:t>5</w:t>
            </w:r>
            <w:r w:rsidRPr="00140923">
              <w:rPr>
                <w:color w:val="000000"/>
                <w:sz w:val="20"/>
                <w:lang w:val="es-ES_tradnl" w:eastAsia="ja-JP"/>
              </w:rPr>
              <w:t>; 0,5; 1; 1,75; 2; 2,5; 3,5; 7; </w:t>
            </w:r>
            <w:r w:rsidRPr="00140923">
              <w:rPr>
                <w:b/>
                <w:color w:val="000000"/>
                <w:sz w:val="20"/>
                <w:lang w:val="es-ES_tradnl" w:eastAsia="ja-JP"/>
              </w:rPr>
              <w:t>14</w:t>
            </w:r>
          </w:p>
        </w:tc>
      </w:tr>
      <w:tr w:rsidR="002B37E9" w:rsidRPr="00140923" w14:paraId="4089B361"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BF57D1" w14:textId="77777777" w:rsidR="002B37E9" w:rsidRPr="00140923" w:rsidRDefault="002B37E9" w:rsidP="00226764">
            <w:pPr>
              <w:pStyle w:val="Tabletext"/>
              <w:jc w:val="left"/>
              <w:rPr>
                <w:color w:val="000000"/>
                <w:sz w:val="20"/>
                <w:lang w:val="es-ES_tradnl"/>
              </w:rPr>
            </w:pPr>
            <w:r w:rsidRPr="00140923">
              <w:rPr>
                <w:color w:val="000000"/>
                <w:sz w:val="20"/>
                <w:lang w:val="es-ES_tradnl"/>
              </w:rPr>
              <w:t xml:space="preserve">Gama máxima de potencia de salida del transmisor (dBW) </w:t>
            </w:r>
          </w:p>
        </w:tc>
        <w:tc>
          <w:tcPr>
            <w:tcW w:w="1474" w:type="dxa"/>
            <w:tcBorders>
              <w:top w:val="single" w:sz="4" w:space="0" w:color="auto"/>
              <w:left w:val="single" w:sz="4" w:space="0" w:color="auto"/>
              <w:bottom w:val="single" w:sz="4" w:space="0" w:color="auto"/>
              <w:right w:val="single" w:sz="4" w:space="0" w:color="auto"/>
            </w:tcBorders>
            <w:hideMark/>
          </w:tcPr>
          <w:p w14:paraId="2098A6C6"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7</w:t>
            </w:r>
          </w:p>
        </w:tc>
        <w:tc>
          <w:tcPr>
            <w:tcW w:w="1474" w:type="dxa"/>
            <w:tcBorders>
              <w:top w:val="single" w:sz="4" w:space="0" w:color="auto"/>
              <w:left w:val="single" w:sz="4" w:space="0" w:color="auto"/>
              <w:bottom w:val="single" w:sz="4" w:space="0" w:color="auto"/>
              <w:right w:val="single" w:sz="4" w:space="0" w:color="auto"/>
            </w:tcBorders>
            <w:hideMark/>
          </w:tcPr>
          <w:p w14:paraId="1B42B61A"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0</w:t>
            </w:r>
          </w:p>
        </w:tc>
        <w:tc>
          <w:tcPr>
            <w:tcW w:w="1077" w:type="dxa"/>
            <w:tcBorders>
              <w:top w:val="single" w:sz="4" w:space="0" w:color="auto"/>
              <w:left w:val="single" w:sz="4" w:space="0" w:color="auto"/>
              <w:bottom w:val="single" w:sz="4" w:space="0" w:color="auto"/>
              <w:right w:val="single" w:sz="4" w:space="0" w:color="auto"/>
            </w:tcBorders>
            <w:hideMark/>
          </w:tcPr>
          <w:p w14:paraId="6950B173"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7</w:t>
            </w:r>
          </w:p>
        </w:tc>
        <w:tc>
          <w:tcPr>
            <w:tcW w:w="1191" w:type="dxa"/>
            <w:tcBorders>
              <w:top w:val="single" w:sz="4" w:space="0" w:color="auto"/>
              <w:left w:val="single" w:sz="4" w:space="0" w:color="auto"/>
              <w:bottom w:val="single" w:sz="4" w:space="0" w:color="auto"/>
              <w:right w:val="single" w:sz="4" w:space="0" w:color="auto"/>
            </w:tcBorders>
            <w:hideMark/>
          </w:tcPr>
          <w:p w14:paraId="57B476D9"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0</w:t>
            </w:r>
            <w:r w:rsidRPr="00140923">
              <w:rPr>
                <w:color w:val="000000"/>
                <w:sz w:val="20"/>
                <w:lang w:val="es-ES_tradnl"/>
              </w:rPr>
              <w:t>…</w:t>
            </w:r>
            <w:r w:rsidRPr="00140923">
              <w:rPr>
                <w:color w:val="000000"/>
                <w:sz w:val="20"/>
                <w:lang w:val="es-ES_tradnl" w:eastAsia="ja-JP"/>
              </w:rPr>
              <w:t>7</w:t>
            </w:r>
          </w:p>
        </w:tc>
        <w:tc>
          <w:tcPr>
            <w:tcW w:w="1134" w:type="dxa"/>
            <w:tcBorders>
              <w:top w:val="single" w:sz="4" w:space="0" w:color="auto"/>
              <w:left w:val="single" w:sz="4" w:space="0" w:color="auto"/>
              <w:bottom w:val="single" w:sz="4" w:space="0" w:color="auto"/>
              <w:right w:val="single" w:sz="4" w:space="0" w:color="auto"/>
            </w:tcBorders>
            <w:hideMark/>
          </w:tcPr>
          <w:p w14:paraId="41403627"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7</w:t>
            </w:r>
          </w:p>
        </w:tc>
        <w:tc>
          <w:tcPr>
            <w:tcW w:w="992" w:type="dxa"/>
            <w:tcBorders>
              <w:top w:val="single" w:sz="4" w:space="0" w:color="auto"/>
              <w:left w:val="single" w:sz="4" w:space="0" w:color="auto"/>
              <w:bottom w:val="single" w:sz="4" w:space="0" w:color="auto"/>
              <w:right w:val="single" w:sz="4" w:space="0" w:color="auto"/>
            </w:tcBorders>
            <w:hideMark/>
          </w:tcPr>
          <w:p w14:paraId="576A4F68"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3</w:t>
            </w:r>
          </w:p>
        </w:tc>
        <w:tc>
          <w:tcPr>
            <w:tcW w:w="1134" w:type="dxa"/>
            <w:tcBorders>
              <w:top w:val="single" w:sz="4" w:space="0" w:color="auto"/>
              <w:left w:val="single" w:sz="4" w:space="0" w:color="auto"/>
              <w:bottom w:val="single" w:sz="4" w:space="0" w:color="auto"/>
              <w:right w:val="single" w:sz="4" w:space="0" w:color="auto"/>
            </w:tcBorders>
            <w:hideMark/>
          </w:tcPr>
          <w:p w14:paraId="24752F6F"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−9</w:t>
            </w:r>
            <w:r w:rsidRPr="00140923">
              <w:rPr>
                <w:color w:val="000000"/>
                <w:sz w:val="20"/>
                <w:lang w:val="es-ES_tradnl"/>
              </w:rPr>
              <w:t>…</w:t>
            </w:r>
            <w:r w:rsidRPr="00140923">
              <w:rPr>
                <w:color w:val="000000"/>
                <w:sz w:val="20"/>
                <w:lang w:val="es-ES_tradnl" w:eastAsia="ja-JP"/>
              </w:rPr>
              <w:t>7</w:t>
            </w:r>
          </w:p>
        </w:tc>
        <w:tc>
          <w:tcPr>
            <w:tcW w:w="1247" w:type="dxa"/>
            <w:tcBorders>
              <w:top w:val="single" w:sz="4" w:space="0" w:color="auto"/>
              <w:left w:val="single" w:sz="4" w:space="0" w:color="auto"/>
              <w:bottom w:val="single" w:sz="4" w:space="0" w:color="auto"/>
              <w:right w:val="single" w:sz="4" w:space="0" w:color="auto"/>
            </w:tcBorders>
            <w:hideMark/>
          </w:tcPr>
          <w:p w14:paraId="3EA98952"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w:t>
            </w:r>
            <w:r w:rsidRPr="00140923">
              <w:rPr>
                <w:color w:val="000000"/>
                <w:sz w:val="20"/>
                <w:lang w:val="es-ES_tradnl"/>
              </w:rPr>
              <w:t>…</w:t>
            </w:r>
            <w:r w:rsidRPr="00140923">
              <w:rPr>
                <w:color w:val="000000"/>
                <w:sz w:val="20"/>
                <w:lang w:val="es-ES_tradnl" w:eastAsia="ja-JP"/>
              </w:rPr>
              <w:t>2</w:t>
            </w:r>
          </w:p>
        </w:tc>
        <w:tc>
          <w:tcPr>
            <w:tcW w:w="1191" w:type="dxa"/>
            <w:tcBorders>
              <w:top w:val="single" w:sz="4" w:space="0" w:color="auto"/>
              <w:left w:val="single" w:sz="4" w:space="0" w:color="auto"/>
              <w:bottom w:val="single" w:sz="4" w:space="0" w:color="auto"/>
              <w:right w:val="single" w:sz="4" w:space="0" w:color="auto"/>
            </w:tcBorders>
            <w:hideMark/>
          </w:tcPr>
          <w:p w14:paraId="0905DA05"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5</w:t>
            </w:r>
          </w:p>
        </w:tc>
      </w:tr>
      <w:tr w:rsidR="002B37E9" w:rsidRPr="00140923" w14:paraId="0B8935A4"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B3679A" w14:textId="77777777" w:rsidR="002B37E9" w:rsidRPr="00140923" w:rsidRDefault="002B37E9" w:rsidP="00226764">
            <w:pPr>
              <w:pStyle w:val="Tabletext"/>
              <w:jc w:val="left"/>
              <w:rPr>
                <w:color w:val="000000"/>
                <w:sz w:val="20"/>
                <w:lang w:val="es-ES_tradnl"/>
              </w:rPr>
            </w:pPr>
            <w:r w:rsidRPr="00140923">
              <w:rPr>
                <w:color w:val="000000"/>
                <w:sz w:val="20"/>
                <w:lang w:val="es-ES_tradnl"/>
              </w:rPr>
              <w:t>Gama máxima de densidad de potencia de salida del transmisor (dBW/MHz)</w:t>
            </w:r>
            <w:r w:rsidRPr="00140923">
              <w:rPr>
                <w:color w:val="000000"/>
                <w:sz w:val="20"/>
                <w:vertAlign w:val="superscript"/>
                <w:lang w:val="es-ES_tradnl" w:eastAsia="ja-JP"/>
              </w:rPr>
              <w:t>(1)</w:t>
            </w:r>
          </w:p>
        </w:tc>
        <w:tc>
          <w:tcPr>
            <w:tcW w:w="1474" w:type="dxa"/>
            <w:tcBorders>
              <w:top w:val="single" w:sz="4" w:space="0" w:color="auto"/>
              <w:left w:val="single" w:sz="4" w:space="0" w:color="auto"/>
              <w:bottom w:val="single" w:sz="4" w:space="0" w:color="auto"/>
              <w:right w:val="single" w:sz="4" w:space="0" w:color="auto"/>
            </w:tcBorders>
            <w:hideMark/>
          </w:tcPr>
          <w:p w14:paraId="669A7734"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1,6…13</w:t>
            </w:r>
          </w:p>
        </w:tc>
        <w:tc>
          <w:tcPr>
            <w:tcW w:w="1474" w:type="dxa"/>
            <w:tcBorders>
              <w:top w:val="single" w:sz="4" w:space="0" w:color="auto"/>
              <w:left w:val="single" w:sz="4" w:space="0" w:color="auto"/>
              <w:bottom w:val="single" w:sz="4" w:space="0" w:color="auto"/>
              <w:right w:val="single" w:sz="4" w:space="0" w:color="auto"/>
            </w:tcBorders>
            <w:hideMark/>
          </w:tcPr>
          <w:p w14:paraId="4EDBF442"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−2,4…7,0</w:t>
            </w:r>
          </w:p>
        </w:tc>
        <w:tc>
          <w:tcPr>
            <w:tcW w:w="1077" w:type="dxa"/>
            <w:tcBorders>
              <w:top w:val="single" w:sz="4" w:space="0" w:color="auto"/>
              <w:left w:val="single" w:sz="4" w:space="0" w:color="auto"/>
              <w:bottom w:val="single" w:sz="4" w:space="0" w:color="auto"/>
              <w:right w:val="single" w:sz="4" w:space="0" w:color="auto"/>
            </w:tcBorders>
            <w:hideMark/>
          </w:tcPr>
          <w:p w14:paraId="6736772B"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4,0</w:t>
            </w:r>
          </w:p>
        </w:tc>
        <w:tc>
          <w:tcPr>
            <w:tcW w:w="1191" w:type="dxa"/>
            <w:tcBorders>
              <w:top w:val="single" w:sz="4" w:space="0" w:color="auto"/>
              <w:left w:val="single" w:sz="4" w:space="0" w:color="auto"/>
              <w:bottom w:val="single" w:sz="4" w:space="0" w:color="auto"/>
              <w:right w:val="single" w:sz="4" w:space="0" w:color="auto"/>
            </w:tcBorders>
            <w:hideMark/>
          </w:tcPr>
          <w:p w14:paraId="2F869BBE"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−3,0…7</w:t>
            </w:r>
          </w:p>
        </w:tc>
        <w:tc>
          <w:tcPr>
            <w:tcW w:w="1134" w:type="dxa"/>
            <w:tcBorders>
              <w:top w:val="single" w:sz="4" w:space="0" w:color="auto"/>
              <w:left w:val="single" w:sz="4" w:space="0" w:color="auto"/>
              <w:bottom w:val="single" w:sz="4" w:space="0" w:color="auto"/>
              <w:right w:val="single" w:sz="4" w:space="0" w:color="auto"/>
            </w:tcBorders>
            <w:hideMark/>
          </w:tcPr>
          <w:p w14:paraId="5A1189CF"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−7,6</w:t>
            </w:r>
          </w:p>
        </w:tc>
        <w:tc>
          <w:tcPr>
            <w:tcW w:w="992" w:type="dxa"/>
            <w:tcBorders>
              <w:top w:val="single" w:sz="4" w:space="0" w:color="auto"/>
              <w:left w:val="single" w:sz="4" w:space="0" w:color="auto"/>
              <w:bottom w:val="single" w:sz="4" w:space="0" w:color="auto"/>
              <w:right w:val="single" w:sz="4" w:space="0" w:color="auto"/>
            </w:tcBorders>
            <w:hideMark/>
          </w:tcPr>
          <w:p w14:paraId="6DE0B678"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−12</w:t>
            </w:r>
          </w:p>
        </w:tc>
        <w:tc>
          <w:tcPr>
            <w:tcW w:w="1134" w:type="dxa"/>
            <w:tcBorders>
              <w:top w:val="single" w:sz="4" w:space="0" w:color="auto"/>
              <w:left w:val="single" w:sz="4" w:space="0" w:color="auto"/>
              <w:bottom w:val="single" w:sz="4" w:space="0" w:color="auto"/>
              <w:right w:val="single" w:sz="4" w:space="0" w:color="auto"/>
            </w:tcBorders>
            <w:hideMark/>
          </w:tcPr>
          <w:p w14:paraId="60C5057D"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−14…−1,5</w:t>
            </w:r>
          </w:p>
        </w:tc>
        <w:tc>
          <w:tcPr>
            <w:tcW w:w="1247" w:type="dxa"/>
            <w:tcBorders>
              <w:top w:val="single" w:sz="4" w:space="0" w:color="auto"/>
              <w:left w:val="single" w:sz="4" w:space="0" w:color="auto"/>
              <w:bottom w:val="single" w:sz="4" w:space="0" w:color="auto"/>
              <w:right w:val="single" w:sz="4" w:space="0" w:color="auto"/>
            </w:tcBorders>
            <w:hideMark/>
          </w:tcPr>
          <w:p w14:paraId="01707BD5"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−6,4…−3,4</w:t>
            </w:r>
          </w:p>
        </w:tc>
        <w:tc>
          <w:tcPr>
            <w:tcW w:w="1191" w:type="dxa"/>
            <w:tcBorders>
              <w:top w:val="single" w:sz="4" w:space="0" w:color="auto"/>
              <w:left w:val="single" w:sz="4" w:space="0" w:color="auto"/>
              <w:bottom w:val="single" w:sz="4" w:space="0" w:color="auto"/>
              <w:right w:val="single" w:sz="4" w:space="0" w:color="auto"/>
            </w:tcBorders>
            <w:hideMark/>
          </w:tcPr>
          <w:p w14:paraId="534B51AD"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−6,5</w:t>
            </w:r>
          </w:p>
        </w:tc>
      </w:tr>
      <w:tr w:rsidR="002B37E9" w:rsidRPr="00140923" w14:paraId="327B4FFA"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9DB80B6" w14:textId="77777777" w:rsidR="002B37E9" w:rsidRPr="00140923" w:rsidRDefault="002B37E9" w:rsidP="00226764">
            <w:pPr>
              <w:pStyle w:val="Tabletext"/>
              <w:jc w:val="left"/>
              <w:rPr>
                <w:color w:val="000000"/>
                <w:sz w:val="20"/>
                <w:lang w:val="es-ES_tradnl"/>
              </w:rPr>
            </w:pPr>
            <w:r w:rsidRPr="00140923">
              <w:rPr>
                <w:color w:val="000000"/>
                <w:sz w:val="20"/>
                <w:lang w:val="es-ES_tradnl"/>
              </w:rPr>
              <w:t xml:space="preserve">Gama mínima de pérdida del alimentador/multiplexor (dB) </w:t>
            </w:r>
          </w:p>
        </w:tc>
        <w:tc>
          <w:tcPr>
            <w:tcW w:w="1474" w:type="dxa"/>
            <w:tcBorders>
              <w:top w:val="single" w:sz="4" w:space="0" w:color="auto"/>
              <w:left w:val="single" w:sz="4" w:space="0" w:color="auto"/>
              <w:bottom w:val="single" w:sz="4" w:space="0" w:color="auto"/>
              <w:right w:val="single" w:sz="4" w:space="0" w:color="auto"/>
            </w:tcBorders>
            <w:hideMark/>
          </w:tcPr>
          <w:p w14:paraId="64E59F6E"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w:t>
            </w:r>
          </w:p>
        </w:tc>
        <w:tc>
          <w:tcPr>
            <w:tcW w:w="1474" w:type="dxa"/>
            <w:tcBorders>
              <w:top w:val="single" w:sz="4" w:space="0" w:color="auto"/>
              <w:left w:val="single" w:sz="4" w:space="0" w:color="auto"/>
              <w:bottom w:val="single" w:sz="4" w:space="0" w:color="auto"/>
              <w:right w:val="single" w:sz="4" w:space="0" w:color="auto"/>
            </w:tcBorders>
            <w:hideMark/>
          </w:tcPr>
          <w:p w14:paraId="58222C94"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w:t>
            </w:r>
          </w:p>
        </w:tc>
        <w:tc>
          <w:tcPr>
            <w:tcW w:w="1077" w:type="dxa"/>
            <w:tcBorders>
              <w:top w:val="single" w:sz="4" w:space="0" w:color="auto"/>
              <w:left w:val="single" w:sz="4" w:space="0" w:color="auto"/>
              <w:bottom w:val="single" w:sz="4" w:space="0" w:color="auto"/>
              <w:right w:val="single" w:sz="4" w:space="0" w:color="auto"/>
            </w:tcBorders>
            <w:hideMark/>
          </w:tcPr>
          <w:p w14:paraId="32152001"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5</w:t>
            </w:r>
          </w:p>
        </w:tc>
        <w:tc>
          <w:tcPr>
            <w:tcW w:w="1191" w:type="dxa"/>
            <w:tcBorders>
              <w:top w:val="single" w:sz="4" w:space="0" w:color="auto"/>
              <w:left w:val="single" w:sz="4" w:space="0" w:color="auto"/>
              <w:bottom w:val="single" w:sz="4" w:space="0" w:color="auto"/>
              <w:right w:val="single" w:sz="4" w:space="0" w:color="auto"/>
            </w:tcBorders>
            <w:hideMark/>
          </w:tcPr>
          <w:p w14:paraId="6F7991F7"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w:t>
            </w:r>
            <w:r w:rsidRPr="00140923">
              <w:rPr>
                <w:color w:val="000000"/>
                <w:sz w:val="20"/>
                <w:lang w:val="es-ES_tradnl"/>
              </w:rPr>
              <w:t>…</w:t>
            </w:r>
            <w:r w:rsidRPr="00140923">
              <w:rPr>
                <w:color w:val="000000"/>
                <w:sz w:val="20"/>
                <w:lang w:val="es-ES_tradnl" w:eastAsia="ja-JP"/>
              </w:rPr>
              <w:t>5</w:t>
            </w:r>
          </w:p>
        </w:tc>
        <w:tc>
          <w:tcPr>
            <w:tcW w:w="1134" w:type="dxa"/>
            <w:tcBorders>
              <w:top w:val="single" w:sz="4" w:space="0" w:color="auto"/>
              <w:left w:val="single" w:sz="4" w:space="0" w:color="auto"/>
              <w:bottom w:val="single" w:sz="4" w:space="0" w:color="auto"/>
              <w:right w:val="single" w:sz="4" w:space="0" w:color="auto"/>
            </w:tcBorders>
            <w:hideMark/>
          </w:tcPr>
          <w:p w14:paraId="25E19523"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3</w:t>
            </w:r>
          </w:p>
        </w:tc>
        <w:tc>
          <w:tcPr>
            <w:tcW w:w="992" w:type="dxa"/>
            <w:tcBorders>
              <w:top w:val="single" w:sz="4" w:space="0" w:color="auto"/>
              <w:left w:val="single" w:sz="4" w:space="0" w:color="auto"/>
              <w:bottom w:val="single" w:sz="4" w:space="0" w:color="auto"/>
              <w:right w:val="single" w:sz="4" w:space="0" w:color="auto"/>
            </w:tcBorders>
            <w:hideMark/>
          </w:tcPr>
          <w:p w14:paraId="5A23227A"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1</w:t>
            </w:r>
          </w:p>
        </w:tc>
        <w:tc>
          <w:tcPr>
            <w:tcW w:w="1134" w:type="dxa"/>
            <w:tcBorders>
              <w:top w:val="single" w:sz="4" w:space="0" w:color="auto"/>
              <w:left w:val="single" w:sz="4" w:space="0" w:color="auto"/>
              <w:bottom w:val="single" w:sz="4" w:space="0" w:color="auto"/>
              <w:right w:val="single" w:sz="4" w:space="0" w:color="auto"/>
            </w:tcBorders>
            <w:hideMark/>
          </w:tcPr>
          <w:p w14:paraId="10EE7618"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w:t>
            </w:r>
            <w:r w:rsidRPr="00140923">
              <w:rPr>
                <w:color w:val="000000"/>
                <w:sz w:val="20"/>
                <w:lang w:val="es-ES_tradnl"/>
              </w:rPr>
              <w:t>…</w:t>
            </w:r>
            <w:r w:rsidRPr="00140923">
              <w:rPr>
                <w:color w:val="000000"/>
                <w:sz w:val="20"/>
                <w:lang w:val="es-ES_tradnl" w:eastAsia="ja-JP"/>
              </w:rPr>
              <w:t>6</w:t>
            </w:r>
          </w:p>
        </w:tc>
        <w:tc>
          <w:tcPr>
            <w:tcW w:w="1247" w:type="dxa"/>
            <w:tcBorders>
              <w:top w:val="single" w:sz="4" w:space="0" w:color="auto"/>
              <w:left w:val="single" w:sz="4" w:space="0" w:color="auto"/>
              <w:bottom w:val="single" w:sz="4" w:space="0" w:color="auto"/>
              <w:right w:val="single" w:sz="4" w:space="0" w:color="auto"/>
            </w:tcBorders>
            <w:hideMark/>
          </w:tcPr>
          <w:p w14:paraId="27352D0B"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0</w:t>
            </w:r>
            <w:r w:rsidRPr="00140923">
              <w:rPr>
                <w:color w:val="000000"/>
                <w:sz w:val="20"/>
                <w:lang w:val="es-ES_tradnl"/>
              </w:rPr>
              <w:t>…</w:t>
            </w:r>
            <w:r w:rsidRPr="00140923">
              <w:rPr>
                <w:color w:val="000000"/>
                <w:sz w:val="20"/>
                <w:lang w:val="es-ES_tradnl" w:eastAsia="ja-JP"/>
              </w:rPr>
              <w:t>2</w:t>
            </w:r>
          </w:p>
        </w:tc>
        <w:tc>
          <w:tcPr>
            <w:tcW w:w="1191" w:type="dxa"/>
            <w:tcBorders>
              <w:top w:val="single" w:sz="4" w:space="0" w:color="auto"/>
              <w:left w:val="single" w:sz="4" w:space="0" w:color="auto"/>
              <w:bottom w:val="single" w:sz="4" w:space="0" w:color="auto"/>
              <w:right w:val="single" w:sz="4" w:space="0" w:color="auto"/>
            </w:tcBorders>
            <w:hideMark/>
          </w:tcPr>
          <w:p w14:paraId="3E0DCCEC"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4</w:t>
            </w:r>
          </w:p>
        </w:tc>
      </w:tr>
      <w:tr w:rsidR="002B37E9" w:rsidRPr="00140923" w14:paraId="01F3615F"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B80648" w14:textId="77777777" w:rsidR="002B37E9" w:rsidRPr="00140923" w:rsidRDefault="002B37E9" w:rsidP="00226764">
            <w:pPr>
              <w:pStyle w:val="Tabletext"/>
              <w:jc w:val="left"/>
              <w:rPr>
                <w:color w:val="000000"/>
                <w:sz w:val="20"/>
                <w:lang w:val="es-ES_tradnl"/>
              </w:rPr>
            </w:pPr>
            <w:r w:rsidRPr="00140923">
              <w:rPr>
                <w:color w:val="000000"/>
                <w:sz w:val="20"/>
                <w:lang w:val="es-ES_tradnl"/>
              </w:rPr>
              <w:t>Gama máxima de ganancia de la antena (dBi)</w:t>
            </w:r>
          </w:p>
        </w:tc>
        <w:tc>
          <w:tcPr>
            <w:tcW w:w="1474" w:type="dxa"/>
            <w:tcBorders>
              <w:top w:val="single" w:sz="4" w:space="0" w:color="auto"/>
              <w:left w:val="single" w:sz="4" w:space="0" w:color="auto"/>
              <w:bottom w:val="single" w:sz="4" w:space="0" w:color="auto"/>
              <w:right w:val="single" w:sz="4" w:space="0" w:color="auto"/>
            </w:tcBorders>
            <w:hideMark/>
          </w:tcPr>
          <w:p w14:paraId="11D5D78B"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25</w:t>
            </w:r>
          </w:p>
        </w:tc>
        <w:tc>
          <w:tcPr>
            <w:tcW w:w="1474" w:type="dxa"/>
            <w:tcBorders>
              <w:top w:val="single" w:sz="4" w:space="0" w:color="auto"/>
              <w:left w:val="single" w:sz="4" w:space="0" w:color="auto"/>
              <w:bottom w:val="single" w:sz="4" w:space="0" w:color="auto"/>
              <w:right w:val="single" w:sz="4" w:space="0" w:color="auto"/>
            </w:tcBorders>
            <w:hideMark/>
          </w:tcPr>
          <w:p w14:paraId="53BAABBD"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25</w:t>
            </w:r>
          </w:p>
        </w:tc>
        <w:tc>
          <w:tcPr>
            <w:tcW w:w="1077" w:type="dxa"/>
            <w:tcBorders>
              <w:top w:val="single" w:sz="4" w:space="0" w:color="auto"/>
              <w:left w:val="single" w:sz="4" w:space="0" w:color="auto"/>
              <w:bottom w:val="single" w:sz="4" w:space="0" w:color="auto"/>
              <w:right w:val="single" w:sz="4" w:space="0" w:color="auto"/>
            </w:tcBorders>
            <w:hideMark/>
          </w:tcPr>
          <w:p w14:paraId="3B5B4D00"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16</w:t>
            </w:r>
          </w:p>
        </w:tc>
        <w:tc>
          <w:tcPr>
            <w:tcW w:w="1191" w:type="dxa"/>
            <w:tcBorders>
              <w:top w:val="single" w:sz="4" w:space="0" w:color="auto"/>
              <w:left w:val="single" w:sz="4" w:space="0" w:color="auto"/>
              <w:bottom w:val="single" w:sz="4" w:space="0" w:color="auto"/>
              <w:right w:val="single" w:sz="4" w:space="0" w:color="auto"/>
            </w:tcBorders>
            <w:hideMark/>
          </w:tcPr>
          <w:p w14:paraId="38A5BC96"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16</w:t>
            </w:r>
            <w:r w:rsidRPr="00140923">
              <w:rPr>
                <w:color w:val="000000"/>
                <w:sz w:val="20"/>
                <w:lang w:val="es-ES_tradnl"/>
              </w:rPr>
              <w:t>…</w:t>
            </w:r>
            <w:r w:rsidRPr="00140923">
              <w:rPr>
                <w:color w:val="000000"/>
                <w:sz w:val="20"/>
                <w:lang w:val="es-ES_tradnl" w:eastAsia="ja-JP"/>
              </w:rPr>
              <w:t>33</w:t>
            </w:r>
          </w:p>
        </w:tc>
        <w:tc>
          <w:tcPr>
            <w:tcW w:w="1134" w:type="dxa"/>
            <w:tcBorders>
              <w:top w:val="single" w:sz="4" w:space="0" w:color="auto"/>
              <w:left w:val="single" w:sz="4" w:space="0" w:color="auto"/>
              <w:bottom w:val="single" w:sz="4" w:space="0" w:color="auto"/>
              <w:right w:val="single" w:sz="4" w:space="0" w:color="auto"/>
            </w:tcBorders>
            <w:hideMark/>
          </w:tcPr>
          <w:p w14:paraId="49409A30"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33</w:t>
            </w:r>
          </w:p>
        </w:tc>
        <w:tc>
          <w:tcPr>
            <w:tcW w:w="992" w:type="dxa"/>
            <w:tcBorders>
              <w:top w:val="single" w:sz="4" w:space="0" w:color="auto"/>
              <w:left w:val="single" w:sz="4" w:space="0" w:color="auto"/>
              <w:bottom w:val="single" w:sz="4" w:space="0" w:color="auto"/>
              <w:right w:val="single" w:sz="4" w:space="0" w:color="auto"/>
            </w:tcBorders>
            <w:hideMark/>
          </w:tcPr>
          <w:p w14:paraId="4E67F928"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31</w:t>
            </w:r>
          </w:p>
        </w:tc>
        <w:tc>
          <w:tcPr>
            <w:tcW w:w="1134" w:type="dxa"/>
            <w:tcBorders>
              <w:top w:val="single" w:sz="4" w:space="0" w:color="auto"/>
              <w:left w:val="single" w:sz="4" w:space="0" w:color="auto"/>
              <w:bottom w:val="single" w:sz="4" w:space="0" w:color="auto"/>
              <w:right w:val="single" w:sz="4" w:space="0" w:color="auto"/>
            </w:tcBorders>
            <w:hideMark/>
          </w:tcPr>
          <w:p w14:paraId="05CE4595"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28</w:t>
            </w:r>
            <w:r w:rsidRPr="00140923">
              <w:rPr>
                <w:color w:val="000000"/>
                <w:sz w:val="20"/>
                <w:lang w:val="es-ES_tradnl"/>
              </w:rPr>
              <w:t>…</w:t>
            </w:r>
            <w:r w:rsidRPr="00140923">
              <w:rPr>
                <w:color w:val="000000"/>
                <w:sz w:val="20"/>
                <w:lang w:val="es-ES_tradnl" w:eastAsia="ja-JP"/>
              </w:rPr>
              <w:t>30</w:t>
            </w:r>
          </w:p>
        </w:tc>
        <w:tc>
          <w:tcPr>
            <w:tcW w:w="1247" w:type="dxa"/>
            <w:tcBorders>
              <w:top w:val="single" w:sz="4" w:space="0" w:color="auto"/>
              <w:left w:val="single" w:sz="4" w:space="0" w:color="auto"/>
              <w:bottom w:val="single" w:sz="4" w:space="0" w:color="auto"/>
              <w:right w:val="single" w:sz="4" w:space="0" w:color="auto"/>
            </w:tcBorders>
            <w:hideMark/>
          </w:tcPr>
          <w:p w14:paraId="555014A2"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33</w:t>
            </w:r>
            <w:r w:rsidRPr="00140923">
              <w:rPr>
                <w:color w:val="000000"/>
                <w:sz w:val="20"/>
                <w:lang w:val="es-ES_tradnl"/>
              </w:rPr>
              <w:t>…</w:t>
            </w:r>
            <w:r w:rsidRPr="00140923">
              <w:rPr>
                <w:color w:val="000000"/>
                <w:sz w:val="20"/>
                <w:lang w:val="es-ES_tradnl" w:eastAsia="ja-JP"/>
              </w:rPr>
              <w:t>38</w:t>
            </w:r>
          </w:p>
        </w:tc>
        <w:tc>
          <w:tcPr>
            <w:tcW w:w="1191" w:type="dxa"/>
            <w:tcBorders>
              <w:top w:val="single" w:sz="4" w:space="0" w:color="auto"/>
              <w:left w:val="single" w:sz="4" w:space="0" w:color="auto"/>
              <w:bottom w:val="single" w:sz="4" w:space="0" w:color="auto"/>
              <w:right w:val="single" w:sz="4" w:space="0" w:color="auto"/>
            </w:tcBorders>
            <w:hideMark/>
          </w:tcPr>
          <w:p w14:paraId="7C346AD5"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25</w:t>
            </w:r>
          </w:p>
        </w:tc>
      </w:tr>
      <w:tr w:rsidR="002B37E9" w:rsidRPr="00140923" w14:paraId="603D5C0D"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EB33E1" w14:textId="77777777" w:rsidR="002B37E9" w:rsidRPr="00140923" w:rsidRDefault="002B37E9" w:rsidP="00226764">
            <w:pPr>
              <w:pStyle w:val="Tabletext"/>
              <w:jc w:val="left"/>
              <w:rPr>
                <w:color w:val="000000"/>
                <w:sz w:val="20"/>
                <w:lang w:val="es-ES_tradnl"/>
              </w:rPr>
            </w:pPr>
            <w:r w:rsidRPr="00140923">
              <w:rPr>
                <w:color w:val="000000"/>
                <w:sz w:val="20"/>
                <w:lang w:val="es-ES_tradnl"/>
              </w:rPr>
              <w:t>Gama máxima de la p.i.r.e. (dBW)</w:t>
            </w:r>
            <w:r w:rsidRPr="00140923">
              <w:rPr>
                <w:color w:val="000000"/>
                <w:sz w:val="20"/>
                <w:vertAlign w:val="superscript"/>
                <w:lang w:val="es-ES_tradnl" w:eastAsia="ja-JP"/>
              </w:rPr>
              <w:t xml:space="preserve"> </w:t>
            </w:r>
          </w:p>
        </w:tc>
        <w:tc>
          <w:tcPr>
            <w:tcW w:w="1474" w:type="dxa"/>
            <w:tcBorders>
              <w:top w:val="single" w:sz="4" w:space="0" w:color="auto"/>
              <w:left w:val="single" w:sz="4" w:space="0" w:color="auto"/>
              <w:bottom w:val="single" w:sz="4" w:space="0" w:color="auto"/>
              <w:right w:val="single" w:sz="4" w:space="0" w:color="auto"/>
            </w:tcBorders>
            <w:hideMark/>
          </w:tcPr>
          <w:p w14:paraId="0A322BB1"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30</w:t>
            </w:r>
          </w:p>
        </w:tc>
        <w:tc>
          <w:tcPr>
            <w:tcW w:w="1474" w:type="dxa"/>
            <w:tcBorders>
              <w:top w:val="single" w:sz="4" w:space="0" w:color="auto"/>
              <w:left w:val="single" w:sz="4" w:space="0" w:color="auto"/>
              <w:bottom w:val="single" w:sz="4" w:space="0" w:color="auto"/>
              <w:right w:val="single" w:sz="4" w:space="0" w:color="auto"/>
            </w:tcBorders>
            <w:hideMark/>
          </w:tcPr>
          <w:p w14:paraId="41C2CD8A"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23</w:t>
            </w:r>
          </w:p>
        </w:tc>
        <w:tc>
          <w:tcPr>
            <w:tcW w:w="1077" w:type="dxa"/>
            <w:tcBorders>
              <w:top w:val="single" w:sz="4" w:space="0" w:color="auto"/>
              <w:left w:val="single" w:sz="4" w:space="0" w:color="auto"/>
              <w:bottom w:val="single" w:sz="4" w:space="0" w:color="auto"/>
              <w:right w:val="single" w:sz="4" w:space="0" w:color="auto"/>
            </w:tcBorders>
            <w:hideMark/>
          </w:tcPr>
          <w:p w14:paraId="6953EF5D"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20</w:t>
            </w:r>
          </w:p>
        </w:tc>
        <w:tc>
          <w:tcPr>
            <w:tcW w:w="1191" w:type="dxa"/>
            <w:tcBorders>
              <w:top w:val="single" w:sz="4" w:space="0" w:color="auto"/>
              <w:left w:val="single" w:sz="4" w:space="0" w:color="auto"/>
              <w:bottom w:val="single" w:sz="4" w:space="0" w:color="auto"/>
              <w:right w:val="single" w:sz="4" w:space="0" w:color="auto"/>
            </w:tcBorders>
            <w:hideMark/>
          </w:tcPr>
          <w:p w14:paraId="5412A085"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20</w:t>
            </w:r>
            <w:r w:rsidRPr="00140923">
              <w:rPr>
                <w:color w:val="000000"/>
                <w:sz w:val="20"/>
                <w:lang w:val="es-ES_tradnl"/>
              </w:rPr>
              <w:t>…</w:t>
            </w:r>
            <w:r w:rsidRPr="00140923">
              <w:rPr>
                <w:color w:val="000000"/>
                <w:sz w:val="20"/>
                <w:lang w:val="es-ES_tradnl" w:eastAsia="ja-JP"/>
              </w:rPr>
              <w:t>39</w:t>
            </w:r>
          </w:p>
        </w:tc>
        <w:tc>
          <w:tcPr>
            <w:tcW w:w="1134" w:type="dxa"/>
            <w:tcBorders>
              <w:top w:val="single" w:sz="4" w:space="0" w:color="auto"/>
              <w:left w:val="single" w:sz="4" w:space="0" w:color="auto"/>
              <w:bottom w:val="single" w:sz="4" w:space="0" w:color="auto"/>
              <w:right w:val="single" w:sz="4" w:space="0" w:color="auto"/>
            </w:tcBorders>
            <w:hideMark/>
          </w:tcPr>
          <w:p w14:paraId="69A4F112"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40</w:t>
            </w:r>
          </w:p>
        </w:tc>
        <w:tc>
          <w:tcPr>
            <w:tcW w:w="992" w:type="dxa"/>
            <w:tcBorders>
              <w:top w:val="single" w:sz="4" w:space="0" w:color="auto"/>
              <w:left w:val="single" w:sz="4" w:space="0" w:color="auto"/>
              <w:bottom w:val="single" w:sz="4" w:space="0" w:color="auto"/>
              <w:right w:val="single" w:sz="4" w:space="0" w:color="auto"/>
            </w:tcBorders>
            <w:hideMark/>
          </w:tcPr>
          <w:p w14:paraId="77C128CF"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34</w:t>
            </w:r>
          </w:p>
        </w:tc>
        <w:tc>
          <w:tcPr>
            <w:tcW w:w="1134" w:type="dxa"/>
            <w:tcBorders>
              <w:top w:val="single" w:sz="4" w:space="0" w:color="auto"/>
              <w:left w:val="single" w:sz="4" w:space="0" w:color="auto"/>
              <w:bottom w:val="single" w:sz="4" w:space="0" w:color="auto"/>
              <w:right w:val="single" w:sz="4" w:space="0" w:color="auto"/>
            </w:tcBorders>
            <w:hideMark/>
          </w:tcPr>
          <w:p w14:paraId="48479545"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w:t>
            </w:r>
            <w:r w:rsidRPr="00140923">
              <w:rPr>
                <w:color w:val="000000"/>
                <w:sz w:val="20"/>
                <w:lang w:val="es-ES_tradnl"/>
              </w:rPr>
              <w:t>…</w:t>
            </w:r>
            <w:r w:rsidRPr="00140923">
              <w:rPr>
                <w:color w:val="000000"/>
                <w:sz w:val="20"/>
                <w:lang w:val="es-ES_tradnl" w:eastAsia="ja-JP"/>
              </w:rPr>
              <w:t>30</w:t>
            </w:r>
          </w:p>
        </w:tc>
        <w:tc>
          <w:tcPr>
            <w:tcW w:w="1247" w:type="dxa"/>
            <w:tcBorders>
              <w:top w:val="single" w:sz="4" w:space="0" w:color="auto"/>
              <w:left w:val="single" w:sz="4" w:space="0" w:color="auto"/>
              <w:bottom w:val="single" w:sz="4" w:space="0" w:color="auto"/>
              <w:right w:val="single" w:sz="4" w:space="0" w:color="auto"/>
            </w:tcBorders>
            <w:hideMark/>
          </w:tcPr>
          <w:p w14:paraId="7D364C82"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32</w:t>
            </w:r>
            <w:r w:rsidRPr="00140923">
              <w:rPr>
                <w:color w:val="000000"/>
                <w:sz w:val="20"/>
                <w:lang w:val="es-ES_tradnl"/>
              </w:rPr>
              <w:t>…</w:t>
            </w:r>
            <w:r w:rsidRPr="00140923">
              <w:rPr>
                <w:color w:val="000000"/>
                <w:sz w:val="20"/>
                <w:lang w:val="es-ES_tradnl" w:eastAsia="ja-JP"/>
              </w:rPr>
              <w:t>40</w:t>
            </w:r>
          </w:p>
        </w:tc>
        <w:tc>
          <w:tcPr>
            <w:tcW w:w="1191" w:type="dxa"/>
            <w:tcBorders>
              <w:top w:val="single" w:sz="4" w:space="0" w:color="auto"/>
              <w:left w:val="single" w:sz="4" w:space="0" w:color="auto"/>
              <w:bottom w:val="single" w:sz="4" w:space="0" w:color="auto"/>
              <w:right w:val="single" w:sz="4" w:space="0" w:color="auto"/>
            </w:tcBorders>
            <w:hideMark/>
          </w:tcPr>
          <w:p w14:paraId="27220C44"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26</w:t>
            </w:r>
          </w:p>
        </w:tc>
      </w:tr>
      <w:tr w:rsidR="002B37E9" w:rsidRPr="00140923" w14:paraId="0CAC8544"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014646" w14:textId="77777777" w:rsidR="002B37E9" w:rsidRPr="00140923" w:rsidRDefault="002B37E9" w:rsidP="00226764">
            <w:pPr>
              <w:pStyle w:val="Tabletext"/>
              <w:jc w:val="left"/>
              <w:rPr>
                <w:color w:val="000000"/>
                <w:sz w:val="20"/>
                <w:lang w:val="es-ES_tradnl"/>
              </w:rPr>
            </w:pPr>
            <w:r w:rsidRPr="00140923">
              <w:rPr>
                <w:color w:val="000000"/>
                <w:sz w:val="20"/>
                <w:lang w:val="es-ES_tradnl"/>
              </w:rPr>
              <w:t>Gama máxima de densidad de p.i.r.e. (dBW/MHz)</w:t>
            </w:r>
            <w:r w:rsidRPr="00140923">
              <w:rPr>
                <w:color w:val="000000"/>
                <w:sz w:val="20"/>
                <w:vertAlign w:val="superscript"/>
                <w:lang w:val="es-ES_tradnl" w:eastAsia="ja-JP"/>
              </w:rPr>
              <w:t>(1)</w:t>
            </w:r>
          </w:p>
        </w:tc>
        <w:tc>
          <w:tcPr>
            <w:tcW w:w="1474" w:type="dxa"/>
            <w:tcBorders>
              <w:top w:val="single" w:sz="4" w:space="0" w:color="auto"/>
              <w:left w:val="single" w:sz="4" w:space="0" w:color="auto"/>
              <w:bottom w:val="single" w:sz="4" w:space="0" w:color="auto"/>
              <w:right w:val="single" w:sz="4" w:space="0" w:color="auto"/>
            </w:tcBorders>
            <w:hideMark/>
          </w:tcPr>
          <w:p w14:paraId="24F1C652"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25…36</w:t>
            </w:r>
          </w:p>
        </w:tc>
        <w:tc>
          <w:tcPr>
            <w:tcW w:w="1474" w:type="dxa"/>
            <w:tcBorders>
              <w:top w:val="single" w:sz="4" w:space="0" w:color="auto"/>
              <w:left w:val="single" w:sz="4" w:space="0" w:color="auto"/>
              <w:bottom w:val="single" w:sz="4" w:space="0" w:color="auto"/>
              <w:right w:val="single" w:sz="4" w:space="0" w:color="auto"/>
            </w:tcBorders>
            <w:hideMark/>
          </w:tcPr>
          <w:p w14:paraId="6A51F7ED"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21…30</w:t>
            </w:r>
          </w:p>
        </w:tc>
        <w:tc>
          <w:tcPr>
            <w:tcW w:w="1077" w:type="dxa"/>
            <w:tcBorders>
              <w:top w:val="single" w:sz="4" w:space="0" w:color="auto"/>
              <w:left w:val="single" w:sz="4" w:space="0" w:color="auto"/>
              <w:bottom w:val="single" w:sz="4" w:space="0" w:color="auto"/>
              <w:right w:val="single" w:sz="4" w:space="0" w:color="auto"/>
            </w:tcBorders>
            <w:hideMark/>
          </w:tcPr>
          <w:p w14:paraId="65A12B84"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17</w:t>
            </w:r>
          </w:p>
        </w:tc>
        <w:tc>
          <w:tcPr>
            <w:tcW w:w="1191" w:type="dxa"/>
            <w:tcBorders>
              <w:top w:val="single" w:sz="4" w:space="0" w:color="auto"/>
              <w:left w:val="single" w:sz="4" w:space="0" w:color="auto"/>
              <w:bottom w:val="single" w:sz="4" w:space="0" w:color="auto"/>
              <w:right w:val="single" w:sz="4" w:space="0" w:color="auto"/>
            </w:tcBorders>
            <w:hideMark/>
          </w:tcPr>
          <w:p w14:paraId="730F60C9"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17…39</w:t>
            </w:r>
          </w:p>
        </w:tc>
        <w:tc>
          <w:tcPr>
            <w:tcW w:w="1134" w:type="dxa"/>
            <w:tcBorders>
              <w:top w:val="single" w:sz="4" w:space="0" w:color="auto"/>
              <w:left w:val="single" w:sz="4" w:space="0" w:color="auto"/>
              <w:bottom w:val="single" w:sz="4" w:space="0" w:color="auto"/>
              <w:right w:val="single" w:sz="4" w:space="0" w:color="auto"/>
            </w:tcBorders>
            <w:hideMark/>
          </w:tcPr>
          <w:p w14:paraId="3000E632"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25</w:t>
            </w:r>
          </w:p>
        </w:tc>
        <w:tc>
          <w:tcPr>
            <w:tcW w:w="992" w:type="dxa"/>
            <w:tcBorders>
              <w:top w:val="single" w:sz="4" w:space="0" w:color="auto"/>
              <w:left w:val="single" w:sz="4" w:space="0" w:color="auto"/>
              <w:bottom w:val="single" w:sz="4" w:space="0" w:color="auto"/>
              <w:right w:val="single" w:sz="4" w:space="0" w:color="auto"/>
            </w:tcBorders>
            <w:hideMark/>
          </w:tcPr>
          <w:p w14:paraId="2D8BEAA6"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19</w:t>
            </w:r>
          </w:p>
        </w:tc>
        <w:tc>
          <w:tcPr>
            <w:tcW w:w="1134" w:type="dxa"/>
            <w:tcBorders>
              <w:top w:val="single" w:sz="4" w:space="0" w:color="auto"/>
              <w:left w:val="single" w:sz="4" w:space="0" w:color="auto"/>
              <w:bottom w:val="single" w:sz="4" w:space="0" w:color="auto"/>
              <w:right w:val="single" w:sz="4" w:space="0" w:color="auto"/>
            </w:tcBorders>
            <w:hideMark/>
          </w:tcPr>
          <w:p w14:paraId="6BB5BE04"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10…19</w:t>
            </w:r>
          </w:p>
        </w:tc>
        <w:tc>
          <w:tcPr>
            <w:tcW w:w="1247" w:type="dxa"/>
            <w:tcBorders>
              <w:top w:val="single" w:sz="4" w:space="0" w:color="auto"/>
              <w:left w:val="single" w:sz="4" w:space="0" w:color="auto"/>
              <w:bottom w:val="single" w:sz="4" w:space="0" w:color="auto"/>
              <w:right w:val="single" w:sz="4" w:space="0" w:color="auto"/>
            </w:tcBorders>
            <w:hideMark/>
          </w:tcPr>
          <w:p w14:paraId="364785E2"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27…35</w:t>
            </w:r>
          </w:p>
        </w:tc>
        <w:tc>
          <w:tcPr>
            <w:tcW w:w="1191" w:type="dxa"/>
            <w:tcBorders>
              <w:top w:val="single" w:sz="4" w:space="0" w:color="auto"/>
              <w:left w:val="single" w:sz="4" w:space="0" w:color="auto"/>
              <w:bottom w:val="single" w:sz="4" w:space="0" w:color="auto"/>
              <w:right w:val="single" w:sz="4" w:space="0" w:color="auto"/>
            </w:tcBorders>
            <w:hideMark/>
          </w:tcPr>
          <w:p w14:paraId="70E7EE43"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15</w:t>
            </w:r>
          </w:p>
        </w:tc>
      </w:tr>
      <w:tr w:rsidR="002B37E9" w:rsidRPr="00140923" w14:paraId="48CACDA5"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813E2B" w14:textId="77777777" w:rsidR="002B37E9" w:rsidRPr="00140923" w:rsidRDefault="002B37E9" w:rsidP="00226764">
            <w:pPr>
              <w:pStyle w:val="Tabletext"/>
              <w:jc w:val="left"/>
              <w:rPr>
                <w:color w:val="000000"/>
                <w:sz w:val="20"/>
                <w:lang w:val="es-ES_tradnl"/>
              </w:rPr>
            </w:pPr>
            <w:r w:rsidRPr="00140923">
              <w:rPr>
                <w:color w:val="000000"/>
                <w:sz w:val="20"/>
                <w:lang w:val="es-ES_tradnl"/>
              </w:rPr>
              <w:t>Factor de ruido del receptor</w:t>
            </w:r>
            <w:r w:rsidRPr="00140923">
              <w:rPr>
                <w:color w:val="000000"/>
                <w:sz w:val="20"/>
                <w:lang w:val="es-ES_tradnl" w:eastAsia="ja-JP"/>
              </w:rPr>
              <w:t xml:space="preserve"> </w:t>
            </w:r>
            <w:r w:rsidRPr="00140923">
              <w:rPr>
                <w:color w:val="000000"/>
                <w:sz w:val="20"/>
                <w:lang w:val="es-ES_tradnl"/>
              </w:rPr>
              <w:t xml:space="preserve">(dB) </w:t>
            </w:r>
          </w:p>
        </w:tc>
        <w:tc>
          <w:tcPr>
            <w:tcW w:w="1474" w:type="dxa"/>
            <w:tcBorders>
              <w:top w:val="single" w:sz="4" w:space="0" w:color="auto"/>
              <w:left w:val="single" w:sz="4" w:space="0" w:color="auto"/>
              <w:bottom w:val="single" w:sz="4" w:space="0" w:color="auto"/>
              <w:right w:val="single" w:sz="4" w:space="0" w:color="auto"/>
            </w:tcBorders>
            <w:hideMark/>
          </w:tcPr>
          <w:p w14:paraId="663AE7DD"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5</w:t>
            </w:r>
          </w:p>
        </w:tc>
        <w:tc>
          <w:tcPr>
            <w:tcW w:w="1474" w:type="dxa"/>
            <w:tcBorders>
              <w:top w:val="single" w:sz="4" w:space="0" w:color="auto"/>
              <w:left w:val="single" w:sz="4" w:space="0" w:color="auto"/>
              <w:bottom w:val="single" w:sz="4" w:space="0" w:color="auto"/>
              <w:right w:val="single" w:sz="4" w:space="0" w:color="auto"/>
            </w:tcBorders>
            <w:hideMark/>
          </w:tcPr>
          <w:p w14:paraId="7CDDE6DE"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3,5</w:t>
            </w:r>
          </w:p>
        </w:tc>
        <w:tc>
          <w:tcPr>
            <w:tcW w:w="1077" w:type="dxa"/>
            <w:tcBorders>
              <w:top w:val="single" w:sz="4" w:space="0" w:color="auto"/>
              <w:left w:val="single" w:sz="4" w:space="0" w:color="auto"/>
              <w:bottom w:val="single" w:sz="4" w:space="0" w:color="auto"/>
              <w:right w:val="single" w:sz="4" w:space="0" w:color="auto"/>
            </w:tcBorders>
            <w:hideMark/>
          </w:tcPr>
          <w:p w14:paraId="67EECDD4"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4</w:t>
            </w:r>
          </w:p>
        </w:tc>
        <w:tc>
          <w:tcPr>
            <w:tcW w:w="1191" w:type="dxa"/>
            <w:tcBorders>
              <w:top w:val="single" w:sz="4" w:space="0" w:color="auto"/>
              <w:left w:val="single" w:sz="4" w:space="0" w:color="auto"/>
              <w:bottom w:val="single" w:sz="4" w:space="0" w:color="auto"/>
              <w:right w:val="single" w:sz="4" w:space="0" w:color="auto"/>
            </w:tcBorders>
            <w:hideMark/>
          </w:tcPr>
          <w:p w14:paraId="4F5B2F88"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4…7</w:t>
            </w:r>
          </w:p>
        </w:tc>
        <w:tc>
          <w:tcPr>
            <w:tcW w:w="1134" w:type="dxa"/>
            <w:tcBorders>
              <w:top w:val="single" w:sz="4" w:space="0" w:color="auto"/>
              <w:left w:val="single" w:sz="4" w:space="0" w:color="auto"/>
              <w:bottom w:val="single" w:sz="4" w:space="0" w:color="auto"/>
              <w:right w:val="single" w:sz="4" w:space="0" w:color="auto"/>
            </w:tcBorders>
            <w:hideMark/>
          </w:tcPr>
          <w:p w14:paraId="783B555C"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4</w:t>
            </w:r>
          </w:p>
        </w:tc>
        <w:tc>
          <w:tcPr>
            <w:tcW w:w="992" w:type="dxa"/>
            <w:tcBorders>
              <w:top w:val="single" w:sz="4" w:space="0" w:color="auto"/>
              <w:left w:val="single" w:sz="4" w:space="0" w:color="auto"/>
              <w:bottom w:val="single" w:sz="4" w:space="0" w:color="auto"/>
              <w:right w:val="single" w:sz="4" w:space="0" w:color="auto"/>
            </w:tcBorders>
            <w:hideMark/>
          </w:tcPr>
          <w:p w14:paraId="1746AC47"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4</w:t>
            </w:r>
          </w:p>
        </w:tc>
        <w:tc>
          <w:tcPr>
            <w:tcW w:w="1134" w:type="dxa"/>
            <w:tcBorders>
              <w:top w:val="single" w:sz="4" w:space="0" w:color="auto"/>
              <w:left w:val="single" w:sz="4" w:space="0" w:color="auto"/>
              <w:bottom w:val="single" w:sz="4" w:space="0" w:color="auto"/>
              <w:right w:val="single" w:sz="4" w:space="0" w:color="auto"/>
            </w:tcBorders>
            <w:hideMark/>
          </w:tcPr>
          <w:p w14:paraId="0D4BCB08"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4…6</w:t>
            </w:r>
          </w:p>
        </w:tc>
        <w:tc>
          <w:tcPr>
            <w:tcW w:w="1247" w:type="dxa"/>
            <w:tcBorders>
              <w:top w:val="single" w:sz="4" w:space="0" w:color="auto"/>
              <w:left w:val="single" w:sz="4" w:space="0" w:color="auto"/>
              <w:bottom w:val="single" w:sz="4" w:space="0" w:color="auto"/>
              <w:right w:val="single" w:sz="4" w:space="0" w:color="auto"/>
            </w:tcBorders>
            <w:hideMark/>
          </w:tcPr>
          <w:p w14:paraId="2FB89DF7"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3…4</w:t>
            </w:r>
          </w:p>
        </w:tc>
        <w:tc>
          <w:tcPr>
            <w:tcW w:w="1191" w:type="dxa"/>
            <w:tcBorders>
              <w:top w:val="single" w:sz="4" w:space="0" w:color="auto"/>
              <w:left w:val="single" w:sz="4" w:space="0" w:color="auto"/>
              <w:bottom w:val="single" w:sz="4" w:space="0" w:color="auto"/>
              <w:right w:val="single" w:sz="4" w:space="0" w:color="auto"/>
            </w:tcBorders>
            <w:hideMark/>
          </w:tcPr>
          <w:p w14:paraId="5890DF13"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4</w:t>
            </w:r>
          </w:p>
        </w:tc>
      </w:tr>
      <w:tr w:rsidR="002B37E9" w:rsidRPr="00140923" w14:paraId="2545E655"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400271" w14:textId="77777777" w:rsidR="002B37E9" w:rsidRPr="00140923" w:rsidRDefault="002B37E9" w:rsidP="00226764">
            <w:pPr>
              <w:pStyle w:val="Tabletext"/>
              <w:jc w:val="left"/>
              <w:rPr>
                <w:color w:val="000000"/>
                <w:sz w:val="20"/>
                <w:lang w:val="es-ES_tradnl"/>
              </w:rPr>
            </w:pPr>
            <w:r w:rsidRPr="00140923">
              <w:rPr>
                <w:color w:val="000000"/>
                <w:sz w:val="20"/>
                <w:lang w:val="es-ES_tradnl"/>
              </w:rPr>
              <w:t>Densidad de potencia de ruido típica del receptor</w:t>
            </w:r>
            <w:r w:rsidRPr="00140923">
              <w:rPr>
                <w:color w:val="000000"/>
                <w:sz w:val="20"/>
                <w:lang w:val="es-ES_tradnl" w:eastAsia="ja-JP"/>
              </w:rPr>
              <w:t xml:space="preserve"> (=</w:t>
            </w:r>
            <w:r w:rsidRPr="00140923">
              <w:rPr>
                <w:i/>
                <w:iCs/>
                <w:color w:val="000000"/>
                <w:sz w:val="20"/>
                <w:lang w:val="es-ES_tradnl" w:eastAsia="ja-JP"/>
              </w:rPr>
              <w:t>N</w:t>
            </w:r>
            <w:r w:rsidRPr="00140923">
              <w:rPr>
                <w:i/>
                <w:iCs/>
                <w:sz w:val="20"/>
                <w:vertAlign w:val="subscript"/>
                <w:lang w:val="es-ES_tradnl"/>
              </w:rPr>
              <w:t>RX</w:t>
            </w:r>
            <w:r w:rsidRPr="00140923">
              <w:rPr>
                <w:color w:val="000000"/>
                <w:sz w:val="20"/>
                <w:lang w:val="es-ES_tradnl" w:eastAsia="ja-JP"/>
              </w:rPr>
              <w:t xml:space="preserve">) </w:t>
            </w:r>
            <w:r w:rsidRPr="00140923">
              <w:rPr>
                <w:color w:val="000000"/>
                <w:sz w:val="20"/>
                <w:lang w:val="es-ES_tradnl"/>
              </w:rPr>
              <w:t>(dBW/MHz)</w:t>
            </w:r>
          </w:p>
        </w:tc>
        <w:tc>
          <w:tcPr>
            <w:tcW w:w="1474" w:type="dxa"/>
            <w:tcBorders>
              <w:top w:val="single" w:sz="4" w:space="0" w:color="auto"/>
              <w:left w:val="single" w:sz="4" w:space="0" w:color="auto"/>
              <w:bottom w:val="single" w:sz="4" w:space="0" w:color="auto"/>
              <w:right w:val="single" w:sz="4" w:space="0" w:color="auto"/>
            </w:tcBorders>
            <w:hideMark/>
          </w:tcPr>
          <w:p w14:paraId="5DAA782C"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−139</w:t>
            </w:r>
          </w:p>
        </w:tc>
        <w:tc>
          <w:tcPr>
            <w:tcW w:w="1474" w:type="dxa"/>
            <w:tcBorders>
              <w:top w:val="single" w:sz="4" w:space="0" w:color="auto"/>
              <w:left w:val="single" w:sz="4" w:space="0" w:color="auto"/>
              <w:bottom w:val="single" w:sz="4" w:space="0" w:color="auto"/>
              <w:right w:val="single" w:sz="4" w:space="0" w:color="auto"/>
            </w:tcBorders>
            <w:hideMark/>
          </w:tcPr>
          <w:p w14:paraId="6FD128FE"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−140,5</w:t>
            </w:r>
          </w:p>
        </w:tc>
        <w:tc>
          <w:tcPr>
            <w:tcW w:w="1077" w:type="dxa"/>
            <w:tcBorders>
              <w:top w:val="single" w:sz="4" w:space="0" w:color="auto"/>
              <w:left w:val="single" w:sz="4" w:space="0" w:color="auto"/>
              <w:bottom w:val="single" w:sz="4" w:space="0" w:color="auto"/>
              <w:right w:val="single" w:sz="4" w:space="0" w:color="auto"/>
            </w:tcBorders>
            <w:hideMark/>
          </w:tcPr>
          <w:p w14:paraId="461E7F86"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w:t>
            </w:r>
          </w:p>
        </w:tc>
        <w:tc>
          <w:tcPr>
            <w:tcW w:w="1191" w:type="dxa"/>
            <w:tcBorders>
              <w:top w:val="single" w:sz="4" w:space="0" w:color="auto"/>
              <w:left w:val="single" w:sz="4" w:space="0" w:color="auto"/>
              <w:bottom w:val="single" w:sz="4" w:space="0" w:color="auto"/>
              <w:right w:val="single" w:sz="4" w:space="0" w:color="auto"/>
            </w:tcBorders>
            <w:hideMark/>
          </w:tcPr>
          <w:p w14:paraId="1B0F1D36"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w:t>
            </w:r>
            <w:r w:rsidRPr="00140923">
              <w:rPr>
                <w:color w:val="000000"/>
                <w:sz w:val="20"/>
                <w:lang w:val="es-ES_tradnl" w:eastAsia="ja-JP"/>
              </w:rPr>
              <w:br/>
              <w:t>−137</w:t>
            </w:r>
          </w:p>
        </w:tc>
        <w:tc>
          <w:tcPr>
            <w:tcW w:w="1134" w:type="dxa"/>
            <w:tcBorders>
              <w:top w:val="single" w:sz="4" w:space="0" w:color="auto"/>
              <w:left w:val="single" w:sz="4" w:space="0" w:color="auto"/>
              <w:bottom w:val="single" w:sz="4" w:space="0" w:color="auto"/>
              <w:right w:val="single" w:sz="4" w:space="0" w:color="auto"/>
            </w:tcBorders>
            <w:hideMark/>
          </w:tcPr>
          <w:p w14:paraId="2DE058D1"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w:t>
            </w:r>
          </w:p>
        </w:tc>
        <w:tc>
          <w:tcPr>
            <w:tcW w:w="992" w:type="dxa"/>
            <w:tcBorders>
              <w:top w:val="single" w:sz="4" w:space="0" w:color="auto"/>
              <w:left w:val="single" w:sz="4" w:space="0" w:color="auto"/>
              <w:bottom w:val="single" w:sz="4" w:space="0" w:color="auto"/>
              <w:right w:val="single" w:sz="4" w:space="0" w:color="auto"/>
            </w:tcBorders>
            <w:hideMark/>
          </w:tcPr>
          <w:p w14:paraId="12BC063F"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w:t>
            </w:r>
          </w:p>
        </w:tc>
        <w:tc>
          <w:tcPr>
            <w:tcW w:w="1134" w:type="dxa"/>
            <w:tcBorders>
              <w:top w:val="single" w:sz="4" w:space="0" w:color="auto"/>
              <w:left w:val="single" w:sz="4" w:space="0" w:color="auto"/>
              <w:bottom w:val="single" w:sz="4" w:space="0" w:color="auto"/>
              <w:right w:val="single" w:sz="4" w:space="0" w:color="auto"/>
            </w:tcBorders>
            <w:hideMark/>
          </w:tcPr>
          <w:p w14:paraId="52485AD4"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w:t>
            </w:r>
            <w:r w:rsidRPr="00140923">
              <w:rPr>
                <w:color w:val="000000"/>
                <w:sz w:val="20"/>
                <w:lang w:val="es-ES_tradnl" w:eastAsia="ja-JP"/>
              </w:rPr>
              <w:br/>
              <w:t>−138</w:t>
            </w:r>
          </w:p>
        </w:tc>
        <w:tc>
          <w:tcPr>
            <w:tcW w:w="1247" w:type="dxa"/>
            <w:tcBorders>
              <w:top w:val="single" w:sz="4" w:space="0" w:color="auto"/>
              <w:left w:val="single" w:sz="4" w:space="0" w:color="auto"/>
              <w:bottom w:val="single" w:sz="4" w:space="0" w:color="auto"/>
              <w:right w:val="single" w:sz="4" w:space="0" w:color="auto"/>
            </w:tcBorders>
            <w:hideMark/>
          </w:tcPr>
          <w:p w14:paraId="3CD15CD8" w14:textId="77777777" w:rsidR="002B37E9" w:rsidRPr="00140923" w:rsidRDefault="002B37E9" w:rsidP="00226764">
            <w:pPr>
              <w:pStyle w:val="Tabletext"/>
              <w:ind w:left="-57" w:right="-57"/>
              <w:jc w:val="center"/>
              <w:rPr>
                <w:color w:val="000000"/>
                <w:sz w:val="20"/>
                <w:lang w:val="es-ES_tradnl" w:eastAsia="ja-JP"/>
              </w:rPr>
            </w:pPr>
            <w:r w:rsidRPr="00140923">
              <w:rPr>
                <w:color w:val="000000"/>
                <w:sz w:val="20"/>
                <w:lang w:val="es-ES_tradnl" w:eastAsia="ja-JP"/>
              </w:rPr>
              <w:t>−141…−140</w:t>
            </w:r>
          </w:p>
        </w:tc>
        <w:tc>
          <w:tcPr>
            <w:tcW w:w="1191" w:type="dxa"/>
            <w:tcBorders>
              <w:top w:val="single" w:sz="4" w:space="0" w:color="auto"/>
              <w:left w:val="single" w:sz="4" w:space="0" w:color="auto"/>
              <w:bottom w:val="single" w:sz="4" w:space="0" w:color="auto"/>
              <w:right w:val="single" w:sz="4" w:space="0" w:color="auto"/>
            </w:tcBorders>
            <w:hideMark/>
          </w:tcPr>
          <w:p w14:paraId="46E39E8A"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w:t>
            </w:r>
          </w:p>
        </w:tc>
      </w:tr>
      <w:tr w:rsidR="002B37E9" w:rsidRPr="00140923" w14:paraId="4F80A6DE"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5A20853" w14:textId="7DC47DD0" w:rsidR="002B37E9" w:rsidRPr="00140923" w:rsidRDefault="002B37E9" w:rsidP="00226764">
            <w:pPr>
              <w:pStyle w:val="Tabletext"/>
              <w:jc w:val="left"/>
              <w:rPr>
                <w:color w:val="000000"/>
                <w:sz w:val="20"/>
                <w:lang w:val="es-ES_tradnl"/>
              </w:rPr>
            </w:pPr>
            <w:r w:rsidRPr="00140923">
              <w:rPr>
                <w:color w:val="000000"/>
                <w:sz w:val="20"/>
                <w:lang w:val="es-ES_tradnl"/>
              </w:rPr>
              <w:t>Nivel de entrada normalizado del receptor para una BER de 1 × 10</w:t>
            </w:r>
            <w:r w:rsidR="00A941C1" w:rsidRPr="00A941C1">
              <w:rPr>
                <w:color w:val="000000"/>
                <w:sz w:val="20"/>
                <w:vertAlign w:val="superscript"/>
                <w:lang w:val="es-ES_tradnl"/>
              </w:rPr>
              <w:t>−</w:t>
            </w:r>
            <w:r w:rsidRPr="00140923">
              <w:rPr>
                <w:color w:val="000000"/>
                <w:sz w:val="20"/>
                <w:vertAlign w:val="superscript"/>
                <w:lang w:val="es-ES_tradnl"/>
              </w:rPr>
              <w:t>6</w:t>
            </w:r>
            <w:r w:rsidRPr="00140923">
              <w:rPr>
                <w:color w:val="000000"/>
                <w:sz w:val="20"/>
                <w:lang w:val="es-ES_tradnl"/>
              </w:rPr>
              <w:t xml:space="preserve"> (dBW/MHz)</w:t>
            </w:r>
          </w:p>
        </w:tc>
        <w:tc>
          <w:tcPr>
            <w:tcW w:w="1474" w:type="dxa"/>
            <w:tcBorders>
              <w:top w:val="single" w:sz="4" w:space="0" w:color="auto"/>
              <w:left w:val="single" w:sz="4" w:space="0" w:color="auto"/>
              <w:bottom w:val="single" w:sz="4" w:space="0" w:color="auto"/>
              <w:right w:val="single" w:sz="4" w:space="0" w:color="auto"/>
            </w:tcBorders>
            <w:hideMark/>
          </w:tcPr>
          <w:p w14:paraId="34260988"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−125,5</w:t>
            </w:r>
          </w:p>
        </w:tc>
        <w:tc>
          <w:tcPr>
            <w:tcW w:w="1474" w:type="dxa"/>
            <w:tcBorders>
              <w:top w:val="single" w:sz="4" w:space="0" w:color="auto"/>
              <w:left w:val="single" w:sz="4" w:space="0" w:color="auto"/>
              <w:bottom w:val="single" w:sz="4" w:space="0" w:color="auto"/>
              <w:right w:val="single" w:sz="4" w:space="0" w:color="auto"/>
            </w:tcBorders>
            <w:hideMark/>
          </w:tcPr>
          <w:p w14:paraId="324874C8"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−117</w:t>
            </w:r>
          </w:p>
        </w:tc>
        <w:tc>
          <w:tcPr>
            <w:tcW w:w="1077" w:type="dxa"/>
            <w:tcBorders>
              <w:top w:val="single" w:sz="4" w:space="0" w:color="auto"/>
              <w:left w:val="single" w:sz="4" w:space="0" w:color="auto"/>
              <w:bottom w:val="single" w:sz="4" w:space="0" w:color="auto"/>
              <w:right w:val="single" w:sz="4" w:space="0" w:color="auto"/>
            </w:tcBorders>
            <w:hideMark/>
          </w:tcPr>
          <w:p w14:paraId="20B4F659"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−126,5</w:t>
            </w:r>
          </w:p>
        </w:tc>
        <w:tc>
          <w:tcPr>
            <w:tcW w:w="1191" w:type="dxa"/>
            <w:tcBorders>
              <w:top w:val="single" w:sz="4" w:space="0" w:color="auto"/>
              <w:left w:val="single" w:sz="4" w:space="0" w:color="auto"/>
              <w:bottom w:val="single" w:sz="4" w:space="0" w:color="auto"/>
              <w:right w:val="single" w:sz="4" w:space="0" w:color="auto"/>
            </w:tcBorders>
            <w:hideMark/>
          </w:tcPr>
          <w:p w14:paraId="595B7811"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−126,5…</w:t>
            </w:r>
            <w:r w:rsidRPr="00140923">
              <w:rPr>
                <w:color w:val="000000"/>
                <w:sz w:val="20"/>
                <w:lang w:val="es-ES_tradnl" w:eastAsia="ja-JP"/>
              </w:rPr>
              <w:br/>
              <w:t>−123,5</w:t>
            </w:r>
          </w:p>
        </w:tc>
        <w:tc>
          <w:tcPr>
            <w:tcW w:w="1134" w:type="dxa"/>
            <w:tcBorders>
              <w:top w:val="single" w:sz="4" w:space="0" w:color="auto"/>
              <w:left w:val="single" w:sz="4" w:space="0" w:color="auto"/>
              <w:bottom w:val="single" w:sz="4" w:space="0" w:color="auto"/>
              <w:right w:val="single" w:sz="4" w:space="0" w:color="auto"/>
            </w:tcBorders>
            <w:hideMark/>
          </w:tcPr>
          <w:p w14:paraId="251A05CF"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−126,5</w:t>
            </w:r>
          </w:p>
        </w:tc>
        <w:tc>
          <w:tcPr>
            <w:tcW w:w="992" w:type="dxa"/>
            <w:tcBorders>
              <w:top w:val="single" w:sz="4" w:space="0" w:color="auto"/>
              <w:left w:val="single" w:sz="4" w:space="0" w:color="auto"/>
              <w:bottom w:val="single" w:sz="4" w:space="0" w:color="auto"/>
              <w:right w:val="single" w:sz="4" w:space="0" w:color="auto"/>
            </w:tcBorders>
            <w:hideMark/>
          </w:tcPr>
          <w:p w14:paraId="725DA3AC"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−126,5</w:t>
            </w:r>
          </w:p>
        </w:tc>
        <w:tc>
          <w:tcPr>
            <w:tcW w:w="1134" w:type="dxa"/>
            <w:tcBorders>
              <w:top w:val="single" w:sz="4" w:space="0" w:color="auto"/>
              <w:left w:val="single" w:sz="4" w:space="0" w:color="auto"/>
              <w:bottom w:val="single" w:sz="4" w:space="0" w:color="auto"/>
              <w:right w:val="single" w:sz="4" w:space="0" w:color="auto"/>
            </w:tcBorders>
            <w:hideMark/>
          </w:tcPr>
          <w:p w14:paraId="0D5CF6A6"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−126,5…</w:t>
            </w:r>
            <w:r w:rsidRPr="00140923">
              <w:rPr>
                <w:color w:val="000000"/>
                <w:sz w:val="20"/>
                <w:lang w:val="es-ES_tradnl" w:eastAsia="ja-JP"/>
              </w:rPr>
              <w:br/>
              <w:t>−124,5</w:t>
            </w:r>
          </w:p>
        </w:tc>
        <w:tc>
          <w:tcPr>
            <w:tcW w:w="1247" w:type="dxa"/>
            <w:tcBorders>
              <w:top w:val="single" w:sz="4" w:space="0" w:color="auto"/>
              <w:left w:val="single" w:sz="4" w:space="0" w:color="auto"/>
              <w:bottom w:val="single" w:sz="4" w:space="0" w:color="auto"/>
              <w:right w:val="single" w:sz="4" w:space="0" w:color="auto"/>
            </w:tcBorders>
            <w:hideMark/>
          </w:tcPr>
          <w:p w14:paraId="426EE6D7"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−108,4…</w:t>
            </w:r>
            <w:r w:rsidRPr="00140923">
              <w:rPr>
                <w:color w:val="000000"/>
                <w:sz w:val="20"/>
                <w:lang w:val="es-ES_tradnl" w:eastAsia="ja-JP"/>
              </w:rPr>
              <w:br/>
              <w:t>−107,4</w:t>
            </w:r>
          </w:p>
        </w:tc>
        <w:tc>
          <w:tcPr>
            <w:tcW w:w="1191" w:type="dxa"/>
            <w:tcBorders>
              <w:top w:val="single" w:sz="4" w:space="0" w:color="auto"/>
              <w:left w:val="single" w:sz="4" w:space="0" w:color="auto"/>
              <w:bottom w:val="single" w:sz="4" w:space="0" w:color="auto"/>
              <w:right w:val="single" w:sz="4" w:space="0" w:color="auto"/>
            </w:tcBorders>
            <w:hideMark/>
          </w:tcPr>
          <w:p w14:paraId="339AAA36"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−126,5</w:t>
            </w:r>
          </w:p>
        </w:tc>
      </w:tr>
      <w:tr w:rsidR="002B37E9" w:rsidRPr="00140923" w14:paraId="7321C4F5" w14:textId="77777777" w:rsidTr="00226764">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8E76E8" w14:textId="77777777" w:rsidR="002B37E9" w:rsidRPr="00140923" w:rsidRDefault="002B37E9" w:rsidP="00226764">
            <w:pPr>
              <w:pStyle w:val="Tabletext"/>
              <w:jc w:val="left"/>
              <w:rPr>
                <w:color w:val="000000"/>
                <w:sz w:val="20"/>
                <w:lang w:val="es-ES_tradnl" w:eastAsia="ja-JP"/>
              </w:rPr>
            </w:pPr>
            <w:r w:rsidRPr="00140923">
              <w:rPr>
                <w:color w:val="000000"/>
                <w:sz w:val="20"/>
                <w:lang w:val="es-ES_tradnl"/>
              </w:rPr>
              <w:t>Densidad de potencia de interferencia a largo plazo nominal (dBW/MHz)</w:t>
            </w:r>
            <w:r w:rsidRPr="00140923">
              <w:rPr>
                <w:color w:val="000000"/>
                <w:sz w:val="20"/>
                <w:vertAlign w:val="superscript"/>
                <w:lang w:val="es-ES_tradnl" w:eastAsia="ja-JP"/>
              </w:rPr>
              <w:t>(2)</w:t>
            </w:r>
          </w:p>
        </w:tc>
        <w:tc>
          <w:tcPr>
            <w:tcW w:w="1474" w:type="dxa"/>
            <w:tcBorders>
              <w:top w:val="single" w:sz="4" w:space="0" w:color="auto"/>
              <w:left w:val="single" w:sz="4" w:space="0" w:color="auto"/>
              <w:bottom w:val="single" w:sz="4" w:space="0" w:color="auto"/>
              <w:right w:val="single" w:sz="4" w:space="0" w:color="auto"/>
            </w:tcBorders>
            <w:hideMark/>
          </w:tcPr>
          <w:p w14:paraId="1574571C"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−139</w:t>
            </w:r>
            <w:r w:rsidRPr="00140923">
              <w:rPr>
                <w:color w:val="000000"/>
                <w:sz w:val="20"/>
                <w:lang w:val="es-ES_tradnl"/>
              </w:rPr>
              <w:t xml:space="preserve"> +</w:t>
            </w:r>
            <w:r w:rsidRPr="00140923">
              <w:rPr>
                <w:i/>
                <w:sz w:val="20"/>
                <w:lang w:val="es-ES_tradnl"/>
              </w:rPr>
              <w:t xml:space="preserve"> I</w:t>
            </w:r>
            <w:r w:rsidRPr="00140923">
              <w:rPr>
                <w:iCs/>
                <w:sz w:val="20"/>
                <w:lang w:val="es-ES_tradnl"/>
              </w:rPr>
              <w:t>/</w:t>
            </w:r>
            <w:r w:rsidRPr="00140923">
              <w:rPr>
                <w:i/>
                <w:sz w:val="20"/>
                <w:lang w:val="es-ES_tradnl"/>
              </w:rPr>
              <w:t>N</w:t>
            </w:r>
          </w:p>
        </w:tc>
        <w:tc>
          <w:tcPr>
            <w:tcW w:w="1474" w:type="dxa"/>
            <w:tcBorders>
              <w:top w:val="single" w:sz="4" w:space="0" w:color="auto"/>
              <w:left w:val="single" w:sz="4" w:space="0" w:color="auto"/>
              <w:bottom w:val="single" w:sz="4" w:space="0" w:color="auto"/>
              <w:right w:val="single" w:sz="4" w:space="0" w:color="auto"/>
            </w:tcBorders>
            <w:hideMark/>
          </w:tcPr>
          <w:p w14:paraId="2B3E82D2"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−140,5</w:t>
            </w:r>
            <w:r w:rsidRPr="00140923">
              <w:rPr>
                <w:color w:val="000000"/>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c>
          <w:tcPr>
            <w:tcW w:w="1077" w:type="dxa"/>
            <w:tcBorders>
              <w:top w:val="single" w:sz="4" w:space="0" w:color="auto"/>
              <w:left w:val="single" w:sz="4" w:space="0" w:color="auto"/>
              <w:bottom w:val="single" w:sz="4" w:space="0" w:color="auto"/>
              <w:right w:val="single" w:sz="4" w:space="0" w:color="auto"/>
            </w:tcBorders>
            <w:hideMark/>
          </w:tcPr>
          <w:p w14:paraId="182D8E3B"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w:t>
            </w:r>
            <w:r w:rsidRPr="00140923">
              <w:rPr>
                <w:color w:val="000000"/>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c>
          <w:tcPr>
            <w:tcW w:w="1191" w:type="dxa"/>
            <w:tcBorders>
              <w:top w:val="single" w:sz="4" w:space="0" w:color="auto"/>
              <w:left w:val="single" w:sz="4" w:space="0" w:color="auto"/>
              <w:bottom w:val="single" w:sz="4" w:space="0" w:color="auto"/>
              <w:right w:val="single" w:sz="4" w:space="0" w:color="auto"/>
            </w:tcBorders>
            <w:hideMark/>
          </w:tcPr>
          <w:p w14:paraId="26B61C0A" w14:textId="77777777" w:rsidR="002B37E9" w:rsidRPr="00140923" w:rsidRDefault="002B37E9" w:rsidP="00226764">
            <w:pPr>
              <w:pStyle w:val="Tabletext"/>
              <w:ind w:left="-57" w:right="-57"/>
              <w:jc w:val="center"/>
              <w:rPr>
                <w:color w:val="000000"/>
                <w:sz w:val="20"/>
                <w:lang w:val="es-ES_tradnl" w:eastAsia="ja-JP"/>
              </w:rPr>
            </w:pPr>
            <w:r w:rsidRPr="00140923">
              <w:rPr>
                <w:color w:val="000000"/>
                <w:sz w:val="20"/>
                <w:lang w:val="es-ES_tradnl" w:eastAsia="ja-JP"/>
              </w:rPr>
              <w:t>−140…</w:t>
            </w:r>
            <w:r w:rsidRPr="00140923">
              <w:rPr>
                <w:color w:val="000000"/>
                <w:sz w:val="20"/>
                <w:lang w:val="es-ES_tradnl" w:eastAsia="ja-JP"/>
              </w:rPr>
              <w:br/>
              <w:t>−137</w:t>
            </w:r>
            <w:r w:rsidRPr="00140923">
              <w:rPr>
                <w:color w:val="000000"/>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c>
          <w:tcPr>
            <w:tcW w:w="1134" w:type="dxa"/>
            <w:tcBorders>
              <w:top w:val="single" w:sz="4" w:space="0" w:color="auto"/>
              <w:left w:val="single" w:sz="4" w:space="0" w:color="auto"/>
              <w:bottom w:val="single" w:sz="4" w:space="0" w:color="auto"/>
              <w:right w:val="single" w:sz="4" w:space="0" w:color="auto"/>
            </w:tcBorders>
            <w:hideMark/>
          </w:tcPr>
          <w:p w14:paraId="335E84B9"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w:t>
            </w:r>
            <w:r w:rsidRPr="00140923">
              <w:rPr>
                <w:color w:val="000000"/>
                <w:sz w:val="20"/>
                <w:lang w:val="es-ES_tradnl"/>
              </w:rPr>
              <w:t xml:space="preserve"> + </w:t>
            </w:r>
            <w:r w:rsidRPr="00140923">
              <w:rPr>
                <w:i/>
                <w:color w:val="000000"/>
                <w:sz w:val="20"/>
                <w:lang w:val="es-ES_tradnl"/>
              </w:rPr>
              <w:t>I</w:t>
            </w:r>
            <w:r w:rsidRPr="00140923">
              <w:rPr>
                <w:iCs/>
                <w:color w:val="000000"/>
                <w:sz w:val="20"/>
                <w:lang w:val="es-ES_tradnl"/>
              </w:rPr>
              <w:t>/</w:t>
            </w:r>
            <w:r w:rsidRPr="00140923">
              <w:rPr>
                <w:i/>
                <w:color w:val="000000"/>
                <w:sz w:val="20"/>
                <w:lang w:val="es-ES_tradnl"/>
              </w:rPr>
              <w:t>N</w:t>
            </w:r>
          </w:p>
        </w:tc>
        <w:tc>
          <w:tcPr>
            <w:tcW w:w="992" w:type="dxa"/>
            <w:tcBorders>
              <w:top w:val="single" w:sz="4" w:space="0" w:color="auto"/>
              <w:left w:val="single" w:sz="4" w:space="0" w:color="auto"/>
              <w:bottom w:val="single" w:sz="4" w:space="0" w:color="auto"/>
              <w:right w:val="single" w:sz="4" w:space="0" w:color="auto"/>
            </w:tcBorders>
            <w:hideMark/>
          </w:tcPr>
          <w:p w14:paraId="4C1685EC"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w:t>
            </w:r>
            <w:r w:rsidRPr="00140923">
              <w:rPr>
                <w:color w:val="000000"/>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c>
          <w:tcPr>
            <w:tcW w:w="1134" w:type="dxa"/>
            <w:tcBorders>
              <w:top w:val="single" w:sz="4" w:space="0" w:color="auto"/>
              <w:left w:val="single" w:sz="4" w:space="0" w:color="auto"/>
              <w:bottom w:val="single" w:sz="4" w:space="0" w:color="auto"/>
              <w:right w:val="single" w:sz="4" w:space="0" w:color="auto"/>
            </w:tcBorders>
            <w:hideMark/>
          </w:tcPr>
          <w:p w14:paraId="171C8AF9" w14:textId="77777777" w:rsidR="002B37E9" w:rsidRPr="00140923" w:rsidRDefault="002B37E9" w:rsidP="00226764">
            <w:pPr>
              <w:pStyle w:val="Tabletext"/>
              <w:ind w:left="-57" w:right="-57"/>
              <w:jc w:val="center"/>
              <w:rPr>
                <w:color w:val="000000"/>
                <w:sz w:val="20"/>
                <w:lang w:val="es-ES_tradnl" w:eastAsia="ja-JP"/>
              </w:rPr>
            </w:pPr>
            <w:r w:rsidRPr="00140923">
              <w:rPr>
                <w:color w:val="000000"/>
                <w:sz w:val="20"/>
                <w:lang w:val="es-ES_tradnl" w:eastAsia="ja-JP"/>
              </w:rPr>
              <w:t>−140…</w:t>
            </w:r>
            <w:r w:rsidRPr="00140923">
              <w:rPr>
                <w:color w:val="000000"/>
                <w:sz w:val="20"/>
                <w:lang w:val="es-ES_tradnl" w:eastAsia="ja-JP"/>
              </w:rPr>
              <w:br/>
              <w:t>−138</w:t>
            </w:r>
            <w:r w:rsidRPr="00140923">
              <w:rPr>
                <w:color w:val="000000"/>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c>
          <w:tcPr>
            <w:tcW w:w="1247" w:type="dxa"/>
            <w:tcBorders>
              <w:top w:val="single" w:sz="4" w:space="0" w:color="auto"/>
              <w:left w:val="single" w:sz="4" w:space="0" w:color="auto"/>
              <w:bottom w:val="single" w:sz="4" w:space="0" w:color="auto"/>
              <w:right w:val="single" w:sz="4" w:space="0" w:color="auto"/>
            </w:tcBorders>
            <w:hideMark/>
          </w:tcPr>
          <w:p w14:paraId="3D0C3CF0"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−141…</w:t>
            </w:r>
            <w:r w:rsidRPr="00140923">
              <w:rPr>
                <w:color w:val="000000"/>
                <w:sz w:val="20"/>
                <w:lang w:val="es-ES_tradnl" w:eastAsia="ja-JP"/>
              </w:rPr>
              <w:br/>
              <w:t>−140</w:t>
            </w:r>
            <w:r w:rsidRPr="00140923">
              <w:rPr>
                <w:color w:val="000000"/>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c>
          <w:tcPr>
            <w:tcW w:w="1191" w:type="dxa"/>
            <w:tcBorders>
              <w:top w:val="single" w:sz="4" w:space="0" w:color="auto"/>
              <w:left w:val="single" w:sz="4" w:space="0" w:color="auto"/>
              <w:bottom w:val="single" w:sz="4" w:space="0" w:color="auto"/>
              <w:right w:val="single" w:sz="4" w:space="0" w:color="auto"/>
            </w:tcBorders>
            <w:hideMark/>
          </w:tcPr>
          <w:p w14:paraId="198A8BCC" w14:textId="77777777" w:rsidR="002B37E9" w:rsidRPr="00140923" w:rsidRDefault="002B37E9" w:rsidP="00226764">
            <w:pPr>
              <w:pStyle w:val="Tabletext"/>
              <w:ind w:left="-57" w:right="-57"/>
              <w:jc w:val="center"/>
              <w:rPr>
                <w:color w:val="000000"/>
                <w:sz w:val="20"/>
                <w:lang w:val="es-ES_tradnl" w:eastAsia="ja-JP"/>
              </w:rPr>
            </w:pPr>
            <w:r w:rsidRPr="00140923">
              <w:rPr>
                <w:color w:val="000000"/>
                <w:sz w:val="20"/>
                <w:lang w:val="es-ES_tradnl" w:eastAsia="ja-JP"/>
              </w:rPr>
              <w:t>−140</w:t>
            </w:r>
            <w:r w:rsidRPr="00140923">
              <w:rPr>
                <w:color w:val="000000"/>
                <w:sz w:val="20"/>
                <w:lang w:val="es-ES_tradnl"/>
              </w:rPr>
              <w:t xml:space="preserve"> + </w:t>
            </w:r>
            <w:r w:rsidRPr="00140923">
              <w:rPr>
                <w:i/>
                <w:sz w:val="20"/>
                <w:lang w:val="es-ES_tradnl"/>
              </w:rPr>
              <w:t>I</w:t>
            </w:r>
            <w:r w:rsidRPr="00140923">
              <w:rPr>
                <w:iCs/>
                <w:sz w:val="20"/>
                <w:lang w:val="es-ES_tradnl"/>
              </w:rPr>
              <w:t>/</w:t>
            </w:r>
            <w:r w:rsidRPr="00140923">
              <w:rPr>
                <w:i/>
                <w:sz w:val="20"/>
                <w:lang w:val="es-ES_tradnl"/>
              </w:rPr>
              <w:t>N</w:t>
            </w:r>
          </w:p>
        </w:tc>
      </w:tr>
      <w:tr w:rsidR="002B37E9" w:rsidRPr="00140923" w14:paraId="178DB37E" w14:textId="77777777" w:rsidTr="00226764">
        <w:trPr>
          <w:jc w:val="center"/>
        </w:trPr>
        <w:tc>
          <w:tcPr>
            <w:tcW w:w="14514" w:type="dxa"/>
            <w:gridSpan w:val="10"/>
            <w:tcBorders>
              <w:top w:val="single" w:sz="4" w:space="0" w:color="auto"/>
              <w:left w:val="nil"/>
              <w:bottom w:val="nil"/>
              <w:right w:val="nil"/>
            </w:tcBorders>
            <w:tcMar>
              <w:top w:w="0" w:type="dxa"/>
              <w:left w:w="57" w:type="dxa"/>
              <w:bottom w:w="0" w:type="dxa"/>
              <w:right w:w="57" w:type="dxa"/>
            </w:tcMar>
          </w:tcPr>
          <w:p w14:paraId="718DDF84" w14:textId="77777777" w:rsidR="002B37E9" w:rsidRPr="00140923" w:rsidRDefault="002B37E9" w:rsidP="00226764">
            <w:pPr>
              <w:pStyle w:val="Tablelegend"/>
              <w:ind w:left="312"/>
              <w:rPr>
                <w:sz w:val="20"/>
                <w:lang w:val="es-ES_tradnl" w:eastAsia="ja-JP"/>
              </w:rPr>
            </w:pPr>
            <w:r w:rsidRPr="00140923">
              <w:rPr>
                <w:vertAlign w:val="superscript"/>
                <w:lang w:val="es-ES_tradnl"/>
              </w:rPr>
              <w:t>(1)</w:t>
            </w:r>
            <w:r w:rsidRPr="00140923">
              <w:rPr>
                <w:lang w:val="es-ES_tradnl"/>
              </w:rPr>
              <w:tab/>
            </w:r>
            <w:r w:rsidRPr="00140923">
              <w:rPr>
                <w:sz w:val="20"/>
                <w:lang w:val="es-ES_tradnl" w:eastAsia="ja-JP"/>
              </w:rPr>
              <w:t xml:space="preserve">Para calcular los valores de las densidades del transmisor y de la p.i.r.e., es preciso determinar la separación entre canales y la anchura de banda. En estos Cuadros, la separación entre canales se indica en </w:t>
            </w:r>
            <w:r w:rsidRPr="00140923">
              <w:rPr>
                <w:b/>
                <w:bCs/>
                <w:sz w:val="20"/>
                <w:lang w:val="es-ES_tradnl" w:eastAsia="ja-JP"/>
              </w:rPr>
              <w:t>negritas</w:t>
            </w:r>
            <w:r w:rsidRPr="00140923">
              <w:rPr>
                <w:sz w:val="20"/>
                <w:lang w:val="es-ES_tradnl" w:eastAsia="ja-JP"/>
              </w:rPr>
              <w:t>.</w:t>
            </w:r>
          </w:p>
          <w:p w14:paraId="6AC4B62C" w14:textId="77777777" w:rsidR="002B37E9" w:rsidRPr="00140923" w:rsidRDefault="002B37E9" w:rsidP="00226764">
            <w:pPr>
              <w:pStyle w:val="Tablelegend"/>
              <w:ind w:left="312"/>
              <w:rPr>
                <w:sz w:val="20"/>
                <w:lang w:val="es-ES_tradnl" w:eastAsia="ja-JP"/>
              </w:rPr>
            </w:pPr>
            <w:r w:rsidRPr="00140923">
              <w:rPr>
                <w:vertAlign w:val="superscript"/>
                <w:lang w:val="es-ES_tradnl"/>
              </w:rPr>
              <w:t>(2)</w:t>
            </w:r>
            <w:r w:rsidRPr="00140923">
              <w:rPr>
                <w:lang w:val="es-ES_tradnl"/>
              </w:rPr>
              <w:tab/>
            </w:r>
            <w:r w:rsidRPr="00140923">
              <w:rPr>
                <w:sz w:val="20"/>
                <w:lang w:val="es-ES_tradnl" w:eastAsia="ja-JP"/>
              </w:rPr>
              <w:t>La densidad de potencia de interferencia a largo plazo nominal se define como la «densidad de potencia de ruido del receptor + (I/N requerida)» según se describe en el § 4.13 del Anexo 2 (véase asimismo el § 4.1 del Anexo 1).</w:t>
            </w:r>
          </w:p>
        </w:tc>
      </w:tr>
    </w:tbl>
    <w:p w14:paraId="4F86045E" w14:textId="05BCFF83" w:rsidR="002B37E9" w:rsidRPr="00140923" w:rsidRDefault="002B37E9" w:rsidP="002B37E9">
      <w:pPr>
        <w:pStyle w:val="TableNo"/>
        <w:rPr>
          <w:lang w:val="es-ES_tradnl" w:eastAsia="ja-JP"/>
        </w:rPr>
      </w:pPr>
      <w:r w:rsidRPr="00140923">
        <w:rPr>
          <w:lang w:val="es-ES_tradnl"/>
        </w:rPr>
        <w:lastRenderedPageBreak/>
        <w:t xml:space="preserve">CUADRO </w:t>
      </w:r>
      <w:r w:rsidRPr="00140923">
        <w:rPr>
          <w:lang w:val="es-ES_tradnl" w:eastAsia="ja-JP"/>
        </w:rPr>
        <w:t>18</w:t>
      </w:r>
    </w:p>
    <w:p w14:paraId="63626D20" w14:textId="77777777" w:rsidR="002B37E9" w:rsidRPr="00140923" w:rsidRDefault="002B37E9" w:rsidP="002B37E9">
      <w:pPr>
        <w:pStyle w:val="Tabletitle"/>
        <w:rPr>
          <w:color w:val="000000"/>
          <w:lang w:val="es-ES_tradnl" w:eastAsia="ja-JP"/>
        </w:rPr>
      </w:pPr>
      <w:r w:rsidRPr="00140923">
        <w:rPr>
          <w:lang w:val="es-ES_tradnl" w:eastAsia="ja-JP"/>
        </w:rPr>
        <w:t>Parámetros de sistema para los sistemas punto a punto del servicio fijo en bandas atribuidas entre 3 y 12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0"/>
        <w:gridCol w:w="1474"/>
        <w:gridCol w:w="1474"/>
        <w:gridCol w:w="1474"/>
        <w:gridCol w:w="1474"/>
        <w:gridCol w:w="1474"/>
      </w:tblGrid>
      <w:tr w:rsidR="002B37E9" w:rsidRPr="00140923" w14:paraId="549234E3"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0162CE" w14:textId="77777777" w:rsidR="002B37E9" w:rsidRPr="00140923" w:rsidRDefault="002B37E9" w:rsidP="00226764">
            <w:pPr>
              <w:pStyle w:val="Tablehead"/>
              <w:rPr>
                <w:sz w:val="20"/>
                <w:lang w:val="es-ES_tradnl"/>
              </w:rPr>
            </w:pPr>
            <w:r w:rsidRPr="00140923">
              <w:rPr>
                <w:sz w:val="20"/>
                <w:lang w:val="es-ES_tradnl" w:eastAsia="ja-JP"/>
              </w:rPr>
              <w:t>Gama de frecuencias</w:t>
            </w:r>
            <w:r w:rsidRPr="00140923">
              <w:rPr>
                <w:sz w:val="20"/>
                <w:lang w:val="es-ES_tradnl" w:eastAsia="ja-JP"/>
              </w:rPr>
              <w:br/>
              <w:t>(GHz)</w:t>
            </w:r>
          </w:p>
        </w:tc>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1A384E2F" w14:textId="77777777" w:rsidR="002B37E9" w:rsidRPr="00140923" w:rsidRDefault="002B37E9" w:rsidP="00226764">
            <w:pPr>
              <w:pStyle w:val="Tablehead"/>
              <w:rPr>
                <w:sz w:val="20"/>
                <w:lang w:val="es-ES_tradnl" w:eastAsia="ja-JP"/>
              </w:rPr>
            </w:pPr>
            <w:r w:rsidRPr="00140923">
              <w:rPr>
                <w:sz w:val="20"/>
                <w:lang w:val="es-ES_tradnl" w:eastAsia="ja-JP"/>
              </w:rPr>
              <w:t>3,600-4,200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D1C1047" w14:textId="77777777" w:rsidR="002B37E9" w:rsidRPr="00140923" w:rsidRDefault="002B37E9" w:rsidP="00226764">
            <w:pPr>
              <w:pStyle w:val="Tablehead"/>
              <w:rPr>
                <w:sz w:val="20"/>
                <w:lang w:val="es-ES_tradnl"/>
              </w:rPr>
            </w:pPr>
            <w:r w:rsidRPr="00140923">
              <w:rPr>
                <w:sz w:val="20"/>
                <w:lang w:val="es-ES_tradnl" w:eastAsia="ja-JP"/>
              </w:rPr>
              <w:t>3,700-4,200</w:t>
            </w:r>
          </w:p>
        </w:tc>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38A95E44" w14:textId="77777777" w:rsidR="002B37E9" w:rsidRPr="00140923" w:rsidRDefault="002B37E9" w:rsidP="00226764">
            <w:pPr>
              <w:pStyle w:val="Tablehead"/>
              <w:rPr>
                <w:sz w:val="20"/>
                <w:lang w:val="es-ES_tradnl"/>
              </w:rPr>
            </w:pPr>
            <w:r w:rsidRPr="00140923">
              <w:rPr>
                <w:sz w:val="20"/>
                <w:lang w:val="es-ES_tradnl" w:eastAsia="ja-JP"/>
              </w:rPr>
              <w:t>10,5-10,68</w:t>
            </w:r>
          </w:p>
        </w:tc>
      </w:tr>
      <w:tr w:rsidR="002B37E9" w:rsidRPr="00140923" w14:paraId="34FE2256"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803CEAC" w14:textId="77777777" w:rsidR="002B37E9" w:rsidRPr="00140923" w:rsidRDefault="002B37E9" w:rsidP="00226764">
            <w:pPr>
              <w:pStyle w:val="Tabletext"/>
              <w:jc w:val="left"/>
              <w:rPr>
                <w:color w:val="000000"/>
                <w:sz w:val="20"/>
                <w:lang w:val="es-ES_tradnl"/>
              </w:rPr>
            </w:pPr>
            <w:r w:rsidRPr="00140923">
              <w:rPr>
                <w:sz w:val="20"/>
                <w:lang w:val="es-ES_tradnl"/>
              </w:rPr>
              <w:t>Recomendación UIT-R de referencia</w:t>
            </w:r>
          </w:p>
        </w:tc>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151C46AC" w14:textId="77777777" w:rsidR="002B37E9" w:rsidRPr="00140923" w:rsidRDefault="002B37E9" w:rsidP="00226764">
            <w:pPr>
              <w:pStyle w:val="Tabletext"/>
              <w:jc w:val="center"/>
              <w:rPr>
                <w:color w:val="000000"/>
                <w:sz w:val="20"/>
                <w:lang w:val="es-ES_tradnl" w:eastAsia="ja-JP"/>
              </w:rPr>
            </w:pPr>
            <w:r w:rsidRPr="00140923">
              <w:rPr>
                <w:sz w:val="20"/>
                <w:lang w:val="es-ES_tradnl"/>
              </w:rPr>
              <w:t>F.</w:t>
            </w:r>
            <w:r w:rsidRPr="00140923">
              <w:rPr>
                <w:sz w:val="20"/>
                <w:lang w:val="es-ES_tradnl" w:eastAsia="ja-JP"/>
              </w:rPr>
              <w:t>635</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8CFF213" w14:textId="77777777" w:rsidR="002B37E9" w:rsidRPr="00140923" w:rsidRDefault="002B37E9" w:rsidP="00226764">
            <w:pPr>
              <w:pStyle w:val="Tabletext"/>
              <w:jc w:val="center"/>
              <w:rPr>
                <w:color w:val="000000"/>
                <w:sz w:val="20"/>
                <w:lang w:val="es-ES_tradnl"/>
              </w:rPr>
            </w:pPr>
            <w:r w:rsidRPr="00140923">
              <w:rPr>
                <w:sz w:val="20"/>
                <w:lang w:val="es-ES_tradnl"/>
              </w:rPr>
              <w:t>F.</w:t>
            </w:r>
            <w:r w:rsidRPr="00140923">
              <w:rPr>
                <w:sz w:val="20"/>
                <w:lang w:val="es-ES_tradnl" w:eastAsia="ja-JP"/>
              </w:rPr>
              <w:t>382</w:t>
            </w:r>
          </w:p>
        </w:tc>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5C86A894" w14:textId="77777777" w:rsidR="002B37E9" w:rsidRPr="00140923" w:rsidRDefault="002B37E9" w:rsidP="00226764">
            <w:pPr>
              <w:pStyle w:val="Tabletext"/>
              <w:jc w:val="center"/>
              <w:rPr>
                <w:color w:val="000000"/>
                <w:sz w:val="20"/>
                <w:lang w:val="es-ES_tradnl"/>
              </w:rPr>
            </w:pPr>
            <w:r w:rsidRPr="00140923">
              <w:rPr>
                <w:sz w:val="20"/>
                <w:lang w:val="es-ES_tradnl"/>
              </w:rPr>
              <w:t>F</w:t>
            </w:r>
            <w:r w:rsidRPr="00140923">
              <w:rPr>
                <w:sz w:val="20"/>
                <w:lang w:val="es-ES_tradnl" w:eastAsia="ja-JP"/>
              </w:rPr>
              <w:t>.747</w:t>
            </w:r>
          </w:p>
        </w:tc>
      </w:tr>
      <w:tr w:rsidR="002B37E9" w:rsidRPr="00140923" w14:paraId="076728E6"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4781EA7" w14:textId="77777777" w:rsidR="002B37E9" w:rsidRPr="00140923" w:rsidRDefault="002B37E9" w:rsidP="00226764">
            <w:pPr>
              <w:pStyle w:val="Tabletext"/>
              <w:jc w:val="left"/>
              <w:rPr>
                <w:color w:val="000000"/>
                <w:sz w:val="20"/>
                <w:lang w:val="es-ES_tradnl"/>
              </w:rPr>
            </w:pPr>
            <w:r w:rsidRPr="00140923">
              <w:rPr>
                <w:color w:val="000000"/>
                <w:sz w:val="20"/>
                <w:lang w:val="es-ES_tradnl"/>
              </w:rPr>
              <w:t>Modulación</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F3CA53D"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MAQ-64</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49BF452"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MAQ-512</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DF8BB7D"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MDP-4</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A3D921D" w14:textId="77777777" w:rsidR="002B37E9" w:rsidRPr="00140923" w:rsidRDefault="002B37E9" w:rsidP="00226764">
            <w:pPr>
              <w:pStyle w:val="Tabletext"/>
              <w:jc w:val="center"/>
              <w:rPr>
                <w:color w:val="000000"/>
                <w:sz w:val="20"/>
                <w:lang w:val="es-ES_tradnl"/>
              </w:rPr>
            </w:pPr>
            <w:r w:rsidRPr="00140923">
              <w:rPr>
                <w:color w:val="000000"/>
                <w:sz w:val="20"/>
                <w:lang w:val="es-ES_tradnl"/>
              </w:rPr>
              <w:t>MDP-4</w:t>
            </w:r>
            <w:r w:rsidRPr="00140923">
              <w:rPr>
                <w:color w:val="000000"/>
                <w:sz w:val="20"/>
                <w:vertAlign w:val="superscript"/>
                <w:lang w:val="es-ES_tradnl" w:eastAsia="ja-JP"/>
              </w:rPr>
              <w:t>(3)</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71B2500" w14:textId="77777777" w:rsidR="002B37E9" w:rsidRPr="00140923" w:rsidRDefault="002B37E9" w:rsidP="00226764">
            <w:pPr>
              <w:pStyle w:val="Tabletext"/>
              <w:jc w:val="center"/>
              <w:rPr>
                <w:color w:val="000000"/>
                <w:sz w:val="20"/>
                <w:lang w:val="es-ES_tradnl"/>
              </w:rPr>
            </w:pPr>
            <w:r w:rsidRPr="00140923">
              <w:rPr>
                <w:color w:val="000000"/>
                <w:sz w:val="20"/>
                <w:lang w:val="es-ES_tradnl"/>
              </w:rPr>
              <w:t>MCT-128</w:t>
            </w:r>
          </w:p>
        </w:tc>
      </w:tr>
      <w:tr w:rsidR="002B37E9" w:rsidRPr="00140923" w14:paraId="5D478BD2"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98C65D" w14:textId="77777777" w:rsidR="002B37E9" w:rsidRPr="00140923" w:rsidRDefault="002B37E9" w:rsidP="00226764">
            <w:pPr>
              <w:pStyle w:val="Tabletext"/>
              <w:jc w:val="left"/>
              <w:rPr>
                <w:color w:val="000000"/>
                <w:sz w:val="20"/>
                <w:lang w:val="es-ES_tradnl"/>
              </w:rPr>
            </w:pPr>
            <w:r w:rsidRPr="00140923">
              <w:rPr>
                <w:color w:val="000000"/>
                <w:sz w:val="20"/>
                <w:lang w:val="es-ES_tradnl"/>
              </w:rPr>
              <w:t>Separación de canales y anchura de banda de ruido del receptor (MHz)</w:t>
            </w:r>
          </w:p>
        </w:tc>
        <w:tc>
          <w:tcPr>
            <w:tcW w:w="1474" w:type="dxa"/>
            <w:tcBorders>
              <w:top w:val="single" w:sz="4" w:space="0" w:color="auto"/>
              <w:left w:val="single" w:sz="4" w:space="0" w:color="auto"/>
              <w:bottom w:val="single" w:sz="4" w:space="0" w:color="auto"/>
              <w:right w:val="single" w:sz="4" w:space="0" w:color="auto"/>
            </w:tcBorders>
            <w:hideMark/>
          </w:tcPr>
          <w:p w14:paraId="4EFEAA36" w14:textId="77777777" w:rsidR="002B37E9" w:rsidRPr="00140923" w:rsidRDefault="002B37E9" w:rsidP="00226764">
            <w:pPr>
              <w:pStyle w:val="Tabletext"/>
              <w:jc w:val="center"/>
              <w:rPr>
                <w:color w:val="000000"/>
                <w:sz w:val="20"/>
                <w:lang w:val="es-ES_tradnl" w:eastAsia="ja-JP"/>
              </w:rPr>
            </w:pPr>
            <w:r w:rsidRPr="00140923">
              <w:rPr>
                <w:b/>
                <w:caps/>
                <w:color w:val="000000"/>
                <w:sz w:val="20"/>
                <w:lang w:val="es-ES_tradnl" w:eastAsia="ja-JP"/>
              </w:rPr>
              <w:t>10</w:t>
            </w:r>
            <w:r w:rsidRPr="00140923">
              <w:rPr>
                <w:caps/>
                <w:color w:val="000000"/>
                <w:sz w:val="20"/>
                <w:lang w:val="es-ES_tradnl" w:eastAsia="ja-JP"/>
              </w:rPr>
              <w:t xml:space="preserve">; </w:t>
            </w:r>
            <w:r w:rsidRPr="00140923">
              <w:rPr>
                <w:b/>
                <w:caps/>
                <w:color w:val="000000"/>
                <w:sz w:val="20"/>
                <w:lang w:val="es-ES_tradnl" w:eastAsia="ja-JP"/>
              </w:rPr>
              <w:t>30</w:t>
            </w:r>
            <w:r w:rsidRPr="00140923">
              <w:rPr>
                <w:caps/>
                <w:color w:val="000000"/>
                <w:sz w:val="20"/>
                <w:lang w:val="es-ES_tradnl" w:eastAsia="ja-JP"/>
              </w:rPr>
              <w:t>; 40; 60; 80; 90</w:t>
            </w:r>
          </w:p>
        </w:tc>
        <w:tc>
          <w:tcPr>
            <w:tcW w:w="1474" w:type="dxa"/>
            <w:tcBorders>
              <w:top w:val="single" w:sz="4" w:space="0" w:color="auto"/>
              <w:left w:val="single" w:sz="4" w:space="0" w:color="auto"/>
              <w:bottom w:val="single" w:sz="4" w:space="0" w:color="auto"/>
              <w:right w:val="single" w:sz="4" w:space="0" w:color="auto"/>
            </w:tcBorders>
            <w:hideMark/>
          </w:tcPr>
          <w:p w14:paraId="1AD4BDF3" w14:textId="77777777" w:rsidR="002B37E9" w:rsidRPr="00140923" w:rsidRDefault="002B37E9" w:rsidP="00226764">
            <w:pPr>
              <w:pStyle w:val="Tabletext"/>
              <w:jc w:val="center"/>
              <w:rPr>
                <w:color w:val="000000"/>
                <w:sz w:val="20"/>
                <w:lang w:val="es-ES_tradnl"/>
              </w:rPr>
            </w:pPr>
            <w:r w:rsidRPr="00140923">
              <w:rPr>
                <w:caps/>
                <w:color w:val="000000"/>
                <w:sz w:val="20"/>
                <w:lang w:val="es-ES_tradnl" w:eastAsia="ja-JP"/>
              </w:rPr>
              <w:t xml:space="preserve">10; 30; </w:t>
            </w:r>
            <w:r w:rsidRPr="00140923">
              <w:rPr>
                <w:b/>
                <w:caps/>
                <w:color w:val="000000"/>
                <w:sz w:val="20"/>
                <w:lang w:val="es-ES_tradnl" w:eastAsia="ja-JP"/>
              </w:rPr>
              <w:t>40</w:t>
            </w:r>
            <w:r w:rsidRPr="00140923">
              <w:rPr>
                <w:caps/>
                <w:color w:val="000000"/>
                <w:sz w:val="20"/>
                <w:lang w:val="es-ES_tradnl" w:eastAsia="ja-JP"/>
              </w:rPr>
              <w:t>; 60; 80; 90</w:t>
            </w:r>
          </w:p>
        </w:tc>
        <w:tc>
          <w:tcPr>
            <w:tcW w:w="1474" w:type="dxa"/>
            <w:tcBorders>
              <w:top w:val="single" w:sz="4" w:space="0" w:color="auto"/>
              <w:left w:val="single" w:sz="4" w:space="0" w:color="auto"/>
              <w:bottom w:val="single" w:sz="4" w:space="0" w:color="auto"/>
              <w:right w:val="single" w:sz="4" w:space="0" w:color="auto"/>
            </w:tcBorders>
            <w:hideMark/>
          </w:tcPr>
          <w:p w14:paraId="6E87CF11"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 xml:space="preserve">28; </w:t>
            </w:r>
            <w:r w:rsidRPr="00140923">
              <w:rPr>
                <w:b/>
                <w:color w:val="000000"/>
                <w:sz w:val="20"/>
                <w:lang w:val="es-ES_tradnl" w:eastAsia="ja-JP"/>
              </w:rPr>
              <w:t>29</w:t>
            </w:r>
          </w:p>
        </w:tc>
        <w:tc>
          <w:tcPr>
            <w:tcW w:w="1474" w:type="dxa"/>
            <w:tcBorders>
              <w:top w:val="single" w:sz="4" w:space="0" w:color="auto"/>
              <w:left w:val="single" w:sz="4" w:space="0" w:color="auto"/>
              <w:bottom w:val="single" w:sz="4" w:space="0" w:color="auto"/>
              <w:right w:val="single" w:sz="4" w:space="0" w:color="auto"/>
            </w:tcBorders>
            <w:hideMark/>
          </w:tcPr>
          <w:p w14:paraId="6B1FBD6D" w14:textId="77777777" w:rsidR="002B37E9" w:rsidRPr="00140923" w:rsidRDefault="002B37E9" w:rsidP="00226764">
            <w:pPr>
              <w:pStyle w:val="Tabletext"/>
              <w:jc w:val="center"/>
              <w:rPr>
                <w:color w:val="000000"/>
                <w:sz w:val="20"/>
                <w:lang w:val="es-ES_tradnl" w:eastAsia="ja-JP"/>
              </w:rPr>
            </w:pPr>
            <w:r w:rsidRPr="00140923">
              <w:rPr>
                <w:caps/>
                <w:color w:val="000000"/>
                <w:sz w:val="20"/>
                <w:lang w:val="es-ES_tradnl" w:eastAsia="ja-JP"/>
              </w:rPr>
              <w:t>1,25; 2,5; 3,5; </w:t>
            </w:r>
            <w:r w:rsidRPr="00140923">
              <w:rPr>
                <w:b/>
                <w:caps/>
                <w:color w:val="000000"/>
                <w:sz w:val="20"/>
                <w:lang w:val="es-ES_tradnl" w:eastAsia="ja-JP"/>
              </w:rPr>
              <w:t>7</w:t>
            </w:r>
          </w:p>
        </w:tc>
        <w:tc>
          <w:tcPr>
            <w:tcW w:w="1474" w:type="dxa"/>
            <w:tcBorders>
              <w:top w:val="single" w:sz="4" w:space="0" w:color="auto"/>
              <w:left w:val="single" w:sz="4" w:space="0" w:color="auto"/>
              <w:bottom w:val="single" w:sz="4" w:space="0" w:color="auto"/>
              <w:right w:val="single" w:sz="4" w:space="0" w:color="auto"/>
            </w:tcBorders>
            <w:hideMark/>
          </w:tcPr>
          <w:p w14:paraId="3BB30159" w14:textId="77777777" w:rsidR="002B37E9" w:rsidRPr="00140923" w:rsidRDefault="002B37E9" w:rsidP="00226764">
            <w:pPr>
              <w:pStyle w:val="Tabletext"/>
              <w:jc w:val="center"/>
              <w:rPr>
                <w:color w:val="000000"/>
                <w:sz w:val="20"/>
                <w:lang w:val="es-ES_tradnl" w:eastAsia="ja-JP"/>
              </w:rPr>
            </w:pPr>
            <w:r w:rsidRPr="00140923">
              <w:rPr>
                <w:caps/>
                <w:color w:val="000000"/>
                <w:sz w:val="20"/>
                <w:lang w:val="es-ES_tradnl" w:eastAsia="ja-JP"/>
              </w:rPr>
              <w:t>1,25;</w:t>
            </w:r>
            <w:r w:rsidRPr="00140923">
              <w:rPr>
                <w:b/>
                <w:caps/>
                <w:color w:val="000000"/>
                <w:sz w:val="20"/>
                <w:lang w:val="es-ES_tradnl" w:eastAsia="ja-JP"/>
              </w:rPr>
              <w:t xml:space="preserve"> 2,5</w:t>
            </w:r>
            <w:r w:rsidRPr="00140923">
              <w:rPr>
                <w:caps/>
                <w:color w:val="000000"/>
                <w:sz w:val="20"/>
                <w:lang w:val="es-ES_tradnl" w:eastAsia="ja-JP"/>
              </w:rPr>
              <w:t>; 3,5; 7</w:t>
            </w:r>
          </w:p>
        </w:tc>
      </w:tr>
      <w:tr w:rsidR="002B37E9" w:rsidRPr="00140923" w14:paraId="70452D66"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CBE4FD" w14:textId="77777777" w:rsidR="002B37E9" w:rsidRPr="00140923" w:rsidRDefault="002B37E9" w:rsidP="00226764">
            <w:pPr>
              <w:pStyle w:val="Tabletext"/>
              <w:jc w:val="left"/>
              <w:rPr>
                <w:color w:val="000000"/>
                <w:sz w:val="20"/>
                <w:lang w:val="es-ES_tradnl"/>
              </w:rPr>
            </w:pPr>
            <w:r w:rsidRPr="00140923">
              <w:rPr>
                <w:color w:val="000000"/>
                <w:sz w:val="20"/>
                <w:lang w:val="es-ES_tradnl"/>
              </w:rPr>
              <w:t>Gama máxima de potencia de salida del transmisor (dBW)</w:t>
            </w:r>
          </w:p>
        </w:tc>
        <w:tc>
          <w:tcPr>
            <w:tcW w:w="1474" w:type="dxa"/>
            <w:tcBorders>
              <w:top w:val="single" w:sz="4" w:space="0" w:color="auto"/>
              <w:left w:val="single" w:sz="4" w:space="0" w:color="auto"/>
              <w:bottom w:val="single" w:sz="4" w:space="0" w:color="auto"/>
              <w:right w:val="single" w:sz="4" w:space="0" w:color="auto"/>
            </w:tcBorders>
            <w:hideMark/>
          </w:tcPr>
          <w:p w14:paraId="551C6E63"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w:t>
            </w:r>
          </w:p>
        </w:tc>
        <w:tc>
          <w:tcPr>
            <w:tcW w:w="1474" w:type="dxa"/>
            <w:tcBorders>
              <w:top w:val="single" w:sz="4" w:space="0" w:color="auto"/>
              <w:left w:val="single" w:sz="4" w:space="0" w:color="auto"/>
              <w:bottom w:val="single" w:sz="4" w:space="0" w:color="auto"/>
              <w:right w:val="single" w:sz="4" w:space="0" w:color="auto"/>
            </w:tcBorders>
            <w:hideMark/>
          </w:tcPr>
          <w:p w14:paraId="3EC3B9CF"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7</w:t>
            </w:r>
          </w:p>
        </w:tc>
        <w:tc>
          <w:tcPr>
            <w:tcW w:w="1474" w:type="dxa"/>
            <w:tcBorders>
              <w:top w:val="single" w:sz="4" w:space="0" w:color="auto"/>
              <w:left w:val="single" w:sz="4" w:space="0" w:color="auto"/>
              <w:bottom w:val="single" w:sz="4" w:space="0" w:color="auto"/>
              <w:right w:val="single" w:sz="4" w:space="0" w:color="auto"/>
            </w:tcBorders>
            <w:hideMark/>
          </w:tcPr>
          <w:p w14:paraId="75BC1EFA"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0</w:t>
            </w:r>
          </w:p>
        </w:tc>
        <w:tc>
          <w:tcPr>
            <w:tcW w:w="1474" w:type="dxa"/>
            <w:tcBorders>
              <w:top w:val="single" w:sz="4" w:space="0" w:color="auto"/>
              <w:left w:val="single" w:sz="4" w:space="0" w:color="auto"/>
              <w:bottom w:val="single" w:sz="4" w:space="0" w:color="auto"/>
              <w:right w:val="single" w:sz="4" w:space="0" w:color="auto"/>
            </w:tcBorders>
            <w:hideMark/>
          </w:tcPr>
          <w:p w14:paraId="4CFD426C"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−2</w:t>
            </w:r>
          </w:p>
        </w:tc>
        <w:tc>
          <w:tcPr>
            <w:tcW w:w="1474" w:type="dxa"/>
            <w:tcBorders>
              <w:top w:val="single" w:sz="4" w:space="0" w:color="auto"/>
              <w:left w:val="single" w:sz="4" w:space="0" w:color="auto"/>
              <w:bottom w:val="single" w:sz="4" w:space="0" w:color="auto"/>
              <w:right w:val="single" w:sz="4" w:space="0" w:color="auto"/>
            </w:tcBorders>
            <w:hideMark/>
          </w:tcPr>
          <w:p w14:paraId="2AEA0EC4"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−3</w:t>
            </w:r>
          </w:p>
        </w:tc>
      </w:tr>
      <w:tr w:rsidR="002B37E9" w:rsidRPr="00140923" w14:paraId="5D6C06BD"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EB84BD" w14:textId="77777777" w:rsidR="002B37E9" w:rsidRPr="00140923" w:rsidRDefault="002B37E9" w:rsidP="00226764">
            <w:pPr>
              <w:pStyle w:val="Tabletext"/>
              <w:jc w:val="left"/>
              <w:rPr>
                <w:color w:val="000000"/>
                <w:sz w:val="20"/>
                <w:lang w:val="es-ES_tradnl"/>
              </w:rPr>
            </w:pPr>
            <w:r w:rsidRPr="00140923">
              <w:rPr>
                <w:color w:val="000000"/>
                <w:sz w:val="20"/>
                <w:lang w:val="es-ES_tradnl"/>
              </w:rPr>
              <w:t>Gama máxima de densidad de potencia de salida del transmisor (dBW/MHz)</w:t>
            </w:r>
            <w:r w:rsidRPr="00140923">
              <w:rPr>
                <w:color w:val="000000"/>
                <w:sz w:val="20"/>
                <w:vertAlign w:val="superscript"/>
                <w:lang w:val="es-ES_tradnl" w:eastAsia="ja-JP"/>
              </w:rPr>
              <w:t>(1)</w:t>
            </w:r>
          </w:p>
        </w:tc>
        <w:tc>
          <w:tcPr>
            <w:tcW w:w="1474" w:type="dxa"/>
            <w:tcBorders>
              <w:top w:val="single" w:sz="4" w:space="0" w:color="auto"/>
              <w:left w:val="single" w:sz="4" w:space="0" w:color="auto"/>
              <w:bottom w:val="single" w:sz="4" w:space="0" w:color="auto"/>
              <w:right w:val="single" w:sz="4" w:space="0" w:color="auto"/>
            </w:tcBorders>
            <w:hideMark/>
          </w:tcPr>
          <w:p w14:paraId="6E5002AD"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−16…−11</w:t>
            </w:r>
          </w:p>
        </w:tc>
        <w:tc>
          <w:tcPr>
            <w:tcW w:w="1474" w:type="dxa"/>
            <w:tcBorders>
              <w:top w:val="single" w:sz="4" w:space="0" w:color="auto"/>
              <w:left w:val="single" w:sz="4" w:space="0" w:color="auto"/>
              <w:bottom w:val="single" w:sz="4" w:space="0" w:color="auto"/>
              <w:right w:val="single" w:sz="4" w:space="0" w:color="auto"/>
            </w:tcBorders>
            <w:hideMark/>
          </w:tcPr>
          <w:p w14:paraId="0E8393A6"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−9,0</w:t>
            </w:r>
          </w:p>
        </w:tc>
        <w:tc>
          <w:tcPr>
            <w:tcW w:w="1474" w:type="dxa"/>
            <w:tcBorders>
              <w:top w:val="single" w:sz="4" w:space="0" w:color="auto"/>
              <w:left w:val="single" w:sz="4" w:space="0" w:color="auto"/>
              <w:bottom w:val="single" w:sz="4" w:space="0" w:color="auto"/>
              <w:right w:val="single" w:sz="4" w:space="0" w:color="auto"/>
            </w:tcBorders>
            <w:hideMark/>
          </w:tcPr>
          <w:p w14:paraId="68C3F0E3"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−15</w:t>
            </w:r>
          </w:p>
        </w:tc>
        <w:tc>
          <w:tcPr>
            <w:tcW w:w="1474" w:type="dxa"/>
            <w:tcBorders>
              <w:top w:val="single" w:sz="4" w:space="0" w:color="auto"/>
              <w:left w:val="single" w:sz="4" w:space="0" w:color="auto"/>
              <w:bottom w:val="single" w:sz="4" w:space="0" w:color="auto"/>
              <w:right w:val="single" w:sz="4" w:space="0" w:color="auto"/>
            </w:tcBorders>
            <w:hideMark/>
          </w:tcPr>
          <w:p w14:paraId="3FFD2D66"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−10</w:t>
            </w:r>
          </w:p>
        </w:tc>
        <w:tc>
          <w:tcPr>
            <w:tcW w:w="1474" w:type="dxa"/>
            <w:tcBorders>
              <w:top w:val="single" w:sz="4" w:space="0" w:color="auto"/>
              <w:left w:val="single" w:sz="4" w:space="0" w:color="auto"/>
              <w:bottom w:val="single" w:sz="4" w:space="0" w:color="auto"/>
              <w:right w:val="single" w:sz="4" w:space="0" w:color="auto"/>
            </w:tcBorders>
            <w:hideMark/>
          </w:tcPr>
          <w:p w14:paraId="6EC38256"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−7,0</w:t>
            </w:r>
          </w:p>
        </w:tc>
      </w:tr>
      <w:tr w:rsidR="002B37E9" w:rsidRPr="00140923" w14:paraId="04571A10"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44B7746" w14:textId="77777777" w:rsidR="002B37E9" w:rsidRPr="00140923" w:rsidRDefault="002B37E9" w:rsidP="00226764">
            <w:pPr>
              <w:pStyle w:val="Tabletext"/>
              <w:jc w:val="left"/>
              <w:rPr>
                <w:color w:val="000000"/>
                <w:sz w:val="20"/>
                <w:lang w:val="es-ES_tradnl"/>
              </w:rPr>
            </w:pPr>
            <w:r w:rsidRPr="00140923">
              <w:rPr>
                <w:color w:val="000000"/>
                <w:sz w:val="20"/>
                <w:lang w:val="es-ES_tradnl" w:eastAsia="ja-JP"/>
              </w:rPr>
              <w:t>Gama mínima de pérdida del alimentador/multiplexor</w:t>
            </w:r>
            <w:r w:rsidRPr="00140923">
              <w:rPr>
                <w:color w:val="000000"/>
                <w:sz w:val="20"/>
                <w:lang w:val="es-ES_tradnl"/>
              </w:rPr>
              <w:t xml:space="preserve"> (dB)</w:t>
            </w:r>
          </w:p>
        </w:tc>
        <w:tc>
          <w:tcPr>
            <w:tcW w:w="1474" w:type="dxa"/>
            <w:tcBorders>
              <w:top w:val="single" w:sz="4" w:space="0" w:color="auto"/>
              <w:left w:val="single" w:sz="4" w:space="0" w:color="auto"/>
              <w:bottom w:val="single" w:sz="4" w:space="0" w:color="auto"/>
              <w:right w:val="single" w:sz="4" w:space="0" w:color="auto"/>
            </w:tcBorders>
            <w:hideMark/>
          </w:tcPr>
          <w:p w14:paraId="2E2B8083"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0</w:t>
            </w:r>
          </w:p>
        </w:tc>
        <w:tc>
          <w:tcPr>
            <w:tcW w:w="1474" w:type="dxa"/>
            <w:tcBorders>
              <w:top w:val="single" w:sz="4" w:space="0" w:color="auto"/>
              <w:left w:val="single" w:sz="4" w:space="0" w:color="auto"/>
              <w:bottom w:val="single" w:sz="4" w:space="0" w:color="auto"/>
              <w:right w:val="single" w:sz="4" w:space="0" w:color="auto"/>
            </w:tcBorders>
            <w:hideMark/>
          </w:tcPr>
          <w:p w14:paraId="55EDF163"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w:t>
            </w:r>
          </w:p>
        </w:tc>
        <w:tc>
          <w:tcPr>
            <w:tcW w:w="1474" w:type="dxa"/>
            <w:tcBorders>
              <w:top w:val="single" w:sz="4" w:space="0" w:color="auto"/>
              <w:left w:val="single" w:sz="4" w:space="0" w:color="auto"/>
              <w:bottom w:val="single" w:sz="4" w:space="0" w:color="auto"/>
              <w:right w:val="single" w:sz="4" w:space="0" w:color="auto"/>
            </w:tcBorders>
            <w:hideMark/>
          </w:tcPr>
          <w:p w14:paraId="24524DF7"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w:t>
            </w:r>
          </w:p>
        </w:tc>
        <w:tc>
          <w:tcPr>
            <w:tcW w:w="1474" w:type="dxa"/>
            <w:tcBorders>
              <w:top w:val="single" w:sz="4" w:space="0" w:color="auto"/>
              <w:left w:val="single" w:sz="4" w:space="0" w:color="auto"/>
              <w:bottom w:val="single" w:sz="4" w:space="0" w:color="auto"/>
              <w:right w:val="single" w:sz="4" w:space="0" w:color="auto"/>
            </w:tcBorders>
            <w:hideMark/>
          </w:tcPr>
          <w:p w14:paraId="0485BEE5"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0</w:t>
            </w:r>
          </w:p>
        </w:tc>
        <w:tc>
          <w:tcPr>
            <w:tcW w:w="1474" w:type="dxa"/>
            <w:tcBorders>
              <w:top w:val="single" w:sz="4" w:space="0" w:color="auto"/>
              <w:left w:val="single" w:sz="4" w:space="0" w:color="auto"/>
              <w:bottom w:val="single" w:sz="4" w:space="0" w:color="auto"/>
              <w:right w:val="single" w:sz="4" w:space="0" w:color="auto"/>
            </w:tcBorders>
            <w:hideMark/>
          </w:tcPr>
          <w:p w14:paraId="19F91995"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0</w:t>
            </w:r>
          </w:p>
        </w:tc>
      </w:tr>
      <w:tr w:rsidR="002B37E9" w:rsidRPr="00140923" w14:paraId="3F5463BC"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8F7C61" w14:textId="77777777" w:rsidR="002B37E9" w:rsidRPr="00140923" w:rsidRDefault="002B37E9" w:rsidP="00226764">
            <w:pPr>
              <w:pStyle w:val="Tabletext"/>
              <w:jc w:val="left"/>
              <w:rPr>
                <w:color w:val="000000"/>
                <w:sz w:val="20"/>
                <w:lang w:val="es-ES_tradnl"/>
              </w:rPr>
            </w:pPr>
            <w:r w:rsidRPr="00140923">
              <w:rPr>
                <w:color w:val="000000"/>
                <w:sz w:val="20"/>
                <w:lang w:val="es-ES_tradnl"/>
              </w:rPr>
              <w:t>Gama máxima de ganancia de la antena (dBi)</w:t>
            </w:r>
          </w:p>
        </w:tc>
        <w:tc>
          <w:tcPr>
            <w:tcW w:w="1474" w:type="dxa"/>
            <w:tcBorders>
              <w:top w:val="single" w:sz="4" w:space="0" w:color="auto"/>
              <w:left w:val="single" w:sz="4" w:space="0" w:color="auto"/>
              <w:bottom w:val="single" w:sz="4" w:space="0" w:color="auto"/>
              <w:right w:val="single" w:sz="4" w:space="0" w:color="auto"/>
            </w:tcBorders>
            <w:hideMark/>
          </w:tcPr>
          <w:p w14:paraId="47A3614A"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42</w:t>
            </w:r>
          </w:p>
        </w:tc>
        <w:tc>
          <w:tcPr>
            <w:tcW w:w="1474" w:type="dxa"/>
            <w:tcBorders>
              <w:top w:val="single" w:sz="4" w:space="0" w:color="auto"/>
              <w:left w:val="single" w:sz="4" w:space="0" w:color="auto"/>
              <w:bottom w:val="single" w:sz="4" w:space="0" w:color="auto"/>
              <w:right w:val="single" w:sz="4" w:space="0" w:color="auto"/>
            </w:tcBorders>
            <w:hideMark/>
          </w:tcPr>
          <w:p w14:paraId="61D83BBB"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40</w:t>
            </w:r>
          </w:p>
        </w:tc>
        <w:tc>
          <w:tcPr>
            <w:tcW w:w="1474" w:type="dxa"/>
            <w:tcBorders>
              <w:top w:val="single" w:sz="4" w:space="0" w:color="auto"/>
              <w:left w:val="single" w:sz="4" w:space="0" w:color="auto"/>
              <w:bottom w:val="single" w:sz="4" w:space="0" w:color="auto"/>
              <w:right w:val="single" w:sz="4" w:space="0" w:color="auto"/>
            </w:tcBorders>
            <w:hideMark/>
          </w:tcPr>
          <w:p w14:paraId="3F786BB2"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37</w:t>
            </w:r>
          </w:p>
        </w:tc>
        <w:tc>
          <w:tcPr>
            <w:tcW w:w="1474" w:type="dxa"/>
            <w:tcBorders>
              <w:top w:val="single" w:sz="4" w:space="0" w:color="auto"/>
              <w:left w:val="single" w:sz="4" w:space="0" w:color="auto"/>
              <w:bottom w:val="single" w:sz="4" w:space="0" w:color="auto"/>
              <w:right w:val="single" w:sz="4" w:space="0" w:color="auto"/>
            </w:tcBorders>
            <w:hideMark/>
          </w:tcPr>
          <w:p w14:paraId="09C861AF"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49</w:t>
            </w:r>
          </w:p>
        </w:tc>
        <w:tc>
          <w:tcPr>
            <w:tcW w:w="1474" w:type="dxa"/>
            <w:tcBorders>
              <w:top w:val="single" w:sz="4" w:space="0" w:color="auto"/>
              <w:left w:val="single" w:sz="4" w:space="0" w:color="auto"/>
              <w:bottom w:val="single" w:sz="4" w:space="0" w:color="auto"/>
              <w:right w:val="single" w:sz="4" w:space="0" w:color="auto"/>
            </w:tcBorders>
            <w:hideMark/>
          </w:tcPr>
          <w:p w14:paraId="67583E21"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51</w:t>
            </w:r>
          </w:p>
        </w:tc>
      </w:tr>
      <w:tr w:rsidR="002B37E9" w:rsidRPr="00140923" w14:paraId="060FD071"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8304C8" w14:textId="77777777" w:rsidR="002B37E9" w:rsidRPr="00140923" w:rsidRDefault="002B37E9" w:rsidP="00226764">
            <w:pPr>
              <w:pStyle w:val="Tabletext"/>
              <w:jc w:val="left"/>
              <w:rPr>
                <w:color w:val="000000"/>
                <w:sz w:val="20"/>
                <w:lang w:val="es-ES_tradnl"/>
              </w:rPr>
            </w:pPr>
            <w:r w:rsidRPr="00140923">
              <w:rPr>
                <w:color w:val="000000"/>
                <w:sz w:val="20"/>
                <w:lang w:val="es-ES_tradnl"/>
              </w:rPr>
              <w:t>Gama máxima de la p.i.r.e. (dBW)</w:t>
            </w:r>
          </w:p>
        </w:tc>
        <w:tc>
          <w:tcPr>
            <w:tcW w:w="1474" w:type="dxa"/>
            <w:tcBorders>
              <w:top w:val="single" w:sz="4" w:space="0" w:color="auto"/>
              <w:left w:val="single" w:sz="4" w:space="0" w:color="auto"/>
              <w:bottom w:val="single" w:sz="4" w:space="0" w:color="auto"/>
              <w:right w:val="single" w:sz="4" w:space="0" w:color="auto"/>
            </w:tcBorders>
            <w:hideMark/>
          </w:tcPr>
          <w:p w14:paraId="745B2C31"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41</w:t>
            </w:r>
          </w:p>
        </w:tc>
        <w:tc>
          <w:tcPr>
            <w:tcW w:w="1474" w:type="dxa"/>
            <w:tcBorders>
              <w:top w:val="single" w:sz="4" w:space="0" w:color="auto"/>
              <w:left w:val="single" w:sz="4" w:space="0" w:color="auto"/>
              <w:bottom w:val="single" w:sz="4" w:space="0" w:color="auto"/>
              <w:right w:val="single" w:sz="4" w:space="0" w:color="auto"/>
            </w:tcBorders>
            <w:hideMark/>
          </w:tcPr>
          <w:p w14:paraId="68BB5533"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44</w:t>
            </w:r>
          </w:p>
        </w:tc>
        <w:tc>
          <w:tcPr>
            <w:tcW w:w="1474" w:type="dxa"/>
            <w:tcBorders>
              <w:top w:val="single" w:sz="4" w:space="0" w:color="auto"/>
              <w:left w:val="single" w:sz="4" w:space="0" w:color="auto"/>
              <w:bottom w:val="single" w:sz="4" w:space="0" w:color="auto"/>
              <w:right w:val="single" w:sz="4" w:space="0" w:color="auto"/>
            </w:tcBorders>
            <w:hideMark/>
          </w:tcPr>
          <w:p w14:paraId="75C07A0A"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38</w:t>
            </w:r>
          </w:p>
        </w:tc>
        <w:tc>
          <w:tcPr>
            <w:tcW w:w="1474" w:type="dxa"/>
            <w:tcBorders>
              <w:top w:val="single" w:sz="4" w:space="0" w:color="auto"/>
              <w:left w:val="single" w:sz="4" w:space="0" w:color="auto"/>
              <w:bottom w:val="single" w:sz="4" w:space="0" w:color="auto"/>
              <w:right w:val="single" w:sz="4" w:space="0" w:color="auto"/>
            </w:tcBorders>
            <w:hideMark/>
          </w:tcPr>
          <w:p w14:paraId="7416BCC7"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47</w:t>
            </w:r>
          </w:p>
        </w:tc>
        <w:tc>
          <w:tcPr>
            <w:tcW w:w="1474" w:type="dxa"/>
            <w:tcBorders>
              <w:top w:val="single" w:sz="4" w:space="0" w:color="auto"/>
              <w:left w:val="single" w:sz="4" w:space="0" w:color="auto"/>
              <w:bottom w:val="single" w:sz="4" w:space="0" w:color="auto"/>
              <w:right w:val="single" w:sz="4" w:space="0" w:color="auto"/>
            </w:tcBorders>
            <w:hideMark/>
          </w:tcPr>
          <w:p w14:paraId="275514E8"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48</w:t>
            </w:r>
          </w:p>
        </w:tc>
      </w:tr>
      <w:tr w:rsidR="002B37E9" w:rsidRPr="00140923" w14:paraId="1411E12D"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BC2F75" w14:textId="77777777" w:rsidR="002B37E9" w:rsidRPr="00140923" w:rsidRDefault="002B37E9" w:rsidP="00226764">
            <w:pPr>
              <w:pStyle w:val="Tabletext"/>
              <w:jc w:val="left"/>
              <w:rPr>
                <w:color w:val="000000"/>
                <w:sz w:val="20"/>
                <w:lang w:val="es-ES_tradnl"/>
              </w:rPr>
            </w:pPr>
            <w:r w:rsidRPr="00140923">
              <w:rPr>
                <w:color w:val="000000"/>
                <w:sz w:val="20"/>
                <w:lang w:val="es-ES_tradnl"/>
              </w:rPr>
              <w:t>Gama máxima de densidad de p.i.r.e. (dBW/MHz)</w:t>
            </w:r>
            <w:r w:rsidRPr="00140923">
              <w:rPr>
                <w:color w:val="000000"/>
                <w:sz w:val="20"/>
                <w:vertAlign w:val="superscript"/>
                <w:lang w:val="es-ES_tradnl" w:eastAsia="ja-JP"/>
              </w:rPr>
              <w:t>(1)</w:t>
            </w:r>
          </w:p>
        </w:tc>
        <w:tc>
          <w:tcPr>
            <w:tcW w:w="1474" w:type="dxa"/>
            <w:tcBorders>
              <w:top w:val="single" w:sz="4" w:space="0" w:color="auto"/>
              <w:left w:val="single" w:sz="4" w:space="0" w:color="auto"/>
              <w:bottom w:val="single" w:sz="4" w:space="0" w:color="auto"/>
              <w:right w:val="single" w:sz="4" w:space="0" w:color="auto"/>
            </w:tcBorders>
            <w:hideMark/>
          </w:tcPr>
          <w:p w14:paraId="79755C04"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26…31</w:t>
            </w:r>
          </w:p>
        </w:tc>
        <w:tc>
          <w:tcPr>
            <w:tcW w:w="1474" w:type="dxa"/>
            <w:tcBorders>
              <w:top w:val="single" w:sz="4" w:space="0" w:color="auto"/>
              <w:left w:val="single" w:sz="4" w:space="0" w:color="auto"/>
              <w:bottom w:val="single" w:sz="4" w:space="0" w:color="auto"/>
              <w:right w:val="single" w:sz="4" w:space="0" w:color="auto"/>
            </w:tcBorders>
            <w:hideMark/>
          </w:tcPr>
          <w:p w14:paraId="2657EE5B"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28</w:t>
            </w:r>
          </w:p>
        </w:tc>
        <w:tc>
          <w:tcPr>
            <w:tcW w:w="1474" w:type="dxa"/>
            <w:tcBorders>
              <w:top w:val="single" w:sz="4" w:space="0" w:color="auto"/>
              <w:left w:val="single" w:sz="4" w:space="0" w:color="auto"/>
              <w:bottom w:val="single" w:sz="4" w:space="0" w:color="auto"/>
              <w:right w:val="single" w:sz="4" w:space="0" w:color="auto"/>
            </w:tcBorders>
            <w:hideMark/>
          </w:tcPr>
          <w:p w14:paraId="165FD7ED"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23</w:t>
            </w:r>
          </w:p>
        </w:tc>
        <w:tc>
          <w:tcPr>
            <w:tcW w:w="1474" w:type="dxa"/>
            <w:tcBorders>
              <w:top w:val="single" w:sz="4" w:space="0" w:color="auto"/>
              <w:left w:val="single" w:sz="4" w:space="0" w:color="auto"/>
              <w:bottom w:val="single" w:sz="4" w:space="0" w:color="auto"/>
              <w:right w:val="single" w:sz="4" w:space="0" w:color="auto"/>
            </w:tcBorders>
            <w:hideMark/>
          </w:tcPr>
          <w:p w14:paraId="75EB61C8"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39</w:t>
            </w:r>
          </w:p>
        </w:tc>
        <w:tc>
          <w:tcPr>
            <w:tcW w:w="1474" w:type="dxa"/>
            <w:tcBorders>
              <w:top w:val="single" w:sz="4" w:space="0" w:color="auto"/>
              <w:left w:val="single" w:sz="4" w:space="0" w:color="auto"/>
              <w:bottom w:val="single" w:sz="4" w:space="0" w:color="auto"/>
              <w:right w:val="single" w:sz="4" w:space="0" w:color="auto"/>
            </w:tcBorders>
            <w:hideMark/>
          </w:tcPr>
          <w:p w14:paraId="621328D2"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44</w:t>
            </w:r>
          </w:p>
        </w:tc>
      </w:tr>
      <w:tr w:rsidR="002B37E9" w:rsidRPr="00140923" w14:paraId="6AF8BFE2"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F82982" w14:textId="77777777" w:rsidR="002B37E9" w:rsidRPr="00140923" w:rsidRDefault="002B37E9" w:rsidP="00226764">
            <w:pPr>
              <w:pStyle w:val="Tabletext"/>
              <w:jc w:val="left"/>
              <w:rPr>
                <w:color w:val="000000"/>
                <w:sz w:val="20"/>
                <w:lang w:val="es-ES_tradnl"/>
              </w:rPr>
            </w:pPr>
            <w:r w:rsidRPr="00140923">
              <w:rPr>
                <w:color w:val="000000"/>
                <w:sz w:val="20"/>
                <w:lang w:val="es-ES_tradnl"/>
              </w:rPr>
              <w:t>Factor de ruido del receptor (dB)</w:t>
            </w:r>
          </w:p>
        </w:tc>
        <w:tc>
          <w:tcPr>
            <w:tcW w:w="1474" w:type="dxa"/>
            <w:tcBorders>
              <w:top w:val="single" w:sz="4" w:space="0" w:color="auto"/>
              <w:left w:val="single" w:sz="4" w:space="0" w:color="auto"/>
              <w:bottom w:val="single" w:sz="4" w:space="0" w:color="auto"/>
              <w:right w:val="single" w:sz="4" w:space="0" w:color="auto"/>
            </w:tcBorders>
            <w:hideMark/>
          </w:tcPr>
          <w:p w14:paraId="275D0F82"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w:t>
            </w:r>
          </w:p>
        </w:tc>
        <w:tc>
          <w:tcPr>
            <w:tcW w:w="1474" w:type="dxa"/>
            <w:tcBorders>
              <w:top w:val="single" w:sz="4" w:space="0" w:color="auto"/>
              <w:left w:val="single" w:sz="4" w:space="0" w:color="auto"/>
              <w:bottom w:val="single" w:sz="4" w:space="0" w:color="auto"/>
              <w:right w:val="single" w:sz="4" w:space="0" w:color="auto"/>
            </w:tcBorders>
            <w:hideMark/>
          </w:tcPr>
          <w:p w14:paraId="3828B94E"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2</w:t>
            </w:r>
          </w:p>
        </w:tc>
        <w:tc>
          <w:tcPr>
            <w:tcW w:w="1474" w:type="dxa"/>
            <w:tcBorders>
              <w:top w:val="single" w:sz="4" w:space="0" w:color="auto"/>
              <w:left w:val="single" w:sz="4" w:space="0" w:color="auto"/>
              <w:bottom w:val="single" w:sz="4" w:space="0" w:color="auto"/>
              <w:right w:val="single" w:sz="4" w:space="0" w:color="auto"/>
            </w:tcBorders>
            <w:hideMark/>
          </w:tcPr>
          <w:p w14:paraId="0D59BF54"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4</w:t>
            </w:r>
          </w:p>
        </w:tc>
        <w:tc>
          <w:tcPr>
            <w:tcW w:w="1474" w:type="dxa"/>
            <w:tcBorders>
              <w:top w:val="single" w:sz="4" w:space="0" w:color="auto"/>
              <w:left w:val="single" w:sz="4" w:space="0" w:color="auto"/>
              <w:bottom w:val="single" w:sz="4" w:space="0" w:color="auto"/>
              <w:right w:val="single" w:sz="4" w:space="0" w:color="auto"/>
            </w:tcBorders>
            <w:hideMark/>
          </w:tcPr>
          <w:p w14:paraId="470DB2C3"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3</w:t>
            </w:r>
          </w:p>
        </w:tc>
        <w:tc>
          <w:tcPr>
            <w:tcW w:w="1474" w:type="dxa"/>
            <w:tcBorders>
              <w:top w:val="single" w:sz="4" w:space="0" w:color="auto"/>
              <w:left w:val="single" w:sz="4" w:space="0" w:color="auto"/>
              <w:bottom w:val="single" w:sz="4" w:space="0" w:color="auto"/>
              <w:right w:val="single" w:sz="4" w:space="0" w:color="auto"/>
            </w:tcBorders>
            <w:hideMark/>
          </w:tcPr>
          <w:p w14:paraId="738FB3FC"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4</w:t>
            </w:r>
          </w:p>
        </w:tc>
      </w:tr>
      <w:tr w:rsidR="002B37E9" w:rsidRPr="00140923" w14:paraId="4198E085"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3E62C52" w14:textId="77777777" w:rsidR="002B37E9" w:rsidRPr="00140923" w:rsidRDefault="002B37E9" w:rsidP="00226764">
            <w:pPr>
              <w:pStyle w:val="Tabletext"/>
              <w:jc w:val="left"/>
              <w:rPr>
                <w:color w:val="000000"/>
                <w:sz w:val="20"/>
                <w:lang w:val="es-ES_tradnl"/>
              </w:rPr>
            </w:pPr>
            <w:r w:rsidRPr="00140923">
              <w:rPr>
                <w:color w:val="000000"/>
                <w:sz w:val="20"/>
                <w:lang w:val="es-ES_tradnl"/>
              </w:rPr>
              <w:t>Densidad de potencia de ruido típica del receptor</w:t>
            </w:r>
            <w:r w:rsidRPr="00140923">
              <w:rPr>
                <w:color w:val="000000"/>
                <w:sz w:val="20"/>
                <w:lang w:val="es-ES_tradnl" w:eastAsia="ja-JP"/>
              </w:rPr>
              <w:t xml:space="preserve"> (= </w:t>
            </w:r>
            <w:r w:rsidRPr="00140923">
              <w:rPr>
                <w:i/>
                <w:iCs/>
                <w:color w:val="000000"/>
                <w:sz w:val="20"/>
                <w:lang w:val="es-ES_tradnl" w:eastAsia="ja-JP"/>
              </w:rPr>
              <w:t>N</w:t>
            </w:r>
            <w:r w:rsidRPr="00140923">
              <w:rPr>
                <w:i/>
                <w:iCs/>
                <w:sz w:val="20"/>
                <w:vertAlign w:val="subscript"/>
                <w:lang w:val="es-ES_tradnl"/>
              </w:rPr>
              <w:t>RX</w:t>
            </w:r>
            <w:r w:rsidRPr="00140923">
              <w:rPr>
                <w:color w:val="000000"/>
                <w:sz w:val="20"/>
                <w:lang w:val="es-ES_tradnl" w:eastAsia="ja-JP"/>
              </w:rPr>
              <w:t xml:space="preserve">) </w:t>
            </w:r>
            <w:r w:rsidRPr="00140923">
              <w:rPr>
                <w:color w:val="000000"/>
                <w:sz w:val="20"/>
                <w:lang w:val="es-ES_tradnl"/>
              </w:rPr>
              <w:t>(dBW/MHz)</w:t>
            </w:r>
          </w:p>
        </w:tc>
        <w:tc>
          <w:tcPr>
            <w:tcW w:w="1474" w:type="dxa"/>
            <w:tcBorders>
              <w:top w:val="single" w:sz="4" w:space="0" w:color="auto"/>
              <w:left w:val="single" w:sz="4" w:space="0" w:color="auto"/>
              <w:bottom w:val="single" w:sz="4" w:space="0" w:color="auto"/>
              <w:right w:val="single" w:sz="4" w:space="0" w:color="auto"/>
            </w:tcBorders>
            <w:hideMark/>
          </w:tcPr>
          <w:p w14:paraId="103F434C"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−141</w:t>
            </w:r>
          </w:p>
        </w:tc>
        <w:tc>
          <w:tcPr>
            <w:tcW w:w="1474" w:type="dxa"/>
            <w:tcBorders>
              <w:top w:val="single" w:sz="4" w:space="0" w:color="auto"/>
              <w:left w:val="single" w:sz="4" w:space="0" w:color="auto"/>
              <w:bottom w:val="single" w:sz="4" w:space="0" w:color="auto"/>
              <w:right w:val="single" w:sz="4" w:space="0" w:color="auto"/>
            </w:tcBorders>
            <w:hideMark/>
          </w:tcPr>
          <w:p w14:paraId="66057799"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−142</w:t>
            </w:r>
          </w:p>
        </w:tc>
        <w:tc>
          <w:tcPr>
            <w:tcW w:w="1474" w:type="dxa"/>
            <w:tcBorders>
              <w:top w:val="single" w:sz="4" w:space="0" w:color="auto"/>
              <w:left w:val="single" w:sz="4" w:space="0" w:color="auto"/>
              <w:bottom w:val="single" w:sz="4" w:space="0" w:color="auto"/>
              <w:right w:val="single" w:sz="4" w:space="0" w:color="auto"/>
            </w:tcBorders>
            <w:hideMark/>
          </w:tcPr>
          <w:p w14:paraId="7ACA233D"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w:t>
            </w:r>
          </w:p>
        </w:tc>
        <w:tc>
          <w:tcPr>
            <w:tcW w:w="1474" w:type="dxa"/>
            <w:tcBorders>
              <w:top w:val="single" w:sz="4" w:space="0" w:color="auto"/>
              <w:left w:val="single" w:sz="4" w:space="0" w:color="auto"/>
              <w:bottom w:val="single" w:sz="4" w:space="0" w:color="auto"/>
              <w:right w:val="single" w:sz="4" w:space="0" w:color="auto"/>
            </w:tcBorders>
            <w:hideMark/>
          </w:tcPr>
          <w:p w14:paraId="37B6C243"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−141</w:t>
            </w:r>
          </w:p>
        </w:tc>
        <w:tc>
          <w:tcPr>
            <w:tcW w:w="1474" w:type="dxa"/>
            <w:tcBorders>
              <w:top w:val="single" w:sz="4" w:space="0" w:color="auto"/>
              <w:left w:val="single" w:sz="4" w:space="0" w:color="auto"/>
              <w:bottom w:val="single" w:sz="4" w:space="0" w:color="auto"/>
              <w:right w:val="single" w:sz="4" w:space="0" w:color="auto"/>
            </w:tcBorders>
            <w:hideMark/>
          </w:tcPr>
          <w:p w14:paraId="79475BC7"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w:t>
            </w:r>
          </w:p>
        </w:tc>
      </w:tr>
      <w:tr w:rsidR="002B37E9" w:rsidRPr="00140923" w14:paraId="25EE9622"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EA38A4" w14:textId="390A2295" w:rsidR="002B37E9" w:rsidRPr="00140923" w:rsidRDefault="002B37E9" w:rsidP="00226764">
            <w:pPr>
              <w:pStyle w:val="Tabletext"/>
              <w:jc w:val="left"/>
              <w:rPr>
                <w:color w:val="000000"/>
                <w:sz w:val="20"/>
                <w:lang w:val="es-ES_tradnl"/>
              </w:rPr>
            </w:pPr>
            <w:r w:rsidRPr="00140923">
              <w:rPr>
                <w:color w:val="000000"/>
                <w:sz w:val="20"/>
                <w:lang w:val="es-ES_tradnl"/>
              </w:rPr>
              <w:t>Nivel de entrada normalizado del receptor para una BER de 1 × 10</w:t>
            </w:r>
            <w:r w:rsidR="00A941C1" w:rsidRPr="00A941C1">
              <w:rPr>
                <w:color w:val="000000"/>
                <w:sz w:val="20"/>
                <w:vertAlign w:val="superscript"/>
                <w:lang w:val="es-ES_tradnl"/>
              </w:rPr>
              <w:t>−</w:t>
            </w:r>
            <w:r w:rsidRPr="00140923">
              <w:rPr>
                <w:color w:val="000000"/>
                <w:sz w:val="20"/>
                <w:vertAlign w:val="superscript"/>
                <w:lang w:val="es-ES_tradnl"/>
              </w:rPr>
              <w:t>6</w:t>
            </w:r>
            <w:r w:rsidRPr="00140923">
              <w:rPr>
                <w:color w:val="000000"/>
                <w:sz w:val="20"/>
                <w:lang w:val="es-ES_tradnl"/>
              </w:rPr>
              <w:t xml:space="preserve"> (dBW/MHz)</w:t>
            </w:r>
          </w:p>
        </w:tc>
        <w:tc>
          <w:tcPr>
            <w:tcW w:w="1474" w:type="dxa"/>
            <w:tcBorders>
              <w:top w:val="single" w:sz="4" w:space="0" w:color="auto"/>
              <w:left w:val="single" w:sz="4" w:space="0" w:color="auto"/>
              <w:bottom w:val="single" w:sz="4" w:space="0" w:color="auto"/>
              <w:right w:val="single" w:sz="4" w:space="0" w:color="auto"/>
            </w:tcBorders>
            <w:hideMark/>
          </w:tcPr>
          <w:p w14:paraId="548BBBC0"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−114,5</w:t>
            </w:r>
          </w:p>
        </w:tc>
        <w:tc>
          <w:tcPr>
            <w:tcW w:w="1474" w:type="dxa"/>
            <w:tcBorders>
              <w:top w:val="single" w:sz="4" w:space="0" w:color="auto"/>
              <w:left w:val="single" w:sz="4" w:space="0" w:color="auto"/>
              <w:bottom w:val="single" w:sz="4" w:space="0" w:color="auto"/>
              <w:right w:val="single" w:sz="4" w:space="0" w:color="auto"/>
            </w:tcBorders>
            <w:hideMark/>
          </w:tcPr>
          <w:p w14:paraId="0FAE9C3B" w14:textId="77777777" w:rsidR="002B37E9" w:rsidRPr="00140923" w:rsidRDefault="002B37E9" w:rsidP="00226764">
            <w:pPr>
              <w:pStyle w:val="Tabletext"/>
              <w:jc w:val="center"/>
              <w:rPr>
                <w:color w:val="000000"/>
                <w:sz w:val="20"/>
                <w:lang w:val="es-ES_tradnl"/>
              </w:rPr>
            </w:pPr>
            <w:r w:rsidRPr="00140923">
              <w:rPr>
                <w:color w:val="000000"/>
                <w:sz w:val="20"/>
                <w:lang w:val="es-ES_tradnl" w:eastAsia="ja-JP"/>
              </w:rPr>
              <w:t>−106,5</w:t>
            </w:r>
          </w:p>
        </w:tc>
        <w:tc>
          <w:tcPr>
            <w:tcW w:w="1474" w:type="dxa"/>
            <w:tcBorders>
              <w:top w:val="single" w:sz="4" w:space="0" w:color="auto"/>
              <w:left w:val="single" w:sz="4" w:space="0" w:color="auto"/>
              <w:bottom w:val="single" w:sz="4" w:space="0" w:color="auto"/>
              <w:right w:val="single" w:sz="4" w:space="0" w:color="auto"/>
            </w:tcBorders>
            <w:hideMark/>
          </w:tcPr>
          <w:p w14:paraId="38AC30FE"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−126,5</w:t>
            </w:r>
          </w:p>
        </w:tc>
        <w:tc>
          <w:tcPr>
            <w:tcW w:w="1474" w:type="dxa"/>
            <w:tcBorders>
              <w:top w:val="single" w:sz="4" w:space="0" w:color="auto"/>
              <w:left w:val="single" w:sz="4" w:space="0" w:color="auto"/>
              <w:bottom w:val="single" w:sz="4" w:space="0" w:color="auto"/>
              <w:right w:val="single" w:sz="4" w:space="0" w:color="auto"/>
            </w:tcBorders>
            <w:hideMark/>
          </w:tcPr>
          <w:p w14:paraId="40E04489"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−127,5</w:t>
            </w:r>
          </w:p>
        </w:tc>
        <w:tc>
          <w:tcPr>
            <w:tcW w:w="1474" w:type="dxa"/>
            <w:tcBorders>
              <w:top w:val="single" w:sz="4" w:space="0" w:color="auto"/>
              <w:left w:val="single" w:sz="4" w:space="0" w:color="auto"/>
              <w:bottom w:val="single" w:sz="4" w:space="0" w:color="auto"/>
              <w:right w:val="single" w:sz="4" w:space="0" w:color="auto"/>
            </w:tcBorders>
            <w:hideMark/>
          </w:tcPr>
          <w:p w14:paraId="76B20173"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−116,4</w:t>
            </w:r>
          </w:p>
        </w:tc>
      </w:tr>
      <w:tr w:rsidR="002B37E9" w:rsidRPr="00140923" w14:paraId="22459447" w14:textId="77777777" w:rsidTr="00226764">
        <w:trPr>
          <w:jc w:val="center"/>
        </w:trPr>
        <w:tc>
          <w:tcPr>
            <w:tcW w:w="70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026BD8" w14:textId="77777777" w:rsidR="002B37E9" w:rsidRPr="00140923" w:rsidRDefault="002B37E9" w:rsidP="00226764">
            <w:pPr>
              <w:pStyle w:val="Tabletext"/>
              <w:jc w:val="left"/>
              <w:rPr>
                <w:color w:val="000000"/>
                <w:sz w:val="20"/>
                <w:lang w:val="es-ES_tradnl" w:eastAsia="ja-JP"/>
              </w:rPr>
            </w:pPr>
            <w:r w:rsidRPr="00140923">
              <w:rPr>
                <w:color w:val="000000"/>
                <w:sz w:val="20"/>
                <w:lang w:val="es-ES_tradnl"/>
              </w:rPr>
              <w:t>Densidad de potencia de interferencia a largo plazo nominal (dBW/MHz)</w:t>
            </w:r>
            <w:r w:rsidRPr="00140923">
              <w:rPr>
                <w:color w:val="000000"/>
                <w:sz w:val="20"/>
                <w:vertAlign w:val="superscript"/>
                <w:lang w:val="es-ES_tradnl" w:eastAsia="ja-JP"/>
              </w:rPr>
              <w:t>(2)</w:t>
            </w:r>
          </w:p>
        </w:tc>
        <w:tc>
          <w:tcPr>
            <w:tcW w:w="1474" w:type="dxa"/>
            <w:tcBorders>
              <w:top w:val="single" w:sz="4" w:space="0" w:color="auto"/>
              <w:left w:val="single" w:sz="4" w:space="0" w:color="auto"/>
              <w:bottom w:val="single" w:sz="4" w:space="0" w:color="auto"/>
              <w:right w:val="single" w:sz="4" w:space="0" w:color="auto"/>
            </w:tcBorders>
            <w:hideMark/>
          </w:tcPr>
          <w:p w14:paraId="70F020F9"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 xml:space="preserve">−141 </w:t>
            </w:r>
            <w:r w:rsidRPr="00140923">
              <w:rPr>
                <w:color w:val="000000"/>
                <w:sz w:val="20"/>
                <w:lang w:val="es-ES_tradnl"/>
              </w:rPr>
              <w:t xml:space="preserve">+ </w:t>
            </w:r>
            <w:r w:rsidRPr="00140923">
              <w:rPr>
                <w:i/>
                <w:sz w:val="20"/>
                <w:lang w:val="es-ES_tradnl"/>
              </w:rPr>
              <w:t>I</w:t>
            </w:r>
            <w:r w:rsidRPr="00140923">
              <w:rPr>
                <w:iCs/>
                <w:sz w:val="20"/>
                <w:lang w:val="es-ES_tradnl"/>
              </w:rPr>
              <w:t>/</w:t>
            </w:r>
            <w:r w:rsidRPr="00140923">
              <w:rPr>
                <w:i/>
                <w:sz w:val="20"/>
                <w:lang w:val="es-ES_tradnl"/>
              </w:rPr>
              <w:t>N</w:t>
            </w:r>
          </w:p>
        </w:tc>
        <w:tc>
          <w:tcPr>
            <w:tcW w:w="1474" w:type="dxa"/>
            <w:tcBorders>
              <w:top w:val="single" w:sz="4" w:space="0" w:color="auto"/>
              <w:left w:val="single" w:sz="4" w:space="0" w:color="auto"/>
              <w:bottom w:val="single" w:sz="4" w:space="0" w:color="auto"/>
              <w:right w:val="single" w:sz="4" w:space="0" w:color="auto"/>
            </w:tcBorders>
            <w:hideMark/>
          </w:tcPr>
          <w:p w14:paraId="472DD2B0"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 xml:space="preserve">−142 </w:t>
            </w:r>
            <w:r w:rsidRPr="00140923">
              <w:rPr>
                <w:color w:val="000000"/>
                <w:sz w:val="20"/>
                <w:lang w:val="es-ES_tradnl"/>
              </w:rPr>
              <w:t xml:space="preserve">+ </w:t>
            </w:r>
            <w:r w:rsidRPr="00140923">
              <w:rPr>
                <w:i/>
                <w:sz w:val="20"/>
                <w:lang w:val="es-ES_tradnl"/>
              </w:rPr>
              <w:t>I</w:t>
            </w:r>
            <w:r w:rsidRPr="00140923">
              <w:rPr>
                <w:iCs/>
                <w:sz w:val="20"/>
                <w:lang w:val="es-ES_tradnl"/>
              </w:rPr>
              <w:t>/</w:t>
            </w:r>
            <w:r w:rsidRPr="00140923">
              <w:rPr>
                <w:i/>
                <w:sz w:val="20"/>
                <w:lang w:val="es-ES_tradnl"/>
              </w:rPr>
              <w:t>N</w:t>
            </w:r>
          </w:p>
        </w:tc>
        <w:tc>
          <w:tcPr>
            <w:tcW w:w="1474" w:type="dxa"/>
            <w:tcBorders>
              <w:top w:val="single" w:sz="4" w:space="0" w:color="auto"/>
              <w:left w:val="single" w:sz="4" w:space="0" w:color="auto"/>
              <w:bottom w:val="single" w:sz="4" w:space="0" w:color="auto"/>
              <w:right w:val="single" w:sz="4" w:space="0" w:color="auto"/>
            </w:tcBorders>
            <w:hideMark/>
          </w:tcPr>
          <w:p w14:paraId="43F888DF"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 xml:space="preserve">−140 </w:t>
            </w:r>
            <w:r w:rsidRPr="00140923">
              <w:rPr>
                <w:color w:val="000000"/>
                <w:sz w:val="20"/>
                <w:lang w:val="es-ES_tradnl"/>
              </w:rPr>
              <w:t xml:space="preserve">+ </w:t>
            </w:r>
            <w:r w:rsidRPr="00140923">
              <w:rPr>
                <w:i/>
                <w:sz w:val="20"/>
                <w:lang w:val="es-ES_tradnl"/>
              </w:rPr>
              <w:t>I</w:t>
            </w:r>
            <w:r w:rsidRPr="00140923">
              <w:rPr>
                <w:iCs/>
                <w:sz w:val="20"/>
                <w:lang w:val="es-ES_tradnl"/>
              </w:rPr>
              <w:t>/</w:t>
            </w:r>
            <w:r w:rsidRPr="00140923">
              <w:rPr>
                <w:i/>
                <w:sz w:val="20"/>
                <w:lang w:val="es-ES_tradnl"/>
              </w:rPr>
              <w:t>N</w:t>
            </w:r>
          </w:p>
        </w:tc>
        <w:tc>
          <w:tcPr>
            <w:tcW w:w="1474" w:type="dxa"/>
            <w:tcBorders>
              <w:top w:val="single" w:sz="4" w:space="0" w:color="auto"/>
              <w:left w:val="single" w:sz="4" w:space="0" w:color="auto"/>
              <w:bottom w:val="single" w:sz="4" w:space="0" w:color="auto"/>
              <w:right w:val="single" w:sz="4" w:space="0" w:color="auto"/>
            </w:tcBorders>
            <w:hideMark/>
          </w:tcPr>
          <w:p w14:paraId="30A7B22C"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−141</w:t>
            </w:r>
            <w:r w:rsidRPr="00140923">
              <w:rPr>
                <w:color w:val="000000"/>
                <w:sz w:val="20"/>
                <w:lang w:val="es-ES_tradnl"/>
              </w:rPr>
              <w:t xml:space="preserve"> +</w:t>
            </w:r>
            <w:r w:rsidRPr="00140923">
              <w:rPr>
                <w:i/>
                <w:sz w:val="20"/>
                <w:lang w:val="es-ES_tradnl"/>
              </w:rPr>
              <w:t xml:space="preserve"> I</w:t>
            </w:r>
            <w:r w:rsidRPr="00140923">
              <w:rPr>
                <w:iCs/>
                <w:sz w:val="20"/>
                <w:lang w:val="es-ES_tradnl"/>
              </w:rPr>
              <w:t>/</w:t>
            </w:r>
            <w:r w:rsidRPr="00140923">
              <w:rPr>
                <w:i/>
                <w:sz w:val="20"/>
                <w:lang w:val="es-ES_tradnl"/>
              </w:rPr>
              <w:t>N</w:t>
            </w:r>
          </w:p>
        </w:tc>
        <w:tc>
          <w:tcPr>
            <w:tcW w:w="1474" w:type="dxa"/>
            <w:tcBorders>
              <w:top w:val="single" w:sz="4" w:space="0" w:color="auto"/>
              <w:left w:val="single" w:sz="4" w:space="0" w:color="auto"/>
              <w:bottom w:val="single" w:sz="4" w:space="0" w:color="auto"/>
              <w:right w:val="single" w:sz="4" w:space="0" w:color="auto"/>
            </w:tcBorders>
            <w:hideMark/>
          </w:tcPr>
          <w:p w14:paraId="2C6B0FB0" w14:textId="77777777" w:rsidR="002B37E9" w:rsidRPr="00140923" w:rsidRDefault="002B37E9" w:rsidP="00226764">
            <w:pPr>
              <w:pStyle w:val="Tabletext"/>
              <w:jc w:val="center"/>
              <w:rPr>
                <w:color w:val="000000"/>
                <w:sz w:val="20"/>
                <w:lang w:val="es-ES_tradnl" w:eastAsia="ja-JP"/>
              </w:rPr>
            </w:pPr>
            <w:r w:rsidRPr="00140923">
              <w:rPr>
                <w:color w:val="000000"/>
                <w:sz w:val="20"/>
                <w:lang w:val="es-ES_tradnl" w:eastAsia="ja-JP"/>
              </w:rPr>
              <w:t>−140</w:t>
            </w:r>
            <w:r w:rsidRPr="00140923">
              <w:rPr>
                <w:color w:val="000000"/>
                <w:sz w:val="20"/>
                <w:lang w:val="es-ES_tradnl"/>
              </w:rPr>
              <w:t xml:space="preserve"> +</w:t>
            </w:r>
            <w:r w:rsidRPr="00140923">
              <w:rPr>
                <w:i/>
                <w:sz w:val="20"/>
                <w:lang w:val="es-ES_tradnl"/>
              </w:rPr>
              <w:t xml:space="preserve"> I</w:t>
            </w:r>
            <w:r w:rsidRPr="00140923">
              <w:rPr>
                <w:iCs/>
                <w:sz w:val="20"/>
                <w:lang w:val="es-ES_tradnl"/>
              </w:rPr>
              <w:t>/</w:t>
            </w:r>
            <w:r w:rsidRPr="00140923">
              <w:rPr>
                <w:i/>
                <w:sz w:val="20"/>
                <w:lang w:val="es-ES_tradnl"/>
              </w:rPr>
              <w:t>N</w:t>
            </w:r>
          </w:p>
        </w:tc>
      </w:tr>
      <w:tr w:rsidR="002B37E9" w:rsidRPr="00140923" w14:paraId="50A75480" w14:textId="77777777" w:rsidTr="00226764">
        <w:trPr>
          <w:jc w:val="center"/>
        </w:trPr>
        <w:tc>
          <w:tcPr>
            <w:tcW w:w="14400" w:type="dxa"/>
            <w:gridSpan w:val="6"/>
            <w:tcBorders>
              <w:top w:val="single" w:sz="4" w:space="0" w:color="auto"/>
              <w:left w:val="nil"/>
              <w:bottom w:val="nil"/>
              <w:right w:val="nil"/>
            </w:tcBorders>
            <w:tcMar>
              <w:top w:w="0" w:type="dxa"/>
              <w:left w:w="57" w:type="dxa"/>
              <w:bottom w:w="0" w:type="dxa"/>
              <w:right w:w="57" w:type="dxa"/>
            </w:tcMar>
          </w:tcPr>
          <w:p w14:paraId="62562A41" w14:textId="77777777" w:rsidR="002B37E9" w:rsidRPr="00140923" w:rsidRDefault="002B37E9" w:rsidP="00226764">
            <w:pPr>
              <w:pStyle w:val="Tablelegend"/>
              <w:ind w:left="341" w:right="-28"/>
              <w:rPr>
                <w:sz w:val="20"/>
                <w:lang w:val="es-ES_tradnl"/>
              </w:rPr>
            </w:pPr>
            <w:r w:rsidRPr="00140923">
              <w:rPr>
                <w:sz w:val="20"/>
                <w:vertAlign w:val="superscript"/>
                <w:lang w:val="es-ES_tradnl"/>
              </w:rPr>
              <w:t>(1)</w:t>
            </w:r>
            <w:r w:rsidRPr="00140923">
              <w:rPr>
                <w:sz w:val="20"/>
                <w:lang w:val="es-ES_tradnl"/>
              </w:rPr>
              <w:tab/>
              <w:t xml:space="preserve">Para calcular los valores de las densidades del transmisor y de la p.i.r.e., es preciso determinar la separación entre canales y la anchura de banda. En estos Cuadros, la separación entre canales se indica en </w:t>
            </w:r>
            <w:r w:rsidRPr="00140923">
              <w:rPr>
                <w:b/>
                <w:bCs/>
                <w:sz w:val="20"/>
                <w:lang w:val="es-ES_tradnl"/>
              </w:rPr>
              <w:t>negritas</w:t>
            </w:r>
            <w:r w:rsidRPr="00140923">
              <w:rPr>
                <w:sz w:val="20"/>
                <w:lang w:val="es-ES_tradnl"/>
              </w:rPr>
              <w:t>.</w:t>
            </w:r>
          </w:p>
          <w:p w14:paraId="1E9FDDE0" w14:textId="77777777" w:rsidR="002B37E9" w:rsidRPr="00140923" w:rsidRDefault="002B37E9" w:rsidP="00226764">
            <w:pPr>
              <w:pStyle w:val="Tablelegend"/>
              <w:ind w:left="341" w:right="-28"/>
              <w:rPr>
                <w:sz w:val="20"/>
                <w:lang w:val="es-ES_tradnl"/>
              </w:rPr>
            </w:pPr>
            <w:r w:rsidRPr="00140923">
              <w:rPr>
                <w:sz w:val="20"/>
                <w:vertAlign w:val="superscript"/>
                <w:lang w:val="es-ES_tradnl"/>
              </w:rPr>
              <w:t>(2)</w:t>
            </w:r>
            <w:r w:rsidRPr="00140923">
              <w:rPr>
                <w:sz w:val="20"/>
                <w:lang w:val="es-ES_tradnl"/>
              </w:rPr>
              <w:tab/>
              <w:t>La densidad de potencia de interferencia a largo plazo nominal se define como la «densidad de potencia de ruido del receptor + (I/N requerida)» según se describe en el § 4.13 del Anexo 2 (véase asimismo el § 4.1 del Anexo 1).</w:t>
            </w:r>
          </w:p>
          <w:p w14:paraId="760FA12E" w14:textId="77777777" w:rsidR="002B37E9" w:rsidRPr="00140923" w:rsidRDefault="002B37E9" w:rsidP="00226764">
            <w:pPr>
              <w:pStyle w:val="Tablelegend"/>
              <w:ind w:left="341" w:right="-28"/>
              <w:rPr>
                <w:sz w:val="20"/>
                <w:lang w:val="es-ES_tradnl"/>
              </w:rPr>
            </w:pPr>
            <w:r w:rsidRPr="00140923">
              <w:rPr>
                <w:sz w:val="20"/>
                <w:vertAlign w:val="superscript"/>
                <w:lang w:val="es-ES_tradnl"/>
              </w:rPr>
              <w:t>(3)</w:t>
            </w:r>
            <w:r w:rsidRPr="00140923">
              <w:rPr>
                <w:sz w:val="20"/>
                <w:lang w:val="es-ES_tradnl"/>
              </w:rPr>
              <w:tab/>
              <w:t>Se describen dos tipos de modulación (MDP-4 y MDF-4) y se elige MDP-4.</w:t>
            </w:r>
          </w:p>
        </w:tc>
      </w:tr>
    </w:tbl>
    <w:p w14:paraId="3E6196D4" w14:textId="77777777" w:rsidR="002B37E9" w:rsidRPr="00140923" w:rsidRDefault="002B37E9" w:rsidP="002B37E9">
      <w:pPr>
        <w:pStyle w:val="Tablefin"/>
        <w:rPr>
          <w:lang w:val="es-ES_tradnl"/>
        </w:rPr>
      </w:pPr>
    </w:p>
    <w:p w14:paraId="40E4252C" w14:textId="44A95149" w:rsidR="002B37E9" w:rsidRPr="00140923" w:rsidRDefault="002B37E9" w:rsidP="00D23F34">
      <w:pPr>
        <w:pStyle w:val="TableNo"/>
        <w:keepLines/>
        <w:spacing w:before="0"/>
        <w:rPr>
          <w:lang w:val="es-ES_tradnl" w:eastAsia="ja-JP"/>
        </w:rPr>
      </w:pPr>
      <w:r w:rsidRPr="00140923">
        <w:rPr>
          <w:lang w:val="es-ES_tradnl"/>
        </w:rPr>
        <w:lastRenderedPageBreak/>
        <w:t xml:space="preserve">CUADRO </w:t>
      </w:r>
      <w:r w:rsidRPr="00140923">
        <w:rPr>
          <w:lang w:val="es-ES_tradnl" w:eastAsia="ja-JP"/>
        </w:rPr>
        <w:t>19</w:t>
      </w:r>
    </w:p>
    <w:p w14:paraId="0B72E0E1" w14:textId="77777777" w:rsidR="002B37E9" w:rsidRPr="00140923" w:rsidRDefault="002B37E9" w:rsidP="00D23F34">
      <w:pPr>
        <w:pStyle w:val="Tabletitle"/>
        <w:keepLines/>
        <w:rPr>
          <w:color w:val="000000"/>
          <w:lang w:val="es-ES_tradnl" w:eastAsia="ja-JP"/>
        </w:rPr>
      </w:pPr>
      <w:r w:rsidRPr="00140923">
        <w:rPr>
          <w:lang w:val="es-ES_tradnl" w:eastAsia="ja-JP"/>
        </w:rPr>
        <w:t xml:space="preserve">Parámetros de sistema para los sistemas punto a punto del servicio fijo en bandas atribuidas por encima de 12 GHz </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4"/>
        <w:gridCol w:w="1808"/>
        <w:gridCol w:w="2108"/>
        <w:gridCol w:w="2109"/>
      </w:tblGrid>
      <w:tr w:rsidR="002B37E9" w:rsidRPr="00140923" w14:paraId="11EC825E"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29CDB0" w14:textId="77777777" w:rsidR="002B37E9" w:rsidRPr="00140923" w:rsidRDefault="002B37E9" w:rsidP="00D23F34">
            <w:pPr>
              <w:pStyle w:val="Tablehead"/>
              <w:keepLines/>
              <w:rPr>
                <w:rFonts w:asciiTheme="majorBidi" w:hAnsiTheme="majorBidi" w:cstheme="majorBidi"/>
                <w:szCs w:val="22"/>
                <w:lang w:val="es-ES_tradnl"/>
              </w:rPr>
            </w:pPr>
            <w:r w:rsidRPr="00140923">
              <w:rPr>
                <w:rFonts w:asciiTheme="majorBidi" w:hAnsiTheme="majorBidi" w:cstheme="majorBidi"/>
                <w:szCs w:val="22"/>
                <w:lang w:val="es-ES_tradnl" w:eastAsia="ja-JP"/>
              </w:rPr>
              <w:t xml:space="preserve">Gama de frecuencias </w:t>
            </w:r>
            <w:r w:rsidRPr="00140923">
              <w:rPr>
                <w:rFonts w:asciiTheme="majorBidi" w:hAnsiTheme="majorBidi" w:cstheme="majorBidi"/>
                <w:szCs w:val="22"/>
                <w:lang w:val="es-ES_tradnl" w:eastAsia="ja-JP"/>
              </w:rPr>
              <w:br/>
              <w:t>(GHz)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C4AA62" w14:textId="77777777" w:rsidR="002B37E9" w:rsidRPr="00140923" w:rsidRDefault="002B37E9" w:rsidP="00D23F34">
            <w:pPr>
              <w:pStyle w:val="Tablehead"/>
              <w:keepLines/>
              <w:rPr>
                <w:rFonts w:asciiTheme="majorBidi" w:hAnsiTheme="majorBidi" w:cstheme="majorBidi"/>
                <w:szCs w:val="22"/>
                <w:lang w:val="es-ES_tradnl"/>
              </w:rPr>
            </w:pPr>
            <w:r w:rsidRPr="00140923">
              <w:rPr>
                <w:rFonts w:asciiTheme="majorBidi" w:hAnsiTheme="majorBidi" w:cstheme="majorBidi"/>
                <w:szCs w:val="22"/>
                <w:lang w:val="es-ES_tradnl" w:eastAsia="ja-JP"/>
              </w:rPr>
              <w:t>12,75-13,25</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52C95C73" w14:textId="77777777" w:rsidR="002B37E9" w:rsidRPr="00140923" w:rsidRDefault="002B37E9" w:rsidP="00D23F34">
            <w:pPr>
              <w:pStyle w:val="Tablehead"/>
              <w:keepLines/>
              <w:rPr>
                <w:rFonts w:asciiTheme="majorBidi" w:hAnsiTheme="majorBidi" w:cstheme="majorBidi"/>
                <w:szCs w:val="22"/>
                <w:lang w:val="es-ES_tradnl" w:eastAsia="ja-JP"/>
              </w:rPr>
            </w:pPr>
            <w:r w:rsidRPr="00140923">
              <w:rPr>
                <w:rFonts w:asciiTheme="majorBidi" w:hAnsiTheme="majorBidi" w:cstheme="majorBidi"/>
                <w:szCs w:val="22"/>
                <w:lang w:val="es-ES_tradnl" w:eastAsia="ja-JP"/>
              </w:rPr>
              <w:t>51,4-52,6</w:t>
            </w:r>
          </w:p>
        </w:tc>
      </w:tr>
      <w:tr w:rsidR="002B37E9" w:rsidRPr="00140923" w14:paraId="7F991C60"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521AC7" w14:textId="77777777" w:rsidR="002B37E9" w:rsidRPr="00140923" w:rsidRDefault="002B37E9" w:rsidP="00D23F34">
            <w:pPr>
              <w:pStyle w:val="Tabletext"/>
              <w:keepNext/>
              <w:keepLines/>
              <w:jc w:val="left"/>
              <w:rPr>
                <w:lang w:val="es-ES_tradnl"/>
              </w:rPr>
            </w:pPr>
            <w:r w:rsidRPr="00140923">
              <w:rPr>
                <w:lang w:val="es-ES_tradnl"/>
              </w:rPr>
              <w:t>Recomendación UIT-R de referencia</w:t>
            </w:r>
          </w:p>
        </w:tc>
        <w:tc>
          <w:tcPr>
            <w:tcW w:w="1701" w:type="dxa"/>
            <w:tcBorders>
              <w:top w:val="single" w:sz="4" w:space="0" w:color="auto"/>
              <w:left w:val="single" w:sz="4" w:space="0" w:color="auto"/>
              <w:bottom w:val="single" w:sz="4" w:space="0" w:color="auto"/>
              <w:right w:val="single" w:sz="4" w:space="0" w:color="auto"/>
            </w:tcBorders>
            <w:hideMark/>
          </w:tcPr>
          <w:p w14:paraId="1DDA1AD6" w14:textId="77777777" w:rsidR="002B37E9" w:rsidRPr="00140923" w:rsidRDefault="002B37E9" w:rsidP="00D23F34">
            <w:pPr>
              <w:pStyle w:val="Tabletext"/>
              <w:keepNext/>
              <w:keepLines/>
              <w:jc w:val="center"/>
              <w:rPr>
                <w:lang w:val="es-ES_tradnl" w:eastAsia="ja-JP"/>
              </w:rPr>
            </w:pPr>
            <w:r w:rsidRPr="00140923">
              <w:rPr>
                <w:lang w:val="es-ES_tradnl"/>
              </w:rPr>
              <w:t>F.</w:t>
            </w:r>
            <w:r w:rsidRPr="00140923">
              <w:rPr>
                <w:lang w:val="es-ES_tradnl" w:eastAsia="ja-JP"/>
              </w:rPr>
              <w:t>497</w:t>
            </w:r>
          </w:p>
        </w:tc>
        <w:tc>
          <w:tcPr>
            <w:tcW w:w="3969" w:type="dxa"/>
            <w:gridSpan w:val="2"/>
            <w:tcBorders>
              <w:top w:val="single" w:sz="4" w:space="0" w:color="auto"/>
              <w:left w:val="single" w:sz="4" w:space="0" w:color="auto"/>
              <w:bottom w:val="single" w:sz="4" w:space="0" w:color="auto"/>
              <w:right w:val="single" w:sz="4" w:space="0" w:color="auto"/>
            </w:tcBorders>
            <w:hideMark/>
          </w:tcPr>
          <w:p w14:paraId="534455B6" w14:textId="77777777" w:rsidR="002B37E9" w:rsidRPr="00140923" w:rsidRDefault="002B37E9" w:rsidP="00D23F34">
            <w:pPr>
              <w:pStyle w:val="Tabletext"/>
              <w:keepNext/>
              <w:keepLines/>
              <w:jc w:val="center"/>
              <w:rPr>
                <w:lang w:val="es-ES_tradnl" w:eastAsia="ja-JP"/>
              </w:rPr>
            </w:pPr>
            <w:r w:rsidRPr="00140923">
              <w:rPr>
                <w:lang w:val="es-ES_tradnl"/>
              </w:rPr>
              <w:t>F.</w:t>
            </w:r>
            <w:r w:rsidRPr="00140923">
              <w:rPr>
                <w:lang w:val="es-ES_tradnl" w:eastAsia="ja-JP"/>
              </w:rPr>
              <w:t>1496</w:t>
            </w:r>
          </w:p>
        </w:tc>
      </w:tr>
      <w:tr w:rsidR="002B37E9" w:rsidRPr="00140923" w14:paraId="386F6B94"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E29958" w14:textId="77777777" w:rsidR="002B37E9" w:rsidRPr="00140923" w:rsidRDefault="002B37E9" w:rsidP="00D23F34">
            <w:pPr>
              <w:pStyle w:val="Tabletext"/>
              <w:keepNext/>
              <w:keepLines/>
              <w:jc w:val="left"/>
              <w:rPr>
                <w:color w:val="000000"/>
                <w:lang w:val="es-ES_tradnl"/>
              </w:rPr>
            </w:pPr>
            <w:r w:rsidRPr="00140923">
              <w:rPr>
                <w:color w:val="000000"/>
                <w:lang w:val="es-ES_tradnl"/>
              </w:rPr>
              <w:t>Modulación</w:t>
            </w:r>
          </w:p>
        </w:tc>
        <w:tc>
          <w:tcPr>
            <w:tcW w:w="1701" w:type="dxa"/>
            <w:tcBorders>
              <w:top w:val="single" w:sz="4" w:space="0" w:color="auto"/>
              <w:left w:val="single" w:sz="4" w:space="0" w:color="auto"/>
              <w:bottom w:val="single" w:sz="4" w:space="0" w:color="auto"/>
              <w:right w:val="single" w:sz="4" w:space="0" w:color="auto"/>
            </w:tcBorders>
            <w:hideMark/>
          </w:tcPr>
          <w:p w14:paraId="23219239" w14:textId="77777777" w:rsidR="002B37E9" w:rsidRPr="00140923" w:rsidRDefault="002B37E9" w:rsidP="00D23F34">
            <w:pPr>
              <w:pStyle w:val="Tabletext"/>
              <w:keepNext/>
              <w:keepLines/>
              <w:jc w:val="center"/>
              <w:rPr>
                <w:color w:val="000000"/>
                <w:lang w:val="es-ES_tradnl"/>
              </w:rPr>
            </w:pPr>
            <w:r w:rsidRPr="00140923">
              <w:rPr>
                <w:color w:val="000000"/>
                <w:lang w:val="es-ES_tradnl"/>
              </w:rPr>
              <w:t>MDP-4</w:t>
            </w:r>
          </w:p>
        </w:tc>
        <w:tc>
          <w:tcPr>
            <w:tcW w:w="1984" w:type="dxa"/>
            <w:tcBorders>
              <w:top w:val="single" w:sz="4" w:space="0" w:color="auto"/>
              <w:left w:val="single" w:sz="4" w:space="0" w:color="auto"/>
              <w:bottom w:val="single" w:sz="4" w:space="0" w:color="auto"/>
              <w:right w:val="single" w:sz="4" w:space="0" w:color="auto"/>
            </w:tcBorders>
            <w:hideMark/>
          </w:tcPr>
          <w:p w14:paraId="59F35299" w14:textId="77777777" w:rsidR="002B37E9" w:rsidRPr="00140923" w:rsidRDefault="002B37E9" w:rsidP="00D23F34">
            <w:pPr>
              <w:pStyle w:val="Tabletext"/>
              <w:keepNext/>
              <w:keepLines/>
              <w:jc w:val="center"/>
              <w:rPr>
                <w:lang w:val="es-ES_tradnl"/>
              </w:rPr>
            </w:pPr>
            <w:r w:rsidRPr="00140923">
              <w:rPr>
                <w:lang w:val="es-ES_tradnl"/>
              </w:rPr>
              <w:t>MDF-4</w:t>
            </w:r>
          </w:p>
        </w:tc>
        <w:tc>
          <w:tcPr>
            <w:tcW w:w="1985" w:type="dxa"/>
            <w:tcBorders>
              <w:top w:val="single" w:sz="4" w:space="0" w:color="auto"/>
              <w:left w:val="single" w:sz="4" w:space="0" w:color="auto"/>
              <w:bottom w:val="single" w:sz="4" w:space="0" w:color="auto"/>
              <w:right w:val="single" w:sz="4" w:space="0" w:color="auto"/>
            </w:tcBorders>
            <w:hideMark/>
          </w:tcPr>
          <w:p w14:paraId="66B492C5" w14:textId="77777777" w:rsidR="002B37E9" w:rsidRPr="00140923" w:rsidRDefault="002B37E9" w:rsidP="00D23F34">
            <w:pPr>
              <w:pStyle w:val="Tabletext"/>
              <w:keepNext/>
              <w:keepLines/>
              <w:jc w:val="center"/>
              <w:rPr>
                <w:lang w:val="es-ES_tradnl"/>
              </w:rPr>
            </w:pPr>
            <w:r w:rsidRPr="00140923">
              <w:rPr>
                <w:lang w:val="es-ES_tradnl" w:eastAsia="ja-JP"/>
              </w:rPr>
              <w:t>MAQ-32</w:t>
            </w:r>
          </w:p>
        </w:tc>
      </w:tr>
      <w:tr w:rsidR="002B37E9" w:rsidRPr="00140923" w14:paraId="2E2E7E93"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7EE8B4" w14:textId="77777777" w:rsidR="002B37E9" w:rsidRPr="00140923" w:rsidRDefault="002B37E9" w:rsidP="00D23F34">
            <w:pPr>
              <w:pStyle w:val="Tabletext"/>
              <w:keepNext/>
              <w:keepLines/>
              <w:jc w:val="left"/>
              <w:rPr>
                <w:color w:val="000000"/>
                <w:lang w:val="es-ES_tradnl"/>
              </w:rPr>
            </w:pPr>
            <w:r w:rsidRPr="00140923">
              <w:rPr>
                <w:color w:val="000000"/>
                <w:lang w:val="es-ES_tradnl"/>
              </w:rPr>
              <w:t xml:space="preserve">Separación de canales y anchura de banda de ruido del receptor (MHz) </w:t>
            </w:r>
          </w:p>
        </w:tc>
        <w:tc>
          <w:tcPr>
            <w:tcW w:w="1701" w:type="dxa"/>
            <w:tcBorders>
              <w:top w:val="single" w:sz="4" w:space="0" w:color="auto"/>
              <w:left w:val="single" w:sz="4" w:space="0" w:color="auto"/>
              <w:bottom w:val="single" w:sz="4" w:space="0" w:color="auto"/>
              <w:right w:val="single" w:sz="4" w:space="0" w:color="auto"/>
            </w:tcBorders>
            <w:hideMark/>
          </w:tcPr>
          <w:p w14:paraId="10B2165D" w14:textId="77777777" w:rsidR="002B37E9" w:rsidRPr="00140923" w:rsidRDefault="002B37E9" w:rsidP="00D23F34">
            <w:pPr>
              <w:pStyle w:val="Tabletext"/>
              <w:keepNext/>
              <w:keepLines/>
              <w:jc w:val="center"/>
              <w:rPr>
                <w:color w:val="000000"/>
                <w:lang w:val="es-ES_tradnl" w:eastAsia="ja-JP"/>
              </w:rPr>
            </w:pPr>
            <w:r w:rsidRPr="00140923">
              <w:rPr>
                <w:b/>
                <w:color w:val="000000"/>
                <w:lang w:val="es-ES_tradnl" w:eastAsia="ja-JP"/>
              </w:rPr>
              <w:t>3,5</w:t>
            </w:r>
            <w:r w:rsidRPr="00140923">
              <w:rPr>
                <w:color w:val="000000"/>
                <w:lang w:val="es-ES_tradnl" w:eastAsia="ja-JP"/>
              </w:rPr>
              <w:t xml:space="preserve">; </w:t>
            </w:r>
            <w:r w:rsidRPr="00140923">
              <w:rPr>
                <w:b/>
                <w:color w:val="000000"/>
                <w:lang w:val="es-ES_tradnl" w:eastAsia="ja-JP"/>
              </w:rPr>
              <w:t>7</w:t>
            </w:r>
            <w:r w:rsidRPr="00140923">
              <w:rPr>
                <w:color w:val="000000"/>
                <w:lang w:val="es-ES_tradnl" w:eastAsia="ja-JP"/>
              </w:rPr>
              <w:t xml:space="preserve">; </w:t>
            </w:r>
            <w:r w:rsidRPr="00140923">
              <w:rPr>
                <w:b/>
                <w:color w:val="000000"/>
                <w:lang w:val="es-ES_tradnl" w:eastAsia="ja-JP"/>
              </w:rPr>
              <w:t>14</w:t>
            </w:r>
            <w:r w:rsidRPr="00140923">
              <w:rPr>
                <w:color w:val="000000"/>
                <w:lang w:val="es-ES_tradnl" w:eastAsia="ja-JP"/>
              </w:rPr>
              <w:t xml:space="preserve">; </w:t>
            </w:r>
            <w:r w:rsidRPr="00140923">
              <w:rPr>
                <w:b/>
                <w:color w:val="000000"/>
                <w:lang w:val="es-ES_tradnl" w:eastAsia="ja-JP"/>
              </w:rPr>
              <w:t>28</w:t>
            </w:r>
          </w:p>
        </w:tc>
        <w:tc>
          <w:tcPr>
            <w:tcW w:w="1984" w:type="dxa"/>
            <w:tcBorders>
              <w:top w:val="single" w:sz="4" w:space="0" w:color="auto"/>
              <w:left w:val="single" w:sz="4" w:space="0" w:color="auto"/>
              <w:bottom w:val="single" w:sz="4" w:space="0" w:color="auto"/>
              <w:right w:val="single" w:sz="4" w:space="0" w:color="auto"/>
            </w:tcBorders>
            <w:hideMark/>
          </w:tcPr>
          <w:p w14:paraId="1B10A084" w14:textId="77777777" w:rsidR="002B37E9" w:rsidRPr="00140923" w:rsidRDefault="002B37E9" w:rsidP="00D23F34">
            <w:pPr>
              <w:pStyle w:val="Tabletext"/>
              <w:keepNext/>
              <w:keepLines/>
              <w:jc w:val="center"/>
              <w:rPr>
                <w:lang w:val="es-ES_tradnl"/>
              </w:rPr>
            </w:pPr>
            <w:r w:rsidRPr="00140923">
              <w:rPr>
                <w:b/>
                <w:caps/>
                <w:lang w:val="es-ES_tradnl" w:eastAsia="ja-JP"/>
              </w:rPr>
              <w:t>3,5</w:t>
            </w:r>
            <w:r w:rsidRPr="00140923">
              <w:rPr>
                <w:caps/>
                <w:lang w:val="es-ES_tradnl" w:eastAsia="ja-JP"/>
              </w:rPr>
              <w:t>;</w:t>
            </w:r>
            <w:r w:rsidRPr="00140923">
              <w:rPr>
                <w:b/>
                <w:caps/>
                <w:lang w:val="es-ES_tradnl" w:eastAsia="ja-JP"/>
              </w:rPr>
              <w:t xml:space="preserve"> 7</w:t>
            </w:r>
            <w:r w:rsidRPr="00140923">
              <w:rPr>
                <w:caps/>
                <w:lang w:val="es-ES_tradnl" w:eastAsia="ja-JP"/>
              </w:rPr>
              <w:t xml:space="preserve">; </w:t>
            </w:r>
            <w:r w:rsidRPr="00140923">
              <w:rPr>
                <w:b/>
                <w:caps/>
                <w:lang w:val="es-ES_tradnl" w:eastAsia="ja-JP"/>
              </w:rPr>
              <w:t>14</w:t>
            </w:r>
            <w:r w:rsidRPr="00140923">
              <w:rPr>
                <w:caps/>
                <w:lang w:val="es-ES_tradnl" w:eastAsia="ja-JP"/>
              </w:rPr>
              <w:t xml:space="preserve">; </w:t>
            </w:r>
            <w:r w:rsidRPr="00140923">
              <w:rPr>
                <w:b/>
                <w:caps/>
                <w:lang w:val="es-ES_tradnl" w:eastAsia="ja-JP"/>
              </w:rPr>
              <w:t>28</w:t>
            </w:r>
            <w:r w:rsidRPr="00140923">
              <w:rPr>
                <w:caps/>
                <w:lang w:val="es-ES_tradnl" w:eastAsia="ja-JP"/>
              </w:rPr>
              <w:t>; 56</w:t>
            </w:r>
          </w:p>
        </w:tc>
        <w:tc>
          <w:tcPr>
            <w:tcW w:w="1985" w:type="dxa"/>
            <w:tcBorders>
              <w:top w:val="single" w:sz="4" w:space="0" w:color="auto"/>
              <w:left w:val="single" w:sz="4" w:space="0" w:color="auto"/>
              <w:bottom w:val="single" w:sz="4" w:space="0" w:color="auto"/>
              <w:right w:val="single" w:sz="4" w:space="0" w:color="auto"/>
            </w:tcBorders>
            <w:hideMark/>
          </w:tcPr>
          <w:p w14:paraId="67EA9A4E" w14:textId="77777777" w:rsidR="002B37E9" w:rsidRPr="00140923" w:rsidRDefault="002B37E9" w:rsidP="00D23F34">
            <w:pPr>
              <w:pStyle w:val="Tabletext"/>
              <w:keepNext/>
              <w:keepLines/>
              <w:jc w:val="center"/>
              <w:rPr>
                <w:lang w:val="es-ES_tradnl" w:eastAsia="ja-JP"/>
              </w:rPr>
            </w:pPr>
            <w:r w:rsidRPr="00140923">
              <w:rPr>
                <w:caps/>
                <w:lang w:val="es-ES_tradnl" w:eastAsia="ja-JP"/>
              </w:rPr>
              <w:t xml:space="preserve">3,5; 7; </w:t>
            </w:r>
            <w:r w:rsidRPr="00140923">
              <w:rPr>
                <w:b/>
                <w:caps/>
                <w:lang w:val="es-ES_tradnl" w:eastAsia="ja-JP"/>
              </w:rPr>
              <w:t>14</w:t>
            </w:r>
            <w:r w:rsidRPr="00140923">
              <w:rPr>
                <w:caps/>
                <w:lang w:val="es-ES_tradnl" w:eastAsia="ja-JP"/>
              </w:rPr>
              <w:t>; 28; 56</w:t>
            </w:r>
          </w:p>
        </w:tc>
      </w:tr>
      <w:tr w:rsidR="002B37E9" w:rsidRPr="00140923" w14:paraId="21F453BF"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BA97E2" w14:textId="77777777" w:rsidR="002B37E9" w:rsidRPr="00140923" w:rsidRDefault="002B37E9" w:rsidP="00226764">
            <w:pPr>
              <w:pStyle w:val="Tabletext"/>
              <w:jc w:val="left"/>
              <w:rPr>
                <w:color w:val="000000"/>
                <w:lang w:val="es-ES_tradnl"/>
              </w:rPr>
            </w:pPr>
            <w:r w:rsidRPr="00140923">
              <w:rPr>
                <w:color w:val="000000"/>
                <w:lang w:val="es-ES_tradnl"/>
              </w:rPr>
              <w:t xml:space="preserve">Gama máxima de potencia de salida del transmisor (dBW) </w:t>
            </w:r>
          </w:p>
        </w:tc>
        <w:tc>
          <w:tcPr>
            <w:tcW w:w="1701" w:type="dxa"/>
            <w:tcBorders>
              <w:top w:val="single" w:sz="4" w:space="0" w:color="auto"/>
              <w:left w:val="single" w:sz="4" w:space="0" w:color="auto"/>
              <w:bottom w:val="single" w:sz="4" w:space="0" w:color="auto"/>
              <w:right w:val="single" w:sz="4" w:space="0" w:color="auto"/>
            </w:tcBorders>
            <w:hideMark/>
          </w:tcPr>
          <w:p w14:paraId="396181B5" w14:textId="77777777" w:rsidR="002B37E9" w:rsidRPr="00140923" w:rsidRDefault="002B37E9" w:rsidP="00226764">
            <w:pPr>
              <w:pStyle w:val="Tabletext"/>
              <w:jc w:val="center"/>
              <w:rPr>
                <w:color w:val="000000"/>
                <w:lang w:val="es-ES_tradnl"/>
              </w:rPr>
            </w:pPr>
            <w:r w:rsidRPr="00140923">
              <w:rPr>
                <w:color w:val="000000"/>
                <w:lang w:val="es-ES_tradnl" w:eastAsia="ja-JP"/>
              </w:rPr>
              <w:t>10</w:t>
            </w:r>
          </w:p>
        </w:tc>
        <w:tc>
          <w:tcPr>
            <w:tcW w:w="1984" w:type="dxa"/>
            <w:tcBorders>
              <w:top w:val="single" w:sz="4" w:space="0" w:color="auto"/>
              <w:left w:val="single" w:sz="4" w:space="0" w:color="auto"/>
              <w:bottom w:val="single" w:sz="4" w:space="0" w:color="auto"/>
              <w:right w:val="single" w:sz="4" w:space="0" w:color="auto"/>
            </w:tcBorders>
            <w:hideMark/>
          </w:tcPr>
          <w:p w14:paraId="6CB9D6F7" w14:textId="1A11F909" w:rsidR="002B37E9" w:rsidRPr="00140923" w:rsidRDefault="00C33899" w:rsidP="00226764">
            <w:pPr>
              <w:pStyle w:val="Tabletext"/>
              <w:jc w:val="center"/>
              <w:rPr>
                <w:lang w:val="es-ES_tradnl" w:eastAsia="ja-JP"/>
              </w:rPr>
            </w:pPr>
            <w:r w:rsidRPr="00C33899">
              <w:rPr>
                <w:lang w:val="es-ES_tradnl"/>
              </w:rPr>
              <w:t>−</w:t>
            </w:r>
            <w:r w:rsidR="002B37E9" w:rsidRPr="00140923">
              <w:rPr>
                <w:lang w:val="es-ES_tradnl" w:eastAsia="ja-JP"/>
              </w:rPr>
              <w:t>20</w:t>
            </w:r>
          </w:p>
        </w:tc>
        <w:tc>
          <w:tcPr>
            <w:tcW w:w="1985" w:type="dxa"/>
            <w:tcBorders>
              <w:top w:val="single" w:sz="4" w:space="0" w:color="auto"/>
              <w:left w:val="single" w:sz="4" w:space="0" w:color="auto"/>
              <w:bottom w:val="single" w:sz="4" w:space="0" w:color="auto"/>
              <w:right w:val="single" w:sz="4" w:space="0" w:color="auto"/>
            </w:tcBorders>
            <w:hideMark/>
          </w:tcPr>
          <w:p w14:paraId="3078B63F" w14:textId="5F149271" w:rsidR="002B37E9" w:rsidRPr="00140923" w:rsidRDefault="00C33899" w:rsidP="00226764">
            <w:pPr>
              <w:pStyle w:val="Tabletext"/>
              <w:jc w:val="center"/>
              <w:rPr>
                <w:lang w:val="es-ES_tradnl" w:eastAsia="ja-JP"/>
              </w:rPr>
            </w:pPr>
            <w:r w:rsidRPr="00C33899">
              <w:rPr>
                <w:lang w:val="es-ES_tradnl"/>
              </w:rPr>
              <w:t>−</w:t>
            </w:r>
            <w:r w:rsidR="002B37E9" w:rsidRPr="00140923">
              <w:rPr>
                <w:lang w:val="es-ES_tradnl" w:eastAsia="ja-JP"/>
              </w:rPr>
              <w:t>20</w:t>
            </w:r>
          </w:p>
        </w:tc>
      </w:tr>
      <w:tr w:rsidR="002B37E9" w:rsidRPr="00140923" w14:paraId="021C5367"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3D9D74" w14:textId="77777777" w:rsidR="002B37E9" w:rsidRPr="00140923" w:rsidRDefault="002B37E9" w:rsidP="00226764">
            <w:pPr>
              <w:pStyle w:val="Tabletext"/>
              <w:jc w:val="left"/>
              <w:rPr>
                <w:color w:val="000000"/>
                <w:lang w:val="es-ES_tradnl"/>
              </w:rPr>
            </w:pPr>
            <w:r w:rsidRPr="00140923">
              <w:rPr>
                <w:color w:val="000000"/>
                <w:lang w:val="es-ES_tradnl"/>
              </w:rPr>
              <w:t>Gama máxima de densidad de potencia de salida del transmisor (dBW/MHz)</w:t>
            </w:r>
            <w:r w:rsidRPr="00140923">
              <w:rPr>
                <w:color w:val="000000"/>
                <w:vertAlign w:val="superscript"/>
                <w:lang w:val="es-ES_tradnl" w:eastAsia="ja-JP"/>
              </w:rPr>
              <w:t>(1)</w:t>
            </w:r>
          </w:p>
        </w:tc>
        <w:tc>
          <w:tcPr>
            <w:tcW w:w="1701" w:type="dxa"/>
            <w:tcBorders>
              <w:top w:val="single" w:sz="4" w:space="0" w:color="auto"/>
              <w:left w:val="single" w:sz="4" w:space="0" w:color="auto"/>
              <w:bottom w:val="single" w:sz="4" w:space="0" w:color="auto"/>
              <w:right w:val="single" w:sz="4" w:space="0" w:color="auto"/>
            </w:tcBorders>
            <w:hideMark/>
          </w:tcPr>
          <w:p w14:paraId="17CE4788" w14:textId="46B593D1" w:rsidR="002B37E9" w:rsidRPr="00140923" w:rsidRDefault="00C33899" w:rsidP="00226764">
            <w:pPr>
              <w:pStyle w:val="Tabletext"/>
              <w:jc w:val="center"/>
              <w:rPr>
                <w:color w:val="000000"/>
                <w:lang w:val="es-ES_tradnl" w:eastAsia="ja-JP"/>
              </w:rPr>
            </w:pPr>
            <w:r w:rsidRPr="00C33899">
              <w:rPr>
                <w:lang w:val="es-ES_tradnl"/>
              </w:rPr>
              <w:t>−</w:t>
            </w:r>
            <w:r w:rsidR="002B37E9" w:rsidRPr="00140923">
              <w:rPr>
                <w:color w:val="000000"/>
                <w:lang w:val="es-ES_tradnl" w:eastAsia="ja-JP"/>
              </w:rPr>
              <w:t>4,5…4,6</w:t>
            </w:r>
          </w:p>
        </w:tc>
        <w:tc>
          <w:tcPr>
            <w:tcW w:w="1984" w:type="dxa"/>
            <w:tcBorders>
              <w:top w:val="single" w:sz="4" w:space="0" w:color="auto"/>
              <w:left w:val="single" w:sz="4" w:space="0" w:color="auto"/>
              <w:bottom w:val="single" w:sz="4" w:space="0" w:color="auto"/>
              <w:right w:val="single" w:sz="4" w:space="0" w:color="auto"/>
            </w:tcBorders>
            <w:hideMark/>
          </w:tcPr>
          <w:p w14:paraId="5F9ADE75" w14:textId="61AD6ECD" w:rsidR="002B37E9" w:rsidRPr="00140923" w:rsidRDefault="00C33899" w:rsidP="00226764">
            <w:pPr>
              <w:pStyle w:val="Tabletext"/>
              <w:jc w:val="center"/>
              <w:rPr>
                <w:lang w:val="es-ES_tradnl" w:eastAsia="ja-JP"/>
              </w:rPr>
            </w:pPr>
            <w:r w:rsidRPr="00C33899">
              <w:rPr>
                <w:lang w:val="es-ES_tradnl"/>
              </w:rPr>
              <w:t>−</w:t>
            </w:r>
            <w:r w:rsidR="002B37E9" w:rsidRPr="00140923">
              <w:rPr>
                <w:lang w:val="es-ES_tradnl" w:eastAsia="ja-JP"/>
              </w:rPr>
              <w:t>34…</w:t>
            </w:r>
            <w:r w:rsidRPr="00C33899">
              <w:rPr>
                <w:lang w:val="es-ES_tradnl"/>
              </w:rPr>
              <w:t>−</w:t>
            </w:r>
            <w:r w:rsidR="002B37E9" w:rsidRPr="00140923">
              <w:rPr>
                <w:lang w:val="es-ES_tradnl" w:eastAsia="ja-JP"/>
              </w:rPr>
              <w:t>25</w:t>
            </w:r>
          </w:p>
        </w:tc>
        <w:tc>
          <w:tcPr>
            <w:tcW w:w="1985" w:type="dxa"/>
            <w:tcBorders>
              <w:top w:val="single" w:sz="4" w:space="0" w:color="auto"/>
              <w:left w:val="single" w:sz="4" w:space="0" w:color="auto"/>
              <w:bottom w:val="single" w:sz="4" w:space="0" w:color="auto"/>
              <w:right w:val="single" w:sz="4" w:space="0" w:color="auto"/>
            </w:tcBorders>
            <w:hideMark/>
          </w:tcPr>
          <w:p w14:paraId="5355153B" w14:textId="40A25936" w:rsidR="002B37E9" w:rsidRPr="00140923" w:rsidRDefault="00C33899" w:rsidP="00226764">
            <w:pPr>
              <w:pStyle w:val="Tabletext"/>
              <w:jc w:val="center"/>
              <w:rPr>
                <w:lang w:val="es-ES_tradnl" w:eastAsia="ja-JP"/>
              </w:rPr>
            </w:pPr>
            <w:r w:rsidRPr="00C33899">
              <w:rPr>
                <w:lang w:val="es-ES_tradnl"/>
              </w:rPr>
              <w:t>−</w:t>
            </w:r>
            <w:r w:rsidR="002B37E9" w:rsidRPr="00140923">
              <w:rPr>
                <w:lang w:val="es-ES_tradnl" w:eastAsia="ja-JP"/>
              </w:rPr>
              <w:t>31</w:t>
            </w:r>
          </w:p>
        </w:tc>
      </w:tr>
      <w:tr w:rsidR="002B37E9" w:rsidRPr="00140923" w14:paraId="4C026FD7"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B8372A" w14:textId="77777777" w:rsidR="002B37E9" w:rsidRPr="00140923" w:rsidRDefault="002B37E9" w:rsidP="00226764">
            <w:pPr>
              <w:pStyle w:val="Tabletext"/>
              <w:jc w:val="left"/>
              <w:rPr>
                <w:color w:val="000000"/>
                <w:lang w:val="es-ES_tradnl"/>
              </w:rPr>
            </w:pPr>
            <w:r w:rsidRPr="00140923">
              <w:rPr>
                <w:color w:val="000000"/>
                <w:lang w:val="es-ES_tradnl" w:eastAsia="ja-JP"/>
              </w:rPr>
              <w:t>Gama mínima de pérdida del alimentador/multiplexor</w:t>
            </w:r>
            <w:r w:rsidRPr="00140923">
              <w:rPr>
                <w:color w:val="000000"/>
                <w:lang w:val="es-ES_tradnl"/>
              </w:rPr>
              <w:t xml:space="preserve"> (dB) </w:t>
            </w:r>
          </w:p>
        </w:tc>
        <w:tc>
          <w:tcPr>
            <w:tcW w:w="1701" w:type="dxa"/>
            <w:tcBorders>
              <w:top w:val="single" w:sz="4" w:space="0" w:color="auto"/>
              <w:left w:val="single" w:sz="4" w:space="0" w:color="auto"/>
              <w:bottom w:val="single" w:sz="4" w:space="0" w:color="auto"/>
              <w:right w:val="single" w:sz="4" w:space="0" w:color="auto"/>
            </w:tcBorders>
            <w:hideMark/>
          </w:tcPr>
          <w:p w14:paraId="1D290833" w14:textId="77777777" w:rsidR="002B37E9" w:rsidRPr="00140923" w:rsidRDefault="002B37E9" w:rsidP="00226764">
            <w:pPr>
              <w:pStyle w:val="Tabletext"/>
              <w:jc w:val="center"/>
              <w:rPr>
                <w:color w:val="000000"/>
                <w:lang w:val="es-ES_tradnl"/>
              </w:rPr>
            </w:pPr>
            <w:r w:rsidRPr="00140923">
              <w:rPr>
                <w:color w:val="000000"/>
                <w:lang w:val="es-ES_tradnl" w:eastAsia="ja-JP"/>
              </w:rPr>
              <w:t>0</w:t>
            </w:r>
          </w:p>
        </w:tc>
        <w:tc>
          <w:tcPr>
            <w:tcW w:w="1984" w:type="dxa"/>
            <w:tcBorders>
              <w:top w:val="single" w:sz="4" w:space="0" w:color="auto"/>
              <w:left w:val="single" w:sz="4" w:space="0" w:color="auto"/>
              <w:bottom w:val="single" w:sz="4" w:space="0" w:color="auto"/>
              <w:right w:val="single" w:sz="4" w:space="0" w:color="auto"/>
            </w:tcBorders>
            <w:hideMark/>
          </w:tcPr>
          <w:p w14:paraId="4A2C5103" w14:textId="77777777" w:rsidR="002B37E9" w:rsidRPr="00140923" w:rsidRDefault="002B37E9" w:rsidP="00226764">
            <w:pPr>
              <w:pStyle w:val="Tabletext"/>
              <w:jc w:val="center"/>
              <w:rPr>
                <w:lang w:val="es-ES_tradnl" w:eastAsia="ja-JP"/>
              </w:rPr>
            </w:pPr>
            <w:r w:rsidRPr="00140923">
              <w:rPr>
                <w:lang w:val="es-ES_tradnl" w:eastAsia="ja-JP"/>
              </w:rPr>
              <w:t>0</w:t>
            </w:r>
          </w:p>
        </w:tc>
        <w:tc>
          <w:tcPr>
            <w:tcW w:w="1985" w:type="dxa"/>
            <w:tcBorders>
              <w:top w:val="single" w:sz="4" w:space="0" w:color="auto"/>
              <w:left w:val="single" w:sz="4" w:space="0" w:color="auto"/>
              <w:bottom w:val="single" w:sz="4" w:space="0" w:color="auto"/>
              <w:right w:val="single" w:sz="4" w:space="0" w:color="auto"/>
            </w:tcBorders>
            <w:hideMark/>
          </w:tcPr>
          <w:p w14:paraId="212CBAAE" w14:textId="77777777" w:rsidR="002B37E9" w:rsidRPr="00140923" w:rsidRDefault="002B37E9" w:rsidP="00226764">
            <w:pPr>
              <w:pStyle w:val="Tabletext"/>
              <w:jc w:val="center"/>
              <w:rPr>
                <w:lang w:val="es-ES_tradnl" w:eastAsia="ja-JP"/>
              </w:rPr>
            </w:pPr>
            <w:r w:rsidRPr="00140923">
              <w:rPr>
                <w:lang w:val="es-ES_tradnl" w:eastAsia="ja-JP"/>
              </w:rPr>
              <w:t>0</w:t>
            </w:r>
          </w:p>
        </w:tc>
      </w:tr>
      <w:tr w:rsidR="002B37E9" w:rsidRPr="00140923" w14:paraId="4FBAF1FA"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8961A7" w14:textId="77777777" w:rsidR="002B37E9" w:rsidRPr="00140923" w:rsidRDefault="002B37E9" w:rsidP="00226764">
            <w:pPr>
              <w:pStyle w:val="Tabletext"/>
              <w:jc w:val="left"/>
              <w:rPr>
                <w:color w:val="000000"/>
                <w:lang w:val="es-ES_tradnl"/>
              </w:rPr>
            </w:pPr>
            <w:r w:rsidRPr="00140923">
              <w:rPr>
                <w:color w:val="000000"/>
                <w:lang w:val="es-ES_tradnl"/>
              </w:rPr>
              <w:t xml:space="preserve">Gama máxima de ganancia de la antena (dBi) </w:t>
            </w:r>
          </w:p>
        </w:tc>
        <w:tc>
          <w:tcPr>
            <w:tcW w:w="1701" w:type="dxa"/>
            <w:tcBorders>
              <w:top w:val="single" w:sz="4" w:space="0" w:color="auto"/>
              <w:left w:val="single" w:sz="4" w:space="0" w:color="auto"/>
              <w:bottom w:val="single" w:sz="4" w:space="0" w:color="auto"/>
              <w:right w:val="single" w:sz="4" w:space="0" w:color="auto"/>
            </w:tcBorders>
            <w:hideMark/>
          </w:tcPr>
          <w:p w14:paraId="7573EF46" w14:textId="77777777" w:rsidR="002B37E9" w:rsidRPr="00140923" w:rsidRDefault="002B37E9" w:rsidP="00226764">
            <w:pPr>
              <w:pStyle w:val="Tabletext"/>
              <w:jc w:val="center"/>
              <w:rPr>
                <w:color w:val="000000"/>
                <w:lang w:val="es-ES_tradnl"/>
              </w:rPr>
            </w:pPr>
            <w:r w:rsidRPr="00140923">
              <w:rPr>
                <w:color w:val="000000"/>
                <w:lang w:val="es-ES_tradnl" w:eastAsia="ja-JP"/>
              </w:rPr>
              <w:t>49</w:t>
            </w:r>
          </w:p>
        </w:tc>
        <w:tc>
          <w:tcPr>
            <w:tcW w:w="1984" w:type="dxa"/>
            <w:tcBorders>
              <w:top w:val="single" w:sz="4" w:space="0" w:color="auto"/>
              <w:left w:val="single" w:sz="4" w:space="0" w:color="auto"/>
              <w:bottom w:val="single" w:sz="4" w:space="0" w:color="auto"/>
              <w:right w:val="single" w:sz="4" w:space="0" w:color="auto"/>
            </w:tcBorders>
            <w:hideMark/>
          </w:tcPr>
          <w:p w14:paraId="7BAF45B0" w14:textId="77777777" w:rsidR="002B37E9" w:rsidRPr="00140923" w:rsidRDefault="002B37E9" w:rsidP="00226764">
            <w:pPr>
              <w:pStyle w:val="Tabletext"/>
              <w:jc w:val="center"/>
              <w:rPr>
                <w:lang w:val="es-ES_tradnl" w:eastAsia="ja-JP"/>
              </w:rPr>
            </w:pPr>
            <w:r w:rsidRPr="00140923">
              <w:rPr>
                <w:lang w:val="es-ES_tradnl" w:eastAsia="ja-JP"/>
              </w:rPr>
              <w:t>50</w:t>
            </w:r>
          </w:p>
        </w:tc>
        <w:tc>
          <w:tcPr>
            <w:tcW w:w="1985" w:type="dxa"/>
            <w:tcBorders>
              <w:top w:val="single" w:sz="4" w:space="0" w:color="auto"/>
              <w:left w:val="single" w:sz="4" w:space="0" w:color="auto"/>
              <w:bottom w:val="single" w:sz="4" w:space="0" w:color="auto"/>
              <w:right w:val="single" w:sz="4" w:space="0" w:color="auto"/>
            </w:tcBorders>
            <w:hideMark/>
          </w:tcPr>
          <w:p w14:paraId="0E117B7C" w14:textId="77777777" w:rsidR="002B37E9" w:rsidRPr="00140923" w:rsidRDefault="002B37E9" w:rsidP="00226764">
            <w:pPr>
              <w:pStyle w:val="Tabletext"/>
              <w:jc w:val="center"/>
              <w:rPr>
                <w:lang w:val="es-ES_tradnl" w:eastAsia="ja-JP"/>
              </w:rPr>
            </w:pPr>
            <w:r w:rsidRPr="00140923">
              <w:rPr>
                <w:lang w:val="es-ES_tradnl" w:eastAsia="ja-JP"/>
              </w:rPr>
              <w:t>50</w:t>
            </w:r>
          </w:p>
        </w:tc>
      </w:tr>
      <w:tr w:rsidR="002B37E9" w:rsidRPr="00140923" w14:paraId="50BE2CFB"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E1EAEC" w14:textId="77777777" w:rsidR="002B37E9" w:rsidRPr="00140923" w:rsidRDefault="002B37E9" w:rsidP="00226764">
            <w:pPr>
              <w:pStyle w:val="Tabletext"/>
              <w:jc w:val="left"/>
              <w:rPr>
                <w:color w:val="000000"/>
                <w:lang w:val="es-ES_tradnl"/>
              </w:rPr>
            </w:pPr>
            <w:r w:rsidRPr="00140923">
              <w:rPr>
                <w:color w:val="000000"/>
                <w:lang w:val="es-ES_tradnl"/>
              </w:rPr>
              <w:t>Gama máxima de la p.i.r.e. (dBW)</w:t>
            </w:r>
            <w:r w:rsidRPr="00140923">
              <w:rPr>
                <w:color w:val="000000"/>
                <w:vertAlign w:val="superscript"/>
                <w:lang w:val="es-ES_tradnl" w:eastAsia="ja-JP"/>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2FE372D" w14:textId="77777777" w:rsidR="002B37E9" w:rsidRPr="00140923" w:rsidRDefault="002B37E9" w:rsidP="00226764">
            <w:pPr>
              <w:pStyle w:val="Tabletext"/>
              <w:jc w:val="center"/>
              <w:rPr>
                <w:color w:val="000000"/>
                <w:lang w:val="es-ES_tradnl"/>
              </w:rPr>
            </w:pPr>
            <w:r w:rsidRPr="00140923">
              <w:rPr>
                <w:color w:val="000000"/>
                <w:lang w:val="es-ES_tradnl" w:eastAsia="ja-JP"/>
              </w:rPr>
              <w:t>45</w:t>
            </w:r>
          </w:p>
        </w:tc>
        <w:tc>
          <w:tcPr>
            <w:tcW w:w="1984" w:type="dxa"/>
            <w:tcBorders>
              <w:top w:val="single" w:sz="4" w:space="0" w:color="auto"/>
              <w:left w:val="single" w:sz="4" w:space="0" w:color="auto"/>
              <w:bottom w:val="single" w:sz="4" w:space="0" w:color="auto"/>
              <w:right w:val="single" w:sz="4" w:space="0" w:color="auto"/>
            </w:tcBorders>
            <w:hideMark/>
          </w:tcPr>
          <w:p w14:paraId="4D979236" w14:textId="77777777" w:rsidR="002B37E9" w:rsidRPr="00140923" w:rsidRDefault="002B37E9" w:rsidP="00226764">
            <w:pPr>
              <w:pStyle w:val="Tabletext"/>
              <w:jc w:val="center"/>
              <w:rPr>
                <w:lang w:val="es-ES_tradnl" w:eastAsia="ja-JP"/>
              </w:rPr>
            </w:pPr>
            <w:r w:rsidRPr="00140923">
              <w:rPr>
                <w:lang w:val="es-ES_tradnl" w:eastAsia="ja-JP"/>
              </w:rPr>
              <w:t>30</w:t>
            </w:r>
          </w:p>
        </w:tc>
        <w:tc>
          <w:tcPr>
            <w:tcW w:w="1985" w:type="dxa"/>
            <w:tcBorders>
              <w:top w:val="single" w:sz="4" w:space="0" w:color="auto"/>
              <w:left w:val="single" w:sz="4" w:space="0" w:color="auto"/>
              <w:bottom w:val="single" w:sz="4" w:space="0" w:color="auto"/>
              <w:right w:val="single" w:sz="4" w:space="0" w:color="auto"/>
            </w:tcBorders>
            <w:hideMark/>
          </w:tcPr>
          <w:p w14:paraId="4AD10BCA" w14:textId="77777777" w:rsidR="002B37E9" w:rsidRPr="00140923" w:rsidRDefault="002B37E9" w:rsidP="00226764">
            <w:pPr>
              <w:pStyle w:val="Tabletext"/>
              <w:jc w:val="center"/>
              <w:rPr>
                <w:lang w:val="es-ES_tradnl"/>
              </w:rPr>
            </w:pPr>
            <w:r w:rsidRPr="00140923">
              <w:rPr>
                <w:lang w:val="es-ES_tradnl" w:eastAsia="ja-JP"/>
              </w:rPr>
              <w:t>30</w:t>
            </w:r>
          </w:p>
        </w:tc>
      </w:tr>
      <w:tr w:rsidR="002B37E9" w:rsidRPr="00140923" w14:paraId="75FF4857"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D088E7" w14:textId="77777777" w:rsidR="002B37E9" w:rsidRPr="00140923" w:rsidRDefault="002B37E9" w:rsidP="00226764">
            <w:pPr>
              <w:pStyle w:val="Tabletext"/>
              <w:jc w:val="left"/>
              <w:rPr>
                <w:color w:val="000000"/>
                <w:lang w:val="es-ES_tradnl"/>
              </w:rPr>
            </w:pPr>
            <w:r w:rsidRPr="00140923">
              <w:rPr>
                <w:color w:val="000000"/>
                <w:lang w:val="es-ES_tradnl"/>
              </w:rPr>
              <w:t>Gama máxima de densidad de p.i.r.e. (dBW/MHz)</w:t>
            </w:r>
            <w:r w:rsidRPr="00140923">
              <w:rPr>
                <w:color w:val="000000"/>
                <w:vertAlign w:val="superscript"/>
                <w:lang w:val="es-ES_tradnl" w:eastAsia="ja-JP"/>
              </w:rPr>
              <w:t>(1)</w:t>
            </w:r>
          </w:p>
        </w:tc>
        <w:tc>
          <w:tcPr>
            <w:tcW w:w="1701" w:type="dxa"/>
            <w:tcBorders>
              <w:top w:val="single" w:sz="4" w:space="0" w:color="auto"/>
              <w:left w:val="single" w:sz="4" w:space="0" w:color="auto"/>
              <w:bottom w:val="single" w:sz="4" w:space="0" w:color="auto"/>
              <w:right w:val="single" w:sz="4" w:space="0" w:color="auto"/>
            </w:tcBorders>
            <w:hideMark/>
          </w:tcPr>
          <w:p w14:paraId="1D20D917" w14:textId="77777777" w:rsidR="002B37E9" w:rsidRPr="00140923" w:rsidRDefault="002B37E9" w:rsidP="00226764">
            <w:pPr>
              <w:pStyle w:val="Tabletext"/>
              <w:jc w:val="center"/>
              <w:rPr>
                <w:color w:val="000000"/>
                <w:lang w:val="es-ES_tradnl" w:eastAsia="ja-JP"/>
              </w:rPr>
            </w:pPr>
            <w:r w:rsidRPr="00140923">
              <w:rPr>
                <w:color w:val="000000"/>
                <w:lang w:val="es-ES_tradnl" w:eastAsia="ja-JP"/>
              </w:rPr>
              <w:t>31…40</w:t>
            </w:r>
          </w:p>
        </w:tc>
        <w:tc>
          <w:tcPr>
            <w:tcW w:w="1984" w:type="dxa"/>
            <w:tcBorders>
              <w:top w:val="single" w:sz="4" w:space="0" w:color="auto"/>
              <w:left w:val="single" w:sz="4" w:space="0" w:color="auto"/>
              <w:bottom w:val="single" w:sz="4" w:space="0" w:color="auto"/>
              <w:right w:val="single" w:sz="4" w:space="0" w:color="auto"/>
            </w:tcBorders>
            <w:hideMark/>
          </w:tcPr>
          <w:p w14:paraId="103512A9" w14:textId="77777777" w:rsidR="002B37E9" w:rsidRPr="00140923" w:rsidRDefault="002B37E9" w:rsidP="00226764">
            <w:pPr>
              <w:pStyle w:val="Tabletext"/>
              <w:jc w:val="center"/>
              <w:rPr>
                <w:lang w:val="es-ES_tradnl" w:eastAsia="ja-JP"/>
              </w:rPr>
            </w:pPr>
            <w:r w:rsidRPr="00140923">
              <w:rPr>
                <w:lang w:val="es-ES_tradnl" w:eastAsia="ja-JP"/>
              </w:rPr>
              <w:t>16…25</w:t>
            </w:r>
          </w:p>
        </w:tc>
        <w:tc>
          <w:tcPr>
            <w:tcW w:w="1985" w:type="dxa"/>
            <w:tcBorders>
              <w:top w:val="single" w:sz="4" w:space="0" w:color="auto"/>
              <w:left w:val="single" w:sz="4" w:space="0" w:color="auto"/>
              <w:bottom w:val="single" w:sz="4" w:space="0" w:color="auto"/>
              <w:right w:val="single" w:sz="4" w:space="0" w:color="auto"/>
            </w:tcBorders>
            <w:hideMark/>
          </w:tcPr>
          <w:p w14:paraId="5F19A5EC" w14:textId="77777777" w:rsidR="002B37E9" w:rsidRPr="00140923" w:rsidRDefault="002B37E9" w:rsidP="00226764">
            <w:pPr>
              <w:pStyle w:val="Tabletext"/>
              <w:jc w:val="center"/>
              <w:rPr>
                <w:lang w:val="es-ES_tradnl" w:eastAsia="ja-JP"/>
              </w:rPr>
            </w:pPr>
            <w:r w:rsidRPr="00140923">
              <w:rPr>
                <w:lang w:val="es-ES_tradnl" w:eastAsia="ja-JP"/>
              </w:rPr>
              <w:t>19</w:t>
            </w:r>
          </w:p>
        </w:tc>
      </w:tr>
      <w:tr w:rsidR="002B37E9" w:rsidRPr="00140923" w14:paraId="5341E9D4"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872A3D" w14:textId="77777777" w:rsidR="002B37E9" w:rsidRPr="00140923" w:rsidRDefault="002B37E9" w:rsidP="00226764">
            <w:pPr>
              <w:pStyle w:val="Tabletext"/>
              <w:jc w:val="left"/>
              <w:rPr>
                <w:color w:val="000000"/>
                <w:lang w:val="es-ES_tradnl"/>
              </w:rPr>
            </w:pPr>
            <w:r w:rsidRPr="00140923">
              <w:rPr>
                <w:color w:val="000000"/>
                <w:lang w:val="es-ES_tradnl"/>
              </w:rPr>
              <w:t>Factor de ruido del receptor</w:t>
            </w:r>
            <w:r w:rsidRPr="00140923">
              <w:rPr>
                <w:color w:val="000000"/>
                <w:lang w:val="es-ES_tradnl" w:eastAsia="ja-JP"/>
              </w:rPr>
              <w:t xml:space="preserve"> </w:t>
            </w:r>
            <w:r w:rsidRPr="00140923">
              <w:rPr>
                <w:color w:val="000000"/>
                <w:lang w:val="es-ES_tradnl"/>
              </w:rPr>
              <w:t xml:space="preserve">(dB) </w:t>
            </w:r>
          </w:p>
        </w:tc>
        <w:tc>
          <w:tcPr>
            <w:tcW w:w="1701" w:type="dxa"/>
            <w:tcBorders>
              <w:top w:val="single" w:sz="4" w:space="0" w:color="auto"/>
              <w:left w:val="single" w:sz="4" w:space="0" w:color="auto"/>
              <w:bottom w:val="single" w:sz="4" w:space="0" w:color="auto"/>
              <w:right w:val="single" w:sz="4" w:space="0" w:color="auto"/>
            </w:tcBorders>
            <w:hideMark/>
          </w:tcPr>
          <w:p w14:paraId="256C5116" w14:textId="77777777" w:rsidR="002B37E9" w:rsidRPr="00140923" w:rsidRDefault="002B37E9" w:rsidP="00226764">
            <w:pPr>
              <w:pStyle w:val="Tabletext"/>
              <w:jc w:val="center"/>
              <w:rPr>
                <w:color w:val="000000"/>
                <w:lang w:val="es-ES_tradnl" w:eastAsia="ja-JP"/>
              </w:rPr>
            </w:pPr>
            <w:r w:rsidRPr="00140923">
              <w:rPr>
                <w:color w:val="000000"/>
                <w:lang w:val="es-ES_tradnl" w:eastAsia="ja-JP"/>
              </w:rPr>
              <w:t>10</w:t>
            </w:r>
          </w:p>
        </w:tc>
        <w:tc>
          <w:tcPr>
            <w:tcW w:w="1984" w:type="dxa"/>
            <w:tcBorders>
              <w:top w:val="single" w:sz="4" w:space="0" w:color="auto"/>
              <w:left w:val="single" w:sz="4" w:space="0" w:color="auto"/>
              <w:bottom w:val="single" w:sz="4" w:space="0" w:color="auto"/>
              <w:right w:val="single" w:sz="4" w:space="0" w:color="auto"/>
            </w:tcBorders>
            <w:hideMark/>
          </w:tcPr>
          <w:p w14:paraId="476F742F" w14:textId="77777777" w:rsidR="002B37E9" w:rsidRPr="00140923" w:rsidRDefault="002B37E9" w:rsidP="00226764">
            <w:pPr>
              <w:pStyle w:val="Tabletext"/>
              <w:jc w:val="center"/>
              <w:rPr>
                <w:lang w:val="es-ES_tradnl" w:eastAsia="ja-JP"/>
              </w:rPr>
            </w:pPr>
            <w:r w:rsidRPr="00140923">
              <w:rPr>
                <w:lang w:val="es-ES_tradnl" w:eastAsia="ja-JP"/>
              </w:rPr>
              <w:t>11</w:t>
            </w:r>
          </w:p>
        </w:tc>
        <w:tc>
          <w:tcPr>
            <w:tcW w:w="1985" w:type="dxa"/>
            <w:tcBorders>
              <w:top w:val="single" w:sz="4" w:space="0" w:color="auto"/>
              <w:left w:val="single" w:sz="4" w:space="0" w:color="auto"/>
              <w:bottom w:val="single" w:sz="4" w:space="0" w:color="auto"/>
              <w:right w:val="single" w:sz="4" w:space="0" w:color="auto"/>
            </w:tcBorders>
            <w:hideMark/>
          </w:tcPr>
          <w:p w14:paraId="19C91BF3" w14:textId="77777777" w:rsidR="002B37E9" w:rsidRPr="00140923" w:rsidRDefault="002B37E9" w:rsidP="00226764">
            <w:pPr>
              <w:pStyle w:val="Tabletext"/>
              <w:jc w:val="center"/>
              <w:rPr>
                <w:lang w:val="es-ES_tradnl" w:eastAsia="ja-JP"/>
              </w:rPr>
            </w:pPr>
            <w:r w:rsidRPr="00140923">
              <w:rPr>
                <w:lang w:val="es-ES_tradnl" w:eastAsia="ja-JP"/>
              </w:rPr>
              <w:t>7</w:t>
            </w:r>
          </w:p>
        </w:tc>
      </w:tr>
      <w:tr w:rsidR="002B37E9" w:rsidRPr="00140923" w14:paraId="3FDE8E33"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B45ED5" w14:textId="77777777" w:rsidR="002B37E9" w:rsidRPr="00140923" w:rsidRDefault="002B37E9" w:rsidP="00226764">
            <w:pPr>
              <w:pStyle w:val="Tabletext"/>
              <w:jc w:val="left"/>
              <w:rPr>
                <w:color w:val="000000"/>
                <w:lang w:val="es-ES_tradnl"/>
              </w:rPr>
            </w:pPr>
            <w:r w:rsidRPr="00140923">
              <w:rPr>
                <w:color w:val="000000"/>
                <w:lang w:val="es-ES_tradnl"/>
              </w:rPr>
              <w:t>Densidad de potencia de ruido típica del receptor</w:t>
            </w:r>
            <w:r w:rsidRPr="00140923">
              <w:rPr>
                <w:color w:val="000000"/>
                <w:lang w:val="es-ES_tradnl" w:eastAsia="ja-JP"/>
              </w:rPr>
              <w:t xml:space="preserve"> (= </w:t>
            </w:r>
            <w:r w:rsidRPr="00140923">
              <w:rPr>
                <w:i/>
                <w:iCs/>
                <w:lang w:val="es-ES_tradnl"/>
              </w:rPr>
              <w:t>N</w:t>
            </w:r>
            <w:r w:rsidRPr="00140923">
              <w:rPr>
                <w:i/>
                <w:iCs/>
                <w:vertAlign w:val="subscript"/>
                <w:lang w:val="es-ES_tradnl"/>
              </w:rPr>
              <w:t>RX</w:t>
            </w:r>
            <w:r w:rsidRPr="00140923">
              <w:rPr>
                <w:color w:val="000000"/>
                <w:lang w:val="es-ES_tradnl" w:eastAsia="ja-JP"/>
              </w:rPr>
              <w:t xml:space="preserve">) </w:t>
            </w:r>
            <w:r w:rsidRPr="00140923">
              <w:rPr>
                <w:color w:val="000000"/>
                <w:lang w:val="es-ES_tradnl"/>
              </w:rPr>
              <w:t>(dBW/MHz)</w:t>
            </w:r>
          </w:p>
        </w:tc>
        <w:tc>
          <w:tcPr>
            <w:tcW w:w="1701" w:type="dxa"/>
            <w:tcBorders>
              <w:top w:val="single" w:sz="4" w:space="0" w:color="auto"/>
              <w:left w:val="single" w:sz="4" w:space="0" w:color="auto"/>
              <w:bottom w:val="single" w:sz="4" w:space="0" w:color="auto"/>
              <w:right w:val="single" w:sz="4" w:space="0" w:color="auto"/>
            </w:tcBorders>
            <w:hideMark/>
          </w:tcPr>
          <w:p w14:paraId="7CA6CBAB" w14:textId="6B043915" w:rsidR="002B37E9" w:rsidRPr="00140923" w:rsidRDefault="00C33899" w:rsidP="00226764">
            <w:pPr>
              <w:pStyle w:val="Tabletext"/>
              <w:jc w:val="center"/>
              <w:rPr>
                <w:color w:val="000000"/>
                <w:lang w:val="es-ES_tradnl" w:eastAsia="ja-JP"/>
              </w:rPr>
            </w:pPr>
            <w:r w:rsidRPr="00C33899">
              <w:rPr>
                <w:lang w:val="es-ES_tradnl"/>
              </w:rPr>
              <w:t>−</w:t>
            </w:r>
            <w:r w:rsidR="002B37E9" w:rsidRPr="00140923">
              <w:rPr>
                <w:color w:val="000000"/>
                <w:lang w:val="es-ES_tradnl" w:eastAsia="ja-JP"/>
              </w:rPr>
              <w:t>134</w:t>
            </w:r>
          </w:p>
        </w:tc>
        <w:tc>
          <w:tcPr>
            <w:tcW w:w="1984" w:type="dxa"/>
            <w:tcBorders>
              <w:top w:val="single" w:sz="4" w:space="0" w:color="auto"/>
              <w:left w:val="single" w:sz="4" w:space="0" w:color="auto"/>
              <w:bottom w:val="single" w:sz="4" w:space="0" w:color="auto"/>
              <w:right w:val="single" w:sz="4" w:space="0" w:color="auto"/>
            </w:tcBorders>
            <w:hideMark/>
          </w:tcPr>
          <w:p w14:paraId="25E06B77" w14:textId="52E52B5E" w:rsidR="002B37E9" w:rsidRPr="00140923" w:rsidRDefault="00C33899" w:rsidP="00226764">
            <w:pPr>
              <w:pStyle w:val="Tabletext"/>
              <w:jc w:val="center"/>
              <w:rPr>
                <w:lang w:val="es-ES_tradnl" w:eastAsia="ja-JP"/>
              </w:rPr>
            </w:pPr>
            <w:r w:rsidRPr="00C33899">
              <w:rPr>
                <w:lang w:val="es-ES_tradnl"/>
              </w:rPr>
              <w:t>−</w:t>
            </w:r>
            <w:r w:rsidR="002B37E9" w:rsidRPr="00140923">
              <w:rPr>
                <w:lang w:val="es-ES_tradnl" w:eastAsia="ja-JP"/>
              </w:rPr>
              <w:t>133</w:t>
            </w:r>
          </w:p>
        </w:tc>
        <w:tc>
          <w:tcPr>
            <w:tcW w:w="1985" w:type="dxa"/>
            <w:tcBorders>
              <w:top w:val="single" w:sz="4" w:space="0" w:color="auto"/>
              <w:left w:val="single" w:sz="4" w:space="0" w:color="auto"/>
              <w:bottom w:val="single" w:sz="4" w:space="0" w:color="auto"/>
              <w:right w:val="single" w:sz="4" w:space="0" w:color="auto"/>
            </w:tcBorders>
            <w:hideMark/>
          </w:tcPr>
          <w:p w14:paraId="2D876FF3" w14:textId="2AD1B287" w:rsidR="002B37E9" w:rsidRPr="00140923" w:rsidRDefault="00C33899" w:rsidP="00226764">
            <w:pPr>
              <w:pStyle w:val="Tabletext"/>
              <w:jc w:val="center"/>
              <w:rPr>
                <w:lang w:val="es-ES_tradnl" w:eastAsia="ja-JP"/>
              </w:rPr>
            </w:pPr>
            <w:r w:rsidRPr="00C33899">
              <w:rPr>
                <w:lang w:val="es-ES_tradnl"/>
              </w:rPr>
              <w:t>−</w:t>
            </w:r>
            <w:r w:rsidR="002B37E9" w:rsidRPr="00140923">
              <w:rPr>
                <w:lang w:val="es-ES_tradnl" w:eastAsia="ja-JP"/>
              </w:rPr>
              <w:t>137</w:t>
            </w:r>
          </w:p>
        </w:tc>
      </w:tr>
      <w:tr w:rsidR="002B37E9" w:rsidRPr="00140923" w14:paraId="2242C9EA" w14:textId="77777777" w:rsidTr="00C33899">
        <w:trPr>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021AF5" w14:textId="4F8B61F8" w:rsidR="002B37E9" w:rsidRPr="00140923" w:rsidRDefault="002B37E9" w:rsidP="00226764">
            <w:pPr>
              <w:pStyle w:val="Tabletext"/>
              <w:jc w:val="left"/>
              <w:rPr>
                <w:color w:val="000000"/>
                <w:lang w:val="es-ES_tradnl"/>
              </w:rPr>
            </w:pPr>
            <w:r w:rsidRPr="00140923">
              <w:rPr>
                <w:color w:val="000000"/>
                <w:lang w:val="es-ES_tradnl"/>
              </w:rPr>
              <w:t>Nivel de entrada normalizado del receptor para una BER de 1 × 10</w:t>
            </w:r>
            <w:r w:rsidR="00A941C1" w:rsidRPr="00A941C1">
              <w:rPr>
                <w:color w:val="000000"/>
                <w:vertAlign w:val="superscript"/>
                <w:lang w:val="es-ES_tradnl"/>
              </w:rPr>
              <w:t>−</w:t>
            </w:r>
            <w:r w:rsidRPr="00140923">
              <w:rPr>
                <w:color w:val="000000"/>
                <w:vertAlign w:val="superscript"/>
                <w:lang w:val="es-ES_tradnl"/>
              </w:rPr>
              <w:t>6</w:t>
            </w:r>
            <w:r w:rsidRPr="00140923">
              <w:rPr>
                <w:color w:val="000000"/>
                <w:lang w:val="es-ES_tradnl"/>
              </w:rPr>
              <w:t xml:space="preserve"> (dBW/MHz)</w:t>
            </w:r>
          </w:p>
        </w:tc>
        <w:tc>
          <w:tcPr>
            <w:tcW w:w="1701" w:type="dxa"/>
            <w:tcBorders>
              <w:top w:val="single" w:sz="4" w:space="0" w:color="auto"/>
              <w:left w:val="single" w:sz="4" w:space="0" w:color="auto"/>
              <w:bottom w:val="single" w:sz="4" w:space="0" w:color="auto"/>
              <w:right w:val="single" w:sz="4" w:space="0" w:color="auto"/>
            </w:tcBorders>
            <w:hideMark/>
          </w:tcPr>
          <w:p w14:paraId="63D12070" w14:textId="13009840" w:rsidR="002B37E9" w:rsidRPr="00140923" w:rsidRDefault="00C33899" w:rsidP="00226764">
            <w:pPr>
              <w:pStyle w:val="Tabletext"/>
              <w:jc w:val="center"/>
              <w:rPr>
                <w:color w:val="000000"/>
                <w:lang w:val="es-ES_tradnl" w:eastAsia="ja-JP"/>
              </w:rPr>
            </w:pPr>
            <w:r w:rsidRPr="00C33899">
              <w:rPr>
                <w:lang w:val="es-ES_tradnl"/>
              </w:rPr>
              <w:t>−</w:t>
            </w:r>
            <w:r w:rsidR="002B37E9" w:rsidRPr="00140923">
              <w:rPr>
                <w:color w:val="000000"/>
                <w:lang w:val="es-ES_tradnl" w:eastAsia="ja-JP"/>
              </w:rPr>
              <w:t>120,5</w:t>
            </w:r>
          </w:p>
        </w:tc>
        <w:tc>
          <w:tcPr>
            <w:tcW w:w="1984" w:type="dxa"/>
            <w:tcBorders>
              <w:top w:val="single" w:sz="4" w:space="0" w:color="auto"/>
              <w:left w:val="single" w:sz="4" w:space="0" w:color="auto"/>
              <w:bottom w:val="single" w:sz="4" w:space="0" w:color="auto"/>
              <w:right w:val="single" w:sz="4" w:space="0" w:color="auto"/>
            </w:tcBorders>
            <w:hideMark/>
          </w:tcPr>
          <w:p w14:paraId="68D6570E" w14:textId="5B2932EE" w:rsidR="002B37E9" w:rsidRPr="00140923" w:rsidRDefault="00C33899" w:rsidP="00226764">
            <w:pPr>
              <w:pStyle w:val="Tabletext"/>
              <w:jc w:val="center"/>
              <w:rPr>
                <w:lang w:val="es-ES_tradnl" w:eastAsia="ja-JP"/>
              </w:rPr>
            </w:pPr>
            <w:r w:rsidRPr="00C33899">
              <w:rPr>
                <w:lang w:val="es-ES_tradnl"/>
              </w:rPr>
              <w:t>−</w:t>
            </w:r>
            <w:r w:rsidR="002B37E9" w:rsidRPr="00140923">
              <w:rPr>
                <w:lang w:val="es-ES_tradnl" w:eastAsia="ja-JP"/>
              </w:rPr>
              <w:t>109,9</w:t>
            </w:r>
          </w:p>
        </w:tc>
        <w:tc>
          <w:tcPr>
            <w:tcW w:w="1985" w:type="dxa"/>
            <w:tcBorders>
              <w:top w:val="single" w:sz="4" w:space="0" w:color="auto"/>
              <w:left w:val="single" w:sz="4" w:space="0" w:color="auto"/>
              <w:bottom w:val="single" w:sz="4" w:space="0" w:color="auto"/>
              <w:right w:val="single" w:sz="4" w:space="0" w:color="auto"/>
            </w:tcBorders>
            <w:hideMark/>
          </w:tcPr>
          <w:p w14:paraId="01D6A349" w14:textId="4E64A096" w:rsidR="002B37E9" w:rsidRPr="00140923" w:rsidRDefault="00C33899" w:rsidP="00226764">
            <w:pPr>
              <w:pStyle w:val="Tabletext"/>
              <w:jc w:val="center"/>
              <w:rPr>
                <w:lang w:val="es-ES_tradnl" w:eastAsia="ja-JP"/>
              </w:rPr>
            </w:pPr>
            <w:r w:rsidRPr="00C33899">
              <w:rPr>
                <w:lang w:val="es-ES_tradnl"/>
              </w:rPr>
              <w:t>−</w:t>
            </w:r>
            <w:r w:rsidR="002B37E9" w:rsidRPr="00140923">
              <w:rPr>
                <w:lang w:val="es-ES_tradnl" w:eastAsia="ja-JP"/>
              </w:rPr>
              <w:t>113,5</w:t>
            </w:r>
          </w:p>
        </w:tc>
      </w:tr>
      <w:tr w:rsidR="002B37E9" w:rsidRPr="00140923" w14:paraId="3FD68EA9" w14:textId="77777777" w:rsidTr="00C33899">
        <w:trPr>
          <w:trHeight w:val="199"/>
          <w:jc w:val="center"/>
        </w:trPr>
        <w:tc>
          <w:tcPr>
            <w:tcW w:w="79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48D7CB" w14:textId="77777777" w:rsidR="002B37E9" w:rsidRPr="00140923" w:rsidRDefault="002B37E9" w:rsidP="00226764">
            <w:pPr>
              <w:pStyle w:val="Tabletext"/>
              <w:jc w:val="left"/>
              <w:rPr>
                <w:color w:val="000000"/>
                <w:lang w:val="es-ES_tradnl" w:eastAsia="ja-JP"/>
              </w:rPr>
            </w:pPr>
            <w:r w:rsidRPr="00140923">
              <w:rPr>
                <w:color w:val="000000"/>
                <w:lang w:val="es-ES_tradnl"/>
              </w:rPr>
              <w:t>Densidad de potencia de interferencia a largo plazo nominal (dBW/MHz)</w:t>
            </w:r>
            <w:r w:rsidRPr="00140923">
              <w:rPr>
                <w:color w:val="000000"/>
                <w:vertAlign w:val="superscript"/>
                <w:lang w:val="es-ES_tradnl" w:eastAsia="ja-JP"/>
              </w:rPr>
              <w:t>(2)</w:t>
            </w:r>
          </w:p>
        </w:tc>
        <w:tc>
          <w:tcPr>
            <w:tcW w:w="1701" w:type="dxa"/>
            <w:tcBorders>
              <w:top w:val="single" w:sz="4" w:space="0" w:color="auto"/>
              <w:left w:val="single" w:sz="4" w:space="0" w:color="auto"/>
              <w:bottom w:val="single" w:sz="4" w:space="0" w:color="auto"/>
              <w:right w:val="single" w:sz="4" w:space="0" w:color="auto"/>
            </w:tcBorders>
            <w:hideMark/>
          </w:tcPr>
          <w:p w14:paraId="408B8A05" w14:textId="1DDFE62C" w:rsidR="002B37E9" w:rsidRPr="00140923" w:rsidRDefault="00C33899" w:rsidP="00226764">
            <w:pPr>
              <w:pStyle w:val="Tabletext"/>
              <w:jc w:val="center"/>
              <w:rPr>
                <w:color w:val="000000"/>
                <w:lang w:val="es-ES_tradnl" w:eastAsia="ja-JP"/>
              </w:rPr>
            </w:pPr>
            <w:r w:rsidRPr="00C33899">
              <w:rPr>
                <w:lang w:val="es-ES_tradnl"/>
              </w:rPr>
              <w:t>−</w:t>
            </w:r>
            <w:r w:rsidR="002B37E9" w:rsidRPr="00140923">
              <w:rPr>
                <w:color w:val="000000"/>
                <w:lang w:val="es-ES_tradnl" w:eastAsia="ja-JP"/>
              </w:rPr>
              <w:t>134</w:t>
            </w:r>
            <w:r w:rsidR="002B37E9" w:rsidRPr="00140923">
              <w:rPr>
                <w:color w:val="000000"/>
                <w:lang w:val="es-ES_tradnl"/>
              </w:rPr>
              <w:t xml:space="preserve"> + </w:t>
            </w:r>
            <w:r w:rsidR="002B37E9" w:rsidRPr="00140923">
              <w:rPr>
                <w:i/>
                <w:lang w:val="es-ES_tradnl"/>
              </w:rPr>
              <w:t>I</w:t>
            </w:r>
            <w:r w:rsidR="002B37E9" w:rsidRPr="00140923">
              <w:rPr>
                <w:iCs/>
                <w:lang w:val="es-ES_tradnl"/>
              </w:rPr>
              <w:t>/</w:t>
            </w:r>
            <w:r w:rsidR="002B37E9" w:rsidRPr="00140923">
              <w:rPr>
                <w:i/>
                <w:lang w:val="es-ES_tradnl"/>
              </w:rPr>
              <w:t>N</w:t>
            </w:r>
          </w:p>
        </w:tc>
        <w:tc>
          <w:tcPr>
            <w:tcW w:w="1984" w:type="dxa"/>
            <w:tcBorders>
              <w:top w:val="single" w:sz="4" w:space="0" w:color="auto"/>
              <w:left w:val="single" w:sz="4" w:space="0" w:color="auto"/>
              <w:bottom w:val="single" w:sz="4" w:space="0" w:color="auto"/>
              <w:right w:val="single" w:sz="4" w:space="0" w:color="auto"/>
            </w:tcBorders>
            <w:hideMark/>
          </w:tcPr>
          <w:p w14:paraId="443AC4A6" w14:textId="28264DEB" w:rsidR="002B37E9" w:rsidRPr="00140923" w:rsidRDefault="00C33899" w:rsidP="00226764">
            <w:pPr>
              <w:pStyle w:val="Tabletext"/>
              <w:jc w:val="center"/>
              <w:rPr>
                <w:lang w:val="es-ES_tradnl" w:eastAsia="ja-JP"/>
              </w:rPr>
            </w:pPr>
            <w:r w:rsidRPr="00C33899">
              <w:rPr>
                <w:lang w:val="es-ES_tradnl"/>
              </w:rPr>
              <w:t>−</w:t>
            </w:r>
            <w:r w:rsidR="002B37E9" w:rsidRPr="00140923">
              <w:rPr>
                <w:lang w:val="es-ES_tradnl" w:eastAsia="ja-JP"/>
              </w:rPr>
              <w:t>133</w:t>
            </w:r>
            <w:r w:rsidR="002B37E9" w:rsidRPr="00140923">
              <w:rPr>
                <w:lang w:val="es-ES_tradnl"/>
              </w:rPr>
              <w:t xml:space="preserve"> + </w:t>
            </w:r>
            <w:r w:rsidR="002B37E9" w:rsidRPr="00140923">
              <w:rPr>
                <w:i/>
                <w:lang w:val="es-ES_tradnl"/>
              </w:rPr>
              <w:t>I</w:t>
            </w:r>
            <w:r w:rsidR="002B37E9" w:rsidRPr="00140923">
              <w:rPr>
                <w:iCs/>
                <w:lang w:val="es-ES_tradnl"/>
              </w:rPr>
              <w:t>/</w:t>
            </w:r>
            <w:r w:rsidR="002B37E9" w:rsidRPr="00140923">
              <w:rPr>
                <w:i/>
                <w:lang w:val="es-ES_tradnl"/>
              </w:rPr>
              <w:t>N</w:t>
            </w:r>
          </w:p>
        </w:tc>
        <w:tc>
          <w:tcPr>
            <w:tcW w:w="1985" w:type="dxa"/>
            <w:tcBorders>
              <w:top w:val="single" w:sz="4" w:space="0" w:color="auto"/>
              <w:left w:val="single" w:sz="4" w:space="0" w:color="auto"/>
              <w:bottom w:val="single" w:sz="4" w:space="0" w:color="auto"/>
              <w:right w:val="single" w:sz="4" w:space="0" w:color="auto"/>
            </w:tcBorders>
            <w:hideMark/>
          </w:tcPr>
          <w:p w14:paraId="1D96DE30" w14:textId="324CEB7F" w:rsidR="002B37E9" w:rsidRPr="00140923" w:rsidRDefault="00C33899" w:rsidP="00226764">
            <w:pPr>
              <w:pStyle w:val="Tabletext"/>
              <w:jc w:val="center"/>
              <w:rPr>
                <w:lang w:val="es-ES_tradnl" w:eastAsia="ja-JP"/>
              </w:rPr>
            </w:pPr>
            <w:r w:rsidRPr="00C33899">
              <w:rPr>
                <w:lang w:val="es-ES_tradnl"/>
              </w:rPr>
              <w:t>−</w:t>
            </w:r>
            <w:r w:rsidR="002B37E9" w:rsidRPr="00140923">
              <w:rPr>
                <w:lang w:val="es-ES_tradnl" w:eastAsia="ja-JP"/>
              </w:rPr>
              <w:t>137</w:t>
            </w:r>
            <w:r w:rsidR="002B37E9" w:rsidRPr="00140923">
              <w:rPr>
                <w:lang w:val="es-ES_tradnl"/>
              </w:rPr>
              <w:t xml:space="preserve"> +</w:t>
            </w:r>
            <w:r w:rsidR="002B37E9" w:rsidRPr="00140923">
              <w:rPr>
                <w:i/>
                <w:lang w:val="es-ES_tradnl"/>
              </w:rPr>
              <w:t xml:space="preserve"> I</w:t>
            </w:r>
            <w:r w:rsidR="002B37E9" w:rsidRPr="00140923">
              <w:rPr>
                <w:iCs/>
                <w:lang w:val="es-ES_tradnl"/>
              </w:rPr>
              <w:t>/</w:t>
            </w:r>
            <w:r w:rsidR="002B37E9" w:rsidRPr="00140923">
              <w:rPr>
                <w:i/>
                <w:lang w:val="es-ES_tradnl"/>
              </w:rPr>
              <w:t>N</w:t>
            </w:r>
          </w:p>
        </w:tc>
      </w:tr>
      <w:tr w:rsidR="002B37E9" w:rsidRPr="00140923" w14:paraId="4DAA6C4F" w14:textId="77777777" w:rsidTr="00C33899">
        <w:trPr>
          <w:trHeight w:val="199"/>
          <w:jc w:val="center"/>
        </w:trPr>
        <w:tc>
          <w:tcPr>
            <w:tcW w:w="13607" w:type="dxa"/>
            <w:gridSpan w:val="4"/>
            <w:tcBorders>
              <w:top w:val="single" w:sz="4" w:space="0" w:color="auto"/>
              <w:left w:val="nil"/>
              <w:bottom w:val="nil"/>
              <w:right w:val="nil"/>
            </w:tcBorders>
            <w:tcMar>
              <w:top w:w="0" w:type="dxa"/>
              <w:left w:w="57" w:type="dxa"/>
              <w:bottom w:w="0" w:type="dxa"/>
              <w:right w:w="57" w:type="dxa"/>
            </w:tcMar>
            <w:vAlign w:val="center"/>
          </w:tcPr>
          <w:p w14:paraId="252BBE37" w14:textId="77777777" w:rsidR="002B37E9" w:rsidRPr="00140923" w:rsidRDefault="002B37E9" w:rsidP="00226764">
            <w:pPr>
              <w:pStyle w:val="Tablelegend"/>
              <w:ind w:left="341" w:right="-28"/>
              <w:rPr>
                <w:lang w:val="es-ES_tradnl"/>
              </w:rPr>
            </w:pPr>
            <w:r w:rsidRPr="00140923">
              <w:rPr>
                <w:vertAlign w:val="superscript"/>
                <w:lang w:val="es-ES_tradnl"/>
              </w:rPr>
              <w:t>(1)</w:t>
            </w:r>
            <w:r w:rsidRPr="00140923">
              <w:rPr>
                <w:lang w:val="es-ES_tradnl"/>
              </w:rPr>
              <w:tab/>
              <w:t xml:space="preserve">Para calcular los valores de las densidades del transmisor y de la p.i.r.e., es preciso determinar la separación entre canales y la anchura de banda. En estos Cuadros, la separación entre canales se indica en </w:t>
            </w:r>
            <w:r w:rsidRPr="00140923">
              <w:rPr>
                <w:b/>
                <w:bCs/>
                <w:lang w:val="es-ES_tradnl"/>
              </w:rPr>
              <w:t>negritas</w:t>
            </w:r>
            <w:r w:rsidRPr="00140923">
              <w:rPr>
                <w:lang w:val="es-ES_tradnl"/>
              </w:rPr>
              <w:t>.</w:t>
            </w:r>
          </w:p>
          <w:p w14:paraId="1A2D0F23" w14:textId="77777777" w:rsidR="002B37E9" w:rsidRPr="00140923" w:rsidRDefault="002B37E9" w:rsidP="00226764">
            <w:pPr>
              <w:pStyle w:val="Tablelegend"/>
              <w:ind w:left="341" w:right="-28"/>
              <w:rPr>
                <w:lang w:val="es-ES_tradnl"/>
              </w:rPr>
            </w:pPr>
            <w:r w:rsidRPr="00140923">
              <w:rPr>
                <w:vertAlign w:val="superscript"/>
                <w:lang w:val="es-ES_tradnl"/>
              </w:rPr>
              <w:t>(2)</w:t>
            </w:r>
            <w:r w:rsidRPr="00140923">
              <w:rPr>
                <w:lang w:val="es-ES_tradnl"/>
              </w:rPr>
              <w:tab/>
              <w:t>La densidad de potencia de interferencia a largo plazo nominal se define como la «densidad de potencia de ruido del receptor + (I/N requerida)» según se describe en el § 4.13 del Anexo 2 (véase asimismo el § 4.1 del Anexo 1).</w:t>
            </w:r>
          </w:p>
        </w:tc>
      </w:tr>
    </w:tbl>
    <w:p w14:paraId="1E09EE30" w14:textId="77777777" w:rsidR="002B37E9" w:rsidRPr="00140923" w:rsidRDefault="002B37E9" w:rsidP="002B37E9">
      <w:pPr>
        <w:pStyle w:val="Tablefin"/>
        <w:rPr>
          <w:lang w:val="es-ES_tradnl"/>
        </w:rPr>
      </w:pPr>
    </w:p>
    <w:p w14:paraId="7E0378F5" w14:textId="77777777" w:rsidR="002B37E9" w:rsidRPr="00140923" w:rsidRDefault="002B37E9" w:rsidP="002B37E9">
      <w:pPr>
        <w:rPr>
          <w:lang w:val="es-ES_tradnl"/>
        </w:rPr>
      </w:pPr>
    </w:p>
    <w:p w14:paraId="664440D1" w14:textId="77777777" w:rsidR="002B37E9" w:rsidRPr="00140923" w:rsidRDefault="002B37E9" w:rsidP="002B37E9">
      <w:pPr>
        <w:tabs>
          <w:tab w:val="clear" w:pos="794"/>
          <w:tab w:val="clear" w:pos="1191"/>
          <w:tab w:val="clear" w:pos="1588"/>
          <w:tab w:val="clear" w:pos="1985"/>
        </w:tabs>
        <w:overflowPunct/>
        <w:autoSpaceDE/>
        <w:autoSpaceDN/>
        <w:adjustRightInd/>
        <w:spacing w:before="0"/>
        <w:jc w:val="left"/>
        <w:rPr>
          <w:sz w:val="20"/>
          <w:lang w:val="es-ES_tradnl"/>
        </w:rPr>
        <w:sectPr w:rsidR="002B37E9" w:rsidRPr="00140923" w:rsidSect="00D23F34">
          <w:headerReference w:type="even" r:id="rId124"/>
          <w:headerReference w:type="default" r:id="rId125"/>
          <w:pgSz w:w="16834" w:h="11907" w:orient="landscape"/>
          <w:pgMar w:top="1134" w:right="1418" w:bottom="1134" w:left="1134" w:header="720" w:footer="482" w:gutter="0"/>
          <w:cols w:space="720"/>
        </w:sectPr>
      </w:pPr>
    </w:p>
    <w:p w14:paraId="63778ED4" w14:textId="733BBE2F" w:rsidR="002B37E9" w:rsidRPr="00140923" w:rsidRDefault="002B37E9" w:rsidP="002B37E9">
      <w:pPr>
        <w:pStyle w:val="TableNo"/>
        <w:spacing w:before="0"/>
        <w:rPr>
          <w:lang w:val="es-ES_tradnl" w:eastAsia="ja-JP"/>
        </w:rPr>
      </w:pPr>
      <w:r w:rsidRPr="00140923">
        <w:rPr>
          <w:lang w:val="es-ES_tradnl"/>
        </w:rPr>
        <w:lastRenderedPageBreak/>
        <w:t xml:space="preserve">CUADRO </w:t>
      </w:r>
      <w:r w:rsidRPr="00140923">
        <w:rPr>
          <w:lang w:val="es-ES_tradnl" w:eastAsia="ja-JP"/>
        </w:rPr>
        <w:t>20</w:t>
      </w:r>
      <w:r w:rsidR="00C33899" w:rsidRPr="00257993">
        <w:rPr>
          <w:vertAlign w:val="superscript"/>
        </w:rPr>
        <w:t>(*)</w:t>
      </w:r>
    </w:p>
    <w:p w14:paraId="7CAF5359" w14:textId="77777777" w:rsidR="002B37E9" w:rsidRPr="00140923" w:rsidRDefault="002B37E9" w:rsidP="002B37E9">
      <w:pPr>
        <w:pStyle w:val="Tabletitle"/>
        <w:rPr>
          <w:lang w:val="es-ES_tradnl" w:eastAsia="ja-JP"/>
        </w:rPr>
      </w:pPr>
      <w:r w:rsidRPr="00140923">
        <w:rPr>
          <w:lang w:val="es-ES_tradnl" w:eastAsia="ja-JP"/>
        </w:rPr>
        <w:t>Parámetros de sistema para los sistemas punto a multipunto del servicio fijo</w:t>
      </w:r>
      <w:r w:rsidRPr="00140923">
        <w:rPr>
          <w:lang w:val="es-ES_tradnl" w:eastAsia="ja-JP"/>
        </w:rPr>
        <w:br/>
        <w:t>en bandas atribuidas por debajo de</w:t>
      </w:r>
      <w:r w:rsidRPr="00140923">
        <w:rPr>
          <w:lang w:val="es-ES_tradnl"/>
        </w:rPr>
        <w:t xml:space="preserve"> 1</w:t>
      </w:r>
      <w:r w:rsidRPr="00140923">
        <w:rPr>
          <w:lang w:val="es-ES_tradnl" w:eastAsia="ja-JP"/>
        </w:rPr>
        <w:t>1</w:t>
      </w:r>
      <w:r w:rsidRPr="00140923">
        <w:rPr>
          <w:lang w:val="es-ES_tradnl"/>
        </w:rPr>
        <w:t xml:space="preserve">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2409"/>
        <w:gridCol w:w="2697"/>
      </w:tblGrid>
      <w:tr w:rsidR="002B37E9" w:rsidRPr="00140923" w14:paraId="39BBBE5A" w14:textId="77777777" w:rsidTr="00226764">
        <w:trPr>
          <w:cantSplit/>
          <w:jc w:val="center"/>
        </w:trPr>
        <w:tc>
          <w:tcPr>
            <w:tcW w:w="4533" w:type="dxa"/>
            <w:tcBorders>
              <w:top w:val="single" w:sz="4" w:space="0" w:color="auto"/>
              <w:left w:val="single" w:sz="4" w:space="0" w:color="auto"/>
              <w:bottom w:val="single" w:sz="4" w:space="0" w:color="auto"/>
              <w:right w:val="single" w:sz="4" w:space="0" w:color="auto"/>
            </w:tcBorders>
            <w:vAlign w:val="center"/>
            <w:hideMark/>
          </w:tcPr>
          <w:p w14:paraId="6D1D7298" w14:textId="77777777" w:rsidR="002B37E9" w:rsidRPr="00140923" w:rsidRDefault="002B37E9" w:rsidP="00226764">
            <w:pPr>
              <w:pStyle w:val="Tablehead"/>
              <w:rPr>
                <w:lang w:val="es-ES_tradnl"/>
              </w:rPr>
            </w:pPr>
            <w:r w:rsidRPr="00140923">
              <w:rPr>
                <w:lang w:val="es-ES_tradnl"/>
              </w:rPr>
              <w:t xml:space="preserve">Gama de frecuencias </w:t>
            </w:r>
            <w:r w:rsidRPr="00140923">
              <w:rPr>
                <w:lang w:val="es-ES_tradnl"/>
              </w:rPr>
              <w:br/>
              <w:t>(GHz)</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14:paraId="1DC21566" w14:textId="77777777" w:rsidR="002B37E9" w:rsidRPr="00140923" w:rsidRDefault="002B37E9" w:rsidP="00226764">
            <w:pPr>
              <w:pStyle w:val="Tablehead"/>
              <w:rPr>
                <w:lang w:val="es-ES_tradnl"/>
              </w:rPr>
            </w:pPr>
            <w:r w:rsidRPr="00140923">
              <w:rPr>
                <w:lang w:val="es-ES_tradnl"/>
              </w:rPr>
              <w:t>1,35-2,69</w:t>
            </w:r>
            <w:r w:rsidRPr="00140923">
              <w:rPr>
                <w:lang w:val="es-ES_tradnl"/>
              </w:rPr>
              <w:br/>
              <w:t>(subbandas 1,35-2,5)</w:t>
            </w:r>
          </w:p>
        </w:tc>
      </w:tr>
      <w:tr w:rsidR="002B37E9" w:rsidRPr="00140923" w14:paraId="6592C824" w14:textId="77777777" w:rsidTr="00226764">
        <w:trPr>
          <w:cantSplit/>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82436E" w14:textId="77777777" w:rsidR="002B37E9" w:rsidRPr="00140923" w:rsidRDefault="002B37E9" w:rsidP="00226764">
            <w:pPr>
              <w:pStyle w:val="Tabletext"/>
              <w:jc w:val="left"/>
              <w:rPr>
                <w:lang w:val="es-ES_tradnl"/>
              </w:rPr>
            </w:pPr>
            <w:r w:rsidRPr="00140923">
              <w:rPr>
                <w:lang w:val="es-ES_tradnl"/>
              </w:rPr>
              <w:t>Recomendación UIT-R de referencia</w:t>
            </w:r>
          </w:p>
        </w:tc>
        <w:tc>
          <w:tcPr>
            <w:tcW w:w="5106" w:type="dxa"/>
            <w:gridSpan w:val="2"/>
            <w:tcBorders>
              <w:top w:val="single" w:sz="4" w:space="0" w:color="auto"/>
              <w:left w:val="single" w:sz="4" w:space="0" w:color="auto"/>
              <w:bottom w:val="single" w:sz="4" w:space="0" w:color="auto"/>
              <w:right w:val="single" w:sz="4" w:space="0" w:color="auto"/>
            </w:tcBorders>
            <w:hideMark/>
          </w:tcPr>
          <w:p w14:paraId="0A61D0C5" w14:textId="77777777" w:rsidR="002B37E9" w:rsidRPr="00140923" w:rsidRDefault="002B37E9" w:rsidP="00226764">
            <w:pPr>
              <w:pStyle w:val="Tabletext"/>
              <w:jc w:val="center"/>
              <w:rPr>
                <w:lang w:val="es-ES_tradnl"/>
              </w:rPr>
            </w:pPr>
            <w:r w:rsidRPr="00140923">
              <w:rPr>
                <w:lang w:val="es-ES_tradnl"/>
              </w:rPr>
              <w:t>F.701</w:t>
            </w:r>
          </w:p>
        </w:tc>
      </w:tr>
      <w:tr w:rsidR="002B37E9" w:rsidRPr="00140923" w14:paraId="7B63C53F" w14:textId="77777777" w:rsidTr="00226764">
        <w:trPr>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14FE38" w14:textId="77777777" w:rsidR="002B37E9" w:rsidRPr="00140923" w:rsidRDefault="002B37E9" w:rsidP="00226764">
            <w:pPr>
              <w:pStyle w:val="Tabletext"/>
              <w:jc w:val="left"/>
              <w:rPr>
                <w:lang w:val="es-ES_tradnl"/>
              </w:rPr>
            </w:pPr>
            <w:r w:rsidRPr="00140923">
              <w:rPr>
                <w:lang w:val="es-ES_tradnl"/>
              </w:rPr>
              <w:t xml:space="preserve">Formato de modulación </w:t>
            </w:r>
          </w:p>
        </w:tc>
        <w:tc>
          <w:tcPr>
            <w:tcW w:w="2409" w:type="dxa"/>
            <w:tcBorders>
              <w:top w:val="single" w:sz="4" w:space="0" w:color="auto"/>
              <w:left w:val="single" w:sz="4" w:space="0" w:color="auto"/>
              <w:bottom w:val="single" w:sz="4" w:space="0" w:color="auto"/>
              <w:right w:val="single" w:sz="4" w:space="0" w:color="auto"/>
            </w:tcBorders>
            <w:hideMark/>
          </w:tcPr>
          <w:p w14:paraId="7F698ED2" w14:textId="77777777" w:rsidR="002B37E9" w:rsidRPr="00140923" w:rsidRDefault="002B37E9" w:rsidP="00226764">
            <w:pPr>
              <w:pStyle w:val="Tabletext"/>
              <w:jc w:val="center"/>
              <w:rPr>
                <w:lang w:val="es-ES_tradnl"/>
              </w:rPr>
            </w:pPr>
            <w:r w:rsidRPr="00140923">
              <w:rPr>
                <w:lang w:val="es-ES_tradnl"/>
              </w:rPr>
              <w:t>Estaciones centrales MDP-4</w:t>
            </w:r>
            <w:r w:rsidRPr="00140923">
              <w:rPr>
                <w:vertAlign w:val="superscript"/>
                <w:lang w:val="es-ES_tradnl"/>
              </w:rPr>
              <w:t>(3)</w:t>
            </w:r>
          </w:p>
        </w:tc>
        <w:tc>
          <w:tcPr>
            <w:tcW w:w="2697" w:type="dxa"/>
            <w:tcBorders>
              <w:top w:val="single" w:sz="4" w:space="0" w:color="auto"/>
              <w:left w:val="single" w:sz="4" w:space="0" w:color="auto"/>
              <w:bottom w:val="single" w:sz="4" w:space="0" w:color="auto"/>
              <w:right w:val="single" w:sz="4" w:space="0" w:color="auto"/>
            </w:tcBorders>
            <w:hideMark/>
          </w:tcPr>
          <w:p w14:paraId="0F98FE63" w14:textId="77777777" w:rsidR="002B37E9" w:rsidRPr="00140923" w:rsidRDefault="002B37E9" w:rsidP="00226764">
            <w:pPr>
              <w:pStyle w:val="Tabletext"/>
              <w:jc w:val="center"/>
              <w:rPr>
                <w:lang w:val="es-ES_tradnl"/>
              </w:rPr>
            </w:pPr>
            <w:r w:rsidRPr="00140923">
              <w:rPr>
                <w:lang w:val="es-ES_tradnl"/>
              </w:rPr>
              <w:t>Estaciones terminales MDP-4</w:t>
            </w:r>
            <w:r w:rsidRPr="00140923">
              <w:rPr>
                <w:vertAlign w:val="superscript"/>
                <w:lang w:val="es-ES_tradnl"/>
              </w:rPr>
              <w:t>(3)</w:t>
            </w:r>
          </w:p>
        </w:tc>
      </w:tr>
      <w:tr w:rsidR="002B37E9" w:rsidRPr="00140923" w14:paraId="1B018A8D" w14:textId="77777777" w:rsidTr="00226764">
        <w:trPr>
          <w:cantSplit/>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D930550" w14:textId="77777777" w:rsidR="002B37E9" w:rsidRPr="00140923" w:rsidRDefault="002B37E9" w:rsidP="00226764">
            <w:pPr>
              <w:pStyle w:val="Tabletext"/>
              <w:jc w:val="left"/>
              <w:rPr>
                <w:lang w:val="es-ES_tradnl"/>
              </w:rPr>
            </w:pPr>
            <w:r w:rsidRPr="00140923">
              <w:rPr>
                <w:lang w:val="es-ES_tradnl"/>
              </w:rPr>
              <w:t>Separación de canales y anchura de banda de ruido del receptor (MHz)</w:t>
            </w:r>
          </w:p>
        </w:tc>
        <w:tc>
          <w:tcPr>
            <w:tcW w:w="2409" w:type="dxa"/>
            <w:tcBorders>
              <w:top w:val="single" w:sz="4" w:space="0" w:color="auto"/>
              <w:left w:val="single" w:sz="4" w:space="0" w:color="auto"/>
              <w:bottom w:val="single" w:sz="4" w:space="0" w:color="auto"/>
              <w:right w:val="single" w:sz="4" w:space="0" w:color="auto"/>
            </w:tcBorders>
            <w:hideMark/>
          </w:tcPr>
          <w:p w14:paraId="4C3F989E" w14:textId="77777777" w:rsidR="002B37E9" w:rsidRPr="00140923" w:rsidRDefault="002B37E9" w:rsidP="00226764">
            <w:pPr>
              <w:pStyle w:val="Tabletext"/>
              <w:jc w:val="center"/>
              <w:rPr>
                <w:lang w:val="es-ES_tradnl"/>
              </w:rPr>
            </w:pPr>
            <w:r w:rsidRPr="00140923">
              <w:rPr>
                <w:lang w:val="es-ES_tradnl"/>
              </w:rPr>
              <w:t>2; 3,5</w:t>
            </w:r>
            <w:r w:rsidRPr="00140923">
              <w:rPr>
                <w:vertAlign w:val="superscript"/>
                <w:lang w:val="es-ES_tradnl"/>
              </w:rPr>
              <w:t>(4)</w:t>
            </w:r>
          </w:p>
        </w:tc>
        <w:tc>
          <w:tcPr>
            <w:tcW w:w="2697" w:type="dxa"/>
            <w:tcBorders>
              <w:top w:val="single" w:sz="4" w:space="0" w:color="auto"/>
              <w:left w:val="single" w:sz="4" w:space="0" w:color="auto"/>
              <w:bottom w:val="single" w:sz="4" w:space="0" w:color="auto"/>
              <w:right w:val="single" w:sz="4" w:space="0" w:color="auto"/>
            </w:tcBorders>
            <w:hideMark/>
          </w:tcPr>
          <w:p w14:paraId="3ECEB4F9" w14:textId="77777777" w:rsidR="002B37E9" w:rsidRPr="00140923" w:rsidRDefault="002B37E9" w:rsidP="00226764">
            <w:pPr>
              <w:pStyle w:val="Tabletext"/>
              <w:jc w:val="center"/>
              <w:rPr>
                <w:lang w:val="es-ES_tradnl"/>
              </w:rPr>
            </w:pPr>
            <w:r w:rsidRPr="00140923">
              <w:rPr>
                <w:lang w:val="es-ES_tradnl"/>
              </w:rPr>
              <w:t>2; 3,5</w:t>
            </w:r>
            <w:r w:rsidRPr="00140923">
              <w:rPr>
                <w:vertAlign w:val="superscript"/>
                <w:lang w:val="es-ES_tradnl"/>
              </w:rPr>
              <w:t>(4)</w:t>
            </w:r>
          </w:p>
        </w:tc>
      </w:tr>
      <w:tr w:rsidR="002B37E9" w:rsidRPr="00140923" w14:paraId="10EFFE4C" w14:textId="77777777" w:rsidTr="00226764">
        <w:trPr>
          <w:cantSplit/>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2D11C0" w14:textId="77777777" w:rsidR="002B37E9" w:rsidRPr="00140923" w:rsidRDefault="002B37E9" w:rsidP="00226764">
            <w:pPr>
              <w:pStyle w:val="Tabletext"/>
              <w:jc w:val="left"/>
              <w:rPr>
                <w:lang w:val="es-ES_tradnl"/>
              </w:rPr>
            </w:pPr>
            <w:r w:rsidRPr="00140923">
              <w:rPr>
                <w:lang w:val="es-ES_tradnl"/>
              </w:rPr>
              <w:t>Gama máxima de potencia de salida del transmisor (dBW)</w:t>
            </w:r>
          </w:p>
        </w:tc>
        <w:tc>
          <w:tcPr>
            <w:tcW w:w="2409" w:type="dxa"/>
            <w:tcBorders>
              <w:top w:val="single" w:sz="4" w:space="0" w:color="auto"/>
              <w:left w:val="single" w:sz="4" w:space="0" w:color="auto"/>
              <w:bottom w:val="single" w:sz="4" w:space="0" w:color="auto"/>
              <w:right w:val="single" w:sz="4" w:space="0" w:color="auto"/>
            </w:tcBorders>
            <w:hideMark/>
          </w:tcPr>
          <w:p w14:paraId="4D0EB403" w14:textId="77777777" w:rsidR="002B37E9" w:rsidRPr="00140923" w:rsidRDefault="002B37E9" w:rsidP="00226764">
            <w:pPr>
              <w:pStyle w:val="Tabletext"/>
              <w:jc w:val="center"/>
              <w:rPr>
                <w:lang w:val="es-ES_tradnl"/>
              </w:rPr>
            </w:pPr>
            <w:r w:rsidRPr="00140923">
              <w:rPr>
                <w:lang w:val="es-ES_tradnl"/>
              </w:rPr>
              <w:t>0…7</w:t>
            </w:r>
          </w:p>
        </w:tc>
        <w:tc>
          <w:tcPr>
            <w:tcW w:w="2697" w:type="dxa"/>
            <w:tcBorders>
              <w:top w:val="single" w:sz="4" w:space="0" w:color="auto"/>
              <w:left w:val="single" w:sz="4" w:space="0" w:color="auto"/>
              <w:bottom w:val="single" w:sz="4" w:space="0" w:color="auto"/>
              <w:right w:val="single" w:sz="4" w:space="0" w:color="auto"/>
            </w:tcBorders>
            <w:hideMark/>
          </w:tcPr>
          <w:p w14:paraId="481CB8F2" w14:textId="77777777" w:rsidR="002B37E9" w:rsidRPr="00140923" w:rsidRDefault="002B37E9" w:rsidP="00226764">
            <w:pPr>
              <w:pStyle w:val="Tabletext"/>
              <w:jc w:val="center"/>
              <w:rPr>
                <w:lang w:val="es-ES_tradnl"/>
              </w:rPr>
            </w:pPr>
            <w:r w:rsidRPr="00140923">
              <w:rPr>
                <w:lang w:val="es-ES_tradnl"/>
              </w:rPr>
              <w:t>0…7</w:t>
            </w:r>
          </w:p>
        </w:tc>
      </w:tr>
      <w:tr w:rsidR="002B37E9" w:rsidRPr="00140923" w14:paraId="245C8055" w14:textId="77777777" w:rsidTr="00226764">
        <w:trPr>
          <w:cantSplit/>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FB700A" w14:textId="77777777" w:rsidR="002B37E9" w:rsidRPr="00140923" w:rsidRDefault="002B37E9" w:rsidP="00226764">
            <w:pPr>
              <w:pStyle w:val="Tabletext"/>
              <w:jc w:val="left"/>
              <w:rPr>
                <w:lang w:val="es-ES_tradnl"/>
              </w:rPr>
            </w:pPr>
            <w:r w:rsidRPr="00140923">
              <w:rPr>
                <w:lang w:val="es-ES_tradnl"/>
              </w:rPr>
              <w:t>Gama máxima de densidad de potencia de salida del transmisor (dBW/MHz)</w:t>
            </w:r>
            <w:r w:rsidRPr="00140923">
              <w:rPr>
                <w:vertAlign w:val="superscript"/>
                <w:lang w:val="es-ES_tradnl"/>
              </w:rPr>
              <w:t>(1)</w:t>
            </w:r>
          </w:p>
        </w:tc>
        <w:tc>
          <w:tcPr>
            <w:tcW w:w="2409" w:type="dxa"/>
            <w:tcBorders>
              <w:top w:val="single" w:sz="4" w:space="0" w:color="auto"/>
              <w:left w:val="single" w:sz="4" w:space="0" w:color="auto"/>
              <w:bottom w:val="single" w:sz="4" w:space="0" w:color="auto"/>
              <w:right w:val="single" w:sz="4" w:space="0" w:color="auto"/>
            </w:tcBorders>
            <w:hideMark/>
          </w:tcPr>
          <w:p w14:paraId="060625F3" w14:textId="77777777" w:rsidR="002B37E9" w:rsidRPr="00140923" w:rsidRDefault="002B37E9" w:rsidP="00226764">
            <w:pPr>
              <w:pStyle w:val="Tabletext"/>
              <w:jc w:val="center"/>
              <w:rPr>
                <w:lang w:val="es-ES_tradnl"/>
              </w:rPr>
            </w:pPr>
            <w:r w:rsidRPr="00140923">
              <w:rPr>
                <w:lang w:val="es-ES_tradnl"/>
              </w:rPr>
              <w:t>−3,0…1,6</w:t>
            </w:r>
          </w:p>
        </w:tc>
        <w:tc>
          <w:tcPr>
            <w:tcW w:w="2697" w:type="dxa"/>
            <w:tcBorders>
              <w:top w:val="single" w:sz="4" w:space="0" w:color="auto"/>
              <w:left w:val="single" w:sz="4" w:space="0" w:color="auto"/>
              <w:bottom w:val="single" w:sz="4" w:space="0" w:color="auto"/>
              <w:right w:val="single" w:sz="4" w:space="0" w:color="auto"/>
            </w:tcBorders>
            <w:hideMark/>
          </w:tcPr>
          <w:p w14:paraId="34EA877C" w14:textId="77777777" w:rsidR="002B37E9" w:rsidRPr="00140923" w:rsidRDefault="002B37E9" w:rsidP="00226764">
            <w:pPr>
              <w:pStyle w:val="Tabletext"/>
              <w:jc w:val="center"/>
              <w:rPr>
                <w:lang w:val="es-ES_tradnl"/>
              </w:rPr>
            </w:pPr>
            <w:r w:rsidRPr="00140923">
              <w:rPr>
                <w:lang w:val="es-ES_tradnl"/>
              </w:rPr>
              <w:t>−3,0…1,6</w:t>
            </w:r>
          </w:p>
        </w:tc>
      </w:tr>
      <w:tr w:rsidR="002B37E9" w:rsidRPr="00140923" w14:paraId="34C67FC2" w14:textId="77777777" w:rsidTr="00226764">
        <w:trPr>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B40005" w14:textId="77777777" w:rsidR="002B37E9" w:rsidRPr="00140923" w:rsidRDefault="002B37E9" w:rsidP="00226764">
            <w:pPr>
              <w:pStyle w:val="Tabletext"/>
              <w:jc w:val="left"/>
              <w:rPr>
                <w:lang w:val="es-ES_tradnl"/>
              </w:rPr>
            </w:pPr>
            <w:r w:rsidRPr="00140923">
              <w:rPr>
                <w:lang w:val="es-ES_tradnl"/>
              </w:rPr>
              <w:t>Gama mínima de pérdida del alimentador/</w:t>
            </w:r>
            <w:r w:rsidRPr="00140923">
              <w:rPr>
                <w:lang w:val="es-ES_tradnl"/>
              </w:rPr>
              <w:br/>
              <w:t xml:space="preserve">multiplexor (dB) </w:t>
            </w:r>
          </w:p>
        </w:tc>
        <w:tc>
          <w:tcPr>
            <w:tcW w:w="2409" w:type="dxa"/>
            <w:tcBorders>
              <w:top w:val="single" w:sz="4" w:space="0" w:color="auto"/>
              <w:left w:val="single" w:sz="4" w:space="0" w:color="auto"/>
              <w:bottom w:val="single" w:sz="4" w:space="0" w:color="auto"/>
              <w:right w:val="single" w:sz="4" w:space="0" w:color="auto"/>
            </w:tcBorders>
            <w:hideMark/>
          </w:tcPr>
          <w:p w14:paraId="137169B4" w14:textId="77777777" w:rsidR="002B37E9" w:rsidRPr="00140923" w:rsidRDefault="002B37E9" w:rsidP="00226764">
            <w:pPr>
              <w:pStyle w:val="Tabletext"/>
              <w:jc w:val="center"/>
              <w:rPr>
                <w:lang w:val="es-ES_tradnl"/>
              </w:rPr>
            </w:pPr>
            <w:r w:rsidRPr="00140923">
              <w:rPr>
                <w:lang w:val="es-ES_tradnl"/>
              </w:rPr>
              <w:t>0…4,4</w:t>
            </w:r>
          </w:p>
        </w:tc>
        <w:tc>
          <w:tcPr>
            <w:tcW w:w="2697" w:type="dxa"/>
            <w:tcBorders>
              <w:top w:val="single" w:sz="4" w:space="0" w:color="auto"/>
              <w:left w:val="single" w:sz="4" w:space="0" w:color="auto"/>
              <w:bottom w:val="single" w:sz="4" w:space="0" w:color="auto"/>
              <w:right w:val="single" w:sz="4" w:space="0" w:color="auto"/>
            </w:tcBorders>
            <w:hideMark/>
          </w:tcPr>
          <w:p w14:paraId="00F0E67A" w14:textId="77777777" w:rsidR="002B37E9" w:rsidRPr="00140923" w:rsidRDefault="002B37E9" w:rsidP="00226764">
            <w:pPr>
              <w:pStyle w:val="Tabletext"/>
              <w:jc w:val="center"/>
              <w:rPr>
                <w:lang w:val="es-ES_tradnl"/>
              </w:rPr>
            </w:pPr>
            <w:r w:rsidRPr="00140923">
              <w:rPr>
                <w:lang w:val="es-ES_tradnl"/>
              </w:rPr>
              <w:t>0…4</w:t>
            </w:r>
          </w:p>
        </w:tc>
      </w:tr>
      <w:tr w:rsidR="002B37E9" w:rsidRPr="00140923" w14:paraId="7E651519" w14:textId="77777777" w:rsidTr="00226764">
        <w:trPr>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1FFA1D" w14:textId="77777777" w:rsidR="002B37E9" w:rsidRPr="00140923" w:rsidRDefault="002B37E9" w:rsidP="00226764">
            <w:pPr>
              <w:pStyle w:val="Tabletext"/>
              <w:jc w:val="left"/>
              <w:rPr>
                <w:lang w:val="es-ES_tradnl"/>
              </w:rPr>
            </w:pPr>
            <w:r w:rsidRPr="00140923">
              <w:rPr>
                <w:lang w:val="es-ES_tradnl"/>
              </w:rPr>
              <w:t xml:space="preserve">Gama máxima de ganancia de la antena (dBi) </w:t>
            </w:r>
          </w:p>
        </w:tc>
        <w:tc>
          <w:tcPr>
            <w:tcW w:w="2409" w:type="dxa"/>
            <w:tcBorders>
              <w:top w:val="single" w:sz="4" w:space="0" w:color="auto"/>
              <w:left w:val="single" w:sz="4" w:space="0" w:color="auto"/>
              <w:bottom w:val="single" w:sz="4" w:space="0" w:color="auto"/>
              <w:right w:val="single" w:sz="4" w:space="0" w:color="auto"/>
            </w:tcBorders>
            <w:hideMark/>
          </w:tcPr>
          <w:p w14:paraId="6BCAF832" w14:textId="77777777" w:rsidR="002B37E9" w:rsidRPr="00140923" w:rsidRDefault="002B37E9" w:rsidP="00226764">
            <w:pPr>
              <w:pStyle w:val="Tabletext"/>
              <w:jc w:val="center"/>
              <w:rPr>
                <w:lang w:val="es-ES_tradnl"/>
              </w:rPr>
            </w:pPr>
            <w:r w:rsidRPr="00140923">
              <w:rPr>
                <w:lang w:val="es-ES_tradnl"/>
              </w:rPr>
              <w:t>13 (omnidireccional/</w:t>
            </w:r>
            <w:r w:rsidRPr="00140923">
              <w:rPr>
                <w:lang w:val="es-ES_tradnl"/>
              </w:rPr>
              <w:br/>
              <w:t>sectorial)…</w:t>
            </w:r>
            <w:r w:rsidRPr="00140923">
              <w:rPr>
                <w:lang w:val="es-ES_tradnl"/>
              </w:rPr>
              <w:br/>
              <w:t>17 (omnidireccional/</w:t>
            </w:r>
            <w:r w:rsidRPr="00140923">
              <w:rPr>
                <w:lang w:val="es-ES_tradnl"/>
              </w:rPr>
              <w:br/>
              <w:t>seccionada)</w:t>
            </w:r>
          </w:p>
        </w:tc>
        <w:tc>
          <w:tcPr>
            <w:tcW w:w="2697" w:type="dxa"/>
            <w:tcBorders>
              <w:top w:val="single" w:sz="4" w:space="0" w:color="auto"/>
              <w:left w:val="single" w:sz="4" w:space="0" w:color="auto"/>
              <w:bottom w:val="single" w:sz="4" w:space="0" w:color="auto"/>
              <w:right w:val="single" w:sz="4" w:space="0" w:color="auto"/>
            </w:tcBorders>
            <w:hideMark/>
          </w:tcPr>
          <w:p w14:paraId="64A08D99" w14:textId="77777777" w:rsidR="002B37E9" w:rsidRPr="00140923" w:rsidRDefault="002B37E9" w:rsidP="00226764">
            <w:pPr>
              <w:pStyle w:val="Tabletext"/>
              <w:jc w:val="center"/>
              <w:rPr>
                <w:lang w:val="es-ES_tradnl"/>
              </w:rPr>
            </w:pPr>
            <w:r w:rsidRPr="00140923">
              <w:rPr>
                <w:lang w:val="es-ES_tradnl"/>
              </w:rPr>
              <w:t>17,5 (yagi/bocina)… 27 (parabólica/bocina)</w:t>
            </w:r>
          </w:p>
        </w:tc>
      </w:tr>
      <w:tr w:rsidR="002B37E9" w:rsidRPr="00140923" w14:paraId="596A20A4" w14:textId="77777777" w:rsidTr="00226764">
        <w:trPr>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E75D37" w14:textId="77777777" w:rsidR="002B37E9" w:rsidRPr="00140923" w:rsidRDefault="002B37E9" w:rsidP="00226764">
            <w:pPr>
              <w:pStyle w:val="Tabletext"/>
              <w:jc w:val="left"/>
              <w:rPr>
                <w:lang w:val="es-ES_tradnl"/>
              </w:rPr>
            </w:pPr>
            <w:r w:rsidRPr="00140923">
              <w:rPr>
                <w:lang w:val="es-ES_tradnl"/>
              </w:rPr>
              <w:t xml:space="preserve">Gama máxima de la p.i.r.e. (dBW) </w:t>
            </w:r>
          </w:p>
        </w:tc>
        <w:tc>
          <w:tcPr>
            <w:tcW w:w="2409" w:type="dxa"/>
            <w:tcBorders>
              <w:top w:val="single" w:sz="4" w:space="0" w:color="auto"/>
              <w:left w:val="single" w:sz="4" w:space="0" w:color="auto"/>
              <w:bottom w:val="single" w:sz="4" w:space="0" w:color="auto"/>
              <w:right w:val="single" w:sz="4" w:space="0" w:color="auto"/>
            </w:tcBorders>
            <w:hideMark/>
          </w:tcPr>
          <w:p w14:paraId="74EFC7A4" w14:textId="77777777" w:rsidR="002B37E9" w:rsidRPr="00140923" w:rsidRDefault="002B37E9" w:rsidP="00226764">
            <w:pPr>
              <w:pStyle w:val="Tabletext"/>
              <w:jc w:val="center"/>
              <w:rPr>
                <w:lang w:val="es-ES_tradnl"/>
              </w:rPr>
            </w:pPr>
            <w:r w:rsidRPr="00140923">
              <w:rPr>
                <w:lang w:val="es-ES_tradnl"/>
              </w:rPr>
              <w:t>6…24</w:t>
            </w:r>
          </w:p>
        </w:tc>
        <w:tc>
          <w:tcPr>
            <w:tcW w:w="2697" w:type="dxa"/>
            <w:tcBorders>
              <w:top w:val="single" w:sz="4" w:space="0" w:color="auto"/>
              <w:left w:val="single" w:sz="4" w:space="0" w:color="auto"/>
              <w:bottom w:val="single" w:sz="4" w:space="0" w:color="auto"/>
              <w:right w:val="single" w:sz="4" w:space="0" w:color="auto"/>
            </w:tcBorders>
            <w:hideMark/>
          </w:tcPr>
          <w:p w14:paraId="2DCAD56A" w14:textId="77777777" w:rsidR="002B37E9" w:rsidRPr="00140923" w:rsidRDefault="002B37E9" w:rsidP="00226764">
            <w:pPr>
              <w:pStyle w:val="Tabletext"/>
              <w:jc w:val="center"/>
              <w:rPr>
                <w:lang w:val="es-ES_tradnl"/>
              </w:rPr>
            </w:pPr>
            <w:r w:rsidRPr="00140923">
              <w:rPr>
                <w:lang w:val="es-ES_tradnl"/>
              </w:rPr>
              <w:t>16…34</w:t>
            </w:r>
          </w:p>
        </w:tc>
      </w:tr>
      <w:tr w:rsidR="002B37E9" w:rsidRPr="00140923" w14:paraId="250A1799" w14:textId="77777777" w:rsidTr="00226764">
        <w:trPr>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7732B50" w14:textId="77777777" w:rsidR="002B37E9" w:rsidRPr="00140923" w:rsidRDefault="002B37E9" w:rsidP="00226764">
            <w:pPr>
              <w:pStyle w:val="Tabletext"/>
              <w:jc w:val="left"/>
              <w:rPr>
                <w:lang w:val="es-ES_tradnl"/>
              </w:rPr>
            </w:pPr>
            <w:r w:rsidRPr="00140923">
              <w:rPr>
                <w:lang w:val="es-ES_tradnl"/>
              </w:rPr>
              <w:t>Gama máxima de densidad de p.i.r.e. (dBW/MHz)</w:t>
            </w:r>
            <w:r w:rsidRPr="00140923">
              <w:rPr>
                <w:vertAlign w:val="superscript"/>
                <w:lang w:val="es-ES_tradnl"/>
              </w:rPr>
              <w:t>(1)</w:t>
            </w:r>
          </w:p>
        </w:tc>
        <w:tc>
          <w:tcPr>
            <w:tcW w:w="2409" w:type="dxa"/>
            <w:tcBorders>
              <w:top w:val="single" w:sz="4" w:space="0" w:color="auto"/>
              <w:left w:val="single" w:sz="4" w:space="0" w:color="auto"/>
              <w:bottom w:val="single" w:sz="4" w:space="0" w:color="auto"/>
              <w:right w:val="single" w:sz="4" w:space="0" w:color="auto"/>
            </w:tcBorders>
            <w:hideMark/>
          </w:tcPr>
          <w:p w14:paraId="78517FF0" w14:textId="77777777" w:rsidR="002B37E9" w:rsidRPr="00140923" w:rsidRDefault="002B37E9" w:rsidP="00226764">
            <w:pPr>
              <w:pStyle w:val="Tabletext"/>
              <w:jc w:val="center"/>
              <w:rPr>
                <w:lang w:val="es-ES_tradnl"/>
              </w:rPr>
            </w:pPr>
            <w:r w:rsidRPr="00140923">
              <w:rPr>
                <w:lang w:val="es-ES_tradnl"/>
              </w:rPr>
              <w:t>3,0…19</w:t>
            </w:r>
          </w:p>
        </w:tc>
        <w:tc>
          <w:tcPr>
            <w:tcW w:w="2697" w:type="dxa"/>
            <w:tcBorders>
              <w:top w:val="single" w:sz="4" w:space="0" w:color="auto"/>
              <w:left w:val="single" w:sz="4" w:space="0" w:color="auto"/>
              <w:bottom w:val="single" w:sz="4" w:space="0" w:color="auto"/>
              <w:right w:val="single" w:sz="4" w:space="0" w:color="auto"/>
            </w:tcBorders>
            <w:hideMark/>
          </w:tcPr>
          <w:p w14:paraId="69A61F42" w14:textId="77777777" w:rsidR="002B37E9" w:rsidRPr="00140923" w:rsidRDefault="002B37E9" w:rsidP="00226764">
            <w:pPr>
              <w:pStyle w:val="Tabletext"/>
              <w:jc w:val="center"/>
              <w:rPr>
                <w:lang w:val="es-ES_tradnl"/>
              </w:rPr>
            </w:pPr>
            <w:r w:rsidRPr="00140923">
              <w:rPr>
                <w:lang w:val="es-ES_tradnl"/>
              </w:rPr>
              <w:t>13…29</w:t>
            </w:r>
          </w:p>
        </w:tc>
      </w:tr>
      <w:tr w:rsidR="002B37E9" w:rsidRPr="00140923" w14:paraId="5D72D080" w14:textId="77777777" w:rsidTr="00226764">
        <w:trPr>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37FC49" w14:textId="77777777" w:rsidR="002B37E9" w:rsidRPr="00140923" w:rsidRDefault="002B37E9" w:rsidP="00226764">
            <w:pPr>
              <w:pStyle w:val="Tabletext"/>
              <w:jc w:val="left"/>
              <w:rPr>
                <w:lang w:val="es-ES_tradnl"/>
              </w:rPr>
            </w:pPr>
            <w:r w:rsidRPr="00140923">
              <w:rPr>
                <w:lang w:val="es-ES_tradnl"/>
              </w:rPr>
              <w:t xml:space="preserve">Factor de ruido del receptor (dB) </w:t>
            </w:r>
          </w:p>
        </w:tc>
        <w:tc>
          <w:tcPr>
            <w:tcW w:w="2409" w:type="dxa"/>
            <w:tcBorders>
              <w:top w:val="single" w:sz="4" w:space="0" w:color="auto"/>
              <w:left w:val="single" w:sz="4" w:space="0" w:color="auto"/>
              <w:bottom w:val="single" w:sz="4" w:space="0" w:color="auto"/>
              <w:right w:val="single" w:sz="4" w:space="0" w:color="auto"/>
            </w:tcBorders>
            <w:hideMark/>
          </w:tcPr>
          <w:p w14:paraId="71D63CBB" w14:textId="77777777" w:rsidR="002B37E9" w:rsidRPr="00140923" w:rsidRDefault="002B37E9" w:rsidP="00226764">
            <w:pPr>
              <w:pStyle w:val="Tabletext"/>
              <w:jc w:val="center"/>
              <w:rPr>
                <w:lang w:val="es-ES_tradnl"/>
              </w:rPr>
            </w:pPr>
            <w:r w:rsidRPr="00140923">
              <w:rPr>
                <w:lang w:val="es-ES_tradnl"/>
              </w:rPr>
              <w:t>3,5…4</w:t>
            </w:r>
          </w:p>
        </w:tc>
        <w:tc>
          <w:tcPr>
            <w:tcW w:w="2697" w:type="dxa"/>
            <w:tcBorders>
              <w:top w:val="single" w:sz="4" w:space="0" w:color="auto"/>
              <w:left w:val="single" w:sz="4" w:space="0" w:color="auto"/>
              <w:bottom w:val="single" w:sz="4" w:space="0" w:color="auto"/>
              <w:right w:val="single" w:sz="4" w:space="0" w:color="auto"/>
            </w:tcBorders>
            <w:hideMark/>
          </w:tcPr>
          <w:p w14:paraId="42E4C553" w14:textId="77777777" w:rsidR="002B37E9" w:rsidRPr="00140923" w:rsidRDefault="002B37E9" w:rsidP="00226764">
            <w:pPr>
              <w:pStyle w:val="Tabletext"/>
              <w:jc w:val="center"/>
              <w:rPr>
                <w:lang w:val="es-ES_tradnl"/>
              </w:rPr>
            </w:pPr>
            <w:r w:rsidRPr="00140923">
              <w:rPr>
                <w:lang w:val="es-ES_tradnl"/>
              </w:rPr>
              <w:t>3,5…4</w:t>
            </w:r>
          </w:p>
        </w:tc>
      </w:tr>
      <w:tr w:rsidR="002B37E9" w:rsidRPr="00140923" w14:paraId="2FFF8268" w14:textId="77777777" w:rsidTr="00226764">
        <w:trPr>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B5A60E" w14:textId="77777777" w:rsidR="002B37E9" w:rsidRPr="00140923" w:rsidRDefault="002B37E9" w:rsidP="00226764">
            <w:pPr>
              <w:pStyle w:val="Tabletext"/>
              <w:jc w:val="left"/>
              <w:rPr>
                <w:lang w:val="es-ES_tradnl"/>
              </w:rPr>
            </w:pPr>
            <w:r w:rsidRPr="00140923">
              <w:rPr>
                <w:lang w:val="es-ES_tradnl"/>
              </w:rPr>
              <w:t>Densidad de potencia de ruido típica del receptor (= </w:t>
            </w:r>
            <w:r w:rsidRPr="00140923">
              <w:rPr>
                <w:i/>
                <w:iCs/>
                <w:lang w:val="es-ES_tradnl"/>
              </w:rPr>
              <w:t>N</w:t>
            </w:r>
            <w:r w:rsidRPr="00140923">
              <w:rPr>
                <w:i/>
                <w:iCs/>
                <w:vertAlign w:val="subscript"/>
                <w:lang w:val="es-ES_tradnl"/>
              </w:rPr>
              <w:t>RX</w:t>
            </w:r>
            <w:r w:rsidRPr="00140923">
              <w:rPr>
                <w:lang w:val="es-ES_tradnl"/>
              </w:rPr>
              <w:t>) (dBW/MHz)</w:t>
            </w:r>
          </w:p>
        </w:tc>
        <w:tc>
          <w:tcPr>
            <w:tcW w:w="2409" w:type="dxa"/>
            <w:tcBorders>
              <w:top w:val="single" w:sz="4" w:space="0" w:color="auto"/>
              <w:left w:val="single" w:sz="4" w:space="0" w:color="auto"/>
              <w:bottom w:val="single" w:sz="4" w:space="0" w:color="auto"/>
              <w:right w:val="single" w:sz="4" w:space="0" w:color="auto"/>
            </w:tcBorders>
            <w:hideMark/>
          </w:tcPr>
          <w:p w14:paraId="0BB01B9D" w14:textId="3266C3F1" w:rsidR="002B37E9" w:rsidRPr="00140923" w:rsidRDefault="00C33899" w:rsidP="00226764">
            <w:pPr>
              <w:pStyle w:val="Tabletext"/>
              <w:jc w:val="center"/>
              <w:rPr>
                <w:lang w:val="es-ES_tradnl"/>
              </w:rPr>
            </w:pPr>
            <w:r w:rsidRPr="00140923">
              <w:rPr>
                <w:lang w:val="es-ES_tradnl"/>
              </w:rPr>
              <w:t>−</w:t>
            </w:r>
            <w:r w:rsidR="002B37E9" w:rsidRPr="00140923">
              <w:rPr>
                <w:lang w:val="es-ES_tradnl"/>
              </w:rPr>
              <w:t>140,5…</w:t>
            </w:r>
            <w:r w:rsidRPr="00140923">
              <w:rPr>
                <w:lang w:val="es-ES_tradnl"/>
              </w:rPr>
              <w:t>−</w:t>
            </w:r>
            <w:r w:rsidR="002B37E9" w:rsidRPr="00140923">
              <w:rPr>
                <w:lang w:val="es-ES_tradnl"/>
              </w:rPr>
              <w:t>140</w:t>
            </w:r>
          </w:p>
        </w:tc>
        <w:tc>
          <w:tcPr>
            <w:tcW w:w="2697" w:type="dxa"/>
            <w:tcBorders>
              <w:top w:val="single" w:sz="4" w:space="0" w:color="auto"/>
              <w:left w:val="single" w:sz="4" w:space="0" w:color="auto"/>
              <w:bottom w:val="single" w:sz="4" w:space="0" w:color="auto"/>
              <w:right w:val="single" w:sz="4" w:space="0" w:color="auto"/>
            </w:tcBorders>
            <w:hideMark/>
          </w:tcPr>
          <w:p w14:paraId="7E20162C" w14:textId="08ACD71E" w:rsidR="002B37E9" w:rsidRPr="00140923" w:rsidRDefault="00C33899" w:rsidP="00226764">
            <w:pPr>
              <w:pStyle w:val="Tabletext"/>
              <w:jc w:val="center"/>
              <w:rPr>
                <w:lang w:val="es-ES_tradnl"/>
              </w:rPr>
            </w:pPr>
            <w:r w:rsidRPr="00140923">
              <w:rPr>
                <w:lang w:val="es-ES_tradnl"/>
              </w:rPr>
              <w:t>−</w:t>
            </w:r>
            <w:r w:rsidR="002B37E9" w:rsidRPr="00140923">
              <w:rPr>
                <w:lang w:val="es-ES_tradnl"/>
              </w:rPr>
              <w:t>140,5…</w:t>
            </w:r>
            <w:r w:rsidRPr="00140923">
              <w:rPr>
                <w:lang w:val="es-ES_tradnl"/>
              </w:rPr>
              <w:t>−</w:t>
            </w:r>
            <w:r w:rsidR="002B37E9" w:rsidRPr="00140923">
              <w:rPr>
                <w:lang w:val="es-ES_tradnl"/>
              </w:rPr>
              <w:t>140</w:t>
            </w:r>
          </w:p>
        </w:tc>
      </w:tr>
      <w:tr w:rsidR="002B37E9" w:rsidRPr="00140923" w14:paraId="30DF327E" w14:textId="77777777" w:rsidTr="00226764">
        <w:trPr>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83AA353" w14:textId="364A0554" w:rsidR="002B37E9" w:rsidRPr="00140923" w:rsidRDefault="002B37E9" w:rsidP="00226764">
            <w:pPr>
              <w:pStyle w:val="Tabletext"/>
              <w:jc w:val="left"/>
              <w:rPr>
                <w:lang w:val="es-ES_tradnl"/>
              </w:rPr>
            </w:pPr>
            <w:r w:rsidRPr="00140923">
              <w:rPr>
                <w:lang w:val="es-ES_tradnl"/>
              </w:rPr>
              <w:t>Nivel de entrada normalizado del receptor para una BER de 1 × </w:t>
            </w:r>
            <w:r w:rsidR="00A941C1" w:rsidRPr="00140923">
              <w:rPr>
                <w:color w:val="000000"/>
                <w:lang w:val="es-ES_tradnl"/>
              </w:rPr>
              <w:t>10</w:t>
            </w:r>
            <w:r w:rsidR="00A941C1" w:rsidRPr="00A941C1">
              <w:rPr>
                <w:color w:val="000000"/>
                <w:vertAlign w:val="superscript"/>
                <w:lang w:val="es-ES_tradnl"/>
              </w:rPr>
              <w:t>−</w:t>
            </w:r>
            <w:r w:rsidR="00A941C1" w:rsidRPr="00140923">
              <w:rPr>
                <w:color w:val="000000"/>
                <w:vertAlign w:val="superscript"/>
                <w:lang w:val="es-ES_tradnl"/>
              </w:rPr>
              <w:t>6</w:t>
            </w:r>
            <w:r w:rsidRPr="00140923">
              <w:rPr>
                <w:lang w:val="es-ES_tradnl"/>
              </w:rPr>
              <w:t xml:space="preserve"> (dBW/MHz) </w:t>
            </w:r>
          </w:p>
        </w:tc>
        <w:tc>
          <w:tcPr>
            <w:tcW w:w="2409" w:type="dxa"/>
            <w:tcBorders>
              <w:top w:val="single" w:sz="4" w:space="0" w:color="auto"/>
              <w:left w:val="single" w:sz="4" w:space="0" w:color="auto"/>
              <w:bottom w:val="single" w:sz="4" w:space="0" w:color="auto"/>
              <w:right w:val="single" w:sz="4" w:space="0" w:color="auto"/>
            </w:tcBorders>
            <w:hideMark/>
          </w:tcPr>
          <w:p w14:paraId="7C98954B" w14:textId="6DC85651" w:rsidR="002B37E9" w:rsidRPr="00140923" w:rsidRDefault="00C33899" w:rsidP="00226764">
            <w:pPr>
              <w:pStyle w:val="Tabletext"/>
              <w:jc w:val="center"/>
              <w:rPr>
                <w:lang w:val="es-ES_tradnl"/>
              </w:rPr>
            </w:pPr>
            <w:r w:rsidRPr="00140923">
              <w:rPr>
                <w:lang w:val="es-ES_tradnl"/>
              </w:rPr>
              <w:t>−</w:t>
            </w:r>
            <w:r w:rsidR="002B37E9" w:rsidRPr="00140923">
              <w:rPr>
                <w:lang w:val="es-ES_tradnl"/>
              </w:rPr>
              <w:t>127…</w:t>
            </w:r>
            <w:r w:rsidRPr="00140923">
              <w:rPr>
                <w:lang w:val="es-ES_tradnl"/>
              </w:rPr>
              <w:t>−</w:t>
            </w:r>
            <w:r w:rsidR="002B37E9" w:rsidRPr="00140923">
              <w:rPr>
                <w:lang w:val="es-ES_tradnl"/>
              </w:rPr>
              <w:t>126,5</w:t>
            </w:r>
          </w:p>
        </w:tc>
        <w:tc>
          <w:tcPr>
            <w:tcW w:w="2697" w:type="dxa"/>
            <w:tcBorders>
              <w:top w:val="single" w:sz="4" w:space="0" w:color="auto"/>
              <w:left w:val="single" w:sz="4" w:space="0" w:color="auto"/>
              <w:bottom w:val="single" w:sz="4" w:space="0" w:color="auto"/>
              <w:right w:val="single" w:sz="4" w:space="0" w:color="auto"/>
            </w:tcBorders>
            <w:hideMark/>
          </w:tcPr>
          <w:p w14:paraId="04A45F0D" w14:textId="31E00C44" w:rsidR="002B37E9" w:rsidRPr="00140923" w:rsidRDefault="00C33899" w:rsidP="00226764">
            <w:pPr>
              <w:pStyle w:val="Tabletext"/>
              <w:jc w:val="center"/>
              <w:rPr>
                <w:lang w:val="es-ES_tradnl"/>
              </w:rPr>
            </w:pPr>
            <w:r w:rsidRPr="00140923">
              <w:rPr>
                <w:lang w:val="es-ES_tradnl"/>
              </w:rPr>
              <w:t>−</w:t>
            </w:r>
            <w:r w:rsidR="002B37E9" w:rsidRPr="00140923">
              <w:rPr>
                <w:lang w:val="es-ES_tradnl"/>
              </w:rPr>
              <w:t>127…</w:t>
            </w:r>
            <w:r w:rsidRPr="00140923">
              <w:rPr>
                <w:lang w:val="es-ES_tradnl"/>
              </w:rPr>
              <w:t>−</w:t>
            </w:r>
            <w:r w:rsidR="002B37E9" w:rsidRPr="00140923">
              <w:rPr>
                <w:lang w:val="es-ES_tradnl"/>
              </w:rPr>
              <w:t>126,5</w:t>
            </w:r>
          </w:p>
        </w:tc>
      </w:tr>
      <w:tr w:rsidR="002B37E9" w:rsidRPr="00140923" w14:paraId="0DE3A7F7" w14:textId="77777777" w:rsidTr="00226764">
        <w:trPr>
          <w:jc w:val="center"/>
        </w:trPr>
        <w:tc>
          <w:tcPr>
            <w:tcW w:w="45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A0CB29" w14:textId="77777777" w:rsidR="002B37E9" w:rsidRPr="00140923" w:rsidRDefault="002B37E9" w:rsidP="00226764">
            <w:pPr>
              <w:pStyle w:val="Tabletext"/>
              <w:jc w:val="left"/>
              <w:rPr>
                <w:lang w:val="es-ES_tradnl"/>
              </w:rPr>
            </w:pPr>
            <w:r w:rsidRPr="00140923">
              <w:rPr>
                <w:lang w:val="es-ES_tradnl"/>
              </w:rPr>
              <w:t>Densidad de potencia de interferencia a largo plazo nominal (dBW/MHz)</w:t>
            </w:r>
            <w:r w:rsidRPr="00140923">
              <w:rPr>
                <w:vertAlign w:val="superscript"/>
                <w:lang w:val="es-ES_tradnl"/>
              </w:rPr>
              <w:t>(2)</w:t>
            </w:r>
          </w:p>
        </w:tc>
        <w:tc>
          <w:tcPr>
            <w:tcW w:w="2409" w:type="dxa"/>
            <w:tcBorders>
              <w:top w:val="single" w:sz="4" w:space="0" w:color="auto"/>
              <w:left w:val="single" w:sz="4" w:space="0" w:color="auto"/>
              <w:bottom w:val="single" w:sz="4" w:space="0" w:color="auto"/>
              <w:right w:val="single" w:sz="4" w:space="0" w:color="auto"/>
            </w:tcBorders>
            <w:hideMark/>
          </w:tcPr>
          <w:p w14:paraId="1C9ED75D" w14:textId="579B75CF" w:rsidR="002B37E9" w:rsidRPr="00140923" w:rsidRDefault="00C33899" w:rsidP="00226764">
            <w:pPr>
              <w:pStyle w:val="Tabletext"/>
              <w:jc w:val="center"/>
              <w:rPr>
                <w:lang w:val="es-ES_tradnl"/>
              </w:rPr>
            </w:pPr>
            <w:r w:rsidRPr="00140923">
              <w:rPr>
                <w:lang w:val="es-ES_tradnl"/>
              </w:rPr>
              <w:t>−</w:t>
            </w:r>
            <w:r w:rsidR="002B37E9" w:rsidRPr="00140923">
              <w:rPr>
                <w:lang w:val="es-ES_tradnl"/>
              </w:rPr>
              <w:t>140,5…</w:t>
            </w:r>
            <w:r w:rsidRPr="00140923">
              <w:rPr>
                <w:lang w:val="es-ES_tradnl"/>
              </w:rPr>
              <w:t>−</w:t>
            </w:r>
            <w:r w:rsidR="002B37E9" w:rsidRPr="00140923">
              <w:rPr>
                <w:lang w:val="es-ES_tradnl"/>
              </w:rPr>
              <w:t xml:space="preserve">140 + </w:t>
            </w:r>
            <w:r w:rsidR="002B37E9" w:rsidRPr="00140923">
              <w:rPr>
                <w:i/>
                <w:iCs/>
                <w:lang w:val="es-ES_tradnl"/>
              </w:rPr>
              <w:t>I</w:t>
            </w:r>
            <w:r w:rsidR="002B37E9" w:rsidRPr="00140923">
              <w:rPr>
                <w:lang w:val="es-ES_tradnl"/>
              </w:rPr>
              <w:t>/</w:t>
            </w:r>
            <w:r w:rsidR="002B37E9" w:rsidRPr="00140923">
              <w:rPr>
                <w:i/>
                <w:iCs/>
                <w:lang w:val="es-ES_tradnl"/>
              </w:rPr>
              <w:t>N</w:t>
            </w:r>
          </w:p>
        </w:tc>
        <w:tc>
          <w:tcPr>
            <w:tcW w:w="2697" w:type="dxa"/>
            <w:tcBorders>
              <w:top w:val="single" w:sz="4" w:space="0" w:color="auto"/>
              <w:left w:val="single" w:sz="4" w:space="0" w:color="auto"/>
              <w:bottom w:val="single" w:sz="4" w:space="0" w:color="auto"/>
              <w:right w:val="single" w:sz="4" w:space="0" w:color="auto"/>
            </w:tcBorders>
            <w:hideMark/>
          </w:tcPr>
          <w:p w14:paraId="14B8BAD1" w14:textId="6A2FD4CA" w:rsidR="002B37E9" w:rsidRPr="00140923" w:rsidRDefault="00C33899" w:rsidP="00226764">
            <w:pPr>
              <w:pStyle w:val="Tabletext"/>
              <w:jc w:val="center"/>
              <w:rPr>
                <w:lang w:val="es-ES_tradnl"/>
              </w:rPr>
            </w:pPr>
            <w:r w:rsidRPr="00140923">
              <w:rPr>
                <w:lang w:val="es-ES_tradnl"/>
              </w:rPr>
              <w:t>−</w:t>
            </w:r>
            <w:r w:rsidR="002B37E9" w:rsidRPr="00140923">
              <w:rPr>
                <w:lang w:val="es-ES_tradnl"/>
              </w:rPr>
              <w:t>140,5…</w:t>
            </w:r>
            <w:r w:rsidRPr="00140923">
              <w:rPr>
                <w:lang w:val="es-ES_tradnl"/>
              </w:rPr>
              <w:t>−</w:t>
            </w:r>
            <w:r w:rsidR="002B37E9" w:rsidRPr="00140923">
              <w:rPr>
                <w:lang w:val="es-ES_tradnl"/>
              </w:rPr>
              <w:t xml:space="preserve">140 + </w:t>
            </w:r>
            <w:r w:rsidR="002B37E9" w:rsidRPr="00140923">
              <w:rPr>
                <w:i/>
                <w:iCs/>
                <w:lang w:val="es-ES_tradnl"/>
              </w:rPr>
              <w:t>I</w:t>
            </w:r>
            <w:r w:rsidR="002B37E9" w:rsidRPr="00140923">
              <w:rPr>
                <w:lang w:val="es-ES_tradnl"/>
              </w:rPr>
              <w:t>/</w:t>
            </w:r>
            <w:r w:rsidR="002B37E9" w:rsidRPr="00140923">
              <w:rPr>
                <w:i/>
                <w:iCs/>
                <w:lang w:val="es-ES_tradnl"/>
              </w:rPr>
              <w:t>N</w:t>
            </w:r>
          </w:p>
        </w:tc>
      </w:tr>
      <w:tr w:rsidR="002B37E9" w:rsidRPr="00140923" w14:paraId="48183956" w14:textId="77777777" w:rsidTr="00226764">
        <w:trPr>
          <w:jc w:val="center"/>
        </w:trPr>
        <w:tc>
          <w:tcPr>
            <w:tcW w:w="9639" w:type="dxa"/>
            <w:gridSpan w:val="3"/>
            <w:tcBorders>
              <w:top w:val="single" w:sz="4" w:space="0" w:color="auto"/>
              <w:left w:val="nil"/>
              <w:bottom w:val="nil"/>
              <w:right w:val="nil"/>
            </w:tcBorders>
            <w:hideMark/>
          </w:tcPr>
          <w:p w14:paraId="71AF5F82" w14:textId="77777777" w:rsidR="002B37E9" w:rsidRPr="00140923" w:rsidRDefault="002B37E9" w:rsidP="00226764">
            <w:pPr>
              <w:pStyle w:val="Tablelegend"/>
              <w:rPr>
                <w:lang w:val="es-ES_tradnl"/>
              </w:rPr>
            </w:pPr>
            <w:r w:rsidRPr="00140923">
              <w:rPr>
                <w:vertAlign w:val="superscript"/>
                <w:lang w:val="es-ES_tradnl"/>
              </w:rPr>
              <w:t>(1)</w:t>
            </w:r>
            <w:r w:rsidRPr="00140923">
              <w:rPr>
                <w:lang w:val="es-ES_tradnl"/>
              </w:rPr>
              <w:tab/>
              <w:t xml:space="preserve">Para calcular los valores de las densidades del transmisor y de la p.i.r.e., es preciso determinar la separación entre canales y la anchura de banda. En estos Cuadros, la separación entre canales se indica en </w:t>
            </w:r>
            <w:r w:rsidRPr="00140923">
              <w:rPr>
                <w:b/>
                <w:bCs/>
                <w:lang w:val="es-ES_tradnl"/>
              </w:rPr>
              <w:t>negritas</w:t>
            </w:r>
            <w:r w:rsidRPr="00140923">
              <w:rPr>
                <w:lang w:val="es-ES_tradnl"/>
              </w:rPr>
              <w:t>.</w:t>
            </w:r>
          </w:p>
          <w:p w14:paraId="6FEFE194" w14:textId="77777777" w:rsidR="002B37E9" w:rsidRPr="00140923" w:rsidRDefault="002B37E9" w:rsidP="00226764">
            <w:pPr>
              <w:pStyle w:val="Tablelegend"/>
              <w:rPr>
                <w:lang w:val="es-ES_tradnl"/>
              </w:rPr>
            </w:pPr>
            <w:r w:rsidRPr="00140923">
              <w:rPr>
                <w:vertAlign w:val="superscript"/>
                <w:lang w:val="es-ES_tradnl"/>
              </w:rPr>
              <w:t>(2)</w:t>
            </w:r>
            <w:r w:rsidRPr="00140923">
              <w:rPr>
                <w:lang w:val="es-ES_tradnl"/>
              </w:rPr>
              <w:tab/>
              <w:t>La densidad de potencia de interferencia a largo plazo nominal se define como la «densidad de potencia de ruido del receptor + (</w:t>
            </w:r>
            <w:r w:rsidRPr="00140923">
              <w:rPr>
                <w:i/>
                <w:iCs/>
                <w:lang w:val="es-ES_tradnl"/>
              </w:rPr>
              <w:t>I</w:t>
            </w:r>
            <w:r w:rsidRPr="00140923">
              <w:rPr>
                <w:lang w:val="es-ES_tradnl"/>
              </w:rPr>
              <w:t>/</w:t>
            </w:r>
            <w:r w:rsidRPr="00140923">
              <w:rPr>
                <w:i/>
                <w:iCs/>
                <w:lang w:val="es-ES_tradnl"/>
              </w:rPr>
              <w:t>N</w:t>
            </w:r>
            <w:r w:rsidRPr="00140923">
              <w:rPr>
                <w:lang w:val="es-ES_tradnl"/>
              </w:rPr>
              <w:t xml:space="preserve"> requerida)» según se describe en el § 4.13 del Anexo 2 (véase asimismo el § 4.1 del Anexo 1).</w:t>
            </w:r>
          </w:p>
          <w:p w14:paraId="60ADE592" w14:textId="77777777" w:rsidR="002B37E9" w:rsidRPr="00140923" w:rsidRDefault="002B37E9" w:rsidP="00226764">
            <w:pPr>
              <w:pStyle w:val="Tablelegend"/>
              <w:rPr>
                <w:lang w:val="es-ES_tradnl"/>
              </w:rPr>
            </w:pPr>
            <w:r w:rsidRPr="00140923">
              <w:rPr>
                <w:vertAlign w:val="superscript"/>
                <w:lang w:val="es-ES_tradnl"/>
              </w:rPr>
              <w:t>(3)</w:t>
            </w:r>
            <w:r w:rsidRPr="00140923">
              <w:rPr>
                <w:lang w:val="es-ES_tradnl"/>
              </w:rPr>
              <w:tab/>
            </w:r>
            <w:r w:rsidRPr="00140923">
              <w:rPr>
                <w:lang w:val="es-ES_tradnl" w:eastAsia="ja-JP"/>
              </w:rPr>
              <w:t xml:space="preserve">Hay sistemas que utilizan </w:t>
            </w:r>
            <w:r w:rsidRPr="00140923">
              <w:rPr>
                <w:lang w:val="es-ES_tradnl"/>
              </w:rPr>
              <w:t>MDP-4</w:t>
            </w:r>
            <w:r w:rsidRPr="00140923">
              <w:rPr>
                <w:lang w:val="es-ES_tradnl" w:eastAsia="ja-JP"/>
              </w:rPr>
              <w:t>O y MDP-4 en la banda y se elige el sistema MDP-4 debido a que tiene todos los parámetros</w:t>
            </w:r>
            <w:r w:rsidRPr="00140923">
              <w:rPr>
                <w:lang w:val="es-ES_tradnl"/>
              </w:rPr>
              <w:t>.</w:t>
            </w:r>
          </w:p>
          <w:p w14:paraId="0A4D0728" w14:textId="494DDDD8" w:rsidR="002B37E9" w:rsidRPr="00140923" w:rsidRDefault="002B37E9" w:rsidP="00226764">
            <w:pPr>
              <w:pStyle w:val="Tablelegend"/>
              <w:rPr>
                <w:lang w:val="es-ES_tradnl"/>
              </w:rPr>
            </w:pPr>
            <w:r w:rsidRPr="00140923">
              <w:rPr>
                <w:szCs w:val="22"/>
                <w:vertAlign w:val="superscript"/>
                <w:lang w:val="es-ES_tradnl" w:eastAsia="ja-JP"/>
              </w:rPr>
              <w:t>(4)</w:t>
            </w:r>
            <w:r w:rsidRPr="00140923">
              <w:rPr>
                <w:szCs w:val="22"/>
                <w:lang w:val="es-ES_tradnl"/>
              </w:rPr>
              <w:tab/>
            </w:r>
            <w:r w:rsidRPr="00140923">
              <w:rPr>
                <w:lang w:val="es-ES_tradnl" w:eastAsia="ja-JP"/>
              </w:rPr>
              <w:t xml:space="preserve">La Recomendación </w:t>
            </w:r>
            <w:hyperlink r:id="rId126" w:history="1">
              <w:r w:rsidRPr="00C33899">
                <w:rPr>
                  <w:rStyle w:val="Hyperlink"/>
                  <w:color w:val="auto"/>
                  <w:u w:val="none"/>
                  <w:lang w:val="es-ES_tradnl"/>
                </w:rPr>
                <w:t>UIT-R F.701</w:t>
              </w:r>
            </w:hyperlink>
            <w:r w:rsidRPr="00140923">
              <w:rPr>
                <w:lang w:val="es-ES_tradnl"/>
              </w:rPr>
              <w:t xml:space="preserve"> </w:t>
            </w:r>
            <w:r w:rsidRPr="00140923">
              <w:rPr>
                <w:lang w:val="es-ES_tradnl" w:eastAsia="ja-JP"/>
              </w:rPr>
              <w:t xml:space="preserve">recomienda únicamente un diagrama básico de 0,5 MHz (o un múltiplo entero). Se proponen los valores de </w:t>
            </w:r>
            <w:r w:rsidRPr="00140923">
              <w:rPr>
                <w:szCs w:val="22"/>
                <w:lang w:val="es-ES_tradnl" w:eastAsia="ja-JP"/>
              </w:rPr>
              <w:t xml:space="preserve">2 y 3,5 MHz </w:t>
            </w:r>
            <w:r w:rsidRPr="00140923">
              <w:rPr>
                <w:lang w:val="es-ES_tradnl" w:eastAsia="ja-JP"/>
              </w:rPr>
              <w:t>como valores de separación entre canales más comunes para estos sistemas</w:t>
            </w:r>
            <w:r w:rsidRPr="00140923">
              <w:rPr>
                <w:szCs w:val="22"/>
                <w:lang w:val="es-ES_tradnl" w:eastAsia="ja-JP"/>
              </w:rPr>
              <w:t>.</w:t>
            </w:r>
          </w:p>
        </w:tc>
      </w:tr>
    </w:tbl>
    <w:p w14:paraId="5A81EFFD" w14:textId="77777777" w:rsidR="00480606" w:rsidRDefault="00480606" w:rsidP="00480606">
      <w:pPr>
        <w:pStyle w:val="Tablefin"/>
      </w:pPr>
    </w:p>
    <w:p w14:paraId="623953DF" w14:textId="77777777" w:rsidR="00480606" w:rsidRDefault="00480606" w:rsidP="00480606">
      <w:pPr>
        <w:rPr>
          <w:lang w:val="es-ES_tradnl"/>
        </w:rPr>
      </w:pPr>
    </w:p>
    <w:p w14:paraId="6739E8B4" w14:textId="77777777" w:rsidR="00480606" w:rsidRDefault="00480606" w:rsidP="00480606">
      <w:pPr>
        <w:pStyle w:val="Line"/>
      </w:pPr>
    </w:p>
    <w:sectPr w:rsidR="00480606" w:rsidSect="004F7602">
      <w:headerReference w:type="default" r:id="rId127"/>
      <w:footerReference w:type="default" r:id="rId128"/>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25BCA" w14:textId="77777777" w:rsidR="002B37E9" w:rsidRDefault="002B37E9">
      <w:r>
        <w:separator/>
      </w:r>
    </w:p>
  </w:endnote>
  <w:endnote w:type="continuationSeparator" w:id="0">
    <w:p w14:paraId="361AF875" w14:textId="77777777" w:rsidR="002B37E9" w:rsidRDefault="002B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BEA5" w14:textId="77777777" w:rsidR="00301DB3" w:rsidRDefault="00301DB3">
    <w:pPr>
      <w:pStyle w:val="Footer"/>
    </w:pPr>
    <w:r>
      <w:drawing>
        <wp:anchor distT="0" distB="0" distL="0" distR="0" simplePos="0" relativeHeight="251656192" behindDoc="0" locked="0" layoutInCell="1" allowOverlap="1" wp14:anchorId="69AD22A9" wp14:editId="32179492">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76FF" w14:textId="77777777" w:rsidR="002B37E9" w:rsidRPr="009D2013" w:rsidRDefault="002B37E9" w:rsidP="009D2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5B32C" w14:textId="0B631905" w:rsidR="002B37E9" w:rsidRPr="004F7602" w:rsidRDefault="002B37E9">
    <w:pPr>
      <w:pStyle w:val="Footer"/>
      <w:rPr>
        <w:lang w:val="en-US"/>
      </w:rPr>
    </w:pPr>
    <w:r>
      <w:fldChar w:fldCharType="begin"/>
    </w:r>
    <w:r w:rsidRPr="004F7602">
      <w:rPr>
        <w:lang w:val="en-US"/>
      </w:rPr>
      <w:instrText xml:space="preserve"> FILENAME  \p  \* MERGEFORMAT </w:instrText>
    </w:r>
    <w:r>
      <w:fldChar w:fldCharType="separate"/>
    </w:r>
    <w:r w:rsidR="00D23F34">
      <w:rPr>
        <w:lang w:val="en-US"/>
      </w:rPr>
      <w:t>P:\QPUB\BR\REC\F\758-8\F758-8S.docx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00B8"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FAD49" w14:textId="77777777" w:rsidR="002B37E9" w:rsidRDefault="002B37E9">
      <w:r>
        <w:separator/>
      </w:r>
    </w:p>
  </w:footnote>
  <w:footnote w:type="continuationSeparator" w:id="0">
    <w:p w14:paraId="3C6A327B" w14:textId="77777777" w:rsidR="002B37E9" w:rsidRDefault="002B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F12E"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5ED4" w14:textId="5F640066" w:rsidR="002B37E9" w:rsidRDefault="002B37E9" w:rsidP="00B360E5">
    <w:pPr>
      <w:pStyle w:val="Header"/>
      <w:tabs>
        <w:tab w:val="clear" w:pos="4848"/>
        <w:tab w:val="clear" w:pos="9696"/>
        <w:tab w:val="center" w:pos="7229"/>
        <w:tab w:val="right" w:pos="14459"/>
      </w:tabs>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28</w:t>
    </w:r>
    <w:r>
      <w:rPr>
        <w:rStyle w:val="PageNumber"/>
        <w:b/>
        <w:bCs/>
      </w:rPr>
      <w:fldChar w:fldCharType="end"/>
    </w:r>
    <w:r>
      <w:tab/>
    </w:r>
    <w:fldSimple w:instr=" DOCPROPERTY &quot;Header&quot; \* MERGEFORMAT ">
      <w:r w:rsidR="00D23F34" w:rsidRPr="00D23F34">
        <w:rPr>
          <w:b/>
          <w:bCs/>
          <w:lang w:val="fr-CH"/>
        </w:rPr>
        <w:t xml:space="preserve">Rec. </w:t>
      </w:r>
    </w:fldSimple>
    <w:r>
      <w:rPr>
        <w:b/>
        <w:bCs/>
      </w:rPr>
      <w:t xml:space="preserve"> </w:t>
    </w:r>
    <w:r>
      <w:rPr>
        <w:b/>
        <w:bCs/>
      </w:rPr>
      <w:fldChar w:fldCharType="begin"/>
    </w:r>
    <w:r>
      <w:rPr>
        <w:b/>
        <w:bCs/>
      </w:rPr>
      <w:instrText>styleref href</w:instrText>
    </w:r>
    <w:r>
      <w:rPr>
        <w:b/>
        <w:bCs/>
      </w:rPr>
      <w:fldChar w:fldCharType="separate"/>
    </w:r>
    <w:r w:rsidR="00D23F34">
      <w:rPr>
        <w:b/>
        <w:bCs/>
        <w:noProof/>
      </w:rPr>
      <w:t>UIT-R  F.758-8</w:t>
    </w:r>
    <w:r>
      <w:rP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2A0F" w14:textId="4F252BB0" w:rsidR="002B37E9" w:rsidRDefault="002B37E9" w:rsidP="00B360E5">
    <w:pPr>
      <w:pStyle w:val="Header"/>
      <w:tabs>
        <w:tab w:val="clear" w:pos="4848"/>
        <w:tab w:val="clear" w:pos="9696"/>
        <w:tab w:val="center" w:pos="7229"/>
        <w:tab w:val="right" w:pos="14742"/>
      </w:tabs>
    </w:pPr>
    <w:r>
      <w:tab/>
    </w:r>
    <w:fldSimple w:instr=" DOCPROPERTY &quot;Header&quot; \* MERGEFORMAT ">
      <w:r w:rsidR="00D23F34" w:rsidRPr="00D23F34">
        <w:rPr>
          <w:b/>
          <w:bCs/>
          <w:lang w:val="en-US"/>
        </w:rPr>
        <w:t>Rec.</w:t>
      </w:r>
      <w:r w:rsidR="00D23F34">
        <w:t xml:space="preserve"> </w:t>
      </w:r>
    </w:fldSimple>
    <w:r>
      <w:rPr>
        <w:b/>
        <w:bCs/>
      </w:rPr>
      <w:t xml:space="preserve">  </w:t>
    </w:r>
    <w:r>
      <w:rPr>
        <w:b/>
        <w:bCs/>
      </w:rPr>
      <w:fldChar w:fldCharType="begin"/>
    </w:r>
    <w:r>
      <w:rPr>
        <w:b/>
        <w:bCs/>
      </w:rPr>
      <w:instrText>styleref href</w:instrText>
    </w:r>
    <w:r>
      <w:rPr>
        <w:b/>
        <w:bCs/>
      </w:rPr>
      <w:fldChar w:fldCharType="separate"/>
    </w:r>
    <w:r w:rsidR="00D23F34">
      <w:rPr>
        <w:b/>
        <w:bCs/>
        <w:noProof/>
      </w:rPr>
      <w:t>UIT-R  F.758-8</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0C31" w14:textId="643E833D" w:rsidR="002B37E9" w:rsidRDefault="002B37E9" w:rsidP="00B360E5">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26</w:t>
    </w:r>
    <w:r>
      <w:rPr>
        <w:rStyle w:val="PageNumber"/>
        <w:b/>
        <w:bCs/>
      </w:rPr>
      <w:fldChar w:fldCharType="end"/>
    </w:r>
    <w:r>
      <w:tab/>
    </w:r>
    <w:fldSimple w:instr=" DOCPROPERTY &quot;Header&quot; \* MERGEFORMAT ">
      <w:r w:rsidR="00D23F34" w:rsidRPr="00D23F34">
        <w:rPr>
          <w:b/>
          <w:bCs/>
          <w:lang w:val="fr-CH"/>
        </w:rPr>
        <w:t xml:space="preserve">Rec. </w:t>
      </w:r>
    </w:fldSimple>
    <w:r>
      <w:rPr>
        <w:b/>
        <w:bCs/>
      </w:rPr>
      <w:t xml:space="preserve"> </w:t>
    </w:r>
    <w:r>
      <w:rPr>
        <w:b/>
        <w:bCs/>
      </w:rPr>
      <w:fldChar w:fldCharType="begin"/>
    </w:r>
    <w:r>
      <w:rPr>
        <w:b/>
        <w:bCs/>
      </w:rPr>
      <w:instrText>styleref href</w:instrText>
    </w:r>
    <w:r>
      <w:rPr>
        <w:b/>
        <w:bCs/>
      </w:rPr>
      <w:fldChar w:fldCharType="separate"/>
    </w:r>
    <w:r w:rsidR="00D23F34">
      <w:rPr>
        <w:b/>
        <w:bCs/>
        <w:noProof/>
      </w:rPr>
      <w:t>UIT-R  F.758-8</w:t>
    </w:r>
    <w:r>
      <w:rP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5185" w14:textId="2589B347" w:rsidR="002B37E9" w:rsidRDefault="002B37E9" w:rsidP="00B360E5">
    <w:pPr>
      <w:pStyle w:val="Header"/>
    </w:pPr>
    <w:r>
      <w:tab/>
    </w:r>
    <w:fldSimple w:instr=" DOCPROPERTY &quot;Header&quot; \* MERGEFORMAT ">
      <w:r w:rsidR="00D23F34" w:rsidRPr="00D23F34">
        <w:rPr>
          <w:b/>
          <w:bCs/>
          <w:lang w:val="en-US"/>
        </w:rPr>
        <w:t>Rec.</w:t>
      </w:r>
      <w:r w:rsidR="00D23F34">
        <w:t xml:space="preserve"> </w:t>
      </w:r>
    </w:fldSimple>
    <w:r>
      <w:rPr>
        <w:b/>
        <w:bCs/>
      </w:rPr>
      <w:t xml:space="preserve">  </w:t>
    </w:r>
    <w:r>
      <w:rPr>
        <w:b/>
        <w:bCs/>
      </w:rPr>
      <w:fldChar w:fldCharType="begin"/>
    </w:r>
    <w:r>
      <w:rPr>
        <w:b/>
        <w:bCs/>
      </w:rPr>
      <w:instrText>styleref href</w:instrText>
    </w:r>
    <w:r>
      <w:rPr>
        <w:b/>
        <w:bCs/>
      </w:rPr>
      <w:fldChar w:fldCharType="separate"/>
    </w:r>
    <w:r w:rsidR="00D23F34">
      <w:rPr>
        <w:b/>
        <w:bCs/>
        <w:noProof/>
      </w:rPr>
      <w:t>UIT-R  F.758-8</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5177" w14:textId="38EBAB7C" w:rsidR="002B37E9" w:rsidRDefault="002B37E9" w:rsidP="00B360E5">
    <w:pPr>
      <w:pStyle w:val="Header"/>
      <w:tabs>
        <w:tab w:val="clear" w:pos="4848"/>
        <w:tab w:val="clear" w:pos="9696"/>
        <w:tab w:val="center" w:pos="7229"/>
        <w:tab w:val="right" w:pos="14459"/>
      </w:tabs>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26</w:t>
    </w:r>
    <w:r>
      <w:rPr>
        <w:rStyle w:val="PageNumber"/>
        <w:b/>
        <w:bCs/>
      </w:rPr>
      <w:fldChar w:fldCharType="end"/>
    </w:r>
    <w:r>
      <w:tab/>
    </w:r>
    <w:fldSimple w:instr=" DOCPROPERTY &quot;Header&quot; \* MERGEFORMAT ">
      <w:r w:rsidR="00D23F34" w:rsidRPr="00D23F34">
        <w:rPr>
          <w:b/>
          <w:bCs/>
          <w:lang w:val="fr-CH"/>
        </w:rPr>
        <w:t xml:space="preserve">Rec. </w:t>
      </w:r>
    </w:fldSimple>
    <w:r>
      <w:rPr>
        <w:b/>
        <w:bCs/>
      </w:rPr>
      <w:t xml:space="preserve"> </w:t>
    </w:r>
    <w:r>
      <w:rPr>
        <w:b/>
        <w:bCs/>
      </w:rPr>
      <w:fldChar w:fldCharType="begin"/>
    </w:r>
    <w:r>
      <w:rPr>
        <w:b/>
        <w:bCs/>
      </w:rPr>
      <w:instrText>styleref href</w:instrText>
    </w:r>
    <w:r>
      <w:rPr>
        <w:b/>
        <w:bCs/>
      </w:rPr>
      <w:fldChar w:fldCharType="separate"/>
    </w:r>
    <w:r w:rsidR="00D23F34">
      <w:rPr>
        <w:b/>
        <w:bCs/>
        <w:noProof/>
      </w:rPr>
      <w:t>UIT-R  F.758-8</w:t>
    </w:r>
    <w:r>
      <w:rPr>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E4F9" w14:textId="5FBBA6E5" w:rsidR="002B37E9" w:rsidRDefault="002B37E9" w:rsidP="00B360E5">
    <w:pPr>
      <w:pStyle w:val="Header"/>
      <w:tabs>
        <w:tab w:val="clear" w:pos="4848"/>
        <w:tab w:val="clear" w:pos="9696"/>
        <w:tab w:val="center" w:pos="7229"/>
        <w:tab w:val="right" w:pos="14742"/>
      </w:tabs>
    </w:pPr>
    <w:r>
      <w:tab/>
    </w:r>
    <w:fldSimple w:instr=" DOCPROPERTY &quot;Header&quot; \* MERGEFORMAT ">
      <w:r w:rsidR="00D23F34" w:rsidRPr="00D23F34">
        <w:rPr>
          <w:b/>
          <w:bCs/>
          <w:lang w:val="en-US"/>
        </w:rPr>
        <w:t>Rec.</w:t>
      </w:r>
      <w:r w:rsidR="00D23F34">
        <w:t xml:space="preserve"> </w:t>
      </w:r>
    </w:fldSimple>
    <w:r>
      <w:rPr>
        <w:b/>
        <w:bCs/>
      </w:rPr>
      <w:t xml:space="preserve">  </w:t>
    </w:r>
    <w:r>
      <w:rPr>
        <w:b/>
        <w:bCs/>
      </w:rPr>
      <w:fldChar w:fldCharType="begin"/>
    </w:r>
    <w:r>
      <w:rPr>
        <w:b/>
        <w:bCs/>
      </w:rPr>
      <w:instrText>styleref href</w:instrText>
    </w:r>
    <w:r>
      <w:rPr>
        <w:b/>
        <w:bCs/>
      </w:rPr>
      <w:fldChar w:fldCharType="separate"/>
    </w:r>
    <w:r w:rsidR="00D23F34">
      <w:rPr>
        <w:b/>
        <w:bCs/>
        <w:noProof/>
      </w:rPr>
      <w:t>UIT-R  F.758-8</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35</w:t>
    </w:r>
    <w:r>
      <w:rPr>
        <w:rStyle w:val="PageNumber"/>
        <w:b/>
        <w:bC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B178" w14:textId="3BCA8AE5" w:rsidR="00323E0B" w:rsidRDefault="00323E0B" w:rsidP="00323E0B">
    <w:pPr>
      <w:pStyle w:val="Header"/>
    </w:pPr>
    <w:r>
      <w:tab/>
    </w:r>
    <w:fldSimple w:instr=" DOCPROPERTY &quot;Header&quot; \* MERGEFORMAT ">
      <w:r w:rsidR="00D23F34" w:rsidRPr="00D23F34">
        <w:rPr>
          <w:b/>
          <w:bCs/>
          <w:lang w:val="en-US"/>
        </w:rPr>
        <w:t>Rec.</w:t>
      </w:r>
      <w:r w:rsidR="00D23F34">
        <w:t xml:space="preserve"> </w:t>
      </w:r>
    </w:fldSimple>
    <w:r>
      <w:rPr>
        <w:b/>
        <w:bCs/>
      </w:rPr>
      <w:t xml:space="preserve">  </w:t>
    </w:r>
    <w:r>
      <w:rPr>
        <w:b/>
        <w:bCs/>
      </w:rPr>
      <w:fldChar w:fldCharType="begin"/>
    </w:r>
    <w:r>
      <w:rPr>
        <w:b/>
        <w:bCs/>
      </w:rPr>
      <w:instrText>styleref href</w:instrText>
    </w:r>
    <w:r>
      <w:rPr>
        <w:b/>
        <w:bCs/>
      </w:rPr>
      <w:fldChar w:fldCharType="separate"/>
    </w:r>
    <w:r w:rsidR="00D23F34">
      <w:rPr>
        <w:b/>
        <w:bCs/>
        <w:noProof/>
      </w:rPr>
      <w:t>UIT-R  F.758-8</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43</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623ECFB2" w14:textId="77777777" w:rsidTr="0019307B">
      <w:tc>
        <w:tcPr>
          <w:tcW w:w="4634" w:type="dxa"/>
          <w:vAlign w:val="center"/>
        </w:tcPr>
        <w:p w14:paraId="0D98532D"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7BB948E"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5D0903ED" w14:textId="77777777" w:rsidTr="0019307B">
      <w:tc>
        <w:tcPr>
          <w:tcW w:w="4634" w:type="dxa"/>
          <w:vAlign w:val="center"/>
        </w:tcPr>
        <w:p w14:paraId="1EB2BDC7"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4A27342A"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3DE87EAE"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35FCE6DE" wp14:editId="42319EED">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04AAC07E" wp14:editId="25A765C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25B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B509C0D"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1F98D58" wp14:editId="7DB025F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688AB"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30D9" w14:textId="66C32814"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D23F34">
      <w:rPr>
        <w:b/>
        <w:bCs/>
        <w:lang w:val="en-US"/>
      </w:rPr>
      <w:t xml:space="preserve">Rec. </w:t>
    </w:r>
    <w:r>
      <w:rPr>
        <w:b/>
        <w:bCs/>
        <w:lang w:val="en-US"/>
      </w:rPr>
      <w:fldChar w:fldCharType="end"/>
    </w:r>
    <w:r w:rsidRPr="00F111D6">
      <w:rPr>
        <w:b/>
        <w:bCs/>
        <w:lang w:val="en-GB"/>
      </w:rPr>
      <w:t xml:space="preserve"> </w:t>
    </w:r>
    <w:r w:rsidR="002B37E9">
      <w:rPr>
        <w:b/>
        <w:bCs/>
      </w:rPr>
      <w:t>UIT-R  F.758-8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AF65" w14:textId="6A688553"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D23F34">
      <w:rPr>
        <w:b/>
        <w:bCs/>
      </w:rPr>
      <w:t xml:space="preserve">Rec. </w:t>
    </w:r>
    <w:r w:rsidR="00C84DB7">
      <w:rPr>
        <w:b/>
        <w:bCs/>
      </w:rPr>
      <w:fldChar w:fldCharType="end"/>
    </w:r>
    <w:r w:rsidR="002B37E9" w:rsidRPr="002B37E9">
      <w:rPr>
        <w:b/>
        <w:bCs/>
      </w:rPr>
      <w:t xml:space="preserve"> </w:t>
    </w:r>
    <w:r w:rsidR="002B37E9">
      <w:rPr>
        <w:b/>
        <w:bCs/>
      </w:rPr>
      <w:t>UIT-R  F.758-8</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B240" w14:textId="6C872D46" w:rsidR="002B37E9" w:rsidRPr="00CD44D1" w:rsidRDefault="002B37E9">
    <w:pPr>
      <w:pStyle w:val="Header"/>
      <w:jc w:val="left"/>
      <w:rPr>
        <w:lang w:eastAsia="ja-JP"/>
      </w:rPr>
    </w:pP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noProof/>
        <w:lang w:eastAsia="ja-JP"/>
      </w:rPr>
      <w:t>22</w:t>
    </w:r>
    <w:r>
      <w:rPr>
        <w:rStyle w:val="PageNumber"/>
        <w:b/>
        <w:bCs/>
      </w:rPr>
      <w:fldChar w:fldCharType="end"/>
    </w:r>
    <w:r w:rsidRPr="00CD44D1">
      <w:rPr>
        <w:lang w:eastAsia="ja-JP"/>
      </w:rPr>
      <w:tab/>
    </w:r>
    <w:r w:rsidRPr="00CD44D1">
      <w:rPr>
        <w:b/>
        <w:lang w:val="en-US" w:eastAsia="ja-JP"/>
      </w:rPr>
      <w:t>Rec.</w:t>
    </w:r>
    <w:r w:rsidR="00323E0B">
      <w:rPr>
        <w:b/>
        <w:lang w:val="en-US" w:eastAsia="ja-JP"/>
      </w:rPr>
      <w:t xml:space="preserve"> </w:t>
    </w:r>
    <w:r w:rsidRPr="00CD44D1">
      <w:rPr>
        <w:b/>
        <w:bCs/>
        <w:lang w:eastAsia="ja-JP"/>
      </w:rPr>
      <w:t xml:space="preserve"> </w:t>
    </w:r>
    <w:r>
      <w:rPr>
        <w:b/>
        <w:bCs/>
      </w:rPr>
      <w:fldChar w:fldCharType="begin"/>
    </w:r>
    <w:r w:rsidRPr="00CD44D1">
      <w:rPr>
        <w:b/>
        <w:bCs/>
        <w:lang w:eastAsia="ja-JP"/>
      </w:rPr>
      <w:instrText>styleref href</w:instrText>
    </w:r>
    <w:r>
      <w:rPr>
        <w:b/>
        <w:bCs/>
      </w:rPr>
      <w:fldChar w:fldCharType="separate"/>
    </w:r>
    <w:r w:rsidR="00D23F34">
      <w:rPr>
        <w:b/>
        <w:bCs/>
        <w:noProof/>
        <w:lang w:eastAsia="ja-JP"/>
      </w:rPr>
      <w:t>UIT-R  F.758-8</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9959E" w14:textId="02BC8C04" w:rsidR="002B37E9" w:rsidRPr="00CD44D1" w:rsidRDefault="002B37E9" w:rsidP="00E969FD">
    <w:pPr>
      <w:pStyle w:val="Header"/>
      <w:jc w:val="left"/>
      <w:rPr>
        <w:lang w:eastAsia="ja-JP"/>
      </w:rPr>
    </w:pPr>
    <w:r w:rsidRPr="00CD44D1">
      <w:rPr>
        <w:lang w:eastAsia="ja-JP"/>
      </w:rPr>
      <w:tab/>
    </w:r>
    <w:r w:rsidRPr="00CD44D1">
      <w:rPr>
        <w:b/>
        <w:lang w:val="en-US" w:eastAsia="ja-JP"/>
      </w:rPr>
      <w:t>Rec.</w:t>
    </w:r>
    <w:r w:rsidR="00323E0B">
      <w:rPr>
        <w:b/>
        <w:lang w:val="en-US" w:eastAsia="ja-JP"/>
      </w:rPr>
      <w:t xml:space="preserve"> </w:t>
    </w:r>
    <w:r w:rsidRPr="00CD44D1">
      <w:rPr>
        <w:b/>
        <w:bCs/>
        <w:lang w:eastAsia="ja-JP"/>
      </w:rPr>
      <w:t xml:space="preserve"> </w:t>
    </w:r>
    <w:r>
      <w:rPr>
        <w:b/>
        <w:bCs/>
      </w:rPr>
      <w:fldChar w:fldCharType="begin"/>
    </w:r>
    <w:r w:rsidRPr="00CD44D1">
      <w:rPr>
        <w:b/>
        <w:bCs/>
        <w:lang w:eastAsia="ja-JP"/>
      </w:rPr>
      <w:instrText>styleref href</w:instrText>
    </w:r>
    <w:r>
      <w:rPr>
        <w:b/>
        <w:bCs/>
      </w:rPr>
      <w:fldChar w:fldCharType="separate"/>
    </w:r>
    <w:r w:rsidR="00D23F34">
      <w:rPr>
        <w:b/>
        <w:bCs/>
        <w:noProof/>
        <w:lang w:eastAsia="ja-JP"/>
      </w:rPr>
      <w:t>UIT-R  F.758-8</w:t>
    </w:r>
    <w:r>
      <w:rPr>
        <w:b/>
        <w:bCs/>
      </w:rPr>
      <w:fldChar w:fldCharType="end"/>
    </w:r>
    <w:r>
      <w:rPr>
        <w:b/>
        <w:bCs/>
      </w:rPr>
      <w:tab/>
    </w: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rPr>
      <w:t>3</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FCD4" w14:textId="245D0308" w:rsidR="002B37E9" w:rsidRDefault="002B37E9" w:rsidP="00B360E5">
    <w:pPr>
      <w:pStyle w:val="Header"/>
      <w:tabs>
        <w:tab w:val="clear" w:pos="4848"/>
        <w:tab w:val="clear" w:pos="9696"/>
        <w:tab w:val="center" w:pos="7229"/>
        <w:tab w:val="right" w:pos="14459"/>
      </w:tabs>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tab/>
    </w:r>
    <w:fldSimple w:instr=" DOCPROPERTY &quot;Header&quot; \* MERGEFORMAT ">
      <w:r w:rsidR="00D23F34" w:rsidRPr="00D23F34">
        <w:rPr>
          <w:b/>
          <w:bCs/>
          <w:lang w:val="fr-CH"/>
        </w:rPr>
        <w:t xml:space="preserve">Rec. </w:t>
      </w:r>
    </w:fldSimple>
    <w:r>
      <w:rPr>
        <w:b/>
        <w:bCs/>
      </w:rPr>
      <w:t xml:space="preserve"> </w:t>
    </w:r>
    <w:r>
      <w:rPr>
        <w:b/>
        <w:bCs/>
      </w:rPr>
      <w:fldChar w:fldCharType="begin"/>
    </w:r>
    <w:r>
      <w:rPr>
        <w:b/>
        <w:bCs/>
      </w:rPr>
      <w:instrText>styleref href</w:instrText>
    </w:r>
    <w:r>
      <w:rPr>
        <w:b/>
        <w:bCs/>
      </w:rPr>
      <w:fldChar w:fldCharType="separate"/>
    </w:r>
    <w:r w:rsidR="00D23F34">
      <w:rPr>
        <w:b/>
        <w:bCs/>
        <w:noProof/>
      </w:rPr>
      <w:t>UIT-R  F.758-8</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3D65" w14:textId="449E706F" w:rsidR="002B37E9" w:rsidRDefault="002B37E9" w:rsidP="00B360E5">
    <w:pPr>
      <w:pStyle w:val="Header"/>
      <w:tabs>
        <w:tab w:val="clear" w:pos="4848"/>
        <w:tab w:val="clear" w:pos="9696"/>
        <w:tab w:val="center" w:pos="7229"/>
        <w:tab w:val="right" w:pos="14742"/>
      </w:tabs>
    </w:pPr>
    <w:r>
      <w:tab/>
    </w:r>
    <w:fldSimple w:instr=" DOCPROPERTY &quot;Header&quot; \* MERGEFORMAT ">
      <w:r w:rsidR="00D23F34" w:rsidRPr="00D23F34">
        <w:rPr>
          <w:b/>
          <w:bCs/>
          <w:lang w:val="en-US"/>
        </w:rPr>
        <w:t>Rec.</w:t>
      </w:r>
      <w:r w:rsidR="00D23F34">
        <w:t xml:space="preserve"> </w:t>
      </w:r>
    </w:fldSimple>
    <w:r>
      <w:rPr>
        <w:b/>
        <w:bCs/>
      </w:rPr>
      <w:t xml:space="preserve">  </w:t>
    </w:r>
    <w:r>
      <w:rPr>
        <w:b/>
        <w:bCs/>
      </w:rPr>
      <w:fldChar w:fldCharType="begin"/>
    </w:r>
    <w:r>
      <w:rPr>
        <w:b/>
        <w:bCs/>
      </w:rPr>
      <w:instrText>styleref href</w:instrText>
    </w:r>
    <w:r>
      <w:rPr>
        <w:b/>
        <w:bCs/>
      </w:rPr>
      <w:fldChar w:fldCharType="separate"/>
    </w:r>
    <w:r w:rsidR="00D23F34">
      <w:rPr>
        <w:b/>
        <w:bCs/>
        <w:noProof/>
      </w:rPr>
      <w:t>UIT-R  F.758-8</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A867" w14:textId="16FDA485" w:rsidR="002B37E9" w:rsidRDefault="002B37E9" w:rsidP="00B360E5">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26</w:t>
    </w:r>
    <w:r>
      <w:rPr>
        <w:rStyle w:val="PageNumber"/>
        <w:b/>
        <w:bCs/>
      </w:rPr>
      <w:fldChar w:fldCharType="end"/>
    </w:r>
    <w:r>
      <w:tab/>
    </w:r>
    <w:fldSimple w:instr=" DOCPROPERTY &quot;Header&quot; \* MERGEFORMAT ">
      <w:r w:rsidR="00D23F34" w:rsidRPr="00D23F34">
        <w:rPr>
          <w:b/>
          <w:bCs/>
          <w:lang w:val="fr-CH"/>
        </w:rPr>
        <w:t xml:space="preserve">Rec. </w:t>
      </w:r>
    </w:fldSimple>
    <w:r>
      <w:rPr>
        <w:b/>
        <w:bCs/>
      </w:rPr>
      <w:t xml:space="preserve"> </w:t>
    </w:r>
    <w:r>
      <w:rPr>
        <w:b/>
        <w:bCs/>
      </w:rPr>
      <w:fldChar w:fldCharType="begin"/>
    </w:r>
    <w:r>
      <w:rPr>
        <w:b/>
        <w:bCs/>
      </w:rPr>
      <w:instrText>styleref href</w:instrText>
    </w:r>
    <w:r>
      <w:rPr>
        <w:b/>
        <w:bCs/>
      </w:rPr>
      <w:fldChar w:fldCharType="separate"/>
    </w:r>
    <w:r w:rsidR="00D23F34">
      <w:rPr>
        <w:b/>
        <w:bCs/>
        <w:noProof/>
      </w:rPr>
      <w:t>UIT-R  F.758-8</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23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1264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6C4C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2D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5AD5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269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1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2A7D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3ED4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D0CA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10"/>
  </w:num>
  <w:num w:numId="2" w16cid:durableId="1137264246">
    <w:abstractNumId w:val="9"/>
  </w:num>
  <w:num w:numId="3" w16cid:durableId="1493834146">
    <w:abstractNumId w:val="7"/>
  </w:num>
  <w:num w:numId="4" w16cid:durableId="498084726">
    <w:abstractNumId w:val="6"/>
  </w:num>
  <w:num w:numId="5" w16cid:durableId="371733788">
    <w:abstractNumId w:val="5"/>
  </w:num>
  <w:num w:numId="6" w16cid:durableId="903105909">
    <w:abstractNumId w:val="4"/>
  </w:num>
  <w:num w:numId="7" w16cid:durableId="1122066942">
    <w:abstractNumId w:val="8"/>
  </w:num>
  <w:num w:numId="8" w16cid:durableId="194083110">
    <w:abstractNumId w:val="3"/>
  </w:num>
  <w:num w:numId="9" w16cid:durableId="112139748">
    <w:abstractNumId w:val="2"/>
  </w:num>
  <w:num w:numId="10" w16cid:durableId="1869641720">
    <w:abstractNumId w:val="1"/>
  </w:num>
  <w:num w:numId="11" w16cid:durableId="73093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E9"/>
    <w:rsid w:val="00013002"/>
    <w:rsid w:val="000246E0"/>
    <w:rsid w:val="00036EE3"/>
    <w:rsid w:val="00072484"/>
    <w:rsid w:val="00095530"/>
    <w:rsid w:val="00096612"/>
    <w:rsid w:val="00096B89"/>
    <w:rsid w:val="000A4A32"/>
    <w:rsid w:val="000B1B2B"/>
    <w:rsid w:val="000B7683"/>
    <w:rsid w:val="000D0677"/>
    <w:rsid w:val="000E0548"/>
    <w:rsid w:val="000E6A6E"/>
    <w:rsid w:val="000F5E3A"/>
    <w:rsid w:val="00102934"/>
    <w:rsid w:val="00105133"/>
    <w:rsid w:val="00112381"/>
    <w:rsid w:val="00120C75"/>
    <w:rsid w:val="00140923"/>
    <w:rsid w:val="00147110"/>
    <w:rsid w:val="001511A6"/>
    <w:rsid w:val="001624C8"/>
    <w:rsid w:val="00171C4D"/>
    <w:rsid w:val="0017562F"/>
    <w:rsid w:val="0019307B"/>
    <w:rsid w:val="001B0927"/>
    <w:rsid w:val="001B164E"/>
    <w:rsid w:val="001B39C4"/>
    <w:rsid w:val="001B7886"/>
    <w:rsid w:val="001F38BB"/>
    <w:rsid w:val="002058CE"/>
    <w:rsid w:val="00213A86"/>
    <w:rsid w:val="002165F1"/>
    <w:rsid w:val="00233211"/>
    <w:rsid w:val="00260B24"/>
    <w:rsid w:val="0027411A"/>
    <w:rsid w:val="00276D21"/>
    <w:rsid w:val="00282DCF"/>
    <w:rsid w:val="00296D7F"/>
    <w:rsid w:val="002A5D45"/>
    <w:rsid w:val="002B37E9"/>
    <w:rsid w:val="002B3CF6"/>
    <w:rsid w:val="002B3E59"/>
    <w:rsid w:val="002C768A"/>
    <w:rsid w:val="002D0BD7"/>
    <w:rsid w:val="002D76C4"/>
    <w:rsid w:val="002E36B2"/>
    <w:rsid w:val="002F5199"/>
    <w:rsid w:val="00301DB3"/>
    <w:rsid w:val="00305119"/>
    <w:rsid w:val="0031518E"/>
    <w:rsid w:val="003157F1"/>
    <w:rsid w:val="00323E0B"/>
    <w:rsid w:val="00346EC2"/>
    <w:rsid w:val="00356B5D"/>
    <w:rsid w:val="00357707"/>
    <w:rsid w:val="0036627C"/>
    <w:rsid w:val="003B2443"/>
    <w:rsid w:val="003B367D"/>
    <w:rsid w:val="003B523D"/>
    <w:rsid w:val="003B5ABD"/>
    <w:rsid w:val="003E5516"/>
    <w:rsid w:val="003F4B75"/>
    <w:rsid w:val="00410651"/>
    <w:rsid w:val="00420DFD"/>
    <w:rsid w:val="00425BC7"/>
    <w:rsid w:val="00437A76"/>
    <w:rsid w:val="004437E9"/>
    <w:rsid w:val="00445C2F"/>
    <w:rsid w:val="004604B2"/>
    <w:rsid w:val="00470E28"/>
    <w:rsid w:val="0047379B"/>
    <w:rsid w:val="00474170"/>
    <w:rsid w:val="00477729"/>
    <w:rsid w:val="00480606"/>
    <w:rsid w:val="004842E2"/>
    <w:rsid w:val="00486EB3"/>
    <w:rsid w:val="004934C5"/>
    <w:rsid w:val="004A6FEB"/>
    <w:rsid w:val="004E54FE"/>
    <w:rsid w:val="004E61FF"/>
    <w:rsid w:val="004F7602"/>
    <w:rsid w:val="005373E0"/>
    <w:rsid w:val="00556548"/>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479D0"/>
    <w:rsid w:val="00664A5C"/>
    <w:rsid w:val="00680D2B"/>
    <w:rsid w:val="00681B32"/>
    <w:rsid w:val="0069322D"/>
    <w:rsid w:val="00697887"/>
    <w:rsid w:val="006B1D2B"/>
    <w:rsid w:val="006B1E05"/>
    <w:rsid w:val="006C37D5"/>
    <w:rsid w:val="006E1131"/>
    <w:rsid w:val="006E2037"/>
    <w:rsid w:val="006E6199"/>
    <w:rsid w:val="006F0B33"/>
    <w:rsid w:val="006F5C69"/>
    <w:rsid w:val="00712870"/>
    <w:rsid w:val="00714AC0"/>
    <w:rsid w:val="0074147D"/>
    <w:rsid w:val="00743D85"/>
    <w:rsid w:val="00744F8B"/>
    <w:rsid w:val="00747D6E"/>
    <w:rsid w:val="00753CF4"/>
    <w:rsid w:val="007565CC"/>
    <w:rsid w:val="007624B1"/>
    <w:rsid w:val="00763B9A"/>
    <w:rsid w:val="007A6AA8"/>
    <w:rsid w:val="007B1357"/>
    <w:rsid w:val="007B3343"/>
    <w:rsid w:val="0082622F"/>
    <w:rsid w:val="008310C9"/>
    <w:rsid w:val="008335F0"/>
    <w:rsid w:val="00834306"/>
    <w:rsid w:val="008407BB"/>
    <w:rsid w:val="00853CC5"/>
    <w:rsid w:val="00870FD9"/>
    <w:rsid w:val="00877E6E"/>
    <w:rsid w:val="008A4D73"/>
    <w:rsid w:val="008B083A"/>
    <w:rsid w:val="008C7848"/>
    <w:rsid w:val="00906589"/>
    <w:rsid w:val="00906AD6"/>
    <w:rsid w:val="00917AF2"/>
    <w:rsid w:val="0092418A"/>
    <w:rsid w:val="00934ED7"/>
    <w:rsid w:val="00940D16"/>
    <w:rsid w:val="009455AF"/>
    <w:rsid w:val="009543C3"/>
    <w:rsid w:val="00966E1B"/>
    <w:rsid w:val="00967B70"/>
    <w:rsid w:val="00972F51"/>
    <w:rsid w:val="00984A02"/>
    <w:rsid w:val="009854FD"/>
    <w:rsid w:val="009947C0"/>
    <w:rsid w:val="009A219A"/>
    <w:rsid w:val="009A4039"/>
    <w:rsid w:val="009A41F9"/>
    <w:rsid w:val="009D4BBD"/>
    <w:rsid w:val="009F2D2C"/>
    <w:rsid w:val="009F5580"/>
    <w:rsid w:val="00A03C0E"/>
    <w:rsid w:val="00A16BE1"/>
    <w:rsid w:val="00A239D1"/>
    <w:rsid w:val="00A25EE2"/>
    <w:rsid w:val="00A31928"/>
    <w:rsid w:val="00A35B27"/>
    <w:rsid w:val="00A507D4"/>
    <w:rsid w:val="00A5147A"/>
    <w:rsid w:val="00A62A14"/>
    <w:rsid w:val="00A634FE"/>
    <w:rsid w:val="00A6617B"/>
    <w:rsid w:val="00A71FE5"/>
    <w:rsid w:val="00A7534B"/>
    <w:rsid w:val="00A76007"/>
    <w:rsid w:val="00A8326A"/>
    <w:rsid w:val="00A86DD2"/>
    <w:rsid w:val="00A936CB"/>
    <w:rsid w:val="00A941C1"/>
    <w:rsid w:val="00A971A1"/>
    <w:rsid w:val="00AA3AD8"/>
    <w:rsid w:val="00AB0DC8"/>
    <w:rsid w:val="00AB405C"/>
    <w:rsid w:val="00AC015D"/>
    <w:rsid w:val="00AE698D"/>
    <w:rsid w:val="00AF0286"/>
    <w:rsid w:val="00AF5326"/>
    <w:rsid w:val="00B019A2"/>
    <w:rsid w:val="00B0286E"/>
    <w:rsid w:val="00B033C8"/>
    <w:rsid w:val="00B111CE"/>
    <w:rsid w:val="00B160A7"/>
    <w:rsid w:val="00B233F6"/>
    <w:rsid w:val="00B33425"/>
    <w:rsid w:val="00B42334"/>
    <w:rsid w:val="00B44E24"/>
    <w:rsid w:val="00B54ECC"/>
    <w:rsid w:val="00B60AC0"/>
    <w:rsid w:val="00B714F3"/>
    <w:rsid w:val="00B758CE"/>
    <w:rsid w:val="00B75A52"/>
    <w:rsid w:val="00B76F31"/>
    <w:rsid w:val="00B851DD"/>
    <w:rsid w:val="00B874C6"/>
    <w:rsid w:val="00B87B6B"/>
    <w:rsid w:val="00B9169E"/>
    <w:rsid w:val="00B96572"/>
    <w:rsid w:val="00BB7886"/>
    <w:rsid w:val="00BC5D77"/>
    <w:rsid w:val="00BD4283"/>
    <w:rsid w:val="00BF487A"/>
    <w:rsid w:val="00BF5544"/>
    <w:rsid w:val="00C15F3E"/>
    <w:rsid w:val="00C33899"/>
    <w:rsid w:val="00C46BD9"/>
    <w:rsid w:val="00C55258"/>
    <w:rsid w:val="00C73560"/>
    <w:rsid w:val="00C84DB7"/>
    <w:rsid w:val="00C87A35"/>
    <w:rsid w:val="00CB0F14"/>
    <w:rsid w:val="00CD659B"/>
    <w:rsid w:val="00CE0A43"/>
    <w:rsid w:val="00CF130D"/>
    <w:rsid w:val="00D00118"/>
    <w:rsid w:val="00D0483A"/>
    <w:rsid w:val="00D16749"/>
    <w:rsid w:val="00D23F34"/>
    <w:rsid w:val="00D34F24"/>
    <w:rsid w:val="00D5024B"/>
    <w:rsid w:val="00D61962"/>
    <w:rsid w:val="00D72623"/>
    <w:rsid w:val="00D83556"/>
    <w:rsid w:val="00DE5556"/>
    <w:rsid w:val="00DF4176"/>
    <w:rsid w:val="00E0095C"/>
    <w:rsid w:val="00E17240"/>
    <w:rsid w:val="00E73906"/>
    <w:rsid w:val="00E74595"/>
    <w:rsid w:val="00E77485"/>
    <w:rsid w:val="00EB1CB6"/>
    <w:rsid w:val="00EB7C57"/>
    <w:rsid w:val="00ED1EFA"/>
    <w:rsid w:val="00ED2695"/>
    <w:rsid w:val="00ED3CA8"/>
    <w:rsid w:val="00EE04BA"/>
    <w:rsid w:val="00EE47C4"/>
    <w:rsid w:val="00EF2D52"/>
    <w:rsid w:val="00F111D6"/>
    <w:rsid w:val="00F17CED"/>
    <w:rsid w:val="00F30C9B"/>
    <w:rsid w:val="00F354B1"/>
    <w:rsid w:val="00F354D7"/>
    <w:rsid w:val="00F6343F"/>
    <w:rsid w:val="00F72776"/>
    <w:rsid w:val="00F77360"/>
    <w:rsid w:val="00F92A40"/>
    <w:rsid w:val="00FB0E4E"/>
    <w:rsid w:val="00FE79FE"/>
    <w:rsid w:val="00FF322B"/>
    <w:rsid w:val="00FF6E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47DEA785"/>
  <w15:docId w15:val="{5A742A11-F6E7-439A-A348-D8803A1C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7E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3B367D"/>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3B367D"/>
    <w:pPr>
      <w:spacing w:before="240"/>
    </w:pPr>
    <w:rPr>
      <w:sz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link w:val="FootnoteTextChar"/>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3B367D"/>
    <w:pPr>
      <w:spacing w:after="480"/>
    </w:pPr>
    <w:rPr>
      <w:sz w:val="22"/>
      <w:lang w:val="es-ES_tradnl"/>
    </w:rPr>
  </w:style>
  <w:style w:type="character" w:styleId="Hyperlink">
    <w:name w:val="Hyperlink"/>
    <w:aliases w:val="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2B37E9"/>
    <w:rPr>
      <w:b/>
      <w:sz w:val="24"/>
      <w:lang w:val="es-ES" w:eastAsia="en-US"/>
    </w:rPr>
  </w:style>
  <w:style w:type="character" w:customStyle="1" w:styleId="Heading2Char">
    <w:name w:val="Heading 2 Char"/>
    <w:basedOn w:val="DefaultParagraphFont"/>
    <w:link w:val="Heading2"/>
    <w:rsid w:val="002B37E9"/>
    <w:rPr>
      <w:b/>
      <w:sz w:val="24"/>
      <w:lang w:val="es-ES" w:eastAsia="en-US"/>
    </w:rPr>
  </w:style>
  <w:style w:type="character" w:customStyle="1" w:styleId="Heading3Char">
    <w:name w:val="Heading 3 Char"/>
    <w:basedOn w:val="DefaultParagraphFont"/>
    <w:link w:val="Heading3"/>
    <w:rsid w:val="002B37E9"/>
    <w:rPr>
      <w:b/>
      <w:sz w:val="24"/>
      <w:lang w:val="es-ES" w:eastAsia="en-US"/>
    </w:rPr>
  </w:style>
  <w:style w:type="character" w:customStyle="1" w:styleId="Heading4Char">
    <w:name w:val="Heading 4 Char"/>
    <w:basedOn w:val="DefaultParagraphFont"/>
    <w:link w:val="Heading4"/>
    <w:rsid w:val="002B37E9"/>
    <w:rPr>
      <w:b/>
      <w:sz w:val="24"/>
      <w:lang w:val="es-ES" w:eastAsia="en-US"/>
    </w:rPr>
  </w:style>
  <w:style w:type="character" w:customStyle="1" w:styleId="Heading5Char">
    <w:name w:val="Heading 5 Char"/>
    <w:basedOn w:val="DefaultParagraphFont"/>
    <w:link w:val="Heading5"/>
    <w:rsid w:val="002B37E9"/>
    <w:rPr>
      <w:b/>
      <w:sz w:val="24"/>
      <w:lang w:val="es-ES" w:eastAsia="en-US"/>
    </w:rPr>
  </w:style>
  <w:style w:type="character" w:customStyle="1" w:styleId="Heading6Char">
    <w:name w:val="Heading 6 Char"/>
    <w:basedOn w:val="DefaultParagraphFont"/>
    <w:link w:val="Heading6"/>
    <w:rsid w:val="002B37E9"/>
    <w:rPr>
      <w:b/>
      <w:sz w:val="24"/>
      <w:lang w:val="es-ES" w:eastAsia="en-US"/>
    </w:rPr>
  </w:style>
  <w:style w:type="character" w:customStyle="1" w:styleId="Heading7Char">
    <w:name w:val="Heading 7 Char"/>
    <w:basedOn w:val="DefaultParagraphFont"/>
    <w:link w:val="Heading7"/>
    <w:rsid w:val="002B37E9"/>
    <w:rPr>
      <w:b/>
      <w:sz w:val="24"/>
      <w:lang w:val="es-ES" w:eastAsia="en-US"/>
    </w:rPr>
  </w:style>
  <w:style w:type="character" w:customStyle="1" w:styleId="Heading8Char">
    <w:name w:val="Heading 8 Char"/>
    <w:basedOn w:val="DefaultParagraphFont"/>
    <w:link w:val="Heading8"/>
    <w:rsid w:val="002B37E9"/>
    <w:rPr>
      <w:b/>
      <w:sz w:val="24"/>
      <w:lang w:val="es-ES" w:eastAsia="en-US"/>
    </w:rPr>
  </w:style>
  <w:style w:type="character" w:customStyle="1" w:styleId="Heading9Char">
    <w:name w:val="Heading 9 Char"/>
    <w:basedOn w:val="DefaultParagraphFont"/>
    <w:link w:val="Heading9"/>
    <w:rsid w:val="002B37E9"/>
    <w:rPr>
      <w:b/>
      <w:sz w:val="24"/>
      <w:lang w:val="es-ES" w:eastAsia="en-US"/>
    </w:rPr>
  </w:style>
  <w:style w:type="character" w:customStyle="1" w:styleId="FooterChar">
    <w:name w:val="Footer Char"/>
    <w:basedOn w:val="DefaultParagraphFont"/>
    <w:link w:val="Footer"/>
    <w:rsid w:val="002B37E9"/>
    <w:rPr>
      <w:noProof/>
      <w:sz w:val="18"/>
      <w:lang w:val="es-ES" w:eastAsia="en-US"/>
    </w:rPr>
  </w:style>
  <w:style w:type="character" w:customStyle="1" w:styleId="HeadingbChar">
    <w:name w:val="Heading_b Char"/>
    <w:basedOn w:val="DefaultParagraphFont"/>
    <w:link w:val="Headingb"/>
    <w:locked/>
    <w:rsid w:val="002B37E9"/>
    <w:rPr>
      <w:b/>
      <w:sz w:val="24"/>
      <w:lang w:val="es-ES" w:eastAsia="en-US"/>
    </w:rPr>
  </w:style>
  <w:style w:type="character" w:customStyle="1" w:styleId="enumlev1Char">
    <w:name w:val="enumlev1 Char"/>
    <w:basedOn w:val="DefaultParagraphFont"/>
    <w:link w:val="enumlev1"/>
    <w:locked/>
    <w:rsid w:val="002B37E9"/>
    <w:rPr>
      <w:sz w:val="24"/>
      <w:lang w:val="es-ES" w:eastAsia="en-US"/>
    </w:rPr>
  </w:style>
  <w:style w:type="character" w:customStyle="1" w:styleId="NormalaftertitleChar">
    <w:name w:val="Normal_after_title Char"/>
    <w:basedOn w:val="DefaultParagraphFont"/>
    <w:link w:val="Normalaftertitle"/>
    <w:locked/>
    <w:rsid w:val="002B37E9"/>
    <w:rPr>
      <w:sz w:val="24"/>
      <w:lang w:val="es-ES" w:eastAsia="en-US"/>
    </w:rPr>
  </w:style>
  <w:style w:type="character" w:customStyle="1" w:styleId="TabletextChar">
    <w:name w:val="Table_text Char"/>
    <w:basedOn w:val="DefaultParagraphFont"/>
    <w:link w:val="Tabletext"/>
    <w:locked/>
    <w:rsid w:val="002B37E9"/>
    <w:rPr>
      <w:sz w:val="22"/>
      <w:lang w:val="es-ES" w:eastAsia="en-US"/>
    </w:rPr>
  </w:style>
  <w:style w:type="character" w:customStyle="1" w:styleId="FigureNoChar">
    <w:name w:val="Figure_No Char"/>
    <w:basedOn w:val="DefaultParagraphFont"/>
    <w:link w:val="FigureNo"/>
    <w:locked/>
    <w:rsid w:val="002B37E9"/>
    <w:rPr>
      <w:caps/>
      <w:sz w:val="18"/>
      <w:lang w:val="es-ES" w:eastAsia="en-US"/>
    </w:rPr>
  </w:style>
  <w:style w:type="character" w:customStyle="1" w:styleId="CallChar">
    <w:name w:val="Call Char"/>
    <w:basedOn w:val="DefaultParagraphFont"/>
    <w:link w:val="Call"/>
    <w:locked/>
    <w:rsid w:val="002B37E9"/>
    <w:rPr>
      <w:i/>
      <w:sz w:val="24"/>
      <w:lang w:val="es-ES" w:eastAsia="en-US"/>
    </w:rPr>
  </w:style>
  <w:style w:type="character" w:customStyle="1" w:styleId="FootnoteTextChar">
    <w:name w:val="Footnote Text Char"/>
    <w:basedOn w:val="DefaultParagraphFont"/>
    <w:link w:val="FootnoteText"/>
    <w:semiHidden/>
    <w:rsid w:val="002B37E9"/>
    <w:rPr>
      <w:sz w:val="22"/>
      <w:lang w:val="es-ES" w:eastAsia="en-US"/>
    </w:rPr>
  </w:style>
  <w:style w:type="paragraph" w:customStyle="1" w:styleId="Table-f">
    <w:name w:val="Table-f"/>
    <w:basedOn w:val="Tablelegend"/>
    <w:rsid w:val="002B37E9"/>
    <w:pPr>
      <w:ind w:left="1701" w:right="1383" w:hanging="425"/>
    </w:pPr>
    <w:rPr>
      <w:sz w:val="20"/>
      <w:lang w:val="fr-FR"/>
    </w:rPr>
  </w:style>
  <w:style w:type="paragraph" w:styleId="NormalWeb">
    <w:name w:val="Normal (Web)"/>
    <w:basedOn w:val="Normal"/>
    <w:uiPriority w:val="99"/>
    <w:unhideWhenUsed/>
    <w:rsid w:val="002B37E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eastAsia="zh-CN"/>
    </w:rPr>
  </w:style>
  <w:style w:type="character" w:customStyle="1" w:styleId="TableheadChar">
    <w:name w:val="Table_head Char"/>
    <w:link w:val="Tablehead"/>
    <w:locked/>
    <w:rsid w:val="002B37E9"/>
    <w:rPr>
      <w:b/>
      <w:sz w:val="22"/>
      <w:lang w:val="es-ES" w:eastAsia="en-US"/>
    </w:rPr>
  </w:style>
  <w:style w:type="paragraph" w:styleId="Index5">
    <w:name w:val="index 5"/>
    <w:basedOn w:val="Normal"/>
    <w:next w:val="Normal"/>
    <w:autoRedefine/>
    <w:semiHidden/>
    <w:unhideWhenUsed/>
    <w:rsid w:val="002B37E9"/>
    <w:pPr>
      <w:tabs>
        <w:tab w:val="clear" w:pos="794"/>
        <w:tab w:val="clear" w:pos="1191"/>
        <w:tab w:val="clear" w:pos="1588"/>
        <w:tab w:val="clear" w:pos="1985"/>
      </w:tabs>
      <w:spacing w:before="0"/>
      <w:ind w:left="1200" w:hanging="240"/>
    </w:pPr>
    <w:rPr>
      <w:lang w:val="fr-FR"/>
    </w:rPr>
  </w:style>
  <w:style w:type="character" w:styleId="CommentReference">
    <w:name w:val="annotation reference"/>
    <w:basedOn w:val="DefaultParagraphFont"/>
    <w:semiHidden/>
    <w:unhideWhenUsed/>
    <w:rsid w:val="002E36B2"/>
    <w:rPr>
      <w:sz w:val="16"/>
      <w:szCs w:val="16"/>
    </w:rPr>
  </w:style>
  <w:style w:type="paragraph" w:styleId="CommentText">
    <w:name w:val="annotation text"/>
    <w:basedOn w:val="Normal"/>
    <w:link w:val="CommentTextChar"/>
    <w:semiHidden/>
    <w:unhideWhenUsed/>
    <w:rsid w:val="002E36B2"/>
    <w:rPr>
      <w:sz w:val="20"/>
    </w:rPr>
  </w:style>
  <w:style w:type="character" w:customStyle="1" w:styleId="CommentTextChar">
    <w:name w:val="Comment Text Char"/>
    <w:basedOn w:val="DefaultParagraphFont"/>
    <w:link w:val="CommentText"/>
    <w:semiHidden/>
    <w:rsid w:val="002E36B2"/>
    <w:rPr>
      <w:lang w:val="es-ES" w:eastAsia="en-US"/>
    </w:rPr>
  </w:style>
  <w:style w:type="paragraph" w:styleId="CommentSubject">
    <w:name w:val="annotation subject"/>
    <w:basedOn w:val="CommentText"/>
    <w:next w:val="CommentText"/>
    <w:link w:val="CommentSubjectChar"/>
    <w:semiHidden/>
    <w:unhideWhenUsed/>
    <w:rsid w:val="002E36B2"/>
    <w:rPr>
      <w:b/>
      <w:bCs/>
    </w:rPr>
  </w:style>
  <w:style w:type="character" w:customStyle="1" w:styleId="CommentSubjectChar">
    <w:name w:val="Comment Subject Char"/>
    <w:basedOn w:val="CommentTextChar"/>
    <w:link w:val="CommentSubject"/>
    <w:semiHidden/>
    <w:rsid w:val="002E36B2"/>
    <w:rPr>
      <w:b/>
      <w:bCs/>
      <w:lang w:val="es-ES" w:eastAsia="en-US"/>
    </w:rPr>
  </w:style>
  <w:style w:type="paragraph" w:styleId="Revision">
    <w:name w:val="Revision"/>
    <w:hidden/>
    <w:uiPriority w:val="99"/>
    <w:semiHidden/>
    <w:rsid w:val="00140923"/>
    <w:rPr>
      <w:sz w:val="24"/>
      <w:lang w:val="es-ES" w:eastAsia="en-US"/>
    </w:rPr>
  </w:style>
  <w:style w:type="paragraph" w:customStyle="1" w:styleId="Reasons">
    <w:name w:val="Reasons"/>
    <w:basedOn w:val="Normal"/>
    <w:qFormat/>
    <w:rsid w:val="00140923"/>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customStyle="1" w:styleId="StyleAppendixNoTitleBefore0pt">
    <w:name w:val="Style Appendix_NoTitle + Before:  0 pt"/>
    <w:basedOn w:val="AppendixNoTitle"/>
    <w:rsid w:val="00480606"/>
    <w:pPr>
      <w:spacing w:before="0"/>
    </w:pPr>
    <w:rPr>
      <w:bCs/>
    </w:rPr>
  </w:style>
  <w:style w:type="character" w:styleId="FollowedHyperlink">
    <w:name w:val="FollowedHyperlink"/>
    <w:basedOn w:val="DefaultParagraphFont"/>
    <w:semiHidden/>
    <w:unhideWhenUsed/>
    <w:rsid w:val="00FF6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8.xml"/><Relationship Id="rId21" Type="http://schemas.openxmlformats.org/officeDocument/2006/relationships/hyperlink" Target="http://www.itu.int/rec/R-REC-F.697/es" TargetMode="External"/><Relationship Id="rId42" Type="http://schemas.openxmlformats.org/officeDocument/2006/relationships/hyperlink" Target="https://www.itu.int/rec/T-REC-G.828/es" TargetMode="External"/><Relationship Id="rId47" Type="http://schemas.openxmlformats.org/officeDocument/2006/relationships/hyperlink" Target="http://www.itu.int/rec/R-REC-F.1668/es" TargetMode="External"/><Relationship Id="rId63" Type="http://schemas.openxmlformats.org/officeDocument/2006/relationships/hyperlink" Target="http://www.itu.int/rec/R-REC-F.1094/es" TargetMode="External"/><Relationship Id="rId68" Type="http://schemas.openxmlformats.org/officeDocument/2006/relationships/hyperlink" Target="http://www.itu.int/rec/R-REC-F.1495/es" TargetMode="External"/><Relationship Id="rId84" Type="http://schemas.openxmlformats.org/officeDocument/2006/relationships/hyperlink" Target="https://www.itu.int/pub/R-REP-SM.2057/es" TargetMode="External"/><Relationship Id="rId89" Type="http://schemas.openxmlformats.org/officeDocument/2006/relationships/hyperlink" Target="http://www.itu.int/rec/R-REC-F.1703/es" TargetMode="External"/><Relationship Id="rId112" Type="http://schemas.openxmlformats.org/officeDocument/2006/relationships/header" Target="header5.xml"/><Relationship Id="rId16" Type="http://schemas.openxmlformats.org/officeDocument/2006/relationships/hyperlink" Target="https://www.itu.int/pub/R-REP-F.2108/es" TargetMode="External"/><Relationship Id="rId107" Type="http://schemas.openxmlformats.org/officeDocument/2006/relationships/hyperlink" Target="http://www.itu.int/rec/R-REC-F.1101/es" TargetMode="External"/><Relationship Id="rId11" Type="http://schemas.openxmlformats.org/officeDocument/2006/relationships/hyperlink" Target="https://www.itu.int/publ/R-REC/es" TargetMode="External"/><Relationship Id="rId32" Type="http://schemas.openxmlformats.org/officeDocument/2006/relationships/hyperlink" Target="http://www.itu.int/rec/R-REC-F.1565/es" TargetMode="External"/><Relationship Id="rId37" Type="http://schemas.openxmlformats.org/officeDocument/2006/relationships/hyperlink" Target="http://www.itu.int/rec/R-REC-F.1703/es" TargetMode="External"/><Relationship Id="rId53" Type="http://schemas.openxmlformats.org/officeDocument/2006/relationships/hyperlink" Target="http://www.itu.int/rec/R-REC-F.697/es" TargetMode="External"/><Relationship Id="rId58" Type="http://schemas.openxmlformats.org/officeDocument/2006/relationships/hyperlink" Target="http://www.itu.int/rec/R-REC-F.697/es" TargetMode="External"/><Relationship Id="rId74" Type="http://schemas.openxmlformats.org/officeDocument/2006/relationships/hyperlink" Target="https://www.itu.int/rec/R-REC-P.530/es" TargetMode="External"/><Relationship Id="rId79" Type="http://schemas.openxmlformats.org/officeDocument/2006/relationships/hyperlink" Target="http://www.itu.int/rec/R-REC-F.1094/es" TargetMode="External"/><Relationship Id="rId102" Type="http://schemas.openxmlformats.org/officeDocument/2006/relationships/hyperlink" Target="http://www.itu.int/rec/R-REC-F.699/es" TargetMode="External"/><Relationship Id="rId123" Type="http://schemas.openxmlformats.org/officeDocument/2006/relationships/header" Target="header13.xml"/><Relationship Id="rId128" Type="http://schemas.openxmlformats.org/officeDocument/2006/relationships/footer" Target="footer4.xml"/><Relationship Id="rId5" Type="http://schemas.openxmlformats.org/officeDocument/2006/relationships/footnotes" Target="footnotes.xml"/><Relationship Id="rId90" Type="http://schemas.openxmlformats.org/officeDocument/2006/relationships/hyperlink" Target="http://www.itu.int/rec/R-REC-F.1494/es" TargetMode="External"/><Relationship Id="rId95" Type="http://schemas.openxmlformats.org/officeDocument/2006/relationships/hyperlink" Target="http://www.itu.int/rec/R-REC-F.1495/es" TargetMode="External"/><Relationship Id="rId22" Type="http://schemas.openxmlformats.org/officeDocument/2006/relationships/hyperlink" Target="https://www.itu.int/rec/R-REC-F.699/es" TargetMode="External"/><Relationship Id="rId27" Type="http://schemas.openxmlformats.org/officeDocument/2006/relationships/hyperlink" Target="http://www.itu.int/rec/R-REC-F.1245/es" TargetMode="External"/><Relationship Id="rId43" Type="http://schemas.openxmlformats.org/officeDocument/2006/relationships/hyperlink" Target="https://www.itu.int/rec/T-REC-G.829/es" TargetMode="External"/><Relationship Id="rId48" Type="http://schemas.openxmlformats.org/officeDocument/2006/relationships/hyperlink" Target="https://www.itu.int/rec/T-REC-G.826/es" TargetMode="External"/><Relationship Id="rId64" Type="http://schemas.openxmlformats.org/officeDocument/2006/relationships/hyperlink" Target="http://www.itu.int/rec/R-REC-F.1094/es" TargetMode="External"/><Relationship Id="rId69" Type="http://schemas.openxmlformats.org/officeDocument/2006/relationships/hyperlink" Target="http://www.itu.int/rec/R-REC-F.1606/es" TargetMode="External"/><Relationship Id="rId113" Type="http://schemas.openxmlformats.org/officeDocument/2006/relationships/header" Target="header6.xml"/><Relationship Id="rId118" Type="http://schemas.openxmlformats.org/officeDocument/2006/relationships/header" Target="header9.xml"/><Relationship Id="rId80" Type="http://schemas.openxmlformats.org/officeDocument/2006/relationships/hyperlink" Target="http://www.itu.int/rec/R-REC-F.1565/es" TargetMode="External"/><Relationship Id="rId85" Type="http://schemas.openxmlformats.org/officeDocument/2006/relationships/hyperlink" Target="http://www.itu.int/rec/R-REC-F.1669/es" TargetMode="External"/><Relationship Id="rId12" Type="http://schemas.openxmlformats.org/officeDocument/2006/relationships/header" Target="header3.xml"/><Relationship Id="rId17" Type="http://schemas.openxmlformats.org/officeDocument/2006/relationships/hyperlink" Target="http://www.itu.int/rec/R-REC-P.581/es" TargetMode="External"/><Relationship Id="rId33" Type="http://schemas.openxmlformats.org/officeDocument/2006/relationships/hyperlink" Target="http://www.itu.int/rec/R-REC-F.1606/es" TargetMode="External"/><Relationship Id="rId38" Type="http://schemas.openxmlformats.org/officeDocument/2006/relationships/hyperlink" Target="http://www.itu.int/rec/R-REC-F.2086/es" TargetMode="External"/><Relationship Id="rId59" Type="http://schemas.openxmlformats.org/officeDocument/2006/relationships/hyperlink" Target="http://www.itu.int/rec/R-REC-F.1703/es" TargetMode="External"/><Relationship Id="rId103" Type="http://schemas.openxmlformats.org/officeDocument/2006/relationships/hyperlink" Target="http://www.itu.int/rec/R-REC-F.1245/es" TargetMode="External"/><Relationship Id="rId108" Type="http://schemas.openxmlformats.org/officeDocument/2006/relationships/hyperlink" Target="http://www.itu.int/rec/R-REC-F.1094/es" TargetMode="External"/><Relationship Id="rId124" Type="http://schemas.openxmlformats.org/officeDocument/2006/relationships/header" Target="header14.xml"/><Relationship Id="rId129" Type="http://schemas.openxmlformats.org/officeDocument/2006/relationships/fontTable" Target="fontTable.xml"/><Relationship Id="rId54" Type="http://schemas.openxmlformats.org/officeDocument/2006/relationships/hyperlink" Target="http://www.itu.int/rec/R-REC-F.1703/es" TargetMode="External"/><Relationship Id="rId70" Type="http://schemas.openxmlformats.org/officeDocument/2006/relationships/hyperlink" Target="http://www.itu.int/rec/R-REC-F.1669/es" TargetMode="External"/><Relationship Id="rId75" Type="http://schemas.openxmlformats.org/officeDocument/2006/relationships/hyperlink" Target="http://www.itu.int/rec/R-REC-F.1494/es" TargetMode="External"/><Relationship Id="rId91" Type="http://schemas.openxmlformats.org/officeDocument/2006/relationships/hyperlink" Target="http://www.itu.int/rec/R-REC-F.1495/es" TargetMode="External"/><Relationship Id="rId96" Type="http://schemas.openxmlformats.org/officeDocument/2006/relationships/hyperlink" Target="http://www.itu.int/rec/R-REC-F.1606/e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itu.int/rec/R-REC-SF.766/es" TargetMode="External"/><Relationship Id="rId28" Type="http://schemas.openxmlformats.org/officeDocument/2006/relationships/hyperlink" Target="http://www.itu.int/rec/R-REC-F.1336/es" TargetMode="External"/><Relationship Id="rId49" Type="http://schemas.openxmlformats.org/officeDocument/2006/relationships/hyperlink" Target="https://www.itu.int/rec/T-REC-G.828/es" TargetMode="External"/><Relationship Id="rId114" Type="http://schemas.openxmlformats.org/officeDocument/2006/relationships/footer" Target="footer2.xml"/><Relationship Id="rId119" Type="http://schemas.openxmlformats.org/officeDocument/2006/relationships/header" Target="header10.xml"/><Relationship Id="rId44" Type="http://schemas.openxmlformats.org/officeDocument/2006/relationships/hyperlink" Target="https://www.itu.int/pub/R-REP-F.2108/es" TargetMode="External"/><Relationship Id="rId60" Type="http://schemas.openxmlformats.org/officeDocument/2006/relationships/hyperlink" Target="http://www.itu.int/rec/R-REC-P.581/es" TargetMode="External"/><Relationship Id="rId65" Type="http://schemas.openxmlformats.org/officeDocument/2006/relationships/hyperlink" Target="http://www.itu.int/rec/R-REC-SF.766/es" TargetMode="External"/><Relationship Id="rId81" Type="http://schemas.openxmlformats.org/officeDocument/2006/relationships/hyperlink" Target="http://www.itu.int/rec/R-REC-F.1094/es" TargetMode="External"/><Relationship Id="rId86" Type="http://schemas.openxmlformats.org/officeDocument/2006/relationships/hyperlink" Target="http://www.itu.int/rec/R-REC-F.1094/es" TargetMode="External"/><Relationship Id="rId130" Type="http://schemas.openxmlformats.org/officeDocument/2006/relationships/theme" Target="theme/theme1.xml"/><Relationship Id="rId13" Type="http://schemas.openxmlformats.org/officeDocument/2006/relationships/header" Target="header4.xml"/><Relationship Id="rId18" Type="http://schemas.openxmlformats.org/officeDocument/2006/relationships/hyperlink" Target="http://www.itu.int/rec/R-REC-F.634/es" TargetMode="External"/><Relationship Id="rId39" Type="http://schemas.openxmlformats.org/officeDocument/2006/relationships/hyperlink" Target="https://www.itu.int/pub/R-REP-F.2108/es" TargetMode="External"/><Relationship Id="rId109" Type="http://schemas.openxmlformats.org/officeDocument/2006/relationships/hyperlink" Target="https://www.itu.int/rec/R-REC-SM.1757/es" TargetMode="External"/><Relationship Id="rId34" Type="http://schemas.openxmlformats.org/officeDocument/2006/relationships/hyperlink" Target="http://www.itu.int/rec/R-REC-SF.1650/es" TargetMode="External"/><Relationship Id="rId50" Type="http://schemas.openxmlformats.org/officeDocument/2006/relationships/hyperlink" Target="https://www.itu.int/rec/T-REC-G.829/es" TargetMode="External"/><Relationship Id="rId55" Type="http://schemas.openxmlformats.org/officeDocument/2006/relationships/hyperlink" Target="https://www.itu.int/rec/T-REC-G.827/es" TargetMode="External"/><Relationship Id="rId76" Type="http://schemas.openxmlformats.org/officeDocument/2006/relationships/hyperlink" Target="http://www.itu.int/rec/R-REC-F.1495/es" TargetMode="External"/><Relationship Id="rId97" Type="http://schemas.openxmlformats.org/officeDocument/2006/relationships/hyperlink" Target="http://www.itu.int/rec/R-REC-F.1669/es" TargetMode="External"/><Relationship Id="rId104" Type="http://schemas.openxmlformats.org/officeDocument/2006/relationships/hyperlink" Target="http://www.itu.int/rec/R-REC-F.1336/es" TargetMode="External"/><Relationship Id="rId120" Type="http://schemas.openxmlformats.org/officeDocument/2006/relationships/header" Target="header11.xml"/><Relationship Id="rId125" Type="http://schemas.openxmlformats.org/officeDocument/2006/relationships/header" Target="header15.xml"/><Relationship Id="rId7" Type="http://schemas.openxmlformats.org/officeDocument/2006/relationships/header" Target="header1.xml"/><Relationship Id="rId71" Type="http://schemas.openxmlformats.org/officeDocument/2006/relationships/hyperlink" Target="http://www.itu.int/rec/R-REC-SF.1650/es" TargetMode="External"/><Relationship Id="rId92" Type="http://schemas.openxmlformats.org/officeDocument/2006/relationships/hyperlink" Target="http://www.itu.int/rec/R-REC-F.1606/es" TargetMode="External"/><Relationship Id="rId2" Type="http://schemas.openxmlformats.org/officeDocument/2006/relationships/styles" Target="styles.xml"/><Relationship Id="rId29" Type="http://schemas.openxmlformats.org/officeDocument/2006/relationships/hyperlink" Target="http://www.itu.int/rec/R-REC-SF.1448/es" TargetMode="External"/><Relationship Id="rId24" Type="http://schemas.openxmlformats.org/officeDocument/2006/relationships/hyperlink" Target="http://www.itu.int/rec/R-REC-F.1094/es" TargetMode="External"/><Relationship Id="rId40" Type="http://schemas.openxmlformats.org/officeDocument/2006/relationships/hyperlink" Target="https://www.itu.int/rec/T-REC-G.826/es" TargetMode="External"/><Relationship Id="rId45" Type="http://schemas.openxmlformats.org/officeDocument/2006/relationships/hyperlink" Target="http://www.itu.int/rec/R-REC-F.1094/es" TargetMode="External"/><Relationship Id="rId66" Type="http://schemas.openxmlformats.org/officeDocument/2006/relationships/hyperlink" Target="http://www.itu.int/rec/R-REC-SF.1448/es" TargetMode="External"/><Relationship Id="rId87" Type="http://schemas.openxmlformats.org/officeDocument/2006/relationships/hyperlink" Target="http://www.itu.int/rec/R-REC-F.1565/es" TargetMode="External"/><Relationship Id="rId110" Type="http://schemas.openxmlformats.org/officeDocument/2006/relationships/hyperlink" Target="https://www.itu.int/rec/R-REC-SM.1757/es" TargetMode="External"/><Relationship Id="rId115" Type="http://schemas.openxmlformats.org/officeDocument/2006/relationships/footer" Target="footer3.xml"/><Relationship Id="rId61" Type="http://schemas.openxmlformats.org/officeDocument/2006/relationships/hyperlink" Target="http://www.itu.int/rec/R-REC-F.1108/es" TargetMode="External"/><Relationship Id="rId82" Type="http://schemas.openxmlformats.org/officeDocument/2006/relationships/hyperlink" Target="https://www.itu.int/rec/R-REC-F.1097/es" TargetMode="External"/><Relationship Id="rId19" Type="http://schemas.openxmlformats.org/officeDocument/2006/relationships/hyperlink" Target="http://www.itu.int/rec/R-REC-F.695/es" TargetMode="External"/><Relationship Id="rId14" Type="http://schemas.openxmlformats.org/officeDocument/2006/relationships/hyperlink" Target="https://www.itu.int/pub/R-QUE-SG05.252/es" TargetMode="External"/><Relationship Id="rId30" Type="http://schemas.openxmlformats.org/officeDocument/2006/relationships/hyperlink" Target="http://www.itu.int/rec/R-REC-F.1494/es" TargetMode="External"/><Relationship Id="rId35" Type="http://schemas.openxmlformats.org/officeDocument/2006/relationships/hyperlink" Target="http://www.itu.int/rec/R-REC-F.1668/es" TargetMode="External"/><Relationship Id="rId56" Type="http://schemas.openxmlformats.org/officeDocument/2006/relationships/hyperlink" Target="http://www.itu.int/rec/R-REC-F.695/es" TargetMode="External"/><Relationship Id="rId77" Type="http://schemas.openxmlformats.org/officeDocument/2006/relationships/hyperlink" Target="http://www.itu.int/rec/R-REC-F.1606/es" TargetMode="External"/><Relationship Id="rId100" Type="http://schemas.openxmlformats.org/officeDocument/2006/relationships/hyperlink" Target="http://www.itu.int/rec/R-REC-F.1336/es" TargetMode="External"/><Relationship Id="rId105" Type="http://schemas.openxmlformats.org/officeDocument/2006/relationships/hyperlink" Target="http://www.itu.int/rec/R-REC-F.1101/es" TargetMode="External"/><Relationship Id="rId126" Type="http://schemas.openxmlformats.org/officeDocument/2006/relationships/hyperlink" Target="https://www.itu.int/rec/R-REC-F.701/es" TargetMode="External"/><Relationship Id="rId8" Type="http://schemas.openxmlformats.org/officeDocument/2006/relationships/header" Target="header2.xml"/><Relationship Id="rId51" Type="http://schemas.openxmlformats.org/officeDocument/2006/relationships/hyperlink" Target="http://www.itu.int/rec/R-REC-F.634/es" TargetMode="External"/><Relationship Id="rId72" Type="http://schemas.openxmlformats.org/officeDocument/2006/relationships/hyperlink" Target="http://www.itu.int/rec/R-REC-F.1108/es" TargetMode="External"/><Relationship Id="rId93" Type="http://schemas.openxmlformats.org/officeDocument/2006/relationships/hyperlink" Target="https://www.itu.int/pub/R-REP-M.2119/es" TargetMode="External"/><Relationship Id="rId98" Type="http://schemas.openxmlformats.org/officeDocument/2006/relationships/hyperlink" Target="http://www.itu.int/rec/R-REC-F.699/es" TargetMode="External"/><Relationship Id="rId121" Type="http://schemas.openxmlformats.org/officeDocument/2006/relationships/hyperlink" Target="https://www.itu.int/pub/R-REP-F.2108/es" TargetMode="External"/><Relationship Id="rId3" Type="http://schemas.openxmlformats.org/officeDocument/2006/relationships/settings" Target="settings.xml"/><Relationship Id="rId25" Type="http://schemas.openxmlformats.org/officeDocument/2006/relationships/hyperlink" Target="http://www.itu.int/rec/R-REC-F.1101/es" TargetMode="External"/><Relationship Id="rId46" Type="http://schemas.openxmlformats.org/officeDocument/2006/relationships/hyperlink" Target="http://www.itu.int/rec/R-REC-F.2086/es" TargetMode="External"/><Relationship Id="rId67" Type="http://schemas.openxmlformats.org/officeDocument/2006/relationships/hyperlink" Target="http://www.itu.int/rec/R-REC-F.1494/es" TargetMode="External"/><Relationship Id="rId116" Type="http://schemas.openxmlformats.org/officeDocument/2006/relationships/header" Target="header7.xml"/><Relationship Id="rId20" Type="http://schemas.openxmlformats.org/officeDocument/2006/relationships/hyperlink" Target="http://www.itu.int/rec/R-REC-F.696/es" TargetMode="External"/><Relationship Id="rId41" Type="http://schemas.openxmlformats.org/officeDocument/2006/relationships/hyperlink" Target="https://www.itu.int/rec/T-REC-G.827/es" TargetMode="External"/><Relationship Id="rId62" Type="http://schemas.openxmlformats.org/officeDocument/2006/relationships/hyperlink" Target="http://www.itu.int/rec/R-REC-F.1495/es" TargetMode="External"/><Relationship Id="rId83" Type="http://schemas.openxmlformats.org/officeDocument/2006/relationships/hyperlink" Target="https://www.itu.int/rec/R-REC-SM.1757/es" TargetMode="External"/><Relationship Id="rId88" Type="http://schemas.openxmlformats.org/officeDocument/2006/relationships/hyperlink" Target="http://www.itu.int/rec/R-REC-F.1565/es" TargetMode="External"/><Relationship Id="rId111" Type="http://schemas.openxmlformats.org/officeDocument/2006/relationships/hyperlink" Target="http://www.itu.int/rec/R-REC-F.1094/es" TargetMode="External"/><Relationship Id="rId15" Type="http://schemas.openxmlformats.org/officeDocument/2006/relationships/hyperlink" Target="http://www.itu.int/rec/R-REC-F.1094/es" TargetMode="External"/><Relationship Id="rId36" Type="http://schemas.openxmlformats.org/officeDocument/2006/relationships/hyperlink" Target="http://www.itu.int/rec/R-REC-F.1669/es" TargetMode="External"/><Relationship Id="rId57" Type="http://schemas.openxmlformats.org/officeDocument/2006/relationships/hyperlink" Target="http://www.itu.int/rec/R-REC-F.696/es" TargetMode="External"/><Relationship Id="rId106" Type="http://schemas.openxmlformats.org/officeDocument/2006/relationships/hyperlink" Target="http://www.itu.int/rec/R-REC-F.1101/es" TargetMode="External"/><Relationship Id="rId127" Type="http://schemas.openxmlformats.org/officeDocument/2006/relationships/header" Target="header16.xml"/><Relationship Id="rId10" Type="http://schemas.openxmlformats.org/officeDocument/2006/relationships/hyperlink" Target="http://www.itu.int/ITU-R/go/patents/es" TargetMode="External"/><Relationship Id="rId31" Type="http://schemas.openxmlformats.org/officeDocument/2006/relationships/hyperlink" Target="http://www.itu.int/rec/R-REC-F.1495/es" TargetMode="External"/><Relationship Id="rId52" Type="http://schemas.openxmlformats.org/officeDocument/2006/relationships/hyperlink" Target="http://www.itu.int/rec/R-REC-F.696/es" TargetMode="External"/><Relationship Id="rId73" Type="http://schemas.openxmlformats.org/officeDocument/2006/relationships/hyperlink" Target="http://www.itu.int/rec/R-REC-F.1108/es" TargetMode="External"/><Relationship Id="rId78" Type="http://schemas.openxmlformats.org/officeDocument/2006/relationships/hyperlink" Target="http://www.itu.int/rec/R-REC-F.1094/es" TargetMode="External"/><Relationship Id="rId94" Type="http://schemas.openxmlformats.org/officeDocument/2006/relationships/hyperlink" Target="http://www.itu.int/rec/R-REC-F.1494/es" TargetMode="External"/><Relationship Id="rId99" Type="http://schemas.openxmlformats.org/officeDocument/2006/relationships/hyperlink" Target="http://www.itu.int/rec/R-REC-F.1245/es" TargetMode="External"/><Relationship Id="rId101" Type="http://schemas.openxmlformats.org/officeDocument/2006/relationships/hyperlink" Target="http://www.itu.int/rec/R-REC-F.1101/es" TargetMode="External"/><Relationship Id="rId122"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www.itu.int/rec/R-REC-F.1108/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Local\Temp\c478da7e-8b83-44ab-9b6e-4deec88e2e25_2023-ITU-R_REC_S.zip.e25\2023-ITU-R_REC_F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2023-ITU-R_REC_F_S.dotx</Template>
  <TotalTime>628</TotalTime>
  <Pages>47</Pages>
  <Words>20181</Words>
  <Characters>115327</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Recomendación UIT-R F.758-8 (02/2025) - Parámetros de sistema y consideraciones relativas a la elaboración de criterios para la compartición o la compatibilidad entre los sistemas inalámbricos fijos digitales del servicio fijo y sistemas de otros servicio</vt:lpstr>
    </vt:vector>
  </TitlesOfParts>
  <Manager/>
  <Company>ITU</Company>
  <LinksUpToDate>false</LinksUpToDate>
  <CharactersWithSpaces>135238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F.758-8 (02/2025) - Parámetros de sistema y consideraciones relativas a la elaboración de criterios para la compartición o la compatibilidad entre los sistemas inalámbricos fijos digitales del servicio fijo y sistemas de otros servicios y otras fuentes de interferencia</dc:title>
  <dc:subject>Serie F = Servicio fijo</dc:subject>
  <dc:creator>Oficina de Radiocomunicaciones del UIT (BR)</dc:creator>
  <cp:keywords>Compatibilidad, criterios de compartición, servicio fijo</cp:keywords>
  <dc:description>Saez, 12/05/2025, ITU51017659</dc:description>
  <cp:lastModifiedBy>Saez Grau, Ricardo</cp:lastModifiedBy>
  <cp:revision>20</cp:revision>
  <cp:lastPrinted>2025-05-13T08:49:00Z</cp:lastPrinted>
  <dcterms:created xsi:type="dcterms:W3CDTF">2025-05-12T08:58:00Z</dcterms:created>
  <dcterms:modified xsi:type="dcterms:W3CDTF">2025-05-13T08:52:00Z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12 May 2025</vt:lpwstr>
  </property>
</Properties>
</file>