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C4CE5" w14:textId="77777777" w:rsidR="007A6D9D" w:rsidRPr="00075DC8" w:rsidRDefault="007A6D9D" w:rsidP="007A6D9D">
      <w:pPr>
        <w:rPr>
          <w:lang w:val="fr-FR"/>
        </w:rPr>
      </w:pPr>
    </w:p>
    <w:p w14:paraId="71EE9666" w14:textId="77777777" w:rsidR="007A6D9D" w:rsidRPr="00075DC8" w:rsidRDefault="007A6D9D" w:rsidP="007A6D9D">
      <w:pPr>
        <w:tabs>
          <w:tab w:val="clear" w:pos="794"/>
          <w:tab w:val="clear" w:pos="1191"/>
          <w:tab w:val="clear" w:pos="1588"/>
          <w:tab w:val="clear" w:pos="1985"/>
        </w:tabs>
        <w:rPr>
          <w:lang w:val="fr-FR"/>
        </w:rPr>
      </w:pPr>
    </w:p>
    <w:p w14:paraId="690CC382" w14:textId="64FE904E" w:rsidR="007A6D9D" w:rsidRPr="00075DC8" w:rsidRDefault="007A6D9D" w:rsidP="007A6D9D">
      <w:pPr>
        <w:pStyle w:val="CoverNumber"/>
        <w:rPr>
          <w:lang w:val="fr-FR"/>
        </w:rPr>
      </w:pPr>
      <w:r w:rsidRPr="00075DC8">
        <w:rPr>
          <w:lang w:val="fr-FR"/>
        </w:rPr>
        <w:t>Recommandation UIT-R F.</w:t>
      </w:r>
      <w:r w:rsidR="00725E50" w:rsidRPr="00075DC8">
        <w:rPr>
          <w:lang w:val="fr-FR"/>
        </w:rPr>
        <w:t>7</w:t>
      </w:r>
      <w:r w:rsidR="001B13CB">
        <w:rPr>
          <w:lang w:val="fr-FR"/>
        </w:rPr>
        <w:t>58</w:t>
      </w:r>
      <w:r w:rsidR="00725E50" w:rsidRPr="00075DC8">
        <w:rPr>
          <w:lang w:val="fr-FR"/>
        </w:rPr>
        <w:t>-8</w:t>
      </w:r>
    </w:p>
    <w:p w14:paraId="29B54731" w14:textId="5B6A899B" w:rsidR="007A6D9D" w:rsidRPr="00075DC8" w:rsidRDefault="007A6D9D" w:rsidP="007A6D9D">
      <w:pPr>
        <w:pStyle w:val="CoverDate"/>
        <w:rPr>
          <w:lang w:val="fr-FR"/>
        </w:rPr>
      </w:pPr>
      <w:r w:rsidRPr="00075DC8">
        <w:rPr>
          <w:lang w:val="fr-FR"/>
        </w:rPr>
        <w:t>(</w:t>
      </w:r>
      <w:r w:rsidR="00725E50" w:rsidRPr="00075DC8">
        <w:rPr>
          <w:lang w:val="fr-FR"/>
        </w:rPr>
        <w:t>02</w:t>
      </w:r>
      <w:r w:rsidRPr="00075DC8">
        <w:rPr>
          <w:lang w:val="fr-FR"/>
        </w:rPr>
        <w:t>/</w:t>
      </w:r>
      <w:r w:rsidR="00725E50" w:rsidRPr="00075DC8">
        <w:rPr>
          <w:lang w:val="fr-FR"/>
        </w:rPr>
        <w:t>2025</w:t>
      </w:r>
      <w:r w:rsidRPr="00075DC8">
        <w:rPr>
          <w:lang w:val="fr-FR"/>
        </w:rPr>
        <w:t>)</w:t>
      </w:r>
    </w:p>
    <w:p w14:paraId="2A78EB09" w14:textId="77777777" w:rsidR="007A6D9D" w:rsidRPr="00075DC8" w:rsidRDefault="007A6D9D" w:rsidP="007A6D9D">
      <w:pPr>
        <w:pStyle w:val="CoverSeries"/>
        <w:rPr>
          <w:lang w:val="fr-FR"/>
        </w:rPr>
      </w:pPr>
      <w:r w:rsidRPr="00075DC8">
        <w:rPr>
          <w:lang w:val="fr-FR"/>
        </w:rPr>
        <w:t>Série F: Service fixe</w:t>
      </w:r>
    </w:p>
    <w:p w14:paraId="7BDD6FA3" w14:textId="70E0D89A" w:rsidR="007A6D9D" w:rsidRPr="00075DC8" w:rsidRDefault="00725E50" w:rsidP="007A6D9D">
      <w:pPr>
        <w:pStyle w:val="CoverTitle"/>
        <w:rPr>
          <w:lang w:val="fr-FR"/>
        </w:rPr>
      </w:pPr>
      <w:r w:rsidRPr="00075DC8">
        <w:rPr>
          <w:lang w:val="fr-FR"/>
        </w:rPr>
        <w:t>Paramètres des systèmes et considérations relatives à la mise au point de critères pour le partage ou la compatibilité entre les systèmes hertziens fixes numériques du service fixe et les systèmes d</w:t>
      </w:r>
      <w:r w:rsidR="001F6A0D" w:rsidRPr="00075DC8">
        <w:rPr>
          <w:lang w:val="fr-FR"/>
        </w:rPr>
        <w:t>'</w:t>
      </w:r>
      <w:r w:rsidRPr="00075DC8">
        <w:rPr>
          <w:lang w:val="fr-FR"/>
        </w:rPr>
        <w:t>autres services ainsi que d</w:t>
      </w:r>
      <w:r w:rsidR="001F6A0D" w:rsidRPr="00075DC8">
        <w:rPr>
          <w:lang w:val="fr-FR"/>
        </w:rPr>
        <w:t>'</w:t>
      </w:r>
      <w:r w:rsidRPr="00075DC8">
        <w:rPr>
          <w:lang w:val="fr-FR"/>
        </w:rPr>
        <w:t>autres sources de brouillage</w:t>
      </w:r>
    </w:p>
    <w:p w14:paraId="7910C955" w14:textId="77777777" w:rsidR="007A6D9D" w:rsidRPr="00075DC8" w:rsidRDefault="007A6D9D" w:rsidP="007A6D9D">
      <w:pPr>
        <w:rPr>
          <w:lang w:val="fr-FR"/>
        </w:rPr>
      </w:pPr>
    </w:p>
    <w:p w14:paraId="1408AB4E" w14:textId="77777777" w:rsidR="007A6D9D" w:rsidRPr="00075DC8" w:rsidRDefault="007A6D9D" w:rsidP="007A6D9D">
      <w:pPr>
        <w:rPr>
          <w:lang w:val="fr-FR"/>
        </w:rPr>
      </w:pPr>
    </w:p>
    <w:p w14:paraId="2BA098B1" w14:textId="77777777" w:rsidR="007A6D9D" w:rsidRPr="00075DC8" w:rsidRDefault="007A6D9D" w:rsidP="007A6D9D">
      <w:pPr>
        <w:rPr>
          <w:lang w:val="fr-FR"/>
        </w:rPr>
        <w:sectPr w:rsidR="007A6D9D" w:rsidRPr="00075DC8" w:rsidSect="007A6D9D">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4B0E9179" w14:textId="77777777" w:rsidR="007A6D9D" w:rsidRPr="00075DC8" w:rsidRDefault="007A6D9D" w:rsidP="007A6D9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lang w:val="fr-FR"/>
        </w:rPr>
      </w:pPr>
      <w:bookmarkStart w:id="0" w:name="c2tope"/>
      <w:bookmarkEnd w:id="0"/>
      <w:r w:rsidRPr="00075DC8">
        <w:rPr>
          <w:bCs/>
          <w:sz w:val="24"/>
          <w:szCs w:val="24"/>
          <w:lang w:val="fr-FR"/>
        </w:rPr>
        <w:lastRenderedPageBreak/>
        <w:t>Avant-propos</w:t>
      </w:r>
    </w:p>
    <w:p w14:paraId="08EF9A43" w14:textId="13181F30" w:rsidR="007A6D9D" w:rsidRPr="00075DC8" w:rsidRDefault="007A6D9D" w:rsidP="007A6D9D">
      <w:pPr>
        <w:spacing w:before="240"/>
        <w:rPr>
          <w:sz w:val="20"/>
          <w:lang w:val="fr-FR"/>
        </w:rPr>
      </w:pPr>
      <w:r w:rsidRPr="00075DC8">
        <w:rPr>
          <w:sz w:val="20"/>
          <w:lang w:val="fr-FR"/>
        </w:rPr>
        <w:t>Le rôle du Secteur des radiocommunications est d</w:t>
      </w:r>
      <w:r w:rsidR="001F6A0D" w:rsidRPr="00075DC8">
        <w:rPr>
          <w:sz w:val="20"/>
          <w:lang w:val="fr-FR"/>
        </w:rPr>
        <w:t>'</w:t>
      </w:r>
      <w:r w:rsidRPr="00075DC8">
        <w:rPr>
          <w:sz w:val="20"/>
          <w:lang w:val="fr-FR"/>
        </w:rPr>
        <w:t>assurer l</w:t>
      </w:r>
      <w:r w:rsidR="001F6A0D" w:rsidRPr="00075DC8">
        <w:rPr>
          <w:sz w:val="20"/>
          <w:lang w:val="fr-FR"/>
        </w:rPr>
        <w:t>'</w:t>
      </w:r>
      <w:r w:rsidRPr="00075DC8">
        <w:rPr>
          <w:sz w:val="20"/>
          <w:lang w:val="fr-FR"/>
        </w:rPr>
        <w:t>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6AFDC4DE" w14:textId="521DD8CD" w:rsidR="007A6D9D" w:rsidRPr="00075DC8" w:rsidRDefault="007A6D9D" w:rsidP="007A6D9D">
      <w:pPr>
        <w:rPr>
          <w:sz w:val="20"/>
          <w:lang w:val="fr-FR"/>
        </w:rPr>
      </w:pPr>
      <w:r w:rsidRPr="00075DC8">
        <w:rPr>
          <w:sz w:val="20"/>
          <w:lang w:val="fr-FR"/>
        </w:rPr>
        <w:t>Les fonctions réglementaires et politiques du Secteur des radiocommunications sont remplies par les Conférences mondiales et régionales des radiocommunications et par les Assemblées des radiocommunications assistées par les Commissions d</w:t>
      </w:r>
      <w:r w:rsidR="001F6A0D" w:rsidRPr="00075DC8">
        <w:rPr>
          <w:sz w:val="20"/>
          <w:lang w:val="fr-FR"/>
        </w:rPr>
        <w:t>'</w:t>
      </w:r>
      <w:r w:rsidRPr="00075DC8">
        <w:rPr>
          <w:sz w:val="20"/>
          <w:lang w:val="fr-FR"/>
        </w:rPr>
        <w:t>études.</w:t>
      </w:r>
    </w:p>
    <w:p w14:paraId="24767242" w14:textId="77777777" w:rsidR="007A6D9D" w:rsidRPr="00075DC8" w:rsidRDefault="007A6D9D" w:rsidP="007A6D9D">
      <w:pPr>
        <w:pStyle w:val="Heading1"/>
        <w:spacing w:before="360"/>
        <w:jc w:val="center"/>
        <w:rPr>
          <w:szCs w:val="24"/>
          <w:lang w:val="fr-FR"/>
        </w:rPr>
      </w:pPr>
      <w:bookmarkStart w:id="1" w:name="_Toc198643814"/>
      <w:r w:rsidRPr="00075DC8">
        <w:rPr>
          <w:szCs w:val="24"/>
          <w:lang w:val="fr-FR"/>
        </w:rPr>
        <w:t>Politique en matière de droits de propriété intellectuelle (IPR)</w:t>
      </w:r>
      <w:bookmarkEnd w:id="1"/>
    </w:p>
    <w:p w14:paraId="6F0A2052" w14:textId="17F0627C" w:rsidR="007A6D9D" w:rsidRPr="00075DC8" w:rsidRDefault="007A6D9D" w:rsidP="007A6D9D">
      <w:pPr>
        <w:spacing w:before="240"/>
        <w:rPr>
          <w:sz w:val="20"/>
          <w:lang w:val="fr-FR"/>
        </w:rPr>
      </w:pPr>
      <w:r w:rsidRPr="00075DC8">
        <w:rPr>
          <w:sz w:val="20"/>
          <w:lang w:val="fr-FR"/>
        </w:rPr>
        <w:t>La politique de l</w:t>
      </w:r>
      <w:r w:rsidR="001F6A0D" w:rsidRPr="00075DC8">
        <w:rPr>
          <w:sz w:val="20"/>
          <w:lang w:val="fr-FR"/>
        </w:rPr>
        <w:t>'</w:t>
      </w:r>
      <w:r w:rsidRPr="00075DC8">
        <w:rPr>
          <w:sz w:val="20"/>
          <w:lang w:val="fr-FR"/>
        </w:rPr>
        <w:t>UIT</w:t>
      </w:r>
      <w:r w:rsidRPr="00075DC8">
        <w:rPr>
          <w:sz w:val="20"/>
          <w:lang w:val="fr-FR"/>
        </w:rPr>
        <w:noBreakHyphen/>
        <w:t>R en matière de droits de propriété intellectuelle est décrite dans la «Politique commune de l</w:t>
      </w:r>
      <w:r w:rsidR="001F6A0D" w:rsidRPr="00075DC8">
        <w:rPr>
          <w:sz w:val="20"/>
          <w:lang w:val="fr-FR"/>
        </w:rPr>
        <w:t>'</w:t>
      </w:r>
      <w:r w:rsidRPr="00075DC8">
        <w:rPr>
          <w:sz w:val="20"/>
          <w:lang w:val="fr-FR"/>
        </w:rPr>
        <w:t>UIT</w:t>
      </w:r>
      <w:r w:rsidRPr="00075DC8">
        <w:rPr>
          <w:sz w:val="20"/>
          <w:lang w:val="fr-FR"/>
        </w:rPr>
        <w:noBreakHyphen/>
        <w:t>T, l</w:t>
      </w:r>
      <w:r w:rsidR="001F6A0D" w:rsidRPr="00075DC8">
        <w:rPr>
          <w:sz w:val="20"/>
          <w:lang w:val="fr-FR"/>
        </w:rPr>
        <w:t>'</w:t>
      </w:r>
      <w:r w:rsidRPr="00075DC8">
        <w:rPr>
          <w:sz w:val="20"/>
          <w:lang w:val="fr-FR"/>
        </w:rPr>
        <w:t>UIT</w:t>
      </w:r>
      <w:r w:rsidRPr="00075DC8">
        <w:rPr>
          <w:sz w:val="20"/>
          <w:lang w:val="fr-FR"/>
        </w:rPr>
        <w:noBreakHyphen/>
        <w:t>R, l</w:t>
      </w:r>
      <w:r w:rsidR="001F6A0D" w:rsidRPr="00075DC8">
        <w:rPr>
          <w:sz w:val="20"/>
          <w:lang w:val="fr-FR"/>
        </w:rPr>
        <w:t>'</w:t>
      </w:r>
      <w:r w:rsidRPr="00075DC8">
        <w:rPr>
          <w:sz w:val="20"/>
          <w:lang w:val="fr-FR"/>
        </w:rPr>
        <w:t>ISO et la CEI en matière de brevets», dont il est question dans la Résolution UIT-R 1. Les formulaires que les titulaires de brevets doivent utiliser pour soumettre les déclarations de brevet et d</w:t>
      </w:r>
      <w:r w:rsidR="001F6A0D" w:rsidRPr="00075DC8">
        <w:rPr>
          <w:sz w:val="20"/>
          <w:lang w:val="fr-FR"/>
        </w:rPr>
        <w:t>'</w:t>
      </w:r>
      <w:r w:rsidRPr="00075DC8">
        <w:rPr>
          <w:sz w:val="20"/>
          <w:lang w:val="fr-FR"/>
        </w:rPr>
        <w:t>octroi de licence sont accessibles à l</w:t>
      </w:r>
      <w:r w:rsidR="001F6A0D" w:rsidRPr="00075DC8">
        <w:rPr>
          <w:sz w:val="20"/>
          <w:lang w:val="fr-FR"/>
        </w:rPr>
        <w:t>'</w:t>
      </w:r>
      <w:r w:rsidRPr="00075DC8">
        <w:rPr>
          <w:sz w:val="20"/>
          <w:lang w:val="fr-FR"/>
        </w:rPr>
        <w:t xml:space="preserve">adresse </w:t>
      </w:r>
      <w:hyperlink r:id="rId10" w:history="1">
        <w:r w:rsidR="001B13CB" w:rsidRPr="00445E58">
          <w:rPr>
            <w:rStyle w:val="Hyperlink"/>
            <w:sz w:val="20"/>
            <w:lang w:val="fr-FR"/>
          </w:rPr>
          <w:t>https://www.itu.int/ITU-R/go/patents/fr</w:t>
        </w:r>
      </w:hyperlink>
      <w:r w:rsidRPr="00075DC8">
        <w:rPr>
          <w:sz w:val="20"/>
          <w:lang w:val="fr-FR"/>
        </w:rPr>
        <w:t>, où l</w:t>
      </w:r>
      <w:r w:rsidR="001F6A0D" w:rsidRPr="00075DC8">
        <w:rPr>
          <w:sz w:val="20"/>
          <w:lang w:val="fr-FR"/>
        </w:rPr>
        <w:t>'</w:t>
      </w:r>
      <w:r w:rsidRPr="00075DC8">
        <w:rPr>
          <w:sz w:val="20"/>
          <w:lang w:val="fr-FR"/>
        </w:rPr>
        <w:t xml:space="preserve">on trouvera également les Lignes directrices pour la mise en </w:t>
      </w:r>
      <w:r w:rsidR="00075DC8" w:rsidRPr="00075DC8">
        <w:rPr>
          <w:sz w:val="20"/>
          <w:lang w:val="fr-FR"/>
        </w:rPr>
        <w:t>œuvre</w:t>
      </w:r>
      <w:r w:rsidRPr="00075DC8">
        <w:rPr>
          <w:sz w:val="20"/>
          <w:lang w:val="fr-FR"/>
        </w:rPr>
        <w:t xml:space="preserve"> de la politique commune en matière de brevets de l</w:t>
      </w:r>
      <w:r w:rsidR="001F6A0D" w:rsidRPr="00075DC8">
        <w:rPr>
          <w:sz w:val="20"/>
          <w:lang w:val="fr-FR"/>
        </w:rPr>
        <w:t>'</w:t>
      </w:r>
      <w:r w:rsidRPr="00075DC8">
        <w:rPr>
          <w:sz w:val="20"/>
          <w:lang w:val="fr-FR"/>
        </w:rPr>
        <w:t>UIT</w:t>
      </w:r>
      <w:r w:rsidRPr="00075DC8">
        <w:rPr>
          <w:sz w:val="20"/>
          <w:lang w:val="fr-FR"/>
        </w:rPr>
        <w:noBreakHyphen/>
        <w:t>T, l</w:t>
      </w:r>
      <w:r w:rsidR="001F6A0D" w:rsidRPr="00075DC8">
        <w:rPr>
          <w:sz w:val="20"/>
          <w:lang w:val="fr-FR"/>
        </w:rPr>
        <w:t>'</w:t>
      </w:r>
      <w:r w:rsidRPr="00075DC8">
        <w:rPr>
          <w:sz w:val="20"/>
          <w:lang w:val="fr-FR"/>
        </w:rPr>
        <w:t>UIT</w:t>
      </w:r>
      <w:r w:rsidRPr="00075DC8">
        <w:rPr>
          <w:sz w:val="20"/>
          <w:lang w:val="fr-FR"/>
        </w:rPr>
        <w:noBreakHyphen/>
        <w:t>R, l</w:t>
      </w:r>
      <w:r w:rsidR="001F6A0D" w:rsidRPr="00075DC8">
        <w:rPr>
          <w:sz w:val="20"/>
          <w:lang w:val="fr-FR"/>
        </w:rPr>
        <w:t>'</w:t>
      </w:r>
      <w:r w:rsidRPr="00075DC8">
        <w:rPr>
          <w:sz w:val="20"/>
          <w:lang w:val="fr-FR"/>
        </w:rPr>
        <w:t>ISO et la CEI</w:t>
      </w:r>
      <w:r w:rsidRPr="00075DC8" w:rsidDel="0061025C">
        <w:rPr>
          <w:sz w:val="20"/>
          <w:lang w:val="fr-FR"/>
        </w:rPr>
        <w:t xml:space="preserve"> </w:t>
      </w:r>
      <w:r w:rsidRPr="00075DC8">
        <w:rPr>
          <w:sz w:val="20"/>
          <w:lang w:val="fr-FR"/>
        </w:rPr>
        <w:t>et la base de données en matière de brevets de l</w:t>
      </w:r>
      <w:r w:rsidR="001F6A0D" w:rsidRPr="00075DC8">
        <w:rPr>
          <w:sz w:val="20"/>
          <w:lang w:val="fr-FR"/>
        </w:rPr>
        <w:t>'</w:t>
      </w:r>
      <w:r w:rsidRPr="00075DC8">
        <w:rPr>
          <w:sz w:val="20"/>
          <w:lang w:val="fr-FR"/>
        </w:rPr>
        <w:t>UIT-R.</w:t>
      </w:r>
    </w:p>
    <w:p w14:paraId="7286DB87" w14:textId="77777777" w:rsidR="007A6D9D" w:rsidRPr="00075DC8" w:rsidRDefault="007A6D9D" w:rsidP="007A6D9D">
      <w:pPr>
        <w:spacing w:before="24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7A6D9D" w:rsidRPr="00075DC8" w14:paraId="1DFF7A15" w14:textId="77777777" w:rsidTr="00ED4837">
        <w:tc>
          <w:tcPr>
            <w:tcW w:w="9360" w:type="dxa"/>
            <w:gridSpan w:val="2"/>
          </w:tcPr>
          <w:p w14:paraId="3AA0C00E" w14:textId="77777777" w:rsidR="007A6D9D" w:rsidRPr="00075DC8" w:rsidRDefault="007A6D9D" w:rsidP="00ED4837">
            <w:pPr>
              <w:pStyle w:val="Chaptitle"/>
              <w:keepLines w:val="0"/>
              <w:tabs>
                <w:tab w:val="clear" w:pos="794"/>
                <w:tab w:val="clear" w:pos="1191"/>
                <w:tab w:val="clear" w:pos="1588"/>
                <w:tab w:val="clear" w:pos="1985"/>
              </w:tabs>
              <w:overflowPunct/>
              <w:spacing w:before="140"/>
              <w:textAlignment w:val="auto"/>
              <w:rPr>
                <w:sz w:val="22"/>
                <w:szCs w:val="22"/>
                <w:lang w:val="fr-FR"/>
              </w:rPr>
            </w:pPr>
            <w:r w:rsidRPr="00075DC8">
              <w:rPr>
                <w:sz w:val="22"/>
                <w:szCs w:val="22"/>
                <w:lang w:val="fr-FR"/>
              </w:rPr>
              <w:t xml:space="preserve">Séries des Recommandations UIT-R </w:t>
            </w:r>
          </w:p>
          <w:p w14:paraId="43F4B639" w14:textId="29E4C844" w:rsidR="007A6D9D" w:rsidRPr="00075DC8" w:rsidRDefault="007A6D9D" w:rsidP="00ED483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FR"/>
              </w:rPr>
            </w:pPr>
            <w:r w:rsidRPr="00075DC8">
              <w:rPr>
                <w:b w:val="0"/>
                <w:sz w:val="18"/>
                <w:szCs w:val="18"/>
                <w:lang w:val="fr-FR"/>
              </w:rPr>
              <w:t>(</w:t>
            </w:r>
            <w:r w:rsidR="00075DC8" w:rsidRPr="00075DC8">
              <w:rPr>
                <w:b w:val="0"/>
                <w:sz w:val="18"/>
                <w:szCs w:val="18"/>
                <w:lang w:val="fr-FR"/>
              </w:rPr>
              <w:t>Également</w:t>
            </w:r>
            <w:r w:rsidRPr="00075DC8">
              <w:rPr>
                <w:b w:val="0"/>
                <w:sz w:val="18"/>
                <w:szCs w:val="18"/>
                <w:lang w:val="fr-FR"/>
              </w:rPr>
              <w:t xml:space="preserve"> disponible en ligne: </w:t>
            </w:r>
            <w:hyperlink r:id="rId11" w:history="1">
              <w:r w:rsidRPr="00075DC8">
                <w:rPr>
                  <w:rStyle w:val="Hyperlink"/>
                  <w:b w:val="0"/>
                  <w:bCs/>
                  <w:sz w:val="18"/>
                  <w:szCs w:val="18"/>
                  <w:lang w:val="fr-FR"/>
                </w:rPr>
                <w:t>https://www.itu.int/publ/R-REC/fr</w:t>
              </w:r>
            </w:hyperlink>
            <w:r w:rsidRPr="00075DC8">
              <w:rPr>
                <w:b w:val="0"/>
                <w:bCs/>
                <w:sz w:val="18"/>
                <w:szCs w:val="18"/>
                <w:lang w:val="fr-FR"/>
              </w:rPr>
              <w:t>)</w:t>
            </w:r>
          </w:p>
        </w:tc>
      </w:tr>
      <w:tr w:rsidR="007A6D9D" w:rsidRPr="00075DC8" w14:paraId="3EDCC16C" w14:textId="77777777" w:rsidTr="00ED4837">
        <w:tc>
          <w:tcPr>
            <w:tcW w:w="1140" w:type="dxa"/>
            <w:tcBorders>
              <w:bottom w:val="nil"/>
            </w:tcBorders>
          </w:tcPr>
          <w:p w14:paraId="6CFB3525" w14:textId="77777777" w:rsidR="007A6D9D" w:rsidRPr="00075DC8" w:rsidRDefault="007A6D9D" w:rsidP="00ED4837">
            <w:pPr>
              <w:spacing w:before="90" w:after="100"/>
              <w:ind w:left="57"/>
              <w:rPr>
                <w:b/>
                <w:bCs/>
                <w:sz w:val="20"/>
                <w:lang w:val="fr-FR"/>
              </w:rPr>
            </w:pPr>
            <w:r w:rsidRPr="00075DC8">
              <w:rPr>
                <w:b/>
                <w:bCs/>
                <w:sz w:val="20"/>
                <w:lang w:val="fr-FR"/>
              </w:rPr>
              <w:t>Séries</w:t>
            </w:r>
          </w:p>
        </w:tc>
        <w:tc>
          <w:tcPr>
            <w:tcW w:w="8220" w:type="dxa"/>
            <w:tcBorders>
              <w:bottom w:val="nil"/>
            </w:tcBorders>
          </w:tcPr>
          <w:p w14:paraId="7C32AB26" w14:textId="77777777" w:rsidR="007A6D9D" w:rsidRPr="00075DC8" w:rsidRDefault="007A6D9D" w:rsidP="00ED483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fr-FR"/>
              </w:rPr>
            </w:pPr>
            <w:r w:rsidRPr="00075DC8">
              <w:rPr>
                <w:bCs/>
                <w:sz w:val="20"/>
                <w:lang w:val="fr-FR"/>
              </w:rPr>
              <w:t>Titre</w:t>
            </w:r>
          </w:p>
        </w:tc>
      </w:tr>
      <w:tr w:rsidR="007A6D9D" w:rsidRPr="00075DC8" w14:paraId="30B2205B" w14:textId="77777777" w:rsidTr="00ED4837">
        <w:tc>
          <w:tcPr>
            <w:tcW w:w="1140" w:type="dxa"/>
            <w:tcBorders>
              <w:top w:val="nil"/>
              <w:bottom w:val="nil"/>
            </w:tcBorders>
            <w:shd w:val="clear" w:color="auto" w:fill="auto"/>
          </w:tcPr>
          <w:p w14:paraId="35F52660" w14:textId="77777777" w:rsidR="007A6D9D" w:rsidRPr="00075DC8" w:rsidRDefault="007A6D9D" w:rsidP="00ED4837">
            <w:pPr>
              <w:spacing w:before="30" w:after="30"/>
              <w:ind w:left="57"/>
              <w:jc w:val="left"/>
              <w:rPr>
                <w:rFonts w:ascii="Times New Roman Bold" w:hAnsi="Times New Roman Bold"/>
                <w:b/>
                <w:bCs/>
                <w:sz w:val="20"/>
                <w:lang w:val="fr-FR"/>
              </w:rPr>
            </w:pPr>
            <w:r w:rsidRPr="00075DC8">
              <w:rPr>
                <w:rFonts w:ascii="Times New Roman Bold" w:hAnsi="Times New Roman Bold"/>
                <w:b/>
                <w:bCs/>
                <w:sz w:val="20"/>
                <w:lang w:val="fr-FR"/>
              </w:rPr>
              <w:t>BO</w:t>
            </w:r>
          </w:p>
        </w:tc>
        <w:tc>
          <w:tcPr>
            <w:tcW w:w="8220" w:type="dxa"/>
            <w:tcBorders>
              <w:top w:val="nil"/>
              <w:bottom w:val="nil"/>
            </w:tcBorders>
            <w:shd w:val="clear" w:color="auto" w:fill="auto"/>
          </w:tcPr>
          <w:p w14:paraId="18CDF80F" w14:textId="77777777" w:rsidR="007A6D9D" w:rsidRPr="00075DC8" w:rsidRDefault="007A6D9D" w:rsidP="00ED483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075DC8">
              <w:rPr>
                <w:b w:val="0"/>
                <w:sz w:val="20"/>
                <w:lang w:val="fr-FR"/>
              </w:rPr>
              <w:t>Diffusion par satellite</w:t>
            </w:r>
          </w:p>
        </w:tc>
      </w:tr>
      <w:tr w:rsidR="007A6D9D" w:rsidRPr="00075DC8" w14:paraId="2EC93439" w14:textId="77777777" w:rsidTr="00ED4837">
        <w:tc>
          <w:tcPr>
            <w:tcW w:w="1140" w:type="dxa"/>
            <w:tcBorders>
              <w:top w:val="nil"/>
              <w:bottom w:val="nil"/>
            </w:tcBorders>
          </w:tcPr>
          <w:p w14:paraId="3C9012C8" w14:textId="77777777" w:rsidR="007A6D9D" w:rsidRPr="00075DC8" w:rsidRDefault="007A6D9D" w:rsidP="00ED4837">
            <w:pPr>
              <w:spacing w:before="30" w:after="30"/>
              <w:ind w:left="57"/>
              <w:jc w:val="left"/>
              <w:rPr>
                <w:rFonts w:ascii="Times New Roman Bold" w:hAnsi="Times New Roman Bold"/>
                <w:b/>
                <w:bCs/>
                <w:sz w:val="20"/>
                <w:lang w:val="fr-FR"/>
              </w:rPr>
            </w:pPr>
            <w:r w:rsidRPr="00075DC8">
              <w:rPr>
                <w:rFonts w:ascii="Times New Roman Bold" w:hAnsi="Times New Roman Bold"/>
                <w:b/>
                <w:bCs/>
                <w:sz w:val="20"/>
                <w:lang w:val="fr-FR"/>
              </w:rPr>
              <w:t>BR</w:t>
            </w:r>
          </w:p>
        </w:tc>
        <w:tc>
          <w:tcPr>
            <w:tcW w:w="8220" w:type="dxa"/>
            <w:tcBorders>
              <w:top w:val="nil"/>
              <w:bottom w:val="nil"/>
            </w:tcBorders>
          </w:tcPr>
          <w:p w14:paraId="7E2D66AF" w14:textId="26274F67" w:rsidR="007A6D9D" w:rsidRPr="00075DC8" w:rsidRDefault="007A6D9D" w:rsidP="00ED483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075DC8">
              <w:rPr>
                <w:b w:val="0"/>
                <w:sz w:val="20"/>
                <w:lang w:val="fr-FR"/>
              </w:rPr>
              <w:t>Enregistrement pour la production, l</w:t>
            </w:r>
            <w:r w:rsidR="001F6A0D" w:rsidRPr="00075DC8">
              <w:rPr>
                <w:b w:val="0"/>
                <w:sz w:val="20"/>
                <w:lang w:val="fr-FR"/>
              </w:rPr>
              <w:t>'</w:t>
            </w:r>
            <w:r w:rsidRPr="00075DC8">
              <w:rPr>
                <w:b w:val="0"/>
                <w:sz w:val="20"/>
                <w:lang w:val="fr-FR"/>
              </w:rPr>
              <w:t>archivage et la diffusion; films pour la télévision</w:t>
            </w:r>
          </w:p>
        </w:tc>
      </w:tr>
      <w:tr w:rsidR="007A6D9D" w:rsidRPr="00075DC8" w14:paraId="7CF3297E" w14:textId="77777777" w:rsidTr="00ED4837">
        <w:tc>
          <w:tcPr>
            <w:tcW w:w="1140" w:type="dxa"/>
            <w:tcBorders>
              <w:top w:val="nil"/>
              <w:bottom w:val="nil"/>
            </w:tcBorders>
            <w:shd w:val="clear" w:color="auto" w:fill="auto"/>
          </w:tcPr>
          <w:p w14:paraId="77E530DE" w14:textId="77777777" w:rsidR="007A6D9D" w:rsidRPr="00075DC8" w:rsidRDefault="007A6D9D" w:rsidP="00ED4837">
            <w:pPr>
              <w:spacing w:before="30" w:after="30"/>
              <w:ind w:left="57"/>
              <w:jc w:val="left"/>
              <w:rPr>
                <w:b/>
                <w:bCs/>
                <w:sz w:val="20"/>
                <w:lang w:val="fr-FR"/>
              </w:rPr>
            </w:pPr>
            <w:r w:rsidRPr="00075DC8">
              <w:rPr>
                <w:b/>
                <w:bCs/>
                <w:sz w:val="20"/>
                <w:lang w:val="fr-FR"/>
              </w:rPr>
              <w:t>BS</w:t>
            </w:r>
          </w:p>
        </w:tc>
        <w:tc>
          <w:tcPr>
            <w:tcW w:w="8220" w:type="dxa"/>
            <w:tcBorders>
              <w:top w:val="nil"/>
              <w:bottom w:val="nil"/>
            </w:tcBorders>
            <w:shd w:val="clear" w:color="auto" w:fill="auto"/>
          </w:tcPr>
          <w:p w14:paraId="2E909D66" w14:textId="77777777" w:rsidR="007A6D9D" w:rsidRPr="00075DC8" w:rsidRDefault="007A6D9D" w:rsidP="00ED483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075DC8">
              <w:rPr>
                <w:b w:val="0"/>
                <w:sz w:val="20"/>
                <w:lang w:val="fr-FR"/>
              </w:rPr>
              <w:t>Service de radiodiffusion sonore</w:t>
            </w:r>
          </w:p>
        </w:tc>
      </w:tr>
      <w:tr w:rsidR="007A6D9D" w:rsidRPr="00075DC8" w14:paraId="4172B853" w14:textId="77777777" w:rsidTr="00ED4837">
        <w:tc>
          <w:tcPr>
            <w:tcW w:w="1140" w:type="dxa"/>
            <w:tcBorders>
              <w:top w:val="nil"/>
              <w:bottom w:val="nil"/>
            </w:tcBorders>
            <w:shd w:val="clear" w:color="auto" w:fill="auto"/>
          </w:tcPr>
          <w:p w14:paraId="178BC601" w14:textId="77777777" w:rsidR="007A6D9D" w:rsidRPr="00075DC8" w:rsidRDefault="007A6D9D" w:rsidP="00ED4837">
            <w:pPr>
              <w:spacing w:before="30" w:after="30"/>
              <w:ind w:left="57"/>
              <w:jc w:val="left"/>
              <w:rPr>
                <w:b/>
                <w:bCs/>
                <w:sz w:val="20"/>
                <w:lang w:val="fr-FR"/>
              </w:rPr>
            </w:pPr>
            <w:r w:rsidRPr="00075DC8">
              <w:rPr>
                <w:b/>
                <w:bCs/>
                <w:sz w:val="20"/>
                <w:lang w:val="fr-FR"/>
              </w:rPr>
              <w:t>BT</w:t>
            </w:r>
          </w:p>
        </w:tc>
        <w:tc>
          <w:tcPr>
            <w:tcW w:w="8220" w:type="dxa"/>
            <w:tcBorders>
              <w:top w:val="nil"/>
              <w:bottom w:val="nil"/>
            </w:tcBorders>
            <w:shd w:val="clear" w:color="auto" w:fill="auto"/>
          </w:tcPr>
          <w:p w14:paraId="6837D852" w14:textId="77777777" w:rsidR="007A6D9D" w:rsidRPr="00075DC8" w:rsidRDefault="007A6D9D" w:rsidP="00ED483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075DC8">
              <w:rPr>
                <w:b w:val="0"/>
                <w:sz w:val="20"/>
                <w:lang w:val="fr-FR"/>
              </w:rPr>
              <w:t>Service de radiodiffusion télévisuelle</w:t>
            </w:r>
          </w:p>
        </w:tc>
      </w:tr>
      <w:tr w:rsidR="007A6D9D" w:rsidRPr="00075DC8" w14:paraId="67DF0B67" w14:textId="77777777" w:rsidTr="00ED4837">
        <w:tc>
          <w:tcPr>
            <w:tcW w:w="1140" w:type="dxa"/>
            <w:tcBorders>
              <w:top w:val="nil"/>
              <w:bottom w:val="nil"/>
            </w:tcBorders>
            <w:shd w:val="clear" w:color="auto" w:fill="F3F3F3"/>
          </w:tcPr>
          <w:p w14:paraId="69162FA0" w14:textId="77777777" w:rsidR="007A6D9D" w:rsidRPr="00075DC8" w:rsidRDefault="007A6D9D" w:rsidP="00ED4837">
            <w:pPr>
              <w:spacing w:before="30" w:after="30"/>
              <w:ind w:left="57"/>
              <w:jc w:val="left"/>
              <w:rPr>
                <w:b/>
                <w:bCs/>
                <w:color w:val="000080"/>
                <w:sz w:val="20"/>
                <w:lang w:val="fr-FR"/>
              </w:rPr>
            </w:pPr>
            <w:r w:rsidRPr="00075DC8">
              <w:rPr>
                <w:b/>
                <w:bCs/>
                <w:color w:val="000080"/>
                <w:sz w:val="20"/>
                <w:lang w:val="fr-FR"/>
              </w:rPr>
              <w:t>F</w:t>
            </w:r>
          </w:p>
        </w:tc>
        <w:tc>
          <w:tcPr>
            <w:tcW w:w="8220" w:type="dxa"/>
            <w:tcBorders>
              <w:top w:val="nil"/>
              <w:bottom w:val="nil"/>
            </w:tcBorders>
            <w:shd w:val="clear" w:color="auto" w:fill="F3F3F3"/>
          </w:tcPr>
          <w:p w14:paraId="132E0769" w14:textId="77777777" w:rsidR="007A6D9D" w:rsidRPr="00075DC8" w:rsidRDefault="007A6D9D" w:rsidP="00ED483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fr-FR"/>
              </w:rPr>
            </w:pPr>
            <w:r w:rsidRPr="00075DC8">
              <w:rPr>
                <w:bCs/>
                <w:color w:val="000080"/>
                <w:sz w:val="20"/>
                <w:lang w:val="fr-FR"/>
              </w:rPr>
              <w:t>Service fixe</w:t>
            </w:r>
          </w:p>
        </w:tc>
      </w:tr>
      <w:tr w:rsidR="007A6D9D" w:rsidRPr="00075DC8" w14:paraId="79278632" w14:textId="77777777" w:rsidTr="00ED4837">
        <w:tc>
          <w:tcPr>
            <w:tcW w:w="1140" w:type="dxa"/>
            <w:tcBorders>
              <w:top w:val="nil"/>
              <w:bottom w:val="nil"/>
            </w:tcBorders>
            <w:shd w:val="clear" w:color="auto" w:fill="auto"/>
          </w:tcPr>
          <w:p w14:paraId="72C55A76" w14:textId="77777777" w:rsidR="007A6D9D" w:rsidRPr="00075DC8" w:rsidRDefault="007A6D9D" w:rsidP="00ED4837">
            <w:pPr>
              <w:spacing w:before="30" w:after="30"/>
              <w:ind w:left="57"/>
              <w:jc w:val="left"/>
              <w:rPr>
                <w:b/>
                <w:bCs/>
                <w:sz w:val="20"/>
                <w:lang w:val="fr-FR"/>
              </w:rPr>
            </w:pPr>
            <w:r w:rsidRPr="00075DC8">
              <w:rPr>
                <w:b/>
                <w:bCs/>
                <w:sz w:val="20"/>
                <w:lang w:val="fr-FR"/>
              </w:rPr>
              <w:t>M</w:t>
            </w:r>
          </w:p>
        </w:tc>
        <w:tc>
          <w:tcPr>
            <w:tcW w:w="8220" w:type="dxa"/>
            <w:tcBorders>
              <w:top w:val="nil"/>
              <w:bottom w:val="nil"/>
            </w:tcBorders>
            <w:shd w:val="clear" w:color="auto" w:fill="auto"/>
          </w:tcPr>
          <w:p w14:paraId="182C5E3A" w14:textId="126061C8" w:rsidR="007A6D9D" w:rsidRPr="00075DC8" w:rsidRDefault="007A6D9D" w:rsidP="00ED483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075DC8">
              <w:rPr>
                <w:b w:val="0"/>
                <w:sz w:val="20"/>
                <w:lang w:val="fr-FR"/>
              </w:rPr>
              <w:t>Services mobile, de radiorepérage et d</w:t>
            </w:r>
            <w:r w:rsidR="001F6A0D" w:rsidRPr="00075DC8">
              <w:rPr>
                <w:b w:val="0"/>
                <w:sz w:val="20"/>
                <w:lang w:val="fr-FR"/>
              </w:rPr>
              <w:t>'</w:t>
            </w:r>
            <w:r w:rsidRPr="00075DC8">
              <w:rPr>
                <w:b w:val="0"/>
                <w:sz w:val="20"/>
                <w:lang w:val="fr-FR"/>
              </w:rPr>
              <w:t>amateur y compris les services par satellite associés</w:t>
            </w:r>
          </w:p>
        </w:tc>
      </w:tr>
      <w:tr w:rsidR="007A6D9D" w:rsidRPr="00075DC8" w14:paraId="1A4A24A7" w14:textId="77777777" w:rsidTr="00ED4837">
        <w:tc>
          <w:tcPr>
            <w:tcW w:w="1140" w:type="dxa"/>
            <w:tcBorders>
              <w:top w:val="nil"/>
              <w:bottom w:val="nil"/>
            </w:tcBorders>
            <w:shd w:val="clear" w:color="auto" w:fill="auto"/>
          </w:tcPr>
          <w:p w14:paraId="7C543607" w14:textId="77777777" w:rsidR="007A6D9D" w:rsidRPr="00075DC8" w:rsidRDefault="007A6D9D" w:rsidP="00ED4837">
            <w:pPr>
              <w:spacing w:before="30" w:after="30"/>
              <w:ind w:left="57"/>
              <w:jc w:val="left"/>
              <w:rPr>
                <w:b/>
                <w:bCs/>
                <w:sz w:val="20"/>
                <w:lang w:val="fr-FR"/>
              </w:rPr>
            </w:pPr>
            <w:r w:rsidRPr="00075DC8">
              <w:rPr>
                <w:b/>
                <w:bCs/>
                <w:sz w:val="20"/>
                <w:lang w:val="fr-FR"/>
              </w:rPr>
              <w:t>P</w:t>
            </w:r>
          </w:p>
        </w:tc>
        <w:tc>
          <w:tcPr>
            <w:tcW w:w="8220" w:type="dxa"/>
            <w:tcBorders>
              <w:top w:val="nil"/>
              <w:bottom w:val="nil"/>
            </w:tcBorders>
            <w:shd w:val="clear" w:color="auto" w:fill="auto"/>
          </w:tcPr>
          <w:p w14:paraId="45A9B323" w14:textId="77777777" w:rsidR="007A6D9D" w:rsidRPr="00075DC8" w:rsidRDefault="007A6D9D" w:rsidP="00ED483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075DC8">
              <w:rPr>
                <w:b w:val="0"/>
                <w:sz w:val="20"/>
                <w:lang w:val="fr-FR"/>
              </w:rPr>
              <w:t>Propagation des ondes radioélectriques</w:t>
            </w:r>
          </w:p>
        </w:tc>
      </w:tr>
      <w:tr w:rsidR="007A6D9D" w:rsidRPr="00075DC8" w14:paraId="4C961729" w14:textId="77777777" w:rsidTr="00ED4837">
        <w:tc>
          <w:tcPr>
            <w:tcW w:w="1140" w:type="dxa"/>
            <w:tcBorders>
              <w:top w:val="nil"/>
              <w:bottom w:val="nil"/>
            </w:tcBorders>
            <w:shd w:val="clear" w:color="auto" w:fill="auto"/>
          </w:tcPr>
          <w:p w14:paraId="296CD377" w14:textId="77777777" w:rsidR="007A6D9D" w:rsidRPr="00075DC8" w:rsidRDefault="007A6D9D" w:rsidP="00ED4837">
            <w:pPr>
              <w:spacing w:before="30" w:after="30"/>
              <w:ind w:left="57"/>
              <w:jc w:val="left"/>
              <w:rPr>
                <w:b/>
                <w:bCs/>
                <w:sz w:val="20"/>
                <w:lang w:val="fr-FR"/>
              </w:rPr>
            </w:pPr>
            <w:r w:rsidRPr="00075DC8">
              <w:rPr>
                <w:b/>
                <w:bCs/>
                <w:sz w:val="20"/>
                <w:lang w:val="fr-FR"/>
              </w:rPr>
              <w:t>RA</w:t>
            </w:r>
          </w:p>
        </w:tc>
        <w:tc>
          <w:tcPr>
            <w:tcW w:w="8220" w:type="dxa"/>
            <w:tcBorders>
              <w:top w:val="nil"/>
              <w:bottom w:val="nil"/>
            </w:tcBorders>
            <w:shd w:val="clear" w:color="auto" w:fill="auto"/>
          </w:tcPr>
          <w:p w14:paraId="4EF949EE" w14:textId="77777777" w:rsidR="007A6D9D" w:rsidRPr="00075DC8" w:rsidRDefault="007A6D9D" w:rsidP="00ED483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075DC8">
              <w:rPr>
                <w:b w:val="0"/>
                <w:sz w:val="20"/>
                <w:lang w:val="fr-FR"/>
              </w:rPr>
              <w:t>Radio astronomie</w:t>
            </w:r>
          </w:p>
        </w:tc>
      </w:tr>
      <w:tr w:rsidR="007A6D9D" w:rsidRPr="00075DC8" w14:paraId="34FC879E" w14:textId="77777777" w:rsidTr="00ED4837">
        <w:tc>
          <w:tcPr>
            <w:tcW w:w="1140" w:type="dxa"/>
            <w:tcBorders>
              <w:top w:val="nil"/>
              <w:bottom w:val="nil"/>
            </w:tcBorders>
            <w:shd w:val="clear" w:color="auto" w:fill="auto"/>
          </w:tcPr>
          <w:p w14:paraId="350368B8" w14:textId="77777777" w:rsidR="007A6D9D" w:rsidRPr="00075DC8" w:rsidRDefault="007A6D9D" w:rsidP="00ED4837">
            <w:pPr>
              <w:spacing w:before="30" w:after="30"/>
              <w:ind w:left="57"/>
              <w:jc w:val="left"/>
              <w:rPr>
                <w:b/>
                <w:bCs/>
                <w:sz w:val="20"/>
                <w:lang w:val="fr-FR"/>
              </w:rPr>
            </w:pPr>
            <w:r w:rsidRPr="00075DC8">
              <w:rPr>
                <w:b/>
                <w:bCs/>
                <w:sz w:val="20"/>
                <w:lang w:val="fr-FR"/>
              </w:rPr>
              <w:t>RS</w:t>
            </w:r>
          </w:p>
        </w:tc>
        <w:tc>
          <w:tcPr>
            <w:tcW w:w="8220" w:type="dxa"/>
            <w:tcBorders>
              <w:top w:val="nil"/>
              <w:bottom w:val="nil"/>
            </w:tcBorders>
            <w:shd w:val="clear" w:color="auto" w:fill="auto"/>
          </w:tcPr>
          <w:p w14:paraId="5ED5391A" w14:textId="77777777" w:rsidR="007A6D9D" w:rsidRPr="00075DC8" w:rsidRDefault="007A6D9D" w:rsidP="00ED483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075DC8">
              <w:rPr>
                <w:b w:val="0"/>
                <w:sz w:val="20"/>
                <w:lang w:val="fr-FR"/>
              </w:rPr>
              <w:t>Systèmes de télédétection</w:t>
            </w:r>
          </w:p>
        </w:tc>
      </w:tr>
      <w:tr w:rsidR="007A6D9D" w:rsidRPr="00075DC8" w14:paraId="31085D57" w14:textId="77777777" w:rsidTr="00ED4837">
        <w:tc>
          <w:tcPr>
            <w:tcW w:w="1140" w:type="dxa"/>
            <w:tcBorders>
              <w:top w:val="nil"/>
              <w:bottom w:val="nil"/>
            </w:tcBorders>
            <w:shd w:val="clear" w:color="auto" w:fill="auto"/>
          </w:tcPr>
          <w:p w14:paraId="56EB84D3" w14:textId="77777777" w:rsidR="007A6D9D" w:rsidRPr="00075DC8" w:rsidRDefault="007A6D9D" w:rsidP="00ED4837">
            <w:pPr>
              <w:spacing w:before="30" w:after="30"/>
              <w:ind w:left="57"/>
              <w:jc w:val="left"/>
              <w:rPr>
                <w:b/>
                <w:bCs/>
                <w:sz w:val="20"/>
                <w:lang w:val="fr-FR"/>
              </w:rPr>
            </w:pPr>
            <w:r w:rsidRPr="00075DC8">
              <w:rPr>
                <w:b/>
                <w:bCs/>
                <w:sz w:val="20"/>
                <w:lang w:val="fr-FR"/>
              </w:rPr>
              <w:t>S</w:t>
            </w:r>
          </w:p>
        </w:tc>
        <w:tc>
          <w:tcPr>
            <w:tcW w:w="8220" w:type="dxa"/>
            <w:tcBorders>
              <w:top w:val="nil"/>
              <w:bottom w:val="nil"/>
            </w:tcBorders>
            <w:shd w:val="clear" w:color="auto" w:fill="auto"/>
          </w:tcPr>
          <w:p w14:paraId="245376FC" w14:textId="77777777" w:rsidR="007A6D9D" w:rsidRPr="00075DC8" w:rsidRDefault="007A6D9D" w:rsidP="00ED483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075DC8">
              <w:rPr>
                <w:b w:val="0"/>
                <w:sz w:val="20"/>
                <w:lang w:val="fr-FR"/>
              </w:rPr>
              <w:t>Service fixe par satellite</w:t>
            </w:r>
          </w:p>
        </w:tc>
      </w:tr>
      <w:tr w:rsidR="007A6D9D" w:rsidRPr="00075DC8" w14:paraId="17CC5B3A" w14:textId="77777777" w:rsidTr="00ED4837">
        <w:tc>
          <w:tcPr>
            <w:tcW w:w="1140" w:type="dxa"/>
            <w:tcBorders>
              <w:top w:val="nil"/>
              <w:bottom w:val="nil"/>
            </w:tcBorders>
            <w:shd w:val="clear" w:color="auto" w:fill="FFFFFF" w:themeFill="background1"/>
          </w:tcPr>
          <w:p w14:paraId="28F1AA80" w14:textId="77777777" w:rsidR="007A6D9D" w:rsidRPr="00075DC8" w:rsidRDefault="007A6D9D" w:rsidP="00ED4837">
            <w:pPr>
              <w:spacing w:before="30" w:after="30"/>
              <w:ind w:left="57"/>
              <w:jc w:val="left"/>
              <w:rPr>
                <w:rFonts w:ascii="Times New Roman Bold" w:hAnsi="Times New Roman Bold"/>
                <w:b/>
                <w:bCs/>
                <w:sz w:val="20"/>
                <w:lang w:val="fr-FR"/>
              </w:rPr>
            </w:pPr>
            <w:r w:rsidRPr="00075DC8">
              <w:rPr>
                <w:rFonts w:ascii="Times New Roman Bold" w:hAnsi="Times New Roman Bold"/>
                <w:b/>
                <w:bCs/>
                <w:sz w:val="20"/>
                <w:lang w:val="fr-FR"/>
              </w:rPr>
              <w:t>SA</w:t>
            </w:r>
          </w:p>
        </w:tc>
        <w:tc>
          <w:tcPr>
            <w:tcW w:w="8220" w:type="dxa"/>
            <w:tcBorders>
              <w:top w:val="nil"/>
              <w:bottom w:val="nil"/>
            </w:tcBorders>
            <w:shd w:val="clear" w:color="auto" w:fill="FFFFFF" w:themeFill="background1"/>
          </w:tcPr>
          <w:p w14:paraId="5A26A672" w14:textId="77777777" w:rsidR="007A6D9D" w:rsidRPr="00075DC8" w:rsidRDefault="007A6D9D" w:rsidP="00ED483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075DC8">
              <w:rPr>
                <w:b w:val="0"/>
                <w:sz w:val="20"/>
                <w:lang w:val="fr-FR"/>
              </w:rPr>
              <w:t>Applications spatiales et météorologie</w:t>
            </w:r>
          </w:p>
        </w:tc>
      </w:tr>
      <w:tr w:rsidR="007A6D9D" w:rsidRPr="00075DC8" w14:paraId="0CD586FB" w14:textId="77777777" w:rsidTr="00ED4837">
        <w:tc>
          <w:tcPr>
            <w:tcW w:w="1140" w:type="dxa"/>
            <w:tcBorders>
              <w:top w:val="nil"/>
            </w:tcBorders>
          </w:tcPr>
          <w:p w14:paraId="15D4848F" w14:textId="77777777" w:rsidR="007A6D9D" w:rsidRPr="00075DC8" w:rsidRDefault="007A6D9D" w:rsidP="00ED4837">
            <w:pPr>
              <w:spacing w:before="30" w:after="30"/>
              <w:ind w:left="57"/>
              <w:jc w:val="left"/>
              <w:rPr>
                <w:b/>
                <w:bCs/>
                <w:sz w:val="20"/>
                <w:lang w:val="fr-FR"/>
              </w:rPr>
            </w:pPr>
            <w:r w:rsidRPr="00075DC8">
              <w:rPr>
                <w:b/>
                <w:bCs/>
                <w:sz w:val="20"/>
                <w:lang w:val="fr-FR"/>
              </w:rPr>
              <w:t>SF</w:t>
            </w:r>
          </w:p>
        </w:tc>
        <w:tc>
          <w:tcPr>
            <w:tcW w:w="8220" w:type="dxa"/>
            <w:tcBorders>
              <w:top w:val="nil"/>
            </w:tcBorders>
          </w:tcPr>
          <w:p w14:paraId="14EE162D" w14:textId="77777777" w:rsidR="007A6D9D" w:rsidRPr="00075DC8" w:rsidRDefault="007A6D9D" w:rsidP="00ED483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075DC8">
              <w:rPr>
                <w:b w:val="0"/>
                <w:sz w:val="20"/>
                <w:lang w:val="fr-FR"/>
              </w:rPr>
              <w:t>Partage des fréquences et coordination entre les systèmes du service fixe par satellite et du service fixe</w:t>
            </w:r>
          </w:p>
        </w:tc>
      </w:tr>
      <w:tr w:rsidR="007A6D9D" w:rsidRPr="00075DC8" w14:paraId="5FBB1186" w14:textId="77777777" w:rsidTr="00ED4837">
        <w:tc>
          <w:tcPr>
            <w:tcW w:w="1140" w:type="dxa"/>
            <w:shd w:val="clear" w:color="auto" w:fill="auto"/>
          </w:tcPr>
          <w:p w14:paraId="76A7FB5C" w14:textId="77777777" w:rsidR="007A6D9D" w:rsidRPr="00075DC8" w:rsidRDefault="007A6D9D" w:rsidP="00ED4837">
            <w:pPr>
              <w:spacing w:before="30" w:after="30"/>
              <w:ind w:left="57"/>
              <w:jc w:val="left"/>
              <w:rPr>
                <w:b/>
                <w:bCs/>
                <w:sz w:val="20"/>
                <w:lang w:val="fr-FR"/>
              </w:rPr>
            </w:pPr>
            <w:r w:rsidRPr="00075DC8">
              <w:rPr>
                <w:b/>
                <w:bCs/>
                <w:sz w:val="20"/>
                <w:lang w:val="fr-FR"/>
              </w:rPr>
              <w:t>SM</w:t>
            </w:r>
          </w:p>
        </w:tc>
        <w:tc>
          <w:tcPr>
            <w:tcW w:w="8220" w:type="dxa"/>
            <w:shd w:val="clear" w:color="auto" w:fill="auto"/>
          </w:tcPr>
          <w:p w14:paraId="2562F0C2" w14:textId="77777777" w:rsidR="007A6D9D" w:rsidRPr="00075DC8" w:rsidRDefault="007A6D9D" w:rsidP="00ED483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075DC8">
              <w:rPr>
                <w:b w:val="0"/>
                <w:sz w:val="20"/>
                <w:lang w:val="fr-FR"/>
              </w:rPr>
              <w:t>Gestion du spectre</w:t>
            </w:r>
          </w:p>
        </w:tc>
      </w:tr>
      <w:tr w:rsidR="007A6D9D" w:rsidRPr="00075DC8" w14:paraId="2AC9F3FC" w14:textId="77777777" w:rsidTr="00ED4837">
        <w:tc>
          <w:tcPr>
            <w:tcW w:w="1140" w:type="dxa"/>
          </w:tcPr>
          <w:p w14:paraId="269C33B9" w14:textId="77777777" w:rsidR="007A6D9D" w:rsidRPr="00075DC8" w:rsidRDefault="007A6D9D" w:rsidP="00ED4837">
            <w:pPr>
              <w:spacing w:before="30" w:after="30"/>
              <w:ind w:left="57"/>
              <w:jc w:val="left"/>
              <w:rPr>
                <w:b/>
                <w:bCs/>
                <w:sz w:val="20"/>
                <w:lang w:val="fr-FR"/>
              </w:rPr>
            </w:pPr>
            <w:r w:rsidRPr="00075DC8">
              <w:rPr>
                <w:b/>
                <w:bCs/>
                <w:sz w:val="20"/>
                <w:lang w:val="fr-FR"/>
              </w:rPr>
              <w:t>SNG</w:t>
            </w:r>
          </w:p>
        </w:tc>
        <w:tc>
          <w:tcPr>
            <w:tcW w:w="8220" w:type="dxa"/>
          </w:tcPr>
          <w:p w14:paraId="51790537" w14:textId="43F068B0" w:rsidR="007A6D9D" w:rsidRPr="00075DC8" w:rsidRDefault="007A6D9D" w:rsidP="00ED483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075DC8">
              <w:rPr>
                <w:b w:val="0"/>
                <w:sz w:val="20"/>
                <w:lang w:val="fr-FR"/>
              </w:rPr>
              <w:t>Reportage d</w:t>
            </w:r>
            <w:r w:rsidR="001F6A0D" w:rsidRPr="00075DC8">
              <w:rPr>
                <w:b w:val="0"/>
                <w:sz w:val="20"/>
                <w:lang w:val="fr-FR"/>
              </w:rPr>
              <w:t>'</w:t>
            </w:r>
            <w:r w:rsidRPr="00075DC8">
              <w:rPr>
                <w:b w:val="0"/>
                <w:sz w:val="20"/>
                <w:lang w:val="fr-FR"/>
              </w:rPr>
              <w:t>actualités par satellite</w:t>
            </w:r>
          </w:p>
        </w:tc>
      </w:tr>
      <w:tr w:rsidR="007A6D9D" w:rsidRPr="00075DC8" w14:paraId="128385EB" w14:textId="77777777" w:rsidTr="00ED4837">
        <w:tc>
          <w:tcPr>
            <w:tcW w:w="1140" w:type="dxa"/>
          </w:tcPr>
          <w:p w14:paraId="20A1DEB2" w14:textId="77777777" w:rsidR="007A6D9D" w:rsidRPr="00075DC8" w:rsidRDefault="007A6D9D" w:rsidP="00ED4837">
            <w:pPr>
              <w:spacing w:before="30" w:after="30"/>
              <w:ind w:left="57"/>
              <w:jc w:val="left"/>
              <w:rPr>
                <w:rFonts w:ascii="Times New Roman Bold" w:hAnsi="Times New Roman Bold"/>
                <w:b/>
                <w:bCs/>
                <w:sz w:val="20"/>
                <w:lang w:val="fr-FR"/>
              </w:rPr>
            </w:pPr>
            <w:r w:rsidRPr="00075DC8">
              <w:rPr>
                <w:rFonts w:ascii="Times New Roman Bold" w:hAnsi="Times New Roman Bold"/>
                <w:b/>
                <w:bCs/>
                <w:sz w:val="20"/>
                <w:lang w:val="fr-FR"/>
              </w:rPr>
              <w:t>TF</w:t>
            </w:r>
          </w:p>
        </w:tc>
        <w:tc>
          <w:tcPr>
            <w:tcW w:w="8220" w:type="dxa"/>
          </w:tcPr>
          <w:p w14:paraId="7CE90576" w14:textId="148FDCDB" w:rsidR="007A6D9D" w:rsidRPr="00075DC8" w:rsidRDefault="00075DC8" w:rsidP="00ED483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075DC8">
              <w:rPr>
                <w:b w:val="0"/>
                <w:sz w:val="20"/>
                <w:lang w:val="fr-FR"/>
              </w:rPr>
              <w:t>Émissions</w:t>
            </w:r>
            <w:r w:rsidR="007A6D9D" w:rsidRPr="00075DC8">
              <w:rPr>
                <w:b w:val="0"/>
                <w:sz w:val="20"/>
                <w:lang w:val="fr-FR"/>
              </w:rPr>
              <w:t xml:space="preserve"> de fréquences étalon et de signaux horaires</w:t>
            </w:r>
          </w:p>
        </w:tc>
      </w:tr>
      <w:tr w:rsidR="007A6D9D" w:rsidRPr="00075DC8" w14:paraId="4529A5A8" w14:textId="77777777" w:rsidTr="00ED4837">
        <w:tc>
          <w:tcPr>
            <w:tcW w:w="1140" w:type="dxa"/>
          </w:tcPr>
          <w:p w14:paraId="5AB53A32" w14:textId="77777777" w:rsidR="007A6D9D" w:rsidRPr="00075DC8" w:rsidRDefault="007A6D9D" w:rsidP="00ED4837">
            <w:pPr>
              <w:spacing w:before="30" w:after="30"/>
              <w:ind w:left="57"/>
              <w:jc w:val="left"/>
              <w:rPr>
                <w:b/>
                <w:bCs/>
                <w:sz w:val="20"/>
                <w:lang w:val="fr-FR"/>
              </w:rPr>
            </w:pPr>
            <w:r w:rsidRPr="00075DC8">
              <w:rPr>
                <w:b/>
                <w:bCs/>
                <w:sz w:val="20"/>
                <w:lang w:val="fr-FR"/>
              </w:rPr>
              <w:t>V</w:t>
            </w:r>
          </w:p>
        </w:tc>
        <w:tc>
          <w:tcPr>
            <w:tcW w:w="8220" w:type="dxa"/>
          </w:tcPr>
          <w:p w14:paraId="75868859" w14:textId="77777777" w:rsidR="007A6D9D" w:rsidRPr="00075DC8" w:rsidRDefault="007A6D9D" w:rsidP="00ED483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lang w:val="fr-FR"/>
              </w:rPr>
            </w:pPr>
            <w:r w:rsidRPr="00075DC8">
              <w:rPr>
                <w:b w:val="0"/>
                <w:sz w:val="20"/>
                <w:lang w:val="fr-FR"/>
              </w:rPr>
              <w:t>Vocabulaire et sujets associés</w:t>
            </w:r>
          </w:p>
        </w:tc>
      </w:tr>
    </w:tbl>
    <w:p w14:paraId="69C50A73" w14:textId="77777777" w:rsidR="007A6D9D" w:rsidRPr="00075DC8" w:rsidRDefault="007A6D9D" w:rsidP="007A6D9D">
      <w:pPr>
        <w:spacing w:before="0"/>
        <w:jc w:val="center"/>
        <w:rPr>
          <w:sz w:val="20"/>
          <w:lang w:val="fr-FR"/>
        </w:rPr>
      </w:pPr>
    </w:p>
    <w:p w14:paraId="472ED79C" w14:textId="77777777" w:rsidR="007A6D9D" w:rsidRPr="00075DC8" w:rsidRDefault="007A6D9D" w:rsidP="007A6D9D">
      <w:pPr>
        <w:spacing w:before="0"/>
        <w:ind w:left="18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7A6D9D" w:rsidRPr="00075DC8" w14:paraId="3B66FD3E" w14:textId="77777777" w:rsidTr="00ED4837">
        <w:tc>
          <w:tcPr>
            <w:tcW w:w="9360" w:type="dxa"/>
          </w:tcPr>
          <w:p w14:paraId="6B1262D9" w14:textId="77777777" w:rsidR="007A6D9D" w:rsidRPr="00075DC8" w:rsidRDefault="007A6D9D" w:rsidP="00ED4837">
            <w:pPr>
              <w:spacing w:before="80" w:after="80"/>
              <w:rPr>
                <w:i/>
                <w:iCs/>
                <w:sz w:val="20"/>
                <w:lang w:val="fr-FR"/>
              </w:rPr>
            </w:pPr>
            <w:r w:rsidRPr="00075DC8">
              <w:rPr>
                <w:b/>
                <w:bCs/>
                <w:i/>
                <w:iCs/>
                <w:sz w:val="20"/>
                <w:lang w:val="fr-FR"/>
              </w:rPr>
              <w:t>Note</w:t>
            </w:r>
            <w:r w:rsidRPr="00075DC8">
              <w:rPr>
                <w:i/>
                <w:iCs/>
                <w:sz w:val="20"/>
                <w:lang w:val="fr-FR"/>
              </w:rPr>
              <w:t xml:space="preserve">: Cette Recommandation UIT-R a été approuvée en anglais aux termes de la procédure détaillée dans la Résolution UIT-R 1. </w:t>
            </w:r>
          </w:p>
        </w:tc>
      </w:tr>
    </w:tbl>
    <w:p w14:paraId="790E0844" w14:textId="77777777" w:rsidR="007A6D9D" w:rsidRPr="00075DC8" w:rsidRDefault="007A6D9D" w:rsidP="007A6D9D">
      <w:pPr>
        <w:spacing w:before="0"/>
        <w:jc w:val="center"/>
        <w:rPr>
          <w:sz w:val="22"/>
          <w:lang w:val="fr-FR"/>
        </w:rPr>
      </w:pPr>
    </w:p>
    <w:p w14:paraId="2A600341" w14:textId="77777777" w:rsidR="007A6D9D" w:rsidRPr="00075DC8" w:rsidRDefault="007A6D9D" w:rsidP="007A6D9D">
      <w:pPr>
        <w:spacing w:before="100"/>
        <w:jc w:val="right"/>
        <w:rPr>
          <w:i/>
          <w:iCs/>
          <w:sz w:val="20"/>
          <w:lang w:val="fr-FR"/>
        </w:rPr>
      </w:pPr>
      <w:r w:rsidRPr="00075DC8">
        <w:rPr>
          <w:i/>
          <w:iCs/>
          <w:sz w:val="20"/>
          <w:lang w:val="fr-FR"/>
        </w:rPr>
        <w:t>Publication électronique</w:t>
      </w:r>
    </w:p>
    <w:p w14:paraId="4069937A" w14:textId="6C49EB11" w:rsidR="007A6D9D" w:rsidRPr="00075DC8" w:rsidRDefault="007A6D9D" w:rsidP="007A6D9D">
      <w:pPr>
        <w:spacing w:before="0"/>
        <w:jc w:val="right"/>
        <w:rPr>
          <w:sz w:val="20"/>
          <w:lang w:val="fr-FR"/>
        </w:rPr>
      </w:pPr>
      <w:r w:rsidRPr="00075DC8">
        <w:rPr>
          <w:sz w:val="20"/>
          <w:lang w:val="fr-FR"/>
        </w:rPr>
        <w:t>Genève, 202</w:t>
      </w:r>
      <w:r w:rsidR="00725E50" w:rsidRPr="00075DC8">
        <w:rPr>
          <w:sz w:val="20"/>
          <w:lang w:val="fr-FR"/>
        </w:rPr>
        <w:t>5</w:t>
      </w:r>
    </w:p>
    <w:p w14:paraId="2D4B985F" w14:textId="280BC820" w:rsidR="007A6D9D" w:rsidRPr="00075DC8" w:rsidRDefault="007A6D9D" w:rsidP="007A6D9D">
      <w:pPr>
        <w:spacing w:before="200"/>
        <w:jc w:val="center"/>
        <w:rPr>
          <w:sz w:val="20"/>
          <w:lang w:val="fr-FR"/>
        </w:rPr>
      </w:pPr>
      <w:r w:rsidRPr="00075DC8">
        <w:rPr>
          <w:sz w:val="20"/>
          <w:lang w:val="fr-FR"/>
        </w:rPr>
        <w:sym w:font="Symbol" w:char="F0E3"/>
      </w:r>
      <w:r w:rsidRPr="00075DC8">
        <w:rPr>
          <w:sz w:val="20"/>
          <w:lang w:val="fr-FR"/>
        </w:rPr>
        <w:t xml:space="preserve"> UIT </w:t>
      </w:r>
      <w:bookmarkStart w:id="2" w:name="iiannee"/>
      <w:bookmarkEnd w:id="2"/>
      <w:r w:rsidRPr="00075DC8">
        <w:rPr>
          <w:sz w:val="20"/>
          <w:lang w:val="fr-FR"/>
        </w:rPr>
        <w:t>202</w:t>
      </w:r>
      <w:r w:rsidR="00725E50" w:rsidRPr="00075DC8">
        <w:rPr>
          <w:sz w:val="20"/>
          <w:lang w:val="fr-FR"/>
        </w:rPr>
        <w:t>5</w:t>
      </w:r>
    </w:p>
    <w:p w14:paraId="48214150" w14:textId="56316FC4" w:rsidR="007A6D9D" w:rsidRPr="00075DC8" w:rsidRDefault="007A6D9D" w:rsidP="007A6D9D">
      <w:pPr>
        <w:rPr>
          <w:sz w:val="18"/>
          <w:szCs w:val="18"/>
          <w:lang w:val="fr-FR"/>
        </w:rPr>
      </w:pPr>
      <w:r w:rsidRPr="00075DC8">
        <w:rPr>
          <w:sz w:val="18"/>
          <w:szCs w:val="18"/>
          <w:lang w:val="fr-FR"/>
        </w:rPr>
        <w:t>Tous droits réservés. Aucune partie de cette publication ne peut être reproduite, par quelque procédé que ce soit, sans l</w:t>
      </w:r>
      <w:r w:rsidR="001F6A0D" w:rsidRPr="00075DC8">
        <w:rPr>
          <w:sz w:val="18"/>
          <w:szCs w:val="18"/>
          <w:lang w:val="fr-FR"/>
        </w:rPr>
        <w:t>'</w:t>
      </w:r>
      <w:r w:rsidRPr="00075DC8">
        <w:rPr>
          <w:sz w:val="18"/>
          <w:szCs w:val="18"/>
          <w:lang w:val="fr-FR"/>
        </w:rPr>
        <w:t>accord écrit préalable de l</w:t>
      </w:r>
      <w:r w:rsidR="001F6A0D" w:rsidRPr="00075DC8">
        <w:rPr>
          <w:sz w:val="18"/>
          <w:szCs w:val="18"/>
          <w:lang w:val="fr-FR"/>
        </w:rPr>
        <w:t>'</w:t>
      </w:r>
      <w:r w:rsidRPr="00075DC8">
        <w:rPr>
          <w:sz w:val="18"/>
          <w:szCs w:val="18"/>
          <w:lang w:val="fr-FR"/>
        </w:rPr>
        <w:t>UIT.</w:t>
      </w:r>
    </w:p>
    <w:p w14:paraId="3ED37ADF" w14:textId="77777777" w:rsidR="007A6D9D" w:rsidRPr="00075DC8" w:rsidRDefault="007A6D9D" w:rsidP="007A6D9D">
      <w:pPr>
        <w:spacing w:before="160"/>
        <w:rPr>
          <w:i/>
          <w:sz w:val="20"/>
          <w:lang w:val="fr-FR"/>
        </w:rPr>
        <w:sectPr w:rsidR="007A6D9D" w:rsidRPr="00075DC8" w:rsidSect="007A6D9D">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521D8A90" w14:textId="0251D4D4" w:rsidR="007A6D9D" w:rsidRPr="00075DC8" w:rsidRDefault="007A6D9D" w:rsidP="007A6D9D">
      <w:pPr>
        <w:pStyle w:val="RecNo"/>
        <w:spacing w:before="0"/>
        <w:rPr>
          <w:lang w:val="fr-FR"/>
        </w:rPr>
      </w:pPr>
      <w:bookmarkStart w:id="3" w:name="irecnoe"/>
      <w:bookmarkEnd w:id="3"/>
      <w:r w:rsidRPr="00075DC8">
        <w:rPr>
          <w:lang w:val="fr-FR"/>
        </w:rPr>
        <w:lastRenderedPageBreak/>
        <w:t xml:space="preserve">RECOMMANDATION  </w:t>
      </w:r>
      <w:r w:rsidRPr="00075DC8">
        <w:rPr>
          <w:rStyle w:val="href"/>
          <w:lang w:val="fr-FR"/>
        </w:rPr>
        <w:t>UIT-R  F.</w:t>
      </w:r>
      <w:r w:rsidR="00725E50" w:rsidRPr="00075DC8">
        <w:rPr>
          <w:rStyle w:val="href"/>
          <w:lang w:val="fr-FR"/>
        </w:rPr>
        <w:t>758-8</w:t>
      </w:r>
    </w:p>
    <w:p w14:paraId="0873D35E" w14:textId="1C31C07B" w:rsidR="00725E50" w:rsidRPr="00075DC8" w:rsidRDefault="00725E50" w:rsidP="00725E50">
      <w:pPr>
        <w:pStyle w:val="Rectitle"/>
        <w:rPr>
          <w:lang w:val="fr-FR"/>
        </w:rPr>
      </w:pPr>
      <w:r w:rsidRPr="00075DC8">
        <w:rPr>
          <w:lang w:val="fr-FR"/>
        </w:rPr>
        <w:t>Paramètres des systèmes et considérations relatives à la mise au point de critères pour le partage ou la compatibilité entre les systèmes hertziens fixes</w:t>
      </w:r>
      <w:r w:rsidRPr="00075DC8">
        <w:rPr>
          <w:lang w:val="fr-FR"/>
        </w:rPr>
        <w:br/>
        <w:t>numériques du service fixe et les systèmes d</w:t>
      </w:r>
      <w:r w:rsidR="001F6A0D" w:rsidRPr="00075DC8">
        <w:rPr>
          <w:lang w:val="fr-FR"/>
        </w:rPr>
        <w:t>'</w:t>
      </w:r>
      <w:r w:rsidRPr="00075DC8">
        <w:rPr>
          <w:lang w:val="fr-FR"/>
        </w:rPr>
        <w:t>autres services</w:t>
      </w:r>
      <w:r w:rsidRPr="00075DC8">
        <w:rPr>
          <w:lang w:val="fr-FR"/>
        </w:rPr>
        <w:br/>
        <w:t>ainsi que d</w:t>
      </w:r>
      <w:r w:rsidR="001F6A0D" w:rsidRPr="00075DC8">
        <w:rPr>
          <w:lang w:val="fr-FR"/>
        </w:rPr>
        <w:t>'</w:t>
      </w:r>
      <w:r w:rsidRPr="00075DC8">
        <w:rPr>
          <w:lang w:val="fr-FR"/>
        </w:rPr>
        <w:t>autres sources de brouillage</w:t>
      </w:r>
    </w:p>
    <w:p w14:paraId="5E80763E" w14:textId="77777777" w:rsidR="00725E50" w:rsidRPr="00075DC8" w:rsidRDefault="00725E50" w:rsidP="00725E50">
      <w:pPr>
        <w:pStyle w:val="Recref"/>
        <w:rPr>
          <w:lang w:val="fr-FR"/>
        </w:rPr>
      </w:pPr>
      <w:r w:rsidRPr="00075DC8">
        <w:rPr>
          <w:lang w:val="fr-FR"/>
        </w:rPr>
        <w:t>(</w:t>
      </w:r>
      <w:hyperlink r:id="rId14" w:history="1">
        <w:r w:rsidRPr="00075DC8">
          <w:rPr>
            <w:lang w:val="fr-FR"/>
          </w:rPr>
          <w:t>Question UIT-R 252/5</w:t>
        </w:r>
      </w:hyperlink>
      <w:r w:rsidRPr="00075DC8">
        <w:rPr>
          <w:lang w:val="fr-FR"/>
        </w:rPr>
        <w:t>)</w:t>
      </w:r>
    </w:p>
    <w:p w14:paraId="0145121A" w14:textId="77777777" w:rsidR="00725E50" w:rsidRPr="00075DC8" w:rsidRDefault="00725E50" w:rsidP="00725E50">
      <w:pPr>
        <w:pStyle w:val="Recdate"/>
        <w:rPr>
          <w:lang w:val="fr-FR"/>
        </w:rPr>
      </w:pPr>
      <w:r w:rsidRPr="00075DC8">
        <w:rPr>
          <w:lang w:val="fr-FR"/>
        </w:rPr>
        <w:t>(1992-1997-2000-2003-2005-2012-2015-2019-2025)</w:t>
      </w:r>
    </w:p>
    <w:p w14:paraId="51D4204C" w14:textId="35B368BC" w:rsidR="00725E50" w:rsidRPr="00075DC8" w:rsidRDefault="00725E50" w:rsidP="00725E50">
      <w:pPr>
        <w:pStyle w:val="HeadingSum"/>
        <w:rPr>
          <w:lang w:val="fr-FR"/>
        </w:rPr>
      </w:pPr>
      <w:r w:rsidRPr="00075DC8">
        <w:rPr>
          <w:lang w:val="fr-FR"/>
        </w:rPr>
        <w:t>Domaine d</w:t>
      </w:r>
      <w:r w:rsidR="001F6A0D" w:rsidRPr="00075DC8">
        <w:rPr>
          <w:lang w:val="fr-FR"/>
        </w:rPr>
        <w:t>'</w:t>
      </w:r>
      <w:r w:rsidRPr="00075DC8">
        <w:rPr>
          <w:lang w:val="fr-FR"/>
        </w:rPr>
        <w:t>application</w:t>
      </w:r>
    </w:p>
    <w:p w14:paraId="51E7EDEF" w14:textId="77777777" w:rsidR="00725E50" w:rsidRPr="00075DC8" w:rsidRDefault="00725E50" w:rsidP="00725E50">
      <w:pPr>
        <w:pStyle w:val="Summary"/>
        <w:rPr>
          <w:lang w:val="fr-FR"/>
        </w:rPr>
      </w:pPr>
      <w:r w:rsidRPr="00075DC8">
        <w:rPr>
          <w:lang w:val="fr-FR"/>
        </w:rPr>
        <w:t xml:space="preserve">La présente Recommandation définit les principes applicables à la mise au point de critères de partage des systèmes numériques dans le service fixe. Une attention particulière est portée à la façon de bien concevoir les dégradations de qualité de fonctionnement et de disponibilité causées par le brouillage dans la limite des objectifs fixés, comme spécifié dans la </w:t>
      </w:r>
      <w:hyperlink r:id="rId15" w:history="1">
        <w:r w:rsidRPr="00075DC8">
          <w:rPr>
            <w:lang w:val="fr-FR"/>
          </w:rPr>
          <w:t>Recommandation UIT-R F.1094</w:t>
        </w:r>
      </w:hyperlink>
      <w:r w:rsidRPr="00075DC8">
        <w:rPr>
          <w:lang w:val="fr-FR"/>
        </w:rPr>
        <w:t xml:space="preserve">, dans divers environnements de brouillage. La présente Recommandation contient aussi des informations sur les caractéristiques techniques représentatives et les paramètres types de partage des systèmes hertziens fixes numériques dans le service fixe, en vue de leur utilisation dans les études de partage au-dessus de 30 MHz environ. Dans les cas où les analyses révèlent des problèmes de partage, on trouvera des informations supplémentaires sur les systèmes hertziens fixes spécifiques mis en place par les administrations dans le </w:t>
      </w:r>
      <w:hyperlink r:id="rId16" w:history="1">
        <w:r w:rsidRPr="00075DC8">
          <w:rPr>
            <w:lang w:val="fr-FR"/>
          </w:rPr>
          <w:t>Rapport UIT-R F.2108</w:t>
        </w:r>
      </w:hyperlink>
      <w:r w:rsidRPr="00075DC8">
        <w:rPr>
          <w:lang w:val="fr-FR"/>
        </w:rPr>
        <w:t>.</w:t>
      </w:r>
    </w:p>
    <w:p w14:paraId="499FC576" w14:textId="77777777" w:rsidR="00725E50" w:rsidRPr="00075DC8" w:rsidRDefault="00725E50" w:rsidP="00725E50">
      <w:pPr>
        <w:pStyle w:val="Headingb"/>
        <w:rPr>
          <w:lang w:val="fr-FR" w:eastAsia="ja-JP"/>
        </w:rPr>
      </w:pPr>
      <w:r w:rsidRPr="00075DC8">
        <w:rPr>
          <w:lang w:val="fr-FR" w:eastAsia="ja-JP"/>
        </w:rPr>
        <w:t>Mots clés</w:t>
      </w:r>
    </w:p>
    <w:p w14:paraId="11671F54" w14:textId="77777777" w:rsidR="00725E50" w:rsidRPr="00075DC8" w:rsidRDefault="00725E50" w:rsidP="00725E50">
      <w:pPr>
        <w:rPr>
          <w:lang w:val="fr-FR" w:eastAsia="ja-JP"/>
        </w:rPr>
      </w:pPr>
      <w:r w:rsidRPr="00075DC8">
        <w:rPr>
          <w:lang w:val="fr-FR" w:eastAsia="ja-JP"/>
        </w:rPr>
        <w:t>Service fixe, critères de partage, compatibilité</w:t>
      </w:r>
    </w:p>
    <w:p w14:paraId="3C299CBA" w14:textId="77777777" w:rsidR="00725E50" w:rsidRPr="00075DC8" w:rsidRDefault="00725E50" w:rsidP="00725E50">
      <w:pPr>
        <w:pStyle w:val="Headingb"/>
        <w:rPr>
          <w:lang w:val="fr-FR"/>
        </w:rPr>
      </w:pPr>
      <w:r w:rsidRPr="00075DC8">
        <w:rPr>
          <w:lang w:val="fr-FR"/>
        </w:rPr>
        <w:t>Abréviations</w:t>
      </w:r>
    </w:p>
    <w:p w14:paraId="6E16883D" w14:textId="77777777" w:rsidR="00725E50" w:rsidRPr="00075DC8" w:rsidRDefault="00725E50" w:rsidP="00725E50">
      <w:pPr>
        <w:tabs>
          <w:tab w:val="clear" w:pos="794"/>
          <w:tab w:val="clear" w:pos="1191"/>
          <w:tab w:val="left" w:pos="1106"/>
        </w:tabs>
        <w:rPr>
          <w:i/>
          <w:iCs/>
          <w:szCs w:val="24"/>
          <w:lang w:val="fr-FR" w:eastAsia="ja-JP"/>
        </w:rPr>
      </w:pPr>
      <w:r w:rsidRPr="00075DC8">
        <w:rPr>
          <w:szCs w:val="24"/>
          <w:lang w:val="fr-FR" w:eastAsia="ja-JP"/>
        </w:rPr>
        <w:t>AP</w:t>
      </w:r>
      <w:r w:rsidRPr="00075DC8">
        <w:rPr>
          <w:szCs w:val="24"/>
          <w:lang w:val="fr-FR" w:eastAsia="ja-JP"/>
        </w:rPr>
        <w:tab/>
        <w:t>qualité en matière de disponibilité (</w:t>
      </w:r>
      <w:r w:rsidRPr="00075DC8">
        <w:rPr>
          <w:i/>
          <w:iCs/>
          <w:szCs w:val="24"/>
          <w:lang w:val="fr-FR" w:eastAsia="ja-JP"/>
        </w:rPr>
        <w:t>availability performance</w:t>
      </w:r>
      <w:r w:rsidRPr="00075DC8">
        <w:rPr>
          <w:szCs w:val="24"/>
          <w:lang w:val="fr-FR" w:eastAsia="ja-JP"/>
        </w:rPr>
        <w:t>)</w:t>
      </w:r>
    </w:p>
    <w:p w14:paraId="71758A90" w14:textId="77777777" w:rsidR="00725E50" w:rsidRPr="00075DC8" w:rsidRDefault="00725E50" w:rsidP="00725E50">
      <w:pPr>
        <w:tabs>
          <w:tab w:val="clear" w:pos="794"/>
          <w:tab w:val="clear" w:pos="1191"/>
          <w:tab w:val="left" w:pos="1106"/>
        </w:tabs>
        <w:rPr>
          <w:i/>
          <w:iCs/>
          <w:szCs w:val="24"/>
          <w:lang w:val="fr-FR" w:eastAsia="ja-JP"/>
        </w:rPr>
      </w:pPr>
      <w:r w:rsidRPr="00075DC8">
        <w:rPr>
          <w:szCs w:val="24"/>
          <w:lang w:val="fr-FR" w:eastAsia="ja-JP"/>
        </w:rPr>
        <w:t>APO</w:t>
      </w:r>
      <w:r w:rsidRPr="00075DC8">
        <w:rPr>
          <w:szCs w:val="24"/>
          <w:lang w:val="fr-FR" w:eastAsia="ja-JP"/>
        </w:rPr>
        <w:tab/>
        <w:t>objectif de qualité en matière de disponibilité (</w:t>
      </w:r>
      <w:r w:rsidRPr="00075DC8">
        <w:rPr>
          <w:i/>
          <w:iCs/>
          <w:szCs w:val="24"/>
          <w:lang w:val="fr-FR" w:eastAsia="ja-JP"/>
        </w:rPr>
        <w:t>availability performance objective</w:t>
      </w:r>
      <w:r w:rsidRPr="00075DC8">
        <w:rPr>
          <w:szCs w:val="24"/>
          <w:lang w:val="fr-FR" w:eastAsia="ja-JP"/>
        </w:rPr>
        <w:t>)</w:t>
      </w:r>
    </w:p>
    <w:p w14:paraId="4551A0A3" w14:textId="44F22CDA" w:rsidR="00725E50" w:rsidRPr="00075DC8" w:rsidRDefault="00725E50" w:rsidP="00725E50">
      <w:pPr>
        <w:tabs>
          <w:tab w:val="clear" w:pos="794"/>
          <w:tab w:val="clear" w:pos="1191"/>
          <w:tab w:val="left" w:pos="1106"/>
        </w:tabs>
        <w:rPr>
          <w:i/>
          <w:iCs/>
          <w:szCs w:val="24"/>
          <w:lang w:val="fr-FR" w:eastAsia="ja-JP"/>
        </w:rPr>
      </w:pPr>
      <w:r w:rsidRPr="00075DC8">
        <w:rPr>
          <w:szCs w:val="24"/>
          <w:lang w:val="fr-FR" w:eastAsia="ja-JP"/>
        </w:rPr>
        <w:t>ATPC</w:t>
      </w:r>
      <w:r w:rsidRPr="00075DC8">
        <w:rPr>
          <w:szCs w:val="24"/>
          <w:lang w:val="fr-FR" w:eastAsia="ja-JP"/>
        </w:rPr>
        <w:tab/>
      </w:r>
      <w:r w:rsidRPr="00075DC8">
        <w:rPr>
          <w:lang w:val="fr-FR"/>
        </w:rPr>
        <w:t>commande automatique de la puissance d</w:t>
      </w:r>
      <w:r w:rsidR="001F6A0D" w:rsidRPr="00075DC8">
        <w:rPr>
          <w:lang w:val="fr-FR"/>
        </w:rPr>
        <w:t>'</w:t>
      </w:r>
      <w:r w:rsidRPr="00075DC8">
        <w:rPr>
          <w:lang w:val="fr-FR"/>
        </w:rPr>
        <w:t>émission (</w:t>
      </w:r>
      <w:r w:rsidRPr="00075DC8">
        <w:rPr>
          <w:i/>
          <w:iCs/>
          <w:lang w:val="fr-FR"/>
        </w:rPr>
        <w:t>automatic transmit power control</w:t>
      </w:r>
      <w:r w:rsidRPr="00075DC8">
        <w:rPr>
          <w:lang w:val="fr-FR"/>
        </w:rPr>
        <w:t>)</w:t>
      </w:r>
    </w:p>
    <w:p w14:paraId="678C5D76" w14:textId="7F06F024" w:rsidR="00725E50" w:rsidRPr="00075DC8" w:rsidRDefault="00725E50" w:rsidP="00725E50">
      <w:pPr>
        <w:tabs>
          <w:tab w:val="clear" w:pos="794"/>
          <w:tab w:val="clear" w:pos="1191"/>
          <w:tab w:val="left" w:pos="1106"/>
        </w:tabs>
        <w:rPr>
          <w:i/>
          <w:iCs/>
          <w:szCs w:val="24"/>
          <w:lang w:val="fr-FR" w:eastAsia="ja-JP"/>
        </w:rPr>
      </w:pPr>
      <w:r w:rsidRPr="00075DC8">
        <w:rPr>
          <w:szCs w:val="24"/>
          <w:lang w:val="fr-FR" w:eastAsia="ja-JP"/>
        </w:rPr>
        <w:t>BER</w:t>
      </w:r>
      <w:r w:rsidRPr="00075DC8">
        <w:rPr>
          <w:szCs w:val="24"/>
          <w:lang w:val="fr-FR" w:eastAsia="ja-JP"/>
        </w:rPr>
        <w:tab/>
        <w:t>taux d</w:t>
      </w:r>
      <w:r w:rsidR="001F6A0D" w:rsidRPr="00075DC8">
        <w:rPr>
          <w:szCs w:val="24"/>
          <w:lang w:val="fr-FR" w:eastAsia="ja-JP"/>
        </w:rPr>
        <w:t>'</w:t>
      </w:r>
      <w:r w:rsidRPr="00075DC8">
        <w:rPr>
          <w:szCs w:val="24"/>
          <w:lang w:val="fr-FR" w:eastAsia="ja-JP"/>
        </w:rPr>
        <w:t>erreurs sur les bits (</w:t>
      </w:r>
      <w:r w:rsidRPr="00075DC8">
        <w:rPr>
          <w:i/>
          <w:iCs/>
          <w:szCs w:val="24"/>
          <w:lang w:val="fr-FR" w:eastAsia="ja-JP"/>
        </w:rPr>
        <w:t>bit error ratio</w:t>
      </w:r>
      <w:r w:rsidRPr="00075DC8">
        <w:rPr>
          <w:szCs w:val="24"/>
          <w:lang w:val="fr-FR" w:eastAsia="ja-JP"/>
        </w:rPr>
        <w:t>)</w:t>
      </w:r>
    </w:p>
    <w:p w14:paraId="0EEA6651" w14:textId="18AE6E2A" w:rsidR="00725E50" w:rsidRPr="00075DC8" w:rsidRDefault="00725E50" w:rsidP="00725E50">
      <w:pPr>
        <w:tabs>
          <w:tab w:val="clear" w:pos="794"/>
          <w:tab w:val="clear" w:pos="1191"/>
          <w:tab w:val="left" w:pos="1106"/>
        </w:tabs>
        <w:rPr>
          <w:szCs w:val="24"/>
          <w:lang w:val="fr-FR" w:eastAsia="ja-JP"/>
        </w:rPr>
      </w:pPr>
      <w:r w:rsidRPr="00075DC8">
        <w:rPr>
          <w:szCs w:val="24"/>
          <w:lang w:val="fr-FR" w:eastAsia="ja-JP"/>
        </w:rPr>
        <w:t>EP</w:t>
      </w:r>
      <w:r w:rsidRPr="00075DC8">
        <w:rPr>
          <w:szCs w:val="24"/>
          <w:lang w:val="fr-FR" w:eastAsia="ja-JP"/>
        </w:rPr>
        <w:tab/>
        <w:t>qualité en matière d</w:t>
      </w:r>
      <w:r w:rsidR="001F6A0D" w:rsidRPr="00075DC8">
        <w:rPr>
          <w:szCs w:val="24"/>
          <w:lang w:val="fr-FR" w:eastAsia="ja-JP"/>
        </w:rPr>
        <w:t>'</w:t>
      </w:r>
      <w:r w:rsidRPr="00075DC8">
        <w:rPr>
          <w:szCs w:val="24"/>
          <w:lang w:val="fr-FR" w:eastAsia="ja-JP"/>
        </w:rPr>
        <w:t>erreur (</w:t>
      </w:r>
      <w:r w:rsidRPr="00075DC8">
        <w:rPr>
          <w:i/>
          <w:iCs/>
          <w:szCs w:val="24"/>
          <w:lang w:val="fr-FR" w:eastAsia="ja-JP"/>
        </w:rPr>
        <w:t>error performance</w:t>
      </w:r>
      <w:r w:rsidRPr="00075DC8">
        <w:rPr>
          <w:szCs w:val="24"/>
          <w:lang w:val="fr-FR" w:eastAsia="ja-JP"/>
        </w:rPr>
        <w:t>)</w:t>
      </w:r>
    </w:p>
    <w:p w14:paraId="5163DADC" w14:textId="7C7D8702" w:rsidR="00725E50" w:rsidRPr="00075DC8" w:rsidRDefault="00725E50" w:rsidP="00725E50">
      <w:pPr>
        <w:tabs>
          <w:tab w:val="clear" w:pos="794"/>
          <w:tab w:val="clear" w:pos="1191"/>
          <w:tab w:val="left" w:pos="1106"/>
        </w:tabs>
        <w:rPr>
          <w:szCs w:val="24"/>
          <w:lang w:val="fr-FR" w:eastAsia="ja-JP"/>
        </w:rPr>
      </w:pPr>
      <w:r w:rsidRPr="00075DC8">
        <w:rPr>
          <w:szCs w:val="24"/>
          <w:lang w:val="fr-FR" w:eastAsia="ja-JP"/>
        </w:rPr>
        <w:t>EPO</w:t>
      </w:r>
      <w:r w:rsidRPr="00075DC8">
        <w:rPr>
          <w:szCs w:val="24"/>
          <w:lang w:val="fr-FR" w:eastAsia="ja-JP"/>
        </w:rPr>
        <w:tab/>
      </w:r>
      <w:r w:rsidRPr="00075DC8">
        <w:rPr>
          <w:lang w:val="fr-FR"/>
        </w:rPr>
        <w:t>objectif de qualité en matière d</w:t>
      </w:r>
      <w:r w:rsidR="001F6A0D" w:rsidRPr="00075DC8">
        <w:rPr>
          <w:lang w:val="fr-FR"/>
        </w:rPr>
        <w:t>'</w:t>
      </w:r>
      <w:r w:rsidRPr="00075DC8">
        <w:rPr>
          <w:lang w:val="fr-FR"/>
        </w:rPr>
        <w:t>erreur (</w:t>
      </w:r>
      <w:r w:rsidRPr="00075DC8">
        <w:rPr>
          <w:i/>
          <w:iCs/>
          <w:lang w:val="fr-FR"/>
        </w:rPr>
        <w:t>error performance objective</w:t>
      </w:r>
      <w:r w:rsidRPr="00075DC8">
        <w:rPr>
          <w:lang w:val="fr-FR"/>
        </w:rPr>
        <w:t>)</w:t>
      </w:r>
    </w:p>
    <w:p w14:paraId="7ED014EA" w14:textId="77777777" w:rsidR="00725E50" w:rsidRPr="00075DC8" w:rsidRDefault="00725E50" w:rsidP="00725E50">
      <w:pPr>
        <w:tabs>
          <w:tab w:val="clear" w:pos="794"/>
          <w:tab w:val="clear" w:pos="1191"/>
          <w:tab w:val="left" w:pos="1106"/>
        </w:tabs>
        <w:rPr>
          <w:szCs w:val="24"/>
          <w:lang w:val="fr-FR" w:eastAsia="zh-CN"/>
        </w:rPr>
      </w:pPr>
      <w:r w:rsidRPr="00075DC8">
        <w:rPr>
          <w:szCs w:val="24"/>
          <w:lang w:val="fr-FR" w:eastAsia="zh-CN"/>
        </w:rPr>
        <w:t>FWS</w:t>
      </w:r>
      <w:r w:rsidRPr="00075DC8">
        <w:rPr>
          <w:szCs w:val="24"/>
          <w:lang w:val="fr-FR" w:eastAsia="zh-CN"/>
        </w:rPr>
        <w:tab/>
        <w:t>système hertzien fixe (</w:t>
      </w:r>
      <w:r w:rsidRPr="00075DC8">
        <w:rPr>
          <w:i/>
          <w:iCs/>
          <w:szCs w:val="24"/>
          <w:lang w:val="fr-FR" w:eastAsia="zh-CN"/>
        </w:rPr>
        <w:t>fixed wireless system</w:t>
      </w:r>
      <w:r w:rsidRPr="00075DC8">
        <w:rPr>
          <w:szCs w:val="24"/>
          <w:lang w:val="fr-FR" w:eastAsia="zh-CN"/>
        </w:rPr>
        <w:t>)</w:t>
      </w:r>
    </w:p>
    <w:p w14:paraId="0FBF63E6" w14:textId="0D8F8B50" w:rsidR="00725E50" w:rsidRPr="00075DC8" w:rsidRDefault="00725E50" w:rsidP="00725E50">
      <w:pPr>
        <w:tabs>
          <w:tab w:val="clear" w:pos="794"/>
          <w:tab w:val="clear" w:pos="1191"/>
          <w:tab w:val="left" w:pos="1106"/>
        </w:tabs>
        <w:rPr>
          <w:szCs w:val="24"/>
          <w:lang w:val="fr-FR" w:eastAsia="zh-CN"/>
        </w:rPr>
      </w:pPr>
      <w:r w:rsidRPr="00075DC8">
        <w:rPr>
          <w:szCs w:val="24"/>
          <w:lang w:val="fr-FR" w:eastAsia="zh-CN"/>
        </w:rPr>
        <w:t>MAQ</w:t>
      </w:r>
      <w:r w:rsidRPr="00075DC8">
        <w:rPr>
          <w:szCs w:val="24"/>
          <w:lang w:val="fr-FR" w:eastAsia="zh-CN"/>
        </w:rPr>
        <w:tab/>
      </w:r>
      <w:r w:rsidRPr="00075DC8">
        <w:rPr>
          <w:color w:val="000000"/>
          <w:lang w:val="fr-FR"/>
        </w:rPr>
        <w:t>modulation d</w:t>
      </w:r>
      <w:r w:rsidR="001F6A0D" w:rsidRPr="00075DC8">
        <w:rPr>
          <w:color w:val="000000"/>
          <w:lang w:val="fr-FR"/>
        </w:rPr>
        <w:t>'</w:t>
      </w:r>
      <w:r w:rsidRPr="00075DC8">
        <w:rPr>
          <w:color w:val="000000"/>
          <w:lang w:val="fr-FR"/>
        </w:rPr>
        <w:t>amplitude en quadrature</w:t>
      </w:r>
    </w:p>
    <w:p w14:paraId="3C683104" w14:textId="77777777" w:rsidR="00725E50" w:rsidRPr="00075DC8" w:rsidRDefault="00725E50" w:rsidP="00725E50">
      <w:pPr>
        <w:tabs>
          <w:tab w:val="clear" w:pos="794"/>
          <w:tab w:val="clear" w:pos="1191"/>
          <w:tab w:val="left" w:pos="1106"/>
        </w:tabs>
        <w:rPr>
          <w:i/>
          <w:iCs/>
          <w:color w:val="000000"/>
          <w:lang w:val="fr-FR"/>
        </w:rPr>
      </w:pPr>
      <w:r w:rsidRPr="00075DC8">
        <w:rPr>
          <w:szCs w:val="24"/>
          <w:lang w:val="fr-FR" w:eastAsia="zh-CN"/>
        </w:rPr>
        <w:t>MDF</w:t>
      </w:r>
      <w:r w:rsidRPr="00075DC8">
        <w:rPr>
          <w:szCs w:val="24"/>
          <w:lang w:val="fr-FR" w:eastAsia="zh-CN"/>
        </w:rPr>
        <w:tab/>
      </w:r>
      <w:r w:rsidRPr="00075DC8">
        <w:rPr>
          <w:color w:val="000000"/>
          <w:lang w:val="fr-FR"/>
        </w:rPr>
        <w:t>modulation par déplacement de fréquence</w:t>
      </w:r>
    </w:p>
    <w:p w14:paraId="042D44B8" w14:textId="77777777" w:rsidR="00725E50" w:rsidRPr="00075DC8" w:rsidRDefault="00725E50" w:rsidP="00725E50">
      <w:pPr>
        <w:tabs>
          <w:tab w:val="clear" w:pos="794"/>
          <w:tab w:val="clear" w:pos="1191"/>
          <w:tab w:val="left" w:pos="1120"/>
        </w:tabs>
        <w:rPr>
          <w:i/>
          <w:iCs/>
          <w:szCs w:val="24"/>
          <w:lang w:val="fr-FR" w:eastAsia="zh-CN"/>
        </w:rPr>
      </w:pPr>
      <w:r w:rsidRPr="00075DC8">
        <w:rPr>
          <w:szCs w:val="24"/>
          <w:lang w:val="fr-FR" w:eastAsia="zh-CN"/>
        </w:rPr>
        <w:t>MDPQ</w:t>
      </w:r>
      <w:r w:rsidRPr="00075DC8">
        <w:rPr>
          <w:szCs w:val="24"/>
          <w:lang w:val="fr-FR" w:eastAsia="zh-CN"/>
        </w:rPr>
        <w:tab/>
      </w:r>
      <w:r w:rsidRPr="00075DC8">
        <w:rPr>
          <w:color w:val="000000"/>
          <w:lang w:val="fr-FR"/>
        </w:rPr>
        <w:t>modulation par déplacement de phase à quatre états</w:t>
      </w:r>
    </w:p>
    <w:p w14:paraId="57B1E749" w14:textId="77777777" w:rsidR="00725E50" w:rsidRPr="00075DC8" w:rsidRDefault="00725E50" w:rsidP="00725E50">
      <w:pPr>
        <w:tabs>
          <w:tab w:val="clear" w:pos="794"/>
          <w:tab w:val="clear" w:pos="1191"/>
          <w:tab w:val="left" w:pos="1106"/>
        </w:tabs>
        <w:rPr>
          <w:i/>
          <w:iCs/>
          <w:szCs w:val="24"/>
          <w:lang w:val="fr-FR" w:eastAsia="zh-CN"/>
        </w:rPr>
      </w:pPr>
      <w:r w:rsidRPr="00075DC8">
        <w:rPr>
          <w:szCs w:val="24"/>
          <w:lang w:val="fr-FR" w:eastAsia="zh-CN"/>
        </w:rPr>
        <w:t>NF</w:t>
      </w:r>
      <w:r w:rsidRPr="00075DC8">
        <w:rPr>
          <w:szCs w:val="24"/>
          <w:lang w:val="fr-FR" w:eastAsia="zh-CN"/>
        </w:rPr>
        <w:tab/>
        <w:t>facteur de bruit (</w:t>
      </w:r>
      <w:r w:rsidRPr="00075DC8">
        <w:rPr>
          <w:i/>
          <w:iCs/>
          <w:szCs w:val="24"/>
          <w:lang w:val="fr-FR" w:eastAsia="zh-CN"/>
        </w:rPr>
        <w:t>noise figure</w:t>
      </w:r>
      <w:r w:rsidRPr="00075DC8">
        <w:rPr>
          <w:szCs w:val="24"/>
          <w:lang w:val="fr-FR" w:eastAsia="zh-CN"/>
        </w:rPr>
        <w:t>)</w:t>
      </w:r>
    </w:p>
    <w:p w14:paraId="5F02CE4F" w14:textId="77777777" w:rsidR="00725E50" w:rsidRPr="00075DC8" w:rsidRDefault="00725E50" w:rsidP="00725E50">
      <w:pPr>
        <w:tabs>
          <w:tab w:val="clear" w:pos="794"/>
          <w:tab w:val="clear" w:pos="1191"/>
          <w:tab w:val="left" w:pos="1106"/>
        </w:tabs>
        <w:rPr>
          <w:i/>
          <w:iCs/>
          <w:szCs w:val="24"/>
          <w:lang w:val="fr-FR" w:eastAsia="ja-JP"/>
        </w:rPr>
      </w:pPr>
      <w:r w:rsidRPr="00075DC8">
        <w:rPr>
          <w:szCs w:val="24"/>
          <w:lang w:val="fr-FR" w:eastAsia="ja-JP"/>
        </w:rPr>
        <w:t>p.i.r.e.</w:t>
      </w:r>
      <w:r w:rsidRPr="00075DC8">
        <w:rPr>
          <w:szCs w:val="24"/>
          <w:lang w:val="fr-FR" w:eastAsia="ja-JP"/>
        </w:rPr>
        <w:tab/>
      </w:r>
      <w:r w:rsidRPr="00075DC8">
        <w:rPr>
          <w:lang w:val="fr-FR"/>
        </w:rPr>
        <w:t>puissance isotrope rayonnée équivalente</w:t>
      </w:r>
    </w:p>
    <w:p w14:paraId="09B19108" w14:textId="77777777" w:rsidR="00725E50" w:rsidRPr="00075DC8" w:rsidRDefault="00725E50" w:rsidP="00725E50">
      <w:pPr>
        <w:tabs>
          <w:tab w:val="clear" w:pos="794"/>
          <w:tab w:val="clear" w:pos="1191"/>
          <w:tab w:val="left" w:pos="1106"/>
        </w:tabs>
        <w:rPr>
          <w:szCs w:val="24"/>
          <w:lang w:val="fr-FR" w:eastAsia="zh-CN"/>
        </w:rPr>
      </w:pPr>
      <w:r w:rsidRPr="00075DC8">
        <w:rPr>
          <w:szCs w:val="24"/>
          <w:lang w:val="fr-FR" w:eastAsia="zh-CN"/>
        </w:rPr>
        <w:t>PMP</w:t>
      </w:r>
      <w:r w:rsidRPr="00075DC8">
        <w:rPr>
          <w:szCs w:val="24"/>
          <w:lang w:val="fr-FR" w:eastAsia="zh-CN"/>
        </w:rPr>
        <w:tab/>
        <w:t>point à multipoint (</w:t>
      </w:r>
      <w:r w:rsidRPr="00075DC8">
        <w:rPr>
          <w:i/>
          <w:iCs/>
          <w:lang w:val="fr-FR"/>
        </w:rPr>
        <w:t>point-to-multipoint</w:t>
      </w:r>
      <w:r w:rsidRPr="00075DC8">
        <w:rPr>
          <w:lang w:val="fr-FR"/>
        </w:rPr>
        <w:t>)</w:t>
      </w:r>
    </w:p>
    <w:p w14:paraId="7C159BB2" w14:textId="77777777" w:rsidR="00725E50" w:rsidRPr="00075DC8" w:rsidRDefault="00725E50" w:rsidP="00725E50">
      <w:pPr>
        <w:tabs>
          <w:tab w:val="clear" w:pos="794"/>
          <w:tab w:val="clear" w:pos="1191"/>
          <w:tab w:val="left" w:pos="1106"/>
        </w:tabs>
        <w:rPr>
          <w:szCs w:val="24"/>
          <w:lang w:val="fr-FR" w:eastAsia="zh-CN"/>
        </w:rPr>
      </w:pPr>
      <w:r w:rsidRPr="00075DC8">
        <w:rPr>
          <w:szCs w:val="24"/>
          <w:lang w:val="fr-FR" w:eastAsia="zh-CN"/>
        </w:rPr>
        <w:t>PP</w:t>
      </w:r>
      <w:r w:rsidRPr="00075DC8">
        <w:rPr>
          <w:szCs w:val="24"/>
          <w:lang w:val="fr-FR" w:eastAsia="zh-CN"/>
        </w:rPr>
        <w:tab/>
      </w:r>
      <w:r w:rsidRPr="00075DC8">
        <w:rPr>
          <w:lang w:val="fr-FR"/>
        </w:rPr>
        <w:t>point à point (</w:t>
      </w:r>
      <w:r w:rsidRPr="00075DC8">
        <w:rPr>
          <w:i/>
          <w:iCs/>
          <w:szCs w:val="24"/>
          <w:lang w:val="fr-FR" w:eastAsia="zh-CN"/>
        </w:rPr>
        <w:t>point-to-point</w:t>
      </w:r>
      <w:r w:rsidRPr="00075DC8">
        <w:rPr>
          <w:szCs w:val="24"/>
          <w:lang w:val="fr-FR" w:eastAsia="zh-CN"/>
        </w:rPr>
        <w:t>)</w:t>
      </w:r>
    </w:p>
    <w:p w14:paraId="6402F9EB" w14:textId="77777777" w:rsidR="00725E50" w:rsidRPr="00075DC8" w:rsidRDefault="00725E50" w:rsidP="00725E50">
      <w:pPr>
        <w:tabs>
          <w:tab w:val="clear" w:pos="794"/>
          <w:tab w:val="clear" w:pos="1191"/>
          <w:tab w:val="left" w:pos="1106"/>
        </w:tabs>
        <w:rPr>
          <w:szCs w:val="24"/>
          <w:lang w:val="fr-FR" w:eastAsia="zh-CN"/>
        </w:rPr>
      </w:pPr>
      <w:r w:rsidRPr="00075DC8">
        <w:rPr>
          <w:szCs w:val="24"/>
          <w:lang w:val="fr-FR" w:eastAsia="zh-CN"/>
        </w:rPr>
        <w:t>SF</w:t>
      </w:r>
      <w:r w:rsidRPr="00075DC8">
        <w:rPr>
          <w:szCs w:val="24"/>
          <w:lang w:val="fr-FR" w:eastAsia="zh-CN"/>
        </w:rPr>
        <w:tab/>
        <w:t>service fixe</w:t>
      </w:r>
    </w:p>
    <w:p w14:paraId="7EE63C48" w14:textId="77777777" w:rsidR="00725E50" w:rsidRPr="00075DC8" w:rsidRDefault="00725E50" w:rsidP="00580219">
      <w:pPr>
        <w:pStyle w:val="Headingb"/>
        <w:rPr>
          <w:szCs w:val="24"/>
          <w:lang w:val="fr-FR"/>
        </w:rPr>
      </w:pPr>
      <w:r w:rsidRPr="00075DC8">
        <w:rPr>
          <w:lang w:val="fr-FR"/>
        </w:rPr>
        <w:lastRenderedPageBreak/>
        <w:t>Recommandations et Rapports UIT-R connexes</w:t>
      </w:r>
    </w:p>
    <w:p w14:paraId="5FF198F0" w14:textId="77777777" w:rsidR="00580219" w:rsidRPr="00075DC8" w:rsidRDefault="00580219" w:rsidP="00580219">
      <w:pPr>
        <w:pStyle w:val="Reftext"/>
        <w:keepNext/>
        <w:keepLines/>
        <w:rPr>
          <w:lang w:val="fr-FR"/>
        </w:rPr>
      </w:pPr>
      <w:hyperlink r:id="rId17" w:history="1">
        <w:r w:rsidRPr="00075DC8">
          <w:rPr>
            <w:lang w:val="fr-FR"/>
          </w:rPr>
          <w:t>Recommandation UIT-R P.581</w:t>
        </w:r>
      </w:hyperlink>
      <w:r w:rsidRPr="00075DC8">
        <w:rPr>
          <w:lang w:val="fr-FR"/>
        </w:rPr>
        <w:t xml:space="preserve"> – Notion de «mois le plus défavorable»</w:t>
      </w:r>
    </w:p>
    <w:p w14:paraId="59D7EFAC" w14:textId="7335FFA9" w:rsidR="00725E50" w:rsidRPr="00075DC8" w:rsidRDefault="00725E50" w:rsidP="00580219">
      <w:pPr>
        <w:pStyle w:val="Reftext"/>
        <w:keepNext/>
        <w:keepLines/>
        <w:rPr>
          <w:lang w:val="fr-FR"/>
        </w:rPr>
      </w:pPr>
      <w:hyperlink r:id="rId18" w:history="1">
        <w:r w:rsidRPr="00075DC8">
          <w:rPr>
            <w:lang w:val="fr-FR"/>
          </w:rPr>
          <w:t>Recommandation UIT-R F.634</w:t>
        </w:r>
      </w:hyperlink>
      <w:r w:rsidRPr="00075DC8">
        <w:rPr>
          <w:lang w:val="fr-FR"/>
        </w:rPr>
        <w:t xml:space="preserve"> – Objectifs de qualité en matière d</w:t>
      </w:r>
      <w:r w:rsidR="001F6A0D" w:rsidRPr="00075DC8">
        <w:rPr>
          <w:lang w:val="fr-FR"/>
        </w:rPr>
        <w:t>'</w:t>
      </w:r>
      <w:r w:rsidRPr="00075DC8">
        <w:rPr>
          <w:lang w:val="fr-FR"/>
        </w:rPr>
        <w:t>erreur pour les liaisons réelles par faisceaux hertziens numériques faisant partie de la portion à qualité élevée de communications numériques internationales à un débit binaire inférieur au débit primaire dans un réseau numérique à intégration de services</w:t>
      </w:r>
    </w:p>
    <w:p w14:paraId="4C126E01" w14:textId="3C8E5761" w:rsidR="00725E50" w:rsidRPr="00075DC8" w:rsidRDefault="00725E50" w:rsidP="00EF0F86">
      <w:pPr>
        <w:pStyle w:val="Reftext"/>
        <w:rPr>
          <w:lang w:val="fr-FR"/>
        </w:rPr>
      </w:pPr>
      <w:hyperlink r:id="rId19" w:history="1">
        <w:r w:rsidRPr="00075DC8">
          <w:rPr>
            <w:lang w:val="fr-FR"/>
          </w:rPr>
          <w:t>Recommandation UIT-R F.695</w:t>
        </w:r>
      </w:hyperlink>
      <w:r w:rsidRPr="00075DC8">
        <w:rPr>
          <w:lang w:val="fr-FR"/>
        </w:rPr>
        <w:t xml:space="preserve"> – Objectifs de disponibilité pour les liaisons réelles par faisceaux hertziens numériques faisant partie d</w:t>
      </w:r>
      <w:r w:rsidR="001F6A0D" w:rsidRPr="00075DC8">
        <w:rPr>
          <w:lang w:val="fr-FR"/>
        </w:rPr>
        <w:t>'</w:t>
      </w:r>
      <w:r w:rsidRPr="00075DC8">
        <w:rPr>
          <w:lang w:val="fr-FR"/>
        </w:rPr>
        <w:t>un circuit à qualité élevée dans un réseau numérique à intégration de services</w:t>
      </w:r>
    </w:p>
    <w:p w14:paraId="7A12F201" w14:textId="76FCC9EA" w:rsidR="00725E50" w:rsidRPr="00075DC8" w:rsidRDefault="00725E50" w:rsidP="00EF0F86">
      <w:pPr>
        <w:pStyle w:val="Reftext"/>
        <w:rPr>
          <w:lang w:val="fr-FR"/>
        </w:rPr>
      </w:pPr>
      <w:hyperlink r:id="rId20" w:history="1">
        <w:r w:rsidRPr="00075DC8">
          <w:rPr>
            <w:lang w:val="fr-FR"/>
          </w:rPr>
          <w:t>Recommandation UIT-R F.696</w:t>
        </w:r>
      </w:hyperlink>
      <w:r w:rsidRPr="00075DC8">
        <w:rPr>
          <w:lang w:val="fr-FR"/>
        </w:rPr>
        <w:t xml:space="preserve"> – Objectifs de qualité en matière d</w:t>
      </w:r>
      <w:r w:rsidR="001F6A0D" w:rsidRPr="00075DC8">
        <w:rPr>
          <w:lang w:val="fr-FR"/>
        </w:rPr>
        <w:t>'</w:t>
      </w:r>
      <w:r w:rsidRPr="00075DC8">
        <w:rPr>
          <w:lang w:val="fr-FR"/>
        </w:rPr>
        <w:t>erreur et de disponibilité pour des sections numériques fictives de référence formant une fraction ou la totalité de la partie à qualité moyenne d</w:t>
      </w:r>
      <w:r w:rsidR="001F6A0D" w:rsidRPr="00075DC8">
        <w:rPr>
          <w:lang w:val="fr-FR"/>
        </w:rPr>
        <w:t>'</w:t>
      </w:r>
      <w:r w:rsidRPr="00075DC8">
        <w:rPr>
          <w:lang w:val="fr-FR"/>
        </w:rPr>
        <w:t>une connexion RNIS à un débit binaire inférieur au débit primaire et utilisant des faisceaux hertziens numériques</w:t>
      </w:r>
    </w:p>
    <w:p w14:paraId="43DB01CE" w14:textId="3A2F4FDD" w:rsidR="00725E50" w:rsidRPr="00075DC8" w:rsidRDefault="00725E50" w:rsidP="00EF0F86">
      <w:pPr>
        <w:pStyle w:val="Reftext"/>
        <w:rPr>
          <w:lang w:val="fr-FR"/>
        </w:rPr>
      </w:pPr>
      <w:hyperlink r:id="rId21" w:history="1">
        <w:r w:rsidRPr="00075DC8">
          <w:rPr>
            <w:lang w:val="fr-FR"/>
          </w:rPr>
          <w:t>Recommandation UIT-R F.697</w:t>
        </w:r>
      </w:hyperlink>
      <w:r w:rsidRPr="00075DC8">
        <w:rPr>
          <w:lang w:val="fr-FR"/>
        </w:rPr>
        <w:t xml:space="preserve"> – Objectifs de qualité en matière d</w:t>
      </w:r>
      <w:r w:rsidR="001F6A0D" w:rsidRPr="00075DC8">
        <w:rPr>
          <w:lang w:val="fr-FR"/>
        </w:rPr>
        <w:t>'</w:t>
      </w:r>
      <w:r w:rsidRPr="00075DC8">
        <w:rPr>
          <w:lang w:val="fr-FR"/>
        </w:rPr>
        <w:t>erreur et de disponibilité pour la partie à</w:t>
      </w:r>
      <w:r w:rsidR="0011404C" w:rsidRPr="00075DC8">
        <w:rPr>
          <w:lang w:val="fr-FR"/>
        </w:rPr>
        <w:t> </w:t>
      </w:r>
      <w:r w:rsidRPr="00075DC8">
        <w:rPr>
          <w:lang w:val="fr-FR"/>
        </w:rPr>
        <w:t>qualité locale à chaque extrémité d</w:t>
      </w:r>
      <w:r w:rsidR="001F6A0D" w:rsidRPr="00075DC8">
        <w:rPr>
          <w:lang w:val="fr-FR"/>
        </w:rPr>
        <w:t>'</w:t>
      </w:r>
      <w:r w:rsidRPr="00075DC8">
        <w:rPr>
          <w:lang w:val="fr-FR"/>
        </w:rPr>
        <w:t>une communication RNIS à un débit binaire inférieur au débit primaire utilisant des faisceaux hertziens numériques</w:t>
      </w:r>
    </w:p>
    <w:p w14:paraId="43E115FA" w14:textId="5B155BE8" w:rsidR="00725E50" w:rsidRPr="00075DC8" w:rsidRDefault="00725E50" w:rsidP="00EF0F86">
      <w:pPr>
        <w:pStyle w:val="Reftext"/>
        <w:rPr>
          <w:lang w:val="fr-FR"/>
        </w:rPr>
      </w:pPr>
      <w:hyperlink r:id="rId22" w:history="1">
        <w:r w:rsidRPr="00075DC8">
          <w:rPr>
            <w:lang w:val="fr-FR"/>
          </w:rPr>
          <w:t>Recommandation UIT-R F.699</w:t>
        </w:r>
      </w:hyperlink>
      <w:r w:rsidRPr="00075DC8">
        <w:rPr>
          <w:lang w:val="fr-FR"/>
        </w:rPr>
        <w:t xml:space="preserve"> – Diagrammes de rayonnement de référence pour antennes de systèmes hertziens fixes à utiliser pour les études de coordination et l</w:t>
      </w:r>
      <w:r w:rsidR="001F6A0D" w:rsidRPr="00075DC8">
        <w:rPr>
          <w:lang w:val="fr-FR"/>
        </w:rPr>
        <w:t>'</w:t>
      </w:r>
      <w:r w:rsidRPr="00075DC8">
        <w:rPr>
          <w:lang w:val="fr-FR"/>
        </w:rPr>
        <w:t>évaluation du brouillage dans la gamme de fréquences comprise entre 100 MHz et 86 GHz</w:t>
      </w:r>
    </w:p>
    <w:p w14:paraId="415E5763" w14:textId="77777777" w:rsidR="00580219" w:rsidRPr="00075DC8" w:rsidRDefault="00580219" w:rsidP="00580219">
      <w:pPr>
        <w:pStyle w:val="Reftext"/>
        <w:rPr>
          <w:lang w:val="fr-FR"/>
        </w:rPr>
      </w:pPr>
      <w:hyperlink r:id="rId23" w:history="1">
        <w:r w:rsidRPr="00075DC8">
          <w:rPr>
            <w:lang w:val="fr-FR"/>
          </w:rPr>
          <w:t>Recommandation UIT-R SF.766</w:t>
        </w:r>
      </w:hyperlink>
      <w:r w:rsidRPr="00075DC8">
        <w:rPr>
          <w:lang w:val="fr-FR"/>
        </w:rPr>
        <w:t xml:space="preserve"> – Méthodes de détermination des effets du brouillage sur la qualité et la disponibilité des faisceaux hertziens de Terre et des systèmes du service fixe par satellite</w:t>
      </w:r>
    </w:p>
    <w:p w14:paraId="14BBF245" w14:textId="4EDF1DCD" w:rsidR="00725E50" w:rsidRPr="00075DC8" w:rsidRDefault="00725E50" w:rsidP="00EF0F86">
      <w:pPr>
        <w:pStyle w:val="Reftext"/>
        <w:rPr>
          <w:lang w:val="fr-FR"/>
        </w:rPr>
      </w:pPr>
      <w:hyperlink r:id="rId24" w:history="1">
        <w:r w:rsidRPr="00075DC8">
          <w:rPr>
            <w:lang w:val="fr-FR"/>
          </w:rPr>
          <w:t>Recommandation UIT-R F.1094</w:t>
        </w:r>
      </w:hyperlink>
      <w:r w:rsidRPr="00075DC8">
        <w:rPr>
          <w:lang w:val="fr-FR"/>
        </w:rPr>
        <w:t xml:space="preserve"> – Dégradations maximales admissibles de la qualité en matière d</w:t>
      </w:r>
      <w:r w:rsidR="001F6A0D" w:rsidRPr="00075DC8">
        <w:rPr>
          <w:lang w:val="fr-FR"/>
        </w:rPr>
        <w:t>'</w:t>
      </w:r>
      <w:r w:rsidRPr="00075DC8">
        <w:rPr>
          <w:lang w:val="fr-FR"/>
        </w:rPr>
        <w:t>erreur et de disponibilité pour les faisceaux hertziens numériques, dues aux brouillages provenant d</w:t>
      </w:r>
      <w:r w:rsidR="001F6A0D" w:rsidRPr="00075DC8">
        <w:rPr>
          <w:lang w:val="fr-FR"/>
        </w:rPr>
        <w:t>'</w:t>
      </w:r>
      <w:r w:rsidRPr="00075DC8">
        <w:rPr>
          <w:lang w:val="fr-FR"/>
        </w:rPr>
        <w:t>émissions et de rayonnements d</w:t>
      </w:r>
      <w:r w:rsidR="001F6A0D" w:rsidRPr="00075DC8">
        <w:rPr>
          <w:lang w:val="fr-FR"/>
        </w:rPr>
        <w:t>'</w:t>
      </w:r>
      <w:r w:rsidRPr="00075DC8">
        <w:rPr>
          <w:lang w:val="fr-FR"/>
        </w:rPr>
        <w:t>autres sources</w:t>
      </w:r>
    </w:p>
    <w:p w14:paraId="094A10CB" w14:textId="3D3FE510" w:rsidR="00725E50" w:rsidRPr="00075DC8" w:rsidRDefault="00725E50" w:rsidP="00EF0F86">
      <w:pPr>
        <w:pStyle w:val="Reftext"/>
        <w:rPr>
          <w:lang w:val="fr-FR"/>
        </w:rPr>
      </w:pPr>
      <w:hyperlink r:id="rId25" w:history="1">
        <w:r w:rsidRPr="00075DC8">
          <w:rPr>
            <w:lang w:val="fr-FR"/>
          </w:rPr>
          <w:t>Recommandation UIT-R F.1101</w:t>
        </w:r>
      </w:hyperlink>
      <w:r w:rsidRPr="00075DC8">
        <w:rPr>
          <w:lang w:val="fr-FR"/>
        </w:rPr>
        <w:t xml:space="preserve"> – Caractéristiques des systèmes hertziens fixes numériques fonctionnant à</w:t>
      </w:r>
      <w:r w:rsidR="0011404C" w:rsidRPr="00075DC8">
        <w:rPr>
          <w:lang w:val="fr-FR"/>
        </w:rPr>
        <w:t> </w:t>
      </w:r>
      <w:r w:rsidRPr="00075DC8">
        <w:rPr>
          <w:lang w:val="fr-FR"/>
        </w:rPr>
        <w:t>des fréquences inférieures à 17 GHz environ</w:t>
      </w:r>
    </w:p>
    <w:p w14:paraId="7972F969" w14:textId="77777777" w:rsidR="00725E50" w:rsidRPr="00075DC8" w:rsidRDefault="00725E50" w:rsidP="00EF0F86">
      <w:pPr>
        <w:pStyle w:val="Reftext"/>
        <w:rPr>
          <w:lang w:val="fr-FR"/>
        </w:rPr>
      </w:pPr>
      <w:hyperlink r:id="rId26" w:history="1">
        <w:r w:rsidRPr="00075DC8">
          <w:rPr>
            <w:lang w:val="fr-FR"/>
          </w:rPr>
          <w:t>Recommandation UIT-R F.1108</w:t>
        </w:r>
      </w:hyperlink>
      <w:r w:rsidRPr="00075DC8">
        <w:rPr>
          <w:lang w:val="fr-FR"/>
        </w:rPr>
        <w:t xml:space="preserve"> – Détermination des critères nécessaires à la protection des récepteurs du service fixe des émissions de stations spatiales opérant sur des orbites non géostationnaires dans des bandes de fréquences partagées</w:t>
      </w:r>
    </w:p>
    <w:p w14:paraId="4AD71DCA" w14:textId="393B48BA" w:rsidR="00725E50" w:rsidRPr="00075DC8" w:rsidRDefault="00725E50" w:rsidP="00EF0F86">
      <w:pPr>
        <w:pStyle w:val="Reftext"/>
        <w:rPr>
          <w:lang w:val="fr-FR"/>
        </w:rPr>
      </w:pPr>
      <w:hyperlink r:id="rId27" w:history="1">
        <w:r w:rsidRPr="00075DC8">
          <w:rPr>
            <w:lang w:val="fr-FR"/>
          </w:rPr>
          <w:t>Recommandation UIT-R F.1245</w:t>
        </w:r>
      </w:hyperlink>
      <w:r w:rsidRPr="00075DC8">
        <w:rPr>
          <w:lang w:val="fr-FR"/>
        </w:rPr>
        <w:t xml:space="preserve"> – Modèle mathématique de diagrammes de rayonnement moyens et de diagrammes de rayonnement connexes pour antennes de systèmes hertziens fixes point à point, à utiliser pour l</w:t>
      </w:r>
      <w:r w:rsidR="001F6A0D" w:rsidRPr="00075DC8">
        <w:rPr>
          <w:lang w:val="fr-FR"/>
        </w:rPr>
        <w:t>'</w:t>
      </w:r>
      <w:r w:rsidRPr="00075DC8">
        <w:rPr>
          <w:lang w:val="fr-FR"/>
        </w:rPr>
        <w:t>évaluation du brouillage dans la gamme de fréquences comprise entre 1 GHz et 86 GHz</w:t>
      </w:r>
    </w:p>
    <w:p w14:paraId="399EB6E9" w14:textId="77777777" w:rsidR="00725E50" w:rsidRPr="00075DC8" w:rsidRDefault="00725E50" w:rsidP="00EF0F86">
      <w:pPr>
        <w:pStyle w:val="Reftext"/>
        <w:rPr>
          <w:lang w:val="fr-FR"/>
        </w:rPr>
      </w:pPr>
      <w:hyperlink r:id="rId28" w:history="1">
        <w:r w:rsidRPr="00075DC8">
          <w:rPr>
            <w:lang w:val="fr-FR"/>
          </w:rPr>
          <w:t>Recommandation UIT-R F.1336</w:t>
        </w:r>
      </w:hyperlink>
      <w:r w:rsidRPr="00075DC8">
        <w:rPr>
          <w:lang w:val="fr-FR"/>
        </w:rPr>
        <w:t xml:space="preserve"> – Diagrammes de rayonnement de référence des antennes équidirectives, sectorielles et autres antennes pour les services fixe et mobile, à utiliser pour les études de partage dans la gamme de fréquences comprise entre 400 MHz et environ 70 GHz</w:t>
      </w:r>
    </w:p>
    <w:p w14:paraId="5ADEFF1E" w14:textId="77777777" w:rsidR="00580219" w:rsidRPr="00075DC8" w:rsidRDefault="00580219" w:rsidP="00580219">
      <w:pPr>
        <w:pStyle w:val="Reftext"/>
        <w:rPr>
          <w:lang w:val="fr-FR"/>
        </w:rPr>
      </w:pPr>
      <w:hyperlink r:id="rId29" w:history="1">
        <w:r w:rsidRPr="00075DC8">
          <w:rPr>
            <w:lang w:val="fr-FR"/>
          </w:rPr>
          <w:t>Recommandation UIT-R SM.1448</w:t>
        </w:r>
      </w:hyperlink>
      <w:r w:rsidRPr="00075DC8">
        <w:rPr>
          <w:lang w:val="fr-FR"/>
        </w:rPr>
        <w:t xml:space="preserve"> – Détermination de la zone de coordination autour d'une station terrienne fonctionnant dans des bandes de fréquences comprises entre 100 MHz et 105 GHz</w:t>
      </w:r>
    </w:p>
    <w:p w14:paraId="4308C933" w14:textId="48EAC72B" w:rsidR="00725E50" w:rsidRPr="00075DC8" w:rsidRDefault="00725E50" w:rsidP="00EF0F86">
      <w:pPr>
        <w:pStyle w:val="Reftext"/>
        <w:rPr>
          <w:lang w:val="fr-FR"/>
        </w:rPr>
      </w:pPr>
      <w:hyperlink r:id="rId30" w:history="1">
        <w:r w:rsidRPr="00075DC8">
          <w:rPr>
            <w:lang w:val="fr-FR"/>
          </w:rPr>
          <w:t>Recommandation UIT-R F.1494</w:t>
        </w:r>
      </w:hyperlink>
      <w:r w:rsidRPr="00075DC8">
        <w:rPr>
          <w:lang w:val="fr-FR"/>
        </w:rPr>
        <w:t xml:space="preserve"> – Critères de brouillages propres à assurer la protection du service fixe contre les différents brouillages, variables avec le temps, occasionnés par d</w:t>
      </w:r>
      <w:r w:rsidR="001F6A0D" w:rsidRPr="00075DC8">
        <w:rPr>
          <w:lang w:val="fr-FR"/>
        </w:rPr>
        <w:t>'</w:t>
      </w:r>
      <w:r w:rsidRPr="00075DC8">
        <w:rPr>
          <w:lang w:val="fr-FR"/>
        </w:rPr>
        <w:t>autres services partageant la bande 10,7</w:t>
      </w:r>
      <w:r w:rsidRPr="00075DC8">
        <w:rPr>
          <w:lang w:val="fr-FR"/>
        </w:rPr>
        <w:noBreakHyphen/>
        <w:t>12,75 GHz à titre coprimaire</w:t>
      </w:r>
    </w:p>
    <w:p w14:paraId="431B7475" w14:textId="5ECB8449" w:rsidR="00725E50" w:rsidRPr="00075DC8" w:rsidRDefault="00725E50" w:rsidP="00EF0F86">
      <w:pPr>
        <w:pStyle w:val="Reftext"/>
        <w:rPr>
          <w:lang w:val="fr-FR"/>
        </w:rPr>
      </w:pPr>
      <w:hyperlink r:id="rId31" w:history="1">
        <w:r w:rsidRPr="00075DC8">
          <w:rPr>
            <w:lang w:val="fr-FR"/>
          </w:rPr>
          <w:t>Recommandation UIT-R F.1495</w:t>
        </w:r>
      </w:hyperlink>
      <w:r w:rsidRPr="00075DC8">
        <w:rPr>
          <w:lang w:val="fr-FR"/>
        </w:rPr>
        <w:t xml:space="preserve"> – Critères de brouillage à appliquer pour protéger le service fixe contre les brouillages composites variables dans le temps causés par d</w:t>
      </w:r>
      <w:r w:rsidR="001F6A0D" w:rsidRPr="00075DC8">
        <w:rPr>
          <w:lang w:val="fr-FR"/>
        </w:rPr>
        <w:t>'</w:t>
      </w:r>
      <w:r w:rsidRPr="00075DC8">
        <w:rPr>
          <w:lang w:val="fr-FR"/>
        </w:rPr>
        <w:t>autres services de radiocommunication partageant la bande 17,7-19,3 GHz à titre coprimaire</w:t>
      </w:r>
    </w:p>
    <w:p w14:paraId="0F4F788F" w14:textId="18325162" w:rsidR="00725E50" w:rsidRPr="00075DC8" w:rsidRDefault="00725E50" w:rsidP="00EF0F86">
      <w:pPr>
        <w:pStyle w:val="Reftext"/>
        <w:rPr>
          <w:lang w:val="fr-FR"/>
        </w:rPr>
      </w:pPr>
      <w:hyperlink r:id="rId32" w:history="1">
        <w:r w:rsidRPr="00075DC8">
          <w:rPr>
            <w:lang w:val="fr-FR"/>
          </w:rPr>
          <w:t>Recommandation UIT-R F.1565</w:t>
        </w:r>
      </w:hyperlink>
      <w:r w:rsidRPr="00075DC8">
        <w:rPr>
          <w:lang w:val="fr-FR"/>
        </w:rPr>
        <w:t xml:space="preserve"> – Dégradation de la qualité de fonctionnement due aux brouillages causés par d</w:t>
      </w:r>
      <w:r w:rsidR="001F6A0D" w:rsidRPr="00075DC8">
        <w:rPr>
          <w:lang w:val="fr-FR"/>
        </w:rPr>
        <w:t>'</w:t>
      </w:r>
      <w:r w:rsidRPr="00075DC8">
        <w:rPr>
          <w:lang w:val="fr-FR"/>
        </w:rPr>
        <w:t>autres services partageant les mêmes bandes de fréquences à titre primaire avec égalité des droits, ou causés par d</w:t>
      </w:r>
      <w:r w:rsidR="001F6A0D" w:rsidRPr="00075DC8">
        <w:rPr>
          <w:lang w:val="fr-FR"/>
        </w:rPr>
        <w:t>'</w:t>
      </w:r>
      <w:r w:rsidRPr="00075DC8">
        <w:rPr>
          <w:lang w:val="fr-FR"/>
        </w:rPr>
        <w:t>autres sources de brouillage, avec des systèmes hertziens fixes numériques réels utilisés dans le tronçon international ou national d</w:t>
      </w:r>
      <w:r w:rsidR="001F6A0D" w:rsidRPr="00075DC8">
        <w:rPr>
          <w:lang w:val="fr-FR"/>
        </w:rPr>
        <w:t>'</w:t>
      </w:r>
      <w:r w:rsidRPr="00075DC8">
        <w:rPr>
          <w:lang w:val="fr-FR"/>
        </w:rPr>
        <w:t>un conduit fictif de référence de 27 500 km et fonctionnant à un débit égal ou supérieur au débit primaire</w:t>
      </w:r>
    </w:p>
    <w:p w14:paraId="76D0C76F" w14:textId="1D75ADBA" w:rsidR="00725E50" w:rsidRPr="00075DC8" w:rsidRDefault="00725E50" w:rsidP="00EF0F86">
      <w:pPr>
        <w:pStyle w:val="Reftext"/>
        <w:rPr>
          <w:lang w:val="fr-FR"/>
        </w:rPr>
      </w:pPr>
      <w:hyperlink r:id="rId33" w:history="1">
        <w:r w:rsidRPr="00075DC8">
          <w:rPr>
            <w:lang w:val="fr-FR"/>
          </w:rPr>
          <w:t>Recommandation UIT-R F.1606</w:t>
        </w:r>
      </w:hyperlink>
      <w:r w:rsidRPr="00075DC8">
        <w:rPr>
          <w:lang w:val="fr-FR"/>
        </w:rPr>
        <w:t xml:space="preserve"> – Critères de brouillage pour la protection des systèmes hertziens fixes contre les brouillages cumulatifs variables dans le temps causés par des satellites non géostationnaires exploités dans d</w:t>
      </w:r>
      <w:r w:rsidR="001F6A0D" w:rsidRPr="00075DC8">
        <w:rPr>
          <w:lang w:val="fr-FR"/>
        </w:rPr>
        <w:t>'</w:t>
      </w:r>
      <w:r w:rsidRPr="00075DC8">
        <w:rPr>
          <w:lang w:val="fr-FR"/>
        </w:rPr>
        <w:t>autres services partageant les bandes 37-40 GHz et 40,5</w:t>
      </w:r>
      <w:r w:rsidRPr="00075DC8">
        <w:rPr>
          <w:lang w:val="fr-FR"/>
        </w:rPr>
        <w:noBreakHyphen/>
        <w:t>42,5 GHz à titre primaire avec égalité des droits</w:t>
      </w:r>
    </w:p>
    <w:p w14:paraId="6A610495" w14:textId="77777777" w:rsidR="00580219" w:rsidRPr="00075DC8" w:rsidRDefault="00580219" w:rsidP="00580219">
      <w:pPr>
        <w:pStyle w:val="Reftext"/>
        <w:rPr>
          <w:lang w:val="fr-FR"/>
        </w:rPr>
      </w:pPr>
      <w:hyperlink r:id="rId34" w:history="1">
        <w:r w:rsidRPr="00075DC8">
          <w:rPr>
            <w:lang w:val="fr-FR"/>
          </w:rPr>
          <w:t>Recommandation UIT-R SF.1650</w:t>
        </w:r>
      </w:hyperlink>
      <w:r w:rsidRPr="00075DC8">
        <w:rPr>
          <w:lang w:val="fr-FR"/>
        </w:rPr>
        <w:t xml:space="preserve"> – Distance minimale à partir de la ligne de base au-delà de laquelle les stations terriennes en mouvement embarquées ne causeraient pas de brouillages inacceptables aux services de Terre dans les bandes 5 925-6 425 MHz et 14-14,5 GHz</w:t>
      </w:r>
    </w:p>
    <w:p w14:paraId="3F5DF616" w14:textId="1650FC4A" w:rsidR="00725E50" w:rsidRPr="00075DC8" w:rsidRDefault="00725E50" w:rsidP="00EF0F86">
      <w:pPr>
        <w:pStyle w:val="Reftext"/>
        <w:rPr>
          <w:lang w:val="fr-FR"/>
        </w:rPr>
      </w:pPr>
      <w:hyperlink r:id="rId35" w:history="1">
        <w:r w:rsidRPr="00075DC8">
          <w:rPr>
            <w:lang w:val="fr-FR"/>
          </w:rPr>
          <w:t>Recommandation UIT-R F.1668</w:t>
        </w:r>
      </w:hyperlink>
      <w:r w:rsidRPr="00075DC8">
        <w:rPr>
          <w:lang w:val="fr-FR"/>
        </w:rPr>
        <w:t xml:space="preserve"> – Objectifs de qualité en matière d</w:t>
      </w:r>
      <w:r w:rsidR="001F6A0D" w:rsidRPr="00075DC8">
        <w:rPr>
          <w:lang w:val="fr-FR"/>
        </w:rPr>
        <w:t>'</w:t>
      </w:r>
      <w:r w:rsidRPr="00075DC8">
        <w:rPr>
          <w:lang w:val="fr-FR"/>
        </w:rPr>
        <w:t>erreur applicables aux liaisons hertziennes fixes numériques réelles utilisées dans des conduits et des connexions fictifs de référence de</w:t>
      </w:r>
      <w:r w:rsidR="00EF0F86" w:rsidRPr="00075DC8">
        <w:rPr>
          <w:lang w:val="fr-FR"/>
        </w:rPr>
        <w:t> </w:t>
      </w:r>
      <w:r w:rsidRPr="00075DC8">
        <w:rPr>
          <w:lang w:val="fr-FR"/>
        </w:rPr>
        <w:t>27</w:t>
      </w:r>
      <w:r w:rsidR="00EF0F86" w:rsidRPr="00075DC8">
        <w:rPr>
          <w:lang w:val="fr-FR"/>
        </w:rPr>
        <w:t> </w:t>
      </w:r>
      <w:r w:rsidRPr="00075DC8">
        <w:rPr>
          <w:lang w:val="fr-FR"/>
        </w:rPr>
        <w:t>500</w:t>
      </w:r>
      <w:r w:rsidR="00EF0F86" w:rsidRPr="00075DC8">
        <w:rPr>
          <w:lang w:val="fr-FR"/>
        </w:rPr>
        <w:t> </w:t>
      </w:r>
      <w:r w:rsidRPr="00075DC8">
        <w:rPr>
          <w:lang w:val="fr-FR"/>
        </w:rPr>
        <w:t>km</w:t>
      </w:r>
    </w:p>
    <w:p w14:paraId="12B67885" w14:textId="422F4C4F" w:rsidR="00725E50" w:rsidRPr="00075DC8" w:rsidRDefault="00725E50" w:rsidP="00EF0F86">
      <w:pPr>
        <w:pStyle w:val="Reftext"/>
        <w:rPr>
          <w:lang w:val="fr-FR"/>
        </w:rPr>
      </w:pPr>
      <w:hyperlink r:id="rId36" w:history="1">
        <w:r w:rsidRPr="00075DC8">
          <w:rPr>
            <w:lang w:val="fr-FR"/>
          </w:rPr>
          <w:t>Recommandation UIT-R F.1669</w:t>
        </w:r>
      </w:hyperlink>
      <w:r w:rsidRPr="00075DC8">
        <w:rPr>
          <w:lang w:val="fr-FR"/>
        </w:rPr>
        <w:t xml:space="preserve"> – Critères de protection des systèmes hertziens fixes fonctionnant dans les bandes 37-40</w:t>
      </w:r>
      <w:r w:rsidR="00EF0F86" w:rsidRPr="00075DC8">
        <w:rPr>
          <w:lang w:val="fr-FR"/>
        </w:rPr>
        <w:t> </w:t>
      </w:r>
      <w:r w:rsidRPr="00075DC8">
        <w:rPr>
          <w:lang w:val="fr-FR"/>
        </w:rPr>
        <w:t>GHz et 40,5-42,5</w:t>
      </w:r>
      <w:r w:rsidR="00EF0F86" w:rsidRPr="00075DC8">
        <w:rPr>
          <w:lang w:val="fr-FR"/>
        </w:rPr>
        <w:t> </w:t>
      </w:r>
      <w:r w:rsidRPr="00075DC8">
        <w:rPr>
          <w:lang w:val="fr-FR"/>
        </w:rPr>
        <w:t>GHz contre les brouillages causés par des satellites en orbite géostationnaire</w:t>
      </w:r>
    </w:p>
    <w:p w14:paraId="7D3A4793" w14:textId="00069BB9" w:rsidR="00725E50" w:rsidRPr="00075DC8" w:rsidRDefault="00725E50" w:rsidP="00EF0F86">
      <w:pPr>
        <w:pStyle w:val="Reftext"/>
        <w:rPr>
          <w:lang w:val="fr-FR"/>
        </w:rPr>
      </w:pPr>
      <w:hyperlink r:id="rId37" w:history="1">
        <w:r w:rsidRPr="00075DC8">
          <w:rPr>
            <w:lang w:val="fr-FR"/>
          </w:rPr>
          <w:t>Recommandation UIT-R F.1703</w:t>
        </w:r>
      </w:hyperlink>
      <w:r w:rsidRPr="00075DC8">
        <w:rPr>
          <w:lang w:val="fr-FR"/>
        </w:rPr>
        <w:t xml:space="preserve"> – Objectifs de disponibilité applicables à des liaisons hertziennes fixes numériques réelles utilisées dans des conduits et des connexions fictifs de référence de 27 500</w:t>
      </w:r>
      <w:r w:rsidR="00EF0F86" w:rsidRPr="00075DC8">
        <w:rPr>
          <w:lang w:val="fr-FR"/>
        </w:rPr>
        <w:t> </w:t>
      </w:r>
      <w:r w:rsidRPr="00075DC8">
        <w:rPr>
          <w:lang w:val="fr-FR"/>
        </w:rPr>
        <w:t>km</w:t>
      </w:r>
    </w:p>
    <w:p w14:paraId="3FD8DA9F" w14:textId="77777777" w:rsidR="00725E50" w:rsidRPr="00075DC8" w:rsidRDefault="00725E50" w:rsidP="00EF0F86">
      <w:pPr>
        <w:pStyle w:val="Reftext"/>
        <w:rPr>
          <w:lang w:val="fr-FR"/>
        </w:rPr>
      </w:pPr>
      <w:hyperlink r:id="rId38" w:history="1">
        <w:r w:rsidRPr="00075DC8">
          <w:rPr>
            <w:lang w:val="fr-FR"/>
          </w:rPr>
          <w:t>Recommandation UIT-R F.2086</w:t>
        </w:r>
        <w:bookmarkStart w:id="4" w:name="_Hlk166721159"/>
      </w:hyperlink>
      <w:r w:rsidRPr="00075DC8">
        <w:rPr>
          <w:lang w:val="fr-FR"/>
        </w:rPr>
        <w:t xml:space="preserve"> – </w:t>
      </w:r>
      <w:bookmarkEnd w:id="4"/>
      <w:r w:rsidRPr="00075DC8">
        <w:rPr>
          <w:lang w:val="fr-FR"/>
        </w:rPr>
        <w:t>Scénarios de déploiement des systèmes point à point du service fixe</w:t>
      </w:r>
    </w:p>
    <w:p w14:paraId="7D47E84A" w14:textId="77777777" w:rsidR="00725E50" w:rsidRPr="00075DC8" w:rsidRDefault="00725E50" w:rsidP="00EF0F86">
      <w:pPr>
        <w:pStyle w:val="Reftext"/>
        <w:rPr>
          <w:lang w:val="fr-FR"/>
        </w:rPr>
      </w:pPr>
      <w:hyperlink r:id="rId39" w:history="1">
        <w:r w:rsidRPr="00075DC8">
          <w:rPr>
            <w:lang w:val="fr-FR"/>
          </w:rPr>
          <w:t>Rapport UIT-R F.2108</w:t>
        </w:r>
      </w:hyperlink>
      <w:r w:rsidRPr="00075DC8">
        <w:rPr>
          <w:lang w:val="fr-FR"/>
        </w:rPr>
        <w:t xml:space="preserve"> – Paramètres des systèmes du service fixe pour différentes bandes de fréquences</w:t>
      </w:r>
    </w:p>
    <w:p w14:paraId="4AA7599D" w14:textId="4FFAC678" w:rsidR="00725E50" w:rsidRPr="00075DC8" w:rsidRDefault="00725E50" w:rsidP="00EF0F86">
      <w:pPr>
        <w:pStyle w:val="Reftext"/>
        <w:rPr>
          <w:lang w:val="fr-FR"/>
        </w:rPr>
      </w:pPr>
      <w:hyperlink r:id="rId40" w:history="1">
        <w:r w:rsidRPr="00075DC8">
          <w:rPr>
            <w:lang w:val="fr-FR"/>
          </w:rPr>
          <w:t>Recommandation UIT-T G.826</w:t>
        </w:r>
      </w:hyperlink>
      <w:r w:rsidRPr="00075DC8">
        <w:rPr>
          <w:lang w:val="fr-FR"/>
        </w:rPr>
        <w:t xml:space="preserve"> – Paramètres et objectifs relatifs aux caractéristiques d</w:t>
      </w:r>
      <w:r w:rsidR="001F6A0D" w:rsidRPr="00075DC8">
        <w:rPr>
          <w:lang w:val="fr-FR"/>
        </w:rPr>
        <w:t>'</w:t>
      </w:r>
      <w:r w:rsidRPr="00075DC8">
        <w:rPr>
          <w:lang w:val="fr-FR"/>
        </w:rPr>
        <w:t>erreur de bout en bout pour les connexions et conduits numériques internationaux à débit constant</w:t>
      </w:r>
    </w:p>
    <w:p w14:paraId="1125CA42" w14:textId="77777777" w:rsidR="00725E50" w:rsidRPr="00075DC8" w:rsidRDefault="00725E50" w:rsidP="00EF0F86">
      <w:pPr>
        <w:pStyle w:val="Reftext"/>
        <w:rPr>
          <w:lang w:val="fr-FR"/>
        </w:rPr>
      </w:pPr>
      <w:hyperlink r:id="rId41" w:history="1">
        <w:r w:rsidRPr="00075DC8">
          <w:rPr>
            <w:lang w:val="fr-FR"/>
          </w:rPr>
          <w:t>Recommandation UIT-T G.827</w:t>
        </w:r>
      </w:hyperlink>
      <w:r w:rsidRPr="00075DC8">
        <w:rPr>
          <w:lang w:val="fr-FR"/>
        </w:rPr>
        <w:t xml:space="preserve"> – Paramètres et objectifs de disponibilité pour les conduits numériques internationaux de bout en bout à débit constant</w:t>
      </w:r>
    </w:p>
    <w:p w14:paraId="71CD00DE" w14:textId="35FEE899" w:rsidR="00725E50" w:rsidRPr="00075DC8" w:rsidRDefault="00725E50" w:rsidP="00EF0F86">
      <w:pPr>
        <w:pStyle w:val="Reftext"/>
        <w:rPr>
          <w:lang w:val="fr-FR"/>
        </w:rPr>
      </w:pPr>
      <w:hyperlink r:id="rId42" w:history="1">
        <w:r w:rsidRPr="00075DC8">
          <w:rPr>
            <w:lang w:val="fr-FR"/>
          </w:rPr>
          <w:t>Recommandation UIT-T G.828</w:t>
        </w:r>
      </w:hyperlink>
      <w:r w:rsidRPr="00075DC8">
        <w:rPr>
          <w:lang w:val="fr-FR"/>
        </w:rPr>
        <w:t xml:space="preserve"> – Paramètres et objectifs relatifs aux caractéristiques d</w:t>
      </w:r>
      <w:r w:rsidR="001F6A0D" w:rsidRPr="00075DC8">
        <w:rPr>
          <w:lang w:val="fr-FR"/>
        </w:rPr>
        <w:t>'</w:t>
      </w:r>
      <w:r w:rsidRPr="00075DC8">
        <w:rPr>
          <w:lang w:val="fr-FR"/>
        </w:rPr>
        <w:t>erreur pour les conduits numériques synchrones internationaux à débit constant</w:t>
      </w:r>
    </w:p>
    <w:p w14:paraId="60A73C02" w14:textId="71B41AB4" w:rsidR="00725E50" w:rsidRPr="00075DC8" w:rsidRDefault="00725E50" w:rsidP="00EF0F86">
      <w:pPr>
        <w:pStyle w:val="Reftext"/>
        <w:rPr>
          <w:lang w:val="fr-FR"/>
        </w:rPr>
      </w:pPr>
      <w:hyperlink r:id="rId43" w:history="1">
        <w:r w:rsidRPr="00075DC8">
          <w:rPr>
            <w:lang w:val="fr-FR"/>
          </w:rPr>
          <w:t>Recommandation UIT-T G.829</w:t>
        </w:r>
      </w:hyperlink>
      <w:r w:rsidRPr="00075DC8">
        <w:rPr>
          <w:lang w:val="fr-FR"/>
        </w:rPr>
        <w:t xml:space="preserve"> – Événements liés aux caractéristiques d</w:t>
      </w:r>
      <w:r w:rsidR="001F6A0D" w:rsidRPr="00075DC8">
        <w:rPr>
          <w:lang w:val="fr-FR"/>
        </w:rPr>
        <w:t>'</w:t>
      </w:r>
      <w:r w:rsidRPr="00075DC8">
        <w:rPr>
          <w:lang w:val="fr-FR"/>
        </w:rPr>
        <w:t>erreur pour les sections de multiplexage et de régénération en hiérarchie numérique synchrone</w:t>
      </w:r>
    </w:p>
    <w:p w14:paraId="0AB60035" w14:textId="3C2B8DF3" w:rsidR="00725E50" w:rsidRPr="00075DC8" w:rsidRDefault="00725E50" w:rsidP="00725E50">
      <w:pPr>
        <w:pStyle w:val="Normalaftertitle"/>
        <w:rPr>
          <w:lang w:val="fr-FR"/>
        </w:rPr>
      </w:pPr>
      <w:r w:rsidRPr="00075DC8">
        <w:rPr>
          <w:lang w:val="fr-FR"/>
        </w:rPr>
        <w:t>L</w:t>
      </w:r>
      <w:r w:rsidR="001F6A0D" w:rsidRPr="00075DC8">
        <w:rPr>
          <w:lang w:val="fr-FR"/>
        </w:rPr>
        <w:t>'</w:t>
      </w:r>
      <w:r w:rsidRPr="00075DC8">
        <w:rPr>
          <w:lang w:val="fr-FR"/>
        </w:rPr>
        <w:t>Assemblée des radiocommunications de l</w:t>
      </w:r>
      <w:r w:rsidR="001F6A0D" w:rsidRPr="00075DC8">
        <w:rPr>
          <w:lang w:val="fr-FR"/>
        </w:rPr>
        <w:t>'</w:t>
      </w:r>
      <w:r w:rsidRPr="00075DC8">
        <w:rPr>
          <w:lang w:val="fr-FR"/>
        </w:rPr>
        <w:t>UIT,</w:t>
      </w:r>
    </w:p>
    <w:p w14:paraId="03329ED0" w14:textId="77777777" w:rsidR="00725E50" w:rsidRPr="00075DC8" w:rsidRDefault="00725E50" w:rsidP="00725E50">
      <w:pPr>
        <w:pStyle w:val="Call"/>
        <w:rPr>
          <w:lang w:val="fr-FR"/>
        </w:rPr>
      </w:pPr>
      <w:r w:rsidRPr="00075DC8">
        <w:rPr>
          <w:lang w:val="fr-FR"/>
        </w:rPr>
        <w:t>considérant</w:t>
      </w:r>
    </w:p>
    <w:p w14:paraId="480355D2" w14:textId="76F16EFE" w:rsidR="00725E50" w:rsidRPr="00075DC8" w:rsidRDefault="00725E50" w:rsidP="00725E50">
      <w:pPr>
        <w:rPr>
          <w:lang w:val="fr-FR"/>
        </w:rPr>
      </w:pPr>
      <w:r w:rsidRPr="00075DC8">
        <w:rPr>
          <w:i/>
          <w:iCs/>
          <w:lang w:val="fr-FR"/>
        </w:rPr>
        <w:t>a)</w:t>
      </w:r>
      <w:r w:rsidRPr="00075DC8">
        <w:rPr>
          <w:lang w:val="fr-FR"/>
        </w:rPr>
        <w:tab/>
        <w:t>qu</w:t>
      </w:r>
      <w:r w:rsidR="001F6A0D" w:rsidRPr="00075DC8">
        <w:rPr>
          <w:lang w:val="fr-FR"/>
        </w:rPr>
        <w:t>'</w:t>
      </w:r>
      <w:r w:rsidRPr="00075DC8">
        <w:rPr>
          <w:lang w:val="fr-FR"/>
        </w:rPr>
        <w:t>il est nécessaire d</w:t>
      </w:r>
      <w:r w:rsidR="001F6A0D" w:rsidRPr="00075DC8">
        <w:rPr>
          <w:lang w:val="fr-FR"/>
        </w:rPr>
        <w:t>'</w:t>
      </w:r>
      <w:r w:rsidRPr="00075DC8">
        <w:rPr>
          <w:lang w:val="fr-FR"/>
        </w:rPr>
        <w:t>établir des critères de partage entre le service fixe et d</w:t>
      </w:r>
      <w:r w:rsidR="001F6A0D" w:rsidRPr="00075DC8">
        <w:rPr>
          <w:lang w:val="fr-FR"/>
        </w:rPr>
        <w:t>'</w:t>
      </w:r>
      <w:r w:rsidRPr="00075DC8">
        <w:rPr>
          <w:lang w:val="fr-FR"/>
        </w:rPr>
        <w:t>autres services, ainsi que leurs applications associées, dans les bandes de fréquences pour lesquelles les deux services bénéficient d</w:t>
      </w:r>
      <w:r w:rsidR="001F6A0D" w:rsidRPr="00075DC8">
        <w:rPr>
          <w:lang w:val="fr-FR"/>
        </w:rPr>
        <w:t>'</w:t>
      </w:r>
      <w:r w:rsidRPr="00075DC8">
        <w:rPr>
          <w:lang w:val="fr-FR"/>
        </w:rPr>
        <w:t>attributions avec égalité des droits;</w:t>
      </w:r>
    </w:p>
    <w:p w14:paraId="43004557" w14:textId="52C1D847" w:rsidR="00725E50" w:rsidRPr="00075DC8" w:rsidRDefault="00725E50" w:rsidP="00725E50">
      <w:pPr>
        <w:rPr>
          <w:lang w:val="fr-FR"/>
        </w:rPr>
      </w:pPr>
      <w:r w:rsidRPr="00075DC8">
        <w:rPr>
          <w:i/>
          <w:iCs/>
          <w:lang w:val="fr-FR"/>
        </w:rPr>
        <w:t>b)</w:t>
      </w:r>
      <w:r w:rsidRPr="00075DC8">
        <w:rPr>
          <w:lang w:val="fr-FR"/>
        </w:rPr>
        <w:tab/>
        <w:t>que l</w:t>
      </w:r>
      <w:r w:rsidR="001F6A0D" w:rsidRPr="00075DC8">
        <w:rPr>
          <w:lang w:val="fr-FR"/>
        </w:rPr>
        <w:t>'</w:t>
      </w:r>
      <w:r w:rsidRPr="00075DC8">
        <w:rPr>
          <w:lang w:val="fr-FR"/>
        </w:rPr>
        <w:t>on peut gérer le partage en déterminant des limites admissibles pour les dégradations de qualité de fonctionnement et de disponibilité des systèmes hertziens fixes (FWS), causées par le brouillage en provenance d</w:t>
      </w:r>
      <w:r w:rsidR="001F6A0D" w:rsidRPr="00075DC8">
        <w:rPr>
          <w:lang w:val="fr-FR"/>
        </w:rPr>
        <w:t>'</w:t>
      </w:r>
      <w:r w:rsidRPr="00075DC8">
        <w:rPr>
          <w:lang w:val="fr-FR"/>
        </w:rPr>
        <w:t>autres services de radiocommunication bénéficiant d</w:t>
      </w:r>
      <w:r w:rsidR="001F6A0D" w:rsidRPr="00075DC8">
        <w:rPr>
          <w:lang w:val="fr-FR"/>
        </w:rPr>
        <w:t>'</w:t>
      </w:r>
      <w:r w:rsidRPr="00075DC8">
        <w:rPr>
          <w:lang w:val="fr-FR"/>
        </w:rPr>
        <w:t>attributions dans les mêmes bandes de fréquences que celles des attributions dont bénéficie le service fixe avec égalité des droits;</w:t>
      </w:r>
    </w:p>
    <w:p w14:paraId="7C70E23C" w14:textId="5445A934" w:rsidR="00725E50" w:rsidRPr="00075DC8" w:rsidRDefault="00725E50" w:rsidP="00725E50">
      <w:pPr>
        <w:rPr>
          <w:lang w:val="fr-FR"/>
        </w:rPr>
      </w:pPr>
      <w:r w:rsidRPr="00075DC8">
        <w:rPr>
          <w:i/>
          <w:iCs/>
          <w:lang w:val="fr-FR"/>
        </w:rPr>
        <w:t>c)</w:t>
      </w:r>
      <w:r w:rsidRPr="00075DC8">
        <w:rPr>
          <w:lang w:val="fr-FR"/>
        </w:rPr>
        <w:tab/>
        <w:t>qu</w:t>
      </w:r>
      <w:r w:rsidR="001F6A0D" w:rsidRPr="00075DC8">
        <w:rPr>
          <w:lang w:val="fr-FR"/>
        </w:rPr>
        <w:t>'</w:t>
      </w:r>
      <w:r w:rsidRPr="00075DC8">
        <w:rPr>
          <w:lang w:val="fr-FR"/>
        </w:rPr>
        <w:t>il est également indispensable de prendre en considération, pour la compatibilité entre le service fixe et les systèmes d</w:t>
      </w:r>
      <w:r w:rsidR="001F6A0D" w:rsidRPr="00075DC8">
        <w:rPr>
          <w:lang w:val="fr-FR"/>
        </w:rPr>
        <w:t>'</w:t>
      </w:r>
      <w:r w:rsidRPr="00075DC8">
        <w:rPr>
          <w:lang w:val="fr-FR"/>
        </w:rPr>
        <w:t>autres services, y compris leurs applications associées, ayant des attributions dans la même bande à titre secondaire, les rayonnements non désirés provenant d</w:t>
      </w:r>
      <w:r w:rsidR="001F6A0D" w:rsidRPr="00075DC8">
        <w:rPr>
          <w:lang w:val="fr-FR"/>
        </w:rPr>
        <w:t>'</w:t>
      </w:r>
      <w:r w:rsidRPr="00075DC8">
        <w:rPr>
          <w:lang w:val="fr-FR"/>
        </w:rPr>
        <w:t>autres systèmes de services fonctionnant en dehors de la bande considérée et émis dans une bande attribuée au service fixe à titre primaire, ainsi que les émissions de sources autres que les services de radiocommunication;</w:t>
      </w:r>
    </w:p>
    <w:p w14:paraId="11A40A84" w14:textId="16A805E1" w:rsidR="00725E50" w:rsidRPr="00075DC8" w:rsidRDefault="00725E50" w:rsidP="00725E50">
      <w:pPr>
        <w:rPr>
          <w:lang w:val="fr-FR"/>
        </w:rPr>
      </w:pPr>
      <w:r w:rsidRPr="00075DC8">
        <w:rPr>
          <w:i/>
          <w:iCs/>
          <w:lang w:val="fr-FR"/>
        </w:rPr>
        <w:t>d)</w:t>
      </w:r>
      <w:r w:rsidRPr="00075DC8">
        <w:rPr>
          <w:lang w:val="fr-FR"/>
        </w:rPr>
        <w:tab/>
        <w:t>qu</w:t>
      </w:r>
      <w:r w:rsidR="001F6A0D" w:rsidRPr="00075DC8">
        <w:rPr>
          <w:lang w:val="fr-FR"/>
        </w:rPr>
        <w:t>'</w:t>
      </w:r>
      <w:r w:rsidRPr="00075DC8">
        <w:rPr>
          <w:lang w:val="fr-FR"/>
        </w:rPr>
        <w:t>il est nécessaire de préciser les principes de répartition des dégradations de qualité de fonctionnement et de disponibilité parmi les différents éléments du système FWS, ainsi qu</w:t>
      </w:r>
      <w:r w:rsidR="001F6A0D" w:rsidRPr="00075DC8">
        <w:rPr>
          <w:lang w:val="fr-FR"/>
        </w:rPr>
        <w:t>'</w:t>
      </w:r>
      <w:r w:rsidRPr="00075DC8">
        <w:rPr>
          <w:lang w:val="fr-FR"/>
        </w:rPr>
        <w:t>entre les différentes sources de brouillage;</w:t>
      </w:r>
    </w:p>
    <w:p w14:paraId="5D342106" w14:textId="77777777" w:rsidR="00725E50" w:rsidRPr="00075DC8" w:rsidRDefault="00725E50" w:rsidP="00725E50">
      <w:pPr>
        <w:rPr>
          <w:lang w:val="fr-FR"/>
        </w:rPr>
      </w:pPr>
      <w:r w:rsidRPr="00075DC8">
        <w:rPr>
          <w:i/>
          <w:iCs/>
          <w:lang w:val="fr-FR"/>
        </w:rPr>
        <w:lastRenderedPageBreak/>
        <w:t>e)</w:t>
      </w:r>
      <w:r w:rsidRPr="00075DC8">
        <w:rPr>
          <w:lang w:val="fr-FR"/>
        </w:rPr>
        <w:tab/>
        <w:t>que les caractéristiques techniques de chaque système sont habituellement définies en vue de déduire les critères de brouillage correspondant à la dégradation maximale admissible de qualité de fonctionnement et de disponibilité du système FWS;</w:t>
      </w:r>
    </w:p>
    <w:p w14:paraId="33E3D06D" w14:textId="6EDB6260" w:rsidR="00725E50" w:rsidRPr="00075DC8" w:rsidRDefault="00725E50" w:rsidP="00725E50">
      <w:pPr>
        <w:rPr>
          <w:lang w:val="fr-FR"/>
        </w:rPr>
      </w:pPr>
      <w:r w:rsidRPr="00075DC8">
        <w:rPr>
          <w:i/>
          <w:iCs/>
          <w:lang w:val="fr-FR"/>
        </w:rPr>
        <w:t>f)</w:t>
      </w:r>
      <w:r w:rsidRPr="00075DC8">
        <w:rPr>
          <w:lang w:val="fr-FR"/>
        </w:rPr>
        <w:tab/>
        <w:t>que la dégradation de qualité de fonctionnement et de disponibilité peut résulter de brouillages aussi bien de longue durée que de courte durée et qu</w:t>
      </w:r>
      <w:r w:rsidR="001F6A0D" w:rsidRPr="00075DC8">
        <w:rPr>
          <w:lang w:val="fr-FR"/>
        </w:rPr>
        <w:t>'</w:t>
      </w:r>
      <w:r w:rsidRPr="00075DC8">
        <w:rPr>
          <w:lang w:val="fr-FR"/>
        </w:rPr>
        <w:t>il faut donc établir des critères pour ces deux types de brouillage;</w:t>
      </w:r>
    </w:p>
    <w:p w14:paraId="45BFB8FE" w14:textId="6B0B298C" w:rsidR="00725E50" w:rsidRPr="00075DC8" w:rsidRDefault="00725E50" w:rsidP="00725E50">
      <w:pPr>
        <w:rPr>
          <w:lang w:val="fr-FR"/>
        </w:rPr>
      </w:pPr>
      <w:r w:rsidRPr="00075DC8">
        <w:rPr>
          <w:i/>
          <w:iCs/>
          <w:lang w:val="fr-FR"/>
        </w:rPr>
        <w:t>g)</w:t>
      </w:r>
      <w:r w:rsidRPr="00075DC8">
        <w:rPr>
          <w:lang w:val="fr-FR"/>
        </w:rPr>
        <w:tab/>
        <w:t>qu</w:t>
      </w:r>
      <w:r w:rsidR="001F6A0D" w:rsidRPr="00075DC8">
        <w:rPr>
          <w:lang w:val="fr-FR"/>
        </w:rPr>
        <w:t>'</w:t>
      </w:r>
      <w:r w:rsidRPr="00075DC8">
        <w:rPr>
          <w:lang w:val="fr-FR"/>
        </w:rPr>
        <w:t>il est utile à d</w:t>
      </w:r>
      <w:r w:rsidR="001F6A0D" w:rsidRPr="00075DC8">
        <w:rPr>
          <w:lang w:val="fr-FR"/>
        </w:rPr>
        <w:t>'</w:t>
      </w:r>
      <w:r w:rsidRPr="00075DC8">
        <w:rPr>
          <w:lang w:val="fr-FR"/>
        </w:rPr>
        <w:t>autres Commissions d</w:t>
      </w:r>
      <w:r w:rsidR="001F6A0D" w:rsidRPr="00075DC8">
        <w:rPr>
          <w:lang w:val="fr-FR"/>
        </w:rPr>
        <w:t>'</w:t>
      </w:r>
      <w:r w:rsidRPr="00075DC8">
        <w:rPr>
          <w:lang w:val="fr-FR"/>
        </w:rPr>
        <w:t>études de l</w:t>
      </w:r>
      <w:r w:rsidR="001F6A0D" w:rsidRPr="00075DC8">
        <w:rPr>
          <w:lang w:val="fr-FR"/>
        </w:rPr>
        <w:t>'</w:t>
      </w:r>
      <w:r w:rsidRPr="00075DC8">
        <w:rPr>
          <w:lang w:val="fr-FR"/>
        </w:rPr>
        <w:t>UIT-R de disposer d</w:t>
      </w:r>
      <w:r w:rsidR="001F6A0D" w:rsidRPr="00075DC8">
        <w:rPr>
          <w:lang w:val="fr-FR"/>
        </w:rPr>
        <w:t>'</w:t>
      </w:r>
      <w:r w:rsidRPr="00075DC8">
        <w:rPr>
          <w:lang w:val="fr-FR"/>
        </w:rPr>
        <w:t>une méthode de base pour la mise au point des critères de partage pour le service fixe;</w:t>
      </w:r>
    </w:p>
    <w:p w14:paraId="6728C87B" w14:textId="77777777" w:rsidR="00725E50" w:rsidRPr="00075DC8" w:rsidRDefault="00725E50" w:rsidP="00725E50">
      <w:pPr>
        <w:rPr>
          <w:lang w:val="fr-FR"/>
        </w:rPr>
      </w:pPr>
      <w:r w:rsidRPr="00075DC8">
        <w:rPr>
          <w:i/>
          <w:iCs/>
          <w:lang w:val="fr-FR"/>
        </w:rPr>
        <w:t>h)</w:t>
      </w:r>
      <w:r w:rsidRPr="00075DC8">
        <w:rPr>
          <w:lang w:val="fr-FR"/>
        </w:rPr>
        <w:tab/>
        <w:t xml:space="preserve">que les caractéristiques des systèmes fixes numériques et analogiques fondées sur les versions antérieures de la présente Recommandation sont contenues dans le </w:t>
      </w:r>
      <w:hyperlink r:id="rId44" w:history="1">
        <w:r w:rsidRPr="00075DC8">
          <w:rPr>
            <w:lang w:val="fr-FR"/>
          </w:rPr>
          <w:t>Rapport UIT-R F.2108</w:t>
        </w:r>
      </w:hyperlink>
      <w:r w:rsidRPr="00075DC8">
        <w:rPr>
          <w:lang w:val="fr-FR"/>
        </w:rPr>
        <w:t>,</w:t>
      </w:r>
    </w:p>
    <w:p w14:paraId="229FF937" w14:textId="77777777" w:rsidR="00725E50" w:rsidRPr="00075DC8" w:rsidRDefault="00725E50" w:rsidP="00725E50">
      <w:pPr>
        <w:pStyle w:val="Call"/>
        <w:rPr>
          <w:lang w:val="fr-FR"/>
        </w:rPr>
      </w:pPr>
      <w:r w:rsidRPr="00075DC8">
        <w:rPr>
          <w:lang w:val="fr-FR"/>
        </w:rPr>
        <w:t>reconnaissant</w:t>
      </w:r>
    </w:p>
    <w:p w14:paraId="6E288759" w14:textId="5E4D7E9D" w:rsidR="00725E50" w:rsidRPr="00075DC8" w:rsidRDefault="00725E50" w:rsidP="00725E50">
      <w:pPr>
        <w:rPr>
          <w:lang w:val="fr-FR"/>
        </w:rPr>
      </w:pPr>
      <w:r w:rsidRPr="00075DC8">
        <w:rPr>
          <w:i/>
          <w:iCs/>
          <w:lang w:val="fr-FR"/>
        </w:rPr>
        <w:t>a)</w:t>
      </w:r>
      <w:r w:rsidRPr="00075DC8">
        <w:rPr>
          <w:lang w:val="fr-FR"/>
        </w:rPr>
        <w:tab/>
        <w:t xml:space="preserve">que la </w:t>
      </w:r>
      <w:hyperlink r:id="rId45" w:history="1">
        <w:r w:rsidRPr="00075DC8">
          <w:rPr>
            <w:lang w:val="fr-FR"/>
          </w:rPr>
          <w:t>Recommandation UIT-R F.1094</w:t>
        </w:r>
      </w:hyperlink>
      <w:r w:rsidRPr="00075DC8">
        <w:rPr>
          <w:lang w:val="fr-FR"/>
        </w:rPr>
        <w:t xml:space="preserve"> contient le principe de répartition globale des dégradations de qualité de fonctionnement et de disponibilité du service fixe causées par le brouillage provenant d</w:t>
      </w:r>
      <w:r w:rsidR="001F6A0D" w:rsidRPr="00075DC8">
        <w:rPr>
          <w:lang w:val="fr-FR"/>
        </w:rPr>
        <w:t>'</w:t>
      </w:r>
      <w:r w:rsidRPr="00075DC8">
        <w:rPr>
          <w:lang w:val="fr-FR"/>
        </w:rPr>
        <w:t>autres services ou sources;</w:t>
      </w:r>
    </w:p>
    <w:p w14:paraId="23DD4F67" w14:textId="2172A10F" w:rsidR="00725E50" w:rsidRPr="00075DC8" w:rsidRDefault="00725E50" w:rsidP="00725E50">
      <w:pPr>
        <w:rPr>
          <w:lang w:val="fr-FR"/>
        </w:rPr>
      </w:pPr>
      <w:r w:rsidRPr="00075DC8">
        <w:rPr>
          <w:i/>
          <w:iCs/>
          <w:lang w:val="fr-FR"/>
        </w:rPr>
        <w:t>b)</w:t>
      </w:r>
      <w:r w:rsidRPr="00075DC8">
        <w:rPr>
          <w:lang w:val="fr-FR"/>
        </w:rPr>
        <w:tab/>
        <w:t xml:space="preserve">que la </w:t>
      </w:r>
      <w:hyperlink r:id="rId46" w:history="1">
        <w:r w:rsidRPr="00075DC8">
          <w:rPr>
            <w:lang w:val="fr-FR"/>
          </w:rPr>
          <w:t>Recommandation UIT-R F.2086</w:t>
        </w:r>
      </w:hyperlink>
      <w:r w:rsidRPr="00075DC8">
        <w:rPr>
          <w:lang w:val="fr-FR"/>
        </w:rPr>
        <w:t xml:space="preserve"> fournit des renseignements sur les caractéristiques de déploiement qui peuvent être utilisées dans le cadre d</w:t>
      </w:r>
      <w:r w:rsidR="001F6A0D" w:rsidRPr="00075DC8">
        <w:rPr>
          <w:lang w:val="fr-FR"/>
        </w:rPr>
        <w:t>'</w:t>
      </w:r>
      <w:r w:rsidRPr="00075DC8">
        <w:rPr>
          <w:lang w:val="fr-FR"/>
        </w:rPr>
        <w:t>études relatives au partage ou aux brouillages entre des systèmes point à point du service fixe et d</w:t>
      </w:r>
      <w:r w:rsidR="001F6A0D" w:rsidRPr="00075DC8">
        <w:rPr>
          <w:lang w:val="fr-FR"/>
        </w:rPr>
        <w:t>'</w:t>
      </w:r>
      <w:r w:rsidRPr="00075DC8">
        <w:rPr>
          <w:lang w:val="fr-FR"/>
        </w:rPr>
        <w:t>autres systèmes/applications du service fixe ou d</w:t>
      </w:r>
      <w:r w:rsidR="001F6A0D" w:rsidRPr="00075DC8">
        <w:rPr>
          <w:lang w:val="fr-FR"/>
        </w:rPr>
        <w:t>'</w:t>
      </w:r>
      <w:r w:rsidRPr="00075DC8">
        <w:rPr>
          <w:lang w:val="fr-FR"/>
        </w:rPr>
        <w:t>autres services lorsque l</w:t>
      </w:r>
      <w:r w:rsidR="001F6A0D" w:rsidRPr="00075DC8">
        <w:rPr>
          <w:lang w:val="fr-FR"/>
        </w:rPr>
        <w:t>'</w:t>
      </w:r>
      <w:r w:rsidRPr="00075DC8">
        <w:rPr>
          <w:lang w:val="fr-FR"/>
        </w:rPr>
        <w:t>on ne dispose pas d</w:t>
      </w:r>
      <w:r w:rsidR="001F6A0D" w:rsidRPr="00075DC8">
        <w:rPr>
          <w:lang w:val="fr-FR"/>
        </w:rPr>
        <w:t>'</w:t>
      </w:r>
      <w:r w:rsidRPr="00075DC8">
        <w:rPr>
          <w:lang w:val="fr-FR"/>
        </w:rPr>
        <w:t>informations plus précises,</w:t>
      </w:r>
    </w:p>
    <w:p w14:paraId="7C3BF5CF" w14:textId="77777777" w:rsidR="00725E50" w:rsidRPr="00075DC8" w:rsidRDefault="00725E50" w:rsidP="00725E50">
      <w:pPr>
        <w:pStyle w:val="Call"/>
        <w:rPr>
          <w:lang w:val="fr-FR"/>
        </w:rPr>
      </w:pPr>
      <w:r w:rsidRPr="00075DC8">
        <w:rPr>
          <w:lang w:val="fr-FR"/>
        </w:rPr>
        <w:t>recommande</w:t>
      </w:r>
    </w:p>
    <w:p w14:paraId="23520CC6" w14:textId="236C8B2A" w:rsidR="00725E50" w:rsidRPr="00075DC8" w:rsidRDefault="00725E50" w:rsidP="00725E50">
      <w:pPr>
        <w:rPr>
          <w:lang w:val="fr-FR"/>
        </w:rPr>
      </w:pPr>
      <w:r w:rsidRPr="00075DC8">
        <w:rPr>
          <w:bCs/>
          <w:lang w:val="fr-FR"/>
        </w:rPr>
        <w:t>1</w:t>
      </w:r>
      <w:r w:rsidRPr="00075DC8">
        <w:rPr>
          <w:lang w:val="fr-FR"/>
        </w:rPr>
        <w:tab/>
        <w:t>que la mise au point de critères de partage et l</w:t>
      </w:r>
      <w:r w:rsidR="001F6A0D" w:rsidRPr="00075DC8">
        <w:rPr>
          <w:lang w:val="fr-FR"/>
        </w:rPr>
        <w:t>'</w:t>
      </w:r>
      <w:r w:rsidRPr="00075DC8">
        <w:rPr>
          <w:lang w:val="fr-FR"/>
        </w:rPr>
        <w:t>évaluation des conditions de brouillage entre le service fixe et d</w:t>
      </w:r>
      <w:r w:rsidR="001F6A0D" w:rsidRPr="00075DC8">
        <w:rPr>
          <w:lang w:val="fr-FR"/>
        </w:rPr>
        <w:t>'</w:t>
      </w:r>
      <w:r w:rsidRPr="00075DC8">
        <w:rPr>
          <w:lang w:val="fr-FR"/>
        </w:rPr>
        <w:t>autres services ou d</w:t>
      </w:r>
      <w:r w:rsidR="001F6A0D" w:rsidRPr="00075DC8">
        <w:rPr>
          <w:lang w:val="fr-FR"/>
        </w:rPr>
        <w:t>'</w:t>
      </w:r>
      <w:r w:rsidRPr="00075DC8">
        <w:rPr>
          <w:lang w:val="fr-FR"/>
        </w:rPr>
        <w:t>autres sources de brouillage soient examinées conformément aux principes décrits à l</w:t>
      </w:r>
      <w:r w:rsidR="001F6A0D" w:rsidRPr="00075DC8">
        <w:rPr>
          <w:lang w:val="fr-FR"/>
        </w:rPr>
        <w:t>'</w:t>
      </w:r>
      <w:r w:rsidRPr="00075DC8">
        <w:rPr>
          <w:lang w:val="fr-FR"/>
        </w:rPr>
        <w:t>Annexe 1;</w:t>
      </w:r>
    </w:p>
    <w:p w14:paraId="1DC0C419" w14:textId="04672665" w:rsidR="00725E50" w:rsidRPr="00075DC8" w:rsidRDefault="00725E50" w:rsidP="00725E50">
      <w:pPr>
        <w:rPr>
          <w:lang w:val="fr-FR"/>
        </w:rPr>
      </w:pPr>
      <w:r w:rsidRPr="00075DC8">
        <w:rPr>
          <w:bCs/>
          <w:lang w:val="fr-FR"/>
        </w:rPr>
        <w:t>2</w:t>
      </w:r>
      <w:r w:rsidRPr="00075DC8">
        <w:rPr>
          <w:lang w:val="fr-FR"/>
        </w:rPr>
        <w:tab/>
        <w:t>que les informations fournies à l</w:t>
      </w:r>
      <w:r w:rsidR="001F6A0D" w:rsidRPr="00075DC8">
        <w:rPr>
          <w:lang w:val="fr-FR"/>
        </w:rPr>
        <w:t>'</w:t>
      </w:r>
      <w:r w:rsidRPr="00075DC8">
        <w:rPr>
          <w:lang w:val="fr-FR"/>
        </w:rPr>
        <w:t>Annexe 2 soient considérées à titre d</w:t>
      </w:r>
      <w:r w:rsidR="001F6A0D" w:rsidRPr="00075DC8">
        <w:rPr>
          <w:lang w:val="fr-FR"/>
        </w:rPr>
        <w:t>'</w:t>
      </w:r>
      <w:r w:rsidRPr="00075DC8">
        <w:rPr>
          <w:lang w:val="fr-FR"/>
        </w:rPr>
        <w:t>orientation quant aux caractéristiques techniques et aux paramètres des systèmes types du service hertzien fixe numérique qui doivent également être pris en compte lors de la mise au point des critères de partage avec d</w:t>
      </w:r>
      <w:r w:rsidR="001F6A0D" w:rsidRPr="00075DC8">
        <w:rPr>
          <w:lang w:val="fr-FR"/>
        </w:rPr>
        <w:t>'</w:t>
      </w:r>
      <w:r w:rsidRPr="00075DC8">
        <w:rPr>
          <w:lang w:val="fr-FR"/>
        </w:rPr>
        <w:t>autres services;</w:t>
      </w:r>
    </w:p>
    <w:p w14:paraId="072FC775" w14:textId="630DCDE1" w:rsidR="00725E50" w:rsidRPr="00075DC8" w:rsidRDefault="00725E50" w:rsidP="00725E50">
      <w:pPr>
        <w:rPr>
          <w:lang w:val="fr-FR"/>
        </w:rPr>
      </w:pPr>
      <w:r w:rsidRPr="00075DC8">
        <w:rPr>
          <w:bCs/>
          <w:lang w:val="fr-FR"/>
        </w:rPr>
        <w:t>3</w:t>
      </w:r>
      <w:r w:rsidRPr="00075DC8">
        <w:rPr>
          <w:lang w:val="fr-FR"/>
        </w:rPr>
        <w:tab/>
        <w:t>que les paramètres des systèmes dans les tableaux à l</w:t>
      </w:r>
      <w:r w:rsidR="001F6A0D" w:rsidRPr="00075DC8">
        <w:rPr>
          <w:lang w:val="fr-FR"/>
        </w:rPr>
        <w:t>'</w:t>
      </w:r>
      <w:r w:rsidRPr="00075DC8">
        <w:rPr>
          <w:lang w:val="fr-FR"/>
        </w:rPr>
        <w:t>Annexe 3 peuvent être employés en tant qu</w:t>
      </w:r>
      <w:r w:rsidR="001F6A0D" w:rsidRPr="00075DC8">
        <w:rPr>
          <w:lang w:val="fr-FR"/>
        </w:rPr>
        <w:t>'</w:t>
      </w:r>
      <w:r w:rsidRPr="00075DC8">
        <w:rPr>
          <w:lang w:val="fr-FR"/>
        </w:rPr>
        <w:t>information complémentaire pour les bandes pour lesquelles l</w:t>
      </w:r>
      <w:r w:rsidR="001F6A0D" w:rsidRPr="00075DC8">
        <w:rPr>
          <w:lang w:val="fr-FR"/>
        </w:rPr>
        <w:t>'</w:t>
      </w:r>
      <w:r w:rsidRPr="00075DC8">
        <w:rPr>
          <w:lang w:val="fr-FR"/>
        </w:rPr>
        <w:t>Annexe 2 ne fournit pas de paramètres types.</w:t>
      </w:r>
    </w:p>
    <w:p w14:paraId="4F0374D9" w14:textId="77777777" w:rsidR="00725E50" w:rsidRPr="00075DC8" w:rsidRDefault="00725E50" w:rsidP="00725E50">
      <w:pPr>
        <w:rPr>
          <w:lang w:val="fr-FR"/>
        </w:rPr>
      </w:pPr>
    </w:p>
    <w:p w14:paraId="52A67C27" w14:textId="77777777" w:rsidR="00725E50" w:rsidRPr="00075DC8" w:rsidRDefault="00725E50" w:rsidP="00725E50">
      <w:pPr>
        <w:rPr>
          <w:lang w:val="fr-FR"/>
        </w:rPr>
      </w:pPr>
    </w:p>
    <w:p w14:paraId="57F5BD68" w14:textId="77777777" w:rsidR="00725E50" w:rsidRPr="00075DC8" w:rsidRDefault="00725E50" w:rsidP="00725E50">
      <w:pPr>
        <w:jc w:val="center"/>
        <w:rPr>
          <w:lang w:val="fr-FR"/>
        </w:rPr>
      </w:pPr>
      <w:r w:rsidRPr="00075DC8">
        <w:rPr>
          <w:lang w:val="fr-FR"/>
        </w:rPr>
        <w:t>TABLE DES MATIÈRES</w:t>
      </w:r>
    </w:p>
    <w:p w14:paraId="09702570" w14:textId="77777777" w:rsidR="00725E50" w:rsidRPr="00075DC8" w:rsidRDefault="00725E50" w:rsidP="00725E50">
      <w:pPr>
        <w:jc w:val="right"/>
        <w:rPr>
          <w:i/>
          <w:iCs/>
          <w:lang w:val="fr-FR"/>
        </w:rPr>
      </w:pPr>
      <w:r w:rsidRPr="00075DC8">
        <w:rPr>
          <w:i/>
          <w:iCs/>
          <w:lang w:val="fr-FR"/>
        </w:rPr>
        <w:t>Page</w:t>
      </w:r>
    </w:p>
    <w:p w14:paraId="59C19CEE" w14:textId="2D807F43" w:rsidR="0011404C" w:rsidRPr="00075DC8" w:rsidRDefault="0011404C">
      <w:pPr>
        <w:pStyle w:val="TOC1"/>
        <w:rPr>
          <w:rFonts w:asciiTheme="minorHAnsi" w:eastAsiaTheme="minorEastAsia" w:hAnsiTheme="minorHAnsi" w:cstheme="minorBidi"/>
          <w:noProof/>
          <w:kern w:val="2"/>
          <w:szCs w:val="24"/>
          <w:lang w:val="fr-FR"/>
          <w14:ligatures w14:val="standardContextual"/>
        </w:rPr>
      </w:pPr>
      <w:r w:rsidRPr="00075DC8">
        <w:rPr>
          <w:lang w:val="fr-FR"/>
        </w:rPr>
        <w:fldChar w:fldCharType="begin"/>
      </w:r>
      <w:r w:rsidRPr="00075DC8">
        <w:rPr>
          <w:lang w:val="fr-FR"/>
        </w:rPr>
        <w:instrText xml:space="preserve"> TOC \o "2-2" \h \z \t "Heading 1,1,Annex_NoTitle,1,Appendix_NoTitle,1" </w:instrText>
      </w:r>
      <w:r w:rsidRPr="00075DC8">
        <w:rPr>
          <w:lang w:val="fr-FR"/>
        </w:rPr>
        <w:fldChar w:fldCharType="separate"/>
      </w:r>
      <w:hyperlink w:anchor="_Toc198643815" w:history="1">
        <w:r w:rsidRPr="00075DC8">
          <w:rPr>
            <w:rStyle w:val="Hyperlink"/>
            <w:noProof/>
            <w:lang w:val="fr-FR"/>
          </w:rPr>
          <w:t>Annexe 1 – Considérations de base pour la mise au point de critères de partage</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_Toc198643815 \h </w:instrText>
        </w:r>
        <w:r w:rsidRPr="00075DC8">
          <w:rPr>
            <w:noProof/>
            <w:webHidden/>
            <w:lang w:val="fr-FR"/>
          </w:rPr>
        </w:r>
        <w:r w:rsidRPr="00075DC8">
          <w:rPr>
            <w:noProof/>
            <w:webHidden/>
            <w:lang w:val="fr-FR"/>
          </w:rPr>
          <w:fldChar w:fldCharType="separate"/>
        </w:r>
        <w:r w:rsidR="002053E9">
          <w:rPr>
            <w:noProof/>
            <w:webHidden/>
            <w:lang w:val="fr-FR"/>
          </w:rPr>
          <w:t>6</w:t>
        </w:r>
        <w:r w:rsidRPr="00075DC8">
          <w:rPr>
            <w:noProof/>
            <w:webHidden/>
            <w:lang w:val="fr-FR"/>
          </w:rPr>
          <w:fldChar w:fldCharType="end"/>
        </w:r>
      </w:hyperlink>
    </w:p>
    <w:p w14:paraId="73AE383D" w14:textId="021C9CCC" w:rsidR="0011404C" w:rsidRPr="00075DC8" w:rsidRDefault="0011404C">
      <w:pPr>
        <w:pStyle w:val="TOC1"/>
        <w:rPr>
          <w:rFonts w:asciiTheme="minorHAnsi" w:eastAsiaTheme="minorEastAsia" w:hAnsiTheme="minorHAnsi" w:cstheme="minorBidi"/>
          <w:noProof/>
          <w:kern w:val="2"/>
          <w:szCs w:val="24"/>
          <w:lang w:val="fr-FR"/>
          <w14:ligatures w14:val="standardContextual"/>
        </w:rPr>
      </w:pPr>
      <w:hyperlink w:anchor="_Toc198643816" w:history="1">
        <w:r w:rsidRPr="00075DC8">
          <w:rPr>
            <w:rStyle w:val="Hyperlink"/>
            <w:noProof/>
            <w:lang w:val="fr-FR"/>
          </w:rPr>
          <w:t>1</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Objectif de qualité de fonctionnement globale</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_Toc198643816 \h </w:instrText>
        </w:r>
        <w:r w:rsidRPr="00075DC8">
          <w:rPr>
            <w:noProof/>
            <w:webHidden/>
            <w:lang w:val="fr-FR"/>
          </w:rPr>
        </w:r>
        <w:r w:rsidRPr="00075DC8">
          <w:rPr>
            <w:noProof/>
            <w:webHidden/>
            <w:lang w:val="fr-FR"/>
          </w:rPr>
          <w:fldChar w:fldCharType="separate"/>
        </w:r>
        <w:r w:rsidR="002053E9">
          <w:rPr>
            <w:noProof/>
            <w:webHidden/>
            <w:lang w:val="fr-FR"/>
          </w:rPr>
          <w:t>6</w:t>
        </w:r>
        <w:r w:rsidRPr="00075DC8">
          <w:rPr>
            <w:noProof/>
            <w:webHidden/>
            <w:lang w:val="fr-FR"/>
          </w:rPr>
          <w:fldChar w:fldCharType="end"/>
        </w:r>
      </w:hyperlink>
    </w:p>
    <w:p w14:paraId="7DB07DEF" w14:textId="13B2E28A"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17" w:history="1">
        <w:r w:rsidRPr="00075DC8">
          <w:rPr>
            <w:rStyle w:val="Hyperlink"/>
            <w:noProof/>
            <w:lang w:val="fr-FR"/>
          </w:rPr>
          <w:t>1.1</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Objectifs de qualité en matière d</w:t>
        </w:r>
        <w:r w:rsidR="001F6A0D" w:rsidRPr="00075DC8">
          <w:rPr>
            <w:rStyle w:val="Hyperlink"/>
            <w:noProof/>
            <w:lang w:val="fr-FR"/>
          </w:rPr>
          <w:t>'</w:t>
        </w:r>
        <w:r w:rsidRPr="00075DC8">
          <w:rPr>
            <w:rStyle w:val="Hyperlink"/>
            <w:noProof/>
            <w:lang w:val="fr-FR"/>
          </w:rPr>
          <w:t>erreur et de disponibilité</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_Toc198643817 \h </w:instrText>
        </w:r>
        <w:r w:rsidRPr="00075DC8">
          <w:rPr>
            <w:noProof/>
            <w:webHidden/>
            <w:lang w:val="fr-FR"/>
          </w:rPr>
        </w:r>
        <w:r w:rsidRPr="00075DC8">
          <w:rPr>
            <w:noProof/>
            <w:webHidden/>
            <w:lang w:val="fr-FR"/>
          </w:rPr>
          <w:fldChar w:fldCharType="separate"/>
        </w:r>
        <w:r w:rsidR="002053E9">
          <w:rPr>
            <w:noProof/>
            <w:webHidden/>
            <w:lang w:val="fr-FR"/>
          </w:rPr>
          <w:t>6</w:t>
        </w:r>
        <w:r w:rsidRPr="00075DC8">
          <w:rPr>
            <w:noProof/>
            <w:webHidden/>
            <w:lang w:val="fr-FR"/>
          </w:rPr>
          <w:fldChar w:fldCharType="end"/>
        </w:r>
      </w:hyperlink>
    </w:p>
    <w:p w14:paraId="76DC2ABD" w14:textId="0FC16F50" w:rsidR="0011404C" w:rsidRPr="00075DC8" w:rsidRDefault="0011404C">
      <w:pPr>
        <w:pStyle w:val="TOC1"/>
        <w:rPr>
          <w:rFonts w:asciiTheme="minorHAnsi" w:eastAsiaTheme="minorEastAsia" w:hAnsiTheme="minorHAnsi" w:cstheme="minorBidi"/>
          <w:noProof/>
          <w:kern w:val="2"/>
          <w:szCs w:val="24"/>
          <w:lang w:val="fr-FR"/>
          <w14:ligatures w14:val="standardContextual"/>
        </w:rPr>
      </w:pPr>
      <w:hyperlink w:anchor="_Toc198643818" w:history="1">
        <w:r w:rsidRPr="00075DC8">
          <w:rPr>
            <w:rStyle w:val="Hyperlink"/>
            <w:noProof/>
            <w:lang w:val="fr-FR"/>
          </w:rPr>
          <w:t>2</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Répartition des objectifs de qualité de fonctionnement et de disponibilité</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_Toc198643818 \h </w:instrText>
        </w:r>
        <w:r w:rsidRPr="00075DC8">
          <w:rPr>
            <w:noProof/>
            <w:webHidden/>
            <w:lang w:val="fr-FR"/>
          </w:rPr>
        </w:r>
        <w:r w:rsidRPr="00075DC8">
          <w:rPr>
            <w:noProof/>
            <w:webHidden/>
            <w:lang w:val="fr-FR"/>
          </w:rPr>
          <w:fldChar w:fldCharType="separate"/>
        </w:r>
        <w:r w:rsidR="002053E9">
          <w:rPr>
            <w:noProof/>
            <w:webHidden/>
            <w:lang w:val="fr-FR"/>
          </w:rPr>
          <w:t>8</w:t>
        </w:r>
        <w:r w:rsidRPr="00075DC8">
          <w:rPr>
            <w:noProof/>
            <w:webHidden/>
            <w:lang w:val="fr-FR"/>
          </w:rPr>
          <w:fldChar w:fldCharType="end"/>
        </w:r>
      </w:hyperlink>
    </w:p>
    <w:p w14:paraId="77608AAB" w14:textId="1F70AFC0"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19" w:history="1">
        <w:r w:rsidRPr="00075DC8">
          <w:rPr>
            <w:rStyle w:val="Hyperlink"/>
            <w:noProof/>
            <w:lang w:val="fr-FR"/>
          </w:rPr>
          <w:t>2.1</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Ventilation de l</w:t>
        </w:r>
        <w:r w:rsidR="001F6A0D" w:rsidRPr="00075DC8">
          <w:rPr>
            <w:rStyle w:val="Hyperlink"/>
            <w:noProof/>
            <w:lang w:val="fr-FR"/>
          </w:rPr>
          <w:t>'</w:t>
        </w:r>
        <w:r w:rsidRPr="00075DC8">
          <w:rPr>
            <w:rStyle w:val="Hyperlink"/>
            <w:noProof/>
            <w:lang w:val="fr-FR"/>
          </w:rPr>
          <w:t>objectif de qualité en matière d</w:t>
        </w:r>
        <w:r w:rsidR="001F6A0D" w:rsidRPr="00075DC8">
          <w:rPr>
            <w:rStyle w:val="Hyperlink"/>
            <w:noProof/>
            <w:lang w:val="fr-FR"/>
          </w:rPr>
          <w:t>'</w:t>
        </w:r>
        <w:r w:rsidRPr="00075DC8">
          <w:rPr>
            <w:rStyle w:val="Hyperlink"/>
            <w:noProof/>
            <w:lang w:val="fr-FR"/>
          </w:rPr>
          <w:t>erreur et de disponibilité d</w:t>
        </w:r>
        <w:r w:rsidR="001F6A0D" w:rsidRPr="00075DC8">
          <w:rPr>
            <w:rStyle w:val="Hyperlink"/>
            <w:noProof/>
            <w:lang w:val="fr-FR"/>
          </w:rPr>
          <w:t>'</w:t>
        </w:r>
        <w:r w:rsidRPr="00075DC8">
          <w:rPr>
            <w:rStyle w:val="Hyperlink"/>
            <w:noProof/>
            <w:lang w:val="fr-FR"/>
          </w:rPr>
          <w:t>une section</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_Toc198643819 \h </w:instrText>
        </w:r>
        <w:r w:rsidRPr="00075DC8">
          <w:rPr>
            <w:noProof/>
            <w:webHidden/>
            <w:lang w:val="fr-FR"/>
          </w:rPr>
        </w:r>
        <w:r w:rsidRPr="00075DC8">
          <w:rPr>
            <w:noProof/>
            <w:webHidden/>
            <w:lang w:val="fr-FR"/>
          </w:rPr>
          <w:fldChar w:fldCharType="separate"/>
        </w:r>
        <w:r w:rsidR="002053E9">
          <w:rPr>
            <w:noProof/>
            <w:webHidden/>
            <w:lang w:val="fr-FR"/>
          </w:rPr>
          <w:t>8</w:t>
        </w:r>
        <w:r w:rsidRPr="00075DC8">
          <w:rPr>
            <w:noProof/>
            <w:webHidden/>
            <w:lang w:val="fr-FR"/>
          </w:rPr>
          <w:fldChar w:fldCharType="end"/>
        </w:r>
      </w:hyperlink>
    </w:p>
    <w:p w14:paraId="4DB4C59F" w14:textId="15EDBA89"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20" w:history="1">
        <w:r w:rsidRPr="00075DC8">
          <w:rPr>
            <w:rStyle w:val="Hyperlink"/>
            <w:noProof/>
            <w:lang w:val="fr-FR"/>
          </w:rPr>
          <w:t>2.2</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Ventilation de la dégradation de qualité de fonctionnement et de disponibilité entre les différents services</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_Toc198643820 \h </w:instrText>
        </w:r>
        <w:r w:rsidRPr="00075DC8">
          <w:rPr>
            <w:noProof/>
            <w:webHidden/>
            <w:lang w:val="fr-FR"/>
          </w:rPr>
        </w:r>
        <w:r w:rsidRPr="00075DC8">
          <w:rPr>
            <w:noProof/>
            <w:webHidden/>
            <w:lang w:val="fr-FR"/>
          </w:rPr>
          <w:fldChar w:fldCharType="separate"/>
        </w:r>
        <w:r w:rsidR="002053E9">
          <w:rPr>
            <w:noProof/>
            <w:webHidden/>
            <w:lang w:val="fr-FR"/>
          </w:rPr>
          <w:t>8</w:t>
        </w:r>
        <w:r w:rsidRPr="00075DC8">
          <w:rPr>
            <w:noProof/>
            <w:webHidden/>
            <w:lang w:val="fr-FR"/>
          </w:rPr>
          <w:fldChar w:fldCharType="end"/>
        </w:r>
      </w:hyperlink>
    </w:p>
    <w:p w14:paraId="2B0E3636" w14:textId="645F8181" w:rsidR="0011404C" w:rsidRPr="00075DC8" w:rsidRDefault="0011404C">
      <w:pPr>
        <w:pStyle w:val="TOC1"/>
        <w:rPr>
          <w:rFonts w:asciiTheme="minorHAnsi" w:eastAsiaTheme="minorEastAsia" w:hAnsiTheme="minorHAnsi" w:cstheme="minorBidi"/>
          <w:noProof/>
          <w:kern w:val="2"/>
          <w:szCs w:val="24"/>
          <w:lang w:val="fr-FR"/>
          <w14:ligatures w14:val="standardContextual"/>
        </w:rPr>
      </w:pPr>
      <w:hyperlink w:anchor="_Toc198643821" w:history="1">
        <w:r w:rsidRPr="00075DC8">
          <w:rPr>
            <w:rStyle w:val="Hyperlink"/>
            <w:noProof/>
            <w:lang w:val="fr-FR"/>
          </w:rPr>
          <w:t>3</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Caractéristiques du brouillage</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_Toc198643821 \h </w:instrText>
        </w:r>
        <w:r w:rsidRPr="00075DC8">
          <w:rPr>
            <w:noProof/>
            <w:webHidden/>
            <w:lang w:val="fr-FR"/>
          </w:rPr>
        </w:r>
        <w:r w:rsidRPr="00075DC8">
          <w:rPr>
            <w:noProof/>
            <w:webHidden/>
            <w:lang w:val="fr-FR"/>
          </w:rPr>
          <w:fldChar w:fldCharType="separate"/>
        </w:r>
        <w:r w:rsidR="002053E9">
          <w:rPr>
            <w:noProof/>
            <w:webHidden/>
            <w:lang w:val="fr-FR"/>
          </w:rPr>
          <w:t>9</w:t>
        </w:r>
        <w:r w:rsidRPr="00075DC8">
          <w:rPr>
            <w:noProof/>
            <w:webHidden/>
            <w:lang w:val="fr-FR"/>
          </w:rPr>
          <w:fldChar w:fldCharType="end"/>
        </w:r>
      </w:hyperlink>
    </w:p>
    <w:p w14:paraId="5B427A1A" w14:textId="523E0C81" w:rsidR="0011404C" w:rsidRPr="00075DC8" w:rsidRDefault="0011404C">
      <w:pPr>
        <w:pStyle w:val="TOC1"/>
        <w:rPr>
          <w:rFonts w:asciiTheme="minorHAnsi" w:eastAsiaTheme="minorEastAsia" w:hAnsiTheme="minorHAnsi" w:cstheme="minorBidi"/>
          <w:noProof/>
          <w:kern w:val="2"/>
          <w:szCs w:val="24"/>
          <w:lang w:val="fr-FR"/>
          <w14:ligatures w14:val="standardContextual"/>
        </w:rPr>
      </w:pPr>
      <w:hyperlink w:anchor="_Toc198643822" w:history="1">
        <w:r w:rsidRPr="00075DC8">
          <w:rPr>
            <w:rStyle w:val="Hyperlink"/>
            <w:noProof/>
            <w:lang w:val="fr-FR"/>
          </w:rPr>
          <w:t>4</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Considérations relatives aux dégradations de qualité de fonctionnement/de disponibilité admissibles causées par le brouillage et critères de brouillage associés</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_Toc198643822 \h </w:instrText>
        </w:r>
        <w:r w:rsidRPr="00075DC8">
          <w:rPr>
            <w:noProof/>
            <w:webHidden/>
            <w:lang w:val="fr-FR"/>
          </w:rPr>
        </w:r>
        <w:r w:rsidRPr="00075DC8">
          <w:rPr>
            <w:noProof/>
            <w:webHidden/>
            <w:lang w:val="fr-FR"/>
          </w:rPr>
          <w:fldChar w:fldCharType="separate"/>
        </w:r>
        <w:r w:rsidR="002053E9">
          <w:rPr>
            <w:noProof/>
            <w:webHidden/>
            <w:lang w:val="fr-FR"/>
          </w:rPr>
          <w:t>9</w:t>
        </w:r>
        <w:r w:rsidRPr="00075DC8">
          <w:rPr>
            <w:noProof/>
            <w:webHidden/>
            <w:lang w:val="fr-FR"/>
          </w:rPr>
          <w:fldChar w:fldCharType="end"/>
        </w:r>
      </w:hyperlink>
    </w:p>
    <w:p w14:paraId="20531209" w14:textId="116B36A3"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23" w:history="1">
        <w:r w:rsidRPr="00075DC8">
          <w:rPr>
            <w:rStyle w:val="Hyperlink"/>
            <w:noProof/>
            <w:lang w:val="fr-FR"/>
          </w:rPr>
          <w:t>4.1</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Brouillage de longue durée</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_Toc198643823 \h </w:instrText>
        </w:r>
        <w:r w:rsidRPr="00075DC8">
          <w:rPr>
            <w:noProof/>
            <w:webHidden/>
            <w:lang w:val="fr-FR"/>
          </w:rPr>
        </w:r>
        <w:r w:rsidRPr="00075DC8">
          <w:rPr>
            <w:noProof/>
            <w:webHidden/>
            <w:lang w:val="fr-FR"/>
          </w:rPr>
          <w:fldChar w:fldCharType="separate"/>
        </w:r>
        <w:r w:rsidR="002053E9">
          <w:rPr>
            <w:noProof/>
            <w:webHidden/>
            <w:lang w:val="fr-FR"/>
          </w:rPr>
          <w:t>12</w:t>
        </w:r>
        <w:r w:rsidRPr="00075DC8">
          <w:rPr>
            <w:noProof/>
            <w:webHidden/>
            <w:lang w:val="fr-FR"/>
          </w:rPr>
          <w:fldChar w:fldCharType="end"/>
        </w:r>
      </w:hyperlink>
    </w:p>
    <w:p w14:paraId="2DE7ADE6" w14:textId="1813621D"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24" w:history="1">
        <w:r w:rsidRPr="00075DC8">
          <w:rPr>
            <w:rStyle w:val="Hyperlink"/>
            <w:noProof/>
            <w:lang w:val="fr-FR"/>
          </w:rPr>
          <w:t>4.2</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Brouillage de courte durée</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_Toc198643824 \h </w:instrText>
        </w:r>
        <w:r w:rsidRPr="00075DC8">
          <w:rPr>
            <w:noProof/>
            <w:webHidden/>
            <w:lang w:val="fr-FR"/>
          </w:rPr>
        </w:r>
        <w:r w:rsidRPr="00075DC8">
          <w:rPr>
            <w:noProof/>
            <w:webHidden/>
            <w:lang w:val="fr-FR"/>
          </w:rPr>
          <w:fldChar w:fldCharType="separate"/>
        </w:r>
        <w:r w:rsidR="002053E9">
          <w:rPr>
            <w:noProof/>
            <w:webHidden/>
            <w:lang w:val="fr-FR"/>
          </w:rPr>
          <w:t>16</w:t>
        </w:r>
        <w:r w:rsidRPr="00075DC8">
          <w:rPr>
            <w:noProof/>
            <w:webHidden/>
            <w:lang w:val="fr-FR"/>
          </w:rPr>
          <w:fldChar w:fldCharType="end"/>
        </w:r>
      </w:hyperlink>
    </w:p>
    <w:p w14:paraId="2C072719" w14:textId="4F0B3691" w:rsidR="0011404C" w:rsidRPr="00075DC8" w:rsidRDefault="0011404C">
      <w:pPr>
        <w:pStyle w:val="TOC1"/>
        <w:rPr>
          <w:rFonts w:asciiTheme="minorHAnsi" w:eastAsiaTheme="minorEastAsia" w:hAnsiTheme="minorHAnsi" w:cstheme="minorBidi"/>
          <w:noProof/>
          <w:kern w:val="2"/>
          <w:szCs w:val="24"/>
          <w:lang w:val="fr-FR"/>
          <w14:ligatures w14:val="standardContextual"/>
        </w:rPr>
      </w:pPr>
      <w:hyperlink w:anchor="_Toc198643825" w:history="1">
        <w:r w:rsidRPr="00075DC8">
          <w:rPr>
            <w:rStyle w:val="Hyperlink"/>
            <w:noProof/>
            <w:lang w:val="fr-FR"/>
          </w:rPr>
          <w:t>5</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Emploi de la commande automatique de la puissance d</w:t>
        </w:r>
        <w:r w:rsidR="001F6A0D" w:rsidRPr="00075DC8">
          <w:rPr>
            <w:rStyle w:val="Hyperlink"/>
            <w:noProof/>
            <w:lang w:val="fr-FR"/>
          </w:rPr>
          <w:t>'</w:t>
        </w:r>
        <w:r w:rsidRPr="00075DC8">
          <w:rPr>
            <w:rStyle w:val="Hyperlink"/>
            <w:noProof/>
            <w:lang w:val="fr-FR"/>
          </w:rPr>
          <w:t>émission dans les systèmes numériques</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_Toc198643825 \h </w:instrText>
        </w:r>
        <w:r w:rsidRPr="00075DC8">
          <w:rPr>
            <w:noProof/>
            <w:webHidden/>
            <w:lang w:val="fr-FR"/>
          </w:rPr>
        </w:r>
        <w:r w:rsidRPr="00075DC8">
          <w:rPr>
            <w:noProof/>
            <w:webHidden/>
            <w:lang w:val="fr-FR"/>
          </w:rPr>
          <w:fldChar w:fldCharType="separate"/>
        </w:r>
        <w:r w:rsidR="002053E9">
          <w:rPr>
            <w:noProof/>
            <w:webHidden/>
            <w:lang w:val="fr-FR"/>
          </w:rPr>
          <w:t>17</w:t>
        </w:r>
        <w:r w:rsidRPr="00075DC8">
          <w:rPr>
            <w:noProof/>
            <w:webHidden/>
            <w:lang w:val="fr-FR"/>
          </w:rPr>
          <w:fldChar w:fldCharType="end"/>
        </w:r>
      </w:hyperlink>
    </w:p>
    <w:p w14:paraId="2973BC0E" w14:textId="3C9B1DDD" w:rsidR="0011404C" w:rsidRPr="00075DC8" w:rsidRDefault="0011404C">
      <w:pPr>
        <w:pStyle w:val="TOC1"/>
        <w:rPr>
          <w:rFonts w:asciiTheme="minorHAnsi" w:eastAsiaTheme="minorEastAsia" w:hAnsiTheme="minorHAnsi" w:cstheme="minorBidi"/>
          <w:noProof/>
          <w:kern w:val="2"/>
          <w:szCs w:val="24"/>
          <w:lang w:val="fr-FR"/>
          <w14:ligatures w14:val="standardContextual"/>
        </w:rPr>
      </w:pPr>
      <w:hyperlink w:anchor="_Toc198643826" w:history="1">
        <w:r w:rsidRPr="00075DC8">
          <w:rPr>
            <w:rStyle w:val="Hyperlink"/>
            <w:noProof/>
            <w:lang w:val="fr-FR"/>
          </w:rPr>
          <w:t>6</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Calcul des niveaux de brouillage réel</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_Toc198643826 \h </w:instrText>
        </w:r>
        <w:r w:rsidRPr="00075DC8">
          <w:rPr>
            <w:noProof/>
            <w:webHidden/>
            <w:lang w:val="fr-FR"/>
          </w:rPr>
        </w:r>
        <w:r w:rsidRPr="00075DC8">
          <w:rPr>
            <w:noProof/>
            <w:webHidden/>
            <w:lang w:val="fr-FR"/>
          </w:rPr>
          <w:fldChar w:fldCharType="separate"/>
        </w:r>
        <w:r w:rsidR="002053E9">
          <w:rPr>
            <w:noProof/>
            <w:webHidden/>
            <w:lang w:val="fr-FR"/>
          </w:rPr>
          <w:t>17</w:t>
        </w:r>
        <w:r w:rsidRPr="00075DC8">
          <w:rPr>
            <w:noProof/>
            <w:webHidden/>
            <w:lang w:val="fr-FR"/>
          </w:rPr>
          <w:fldChar w:fldCharType="end"/>
        </w:r>
      </w:hyperlink>
    </w:p>
    <w:p w14:paraId="580233FC" w14:textId="089F9322" w:rsidR="0011404C" w:rsidRPr="00075DC8" w:rsidRDefault="0011404C">
      <w:pPr>
        <w:pStyle w:val="TOC1"/>
        <w:rPr>
          <w:rFonts w:asciiTheme="minorHAnsi" w:eastAsiaTheme="minorEastAsia" w:hAnsiTheme="minorHAnsi" w:cstheme="minorBidi"/>
          <w:noProof/>
          <w:kern w:val="2"/>
          <w:szCs w:val="24"/>
          <w:lang w:val="fr-FR"/>
          <w14:ligatures w14:val="standardContextual"/>
        </w:rPr>
      </w:pPr>
      <w:hyperlink w:anchor="_Toc198643827" w:history="1">
        <w:r w:rsidRPr="00075DC8">
          <w:rPr>
            <w:rStyle w:val="Hyperlink"/>
            <w:noProof/>
            <w:lang w:val="fr-FR"/>
          </w:rPr>
          <w:t>Annexe 2 – Paramètres des systèmes numériques du service fixe pour les études de partage ou de compatibilité</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_Toc198643827 \h </w:instrText>
        </w:r>
        <w:r w:rsidRPr="00075DC8">
          <w:rPr>
            <w:noProof/>
            <w:webHidden/>
            <w:lang w:val="fr-FR"/>
          </w:rPr>
        </w:r>
        <w:r w:rsidRPr="00075DC8">
          <w:rPr>
            <w:noProof/>
            <w:webHidden/>
            <w:lang w:val="fr-FR"/>
          </w:rPr>
          <w:fldChar w:fldCharType="separate"/>
        </w:r>
        <w:r w:rsidR="002053E9">
          <w:rPr>
            <w:noProof/>
            <w:webHidden/>
            <w:lang w:val="fr-FR"/>
          </w:rPr>
          <w:t>18</w:t>
        </w:r>
        <w:r w:rsidRPr="00075DC8">
          <w:rPr>
            <w:noProof/>
            <w:webHidden/>
            <w:lang w:val="fr-FR"/>
          </w:rPr>
          <w:fldChar w:fldCharType="end"/>
        </w:r>
      </w:hyperlink>
    </w:p>
    <w:p w14:paraId="67912EA6" w14:textId="545D9A4B" w:rsidR="0011404C" w:rsidRPr="00075DC8" w:rsidRDefault="0011404C">
      <w:pPr>
        <w:pStyle w:val="TOC1"/>
        <w:rPr>
          <w:rFonts w:asciiTheme="minorHAnsi" w:eastAsiaTheme="minorEastAsia" w:hAnsiTheme="minorHAnsi" w:cstheme="minorBidi"/>
          <w:noProof/>
          <w:kern w:val="2"/>
          <w:szCs w:val="24"/>
          <w:lang w:val="fr-FR"/>
          <w14:ligatures w14:val="standardContextual"/>
        </w:rPr>
      </w:pPr>
      <w:hyperlink w:anchor="_Toc198643828" w:history="1">
        <w:r w:rsidRPr="00075DC8">
          <w:rPr>
            <w:rStyle w:val="Hyperlink"/>
            <w:noProof/>
            <w:lang w:val="fr-FR"/>
          </w:rPr>
          <w:t>1</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Introduction</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_Toc198643828 \h </w:instrText>
        </w:r>
        <w:r w:rsidRPr="00075DC8">
          <w:rPr>
            <w:noProof/>
            <w:webHidden/>
            <w:lang w:val="fr-FR"/>
          </w:rPr>
        </w:r>
        <w:r w:rsidRPr="00075DC8">
          <w:rPr>
            <w:noProof/>
            <w:webHidden/>
            <w:lang w:val="fr-FR"/>
          </w:rPr>
          <w:fldChar w:fldCharType="separate"/>
        </w:r>
        <w:r w:rsidR="002053E9">
          <w:rPr>
            <w:noProof/>
            <w:webHidden/>
            <w:lang w:val="fr-FR"/>
          </w:rPr>
          <w:t>18</w:t>
        </w:r>
        <w:r w:rsidRPr="00075DC8">
          <w:rPr>
            <w:noProof/>
            <w:webHidden/>
            <w:lang w:val="fr-FR"/>
          </w:rPr>
          <w:fldChar w:fldCharType="end"/>
        </w:r>
      </w:hyperlink>
    </w:p>
    <w:p w14:paraId="47B789EB" w14:textId="45E5D198" w:rsidR="0011404C" w:rsidRPr="00075DC8" w:rsidRDefault="0011404C">
      <w:pPr>
        <w:pStyle w:val="TOC1"/>
        <w:rPr>
          <w:rFonts w:asciiTheme="minorHAnsi" w:eastAsiaTheme="minorEastAsia" w:hAnsiTheme="minorHAnsi" w:cstheme="minorBidi"/>
          <w:noProof/>
          <w:kern w:val="2"/>
          <w:szCs w:val="24"/>
          <w:lang w:val="fr-FR"/>
          <w14:ligatures w14:val="standardContextual"/>
        </w:rPr>
      </w:pPr>
      <w:hyperlink w:anchor="_Toc198643829" w:history="1">
        <w:r w:rsidRPr="00075DC8">
          <w:rPr>
            <w:rStyle w:val="Hyperlink"/>
            <w:noProof/>
            <w:lang w:val="fr-FR"/>
          </w:rPr>
          <w:t>2</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Spécification de l</w:t>
        </w:r>
        <w:r w:rsidR="001F6A0D" w:rsidRPr="00075DC8">
          <w:rPr>
            <w:rStyle w:val="Hyperlink"/>
            <w:noProof/>
            <w:lang w:val="fr-FR"/>
          </w:rPr>
          <w:t>'</w:t>
        </w:r>
        <w:r w:rsidRPr="00075DC8">
          <w:rPr>
            <w:rStyle w:val="Hyperlink"/>
            <w:noProof/>
            <w:lang w:val="fr-FR"/>
          </w:rPr>
          <w:t>émetteur</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_Toc198643829 \h </w:instrText>
        </w:r>
        <w:r w:rsidRPr="00075DC8">
          <w:rPr>
            <w:noProof/>
            <w:webHidden/>
            <w:lang w:val="fr-FR"/>
          </w:rPr>
        </w:r>
        <w:r w:rsidRPr="00075DC8">
          <w:rPr>
            <w:noProof/>
            <w:webHidden/>
            <w:lang w:val="fr-FR"/>
          </w:rPr>
          <w:fldChar w:fldCharType="separate"/>
        </w:r>
        <w:r w:rsidR="002053E9">
          <w:rPr>
            <w:noProof/>
            <w:webHidden/>
            <w:lang w:val="fr-FR"/>
          </w:rPr>
          <w:t>18</w:t>
        </w:r>
        <w:r w:rsidRPr="00075DC8">
          <w:rPr>
            <w:noProof/>
            <w:webHidden/>
            <w:lang w:val="fr-FR"/>
          </w:rPr>
          <w:fldChar w:fldCharType="end"/>
        </w:r>
      </w:hyperlink>
    </w:p>
    <w:p w14:paraId="6732E0A0" w14:textId="3B8AF3CC"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30" w:history="1">
        <w:r w:rsidRPr="00075DC8">
          <w:rPr>
            <w:rStyle w:val="Hyperlink"/>
            <w:noProof/>
            <w:lang w:val="fr-FR"/>
          </w:rPr>
          <w:t>2.1</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Paramètres de l</w:t>
        </w:r>
        <w:r w:rsidR="001F6A0D" w:rsidRPr="00075DC8">
          <w:rPr>
            <w:rStyle w:val="Hyperlink"/>
            <w:noProof/>
            <w:lang w:val="fr-FR"/>
          </w:rPr>
          <w:t>'</w:t>
        </w:r>
        <w:r w:rsidRPr="00075DC8">
          <w:rPr>
            <w:rStyle w:val="Hyperlink"/>
            <w:noProof/>
            <w:lang w:val="fr-FR"/>
          </w:rPr>
          <w:t>équipement</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_Toc198643830 \h </w:instrText>
        </w:r>
        <w:r w:rsidRPr="00075DC8">
          <w:rPr>
            <w:noProof/>
            <w:webHidden/>
            <w:lang w:val="fr-FR"/>
          </w:rPr>
        </w:r>
        <w:r w:rsidRPr="00075DC8">
          <w:rPr>
            <w:noProof/>
            <w:webHidden/>
            <w:lang w:val="fr-FR"/>
          </w:rPr>
          <w:fldChar w:fldCharType="separate"/>
        </w:r>
        <w:r w:rsidR="002053E9">
          <w:rPr>
            <w:noProof/>
            <w:webHidden/>
            <w:lang w:val="fr-FR"/>
          </w:rPr>
          <w:t>18</w:t>
        </w:r>
        <w:r w:rsidRPr="00075DC8">
          <w:rPr>
            <w:noProof/>
            <w:webHidden/>
            <w:lang w:val="fr-FR"/>
          </w:rPr>
          <w:fldChar w:fldCharType="end"/>
        </w:r>
      </w:hyperlink>
    </w:p>
    <w:p w14:paraId="25E03551" w14:textId="0B900607"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31" w:history="1">
        <w:r w:rsidRPr="00075DC8">
          <w:rPr>
            <w:rStyle w:val="Hyperlink"/>
            <w:noProof/>
            <w:lang w:val="fr-FR"/>
          </w:rPr>
          <w:t>2.2</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Répartition statistique sur le territoire</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_Toc198643831 \h </w:instrText>
        </w:r>
        <w:r w:rsidRPr="00075DC8">
          <w:rPr>
            <w:noProof/>
            <w:webHidden/>
            <w:lang w:val="fr-FR"/>
          </w:rPr>
        </w:r>
        <w:r w:rsidRPr="00075DC8">
          <w:rPr>
            <w:noProof/>
            <w:webHidden/>
            <w:lang w:val="fr-FR"/>
          </w:rPr>
          <w:fldChar w:fldCharType="separate"/>
        </w:r>
        <w:r w:rsidR="002053E9">
          <w:rPr>
            <w:noProof/>
            <w:webHidden/>
            <w:lang w:val="fr-FR"/>
          </w:rPr>
          <w:t>19</w:t>
        </w:r>
        <w:r w:rsidRPr="00075DC8">
          <w:rPr>
            <w:noProof/>
            <w:webHidden/>
            <w:lang w:val="fr-FR"/>
          </w:rPr>
          <w:fldChar w:fldCharType="end"/>
        </w:r>
      </w:hyperlink>
    </w:p>
    <w:p w14:paraId="256A1A14" w14:textId="59ECE00F" w:rsidR="0011404C" w:rsidRPr="00075DC8" w:rsidRDefault="0011404C">
      <w:pPr>
        <w:pStyle w:val="TOC1"/>
        <w:rPr>
          <w:rFonts w:asciiTheme="minorHAnsi" w:eastAsiaTheme="minorEastAsia" w:hAnsiTheme="minorHAnsi" w:cstheme="minorBidi"/>
          <w:noProof/>
          <w:kern w:val="2"/>
          <w:szCs w:val="24"/>
          <w:lang w:val="fr-FR"/>
          <w14:ligatures w14:val="standardContextual"/>
        </w:rPr>
      </w:pPr>
      <w:hyperlink w:anchor="_Toc198643832" w:history="1">
        <w:r w:rsidRPr="00075DC8">
          <w:rPr>
            <w:rStyle w:val="Hyperlink"/>
            <w:noProof/>
            <w:lang w:val="fr-FR"/>
          </w:rPr>
          <w:t>3</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Spécification du récepteur</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_Toc198643832 \h </w:instrText>
        </w:r>
        <w:r w:rsidRPr="00075DC8">
          <w:rPr>
            <w:noProof/>
            <w:webHidden/>
            <w:lang w:val="fr-FR"/>
          </w:rPr>
        </w:r>
        <w:r w:rsidRPr="00075DC8">
          <w:rPr>
            <w:noProof/>
            <w:webHidden/>
            <w:lang w:val="fr-FR"/>
          </w:rPr>
          <w:fldChar w:fldCharType="separate"/>
        </w:r>
        <w:r w:rsidR="002053E9">
          <w:rPr>
            <w:noProof/>
            <w:webHidden/>
            <w:lang w:val="fr-FR"/>
          </w:rPr>
          <w:t>20</w:t>
        </w:r>
        <w:r w:rsidRPr="00075DC8">
          <w:rPr>
            <w:noProof/>
            <w:webHidden/>
            <w:lang w:val="fr-FR"/>
          </w:rPr>
          <w:fldChar w:fldCharType="end"/>
        </w:r>
      </w:hyperlink>
    </w:p>
    <w:p w14:paraId="727726D6" w14:textId="4BF0432C"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33" w:history="1">
        <w:r w:rsidRPr="00075DC8">
          <w:rPr>
            <w:rStyle w:val="Hyperlink"/>
            <w:noProof/>
            <w:lang w:val="fr-FR"/>
          </w:rPr>
          <w:t>3.1</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Paramètres de l</w:t>
        </w:r>
        <w:r w:rsidR="001F6A0D" w:rsidRPr="00075DC8">
          <w:rPr>
            <w:rStyle w:val="Hyperlink"/>
            <w:noProof/>
            <w:lang w:val="fr-FR"/>
          </w:rPr>
          <w:t>'</w:t>
        </w:r>
        <w:r w:rsidRPr="00075DC8">
          <w:rPr>
            <w:rStyle w:val="Hyperlink"/>
            <w:noProof/>
            <w:lang w:val="fr-FR"/>
          </w:rPr>
          <w:t>équipement</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_Toc198643833 \h </w:instrText>
        </w:r>
        <w:r w:rsidRPr="00075DC8">
          <w:rPr>
            <w:noProof/>
            <w:webHidden/>
            <w:lang w:val="fr-FR"/>
          </w:rPr>
        </w:r>
        <w:r w:rsidRPr="00075DC8">
          <w:rPr>
            <w:noProof/>
            <w:webHidden/>
            <w:lang w:val="fr-FR"/>
          </w:rPr>
          <w:fldChar w:fldCharType="separate"/>
        </w:r>
        <w:r w:rsidR="002053E9">
          <w:rPr>
            <w:noProof/>
            <w:webHidden/>
            <w:lang w:val="fr-FR"/>
          </w:rPr>
          <w:t>20</w:t>
        </w:r>
        <w:r w:rsidRPr="00075DC8">
          <w:rPr>
            <w:noProof/>
            <w:webHidden/>
            <w:lang w:val="fr-FR"/>
          </w:rPr>
          <w:fldChar w:fldCharType="end"/>
        </w:r>
      </w:hyperlink>
    </w:p>
    <w:p w14:paraId="6019DB13" w14:textId="52911326"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34" w:history="1">
        <w:r w:rsidRPr="00075DC8">
          <w:rPr>
            <w:rStyle w:val="Hyperlink"/>
            <w:noProof/>
            <w:lang w:val="fr-FR"/>
          </w:rPr>
          <w:t>3.2</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Brouillage admissible</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_Toc198643834 \h </w:instrText>
        </w:r>
        <w:r w:rsidRPr="00075DC8">
          <w:rPr>
            <w:noProof/>
            <w:webHidden/>
            <w:lang w:val="fr-FR"/>
          </w:rPr>
        </w:r>
        <w:r w:rsidRPr="00075DC8">
          <w:rPr>
            <w:noProof/>
            <w:webHidden/>
            <w:lang w:val="fr-FR"/>
          </w:rPr>
          <w:fldChar w:fldCharType="separate"/>
        </w:r>
        <w:r w:rsidR="002053E9">
          <w:rPr>
            <w:noProof/>
            <w:webHidden/>
            <w:lang w:val="fr-FR"/>
          </w:rPr>
          <w:t>21</w:t>
        </w:r>
        <w:r w:rsidRPr="00075DC8">
          <w:rPr>
            <w:noProof/>
            <w:webHidden/>
            <w:lang w:val="fr-FR"/>
          </w:rPr>
          <w:fldChar w:fldCharType="end"/>
        </w:r>
      </w:hyperlink>
    </w:p>
    <w:p w14:paraId="5AF64124" w14:textId="516C87D5" w:rsidR="0011404C" w:rsidRPr="00075DC8" w:rsidRDefault="0011404C">
      <w:pPr>
        <w:pStyle w:val="TOC1"/>
        <w:rPr>
          <w:rFonts w:asciiTheme="minorHAnsi" w:eastAsiaTheme="minorEastAsia" w:hAnsiTheme="minorHAnsi" w:cstheme="minorBidi"/>
          <w:noProof/>
          <w:kern w:val="2"/>
          <w:szCs w:val="24"/>
          <w:lang w:val="fr-FR"/>
          <w14:ligatures w14:val="standardContextual"/>
        </w:rPr>
      </w:pPr>
      <w:hyperlink w:anchor="_Toc198643835" w:history="1">
        <w:r w:rsidRPr="00075DC8">
          <w:rPr>
            <w:rStyle w:val="Hyperlink"/>
            <w:noProof/>
            <w:lang w:val="fr-FR"/>
          </w:rPr>
          <w:t>4</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Tableaux des paramètres du système</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_Toc198643835 \h </w:instrText>
        </w:r>
        <w:r w:rsidRPr="00075DC8">
          <w:rPr>
            <w:noProof/>
            <w:webHidden/>
            <w:lang w:val="fr-FR"/>
          </w:rPr>
        </w:r>
        <w:r w:rsidRPr="00075DC8">
          <w:rPr>
            <w:noProof/>
            <w:webHidden/>
            <w:lang w:val="fr-FR"/>
          </w:rPr>
          <w:fldChar w:fldCharType="separate"/>
        </w:r>
        <w:r w:rsidR="002053E9">
          <w:rPr>
            <w:noProof/>
            <w:webHidden/>
            <w:lang w:val="fr-FR"/>
          </w:rPr>
          <w:t>21</w:t>
        </w:r>
        <w:r w:rsidRPr="00075DC8">
          <w:rPr>
            <w:noProof/>
            <w:webHidden/>
            <w:lang w:val="fr-FR"/>
          </w:rPr>
          <w:fldChar w:fldCharType="end"/>
        </w:r>
      </w:hyperlink>
    </w:p>
    <w:p w14:paraId="342DE8BB" w14:textId="663E489A"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36" w:history="1">
        <w:r w:rsidRPr="00075DC8">
          <w:rPr>
            <w:rStyle w:val="Hyperlink"/>
            <w:noProof/>
            <w:lang w:val="fr-FR"/>
          </w:rPr>
          <w:t>4.1</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Gamme de fréquences et Recommandation UIT-R de référence associée</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_Toc198643836 \h </w:instrText>
        </w:r>
        <w:r w:rsidRPr="00075DC8">
          <w:rPr>
            <w:noProof/>
            <w:webHidden/>
            <w:lang w:val="fr-FR"/>
          </w:rPr>
        </w:r>
        <w:r w:rsidRPr="00075DC8">
          <w:rPr>
            <w:noProof/>
            <w:webHidden/>
            <w:lang w:val="fr-FR"/>
          </w:rPr>
          <w:fldChar w:fldCharType="separate"/>
        </w:r>
        <w:r w:rsidR="002053E9">
          <w:rPr>
            <w:noProof/>
            <w:webHidden/>
            <w:lang w:val="fr-FR"/>
          </w:rPr>
          <w:t>21</w:t>
        </w:r>
        <w:r w:rsidRPr="00075DC8">
          <w:rPr>
            <w:noProof/>
            <w:webHidden/>
            <w:lang w:val="fr-FR"/>
          </w:rPr>
          <w:fldChar w:fldCharType="end"/>
        </w:r>
      </w:hyperlink>
    </w:p>
    <w:p w14:paraId="604621ED" w14:textId="473DC8A3"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37" w:history="1">
        <w:r w:rsidRPr="00075DC8">
          <w:rPr>
            <w:rStyle w:val="Hyperlink"/>
            <w:noProof/>
            <w:lang w:val="fr-FR"/>
          </w:rPr>
          <w:t>4.2</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Format de modulation</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_Toc198643837 \h </w:instrText>
        </w:r>
        <w:r w:rsidRPr="00075DC8">
          <w:rPr>
            <w:noProof/>
            <w:webHidden/>
            <w:lang w:val="fr-FR"/>
          </w:rPr>
        </w:r>
        <w:r w:rsidRPr="00075DC8">
          <w:rPr>
            <w:noProof/>
            <w:webHidden/>
            <w:lang w:val="fr-FR"/>
          </w:rPr>
          <w:fldChar w:fldCharType="separate"/>
        </w:r>
        <w:r w:rsidR="002053E9">
          <w:rPr>
            <w:noProof/>
            <w:webHidden/>
            <w:lang w:val="fr-FR"/>
          </w:rPr>
          <w:t>21</w:t>
        </w:r>
        <w:r w:rsidRPr="00075DC8">
          <w:rPr>
            <w:noProof/>
            <w:webHidden/>
            <w:lang w:val="fr-FR"/>
          </w:rPr>
          <w:fldChar w:fldCharType="end"/>
        </w:r>
      </w:hyperlink>
    </w:p>
    <w:p w14:paraId="7D9072AF" w14:textId="46FF9EB8"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38" w:history="1">
        <w:r w:rsidRPr="00075DC8">
          <w:rPr>
            <w:rStyle w:val="Hyperlink"/>
            <w:noProof/>
            <w:lang w:val="fr-FR"/>
          </w:rPr>
          <w:t>4.3</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Espacement des canaux et largeur de bande de bruit du récepteur</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_Toc198643838 \h </w:instrText>
        </w:r>
        <w:r w:rsidRPr="00075DC8">
          <w:rPr>
            <w:noProof/>
            <w:webHidden/>
            <w:lang w:val="fr-FR"/>
          </w:rPr>
        </w:r>
        <w:r w:rsidRPr="00075DC8">
          <w:rPr>
            <w:noProof/>
            <w:webHidden/>
            <w:lang w:val="fr-FR"/>
          </w:rPr>
          <w:fldChar w:fldCharType="separate"/>
        </w:r>
        <w:r w:rsidR="002053E9">
          <w:rPr>
            <w:noProof/>
            <w:webHidden/>
            <w:lang w:val="fr-FR"/>
          </w:rPr>
          <w:t>22</w:t>
        </w:r>
        <w:r w:rsidRPr="00075DC8">
          <w:rPr>
            <w:noProof/>
            <w:webHidden/>
            <w:lang w:val="fr-FR"/>
          </w:rPr>
          <w:fldChar w:fldCharType="end"/>
        </w:r>
      </w:hyperlink>
    </w:p>
    <w:p w14:paraId="298CB1DD" w14:textId="52680789"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39" w:history="1">
        <w:r w:rsidRPr="00075DC8">
          <w:rPr>
            <w:rStyle w:val="Hyperlink"/>
            <w:noProof/>
            <w:lang w:val="fr-FR"/>
          </w:rPr>
          <w:t>4.4</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Plage des puissances de sortie au niveau de l</w:t>
        </w:r>
        <w:r w:rsidR="001F6A0D" w:rsidRPr="00075DC8">
          <w:rPr>
            <w:rStyle w:val="Hyperlink"/>
            <w:noProof/>
            <w:lang w:val="fr-FR"/>
          </w:rPr>
          <w:t>'</w:t>
        </w:r>
        <w:r w:rsidRPr="00075DC8">
          <w:rPr>
            <w:rStyle w:val="Hyperlink"/>
            <w:noProof/>
            <w:lang w:val="fr-FR"/>
          </w:rPr>
          <w:t>émetteur (dBW)</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_Toc198643839 \h </w:instrText>
        </w:r>
        <w:r w:rsidRPr="00075DC8">
          <w:rPr>
            <w:noProof/>
            <w:webHidden/>
            <w:lang w:val="fr-FR"/>
          </w:rPr>
        </w:r>
        <w:r w:rsidRPr="00075DC8">
          <w:rPr>
            <w:noProof/>
            <w:webHidden/>
            <w:lang w:val="fr-FR"/>
          </w:rPr>
          <w:fldChar w:fldCharType="separate"/>
        </w:r>
        <w:r w:rsidR="002053E9">
          <w:rPr>
            <w:noProof/>
            <w:webHidden/>
            <w:lang w:val="fr-FR"/>
          </w:rPr>
          <w:t>22</w:t>
        </w:r>
        <w:r w:rsidRPr="00075DC8">
          <w:rPr>
            <w:noProof/>
            <w:webHidden/>
            <w:lang w:val="fr-FR"/>
          </w:rPr>
          <w:fldChar w:fldCharType="end"/>
        </w:r>
      </w:hyperlink>
    </w:p>
    <w:p w14:paraId="159042BB" w14:textId="27F84683"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40" w:history="1">
        <w:r w:rsidRPr="00075DC8">
          <w:rPr>
            <w:rStyle w:val="Hyperlink"/>
            <w:noProof/>
            <w:lang w:val="fr-FR"/>
          </w:rPr>
          <w:t>4.5</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Plage des densités de puissance de sortie au niveau de l</w:t>
        </w:r>
        <w:r w:rsidR="001F6A0D" w:rsidRPr="00075DC8">
          <w:rPr>
            <w:rStyle w:val="Hyperlink"/>
            <w:noProof/>
            <w:lang w:val="fr-FR"/>
          </w:rPr>
          <w:t>'</w:t>
        </w:r>
        <w:r w:rsidRPr="00075DC8">
          <w:rPr>
            <w:rStyle w:val="Hyperlink"/>
            <w:noProof/>
            <w:lang w:val="fr-FR"/>
          </w:rPr>
          <w:t>émetteur (dBW/MHz)</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_Toc198643840 \h </w:instrText>
        </w:r>
        <w:r w:rsidRPr="00075DC8">
          <w:rPr>
            <w:noProof/>
            <w:webHidden/>
            <w:lang w:val="fr-FR"/>
          </w:rPr>
        </w:r>
        <w:r w:rsidRPr="00075DC8">
          <w:rPr>
            <w:noProof/>
            <w:webHidden/>
            <w:lang w:val="fr-FR"/>
          </w:rPr>
          <w:fldChar w:fldCharType="separate"/>
        </w:r>
        <w:r w:rsidR="002053E9">
          <w:rPr>
            <w:noProof/>
            <w:webHidden/>
            <w:lang w:val="fr-FR"/>
          </w:rPr>
          <w:t>22</w:t>
        </w:r>
        <w:r w:rsidRPr="00075DC8">
          <w:rPr>
            <w:noProof/>
            <w:webHidden/>
            <w:lang w:val="fr-FR"/>
          </w:rPr>
          <w:fldChar w:fldCharType="end"/>
        </w:r>
      </w:hyperlink>
    </w:p>
    <w:p w14:paraId="5A5CB26F" w14:textId="2F3EF8D7"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41" w:history="1">
        <w:r w:rsidRPr="00075DC8">
          <w:rPr>
            <w:rStyle w:val="Hyperlink"/>
            <w:noProof/>
            <w:lang w:val="fr-FR"/>
          </w:rPr>
          <w:t>4.</w:t>
        </w:r>
        <w:r w:rsidRPr="00075DC8">
          <w:rPr>
            <w:rStyle w:val="Hyperlink"/>
            <w:noProof/>
            <w:lang w:val="fr-FR" w:eastAsia="ja-JP"/>
          </w:rPr>
          <w:t>6</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Plage des pertes dues à la ligne d</w:t>
        </w:r>
        <w:r w:rsidR="001F6A0D" w:rsidRPr="00075DC8">
          <w:rPr>
            <w:rStyle w:val="Hyperlink"/>
            <w:noProof/>
            <w:lang w:val="fr-FR"/>
          </w:rPr>
          <w:t>'</w:t>
        </w:r>
        <w:r w:rsidRPr="00075DC8">
          <w:rPr>
            <w:rStyle w:val="Hyperlink"/>
            <w:noProof/>
            <w:lang w:val="fr-FR"/>
          </w:rPr>
          <w:t>alimentation ou au multiplexeur (dB)</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_Toc198643841 \h </w:instrText>
        </w:r>
        <w:r w:rsidRPr="00075DC8">
          <w:rPr>
            <w:noProof/>
            <w:webHidden/>
            <w:lang w:val="fr-FR"/>
          </w:rPr>
        </w:r>
        <w:r w:rsidRPr="00075DC8">
          <w:rPr>
            <w:noProof/>
            <w:webHidden/>
            <w:lang w:val="fr-FR"/>
          </w:rPr>
          <w:fldChar w:fldCharType="separate"/>
        </w:r>
        <w:r w:rsidR="002053E9">
          <w:rPr>
            <w:noProof/>
            <w:webHidden/>
            <w:lang w:val="fr-FR"/>
          </w:rPr>
          <w:t>23</w:t>
        </w:r>
        <w:r w:rsidRPr="00075DC8">
          <w:rPr>
            <w:noProof/>
            <w:webHidden/>
            <w:lang w:val="fr-FR"/>
          </w:rPr>
          <w:fldChar w:fldCharType="end"/>
        </w:r>
      </w:hyperlink>
    </w:p>
    <w:p w14:paraId="31363680" w14:textId="497970C2"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42" w:history="1">
        <w:r w:rsidRPr="00075DC8">
          <w:rPr>
            <w:rStyle w:val="Hyperlink"/>
            <w:noProof/>
            <w:lang w:val="fr-FR"/>
          </w:rPr>
          <w:t>4.7</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Plage des gains d</w:t>
        </w:r>
        <w:r w:rsidR="001F6A0D" w:rsidRPr="00075DC8">
          <w:rPr>
            <w:rStyle w:val="Hyperlink"/>
            <w:noProof/>
            <w:lang w:val="fr-FR"/>
          </w:rPr>
          <w:t>'</w:t>
        </w:r>
        <w:r w:rsidRPr="00075DC8">
          <w:rPr>
            <w:rStyle w:val="Hyperlink"/>
            <w:noProof/>
            <w:lang w:val="fr-FR"/>
          </w:rPr>
          <w:t>antenne (dBi) (de point à point) ou type d</w:t>
        </w:r>
        <w:r w:rsidR="001F6A0D" w:rsidRPr="00075DC8">
          <w:rPr>
            <w:rStyle w:val="Hyperlink"/>
            <w:noProof/>
            <w:lang w:val="fr-FR"/>
          </w:rPr>
          <w:t>'</w:t>
        </w:r>
        <w:r w:rsidRPr="00075DC8">
          <w:rPr>
            <w:rStyle w:val="Hyperlink"/>
            <w:noProof/>
            <w:lang w:val="fr-FR"/>
          </w:rPr>
          <w:t>antenne et plage des gains d</w:t>
        </w:r>
        <w:r w:rsidR="001F6A0D" w:rsidRPr="00075DC8">
          <w:rPr>
            <w:rStyle w:val="Hyperlink"/>
            <w:noProof/>
            <w:lang w:val="fr-FR"/>
          </w:rPr>
          <w:t>'</w:t>
        </w:r>
        <w:r w:rsidRPr="00075DC8">
          <w:rPr>
            <w:rStyle w:val="Hyperlink"/>
            <w:noProof/>
            <w:lang w:val="fr-FR"/>
          </w:rPr>
          <w:t>antenne (dBi) (de point à multipoint)</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_Toc198643842 \h </w:instrText>
        </w:r>
        <w:r w:rsidRPr="00075DC8">
          <w:rPr>
            <w:noProof/>
            <w:webHidden/>
            <w:lang w:val="fr-FR"/>
          </w:rPr>
        </w:r>
        <w:r w:rsidRPr="00075DC8">
          <w:rPr>
            <w:noProof/>
            <w:webHidden/>
            <w:lang w:val="fr-FR"/>
          </w:rPr>
          <w:fldChar w:fldCharType="separate"/>
        </w:r>
        <w:r w:rsidR="002053E9">
          <w:rPr>
            <w:noProof/>
            <w:webHidden/>
            <w:lang w:val="fr-FR"/>
          </w:rPr>
          <w:t>23</w:t>
        </w:r>
        <w:r w:rsidRPr="00075DC8">
          <w:rPr>
            <w:noProof/>
            <w:webHidden/>
            <w:lang w:val="fr-FR"/>
          </w:rPr>
          <w:fldChar w:fldCharType="end"/>
        </w:r>
      </w:hyperlink>
    </w:p>
    <w:p w14:paraId="07D58EBE" w14:textId="1961ECBD"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43" w:history="1">
        <w:r w:rsidRPr="00075DC8">
          <w:rPr>
            <w:rStyle w:val="Hyperlink"/>
            <w:noProof/>
            <w:lang w:val="fr-FR"/>
          </w:rPr>
          <w:t>4.8</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Plage des p.i.r.e. (dBW)</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_Toc198643843 \h </w:instrText>
        </w:r>
        <w:r w:rsidRPr="00075DC8">
          <w:rPr>
            <w:noProof/>
            <w:webHidden/>
            <w:lang w:val="fr-FR"/>
          </w:rPr>
        </w:r>
        <w:r w:rsidRPr="00075DC8">
          <w:rPr>
            <w:noProof/>
            <w:webHidden/>
            <w:lang w:val="fr-FR"/>
          </w:rPr>
          <w:fldChar w:fldCharType="separate"/>
        </w:r>
        <w:r w:rsidR="002053E9">
          <w:rPr>
            <w:noProof/>
            <w:webHidden/>
            <w:lang w:val="fr-FR"/>
          </w:rPr>
          <w:t>23</w:t>
        </w:r>
        <w:r w:rsidRPr="00075DC8">
          <w:rPr>
            <w:noProof/>
            <w:webHidden/>
            <w:lang w:val="fr-FR"/>
          </w:rPr>
          <w:fldChar w:fldCharType="end"/>
        </w:r>
      </w:hyperlink>
    </w:p>
    <w:p w14:paraId="26D1B204" w14:textId="60C15EEE"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44" w:history="1">
        <w:r w:rsidRPr="00075DC8">
          <w:rPr>
            <w:rStyle w:val="Hyperlink"/>
            <w:noProof/>
            <w:lang w:val="fr-FR"/>
          </w:rPr>
          <w:t>4.9</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Plage des densités de p.i.r.e. (dBW/MHz)</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_Toc198643844 \h </w:instrText>
        </w:r>
        <w:r w:rsidRPr="00075DC8">
          <w:rPr>
            <w:noProof/>
            <w:webHidden/>
            <w:lang w:val="fr-FR"/>
          </w:rPr>
        </w:r>
        <w:r w:rsidRPr="00075DC8">
          <w:rPr>
            <w:noProof/>
            <w:webHidden/>
            <w:lang w:val="fr-FR"/>
          </w:rPr>
          <w:fldChar w:fldCharType="separate"/>
        </w:r>
        <w:r w:rsidR="002053E9">
          <w:rPr>
            <w:noProof/>
            <w:webHidden/>
            <w:lang w:val="fr-FR"/>
          </w:rPr>
          <w:t>24</w:t>
        </w:r>
        <w:r w:rsidRPr="00075DC8">
          <w:rPr>
            <w:noProof/>
            <w:webHidden/>
            <w:lang w:val="fr-FR"/>
          </w:rPr>
          <w:fldChar w:fldCharType="end"/>
        </w:r>
      </w:hyperlink>
    </w:p>
    <w:p w14:paraId="55A7169F" w14:textId="10ADA26B"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45" w:history="1">
        <w:r w:rsidRPr="00075DC8">
          <w:rPr>
            <w:rStyle w:val="Hyperlink"/>
            <w:noProof/>
            <w:lang w:val="fr-FR"/>
          </w:rPr>
          <w:t>4.10</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Facteur de bruit type du récepteur (dB)</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_Toc198643845 \h </w:instrText>
        </w:r>
        <w:r w:rsidRPr="00075DC8">
          <w:rPr>
            <w:noProof/>
            <w:webHidden/>
            <w:lang w:val="fr-FR"/>
          </w:rPr>
        </w:r>
        <w:r w:rsidRPr="00075DC8">
          <w:rPr>
            <w:noProof/>
            <w:webHidden/>
            <w:lang w:val="fr-FR"/>
          </w:rPr>
          <w:fldChar w:fldCharType="separate"/>
        </w:r>
        <w:r w:rsidR="002053E9">
          <w:rPr>
            <w:noProof/>
            <w:webHidden/>
            <w:lang w:val="fr-FR"/>
          </w:rPr>
          <w:t>24</w:t>
        </w:r>
        <w:r w:rsidRPr="00075DC8">
          <w:rPr>
            <w:noProof/>
            <w:webHidden/>
            <w:lang w:val="fr-FR"/>
          </w:rPr>
          <w:fldChar w:fldCharType="end"/>
        </w:r>
      </w:hyperlink>
    </w:p>
    <w:p w14:paraId="061BC36F" w14:textId="5E2A33F8"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46" w:history="1">
        <w:r w:rsidRPr="00075DC8">
          <w:rPr>
            <w:rStyle w:val="Hyperlink"/>
            <w:noProof/>
            <w:lang w:val="fr-FR"/>
          </w:rPr>
          <w:t>4.11</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Densité type de puissance de bruit du récepteur (dBW/MHz)</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_Toc198643846 \h </w:instrText>
        </w:r>
        <w:r w:rsidRPr="00075DC8">
          <w:rPr>
            <w:noProof/>
            <w:webHidden/>
            <w:lang w:val="fr-FR"/>
          </w:rPr>
        </w:r>
        <w:r w:rsidRPr="00075DC8">
          <w:rPr>
            <w:noProof/>
            <w:webHidden/>
            <w:lang w:val="fr-FR"/>
          </w:rPr>
          <w:fldChar w:fldCharType="separate"/>
        </w:r>
        <w:r w:rsidR="002053E9">
          <w:rPr>
            <w:noProof/>
            <w:webHidden/>
            <w:lang w:val="fr-FR"/>
          </w:rPr>
          <w:t>24</w:t>
        </w:r>
        <w:r w:rsidRPr="00075DC8">
          <w:rPr>
            <w:noProof/>
            <w:webHidden/>
            <w:lang w:val="fr-FR"/>
          </w:rPr>
          <w:fldChar w:fldCharType="end"/>
        </w:r>
      </w:hyperlink>
    </w:p>
    <w:p w14:paraId="72251B7D" w14:textId="10009D2F"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47" w:history="1">
        <w:r w:rsidRPr="00075DC8">
          <w:rPr>
            <w:rStyle w:val="Hyperlink"/>
            <w:noProof/>
            <w:lang w:val="fr-FR"/>
          </w:rPr>
          <w:t>4.12</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Niveau normalisé à l</w:t>
        </w:r>
        <w:r w:rsidR="001F6A0D" w:rsidRPr="00075DC8">
          <w:rPr>
            <w:rStyle w:val="Hyperlink"/>
            <w:noProof/>
            <w:lang w:val="fr-FR"/>
          </w:rPr>
          <w:t>'</w:t>
        </w:r>
        <w:r w:rsidRPr="00075DC8">
          <w:rPr>
            <w:rStyle w:val="Hyperlink"/>
            <w:noProof/>
            <w:lang w:val="fr-FR"/>
          </w:rPr>
          <w:t>entrée du récepteur pour un taux BER de 1 × 10</w:t>
        </w:r>
        <w:r w:rsidRPr="00075DC8">
          <w:rPr>
            <w:rStyle w:val="Hyperlink"/>
            <w:noProof/>
            <w:vertAlign w:val="superscript"/>
            <w:lang w:val="fr-FR"/>
          </w:rPr>
          <w:t>−6</w:t>
        </w:r>
        <w:r w:rsidRPr="00075DC8">
          <w:rPr>
            <w:rStyle w:val="Hyperlink"/>
            <w:noProof/>
            <w:lang w:val="fr-FR"/>
          </w:rPr>
          <w:t xml:space="preserve"> (dBW/MHz)</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_Toc198643847 \h </w:instrText>
        </w:r>
        <w:r w:rsidRPr="00075DC8">
          <w:rPr>
            <w:noProof/>
            <w:webHidden/>
            <w:lang w:val="fr-FR"/>
          </w:rPr>
        </w:r>
        <w:r w:rsidRPr="00075DC8">
          <w:rPr>
            <w:noProof/>
            <w:webHidden/>
            <w:lang w:val="fr-FR"/>
          </w:rPr>
          <w:fldChar w:fldCharType="separate"/>
        </w:r>
        <w:r w:rsidR="002053E9">
          <w:rPr>
            <w:noProof/>
            <w:webHidden/>
            <w:lang w:val="fr-FR"/>
          </w:rPr>
          <w:t>24</w:t>
        </w:r>
        <w:r w:rsidRPr="00075DC8">
          <w:rPr>
            <w:noProof/>
            <w:webHidden/>
            <w:lang w:val="fr-FR"/>
          </w:rPr>
          <w:fldChar w:fldCharType="end"/>
        </w:r>
      </w:hyperlink>
    </w:p>
    <w:p w14:paraId="149C8406" w14:textId="08CEE7EA"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48" w:history="1">
        <w:r w:rsidRPr="00075DC8">
          <w:rPr>
            <w:rStyle w:val="Hyperlink"/>
            <w:noProof/>
            <w:lang w:val="fr-FR"/>
          </w:rPr>
          <w:t>4.13</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Densité nominale de puissance de brouillage de longue durée (dBW/MHz)</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_Toc198643848 \h </w:instrText>
        </w:r>
        <w:r w:rsidRPr="00075DC8">
          <w:rPr>
            <w:noProof/>
            <w:webHidden/>
            <w:lang w:val="fr-FR"/>
          </w:rPr>
        </w:r>
        <w:r w:rsidRPr="00075DC8">
          <w:rPr>
            <w:noProof/>
            <w:webHidden/>
            <w:lang w:val="fr-FR"/>
          </w:rPr>
          <w:fldChar w:fldCharType="separate"/>
        </w:r>
        <w:r w:rsidR="002053E9">
          <w:rPr>
            <w:noProof/>
            <w:webHidden/>
            <w:lang w:val="fr-FR"/>
          </w:rPr>
          <w:t>25</w:t>
        </w:r>
        <w:r w:rsidRPr="00075DC8">
          <w:rPr>
            <w:noProof/>
            <w:webHidden/>
            <w:lang w:val="fr-FR"/>
          </w:rPr>
          <w:fldChar w:fldCharType="end"/>
        </w:r>
      </w:hyperlink>
    </w:p>
    <w:p w14:paraId="53818629" w14:textId="14FDA2D2" w:rsidR="0011404C" w:rsidRPr="00075DC8" w:rsidRDefault="0011404C">
      <w:pPr>
        <w:pStyle w:val="TOC2"/>
        <w:rPr>
          <w:rFonts w:asciiTheme="minorHAnsi" w:eastAsiaTheme="minorEastAsia" w:hAnsiTheme="minorHAnsi" w:cstheme="minorBidi"/>
          <w:noProof/>
          <w:kern w:val="2"/>
          <w:szCs w:val="24"/>
          <w:lang w:val="fr-FR"/>
          <w14:ligatures w14:val="standardContextual"/>
        </w:rPr>
      </w:pPr>
      <w:hyperlink w:anchor="_Toc198643849" w:history="1">
        <w:r w:rsidRPr="00075DC8">
          <w:rPr>
            <w:rStyle w:val="Hyperlink"/>
            <w:noProof/>
            <w:lang w:val="fr-FR"/>
          </w:rPr>
          <w:t>4.14</w:t>
        </w:r>
        <w:r w:rsidRPr="00075DC8">
          <w:rPr>
            <w:rFonts w:asciiTheme="minorHAnsi" w:eastAsiaTheme="minorEastAsia" w:hAnsiTheme="minorHAnsi" w:cstheme="minorBidi"/>
            <w:noProof/>
            <w:kern w:val="2"/>
            <w:szCs w:val="24"/>
            <w:lang w:val="fr-FR"/>
            <w14:ligatures w14:val="standardContextual"/>
          </w:rPr>
          <w:tab/>
        </w:r>
        <w:r w:rsidRPr="00075DC8">
          <w:rPr>
            <w:rStyle w:val="Hyperlink"/>
            <w:noProof/>
            <w:lang w:val="fr-FR"/>
          </w:rPr>
          <w:t>Informations complémentaires (niveau nominal à l</w:t>
        </w:r>
        <w:r w:rsidR="001F6A0D" w:rsidRPr="00075DC8">
          <w:rPr>
            <w:rStyle w:val="Hyperlink"/>
            <w:noProof/>
            <w:lang w:val="fr-FR"/>
          </w:rPr>
          <w:t>'</w:t>
        </w:r>
        <w:r w:rsidRPr="00075DC8">
          <w:rPr>
            <w:rStyle w:val="Hyperlink"/>
            <w:noProof/>
            <w:lang w:val="fr-FR"/>
          </w:rPr>
          <w:t>entrée du récepteur)</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_Toc198643849 \h </w:instrText>
        </w:r>
        <w:r w:rsidRPr="00075DC8">
          <w:rPr>
            <w:noProof/>
            <w:webHidden/>
            <w:lang w:val="fr-FR"/>
          </w:rPr>
        </w:r>
        <w:r w:rsidRPr="00075DC8">
          <w:rPr>
            <w:noProof/>
            <w:webHidden/>
            <w:lang w:val="fr-FR"/>
          </w:rPr>
          <w:fldChar w:fldCharType="separate"/>
        </w:r>
        <w:r w:rsidR="002053E9">
          <w:rPr>
            <w:noProof/>
            <w:webHidden/>
            <w:lang w:val="fr-FR"/>
          </w:rPr>
          <w:t>26</w:t>
        </w:r>
        <w:r w:rsidRPr="00075DC8">
          <w:rPr>
            <w:noProof/>
            <w:webHidden/>
            <w:lang w:val="fr-FR"/>
          </w:rPr>
          <w:fldChar w:fldCharType="end"/>
        </w:r>
      </w:hyperlink>
    </w:p>
    <w:p w14:paraId="2B04C4A3" w14:textId="2498DBD8" w:rsidR="0011404C" w:rsidRPr="00075DC8" w:rsidRDefault="0011404C">
      <w:pPr>
        <w:pStyle w:val="TOC1"/>
        <w:rPr>
          <w:rFonts w:asciiTheme="minorHAnsi" w:eastAsiaTheme="minorEastAsia" w:hAnsiTheme="minorHAnsi" w:cstheme="minorBidi"/>
          <w:noProof/>
          <w:kern w:val="2"/>
          <w:szCs w:val="24"/>
          <w:lang w:val="fr-FR"/>
          <w14:ligatures w14:val="standardContextual"/>
        </w:rPr>
      </w:pPr>
      <w:hyperlink w:anchor="_Toc198643850" w:history="1">
        <w:r w:rsidRPr="00075DC8">
          <w:rPr>
            <w:rStyle w:val="Hyperlink"/>
            <w:bCs/>
            <w:noProof/>
            <w:lang w:val="fr-FR"/>
          </w:rPr>
          <w:t>Pièce jointe</w:t>
        </w:r>
        <w:r w:rsidRPr="00075DC8">
          <w:rPr>
            <w:rStyle w:val="Hyperlink"/>
            <w:noProof/>
            <w:lang w:val="fr-FR"/>
          </w:rPr>
          <w:t xml:space="preserve"> 1 à l</w:t>
        </w:r>
        <w:r w:rsidR="001F6A0D" w:rsidRPr="00075DC8">
          <w:rPr>
            <w:rStyle w:val="Hyperlink"/>
            <w:noProof/>
            <w:lang w:val="fr-FR"/>
          </w:rPr>
          <w:t>'</w:t>
        </w:r>
        <w:r w:rsidRPr="00075DC8">
          <w:rPr>
            <w:rStyle w:val="Hyperlink"/>
            <w:noProof/>
            <w:lang w:val="fr-FR"/>
          </w:rPr>
          <w:t>Annexe 2 – Exemples d</w:t>
        </w:r>
        <w:r w:rsidR="001F6A0D" w:rsidRPr="00075DC8">
          <w:rPr>
            <w:rStyle w:val="Hyperlink"/>
            <w:noProof/>
            <w:lang w:val="fr-FR"/>
          </w:rPr>
          <w:t>'</w:t>
        </w:r>
        <w:r w:rsidRPr="00075DC8">
          <w:rPr>
            <w:rStyle w:val="Hyperlink"/>
            <w:noProof/>
            <w:lang w:val="fr-FR"/>
          </w:rPr>
          <w:t>études de distribution statistique</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_Toc198643850 \h </w:instrText>
        </w:r>
        <w:r w:rsidRPr="00075DC8">
          <w:rPr>
            <w:noProof/>
            <w:webHidden/>
            <w:lang w:val="fr-FR"/>
          </w:rPr>
        </w:r>
        <w:r w:rsidRPr="00075DC8">
          <w:rPr>
            <w:noProof/>
            <w:webHidden/>
            <w:lang w:val="fr-FR"/>
          </w:rPr>
          <w:fldChar w:fldCharType="separate"/>
        </w:r>
        <w:r w:rsidR="002053E9">
          <w:rPr>
            <w:noProof/>
            <w:webHidden/>
            <w:lang w:val="fr-FR"/>
          </w:rPr>
          <w:t>40</w:t>
        </w:r>
        <w:r w:rsidRPr="00075DC8">
          <w:rPr>
            <w:noProof/>
            <w:webHidden/>
            <w:lang w:val="fr-FR"/>
          </w:rPr>
          <w:fldChar w:fldCharType="end"/>
        </w:r>
      </w:hyperlink>
    </w:p>
    <w:p w14:paraId="70F870B6" w14:textId="27F6DC80" w:rsidR="0011404C" w:rsidRPr="00075DC8" w:rsidRDefault="0011404C">
      <w:pPr>
        <w:pStyle w:val="TOC1"/>
        <w:rPr>
          <w:rFonts w:asciiTheme="minorHAnsi" w:eastAsiaTheme="minorEastAsia" w:hAnsiTheme="minorHAnsi" w:cstheme="minorBidi"/>
          <w:noProof/>
          <w:kern w:val="2"/>
          <w:szCs w:val="24"/>
          <w:lang w:val="fr-FR"/>
          <w14:ligatures w14:val="standardContextual"/>
        </w:rPr>
      </w:pPr>
      <w:hyperlink w:anchor="_Toc198643851" w:history="1">
        <w:r w:rsidRPr="00075DC8">
          <w:rPr>
            <w:rStyle w:val="Hyperlink"/>
            <w:noProof/>
            <w:lang w:val="fr-FR" w:eastAsia="ja-JP"/>
          </w:rPr>
          <w:t>Annexe 3 – Autres paramètres des systèmes propres au service fixe</w:t>
        </w:r>
        <w:r w:rsidRPr="00075DC8">
          <w:rPr>
            <w:noProof/>
            <w:webHidden/>
            <w:lang w:val="fr-FR"/>
          </w:rPr>
          <w:tab/>
        </w:r>
        <w:r w:rsidRPr="00075DC8">
          <w:rPr>
            <w:noProof/>
            <w:webHidden/>
            <w:lang w:val="fr-FR"/>
          </w:rPr>
          <w:tab/>
        </w:r>
        <w:r w:rsidRPr="00075DC8">
          <w:rPr>
            <w:noProof/>
            <w:webHidden/>
            <w:lang w:val="fr-FR"/>
          </w:rPr>
          <w:fldChar w:fldCharType="begin"/>
        </w:r>
        <w:r w:rsidRPr="00075DC8">
          <w:rPr>
            <w:noProof/>
            <w:webHidden/>
            <w:lang w:val="fr-FR"/>
          </w:rPr>
          <w:instrText xml:space="preserve"> PAGEREF _Toc198643851 \h </w:instrText>
        </w:r>
        <w:r w:rsidRPr="00075DC8">
          <w:rPr>
            <w:noProof/>
            <w:webHidden/>
            <w:lang w:val="fr-FR"/>
          </w:rPr>
        </w:r>
        <w:r w:rsidRPr="00075DC8">
          <w:rPr>
            <w:noProof/>
            <w:webHidden/>
            <w:lang w:val="fr-FR"/>
          </w:rPr>
          <w:fldChar w:fldCharType="separate"/>
        </w:r>
        <w:r w:rsidR="002053E9">
          <w:rPr>
            <w:noProof/>
            <w:webHidden/>
            <w:lang w:val="fr-FR"/>
          </w:rPr>
          <w:t>41</w:t>
        </w:r>
        <w:r w:rsidRPr="00075DC8">
          <w:rPr>
            <w:noProof/>
            <w:webHidden/>
            <w:lang w:val="fr-FR"/>
          </w:rPr>
          <w:fldChar w:fldCharType="end"/>
        </w:r>
      </w:hyperlink>
    </w:p>
    <w:p w14:paraId="593D50D7" w14:textId="0608EB9C" w:rsidR="00725E50" w:rsidRPr="00075DC8" w:rsidRDefault="0011404C" w:rsidP="00725E50">
      <w:pPr>
        <w:rPr>
          <w:lang w:val="fr-FR"/>
        </w:rPr>
      </w:pPr>
      <w:r w:rsidRPr="00075DC8">
        <w:rPr>
          <w:lang w:val="fr-FR"/>
        </w:rPr>
        <w:fldChar w:fldCharType="end"/>
      </w:r>
    </w:p>
    <w:p w14:paraId="0648F3DF" w14:textId="77777777" w:rsidR="0011404C" w:rsidRPr="00075DC8" w:rsidRDefault="0011404C" w:rsidP="00725E50">
      <w:pPr>
        <w:rPr>
          <w:lang w:val="fr-FR"/>
        </w:rPr>
      </w:pPr>
    </w:p>
    <w:p w14:paraId="205328EA" w14:textId="3C0403CD" w:rsidR="00725E50" w:rsidRPr="00075DC8" w:rsidRDefault="00725E50" w:rsidP="00ED7FB5">
      <w:pPr>
        <w:pStyle w:val="AnnexNoTitle"/>
        <w:outlineLvl w:val="0"/>
        <w:rPr>
          <w:lang w:val="fr-FR"/>
        </w:rPr>
      </w:pPr>
      <w:bookmarkStart w:id="5" w:name="_Toc37843593"/>
      <w:bookmarkStart w:id="6" w:name="_Toc198643815"/>
      <w:r w:rsidRPr="00075DC8">
        <w:rPr>
          <w:lang w:val="fr-FR"/>
        </w:rPr>
        <w:t>Annexe 1</w:t>
      </w:r>
      <w:r w:rsidRPr="00075DC8">
        <w:rPr>
          <w:lang w:val="fr-FR"/>
        </w:rPr>
        <w:br/>
      </w:r>
      <w:r w:rsidRPr="00075DC8">
        <w:rPr>
          <w:lang w:val="fr-FR"/>
        </w:rPr>
        <w:br/>
        <w:t xml:space="preserve">Considérations de base pour la mise au point </w:t>
      </w:r>
      <w:r w:rsidRPr="00075DC8">
        <w:rPr>
          <w:lang w:val="fr-FR"/>
        </w:rPr>
        <w:br/>
        <w:t>de critères de partage</w:t>
      </w:r>
      <w:bookmarkEnd w:id="5"/>
      <w:bookmarkEnd w:id="6"/>
    </w:p>
    <w:p w14:paraId="3155668F" w14:textId="77777777" w:rsidR="00725E50" w:rsidRPr="00075DC8" w:rsidRDefault="00725E50" w:rsidP="00725E50">
      <w:pPr>
        <w:pStyle w:val="Heading1"/>
        <w:rPr>
          <w:lang w:val="fr-FR"/>
        </w:rPr>
      </w:pPr>
      <w:bookmarkStart w:id="7" w:name="_Toc107037969"/>
      <w:bookmarkStart w:id="8" w:name="_Toc37843594"/>
      <w:bookmarkStart w:id="9" w:name="_Toc198643816"/>
      <w:r w:rsidRPr="00075DC8">
        <w:rPr>
          <w:lang w:val="fr-FR"/>
        </w:rPr>
        <w:t>1</w:t>
      </w:r>
      <w:r w:rsidRPr="00075DC8">
        <w:rPr>
          <w:lang w:val="fr-FR"/>
        </w:rPr>
        <w:tab/>
        <w:t>Objectif de qualité de fonctionnement globale</w:t>
      </w:r>
      <w:bookmarkEnd w:id="7"/>
      <w:bookmarkEnd w:id="8"/>
      <w:bookmarkEnd w:id="9"/>
    </w:p>
    <w:p w14:paraId="344C55B7" w14:textId="2C4CF78E" w:rsidR="00725E50" w:rsidRPr="00075DC8" w:rsidRDefault="00725E50" w:rsidP="00725E50">
      <w:pPr>
        <w:rPr>
          <w:lang w:val="fr-FR"/>
        </w:rPr>
      </w:pPr>
      <w:r w:rsidRPr="00075DC8">
        <w:rPr>
          <w:lang w:val="fr-FR"/>
        </w:rPr>
        <w:t>L</w:t>
      </w:r>
      <w:r w:rsidR="001F6A0D" w:rsidRPr="00075DC8">
        <w:rPr>
          <w:lang w:val="fr-FR"/>
        </w:rPr>
        <w:t>'</w:t>
      </w:r>
      <w:r w:rsidRPr="00075DC8">
        <w:rPr>
          <w:lang w:val="fr-FR"/>
        </w:rPr>
        <w:t>une des fonctions d</w:t>
      </w:r>
      <w:r w:rsidR="001F6A0D" w:rsidRPr="00075DC8">
        <w:rPr>
          <w:lang w:val="fr-FR"/>
        </w:rPr>
        <w:t>'</w:t>
      </w:r>
      <w:r w:rsidRPr="00075DC8">
        <w:rPr>
          <w:lang w:val="fr-FR"/>
        </w:rPr>
        <w:t>un responsable de systèmes en radiocommunication est de concevoir et de mettre en œuvre un réseau de transmission qui réponde aux objectifs de qualité de fonctionnement recommandés par l</w:t>
      </w:r>
      <w:r w:rsidR="001F6A0D" w:rsidRPr="00075DC8">
        <w:rPr>
          <w:lang w:val="fr-FR"/>
        </w:rPr>
        <w:t>'</w:t>
      </w:r>
      <w:r w:rsidRPr="00075DC8">
        <w:rPr>
          <w:lang w:val="fr-FR"/>
        </w:rPr>
        <w:t>UIT-T et par l</w:t>
      </w:r>
      <w:r w:rsidR="001F6A0D" w:rsidRPr="00075DC8">
        <w:rPr>
          <w:lang w:val="fr-FR"/>
        </w:rPr>
        <w:t>'</w:t>
      </w:r>
      <w:r w:rsidRPr="00075DC8">
        <w:rPr>
          <w:lang w:val="fr-FR"/>
        </w:rPr>
        <w:t>UIT</w:t>
      </w:r>
      <w:r w:rsidRPr="00075DC8">
        <w:rPr>
          <w:lang w:val="fr-FR"/>
        </w:rPr>
        <w:noBreakHyphen/>
        <w:t>R. Il est donc important que les systèmes réels puissent atteindre les objectifs fixés à la conception, compte tenu de l</w:t>
      </w:r>
      <w:r w:rsidR="001F6A0D" w:rsidRPr="00075DC8">
        <w:rPr>
          <w:lang w:val="fr-FR"/>
        </w:rPr>
        <w:t>'</w:t>
      </w:r>
      <w:r w:rsidRPr="00075DC8">
        <w:rPr>
          <w:lang w:val="fr-FR"/>
        </w:rPr>
        <w:t>exploitation croissante du spectre radioélectrique. Plusieurs Recommandations UIT-R de la Série F se rapportent à l</w:t>
      </w:r>
      <w:r w:rsidR="001F6A0D" w:rsidRPr="00075DC8">
        <w:rPr>
          <w:lang w:val="fr-FR"/>
        </w:rPr>
        <w:t>'</w:t>
      </w:r>
      <w:r w:rsidRPr="00075DC8">
        <w:rPr>
          <w:lang w:val="fr-FR"/>
        </w:rPr>
        <w:t>objectif de qualité de fonctionnement globale pour divers types de circuits.</w:t>
      </w:r>
    </w:p>
    <w:p w14:paraId="6F81182E" w14:textId="6B51B1D8" w:rsidR="00725E50" w:rsidRPr="00075DC8" w:rsidRDefault="00725E50" w:rsidP="00725E50">
      <w:pPr>
        <w:pStyle w:val="Heading2"/>
        <w:rPr>
          <w:lang w:val="fr-FR"/>
        </w:rPr>
      </w:pPr>
      <w:bookmarkStart w:id="10" w:name="_Toc107037970"/>
      <w:bookmarkStart w:id="11" w:name="_Toc37843595"/>
      <w:bookmarkStart w:id="12" w:name="_Toc198643817"/>
      <w:r w:rsidRPr="00075DC8">
        <w:rPr>
          <w:lang w:val="fr-FR"/>
        </w:rPr>
        <w:t>1.1</w:t>
      </w:r>
      <w:r w:rsidRPr="00075DC8">
        <w:rPr>
          <w:lang w:val="fr-FR"/>
        </w:rPr>
        <w:tab/>
        <w:t>Objectifs de qualité en matière d</w:t>
      </w:r>
      <w:r w:rsidR="001F6A0D" w:rsidRPr="00075DC8">
        <w:rPr>
          <w:lang w:val="fr-FR"/>
        </w:rPr>
        <w:t>'</w:t>
      </w:r>
      <w:r w:rsidRPr="00075DC8">
        <w:rPr>
          <w:lang w:val="fr-FR"/>
        </w:rPr>
        <w:t>erreur et de disponibilité</w:t>
      </w:r>
      <w:bookmarkEnd w:id="10"/>
      <w:bookmarkEnd w:id="11"/>
      <w:bookmarkEnd w:id="12"/>
    </w:p>
    <w:p w14:paraId="4689A096" w14:textId="3D2FF1E3" w:rsidR="00725E50" w:rsidRPr="00075DC8" w:rsidRDefault="00725E50" w:rsidP="00725E50">
      <w:pPr>
        <w:pStyle w:val="Heading3"/>
        <w:rPr>
          <w:lang w:val="fr-FR"/>
        </w:rPr>
      </w:pPr>
      <w:r w:rsidRPr="00075DC8">
        <w:rPr>
          <w:lang w:val="fr-FR"/>
        </w:rPr>
        <w:t>1.1.1</w:t>
      </w:r>
      <w:r w:rsidRPr="00075DC8">
        <w:rPr>
          <w:lang w:val="fr-FR"/>
        </w:rPr>
        <w:tab/>
        <w:t>Recommandations de référence de l</w:t>
      </w:r>
      <w:r w:rsidR="001F6A0D" w:rsidRPr="00075DC8">
        <w:rPr>
          <w:lang w:val="fr-FR"/>
        </w:rPr>
        <w:t>'</w:t>
      </w:r>
      <w:r w:rsidRPr="00075DC8">
        <w:rPr>
          <w:lang w:val="fr-FR"/>
        </w:rPr>
        <w:t>UIT-T et de l</w:t>
      </w:r>
      <w:r w:rsidR="001F6A0D" w:rsidRPr="00075DC8">
        <w:rPr>
          <w:lang w:val="fr-FR"/>
        </w:rPr>
        <w:t>'</w:t>
      </w:r>
      <w:r w:rsidRPr="00075DC8">
        <w:rPr>
          <w:lang w:val="fr-FR"/>
        </w:rPr>
        <w:t>UIT-R</w:t>
      </w:r>
    </w:p>
    <w:p w14:paraId="28E26858" w14:textId="0EB084CD" w:rsidR="00725E50" w:rsidRPr="00075DC8" w:rsidRDefault="00725E50" w:rsidP="00725E50">
      <w:pPr>
        <w:rPr>
          <w:lang w:val="fr-FR"/>
        </w:rPr>
      </w:pPr>
      <w:r w:rsidRPr="00075DC8">
        <w:rPr>
          <w:color w:val="000000"/>
          <w:lang w:val="fr-FR"/>
        </w:rPr>
        <w:t>Les objectifs de qualité en matière d</w:t>
      </w:r>
      <w:r w:rsidR="001F6A0D" w:rsidRPr="00075DC8">
        <w:rPr>
          <w:color w:val="000000"/>
          <w:lang w:val="fr-FR"/>
        </w:rPr>
        <w:t>'</w:t>
      </w:r>
      <w:r w:rsidRPr="00075DC8">
        <w:rPr>
          <w:color w:val="000000"/>
          <w:lang w:val="fr-FR"/>
        </w:rPr>
        <w:t xml:space="preserve">erreur applicables aux liaisons hertziennes fixes numériques réelles utilisées dans des conduits et des connexions fictifs de référence de 27 500 km sont définis dans </w:t>
      </w:r>
      <w:r w:rsidRPr="00075DC8">
        <w:rPr>
          <w:lang w:val="fr-FR"/>
        </w:rPr>
        <w:t xml:space="preserve">la </w:t>
      </w:r>
      <w:hyperlink r:id="rId47" w:history="1">
        <w:r w:rsidRPr="00075DC8">
          <w:rPr>
            <w:lang w:val="fr-FR"/>
          </w:rPr>
          <w:t>Recommandation UIT-R</w:t>
        </w:r>
        <w:r w:rsidR="00ED7FB5" w:rsidRPr="00075DC8">
          <w:rPr>
            <w:lang w:val="fr-FR"/>
          </w:rPr>
          <w:t> </w:t>
        </w:r>
        <w:r w:rsidRPr="00075DC8">
          <w:rPr>
            <w:lang w:val="fr-FR"/>
          </w:rPr>
          <w:t>F.1668</w:t>
        </w:r>
      </w:hyperlink>
      <w:r w:rsidRPr="00075DC8">
        <w:rPr>
          <w:lang w:val="fr-FR"/>
        </w:rPr>
        <w:t xml:space="preserve">, sur la base des Recommandations </w:t>
      </w:r>
      <w:hyperlink r:id="rId48" w:history="1">
        <w:r w:rsidRPr="00075DC8">
          <w:rPr>
            <w:lang w:val="fr-FR"/>
          </w:rPr>
          <w:t>UIT</w:t>
        </w:r>
        <w:r w:rsidRPr="00075DC8">
          <w:rPr>
            <w:lang w:val="fr-FR"/>
          </w:rPr>
          <w:noBreakHyphen/>
          <w:t>T</w:t>
        </w:r>
        <w:r w:rsidR="00ED7FB5" w:rsidRPr="00075DC8">
          <w:rPr>
            <w:lang w:val="fr-FR"/>
          </w:rPr>
          <w:t> </w:t>
        </w:r>
        <w:r w:rsidRPr="00075DC8">
          <w:rPr>
            <w:lang w:val="fr-FR"/>
          </w:rPr>
          <w:t>G.826</w:t>
        </w:r>
      </w:hyperlink>
      <w:r w:rsidRPr="00075DC8">
        <w:rPr>
          <w:lang w:val="fr-FR"/>
        </w:rPr>
        <w:t xml:space="preserve">, </w:t>
      </w:r>
      <w:hyperlink r:id="rId49" w:history="1">
        <w:r w:rsidRPr="00075DC8">
          <w:rPr>
            <w:lang w:val="fr-FR"/>
          </w:rPr>
          <w:t>UIT</w:t>
        </w:r>
        <w:r w:rsidRPr="00075DC8">
          <w:rPr>
            <w:lang w:val="fr-FR"/>
          </w:rPr>
          <w:noBreakHyphen/>
          <w:t>T G.828</w:t>
        </w:r>
      </w:hyperlink>
      <w:r w:rsidRPr="00075DC8">
        <w:rPr>
          <w:lang w:val="fr-FR"/>
        </w:rPr>
        <w:t xml:space="preserve"> et </w:t>
      </w:r>
      <w:hyperlink r:id="rId50" w:history="1">
        <w:r w:rsidRPr="00075DC8">
          <w:rPr>
            <w:lang w:val="fr-FR"/>
          </w:rPr>
          <w:t>UIT-T G.829</w:t>
        </w:r>
      </w:hyperlink>
      <w:r w:rsidRPr="00075DC8">
        <w:rPr>
          <w:lang w:val="fr-FR"/>
        </w:rPr>
        <w:t>. C</w:t>
      </w:r>
      <w:r w:rsidR="001F6A0D" w:rsidRPr="00075DC8">
        <w:rPr>
          <w:lang w:val="fr-FR"/>
        </w:rPr>
        <w:t>'</w:t>
      </w:r>
      <w:r w:rsidRPr="00075DC8">
        <w:rPr>
          <w:lang w:val="fr-FR"/>
        </w:rPr>
        <w:t>est la seule Recommandation qui définit des objectifs de qualité en matière d</w:t>
      </w:r>
      <w:r w:rsidR="001F6A0D" w:rsidRPr="00075DC8">
        <w:rPr>
          <w:lang w:val="fr-FR"/>
        </w:rPr>
        <w:t>'</w:t>
      </w:r>
      <w:r w:rsidRPr="00075DC8">
        <w:rPr>
          <w:lang w:val="fr-FR"/>
        </w:rPr>
        <w:t>erreur applicables à toutes les liaisons hertziennes fixes numériques réelles.</w:t>
      </w:r>
    </w:p>
    <w:p w14:paraId="10C9C73F" w14:textId="3EDADFBB" w:rsidR="00725E50" w:rsidRPr="00075DC8" w:rsidRDefault="00725E50" w:rsidP="00725E50">
      <w:pPr>
        <w:pStyle w:val="Note"/>
        <w:rPr>
          <w:lang w:val="fr-FR"/>
        </w:rPr>
      </w:pPr>
      <w:r w:rsidRPr="00075DC8">
        <w:rPr>
          <w:lang w:val="fr-FR"/>
        </w:rPr>
        <w:t xml:space="preserve">NOTE 1 – Les Recommandations plus anciennes </w:t>
      </w:r>
      <w:hyperlink r:id="rId51" w:history="1">
        <w:r w:rsidRPr="00075DC8">
          <w:rPr>
            <w:lang w:val="fr-FR"/>
          </w:rPr>
          <w:t>UIT</w:t>
        </w:r>
        <w:r w:rsidRPr="00075DC8">
          <w:rPr>
            <w:lang w:val="fr-FR"/>
          </w:rPr>
          <w:noBreakHyphen/>
          <w:t>R F.634</w:t>
        </w:r>
      </w:hyperlink>
      <w:r w:rsidRPr="00075DC8">
        <w:rPr>
          <w:lang w:val="fr-FR"/>
        </w:rPr>
        <w:t xml:space="preserve">, </w:t>
      </w:r>
      <w:hyperlink r:id="rId52" w:history="1">
        <w:r w:rsidRPr="00075DC8">
          <w:rPr>
            <w:lang w:val="fr-FR"/>
          </w:rPr>
          <w:t>UIT</w:t>
        </w:r>
        <w:r w:rsidRPr="00075DC8">
          <w:rPr>
            <w:lang w:val="fr-FR"/>
          </w:rPr>
          <w:noBreakHyphen/>
          <w:t>R F.696</w:t>
        </w:r>
      </w:hyperlink>
      <w:r w:rsidRPr="00075DC8">
        <w:rPr>
          <w:lang w:val="fr-FR"/>
        </w:rPr>
        <w:t xml:space="preserve"> et </w:t>
      </w:r>
      <w:hyperlink r:id="rId53" w:history="1">
        <w:r w:rsidRPr="00075DC8">
          <w:rPr>
            <w:lang w:val="fr-FR"/>
          </w:rPr>
          <w:t>UIT</w:t>
        </w:r>
        <w:r w:rsidRPr="00075DC8">
          <w:rPr>
            <w:lang w:val="fr-FR"/>
          </w:rPr>
          <w:noBreakHyphen/>
          <w:t>R F.697</w:t>
        </w:r>
      </w:hyperlink>
      <w:r w:rsidRPr="00075DC8">
        <w:rPr>
          <w:lang w:val="fr-FR"/>
        </w:rPr>
        <w:t xml:space="preserve"> ne s</w:t>
      </w:r>
      <w:r w:rsidR="001F6A0D" w:rsidRPr="00075DC8">
        <w:rPr>
          <w:lang w:val="fr-FR"/>
        </w:rPr>
        <w:t>'</w:t>
      </w:r>
      <w:r w:rsidRPr="00075DC8">
        <w:rPr>
          <w:lang w:val="fr-FR"/>
        </w:rPr>
        <w:t>appliquent qu</w:t>
      </w:r>
      <w:r w:rsidR="001F6A0D" w:rsidRPr="00075DC8">
        <w:rPr>
          <w:lang w:val="fr-FR"/>
        </w:rPr>
        <w:t>'</w:t>
      </w:r>
      <w:r w:rsidRPr="00075DC8">
        <w:rPr>
          <w:lang w:val="fr-FR"/>
        </w:rPr>
        <w:t>aux systèmes mis au point avant l</w:t>
      </w:r>
      <w:r w:rsidR="001F6A0D" w:rsidRPr="00075DC8">
        <w:rPr>
          <w:lang w:val="fr-FR"/>
        </w:rPr>
        <w:t>'</w:t>
      </w:r>
      <w:r w:rsidRPr="00075DC8">
        <w:rPr>
          <w:lang w:val="fr-FR"/>
        </w:rPr>
        <w:t xml:space="preserve">approbation de la Recommandation </w:t>
      </w:r>
      <w:hyperlink r:id="rId54" w:history="1">
        <w:r w:rsidRPr="00075DC8">
          <w:rPr>
            <w:lang w:val="fr-FR"/>
          </w:rPr>
          <w:t>UIT</w:t>
        </w:r>
        <w:r w:rsidRPr="00075DC8">
          <w:rPr>
            <w:lang w:val="fr-FR"/>
          </w:rPr>
          <w:noBreakHyphen/>
          <w:t>R G.826</w:t>
        </w:r>
      </w:hyperlink>
      <w:r w:rsidRPr="00075DC8">
        <w:rPr>
          <w:lang w:val="fr-FR"/>
        </w:rPr>
        <w:t xml:space="preserve"> (décembre 2002).</w:t>
      </w:r>
    </w:p>
    <w:p w14:paraId="27ED761C" w14:textId="5B269CC6" w:rsidR="00725E50" w:rsidRPr="00075DC8" w:rsidRDefault="00725E50" w:rsidP="00725E50">
      <w:pPr>
        <w:rPr>
          <w:lang w:val="fr-FR"/>
        </w:rPr>
      </w:pPr>
      <w:r w:rsidRPr="00075DC8">
        <w:rPr>
          <w:lang w:val="fr-FR"/>
        </w:rPr>
        <w:t xml:space="preserve">La </w:t>
      </w:r>
      <w:hyperlink r:id="rId55" w:history="1">
        <w:r w:rsidRPr="00075DC8">
          <w:rPr>
            <w:lang w:val="fr-FR"/>
          </w:rPr>
          <w:t>Recommandation UIT-R F.1703</w:t>
        </w:r>
      </w:hyperlink>
      <w:r w:rsidRPr="00075DC8">
        <w:rPr>
          <w:lang w:val="fr-FR"/>
        </w:rPr>
        <w:t xml:space="preserve"> définit les objectifs de disponibilité applicables aux liaisons hertziennes fixes numériques réelles utilisées dans des conduits et des connexions fictifs de référence de 27 500 km, sur la base de la </w:t>
      </w:r>
      <w:hyperlink r:id="rId56" w:history="1">
        <w:r w:rsidRPr="00075DC8">
          <w:rPr>
            <w:lang w:val="fr-FR"/>
          </w:rPr>
          <w:t>Recommandation UIT</w:t>
        </w:r>
        <w:r w:rsidRPr="00075DC8">
          <w:rPr>
            <w:lang w:val="fr-FR"/>
          </w:rPr>
          <w:noBreakHyphen/>
          <w:t>T G.827</w:t>
        </w:r>
      </w:hyperlink>
      <w:r w:rsidRPr="00075DC8">
        <w:rPr>
          <w:lang w:val="fr-FR"/>
        </w:rPr>
        <w:t>. C</w:t>
      </w:r>
      <w:r w:rsidR="001F6A0D" w:rsidRPr="00075DC8">
        <w:rPr>
          <w:lang w:val="fr-FR"/>
        </w:rPr>
        <w:t>'</w:t>
      </w:r>
      <w:r w:rsidRPr="00075DC8">
        <w:rPr>
          <w:lang w:val="fr-FR"/>
        </w:rPr>
        <w:t>est la seule Recommandation qui définit des objectifs de disponibilité applicables à toutes les liaisons hertziennes fixes numériques réelles.</w:t>
      </w:r>
    </w:p>
    <w:p w14:paraId="5BD8C8D1" w14:textId="621EC2C2" w:rsidR="00725E50" w:rsidRPr="00075DC8" w:rsidRDefault="00725E50" w:rsidP="00725E50">
      <w:pPr>
        <w:pStyle w:val="Note"/>
        <w:rPr>
          <w:lang w:val="fr-FR"/>
        </w:rPr>
      </w:pPr>
      <w:r w:rsidRPr="00075DC8">
        <w:rPr>
          <w:lang w:val="fr-FR"/>
        </w:rPr>
        <w:t xml:space="preserve">NOTE 2 – Les Recommandations plus anciennes </w:t>
      </w:r>
      <w:hyperlink r:id="rId57" w:history="1">
        <w:r w:rsidRPr="00075DC8">
          <w:rPr>
            <w:lang w:val="fr-FR"/>
          </w:rPr>
          <w:t>UIT</w:t>
        </w:r>
        <w:r w:rsidRPr="00075DC8">
          <w:rPr>
            <w:lang w:val="fr-FR"/>
          </w:rPr>
          <w:noBreakHyphen/>
          <w:t>R F.695</w:t>
        </w:r>
      </w:hyperlink>
      <w:r w:rsidRPr="00075DC8">
        <w:rPr>
          <w:lang w:val="fr-FR"/>
        </w:rPr>
        <w:t xml:space="preserve">, </w:t>
      </w:r>
      <w:hyperlink r:id="rId58" w:history="1">
        <w:r w:rsidRPr="00075DC8">
          <w:rPr>
            <w:lang w:val="fr-FR"/>
          </w:rPr>
          <w:t>UIT</w:t>
        </w:r>
        <w:r w:rsidRPr="00075DC8">
          <w:rPr>
            <w:lang w:val="fr-FR"/>
          </w:rPr>
          <w:noBreakHyphen/>
          <w:t>R F.696</w:t>
        </w:r>
      </w:hyperlink>
      <w:r w:rsidRPr="00075DC8">
        <w:rPr>
          <w:lang w:val="fr-FR"/>
        </w:rPr>
        <w:t xml:space="preserve"> et </w:t>
      </w:r>
      <w:hyperlink r:id="rId59" w:history="1">
        <w:r w:rsidRPr="00075DC8">
          <w:rPr>
            <w:lang w:val="fr-FR"/>
          </w:rPr>
          <w:t>UIT</w:t>
        </w:r>
        <w:r w:rsidRPr="00075DC8">
          <w:rPr>
            <w:lang w:val="fr-FR"/>
          </w:rPr>
          <w:noBreakHyphen/>
          <w:t>R F.697</w:t>
        </w:r>
      </w:hyperlink>
      <w:r w:rsidRPr="00075DC8">
        <w:rPr>
          <w:lang w:val="fr-FR"/>
        </w:rPr>
        <w:t xml:space="preserve"> ne s</w:t>
      </w:r>
      <w:r w:rsidR="001F6A0D" w:rsidRPr="00075DC8">
        <w:rPr>
          <w:lang w:val="fr-FR"/>
        </w:rPr>
        <w:t>'</w:t>
      </w:r>
      <w:r w:rsidRPr="00075DC8">
        <w:rPr>
          <w:lang w:val="fr-FR"/>
        </w:rPr>
        <w:t>appliquent qu</w:t>
      </w:r>
      <w:r w:rsidR="001F6A0D" w:rsidRPr="00075DC8">
        <w:rPr>
          <w:lang w:val="fr-FR"/>
        </w:rPr>
        <w:t>'</w:t>
      </w:r>
      <w:r w:rsidRPr="00075DC8">
        <w:rPr>
          <w:lang w:val="fr-FR"/>
        </w:rPr>
        <w:t>aux systèmes mis au point avant l</w:t>
      </w:r>
      <w:r w:rsidR="001F6A0D" w:rsidRPr="00075DC8">
        <w:rPr>
          <w:lang w:val="fr-FR"/>
        </w:rPr>
        <w:t>'</w:t>
      </w:r>
      <w:r w:rsidRPr="00075DC8">
        <w:rPr>
          <w:lang w:val="fr-FR"/>
        </w:rPr>
        <w:t xml:space="preserve">approbation de la </w:t>
      </w:r>
      <w:hyperlink r:id="rId60" w:history="1">
        <w:r w:rsidRPr="00075DC8">
          <w:rPr>
            <w:lang w:val="fr-FR"/>
          </w:rPr>
          <w:t>Recommandation UIT</w:t>
        </w:r>
        <w:r w:rsidRPr="00075DC8">
          <w:rPr>
            <w:lang w:val="fr-FR"/>
          </w:rPr>
          <w:noBreakHyphen/>
          <w:t>R F.1703</w:t>
        </w:r>
      </w:hyperlink>
      <w:r w:rsidRPr="00075DC8">
        <w:rPr>
          <w:lang w:val="fr-FR"/>
        </w:rPr>
        <w:t xml:space="preserve"> (janvier 2005).</w:t>
      </w:r>
    </w:p>
    <w:p w14:paraId="269CE00E" w14:textId="365AD776" w:rsidR="00725E50" w:rsidRPr="00075DC8" w:rsidRDefault="00725E50" w:rsidP="00725E50">
      <w:pPr>
        <w:rPr>
          <w:lang w:val="fr-FR"/>
        </w:rPr>
      </w:pPr>
      <w:r w:rsidRPr="00075DC8">
        <w:rPr>
          <w:lang w:val="fr-FR"/>
        </w:rPr>
        <w:t>La plupart des nouvelles applications sont destinées aux systèmes n</w:t>
      </w:r>
      <w:r w:rsidR="001F6A0D" w:rsidRPr="00075DC8">
        <w:rPr>
          <w:lang w:val="fr-FR"/>
        </w:rPr>
        <w:t>'</w:t>
      </w:r>
      <w:r w:rsidRPr="00075DC8">
        <w:rPr>
          <w:lang w:val="fr-FR"/>
        </w:rPr>
        <w:t>employant qu</w:t>
      </w:r>
      <w:r w:rsidR="001F6A0D" w:rsidRPr="00075DC8">
        <w:rPr>
          <w:lang w:val="fr-FR"/>
        </w:rPr>
        <w:t>'</w:t>
      </w:r>
      <w:r w:rsidRPr="00075DC8">
        <w:rPr>
          <w:lang w:val="fr-FR"/>
        </w:rPr>
        <w:t>un petit nombre de bonds (par exemple, pour les liaisons de raccordement des réseaux cellulaires ou pour la connexion de zones éloignées aux réseaux urbains). Néanmoins, la protection contre le brouillage de chacun des bonds est encore fondée sur les Recommandations susmentionnées.</w:t>
      </w:r>
    </w:p>
    <w:p w14:paraId="6B4C42AA" w14:textId="77777777" w:rsidR="00725E50" w:rsidRPr="00075DC8" w:rsidRDefault="00725E50" w:rsidP="00725E50">
      <w:pPr>
        <w:pStyle w:val="Heading3"/>
        <w:rPr>
          <w:lang w:val="fr-FR"/>
        </w:rPr>
      </w:pPr>
      <w:r w:rsidRPr="00075DC8">
        <w:rPr>
          <w:lang w:val="fr-FR"/>
        </w:rPr>
        <w:lastRenderedPageBreak/>
        <w:t>1.1.2</w:t>
      </w:r>
      <w:r w:rsidRPr="00075DC8">
        <w:rPr>
          <w:lang w:val="fr-FR"/>
        </w:rPr>
        <w:tab/>
        <w:t>Périodicité des évaluations</w:t>
      </w:r>
    </w:p>
    <w:p w14:paraId="67A65BD5" w14:textId="77777777" w:rsidR="00725E50" w:rsidRPr="00075DC8" w:rsidRDefault="00725E50" w:rsidP="00725E50">
      <w:pPr>
        <w:pStyle w:val="Heading4"/>
        <w:rPr>
          <w:lang w:val="fr-FR"/>
        </w:rPr>
      </w:pPr>
      <w:r w:rsidRPr="00075DC8">
        <w:rPr>
          <w:lang w:val="fr-FR"/>
        </w:rPr>
        <w:t>1.1.2.1</w:t>
      </w:r>
      <w:r w:rsidRPr="00075DC8">
        <w:rPr>
          <w:lang w:val="fr-FR"/>
        </w:rPr>
        <w:tab/>
        <w:t>Principes généraux</w:t>
      </w:r>
    </w:p>
    <w:p w14:paraId="741DDFC1" w14:textId="21584CA4" w:rsidR="00725E50" w:rsidRPr="00075DC8" w:rsidRDefault="00725E50" w:rsidP="00725E50">
      <w:pPr>
        <w:rPr>
          <w:lang w:val="fr-FR"/>
        </w:rPr>
      </w:pPr>
      <w:r w:rsidRPr="00075DC8">
        <w:rPr>
          <w:lang w:val="fr-FR"/>
        </w:rPr>
        <w:t>L</w:t>
      </w:r>
      <w:r w:rsidR="001F6A0D" w:rsidRPr="00075DC8">
        <w:rPr>
          <w:lang w:val="fr-FR"/>
        </w:rPr>
        <w:t>'</w:t>
      </w:r>
      <w:r w:rsidRPr="00075DC8">
        <w:rPr>
          <w:lang w:val="fr-FR"/>
        </w:rPr>
        <w:t>évaluation de la disponibilité se fait sur une base annuelle, comme prévu par la Recommandation UIT-T G.827, indépendamment du mode de propagation employé.</w:t>
      </w:r>
    </w:p>
    <w:p w14:paraId="391DE61A" w14:textId="65C141C4" w:rsidR="00725E50" w:rsidRPr="00075DC8" w:rsidRDefault="00725E50" w:rsidP="00725E50">
      <w:pPr>
        <w:rPr>
          <w:lang w:val="fr-FR"/>
        </w:rPr>
      </w:pPr>
      <w:r w:rsidRPr="00075DC8">
        <w:rPr>
          <w:lang w:val="fr-FR"/>
        </w:rPr>
        <w:t>L</w:t>
      </w:r>
      <w:r w:rsidR="001F6A0D" w:rsidRPr="00075DC8">
        <w:rPr>
          <w:lang w:val="fr-FR"/>
        </w:rPr>
        <w:t>'</w:t>
      </w:r>
      <w:r w:rsidRPr="00075DC8">
        <w:rPr>
          <w:lang w:val="fr-FR"/>
        </w:rPr>
        <w:t>évaluation de la qualité en matière d</w:t>
      </w:r>
      <w:r w:rsidR="001F6A0D" w:rsidRPr="00075DC8">
        <w:rPr>
          <w:lang w:val="fr-FR"/>
        </w:rPr>
        <w:t>'</w:t>
      </w:r>
      <w:r w:rsidRPr="00075DC8">
        <w:rPr>
          <w:lang w:val="fr-FR"/>
        </w:rPr>
        <w:t xml:space="preserve">erreur se fait sur une base mensuelle, comme prévu par la Recommandation UIT-T G.826, indépendamment des moyens de transport employés. En particulier, puisque la propagation radioélectrique est caractérisée par de fortes variations en fonction des saisons et du climat, les objectifs doivent être atteints pour les mois où les conditions sont les plus défavorables (conditions précisées dans la </w:t>
      </w:r>
      <w:hyperlink r:id="rId61" w:history="1">
        <w:r w:rsidRPr="00075DC8">
          <w:rPr>
            <w:lang w:val="fr-FR"/>
          </w:rPr>
          <w:t>Recommandation UIT-R P.581</w:t>
        </w:r>
      </w:hyperlink>
      <w:r w:rsidRPr="00075DC8">
        <w:rPr>
          <w:lang w:val="fr-FR"/>
        </w:rPr>
        <w:t>).</w:t>
      </w:r>
    </w:p>
    <w:p w14:paraId="4B113801" w14:textId="77777777" w:rsidR="00725E50" w:rsidRPr="00075DC8" w:rsidRDefault="00725E50" w:rsidP="00725E50">
      <w:pPr>
        <w:rPr>
          <w:lang w:val="fr-FR"/>
        </w:rPr>
      </w:pPr>
      <w:r w:rsidRPr="00075DC8">
        <w:rPr>
          <w:lang w:val="fr-FR"/>
        </w:rPr>
        <w:t>À toutes fins utiles, notamment les prévisions, la conversion des statistiques annuelles en statistiques pour le mois le plus défavorable est décrite dans la Recommandation UIT-R P.841.</w:t>
      </w:r>
    </w:p>
    <w:p w14:paraId="6E9E5FEB" w14:textId="36A916F1" w:rsidR="00725E50" w:rsidRPr="00075DC8" w:rsidRDefault="00725E50" w:rsidP="00725E50">
      <w:pPr>
        <w:rPr>
          <w:lang w:val="fr-FR"/>
        </w:rPr>
      </w:pPr>
      <w:r w:rsidRPr="00075DC8">
        <w:rPr>
          <w:lang w:val="fr-FR"/>
        </w:rPr>
        <w:t>Dans le cas de connexions radioélectriques soumises à un brouillage provenant d</w:t>
      </w:r>
      <w:r w:rsidR="001F6A0D" w:rsidRPr="00075DC8">
        <w:rPr>
          <w:lang w:val="fr-FR"/>
        </w:rPr>
        <w:t>'</w:t>
      </w:r>
      <w:r w:rsidRPr="00075DC8">
        <w:rPr>
          <w:lang w:val="fr-FR"/>
        </w:rPr>
        <w:t>une source quelconque, les évaluations de la qualité globale en matière d</w:t>
      </w:r>
      <w:r w:rsidR="001F6A0D" w:rsidRPr="00075DC8">
        <w:rPr>
          <w:lang w:val="fr-FR"/>
        </w:rPr>
        <w:t>'</w:t>
      </w:r>
      <w:r w:rsidRPr="00075DC8">
        <w:rPr>
          <w:lang w:val="fr-FR"/>
        </w:rPr>
        <w:t>erreur et de la disponibilité incluent les effets supplémentaires dus au brouillage au cours du laps de temps défini ci-dessus.</w:t>
      </w:r>
    </w:p>
    <w:p w14:paraId="4CD2A73E" w14:textId="1C1806CE" w:rsidR="00725E50" w:rsidRPr="00075DC8" w:rsidRDefault="00725E50" w:rsidP="00725E50">
      <w:pPr>
        <w:rPr>
          <w:lang w:val="fr-FR"/>
        </w:rPr>
      </w:pPr>
      <w:r w:rsidRPr="00075DC8">
        <w:rPr>
          <w:lang w:val="fr-FR"/>
        </w:rPr>
        <w:t>Il convient de noter que les concepts de brouillage de «longue durée» et de «courte durée» (voir les </w:t>
      </w:r>
      <w:r w:rsidR="008B1840" w:rsidRPr="00075DC8">
        <w:rPr>
          <w:lang w:val="fr-FR"/>
        </w:rPr>
        <w:t>§ </w:t>
      </w:r>
      <w:r w:rsidRPr="00075DC8">
        <w:rPr>
          <w:lang w:val="fr-FR"/>
        </w:rPr>
        <w:t>4.1 et 4.2 de la présente Annexe 1) ne sont pas directement reliés à la base «annuelle» ou «mensuelle». Les deux types de brouillage, en fonction de leur durée et de la variation de leur intensité, peuvent, en principe, affecter la «qualité en matière d</w:t>
      </w:r>
      <w:r w:rsidR="001F6A0D" w:rsidRPr="00075DC8">
        <w:rPr>
          <w:lang w:val="fr-FR"/>
        </w:rPr>
        <w:t>'</w:t>
      </w:r>
      <w:r w:rsidRPr="00075DC8">
        <w:rPr>
          <w:lang w:val="fr-FR"/>
        </w:rPr>
        <w:t>erreur» (sur une base mensuelle), mais seuls les brouillages d</w:t>
      </w:r>
      <w:r w:rsidR="001F6A0D" w:rsidRPr="00075DC8">
        <w:rPr>
          <w:lang w:val="fr-FR"/>
        </w:rPr>
        <w:t>'</w:t>
      </w:r>
      <w:r w:rsidRPr="00075DC8">
        <w:rPr>
          <w:lang w:val="fr-FR"/>
        </w:rPr>
        <w:t>une durée supérieure à dix secondes consécutives peuvent affecter la «disponibilité» (sur une base annuelle) des systèmes du service fixe.</w:t>
      </w:r>
    </w:p>
    <w:p w14:paraId="4866CC84" w14:textId="1D22CAC2" w:rsidR="00725E50" w:rsidRPr="00075DC8" w:rsidRDefault="00725E50" w:rsidP="00725E50">
      <w:pPr>
        <w:rPr>
          <w:lang w:val="fr-FR"/>
        </w:rPr>
      </w:pPr>
      <w:r w:rsidRPr="00075DC8">
        <w:rPr>
          <w:lang w:val="fr-FR"/>
        </w:rPr>
        <w:t>Ceci ne s</w:t>
      </w:r>
      <w:r w:rsidR="001F6A0D" w:rsidRPr="00075DC8">
        <w:rPr>
          <w:lang w:val="fr-FR"/>
        </w:rPr>
        <w:t>'</w:t>
      </w:r>
      <w:r w:rsidRPr="00075DC8">
        <w:rPr>
          <w:lang w:val="fr-FR"/>
        </w:rPr>
        <w:t>observera normalement que pour les brouillages de longue durée, mais, dans des cas particuliers, également pour les brouillages de courte durée.</w:t>
      </w:r>
    </w:p>
    <w:p w14:paraId="2AC0B95F" w14:textId="77777777" w:rsidR="00725E50" w:rsidRPr="00075DC8" w:rsidRDefault="00725E50" w:rsidP="00725E50">
      <w:pPr>
        <w:pStyle w:val="Heading4"/>
        <w:rPr>
          <w:lang w:val="fr-FR"/>
        </w:rPr>
      </w:pPr>
      <w:r w:rsidRPr="00075DC8">
        <w:rPr>
          <w:lang w:val="fr-FR"/>
        </w:rPr>
        <w:t>1.1.2.2</w:t>
      </w:r>
      <w:r w:rsidRPr="00075DC8">
        <w:rPr>
          <w:lang w:val="fr-FR"/>
        </w:rPr>
        <w:tab/>
        <w:t>Applications pratiques</w:t>
      </w:r>
    </w:p>
    <w:p w14:paraId="3E944E0C" w14:textId="033DD09D" w:rsidR="00725E50" w:rsidRPr="00075DC8" w:rsidRDefault="00725E50" w:rsidP="00725E50">
      <w:pPr>
        <w:rPr>
          <w:lang w:val="fr-FR"/>
        </w:rPr>
      </w:pPr>
      <w:r w:rsidRPr="00075DC8">
        <w:rPr>
          <w:lang w:val="fr-FR"/>
        </w:rPr>
        <w:t>Conformément aux principes décrits ci-dessus, lorsqu</w:t>
      </w:r>
      <w:r w:rsidR="001F6A0D" w:rsidRPr="00075DC8">
        <w:rPr>
          <w:lang w:val="fr-FR"/>
        </w:rPr>
        <w:t>'</w:t>
      </w:r>
      <w:r w:rsidRPr="00075DC8">
        <w:rPr>
          <w:lang w:val="fr-FR"/>
        </w:rPr>
        <w:t>une situation de partage ou de compatibilité avec des systèmes du service fixe se produit, différentes études sont nécessaires en vue d</w:t>
      </w:r>
      <w:r w:rsidR="001F6A0D" w:rsidRPr="00075DC8">
        <w:rPr>
          <w:lang w:val="fr-FR"/>
        </w:rPr>
        <w:t>'</w:t>
      </w:r>
      <w:r w:rsidRPr="00075DC8">
        <w:rPr>
          <w:lang w:val="fr-FR"/>
        </w:rPr>
        <w:t>évaluer séparément les effets du brouillage sur la disponibilité du service fixe (sur une base annuelle) et sur la qualité en matière d</w:t>
      </w:r>
      <w:r w:rsidR="001F6A0D" w:rsidRPr="00075DC8">
        <w:rPr>
          <w:lang w:val="fr-FR"/>
        </w:rPr>
        <w:t>'</w:t>
      </w:r>
      <w:r w:rsidRPr="00075DC8">
        <w:rPr>
          <w:lang w:val="fr-FR"/>
        </w:rPr>
        <w:t>erreur du service fixe (sur une base mensuelle).</w:t>
      </w:r>
    </w:p>
    <w:p w14:paraId="5A8308B6" w14:textId="1DE74206" w:rsidR="00725E50" w:rsidRPr="00075DC8" w:rsidRDefault="00725E50" w:rsidP="00725E50">
      <w:pPr>
        <w:rPr>
          <w:lang w:val="fr-FR"/>
        </w:rPr>
      </w:pPr>
      <w:r w:rsidRPr="00075DC8">
        <w:rPr>
          <w:lang w:val="fr-FR"/>
        </w:rPr>
        <w:t>Toutefois, dans certains cas, lorsque l</w:t>
      </w:r>
      <w:r w:rsidR="001F6A0D" w:rsidRPr="00075DC8">
        <w:rPr>
          <w:lang w:val="fr-FR"/>
        </w:rPr>
        <w:t>'</w:t>
      </w:r>
      <w:r w:rsidRPr="00075DC8">
        <w:rPr>
          <w:lang w:val="fr-FR"/>
        </w:rPr>
        <w:t>état physique des trajets utiles et brouillés est connu, il n</w:t>
      </w:r>
      <w:r w:rsidR="001F6A0D" w:rsidRPr="00075DC8">
        <w:rPr>
          <w:lang w:val="fr-FR"/>
        </w:rPr>
        <w:t>'</w:t>
      </w:r>
      <w:r w:rsidRPr="00075DC8">
        <w:rPr>
          <w:lang w:val="fr-FR"/>
        </w:rPr>
        <w:t>est pas nécessaire de procéder aux deux études.</w:t>
      </w:r>
    </w:p>
    <w:p w14:paraId="6FF20C99" w14:textId="20DD4A5B" w:rsidR="00725E50" w:rsidRPr="00075DC8" w:rsidRDefault="00725E50" w:rsidP="00725E50">
      <w:pPr>
        <w:rPr>
          <w:lang w:val="fr-FR"/>
        </w:rPr>
      </w:pPr>
      <w:r w:rsidRPr="00075DC8">
        <w:rPr>
          <w:lang w:val="fr-FR"/>
        </w:rPr>
        <w:t>En particulier, lorsque le brouillage affecte un système du service fixe, victime, d</w:t>
      </w:r>
      <w:r w:rsidR="001F6A0D" w:rsidRPr="00075DC8">
        <w:rPr>
          <w:lang w:val="fr-FR"/>
        </w:rPr>
        <w:t>'</w:t>
      </w:r>
      <w:r w:rsidRPr="00075DC8">
        <w:rPr>
          <w:lang w:val="fr-FR"/>
        </w:rPr>
        <w:t>une manière continue (par exemple, un brouillage provenant d</w:t>
      </w:r>
      <w:r w:rsidR="001F6A0D" w:rsidRPr="00075DC8">
        <w:rPr>
          <w:lang w:val="fr-FR"/>
        </w:rPr>
        <w:t>'</w:t>
      </w:r>
      <w:r w:rsidRPr="00075DC8">
        <w:rPr>
          <w:lang w:val="fr-FR"/>
        </w:rPr>
        <w:t>une station spatiale OSG), on suppose habituellement que le niveau admissible de brouillage est suffisamment faible et n</w:t>
      </w:r>
      <w:r w:rsidR="001F6A0D" w:rsidRPr="00075DC8">
        <w:rPr>
          <w:lang w:val="fr-FR"/>
        </w:rPr>
        <w:t>'</w:t>
      </w:r>
      <w:r w:rsidRPr="00075DC8">
        <w:rPr>
          <w:lang w:val="fr-FR"/>
        </w:rPr>
        <w:t>affecte pas le seuil de disponibilité du système du service fixe, sur une base annuelle. Dans ce cas, pour une dégradation admissible de la disponibilité du service fixe, on suppose habituellement que toute dégradation de la «qualité en matière d</w:t>
      </w:r>
      <w:r w:rsidR="001F6A0D" w:rsidRPr="00075DC8">
        <w:rPr>
          <w:lang w:val="fr-FR"/>
        </w:rPr>
        <w:t>'</w:t>
      </w:r>
      <w:r w:rsidRPr="00075DC8">
        <w:rPr>
          <w:lang w:val="fr-FR"/>
        </w:rPr>
        <w:t>erreur» correspondante se situe dans les limites admissibles (quel que soit le mois), et aucune étude particulière n</w:t>
      </w:r>
      <w:r w:rsidR="001F6A0D" w:rsidRPr="00075DC8">
        <w:rPr>
          <w:lang w:val="fr-FR"/>
        </w:rPr>
        <w:t>'</w:t>
      </w:r>
      <w:r w:rsidRPr="00075DC8">
        <w:rPr>
          <w:lang w:val="fr-FR"/>
        </w:rPr>
        <w:t>est nécessaire.</w:t>
      </w:r>
    </w:p>
    <w:p w14:paraId="33DA4BA9" w14:textId="42AE0431" w:rsidR="00725E50" w:rsidRPr="00075DC8" w:rsidRDefault="00725E50" w:rsidP="00725E50">
      <w:pPr>
        <w:rPr>
          <w:lang w:val="fr-FR"/>
        </w:rPr>
      </w:pPr>
      <w:r w:rsidRPr="00075DC8">
        <w:rPr>
          <w:lang w:val="fr-FR"/>
        </w:rPr>
        <w:t>Au contraire, lorsque le brouillage affecte un système du service fixe, victime, d</w:t>
      </w:r>
      <w:r w:rsidR="001F6A0D" w:rsidRPr="00075DC8">
        <w:rPr>
          <w:lang w:val="fr-FR"/>
        </w:rPr>
        <w:t>'</w:t>
      </w:r>
      <w:r w:rsidRPr="00075DC8">
        <w:rPr>
          <w:lang w:val="fr-FR"/>
        </w:rPr>
        <w:t>une manière variant relativement rapidement (par exemple, un brouillage provenant d</w:t>
      </w:r>
      <w:r w:rsidR="001F6A0D" w:rsidRPr="00075DC8">
        <w:rPr>
          <w:lang w:val="fr-FR"/>
        </w:rPr>
        <w:t>'</w:t>
      </w:r>
      <w:r w:rsidRPr="00075DC8">
        <w:rPr>
          <w:lang w:val="fr-FR"/>
        </w:rPr>
        <w:t>une station spatiale non-OSG), on suppose habituellement qu</w:t>
      </w:r>
      <w:r w:rsidR="001F6A0D" w:rsidRPr="00075DC8">
        <w:rPr>
          <w:lang w:val="fr-FR"/>
        </w:rPr>
        <w:t>'</w:t>
      </w:r>
      <w:r w:rsidRPr="00075DC8">
        <w:rPr>
          <w:lang w:val="fr-FR"/>
        </w:rPr>
        <w:t>en raison de la non-corrélation des trajets utiles et brouillés le niveau de brouillage admissible peut être plus élevé, de sorte que la dégradation de la «qualité en matière d</w:t>
      </w:r>
      <w:r w:rsidR="001F6A0D" w:rsidRPr="00075DC8">
        <w:rPr>
          <w:lang w:val="fr-FR"/>
        </w:rPr>
        <w:t>'</w:t>
      </w:r>
      <w:r w:rsidRPr="00075DC8">
        <w:rPr>
          <w:lang w:val="fr-FR"/>
        </w:rPr>
        <w:t>erreur» est prépondérante par rapport à l</w:t>
      </w:r>
      <w:r w:rsidR="001F6A0D" w:rsidRPr="00075DC8">
        <w:rPr>
          <w:lang w:val="fr-FR"/>
        </w:rPr>
        <w:t>'</w:t>
      </w:r>
      <w:r w:rsidRPr="00075DC8">
        <w:rPr>
          <w:lang w:val="fr-FR"/>
        </w:rPr>
        <w:t>éventuelle dégradation de la «disponibilité». Dans ce cas, l</w:t>
      </w:r>
      <w:r w:rsidR="001F6A0D" w:rsidRPr="00075DC8">
        <w:rPr>
          <w:lang w:val="fr-FR"/>
        </w:rPr>
        <w:t>'</w:t>
      </w:r>
      <w:r w:rsidRPr="00075DC8">
        <w:rPr>
          <w:lang w:val="fr-FR"/>
        </w:rPr>
        <w:t>étude de la dégradation de la «qualité en matière d</w:t>
      </w:r>
      <w:r w:rsidR="001F6A0D" w:rsidRPr="00075DC8">
        <w:rPr>
          <w:lang w:val="fr-FR"/>
        </w:rPr>
        <w:t>'</w:t>
      </w:r>
      <w:r w:rsidRPr="00075DC8">
        <w:rPr>
          <w:lang w:val="fr-FR"/>
        </w:rPr>
        <w:t xml:space="preserve">erreur» devrait être menée sur la base du «mois le plus défavorable» (voir les exemples figurant dans les </w:t>
      </w:r>
      <w:hyperlink r:id="rId62" w:history="1">
        <w:r w:rsidRPr="00075DC8">
          <w:rPr>
            <w:lang w:val="fr-FR"/>
          </w:rPr>
          <w:t>Recommandations UIT-R F.1108</w:t>
        </w:r>
      </w:hyperlink>
      <w:r w:rsidRPr="00075DC8">
        <w:rPr>
          <w:lang w:val="fr-FR"/>
        </w:rPr>
        <w:t xml:space="preserve"> et </w:t>
      </w:r>
      <w:hyperlink r:id="rId63" w:history="1">
        <w:r w:rsidRPr="00075DC8">
          <w:rPr>
            <w:lang w:val="fr-FR"/>
          </w:rPr>
          <w:t>UIT</w:t>
        </w:r>
        <w:r w:rsidRPr="00075DC8">
          <w:rPr>
            <w:lang w:val="fr-FR"/>
          </w:rPr>
          <w:noBreakHyphen/>
          <w:t>R F.1495</w:t>
        </w:r>
      </w:hyperlink>
      <w:r w:rsidRPr="00075DC8">
        <w:rPr>
          <w:lang w:val="fr-FR"/>
        </w:rPr>
        <w:t>).</w:t>
      </w:r>
    </w:p>
    <w:p w14:paraId="58955275" w14:textId="7F761726" w:rsidR="00725E50" w:rsidRPr="00075DC8" w:rsidRDefault="00725E50" w:rsidP="00725E50">
      <w:pPr>
        <w:rPr>
          <w:lang w:val="fr-FR"/>
        </w:rPr>
      </w:pPr>
      <w:r w:rsidRPr="00075DC8">
        <w:rPr>
          <w:lang w:val="fr-FR"/>
        </w:rPr>
        <w:lastRenderedPageBreak/>
        <w:t>En principe, l</w:t>
      </w:r>
      <w:r w:rsidR="001F6A0D" w:rsidRPr="00075DC8">
        <w:rPr>
          <w:lang w:val="fr-FR"/>
        </w:rPr>
        <w:t>'</w:t>
      </w:r>
      <w:r w:rsidRPr="00075DC8">
        <w:rPr>
          <w:lang w:val="fr-FR"/>
        </w:rPr>
        <w:t>on s</w:t>
      </w:r>
      <w:r w:rsidR="001F6A0D" w:rsidRPr="00075DC8">
        <w:rPr>
          <w:lang w:val="fr-FR"/>
        </w:rPr>
        <w:t>'</w:t>
      </w:r>
      <w:r w:rsidRPr="00075DC8">
        <w:rPr>
          <w:lang w:val="fr-FR"/>
        </w:rPr>
        <w:t>attend à ce que, lorsque la variation du brouillage diminue (situations quasi stationnaires), il peut exister une vitesse limite pour laquelle les dégradations de la «disponibilité» et de la «qualité en matière d</w:t>
      </w:r>
      <w:r w:rsidR="001F6A0D" w:rsidRPr="00075DC8">
        <w:rPr>
          <w:lang w:val="fr-FR"/>
        </w:rPr>
        <w:t>'</w:t>
      </w:r>
      <w:r w:rsidRPr="00075DC8">
        <w:rPr>
          <w:lang w:val="fr-FR"/>
        </w:rPr>
        <w:t>erreur» sont toutes deux touchées de la même manière. S</w:t>
      </w:r>
      <w:r w:rsidR="001F6A0D" w:rsidRPr="00075DC8">
        <w:rPr>
          <w:lang w:val="fr-FR"/>
        </w:rPr>
        <w:t>'</w:t>
      </w:r>
      <w:r w:rsidRPr="00075DC8">
        <w:rPr>
          <w:lang w:val="fr-FR"/>
        </w:rPr>
        <w:t>il en est ainsi, des études particulières devraient être menées pour les deux cas sur la base de temps qui leur est propre.</w:t>
      </w:r>
    </w:p>
    <w:p w14:paraId="738937F4" w14:textId="77777777" w:rsidR="00725E50" w:rsidRPr="00075DC8" w:rsidRDefault="00725E50" w:rsidP="00725E50">
      <w:pPr>
        <w:pStyle w:val="Heading1"/>
        <w:rPr>
          <w:lang w:val="fr-FR"/>
        </w:rPr>
      </w:pPr>
      <w:bookmarkStart w:id="13" w:name="_Toc107037971"/>
      <w:bookmarkStart w:id="14" w:name="_Toc37843596"/>
      <w:bookmarkStart w:id="15" w:name="_Toc198643818"/>
      <w:r w:rsidRPr="00075DC8">
        <w:rPr>
          <w:lang w:val="fr-FR"/>
        </w:rPr>
        <w:t>2</w:t>
      </w:r>
      <w:r w:rsidRPr="00075DC8">
        <w:rPr>
          <w:lang w:val="fr-FR"/>
        </w:rPr>
        <w:tab/>
        <w:t>Répartition des objectifs de qualité de fonctionnement et de disponibilité</w:t>
      </w:r>
      <w:bookmarkEnd w:id="13"/>
      <w:bookmarkEnd w:id="14"/>
      <w:bookmarkEnd w:id="15"/>
    </w:p>
    <w:p w14:paraId="72348998" w14:textId="39EB2B2C" w:rsidR="00725E50" w:rsidRPr="00075DC8" w:rsidRDefault="00725E50" w:rsidP="00725E50">
      <w:pPr>
        <w:keepLines/>
        <w:rPr>
          <w:lang w:val="fr-FR"/>
        </w:rPr>
      </w:pPr>
      <w:r w:rsidRPr="00075DC8">
        <w:rPr>
          <w:lang w:val="fr-FR"/>
        </w:rPr>
        <w:t xml:space="preserve">Le </w:t>
      </w:r>
      <w:r w:rsidR="0011404C" w:rsidRPr="00075DC8">
        <w:rPr>
          <w:lang w:val="fr-FR"/>
        </w:rPr>
        <w:t>paragraphe</w:t>
      </w:r>
      <w:r w:rsidRPr="00075DC8">
        <w:rPr>
          <w:lang w:val="fr-FR"/>
        </w:rPr>
        <w:t> 1</w:t>
      </w:r>
      <w:r w:rsidR="0011404C" w:rsidRPr="00075DC8">
        <w:rPr>
          <w:lang w:val="fr-FR"/>
        </w:rPr>
        <w:t xml:space="preserve"> </w:t>
      </w:r>
      <w:r w:rsidRPr="00075DC8">
        <w:rPr>
          <w:lang w:val="fr-FR"/>
        </w:rPr>
        <w:t>traite des objectifs de qualité de fonctionnement globale pour des connexions numériques de référence. Dans la pratique, un grand nombre de sources de brouillage peuvent contribuer à la dégradation de qualité de fonctionnement d</w:t>
      </w:r>
      <w:r w:rsidR="001F6A0D" w:rsidRPr="00075DC8">
        <w:rPr>
          <w:lang w:val="fr-FR"/>
        </w:rPr>
        <w:t>'</w:t>
      </w:r>
      <w:r w:rsidRPr="00075DC8">
        <w:rPr>
          <w:lang w:val="fr-FR"/>
        </w:rPr>
        <w:t>un système hertzien fixe. Afin de dégager une méthode de planification pratique, il faut répartir les objectifs de qualité de fonctionnement globale entre les différentes sections des connexions fictives de référence (HRX) et du trajet fictif de référence (HRP) d</w:t>
      </w:r>
      <w:r w:rsidR="001F6A0D" w:rsidRPr="00075DC8">
        <w:rPr>
          <w:lang w:val="fr-FR"/>
        </w:rPr>
        <w:t>'</w:t>
      </w:r>
      <w:r w:rsidRPr="00075DC8">
        <w:rPr>
          <w:lang w:val="fr-FR"/>
        </w:rPr>
        <w:t>ensemble. Dans chaque section, l</w:t>
      </w:r>
      <w:r w:rsidR="001F6A0D" w:rsidRPr="00075DC8">
        <w:rPr>
          <w:lang w:val="fr-FR"/>
        </w:rPr>
        <w:t>'</w:t>
      </w:r>
      <w:r w:rsidRPr="00075DC8">
        <w:rPr>
          <w:lang w:val="fr-FR"/>
        </w:rPr>
        <w:t>objectif de qualité de fonctionnement est réparti entre les diverses sources.</w:t>
      </w:r>
    </w:p>
    <w:p w14:paraId="648F7318" w14:textId="750D9551" w:rsidR="00725E50" w:rsidRPr="00075DC8" w:rsidRDefault="00725E50" w:rsidP="00725E50">
      <w:pPr>
        <w:pStyle w:val="Heading2"/>
        <w:rPr>
          <w:lang w:val="fr-FR"/>
        </w:rPr>
      </w:pPr>
      <w:bookmarkStart w:id="16" w:name="_Toc107037972"/>
      <w:bookmarkStart w:id="17" w:name="_Toc37843597"/>
      <w:bookmarkStart w:id="18" w:name="_Toc198643819"/>
      <w:r w:rsidRPr="00075DC8">
        <w:rPr>
          <w:lang w:val="fr-FR"/>
        </w:rPr>
        <w:t>2.1</w:t>
      </w:r>
      <w:r w:rsidRPr="00075DC8">
        <w:rPr>
          <w:lang w:val="fr-FR"/>
        </w:rPr>
        <w:tab/>
        <w:t>Ventilation de l</w:t>
      </w:r>
      <w:r w:rsidR="001F6A0D" w:rsidRPr="00075DC8">
        <w:rPr>
          <w:lang w:val="fr-FR"/>
        </w:rPr>
        <w:t>'</w:t>
      </w:r>
      <w:r w:rsidRPr="00075DC8">
        <w:rPr>
          <w:lang w:val="fr-FR"/>
        </w:rPr>
        <w:t>objectif de qualité en matière d</w:t>
      </w:r>
      <w:r w:rsidR="001F6A0D" w:rsidRPr="00075DC8">
        <w:rPr>
          <w:lang w:val="fr-FR"/>
        </w:rPr>
        <w:t>'</w:t>
      </w:r>
      <w:r w:rsidRPr="00075DC8">
        <w:rPr>
          <w:lang w:val="fr-FR"/>
        </w:rPr>
        <w:t>erreur et de disponibilité d</w:t>
      </w:r>
      <w:r w:rsidR="001F6A0D" w:rsidRPr="00075DC8">
        <w:rPr>
          <w:lang w:val="fr-FR"/>
        </w:rPr>
        <w:t>'</w:t>
      </w:r>
      <w:r w:rsidRPr="00075DC8">
        <w:rPr>
          <w:lang w:val="fr-FR"/>
        </w:rPr>
        <w:t>une section</w:t>
      </w:r>
      <w:bookmarkEnd w:id="16"/>
      <w:bookmarkEnd w:id="17"/>
      <w:bookmarkEnd w:id="18"/>
    </w:p>
    <w:p w14:paraId="6E3F48B1" w14:textId="3A47A7AE" w:rsidR="00725E50" w:rsidRPr="00075DC8" w:rsidRDefault="00725E50" w:rsidP="00725E50">
      <w:pPr>
        <w:rPr>
          <w:lang w:val="fr-FR"/>
        </w:rPr>
      </w:pPr>
      <w:r w:rsidRPr="00075DC8">
        <w:rPr>
          <w:lang w:val="fr-FR"/>
        </w:rPr>
        <w:t xml:space="preserve">Ce point est traité dans la </w:t>
      </w:r>
      <w:hyperlink r:id="rId64" w:history="1">
        <w:r w:rsidRPr="00075DC8">
          <w:rPr>
            <w:lang w:val="fr-FR"/>
          </w:rPr>
          <w:t>Recommandation UIT</w:t>
        </w:r>
        <w:r w:rsidRPr="00075DC8">
          <w:rPr>
            <w:lang w:val="fr-FR"/>
          </w:rPr>
          <w:noBreakHyphen/>
          <w:t>R F.1094</w:t>
        </w:r>
      </w:hyperlink>
      <w:r w:rsidRPr="00075DC8">
        <w:rPr>
          <w:lang w:val="fr-FR"/>
        </w:rPr>
        <w:t>. L</w:t>
      </w:r>
      <w:r w:rsidR="001F6A0D" w:rsidRPr="00075DC8">
        <w:rPr>
          <w:lang w:val="fr-FR"/>
        </w:rPr>
        <w:t>'</w:t>
      </w:r>
      <w:r w:rsidRPr="00075DC8">
        <w:rPr>
          <w:lang w:val="fr-FR"/>
        </w:rPr>
        <w:t xml:space="preserve">objectif de qualité de fonctionnement admissible est ventilé comme suit: </w:t>
      </w:r>
      <w:r w:rsidRPr="00075DC8">
        <w:rPr>
          <w:i/>
          <w:lang w:val="fr-FR"/>
        </w:rPr>
        <w:t>X</w:t>
      </w:r>
      <w:r w:rsidRPr="00075DC8">
        <w:rPr>
          <w:iCs/>
          <w:lang w:val="fr-FR"/>
        </w:rPr>
        <w:t>%</w:t>
      </w:r>
      <w:r w:rsidRPr="00075DC8">
        <w:rPr>
          <w:lang w:val="fr-FR"/>
        </w:rPr>
        <w:t xml:space="preserve"> pour la part concernant le service fixe, </w:t>
      </w:r>
      <w:r w:rsidRPr="00075DC8">
        <w:rPr>
          <w:i/>
          <w:lang w:val="fr-FR"/>
        </w:rPr>
        <w:t>Y</w:t>
      </w:r>
      <w:r w:rsidRPr="00075DC8">
        <w:rPr>
          <w:lang w:val="fr-FR"/>
        </w:rPr>
        <w:t xml:space="preserve">% pour la part concernant le partage en fréquence à titre primaire et </w:t>
      </w:r>
      <w:r w:rsidRPr="00075DC8">
        <w:rPr>
          <w:i/>
          <w:lang w:val="fr-FR"/>
        </w:rPr>
        <w:t>Z</w:t>
      </w:r>
      <w:r w:rsidRPr="00075DC8">
        <w:rPr>
          <w:lang w:val="fr-FR"/>
        </w:rPr>
        <w:t xml:space="preserve">% pour la part concernant toutes les autres sources de brouillage (à noter que </w:t>
      </w:r>
      <w:r w:rsidRPr="00075DC8">
        <w:rPr>
          <w:i/>
          <w:lang w:val="fr-FR"/>
        </w:rPr>
        <w:t>X</w:t>
      </w:r>
      <w:r w:rsidRPr="00075DC8">
        <w:rPr>
          <w:lang w:val="fr-FR"/>
        </w:rPr>
        <w:t>%</w:t>
      </w:r>
      <w:r w:rsidRPr="00075DC8">
        <w:rPr>
          <w:i/>
          <w:lang w:val="fr-FR"/>
        </w:rPr>
        <w:t> </w:t>
      </w:r>
      <w:r w:rsidRPr="00075DC8">
        <w:rPr>
          <w:lang w:val="fr-FR"/>
        </w:rPr>
        <w:t>+</w:t>
      </w:r>
      <w:r w:rsidRPr="00075DC8">
        <w:rPr>
          <w:i/>
          <w:lang w:val="fr-FR"/>
        </w:rPr>
        <w:t> Y</w:t>
      </w:r>
      <w:r w:rsidRPr="00075DC8">
        <w:rPr>
          <w:lang w:val="fr-FR"/>
        </w:rPr>
        <w:t>%</w:t>
      </w:r>
      <w:r w:rsidRPr="00075DC8">
        <w:rPr>
          <w:i/>
          <w:lang w:val="fr-FR"/>
        </w:rPr>
        <w:t> </w:t>
      </w:r>
      <w:r w:rsidRPr="00075DC8">
        <w:rPr>
          <w:lang w:val="fr-FR"/>
        </w:rPr>
        <w:t>+</w:t>
      </w:r>
      <w:r w:rsidRPr="00075DC8">
        <w:rPr>
          <w:i/>
          <w:lang w:val="fr-FR"/>
        </w:rPr>
        <w:t> Z</w:t>
      </w:r>
      <w:r w:rsidRPr="00075DC8">
        <w:rPr>
          <w:lang w:val="fr-FR"/>
        </w:rPr>
        <w:t xml:space="preserve">% = 100%), les valeurs de </w:t>
      </w:r>
      <w:r w:rsidRPr="00075DC8">
        <w:rPr>
          <w:i/>
          <w:iCs/>
          <w:lang w:val="fr-FR"/>
        </w:rPr>
        <w:t>X</w:t>
      </w:r>
      <w:r w:rsidRPr="00075DC8">
        <w:rPr>
          <w:lang w:val="fr-FR"/>
        </w:rPr>
        <w:t xml:space="preserve">, </w:t>
      </w:r>
      <w:r w:rsidRPr="00075DC8">
        <w:rPr>
          <w:i/>
          <w:lang w:val="fr-FR"/>
        </w:rPr>
        <w:t xml:space="preserve">Y </w:t>
      </w:r>
      <w:r w:rsidRPr="00075DC8">
        <w:rPr>
          <w:iCs/>
          <w:lang w:val="fr-FR"/>
        </w:rPr>
        <w:t>et</w:t>
      </w:r>
      <w:r w:rsidRPr="00075DC8">
        <w:rPr>
          <w:i/>
          <w:lang w:val="fr-FR"/>
        </w:rPr>
        <w:t xml:space="preserve"> Z </w:t>
      </w:r>
      <w:r w:rsidRPr="00075DC8">
        <w:rPr>
          <w:iCs/>
          <w:lang w:val="fr-FR"/>
        </w:rPr>
        <w:t>étant</w:t>
      </w:r>
      <w:r w:rsidRPr="00075DC8">
        <w:rPr>
          <w:lang w:val="fr-FR"/>
        </w:rPr>
        <w:t xml:space="preserve"> habituellement de 89%, 10% et 1% respectivement. La part de </w:t>
      </w:r>
      <w:r w:rsidRPr="00075DC8">
        <w:rPr>
          <w:i/>
          <w:lang w:val="fr-FR"/>
        </w:rPr>
        <w:t>X%</w:t>
      </w:r>
      <w:r w:rsidRPr="00075DC8">
        <w:rPr>
          <w:lang w:val="fr-FR"/>
        </w:rPr>
        <w:t xml:space="preserve"> peut à son tour être subdivisée en fonction des conditions locales et de la qualité de service requise (voir le </w:t>
      </w:r>
      <w:r w:rsidR="008B1840" w:rsidRPr="00075DC8">
        <w:rPr>
          <w:lang w:val="fr-FR"/>
        </w:rPr>
        <w:t>§ </w:t>
      </w:r>
      <w:r w:rsidRPr="00075DC8">
        <w:rPr>
          <w:lang w:val="fr-FR"/>
        </w:rPr>
        <w:t>4.1.3).</w:t>
      </w:r>
    </w:p>
    <w:p w14:paraId="0CD49A80" w14:textId="774376A7" w:rsidR="00725E50" w:rsidRPr="00075DC8" w:rsidRDefault="00725E50" w:rsidP="00725E50">
      <w:pPr>
        <w:rPr>
          <w:lang w:val="fr-FR"/>
        </w:rPr>
      </w:pPr>
      <w:r w:rsidRPr="00075DC8">
        <w:rPr>
          <w:lang w:val="fr-FR"/>
        </w:rPr>
        <w:t>On relèvera un point particulier: une source de brouillage (par exemple, un émetteur) peut perturber plusieurs bonds d</w:t>
      </w:r>
      <w:r w:rsidR="001F6A0D" w:rsidRPr="00075DC8">
        <w:rPr>
          <w:lang w:val="fr-FR"/>
        </w:rPr>
        <w:t>'</w:t>
      </w:r>
      <w:r w:rsidRPr="00075DC8">
        <w:rPr>
          <w:lang w:val="fr-FR"/>
        </w:rPr>
        <w:t>un système.</w:t>
      </w:r>
    </w:p>
    <w:p w14:paraId="5337DF10" w14:textId="77777777" w:rsidR="00725E50" w:rsidRPr="00075DC8" w:rsidRDefault="00725E50" w:rsidP="00725E50">
      <w:pPr>
        <w:pStyle w:val="Heading2"/>
        <w:rPr>
          <w:lang w:val="fr-FR"/>
        </w:rPr>
      </w:pPr>
      <w:bookmarkStart w:id="19" w:name="_Toc37843598"/>
      <w:bookmarkStart w:id="20" w:name="_Toc198643820"/>
      <w:r w:rsidRPr="00075DC8">
        <w:rPr>
          <w:lang w:val="fr-FR"/>
        </w:rPr>
        <w:t>2.2</w:t>
      </w:r>
      <w:r w:rsidRPr="00075DC8">
        <w:rPr>
          <w:lang w:val="fr-FR"/>
        </w:rPr>
        <w:tab/>
        <w:t>Ventilation de la dégradation de qualité de fonctionnement et de disponibilité entre les différents services</w:t>
      </w:r>
      <w:bookmarkEnd w:id="19"/>
      <w:bookmarkEnd w:id="20"/>
    </w:p>
    <w:p w14:paraId="21755C5B" w14:textId="7E531A65" w:rsidR="00725E50" w:rsidRPr="00075DC8" w:rsidRDefault="00725E50" w:rsidP="00725E50">
      <w:pPr>
        <w:rPr>
          <w:lang w:val="fr-FR"/>
        </w:rPr>
      </w:pPr>
      <w:r w:rsidRPr="00075DC8">
        <w:rPr>
          <w:lang w:val="fr-FR"/>
        </w:rPr>
        <w:t>Lors de la mise au point de critères de partage avec d</w:t>
      </w:r>
      <w:r w:rsidR="001F6A0D" w:rsidRPr="00075DC8">
        <w:rPr>
          <w:lang w:val="fr-FR"/>
        </w:rPr>
        <w:t>'</w:t>
      </w:r>
      <w:r w:rsidRPr="00075DC8">
        <w:rPr>
          <w:lang w:val="fr-FR"/>
        </w:rPr>
        <w:t>autres services bénéficiant d</w:t>
      </w:r>
      <w:r w:rsidR="001F6A0D" w:rsidRPr="00075DC8">
        <w:rPr>
          <w:lang w:val="fr-FR"/>
        </w:rPr>
        <w:t>'</w:t>
      </w:r>
      <w:r w:rsidRPr="00075DC8">
        <w:rPr>
          <w:lang w:val="fr-FR"/>
        </w:rPr>
        <w:t>attributions à titre primaire avec égalité de droits, il peut s</w:t>
      </w:r>
      <w:r w:rsidR="001F6A0D" w:rsidRPr="00075DC8">
        <w:rPr>
          <w:lang w:val="fr-FR"/>
        </w:rPr>
        <w:t>'</w:t>
      </w:r>
      <w:r w:rsidRPr="00075DC8">
        <w:rPr>
          <w:lang w:val="fr-FR"/>
        </w:rPr>
        <w:t>avérer nécessaire d</w:t>
      </w:r>
      <w:r w:rsidR="001F6A0D" w:rsidRPr="00075DC8">
        <w:rPr>
          <w:lang w:val="fr-FR"/>
        </w:rPr>
        <w:t>'</w:t>
      </w:r>
      <w:r w:rsidRPr="00075DC8">
        <w:rPr>
          <w:lang w:val="fr-FR"/>
        </w:rPr>
        <w:t>évaluer la ventilation de l</w:t>
      </w:r>
      <w:r w:rsidR="001F6A0D" w:rsidRPr="00075DC8">
        <w:rPr>
          <w:lang w:val="fr-FR"/>
        </w:rPr>
        <w:t>'</w:t>
      </w:r>
      <w:r w:rsidRPr="00075DC8">
        <w:rPr>
          <w:lang w:val="fr-FR"/>
        </w:rPr>
        <w:t>objectif de qualité en matière d</w:t>
      </w:r>
      <w:r w:rsidR="001F6A0D" w:rsidRPr="00075DC8">
        <w:rPr>
          <w:lang w:val="fr-FR"/>
        </w:rPr>
        <w:t>'</w:t>
      </w:r>
      <w:r w:rsidRPr="00075DC8">
        <w:rPr>
          <w:lang w:val="fr-FR"/>
        </w:rPr>
        <w:t>erreur (EPO) et de l</w:t>
      </w:r>
      <w:r w:rsidR="001F6A0D" w:rsidRPr="00075DC8">
        <w:rPr>
          <w:lang w:val="fr-FR"/>
        </w:rPr>
        <w:t>'</w:t>
      </w:r>
      <w:r w:rsidRPr="00075DC8">
        <w:rPr>
          <w:lang w:val="fr-FR"/>
        </w:rPr>
        <w:t>objectif de qualité en matière de disponibilité (APO) entre les brouillages de courte durée et les brouillages de longue durée (voir l</w:t>
      </w:r>
      <w:r w:rsidR="001F6A0D" w:rsidRPr="00075DC8">
        <w:rPr>
          <w:lang w:val="fr-FR"/>
        </w:rPr>
        <w:t>'</w:t>
      </w:r>
      <w:r w:rsidRPr="00075DC8">
        <w:rPr>
          <w:lang w:val="fr-FR"/>
        </w:rPr>
        <w:t xml:space="preserve">introduction du </w:t>
      </w:r>
      <w:r w:rsidR="008B1840" w:rsidRPr="00075DC8">
        <w:rPr>
          <w:lang w:val="fr-FR"/>
        </w:rPr>
        <w:t>§ </w:t>
      </w:r>
      <w:r w:rsidRPr="00075DC8">
        <w:rPr>
          <w:lang w:val="fr-FR"/>
        </w:rPr>
        <w:t>4). S</w:t>
      </w:r>
      <w:r w:rsidR="001F6A0D" w:rsidRPr="00075DC8">
        <w:rPr>
          <w:lang w:val="fr-FR"/>
        </w:rPr>
        <w:t>'</w:t>
      </w:r>
      <w:r w:rsidRPr="00075DC8">
        <w:rPr>
          <w:lang w:val="fr-FR"/>
        </w:rPr>
        <w:t xml:space="preserve">il en est ainsi, il devrait être tenu compte des points suivants: </w:t>
      </w:r>
    </w:p>
    <w:p w14:paraId="2E64C5FC" w14:textId="04A9BD7A" w:rsidR="00725E50" w:rsidRPr="00075DC8" w:rsidRDefault="00725E50" w:rsidP="00725E50">
      <w:pPr>
        <w:pStyle w:val="enumlev1"/>
        <w:rPr>
          <w:lang w:val="fr-FR"/>
        </w:rPr>
      </w:pPr>
      <w:r w:rsidRPr="00075DC8">
        <w:rPr>
          <w:lang w:val="fr-FR"/>
        </w:rPr>
        <w:t>a)</w:t>
      </w:r>
      <w:r w:rsidRPr="00075DC8">
        <w:rPr>
          <w:lang w:val="fr-FR"/>
        </w:rPr>
        <w:tab/>
        <w:t>Pour la bande partagée entre le service fixe et un service de radiocommunication bénéficiant d</w:t>
      </w:r>
      <w:r w:rsidR="001F6A0D" w:rsidRPr="00075DC8">
        <w:rPr>
          <w:lang w:val="fr-FR"/>
        </w:rPr>
        <w:t>'</w:t>
      </w:r>
      <w:r w:rsidRPr="00075DC8">
        <w:rPr>
          <w:lang w:val="fr-FR"/>
        </w:rPr>
        <w:t xml:space="preserve">attributions à titre primaire, la dégradation en matière de qualité/de disponibilité </w:t>
      </w:r>
      <w:r w:rsidRPr="00075DC8">
        <w:rPr>
          <w:i/>
          <w:lang w:val="fr-FR"/>
        </w:rPr>
        <w:t>Y</w:t>
      </w:r>
      <w:r w:rsidRPr="00075DC8">
        <w:rPr>
          <w:lang w:val="fr-FR"/>
        </w:rPr>
        <w:t>1% du service fixe causée par le brouillage en provenance d</w:t>
      </w:r>
      <w:r w:rsidR="001F6A0D" w:rsidRPr="00075DC8">
        <w:rPr>
          <w:lang w:val="fr-FR"/>
        </w:rPr>
        <w:t>'</w:t>
      </w:r>
      <w:r w:rsidRPr="00075DC8">
        <w:rPr>
          <w:lang w:val="fr-FR"/>
        </w:rPr>
        <w:t>autres services ne devrait pas dépasser 10% de l</w:t>
      </w:r>
      <w:r w:rsidR="001F6A0D" w:rsidRPr="00075DC8">
        <w:rPr>
          <w:lang w:val="fr-FR"/>
        </w:rPr>
        <w:t>'</w:t>
      </w:r>
      <w:r w:rsidRPr="00075DC8">
        <w:rPr>
          <w:lang w:val="fr-FR"/>
        </w:rPr>
        <w:t xml:space="preserve">objectif, conformément à la </w:t>
      </w:r>
      <w:hyperlink r:id="rId65" w:history="1">
        <w:r w:rsidRPr="00075DC8">
          <w:rPr>
            <w:lang w:val="fr-FR"/>
          </w:rPr>
          <w:t>Recommandation UIT</w:t>
        </w:r>
        <w:r w:rsidRPr="00075DC8">
          <w:rPr>
            <w:lang w:val="fr-FR"/>
          </w:rPr>
          <w:noBreakHyphen/>
          <w:t>R F.1094</w:t>
        </w:r>
      </w:hyperlink>
      <w:r w:rsidRPr="00075DC8">
        <w:rPr>
          <w:lang w:val="fr-FR"/>
        </w:rPr>
        <w:t>.</w:t>
      </w:r>
    </w:p>
    <w:p w14:paraId="6B0C0D7D" w14:textId="274FACF1" w:rsidR="00725E50" w:rsidRPr="00075DC8" w:rsidRDefault="00725E50" w:rsidP="00725E50">
      <w:pPr>
        <w:pStyle w:val="enumlev1"/>
        <w:rPr>
          <w:lang w:val="fr-FR"/>
        </w:rPr>
      </w:pPr>
      <w:r w:rsidRPr="00075DC8">
        <w:rPr>
          <w:lang w:val="fr-FR"/>
        </w:rPr>
        <w:t>b)</w:t>
      </w:r>
      <w:r w:rsidRPr="00075DC8">
        <w:rPr>
          <w:lang w:val="fr-FR"/>
        </w:rPr>
        <w:tab/>
        <w:t>Après la mise au point de critères de partage avec le premier service bénéficiant d</w:t>
      </w:r>
      <w:r w:rsidR="001F6A0D" w:rsidRPr="00075DC8">
        <w:rPr>
          <w:lang w:val="fr-FR"/>
        </w:rPr>
        <w:t>'</w:t>
      </w:r>
      <w:r w:rsidRPr="00075DC8">
        <w:rPr>
          <w:lang w:val="fr-FR"/>
        </w:rPr>
        <w:t xml:space="preserve">attributions à titre primaire avec égalité de droits, la dégradation en matière de qualité/de disponibilité </w:t>
      </w:r>
      <w:r w:rsidRPr="00075DC8">
        <w:rPr>
          <w:i/>
          <w:lang w:val="fr-FR"/>
        </w:rPr>
        <w:t>Y</w:t>
      </w:r>
      <w:r w:rsidRPr="00075DC8">
        <w:rPr>
          <w:lang w:val="fr-FR"/>
        </w:rPr>
        <w:t>2% du service fixe causée par le brouillage en provenance d</w:t>
      </w:r>
      <w:r w:rsidR="001F6A0D" w:rsidRPr="00075DC8">
        <w:rPr>
          <w:lang w:val="fr-FR"/>
        </w:rPr>
        <w:t>'</w:t>
      </w:r>
      <w:r w:rsidRPr="00075DC8">
        <w:rPr>
          <w:lang w:val="fr-FR"/>
        </w:rPr>
        <w:t>un autre service bénéficiant d</w:t>
      </w:r>
      <w:r w:rsidR="001F6A0D" w:rsidRPr="00075DC8">
        <w:rPr>
          <w:lang w:val="fr-FR"/>
        </w:rPr>
        <w:t>'</w:t>
      </w:r>
      <w:r w:rsidRPr="00075DC8">
        <w:rPr>
          <w:lang w:val="fr-FR"/>
        </w:rPr>
        <w:t>attributions à titre primaire avec égalité de droits dans la même bande peut être étudiée comme suit:</w:t>
      </w:r>
    </w:p>
    <w:p w14:paraId="486E7669" w14:textId="06130778" w:rsidR="00725E50" w:rsidRPr="00075DC8" w:rsidRDefault="00ED7FB5" w:rsidP="00ED7FB5">
      <w:pPr>
        <w:pStyle w:val="enumlev2"/>
        <w:rPr>
          <w:lang w:val="fr-FR"/>
        </w:rPr>
      </w:pPr>
      <w:r w:rsidRPr="00075DC8">
        <w:rPr>
          <w:lang w:val="fr-FR"/>
        </w:rPr>
        <w:t>–</w:t>
      </w:r>
      <w:r w:rsidR="00725E50" w:rsidRPr="00075DC8">
        <w:rPr>
          <w:lang w:val="fr-FR"/>
        </w:rPr>
        <w:tab/>
        <w:t>l</w:t>
      </w:r>
      <w:r w:rsidR="001F6A0D" w:rsidRPr="00075DC8">
        <w:rPr>
          <w:lang w:val="fr-FR"/>
        </w:rPr>
        <w:t>'</w:t>
      </w:r>
      <w:r w:rsidR="00725E50" w:rsidRPr="00075DC8">
        <w:rPr>
          <w:lang w:val="fr-FR"/>
        </w:rPr>
        <w:t>environnement multibrouillage des deux services devrait être soigneusement examiné, en particulier dans le cas conduisant à la limite admissible de Y1% et recevant un brouillage supplémentaire en provenance du deuxième service bénéficiant d</w:t>
      </w:r>
      <w:r w:rsidR="001F6A0D" w:rsidRPr="00075DC8">
        <w:rPr>
          <w:lang w:val="fr-FR"/>
        </w:rPr>
        <w:t>'</w:t>
      </w:r>
      <w:r w:rsidR="00725E50" w:rsidRPr="00075DC8">
        <w:rPr>
          <w:lang w:val="fr-FR"/>
        </w:rPr>
        <w:t>attributions à titre primaire avec égalité de droits;</w:t>
      </w:r>
    </w:p>
    <w:p w14:paraId="50C179AD" w14:textId="46DCFB10" w:rsidR="00725E50" w:rsidRPr="00075DC8" w:rsidRDefault="00ED7FB5" w:rsidP="006F4AE5">
      <w:pPr>
        <w:pStyle w:val="enumlev2"/>
        <w:keepNext/>
        <w:keepLines/>
        <w:rPr>
          <w:lang w:val="fr-FR"/>
        </w:rPr>
      </w:pPr>
      <w:r w:rsidRPr="00075DC8">
        <w:rPr>
          <w:lang w:val="fr-FR"/>
        </w:rPr>
        <w:lastRenderedPageBreak/>
        <w:t>–</w:t>
      </w:r>
      <w:r w:rsidR="00725E50" w:rsidRPr="00075DC8">
        <w:rPr>
          <w:lang w:val="fr-FR"/>
        </w:rPr>
        <w:tab/>
        <w:t>la limite de Y2 pourrait ensuite être déduite d</w:t>
      </w:r>
      <w:r w:rsidR="001F6A0D" w:rsidRPr="00075DC8">
        <w:rPr>
          <w:lang w:val="fr-FR"/>
        </w:rPr>
        <w:t>'</w:t>
      </w:r>
      <w:r w:rsidR="00725E50" w:rsidRPr="00075DC8">
        <w:rPr>
          <w:lang w:val="fr-FR"/>
        </w:rPr>
        <w:t>un modèle de brouillage type pour le service fixe et le deuxième service bénéficiant d</w:t>
      </w:r>
      <w:r w:rsidR="001F6A0D" w:rsidRPr="00075DC8">
        <w:rPr>
          <w:lang w:val="fr-FR"/>
        </w:rPr>
        <w:t>'</w:t>
      </w:r>
      <w:r w:rsidR="00725E50" w:rsidRPr="00075DC8">
        <w:rPr>
          <w:lang w:val="fr-FR"/>
        </w:rPr>
        <w:t>attributions à titre primaire avec égalité de droits, en tenant compte aussi des effets potentiels du premier service bénéficiant d</w:t>
      </w:r>
      <w:r w:rsidR="001F6A0D" w:rsidRPr="00075DC8">
        <w:rPr>
          <w:lang w:val="fr-FR"/>
        </w:rPr>
        <w:t>'</w:t>
      </w:r>
      <w:r w:rsidR="00725E50" w:rsidRPr="00075DC8">
        <w:rPr>
          <w:lang w:val="fr-FR"/>
        </w:rPr>
        <w:t>attributions à titre primaire avec égalité de droits dans ce modèle.</w:t>
      </w:r>
    </w:p>
    <w:p w14:paraId="2965D264" w14:textId="77777777" w:rsidR="00725E50" w:rsidRPr="00075DC8" w:rsidRDefault="00725E50" w:rsidP="00ED7FB5">
      <w:pPr>
        <w:pStyle w:val="Heading1"/>
        <w:rPr>
          <w:lang w:val="fr-FR"/>
        </w:rPr>
      </w:pPr>
      <w:bookmarkStart w:id="21" w:name="_Toc107037973"/>
      <w:bookmarkStart w:id="22" w:name="_Toc37843599"/>
      <w:bookmarkStart w:id="23" w:name="_Toc198643821"/>
      <w:r w:rsidRPr="00075DC8">
        <w:rPr>
          <w:lang w:val="fr-FR"/>
        </w:rPr>
        <w:t>3</w:t>
      </w:r>
      <w:r w:rsidRPr="00075DC8">
        <w:rPr>
          <w:lang w:val="fr-FR"/>
        </w:rPr>
        <w:tab/>
        <w:t>Caractéristiques du brouillage</w:t>
      </w:r>
      <w:bookmarkEnd w:id="21"/>
      <w:bookmarkEnd w:id="22"/>
      <w:bookmarkEnd w:id="23"/>
    </w:p>
    <w:p w14:paraId="4245196C" w14:textId="09A2C9B4" w:rsidR="00725E50" w:rsidRPr="00075DC8" w:rsidRDefault="00725E50" w:rsidP="00ED7FB5">
      <w:pPr>
        <w:keepNext/>
        <w:keepLines/>
        <w:rPr>
          <w:lang w:val="fr-FR"/>
        </w:rPr>
      </w:pPr>
      <w:r w:rsidRPr="00075DC8">
        <w:rPr>
          <w:lang w:val="fr-FR"/>
        </w:rPr>
        <w:t>Il est nécessaire de disposer d</w:t>
      </w:r>
      <w:r w:rsidR="001F6A0D" w:rsidRPr="00075DC8">
        <w:rPr>
          <w:lang w:val="fr-FR"/>
        </w:rPr>
        <w:t>'</w:t>
      </w:r>
      <w:r w:rsidRPr="00075DC8">
        <w:rPr>
          <w:lang w:val="fr-FR"/>
        </w:rPr>
        <w:t>informations sur les niveaux du brouillage provenant d</w:t>
      </w:r>
      <w:r w:rsidR="001F6A0D" w:rsidRPr="00075DC8">
        <w:rPr>
          <w:lang w:val="fr-FR"/>
        </w:rPr>
        <w:t>'</w:t>
      </w:r>
      <w:r w:rsidRPr="00075DC8">
        <w:rPr>
          <w:lang w:val="fr-FR"/>
        </w:rPr>
        <w:t>autres services, qui dégraderait en conséquence la qualité de fonctionnement du système. L</w:t>
      </w:r>
      <w:r w:rsidR="001F6A0D" w:rsidRPr="00075DC8">
        <w:rPr>
          <w:lang w:val="fr-FR"/>
        </w:rPr>
        <w:t>'</w:t>
      </w:r>
      <w:r w:rsidRPr="00075DC8">
        <w:rPr>
          <w:lang w:val="fr-FR"/>
        </w:rPr>
        <w:t>étude serait plus aisée si, avec l</w:t>
      </w:r>
      <w:r w:rsidR="001F6A0D" w:rsidRPr="00075DC8">
        <w:rPr>
          <w:lang w:val="fr-FR"/>
        </w:rPr>
        <w:t>'</w:t>
      </w:r>
      <w:r w:rsidRPr="00075DC8">
        <w:rPr>
          <w:lang w:val="fr-FR"/>
        </w:rPr>
        <w:t>aide d</w:t>
      </w:r>
      <w:r w:rsidR="001F6A0D" w:rsidRPr="00075DC8">
        <w:rPr>
          <w:lang w:val="fr-FR"/>
        </w:rPr>
        <w:t>'</w:t>
      </w:r>
      <w:r w:rsidRPr="00075DC8">
        <w:rPr>
          <w:lang w:val="fr-FR"/>
        </w:rPr>
        <w:t>autres commissions d</w:t>
      </w:r>
      <w:r w:rsidR="001F6A0D" w:rsidRPr="00075DC8">
        <w:rPr>
          <w:lang w:val="fr-FR"/>
        </w:rPr>
        <w:t>'</w:t>
      </w:r>
      <w:r w:rsidRPr="00075DC8">
        <w:rPr>
          <w:lang w:val="fr-FR"/>
        </w:rPr>
        <w:t>études, un tableau donnant des informations sur les caractéristiques des émissions était constitué.</w:t>
      </w:r>
    </w:p>
    <w:p w14:paraId="6FED2EEE" w14:textId="1525E2DD" w:rsidR="00725E50" w:rsidRPr="00075DC8" w:rsidRDefault="00725E50" w:rsidP="00ED7FB5">
      <w:pPr>
        <w:rPr>
          <w:lang w:val="fr-FR"/>
        </w:rPr>
      </w:pPr>
      <w:r w:rsidRPr="00075DC8">
        <w:rPr>
          <w:lang w:val="fr-FR"/>
        </w:rPr>
        <w:t>Il serait intéressant d</w:t>
      </w:r>
      <w:r w:rsidR="001F6A0D" w:rsidRPr="00075DC8">
        <w:rPr>
          <w:lang w:val="fr-FR"/>
        </w:rPr>
        <w:t>'</w:t>
      </w:r>
      <w:r w:rsidRPr="00075DC8">
        <w:rPr>
          <w:lang w:val="fr-FR"/>
        </w:rPr>
        <w:t>examiner deux catégories de brouillage:</w:t>
      </w:r>
    </w:p>
    <w:p w14:paraId="792E5379" w14:textId="1E674132" w:rsidR="00725E50" w:rsidRPr="00075DC8" w:rsidRDefault="00725E50" w:rsidP="00ED7FB5">
      <w:pPr>
        <w:pStyle w:val="enumlev1"/>
        <w:rPr>
          <w:lang w:val="fr-FR"/>
        </w:rPr>
      </w:pPr>
      <w:r w:rsidRPr="00075DC8">
        <w:rPr>
          <w:lang w:val="fr-FR"/>
        </w:rPr>
        <w:t>–</w:t>
      </w:r>
      <w:r w:rsidRPr="00075DC8">
        <w:rPr>
          <w:lang w:val="fr-FR"/>
        </w:rPr>
        <w:tab/>
        <w:t>pour ce qui est des études de partage: le brouillage provenant de services se partageant la même bande à titre primaire, qui est susceptible d</w:t>
      </w:r>
      <w:r w:rsidR="001F6A0D" w:rsidRPr="00075DC8">
        <w:rPr>
          <w:lang w:val="fr-FR"/>
        </w:rPr>
        <w:t>'</w:t>
      </w:r>
      <w:r w:rsidRPr="00075DC8">
        <w:rPr>
          <w:lang w:val="fr-FR"/>
        </w:rPr>
        <w:t>affecter la bande passante du récepteur en modulation numérique, dans l</w:t>
      </w:r>
      <w:r w:rsidR="001F6A0D" w:rsidRPr="00075DC8">
        <w:rPr>
          <w:lang w:val="fr-FR"/>
        </w:rPr>
        <w:t>'</w:t>
      </w:r>
      <w:r w:rsidRPr="00075DC8">
        <w:rPr>
          <w:lang w:val="fr-FR"/>
        </w:rPr>
        <w:t>onde porteuse ou dans les émissions en rafales. On peut se référer aux textes existants disponibles des Recommandations UIT</w:t>
      </w:r>
      <w:r w:rsidRPr="00075DC8">
        <w:rPr>
          <w:lang w:val="fr-FR"/>
        </w:rPr>
        <w:noBreakHyphen/>
        <w:t xml:space="preserve">R des séries F et SF (par exemple, la </w:t>
      </w:r>
      <w:hyperlink r:id="rId66" w:history="1">
        <w:r w:rsidRPr="00075DC8">
          <w:rPr>
            <w:lang w:val="fr-FR"/>
          </w:rPr>
          <w:t>Recommandation UIT-R SF.766</w:t>
        </w:r>
      </w:hyperlink>
      <w:r w:rsidRPr="00075DC8">
        <w:rPr>
          <w:lang w:val="fr-FR"/>
        </w:rPr>
        <w:t>);</w:t>
      </w:r>
    </w:p>
    <w:p w14:paraId="01454245" w14:textId="0E6DA61A" w:rsidR="00725E50" w:rsidRPr="00075DC8" w:rsidRDefault="00725E50" w:rsidP="00ED7FB5">
      <w:pPr>
        <w:pStyle w:val="enumlev1"/>
        <w:rPr>
          <w:lang w:val="fr-FR"/>
        </w:rPr>
      </w:pPr>
      <w:r w:rsidRPr="00075DC8">
        <w:rPr>
          <w:lang w:val="fr-FR"/>
        </w:rPr>
        <w:t>–</w:t>
      </w:r>
      <w:r w:rsidRPr="00075DC8">
        <w:rPr>
          <w:lang w:val="fr-FR"/>
        </w:rPr>
        <w:tab/>
        <w:t>pour ce qui est des études de compatibilité: les émissions de systèmes autres que ceux qui se partagent la même bande à titre primaire, pouvant être nombreuses et diverses, qui sont produites soit par des émissions continues soit par des émissions par impulsions et/ou en rafales, et peuvent être assimilées aux rayonnements non essentiels. De telles émissions peuvent soit provenir de systèmes/applications opérant dans la même bande à titre secondaire, soit être des rayonnements non désirés provenant de systèmes opérant dans d</w:t>
      </w:r>
      <w:r w:rsidR="001F6A0D" w:rsidRPr="00075DC8">
        <w:rPr>
          <w:lang w:val="fr-FR"/>
        </w:rPr>
        <w:t>'</w:t>
      </w:r>
      <w:r w:rsidRPr="00075DC8">
        <w:rPr>
          <w:lang w:val="fr-FR"/>
        </w:rPr>
        <w:t>autres bandes.</w:t>
      </w:r>
    </w:p>
    <w:p w14:paraId="590C078A" w14:textId="05485EE8" w:rsidR="00725E50" w:rsidRPr="00075DC8" w:rsidRDefault="00725E50" w:rsidP="00725E50">
      <w:pPr>
        <w:rPr>
          <w:lang w:val="fr-FR"/>
        </w:rPr>
      </w:pPr>
      <w:r w:rsidRPr="00075DC8">
        <w:rPr>
          <w:lang w:val="fr-FR"/>
        </w:rPr>
        <w:t>Par la suite, un autre tableau pourrait être établi, toujours avec l</w:t>
      </w:r>
      <w:r w:rsidR="001F6A0D" w:rsidRPr="00075DC8">
        <w:rPr>
          <w:lang w:val="fr-FR"/>
        </w:rPr>
        <w:t>'</w:t>
      </w:r>
      <w:r w:rsidRPr="00075DC8">
        <w:rPr>
          <w:lang w:val="fr-FR"/>
        </w:rPr>
        <w:t>aide d</w:t>
      </w:r>
      <w:r w:rsidR="001F6A0D" w:rsidRPr="00075DC8">
        <w:rPr>
          <w:lang w:val="fr-FR"/>
        </w:rPr>
        <w:t>'</w:t>
      </w:r>
      <w:r w:rsidRPr="00075DC8">
        <w:rPr>
          <w:lang w:val="fr-FR"/>
        </w:rPr>
        <w:t>autres commissions d</w:t>
      </w:r>
      <w:r w:rsidR="001F6A0D" w:rsidRPr="00075DC8">
        <w:rPr>
          <w:lang w:val="fr-FR"/>
        </w:rPr>
        <w:t>'</w:t>
      </w:r>
      <w:r w:rsidRPr="00075DC8">
        <w:rPr>
          <w:lang w:val="fr-FR"/>
        </w:rPr>
        <w:t>études, où seraient comparés les niveaux de brouillage ou de bruit gaussien qui sont nécessaires pour produire une dégradation spécifiée de la qualité de fonctionnement du canal.</w:t>
      </w:r>
    </w:p>
    <w:p w14:paraId="3D8A14FF" w14:textId="77777777" w:rsidR="00725E50" w:rsidRPr="00075DC8" w:rsidRDefault="00725E50" w:rsidP="00725E50">
      <w:pPr>
        <w:pStyle w:val="Heading1"/>
        <w:rPr>
          <w:lang w:val="fr-FR"/>
        </w:rPr>
      </w:pPr>
      <w:bookmarkStart w:id="24" w:name="_Toc107037974"/>
      <w:bookmarkStart w:id="25" w:name="_Toc37843600"/>
      <w:bookmarkStart w:id="26" w:name="_Toc198643822"/>
      <w:r w:rsidRPr="00075DC8">
        <w:rPr>
          <w:lang w:val="fr-FR"/>
        </w:rPr>
        <w:t>4</w:t>
      </w:r>
      <w:r w:rsidRPr="00075DC8">
        <w:rPr>
          <w:lang w:val="fr-FR"/>
        </w:rPr>
        <w:tab/>
      </w:r>
      <w:bookmarkEnd w:id="24"/>
      <w:r w:rsidRPr="00075DC8">
        <w:rPr>
          <w:lang w:val="fr-FR"/>
        </w:rPr>
        <w:t>Considérations relatives aux dégradations de qualité de fonctionnement/de disponibilité admissibles causées par le brouillage et critères de brouillage associés</w:t>
      </w:r>
      <w:bookmarkEnd w:id="25"/>
      <w:bookmarkEnd w:id="26"/>
    </w:p>
    <w:p w14:paraId="75545419" w14:textId="7682D3B3" w:rsidR="00725E50" w:rsidRPr="00075DC8" w:rsidRDefault="00725E50" w:rsidP="00725E50">
      <w:pPr>
        <w:rPr>
          <w:lang w:val="fr-FR"/>
        </w:rPr>
      </w:pPr>
      <w:r w:rsidRPr="00075DC8">
        <w:rPr>
          <w:lang w:val="fr-FR"/>
        </w:rPr>
        <w:t>Les méthodes permettant de caractériser les niveaux du brouillage affectant les systèmes FWS utilisent soit la puissance surfacique soit le niveau de puissance à l</w:t>
      </w:r>
      <w:r w:rsidR="001F6A0D" w:rsidRPr="00075DC8">
        <w:rPr>
          <w:lang w:val="fr-FR"/>
        </w:rPr>
        <w:t>'</w:t>
      </w:r>
      <w:r w:rsidRPr="00075DC8">
        <w:rPr>
          <w:lang w:val="fr-FR"/>
        </w:rPr>
        <w:t>entrée de l</w:t>
      </w:r>
      <w:r w:rsidR="001F6A0D" w:rsidRPr="00075DC8">
        <w:rPr>
          <w:lang w:val="fr-FR"/>
        </w:rPr>
        <w:t>'</w:t>
      </w:r>
      <w:r w:rsidRPr="00075DC8">
        <w:rPr>
          <w:lang w:val="fr-FR"/>
        </w:rPr>
        <w:t>antenne ou à l</w:t>
      </w:r>
      <w:r w:rsidR="001F6A0D" w:rsidRPr="00075DC8">
        <w:rPr>
          <w:lang w:val="fr-FR"/>
        </w:rPr>
        <w:t>'</w:t>
      </w:r>
      <w:r w:rsidRPr="00075DC8">
        <w:rPr>
          <w:lang w:val="fr-FR"/>
        </w:rPr>
        <w:t>entrée du récepteur. Il convient de noter que l</w:t>
      </w:r>
      <w:r w:rsidR="001F6A0D" w:rsidRPr="00075DC8">
        <w:rPr>
          <w:lang w:val="fr-FR"/>
        </w:rPr>
        <w:t>'</w:t>
      </w:r>
      <w:r w:rsidRPr="00075DC8">
        <w:rPr>
          <w:lang w:val="fr-FR"/>
        </w:rPr>
        <w:t>ensemble de ces méthodes sont employées dans les Recommandations UIT-R de la série F et de la série SF.</w:t>
      </w:r>
    </w:p>
    <w:p w14:paraId="3F2B3EA4" w14:textId="6A633161" w:rsidR="00725E50" w:rsidRPr="00075DC8" w:rsidRDefault="00725E50" w:rsidP="00725E50">
      <w:pPr>
        <w:rPr>
          <w:lang w:val="fr-FR"/>
        </w:rPr>
      </w:pPr>
      <w:r w:rsidRPr="00075DC8">
        <w:rPr>
          <w:lang w:val="fr-FR"/>
        </w:rPr>
        <w:t>En général, la puissance reçue en provenance d</w:t>
      </w:r>
      <w:r w:rsidR="001F6A0D" w:rsidRPr="00075DC8">
        <w:rPr>
          <w:lang w:val="fr-FR"/>
        </w:rPr>
        <w:t>'</w:t>
      </w:r>
      <w:r w:rsidRPr="00075DC8">
        <w:rPr>
          <w:lang w:val="fr-FR"/>
        </w:rPr>
        <w:t>un brouilleur n</w:t>
      </w:r>
      <w:r w:rsidR="001F6A0D" w:rsidRPr="00075DC8">
        <w:rPr>
          <w:lang w:val="fr-FR"/>
        </w:rPr>
        <w:t>'</w:t>
      </w:r>
      <w:r w:rsidRPr="00075DC8">
        <w:rPr>
          <w:lang w:val="fr-FR"/>
        </w:rPr>
        <w:t>est pas constante mais varie en raison de conditions variables sur le trajet de propagation du brouillage ou du mouvement de l</w:t>
      </w:r>
      <w:r w:rsidR="001F6A0D" w:rsidRPr="00075DC8">
        <w:rPr>
          <w:lang w:val="fr-FR"/>
        </w:rPr>
        <w:t>'</w:t>
      </w:r>
      <w:r w:rsidRPr="00075DC8">
        <w:rPr>
          <w:lang w:val="fr-FR"/>
        </w:rPr>
        <w:t>émetteur du brouillage. Les conditions de propagation influant le plus sur les trajets de brouillage sont le phénomène de conduit et la diffusion troposphérique. Les conditions de propagation, notamment l</w:t>
      </w:r>
      <w:r w:rsidR="001F6A0D" w:rsidRPr="00075DC8">
        <w:rPr>
          <w:lang w:val="fr-FR"/>
        </w:rPr>
        <w:t>'</w:t>
      </w:r>
      <w:r w:rsidRPr="00075DC8">
        <w:rPr>
          <w:lang w:val="fr-FR"/>
        </w:rPr>
        <w:t>évanouissement dû aux trajets multiples, à la pluie, à la diffraction, peuvent aussi conduire à la variation de la puissance reçue du signal utile (évanouissement du système), le système devant alors disposer d</w:t>
      </w:r>
      <w:r w:rsidR="001F6A0D" w:rsidRPr="00075DC8">
        <w:rPr>
          <w:lang w:val="fr-FR"/>
        </w:rPr>
        <w:t>'</w:t>
      </w:r>
      <w:r w:rsidRPr="00075DC8">
        <w:rPr>
          <w:lang w:val="fr-FR"/>
        </w:rPr>
        <w:t>une marge contre les évanouissements appropriée. Les variations de la puissance reçue des signaux utiles et des signaux de brouillage peuvent ou non être corrélées, selon la bande de fréquences et la géométrie du brouillage.</w:t>
      </w:r>
    </w:p>
    <w:p w14:paraId="790EE148" w14:textId="3557514D" w:rsidR="00725E50" w:rsidRPr="00075DC8" w:rsidRDefault="00725E50" w:rsidP="00725E50">
      <w:pPr>
        <w:rPr>
          <w:lang w:val="fr-FR"/>
        </w:rPr>
      </w:pPr>
      <w:r w:rsidRPr="00075DC8">
        <w:rPr>
          <w:lang w:val="fr-FR"/>
        </w:rPr>
        <w:t>Pour simplifier l</w:t>
      </w:r>
      <w:r w:rsidR="001F6A0D" w:rsidRPr="00075DC8">
        <w:rPr>
          <w:lang w:val="fr-FR"/>
        </w:rPr>
        <w:t>'</w:t>
      </w:r>
      <w:r w:rsidRPr="00075DC8">
        <w:rPr>
          <w:lang w:val="fr-FR"/>
        </w:rPr>
        <w:t>analyse du brouillage, il convient de faire la distinction entre le brouillage de courte durée, qui est l</w:t>
      </w:r>
      <w:r w:rsidR="001F6A0D" w:rsidRPr="00075DC8">
        <w:rPr>
          <w:lang w:val="fr-FR"/>
        </w:rPr>
        <w:t>'</w:t>
      </w:r>
      <w:r w:rsidRPr="00075DC8">
        <w:rPr>
          <w:lang w:val="fr-FR"/>
        </w:rPr>
        <w:t>expression employée pour décrire les niveaux les plus élevés de la puissance de brouillage qui sont atteints pendant moins d</w:t>
      </w:r>
      <w:r w:rsidR="001F6A0D" w:rsidRPr="00075DC8">
        <w:rPr>
          <w:lang w:val="fr-FR"/>
        </w:rPr>
        <w:t>'</w:t>
      </w:r>
      <w:r w:rsidRPr="00075DC8">
        <w:rPr>
          <w:lang w:val="fr-FR"/>
        </w:rPr>
        <w:t>un pour cent du temps, et le brouillage de longue durée, qui concerne le reste de la distribution de la puissance de brouillage.</w:t>
      </w:r>
    </w:p>
    <w:p w14:paraId="4AE580D7" w14:textId="7F9A0CA2" w:rsidR="00725E50" w:rsidRPr="00075DC8" w:rsidRDefault="00725E50" w:rsidP="00725E50">
      <w:pPr>
        <w:rPr>
          <w:lang w:val="fr-FR"/>
        </w:rPr>
      </w:pPr>
      <w:r w:rsidRPr="00075DC8">
        <w:rPr>
          <w:lang w:val="fr-FR"/>
        </w:rPr>
        <w:lastRenderedPageBreak/>
        <w:t>Lorsque le signal utile s</w:t>
      </w:r>
      <w:r w:rsidR="001F6A0D" w:rsidRPr="00075DC8">
        <w:rPr>
          <w:lang w:val="fr-FR"/>
        </w:rPr>
        <w:t>'</w:t>
      </w:r>
      <w:r w:rsidRPr="00075DC8">
        <w:rPr>
          <w:lang w:val="fr-FR"/>
        </w:rPr>
        <w:t>évanouit, le pourcentage du temps pendant lequel le seuil de qualité de fonctionnement est violé augmente légèrement en raison de la puissance du brouillage présent en cas d</w:t>
      </w:r>
      <w:r w:rsidR="001F6A0D" w:rsidRPr="00075DC8">
        <w:rPr>
          <w:lang w:val="fr-FR"/>
        </w:rPr>
        <w:t>'</w:t>
      </w:r>
      <w:r w:rsidRPr="00075DC8">
        <w:rPr>
          <w:lang w:val="fr-FR"/>
        </w:rPr>
        <w:t>évanouissement du signal près du seuil. Le brouillage dans ces conditions est nommé brouillage de longue durée. Le brouillage de longue durée entraîne la dégradation de la qualité en matière d</w:t>
      </w:r>
      <w:r w:rsidR="001F6A0D" w:rsidRPr="00075DC8">
        <w:rPr>
          <w:lang w:val="fr-FR"/>
        </w:rPr>
        <w:t>'</w:t>
      </w:r>
      <w:r w:rsidRPr="00075DC8">
        <w:rPr>
          <w:lang w:val="fr-FR"/>
        </w:rPr>
        <w:t>erreur et de la disponibilité du système en réduisant la marge contre les évanouissements qui protège le système du service fixe contre l</w:t>
      </w:r>
      <w:r w:rsidR="001F6A0D" w:rsidRPr="00075DC8">
        <w:rPr>
          <w:lang w:val="fr-FR"/>
        </w:rPr>
        <w:t>'</w:t>
      </w:r>
      <w:r w:rsidRPr="00075DC8">
        <w:rPr>
          <w:lang w:val="fr-FR"/>
        </w:rPr>
        <w:t>évanouissement. Dans les études de partage ou de compatibilité, le brouillage de longue durée est habituellement caractérisé par une puissance de brouillage qui est dépassée pendant 20% du temps, au niveau de l</w:t>
      </w:r>
      <w:r w:rsidR="001F6A0D" w:rsidRPr="00075DC8">
        <w:rPr>
          <w:lang w:val="fr-FR"/>
        </w:rPr>
        <w:t>'</w:t>
      </w:r>
      <w:r w:rsidRPr="00075DC8">
        <w:rPr>
          <w:lang w:val="fr-FR"/>
        </w:rPr>
        <w:t>entrée du récepteur victime. Il s</w:t>
      </w:r>
      <w:r w:rsidR="001F6A0D" w:rsidRPr="00075DC8">
        <w:rPr>
          <w:lang w:val="fr-FR"/>
        </w:rPr>
        <w:t>'</w:t>
      </w:r>
      <w:r w:rsidRPr="00075DC8">
        <w:rPr>
          <w:lang w:val="fr-FR"/>
        </w:rPr>
        <w:t xml:space="preserve">agit du niveau de puissance qui est employé dans les Tableaux 2, 3 et 4 des </w:t>
      </w:r>
      <w:r w:rsidR="008B1840" w:rsidRPr="00075DC8">
        <w:rPr>
          <w:lang w:val="fr-FR"/>
        </w:rPr>
        <w:t>§ </w:t>
      </w:r>
      <w:r w:rsidRPr="00075DC8">
        <w:rPr>
          <w:lang w:val="fr-FR"/>
        </w:rPr>
        <w:t xml:space="preserve">4.1.1 et 4.1.2. En ce qui concerne les pourcentages de temps appliqués aux critères de protection, voir le </w:t>
      </w:r>
      <w:r w:rsidR="008B1840" w:rsidRPr="00075DC8">
        <w:rPr>
          <w:lang w:val="fr-FR"/>
        </w:rPr>
        <w:t>§ </w:t>
      </w:r>
      <w:r w:rsidRPr="00075DC8">
        <w:rPr>
          <w:lang w:val="fr-FR"/>
        </w:rPr>
        <w:t>1.1.2.</w:t>
      </w:r>
    </w:p>
    <w:p w14:paraId="618C9158" w14:textId="5DF496D6" w:rsidR="00725E50" w:rsidRPr="00075DC8" w:rsidRDefault="00725E50" w:rsidP="00725E50">
      <w:pPr>
        <w:rPr>
          <w:lang w:val="fr-FR"/>
        </w:rPr>
      </w:pPr>
      <w:r w:rsidRPr="00075DC8">
        <w:rPr>
          <w:lang w:val="fr-FR"/>
        </w:rPr>
        <w:t>Le brouillage de courte durée doit être examiné séparément parce que la puissance de brouillage peut être suffisamment élevée et produire une dégradation même en l</w:t>
      </w:r>
      <w:r w:rsidR="001F6A0D" w:rsidRPr="00075DC8">
        <w:rPr>
          <w:lang w:val="fr-FR"/>
        </w:rPr>
        <w:t>'</w:t>
      </w:r>
      <w:r w:rsidRPr="00075DC8">
        <w:rPr>
          <w:lang w:val="fr-FR"/>
        </w:rPr>
        <w:t>absence du signal utile. Un tel brouillage ne doit se produire que rarement et être de courte durée pour être admissible. Un critère de brouillage de courte durée est caractérisé par une puissance de brouillage qui conduit à un défaut particulier de la qualité en matière d</w:t>
      </w:r>
      <w:r w:rsidR="001F6A0D" w:rsidRPr="00075DC8">
        <w:rPr>
          <w:lang w:val="fr-FR"/>
        </w:rPr>
        <w:t>'</w:t>
      </w:r>
      <w:r w:rsidRPr="00075DC8">
        <w:rPr>
          <w:lang w:val="fr-FR"/>
        </w:rPr>
        <w:t>erreur (tel qu</w:t>
      </w:r>
      <w:r w:rsidR="001F6A0D" w:rsidRPr="00075DC8">
        <w:rPr>
          <w:lang w:val="fr-FR"/>
        </w:rPr>
        <w:t>'</w:t>
      </w:r>
      <w:r w:rsidRPr="00075DC8">
        <w:rPr>
          <w:lang w:val="fr-FR"/>
        </w:rPr>
        <w:t>une seconde entachée d</w:t>
      </w:r>
      <w:r w:rsidR="001F6A0D" w:rsidRPr="00075DC8">
        <w:rPr>
          <w:lang w:val="fr-FR"/>
        </w:rPr>
        <w:t>'</w:t>
      </w:r>
      <w:r w:rsidRPr="00075DC8">
        <w:rPr>
          <w:lang w:val="fr-FR"/>
        </w:rPr>
        <w:t>erreurs) en l</w:t>
      </w:r>
      <w:r w:rsidR="001F6A0D" w:rsidRPr="00075DC8">
        <w:rPr>
          <w:lang w:val="fr-FR"/>
        </w:rPr>
        <w:t>'</w:t>
      </w:r>
      <w:r w:rsidRPr="00075DC8">
        <w:rPr>
          <w:lang w:val="fr-FR"/>
        </w:rPr>
        <w:t>absence du signal utile. C</w:t>
      </w:r>
      <w:r w:rsidR="001F6A0D" w:rsidRPr="00075DC8">
        <w:rPr>
          <w:lang w:val="fr-FR"/>
        </w:rPr>
        <w:t>'</w:t>
      </w:r>
      <w:r w:rsidRPr="00075DC8">
        <w:rPr>
          <w:lang w:val="fr-FR"/>
        </w:rPr>
        <w:t>est la démarche qui est suivie à l</w:t>
      </w:r>
      <w:r w:rsidR="001F6A0D" w:rsidRPr="00075DC8">
        <w:rPr>
          <w:lang w:val="fr-FR"/>
        </w:rPr>
        <w:t>'</w:t>
      </w:r>
      <w:r w:rsidRPr="00075DC8">
        <w:rPr>
          <w:lang w:val="fr-FR"/>
        </w:rPr>
        <w:t xml:space="preserve">Appendice </w:t>
      </w:r>
      <w:r w:rsidRPr="00075DC8">
        <w:rPr>
          <w:b/>
          <w:bCs/>
          <w:lang w:val="fr-FR"/>
        </w:rPr>
        <w:t>7</w:t>
      </w:r>
      <w:r w:rsidRPr="00075DC8">
        <w:rPr>
          <w:lang w:val="fr-FR"/>
        </w:rPr>
        <w:t xml:space="preserve"> du Règlement des radiocommunications et dans les </w:t>
      </w:r>
      <w:hyperlink r:id="rId67" w:history="1">
        <w:r w:rsidRPr="00075DC8">
          <w:rPr>
            <w:lang w:val="fr-FR"/>
          </w:rPr>
          <w:t>Recommandations UIT-R SM.1448</w:t>
        </w:r>
      </w:hyperlink>
      <w:r w:rsidRPr="00075DC8">
        <w:rPr>
          <w:lang w:val="fr-FR"/>
        </w:rPr>
        <w:t xml:space="preserve">, </w:t>
      </w:r>
      <w:hyperlink r:id="rId68" w:history="1">
        <w:r w:rsidRPr="00075DC8">
          <w:rPr>
            <w:lang w:val="fr-FR"/>
          </w:rPr>
          <w:t>UIT-R F.1494</w:t>
        </w:r>
      </w:hyperlink>
      <w:r w:rsidRPr="00075DC8">
        <w:rPr>
          <w:lang w:val="fr-FR"/>
        </w:rPr>
        <w:t xml:space="preserve">, </w:t>
      </w:r>
      <w:hyperlink r:id="rId69" w:history="1">
        <w:r w:rsidRPr="00075DC8">
          <w:rPr>
            <w:lang w:val="fr-FR"/>
          </w:rPr>
          <w:t>UIT-R F.1495</w:t>
        </w:r>
      </w:hyperlink>
      <w:r w:rsidRPr="00075DC8">
        <w:rPr>
          <w:lang w:val="fr-FR"/>
        </w:rPr>
        <w:t xml:space="preserve">, </w:t>
      </w:r>
      <w:hyperlink r:id="rId70" w:history="1">
        <w:r w:rsidRPr="00075DC8">
          <w:rPr>
            <w:lang w:val="fr-FR"/>
          </w:rPr>
          <w:t>UIT-R F.1606</w:t>
        </w:r>
      </w:hyperlink>
      <w:r w:rsidRPr="00075DC8">
        <w:rPr>
          <w:lang w:val="fr-FR"/>
        </w:rPr>
        <w:t xml:space="preserve">, </w:t>
      </w:r>
      <w:hyperlink r:id="rId71" w:history="1">
        <w:r w:rsidRPr="00075DC8">
          <w:rPr>
            <w:lang w:val="fr-FR"/>
          </w:rPr>
          <w:t>UIT</w:t>
        </w:r>
        <w:r w:rsidRPr="00075DC8">
          <w:rPr>
            <w:lang w:val="fr-FR"/>
          </w:rPr>
          <w:noBreakHyphen/>
          <w:t>R F.1669</w:t>
        </w:r>
      </w:hyperlink>
      <w:r w:rsidRPr="00075DC8">
        <w:rPr>
          <w:lang w:val="fr-FR"/>
        </w:rPr>
        <w:t xml:space="preserve"> et </w:t>
      </w:r>
      <w:hyperlink r:id="rId72" w:history="1">
        <w:r w:rsidRPr="00075DC8">
          <w:rPr>
            <w:lang w:val="fr-FR"/>
          </w:rPr>
          <w:t>UIT-R SF.1650</w:t>
        </w:r>
      </w:hyperlink>
      <w:r w:rsidRPr="00075DC8">
        <w:rPr>
          <w:lang w:val="fr-FR"/>
        </w:rPr>
        <w:t>.</w:t>
      </w:r>
    </w:p>
    <w:p w14:paraId="68B0C39E" w14:textId="6F4FC570" w:rsidR="00725E50" w:rsidRPr="00075DC8" w:rsidRDefault="00725E50" w:rsidP="00725E50">
      <w:pPr>
        <w:rPr>
          <w:lang w:val="fr-FR"/>
        </w:rPr>
      </w:pPr>
      <w:r w:rsidRPr="00075DC8">
        <w:rPr>
          <w:lang w:val="fr-FR"/>
        </w:rPr>
        <w:t>Les défauts de qualité en matière d</w:t>
      </w:r>
      <w:r w:rsidR="001F6A0D" w:rsidRPr="00075DC8">
        <w:rPr>
          <w:lang w:val="fr-FR"/>
        </w:rPr>
        <w:t>'</w:t>
      </w:r>
      <w:r w:rsidRPr="00075DC8">
        <w:rPr>
          <w:lang w:val="fr-FR"/>
        </w:rPr>
        <w:t>erreur n</w:t>
      </w:r>
      <w:r w:rsidR="001F6A0D" w:rsidRPr="00075DC8">
        <w:rPr>
          <w:lang w:val="fr-FR"/>
        </w:rPr>
        <w:t>'</w:t>
      </w:r>
      <w:r w:rsidRPr="00075DC8">
        <w:rPr>
          <w:lang w:val="fr-FR"/>
        </w:rPr>
        <w:t>étant admissibles que s</w:t>
      </w:r>
      <w:r w:rsidR="001F6A0D" w:rsidRPr="00075DC8">
        <w:rPr>
          <w:lang w:val="fr-FR"/>
        </w:rPr>
        <w:t>'</w:t>
      </w:r>
      <w:r w:rsidRPr="00075DC8">
        <w:rPr>
          <w:lang w:val="fr-FR"/>
        </w:rPr>
        <w:t>ils se produisent pendant des pourcentages de temps très inférieurs à 1%, de façon à satisfaire les objectifs de qualité en matière d</w:t>
      </w:r>
      <w:r w:rsidR="001F6A0D" w:rsidRPr="00075DC8">
        <w:rPr>
          <w:lang w:val="fr-FR"/>
        </w:rPr>
        <w:t>'</w:t>
      </w:r>
      <w:r w:rsidRPr="00075DC8">
        <w:rPr>
          <w:lang w:val="fr-FR"/>
        </w:rPr>
        <w:t>erreur, l</w:t>
      </w:r>
      <w:r w:rsidR="001F6A0D" w:rsidRPr="00075DC8">
        <w:rPr>
          <w:lang w:val="fr-FR"/>
        </w:rPr>
        <w:t>'</w:t>
      </w:r>
      <w:r w:rsidRPr="00075DC8">
        <w:rPr>
          <w:lang w:val="fr-FR"/>
        </w:rPr>
        <w:t>examen des brouillages de courte durée demande la connaissance de la puissance de brouillage qui est dépassée pendant des pourcentages de temps très inférieurs à 1%. Le critère de brouillage pour un défaut particulier de la qualité en matière d</w:t>
      </w:r>
      <w:r w:rsidR="001F6A0D" w:rsidRPr="00075DC8">
        <w:rPr>
          <w:lang w:val="fr-FR"/>
        </w:rPr>
        <w:t>'</w:t>
      </w:r>
      <w:r w:rsidRPr="00075DC8">
        <w:rPr>
          <w:lang w:val="fr-FR"/>
        </w:rPr>
        <w:t>erreur est caractérisé par le niveau de puissance (par rapport au bruit du récepteur) et le pourcentage de temps attribué à ce défaut.</w:t>
      </w:r>
    </w:p>
    <w:p w14:paraId="604D7EC1" w14:textId="345FA593" w:rsidR="00725E50" w:rsidRPr="00075DC8" w:rsidRDefault="00725E50" w:rsidP="00725E50">
      <w:pPr>
        <w:rPr>
          <w:lang w:val="fr-FR"/>
        </w:rPr>
      </w:pPr>
      <w:r w:rsidRPr="00075DC8">
        <w:rPr>
          <w:lang w:val="fr-FR"/>
        </w:rPr>
        <w:t>Lors des études de partage ou de compatibilité dans les bandes de fréquences où l</w:t>
      </w:r>
      <w:r w:rsidR="001F6A0D" w:rsidRPr="00075DC8">
        <w:rPr>
          <w:lang w:val="fr-FR"/>
        </w:rPr>
        <w:t>'</w:t>
      </w:r>
      <w:r w:rsidRPr="00075DC8">
        <w:rPr>
          <w:lang w:val="fr-FR"/>
        </w:rPr>
        <w:t xml:space="preserve">évanouissement dû aux trajets multiples est le défaut de propagation prépondérant pour les récepteurs du service fixe (principalement dans les bandes de fréquences inférieures à 15 GHz environ), les évanouissements sur les trajets utiles et sur les trajets brouillés ne sont pas corrélés. Si tel est le cas, la méthode du critère de dégradation relative de la qualité de fonctionnement (FDP) décrite dans la </w:t>
      </w:r>
      <w:hyperlink r:id="rId73" w:history="1">
        <w:r w:rsidRPr="00075DC8">
          <w:rPr>
            <w:lang w:val="fr-FR"/>
          </w:rPr>
          <w:t>Recommandation UIT</w:t>
        </w:r>
        <w:r w:rsidRPr="00075DC8">
          <w:rPr>
            <w:lang w:val="fr-FR"/>
          </w:rPr>
          <w:noBreakHyphen/>
          <w:t>R F.1108</w:t>
        </w:r>
      </w:hyperlink>
      <w:r w:rsidRPr="00075DC8">
        <w:rPr>
          <w:lang w:val="fr-FR"/>
        </w:rPr>
        <w:t xml:space="preserve"> permet de montrer qu</w:t>
      </w:r>
      <w:r w:rsidR="001F6A0D" w:rsidRPr="00075DC8">
        <w:rPr>
          <w:lang w:val="fr-FR"/>
        </w:rPr>
        <w:t>'</w:t>
      </w:r>
      <w:r w:rsidRPr="00075DC8">
        <w:rPr>
          <w:lang w:val="fr-FR"/>
        </w:rPr>
        <w:t>il convient d</w:t>
      </w:r>
      <w:r w:rsidR="001F6A0D" w:rsidRPr="00075DC8">
        <w:rPr>
          <w:lang w:val="fr-FR"/>
        </w:rPr>
        <w:t>'</w:t>
      </w:r>
      <w:r w:rsidRPr="00075DC8">
        <w:rPr>
          <w:lang w:val="fr-FR"/>
        </w:rPr>
        <w:t>employer la valeur moyenne de la puissance de brouillage en tant que valeur critique de la puissance de brouillage de longue durée. Toutefois, dans ce calcul, on détermine la puissance moyenne en écartant les périodes pendant lesquelles les niveaux de puissance du brouillage dépassent la limite employée pour le critère de brouillage de courte durée (la Recommandation UIT-R F.1108 donne un bon exemple à ce sujet, qui s</w:t>
      </w:r>
      <w:r w:rsidR="001F6A0D" w:rsidRPr="00075DC8">
        <w:rPr>
          <w:lang w:val="fr-FR"/>
        </w:rPr>
        <w:t>'</w:t>
      </w:r>
      <w:r w:rsidRPr="00075DC8">
        <w:rPr>
          <w:lang w:val="fr-FR"/>
        </w:rPr>
        <w:t>applique aux systèmes non OSG).</w:t>
      </w:r>
    </w:p>
    <w:p w14:paraId="1804A3B5" w14:textId="52160E33" w:rsidR="00725E50" w:rsidRPr="00075DC8" w:rsidRDefault="00725E50" w:rsidP="00725E50">
      <w:pPr>
        <w:rPr>
          <w:lang w:val="fr-FR"/>
        </w:rPr>
      </w:pPr>
      <w:r w:rsidRPr="00075DC8">
        <w:rPr>
          <w:lang w:val="fr-FR"/>
        </w:rPr>
        <w:t>Dans les bandes de fréquences pour lesquelles la pluie est le facteur prépondérant, l</w:t>
      </w:r>
      <w:r w:rsidR="001F6A0D" w:rsidRPr="00075DC8">
        <w:rPr>
          <w:lang w:val="fr-FR"/>
        </w:rPr>
        <w:t>'</w:t>
      </w:r>
      <w:r w:rsidRPr="00075DC8">
        <w:rPr>
          <w:lang w:val="fr-FR"/>
        </w:rPr>
        <w:t>emploi de la méthode FDP pour le brouillage de longue durée ne convient pas pour deux raisons: 1) la distribution de l</w:t>
      </w:r>
      <w:r w:rsidR="001F6A0D" w:rsidRPr="00075DC8">
        <w:rPr>
          <w:lang w:val="fr-FR"/>
        </w:rPr>
        <w:t>'</w:t>
      </w:r>
      <w:r w:rsidRPr="00075DC8">
        <w:rPr>
          <w:lang w:val="fr-FR"/>
        </w:rPr>
        <w:t>évanouissement du signal utile doit être indépendante de la distribution de la puissance du brouillage reçu, de manière que la densité cumulée des distributions s</w:t>
      </w:r>
      <w:r w:rsidR="001F6A0D" w:rsidRPr="00075DC8">
        <w:rPr>
          <w:lang w:val="fr-FR"/>
        </w:rPr>
        <w:t>'</w:t>
      </w:r>
      <w:r w:rsidRPr="00075DC8">
        <w:rPr>
          <w:lang w:val="fr-FR"/>
        </w:rPr>
        <w:t>exprime comme le produit de ces deux densités individuelles de distributions; 2) le pourcentage du temps pendant lequel la profondeur de l</w:t>
      </w:r>
      <w:r w:rsidR="001F6A0D" w:rsidRPr="00075DC8">
        <w:rPr>
          <w:lang w:val="fr-FR"/>
        </w:rPr>
        <w:t>'</w:t>
      </w:r>
      <w:r w:rsidRPr="00075DC8">
        <w:rPr>
          <w:lang w:val="fr-FR"/>
        </w:rPr>
        <w:t>évanouissement du signal utile est dépassée doit être réduit d</w:t>
      </w:r>
      <w:r w:rsidR="001F6A0D" w:rsidRPr="00075DC8">
        <w:rPr>
          <w:lang w:val="fr-FR"/>
        </w:rPr>
        <w:t>'</w:t>
      </w:r>
      <w:r w:rsidRPr="00075DC8">
        <w:rPr>
          <w:lang w:val="fr-FR"/>
        </w:rPr>
        <w:t>un facteur 10 pour une augmentation de la profondeur de l</w:t>
      </w:r>
      <w:r w:rsidR="001F6A0D" w:rsidRPr="00075DC8">
        <w:rPr>
          <w:lang w:val="fr-FR"/>
        </w:rPr>
        <w:t>'</w:t>
      </w:r>
      <w:r w:rsidRPr="00075DC8">
        <w:rPr>
          <w:lang w:val="fr-FR"/>
        </w:rPr>
        <w:t>évanouissement de 10 dB. Ceci est propre à l</w:t>
      </w:r>
      <w:r w:rsidR="001F6A0D" w:rsidRPr="00075DC8">
        <w:rPr>
          <w:lang w:val="fr-FR"/>
        </w:rPr>
        <w:t>'</w:t>
      </w:r>
      <w:r w:rsidRPr="00075DC8">
        <w:rPr>
          <w:lang w:val="fr-FR"/>
        </w:rPr>
        <w:t xml:space="preserve">évanouissement dû aux trajets multiples, comme observé dans la </w:t>
      </w:r>
      <w:hyperlink r:id="rId74" w:history="1">
        <w:r w:rsidRPr="00075DC8">
          <w:rPr>
            <w:lang w:val="fr-FR"/>
          </w:rPr>
          <w:t>Recommandation UIT-R P.530</w:t>
        </w:r>
      </w:hyperlink>
      <w:r w:rsidRPr="00075DC8">
        <w:rPr>
          <w:lang w:val="fr-FR"/>
        </w:rPr>
        <w:t>. Dans ces bandes, on considère qu</w:t>
      </w:r>
      <w:r w:rsidR="001F6A0D" w:rsidRPr="00075DC8">
        <w:rPr>
          <w:lang w:val="fr-FR"/>
        </w:rPr>
        <w:t>'</w:t>
      </w:r>
      <w:r w:rsidRPr="00075DC8">
        <w:rPr>
          <w:lang w:val="fr-FR"/>
        </w:rPr>
        <w:t>il est suffisant de faire en sorte, d</w:t>
      </w:r>
      <w:r w:rsidR="001F6A0D" w:rsidRPr="00075DC8">
        <w:rPr>
          <w:lang w:val="fr-FR"/>
        </w:rPr>
        <w:t>'</w:t>
      </w:r>
      <w:r w:rsidRPr="00075DC8">
        <w:rPr>
          <w:lang w:val="fr-FR"/>
        </w:rPr>
        <w:t>une part, que toutes les spécifications concernant les dégradations de la qualité en matière d</w:t>
      </w:r>
      <w:r w:rsidR="001F6A0D" w:rsidRPr="00075DC8">
        <w:rPr>
          <w:lang w:val="fr-FR"/>
        </w:rPr>
        <w:t>'</w:t>
      </w:r>
      <w:r w:rsidRPr="00075DC8">
        <w:rPr>
          <w:lang w:val="fr-FR"/>
        </w:rPr>
        <w:t>erreur et de la disponibilité, qui sont attribuées au brouillage de longue durée, soient satisfaites, en employant le niveau du brouillage variant dans le temps, qui représente les 20% du temps fixé par le critère établi pour le brouillage de longue durée, et, d</w:t>
      </w:r>
      <w:r w:rsidR="001F6A0D" w:rsidRPr="00075DC8">
        <w:rPr>
          <w:lang w:val="fr-FR"/>
        </w:rPr>
        <w:t>'</w:t>
      </w:r>
      <w:r w:rsidRPr="00075DC8">
        <w:rPr>
          <w:lang w:val="fr-FR"/>
        </w:rPr>
        <w:t>autre part, que la distribution de la puissance de brouillage réponde au critère de dégradation de la qualité en matière d</w:t>
      </w:r>
      <w:r w:rsidR="001F6A0D" w:rsidRPr="00075DC8">
        <w:rPr>
          <w:lang w:val="fr-FR"/>
        </w:rPr>
        <w:t>'</w:t>
      </w:r>
      <w:r w:rsidRPr="00075DC8">
        <w:rPr>
          <w:lang w:val="fr-FR"/>
        </w:rPr>
        <w:t>erreur, établi pour le brouillage de courte durée. Une puissance de brouillage d</w:t>
      </w:r>
      <w:r w:rsidR="001F6A0D" w:rsidRPr="00075DC8">
        <w:rPr>
          <w:lang w:val="fr-FR"/>
        </w:rPr>
        <w:t>'</w:t>
      </w:r>
      <w:r w:rsidRPr="00075DC8">
        <w:rPr>
          <w:lang w:val="fr-FR"/>
        </w:rPr>
        <w:t xml:space="preserve">une durée comprise entre le pourcentage du temps qui est défini par le critère de courte durée (&lt;1% du temps) </w:t>
      </w:r>
      <w:r w:rsidRPr="00075DC8">
        <w:rPr>
          <w:lang w:val="fr-FR"/>
        </w:rPr>
        <w:lastRenderedPageBreak/>
        <w:t>et le pourcentage du temps qui est défini par le critère de longue durée (&gt;20% de temps) pourrait être évaluée au cas par cas, mais, lors d</w:t>
      </w:r>
      <w:r w:rsidR="001F6A0D" w:rsidRPr="00075DC8">
        <w:rPr>
          <w:lang w:val="fr-FR"/>
        </w:rPr>
        <w:t>'</w:t>
      </w:r>
      <w:r w:rsidRPr="00075DC8">
        <w:rPr>
          <w:lang w:val="fr-FR"/>
        </w:rPr>
        <w:t>une telle démarche, il faudrait aussi tenir compte de la possibilité de niveaux de la puissance de brouillage inférieurs à ceux qui sont prévus pendant les 20% du temps.</w:t>
      </w:r>
    </w:p>
    <w:p w14:paraId="05091852" w14:textId="7BB4281B" w:rsidR="00725E50" w:rsidRPr="00075DC8" w:rsidRDefault="00725E50" w:rsidP="00ED7FB5">
      <w:pPr>
        <w:keepNext/>
        <w:keepLines/>
        <w:rPr>
          <w:lang w:val="fr-FR"/>
        </w:rPr>
      </w:pPr>
      <w:r w:rsidRPr="00075DC8">
        <w:rPr>
          <w:lang w:val="fr-FR"/>
        </w:rPr>
        <w:t>Lorsque l</w:t>
      </w:r>
      <w:r w:rsidR="001F6A0D" w:rsidRPr="00075DC8">
        <w:rPr>
          <w:lang w:val="fr-FR"/>
        </w:rPr>
        <w:t>'</w:t>
      </w:r>
      <w:r w:rsidRPr="00075DC8">
        <w:rPr>
          <w:lang w:val="fr-FR"/>
        </w:rPr>
        <w:t>on étudie les émissions de brouillage par impulsions continues ou en rafales, leurs effets sur les systèmes du service fixe devraient être évalués sur la base du mécanisme de couplage du brouillage et non au moyen des rapports cycliques du signal brouilleur (par exemple, une émission de radar ayant un rapport cyclique inférieur à 1% devrait être évaluée comme un brouillage de courte durée et/ou comme un brouillage de longue durée, selon qu</w:t>
      </w:r>
      <w:r w:rsidR="001F6A0D" w:rsidRPr="00075DC8">
        <w:rPr>
          <w:lang w:val="fr-FR"/>
        </w:rPr>
        <w:t>'</w:t>
      </w:r>
      <w:r w:rsidRPr="00075DC8">
        <w:rPr>
          <w:lang w:val="fr-FR"/>
        </w:rPr>
        <w:t>il conviendra).</w:t>
      </w:r>
    </w:p>
    <w:p w14:paraId="48F6B2CB" w14:textId="712D5267" w:rsidR="00725E50" w:rsidRPr="00075DC8" w:rsidRDefault="00725E50" w:rsidP="00ED7FB5">
      <w:pPr>
        <w:rPr>
          <w:lang w:val="fr-FR"/>
        </w:rPr>
      </w:pPr>
      <w:r w:rsidRPr="00075DC8">
        <w:rPr>
          <w:lang w:val="fr-FR"/>
        </w:rPr>
        <w:t>Le nombre et les valeurs des critères de brouillage nécessaires pour protéger un système hertzien fixe dépendra des caractéristiques dudit système et du brouilleur. Dans le cas d</w:t>
      </w:r>
      <w:r w:rsidR="001F6A0D" w:rsidRPr="00075DC8">
        <w:rPr>
          <w:lang w:val="fr-FR"/>
        </w:rPr>
        <w:t>'</w:t>
      </w:r>
      <w:r w:rsidRPr="00075DC8">
        <w:rPr>
          <w:lang w:val="fr-FR"/>
        </w:rPr>
        <w:t>un brouillage variable, un unique critère de brouillage pourrait ne pas convenir. Deux ou trois valeurs, correspondant à un brouillage de longue durée (20% du temps) et à un brouillage de courte durée (&lt;1% du temps) ont été définies dans certaines Recommandations.</w:t>
      </w:r>
    </w:p>
    <w:p w14:paraId="3B35E7A5" w14:textId="342C8FF2" w:rsidR="00725E50" w:rsidRPr="00075DC8" w:rsidRDefault="00725E50" w:rsidP="00ED7FB5">
      <w:pPr>
        <w:rPr>
          <w:lang w:val="fr-FR"/>
        </w:rPr>
      </w:pPr>
      <w:r w:rsidRPr="00075DC8">
        <w:rPr>
          <w:lang w:val="fr-FR"/>
        </w:rPr>
        <w:t>Il convient de noter que les événements, pour lesquels la qualité en matière d</w:t>
      </w:r>
      <w:r w:rsidR="001F6A0D" w:rsidRPr="00075DC8">
        <w:rPr>
          <w:lang w:val="fr-FR"/>
        </w:rPr>
        <w:t>'</w:t>
      </w:r>
      <w:r w:rsidRPr="00075DC8">
        <w:rPr>
          <w:lang w:val="fr-FR"/>
        </w:rPr>
        <w:t>erreur est dégradée, sont des événements de très courte durée en raison des prescriptions strictes imposées par les objectifs de qualité en matière d</w:t>
      </w:r>
      <w:r w:rsidR="001F6A0D" w:rsidRPr="00075DC8">
        <w:rPr>
          <w:lang w:val="fr-FR"/>
        </w:rPr>
        <w:t>'</w:t>
      </w:r>
      <w:r w:rsidRPr="00075DC8">
        <w:rPr>
          <w:lang w:val="fr-FR"/>
        </w:rPr>
        <w:t>erreur.</w:t>
      </w:r>
    </w:p>
    <w:p w14:paraId="1E046CE0" w14:textId="3EA31012" w:rsidR="00725E50" w:rsidRPr="00075DC8" w:rsidRDefault="00725E50" w:rsidP="00ED7FB5">
      <w:pPr>
        <w:rPr>
          <w:lang w:val="fr-FR"/>
        </w:rPr>
      </w:pPr>
      <w:r w:rsidRPr="00075DC8">
        <w:rPr>
          <w:lang w:val="fr-FR"/>
        </w:rPr>
        <w:t>Le nombre de critères pour le brouillage de courte durée correspond au nombre de critères de qualité en matière d</w:t>
      </w:r>
      <w:r w:rsidR="001F6A0D" w:rsidRPr="00075DC8">
        <w:rPr>
          <w:lang w:val="fr-FR"/>
        </w:rPr>
        <w:t>'</w:t>
      </w:r>
      <w:r w:rsidRPr="00075DC8">
        <w:rPr>
          <w:lang w:val="fr-FR"/>
        </w:rPr>
        <w:t>erreur qui conviennent pour le scénario de partage. Le pourcentage exact du temps associé à un critère de brouillage de courte durée dépend de l</w:t>
      </w:r>
      <w:r w:rsidR="001F6A0D" w:rsidRPr="00075DC8">
        <w:rPr>
          <w:lang w:val="fr-FR"/>
        </w:rPr>
        <w:t>'</w:t>
      </w:r>
      <w:r w:rsidRPr="00075DC8">
        <w:rPr>
          <w:lang w:val="fr-FR"/>
        </w:rPr>
        <w:t xml:space="preserve">objectif de qualité de fonctionnement pour le système considéré. De plus amples informations sur la satisfaction aux objectifs en matière de brouillage de courte durée sont données dans les </w:t>
      </w:r>
      <w:hyperlink r:id="rId75" w:history="1">
        <w:r w:rsidRPr="00075DC8">
          <w:rPr>
            <w:lang w:val="fr-FR"/>
          </w:rPr>
          <w:t>Recommandations UIT</w:t>
        </w:r>
        <w:r w:rsidRPr="00075DC8">
          <w:rPr>
            <w:lang w:val="fr-FR"/>
          </w:rPr>
          <w:noBreakHyphen/>
          <w:t>R F.1494</w:t>
        </w:r>
      </w:hyperlink>
      <w:r w:rsidRPr="00075DC8">
        <w:rPr>
          <w:lang w:val="fr-FR"/>
        </w:rPr>
        <w:t xml:space="preserve">, </w:t>
      </w:r>
      <w:hyperlink r:id="rId76" w:history="1">
        <w:r w:rsidRPr="00075DC8">
          <w:rPr>
            <w:lang w:val="fr-FR"/>
          </w:rPr>
          <w:t>UIT-R F.1495</w:t>
        </w:r>
      </w:hyperlink>
      <w:r w:rsidRPr="00075DC8">
        <w:rPr>
          <w:lang w:val="fr-FR"/>
        </w:rPr>
        <w:t xml:space="preserve"> et </w:t>
      </w:r>
      <w:hyperlink r:id="rId77" w:history="1">
        <w:r w:rsidRPr="00075DC8">
          <w:rPr>
            <w:lang w:val="fr-FR"/>
          </w:rPr>
          <w:t>UIT-R F.1606</w:t>
        </w:r>
      </w:hyperlink>
      <w:r w:rsidRPr="00075DC8">
        <w:rPr>
          <w:lang w:val="fr-FR"/>
        </w:rPr>
        <w:t>, qui portent toutes sur les critères de protection applicables au brouillage variant dans le temps.</w:t>
      </w:r>
    </w:p>
    <w:p w14:paraId="2AD18F3D" w14:textId="181FCB02" w:rsidR="00725E50" w:rsidRPr="00075DC8" w:rsidRDefault="00725E50" w:rsidP="00ED7FB5">
      <w:pPr>
        <w:rPr>
          <w:lang w:val="fr-FR"/>
        </w:rPr>
      </w:pPr>
      <w:r w:rsidRPr="00075DC8">
        <w:rPr>
          <w:lang w:val="fr-FR"/>
        </w:rPr>
        <w:t>Le Tableau 1 contient une liste de références portant sur les objectifs de qualité de fonctionnement/de disponibilité et le partage entre le service fixe et d</w:t>
      </w:r>
      <w:r w:rsidR="001F6A0D" w:rsidRPr="00075DC8">
        <w:rPr>
          <w:lang w:val="fr-FR"/>
        </w:rPr>
        <w:t>'</w:t>
      </w:r>
      <w:r w:rsidRPr="00075DC8">
        <w:rPr>
          <w:lang w:val="fr-FR"/>
        </w:rPr>
        <w:t>autres services bénéficiant d</w:t>
      </w:r>
      <w:r w:rsidR="001F6A0D" w:rsidRPr="00075DC8">
        <w:rPr>
          <w:lang w:val="fr-FR"/>
        </w:rPr>
        <w:t>'</w:t>
      </w:r>
      <w:r w:rsidRPr="00075DC8">
        <w:rPr>
          <w:lang w:val="fr-FR"/>
        </w:rPr>
        <w:t>attributions à titre primaire, pour ce qui concerne le brouillage du service fixe.</w:t>
      </w:r>
    </w:p>
    <w:p w14:paraId="4470E409" w14:textId="402012D3" w:rsidR="00725E50" w:rsidRPr="00075DC8" w:rsidRDefault="00725E50" w:rsidP="00ED7FB5">
      <w:pPr>
        <w:rPr>
          <w:lang w:val="fr-FR"/>
        </w:rPr>
      </w:pPr>
      <w:r w:rsidRPr="00075DC8">
        <w:rPr>
          <w:lang w:val="fr-FR"/>
        </w:rPr>
        <w:t>Les objectifs de qualité en matière d</w:t>
      </w:r>
      <w:r w:rsidR="001F6A0D" w:rsidRPr="00075DC8">
        <w:rPr>
          <w:lang w:val="fr-FR"/>
        </w:rPr>
        <w:t>'</w:t>
      </w:r>
      <w:r w:rsidRPr="00075DC8">
        <w:rPr>
          <w:lang w:val="fr-FR"/>
        </w:rPr>
        <w:t>erreur et de disponibilité devraient être atteints, qu</w:t>
      </w:r>
      <w:r w:rsidR="001F6A0D" w:rsidRPr="00075DC8">
        <w:rPr>
          <w:lang w:val="fr-FR"/>
        </w:rPr>
        <w:t>'</w:t>
      </w:r>
      <w:r w:rsidRPr="00075DC8">
        <w:rPr>
          <w:lang w:val="fr-FR"/>
        </w:rPr>
        <w:t>ils découlent du brouillage de longue durée ou du brouillage de courte durée.</w:t>
      </w:r>
    </w:p>
    <w:p w14:paraId="39E9150C" w14:textId="77777777" w:rsidR="00725E50" w:rsidRPr="00075DC8" w:rsidRDefault="00725E50" w:rsidP="00ED7FB5">
      <w:pPr>
        <w:pStyle w:val="TableNo"/>
        <w:rPr>
          <w:lang w:val="fr-FR"/>
        </w:rPr>
      </w:pPr>
      <w:r w:rsidRPr="00075DC8">
        <w:rPr>
          <w:lang w:val="fr-FR"/>
        </w:rPr>
        <w:t>TABLEAU 1</w:t>
      </w:r>
    </w:p>
    <w:p w14:paraId="3DD936CA" w14:textId="33392638" w:rsidR="00725E50" w:rsidRPr="00075DC8" w:rsidRDefault="00725E50" w:rsidP="00ED7FB5">
      <w:pPr>
        <w:pStyle w:val="Tabletitle"/>
        <w:rPr>
          <w:lang w:val="fr-FR"/>
        </w:rPr>
      </w:pPr>
      <w:r w:rsidRPr="00075DC8">
        <w:rPr>
          <w:lang w:val="fr-FR"/>
        </w:rPr>
        <w:t>Recommandations UIT-R concernant le partage des fréquences entre le service fixe</w:t>
      </w:r>
      <w:r w:rsidRPr="00075DC8">
        <w:rPr>
          <w:lang w:val="fr-FR"/>
        </w:rPr>
        <w:br/>
        <w:t>et d</w:t>
      </w:r>
      <w:r w:rsidR="001F6A0D" w:rsidRPr="00075DC8">
        <w:rPr>
          <w:lang w:val="fr-FR"/>
        </w:rPr>
        <w:t>'</w:t>
      </w:r>
      <w:r w:rsidRPr="00075DC8">
        <w:rPr>
          <w:lang w:val="fr-FR"/>
        </w:rPr>
        <w:t>autres services bénéficiant d</w:t>
      </w:r>
      <w:r w:rsidR="001F6A0D" w:rsidRPr="00075DC8">
        <w:rPr>
          <w:lang w:val="fr-FR"/>
        </w:rPr>
        <w:t>'</w:t>
      </w:r>
      <w:r w:rsidRPr="00075DC8">
        <w:rPr>
          <w:lang w:val="fr-FR"/>
        </w:rPr>
        <w:t>attributions à titre primaire</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056"/>
        <w:gridCol w:w="7599"/>
      </w:tblGrid>
      <w:tr w:rsidR="00725E50" w:rsidRPr="00075DC8" w14:paraId="0BCBDB32" w14:textId="77777777" w:rsidTr="006F4AE5">
        <w:trPr>
          <w:jc w:val="center"/>
        </w:trPr>
        <w:tc>
          <w:tcPr>
            <w:tcW w:w="2055" w:type="dxa"/>
            <w:tcBorders>
              <w:top w:val="single" w:sz="4" w:space="0" w:color="auto"/>
              <w:left w:val="single" w:sz="4" w:space="0" w:color="auto"/>
              <w:bottom w:val="single" w:sz="4" w:space="0" w:color="auto"/>
              <w:right w:val="single" w:sz="4" w:space="0" w:color="auto"/>
            </w:tcBorders>
            <w:vAlign w:val="center"/>
            <w:hideMark/>
          </w:tcPr>
          <w:p w14:paraId="5117BD85" w14:textId="77777777" w:rsidR="00725E50" w:rsidRPr="00075DC8" w:rsidRDefault="00725E50" w:rsidP="00ED7FB5">
            <w:pPr>
              <w:pStyle w:val="Tablehead"/>
              <w:rPr>
                <w:lang w:val="fr-FR"/>
              </w:rPr>
            </w:pPr>
            <w:r w:rsidRPr="00075DC8">
              <w:rPr>
                <w:lang w:val="fr-FR"/>
              </w:rPr>
              <w:t>Recommandation</w:t>
            </w:r>
            <w:r w:rsidRPr="00075DC8">
              <w:rPr>
                <w:lang w:val="fr-FR"/>
              </w:rPr>
              <w:br/>
              <w:t>UIT</w:t>
            </w:r>
            <w:r w:rsidRPr="00075DC8">
              <w:rPr>
                <w:lang w:val="fr-FR"/>
              </w:rPr>
              <w:noBreakHyphen/>
              <w:t>R</w:t>
            </w:r>
          </w:p>
        </w:tc>
        <w:tc>
          <w:tcPr>
            <w:tcW w:w="7595" w:type="dxa"/>
            <w:tcBorders>
              <w:top w:val="single" w:sz="4" w:space="0" w:color="auto"/>
              <w:left w:val="single" w:sz="4" w:space="0" w:color="auto"/>
              <w:bottom w:val="single" w:sz="4" w:space="0" w:color="auto"/>
              <w:right w:val="single" w:sz="4" w:space="0" w:color="auto"/>
            </w:tcBorders>
            <w:vAlign w:val="center"/>
            <w:hideMark/>
          </w:tcPr>
          <w:p w14:paraId="16CE84DD" w14:textId="77777777" w:rsidR="00725E50" w:rsidRPr="00075DC8" w:rsidRDefault="00725E50" w:rsidP="00ED7FB5">
            <w:pPr>
              <w:pStyle w:val="Tablehead"/>
              <w:rPr>
                <w:lang w:val="fr-FR"/>
              </w:rPr>
            </w:pPr>
            <w:r w:rsidRPr="00075DC8">
              <w:rPr>
                <w:lang w:val="fr-FR"/>
              </w:rPr>
              <w:t>Titre</w:t>
            </w:r>
          </w:p>
        </w:tc>
      </w:tr>
      <w:tr w:rsidR="00725E50" w:rsidRPr="00075DC8" w14:paraId="16A30A67" w14:textId="77777777" w:rsidTr="006F4AE5">
        <w:trPr>
          <w:jc w:val="center"/>
        </w:trPr>
        <w:tc>
          <w:tcPr>
            <w:tcW w:w="2055" w:type="dxa"/>
            <w:tcBorders>
              <w:top w:val="single" w:sz="4" w:space="0" w:color="auto"/>
              <w:left w:val="single" w:sz="4" w:space="0" w:color="auto"/>
              <w:bottom w:val="single" w:sz="4" w:space="0" w:color="auto"/>
              <w:right w:val="single" w:sz="4" w:space="0" w:color="auto"/>
            </w:tcBorders>
            <w:hideMark/>
          </w:tcPr>
          <w:p w14:paraId="26A4B687" w14:textId="77777777" w:rsidR="00725E50" w:rsidRPr="00075DC8" w:rsidRDefault="00725E50" w:rsidP="00ED4837">
            <w:pPr>
              <w:pStyle w:val="Tabletext"/>
              <w:jc w:val="center"/>
              <w:rPr>
                <w:lang w:val="fr-FR"/>
              </w:rPr>
            </w:pPr>
            <w:r w:rsidRPr="00075DC8">
              <w:rPr>
                <w:szCs w:val="22"/>
                <w:lang w:val="fr-FR"/>
              </w:rPr>
              <w:t>F.1094</w:t>
            </w:r>
          </w:p>
        </w:tc>
        <w:tc>
          <w:tcPr>
            <w:tcW w:w="7595" w:type="dxa"/>
            <w:tcBorders>
              <w:top w:val="single" w:sz="4" w:space="0" w:color="auto"/>
              <w:left w:val="single" w:sz="4" w:space="0" w:color="auto"/>
              <w:bottom w:val="single" w:sz="4" w:space="0" w:color="auto"/>
              <w:right w:val="single" w:sz="4" w:space="0" w:color="auto"/>
            </w:tcBorders>
            <w:hideMark/>
          </w:tcPr>
          <w:p w14:paraId="17FB16B6" w14:textId="0EF9125E" w:rsidR="00725E50" w:rsidRPr="00075DC8" w:rsidRDefault="00725E50" w:rsidP="00ED4837">
            <w:pPr>
              <w:pStyle w:val="Tabletext"/>
              <w:jc w:val="left"/>
              <w:rPr>
                <w:lang w:val="fr-FR"/>
              </w:rPr>
            </w:pPr>
            <w:r w:rsidRPr="00075DC8">
              <w:rPr>
                <w:szCs w:val="22"/>
                <w:lang w:val="fr-FR"/>
              </w:rPr>
              <w:t>Dégradations maximales admissibles de la qualité en matière d</w:t>
            </w:r>
            <w:r w:rsidR="001F6A0D" w:rsidRPr="00075DC8">
              <w:rPr>
                <w:szCs w:val="22"/>
                <w:lang w:val="fr-FR"/>
              </w:rPr>
              <w:t>'</w:t>
            </w:r>
            <w:r w:rsidRPr="00075DC8">
              <w:rPr>
                <w:szCs w:val="22"/>
                <w:lang w:val="fr-FR"/>
              </w:rPr>
              <w:t>erreur et de disponibilité pour les faisceaux hertziens numériques, dues aux brouillages provenant d</w:t>
            </w:r>
            <w:r w:rsidR="001F6A0D" w:rsidRPr="00075DC8">
              <w:rPr>
                <w:szCs w:val="22"/>
                <w:lang w:val="fr-FR"/>
              </w:rPr>
              <w:t>'</w:t>
            </w:r>
            <w:r w:rsidRPr="00075DC8">
              <w:rPr>
                <w:szCs w:val="22"/>
                <w:lang w:val="fr-FR"/>
              </w:rPr>
              <w:t>émissions et de rayonnements d</w:t>
            </w:r>
            <w:r w:rsidR="001F6A0D" w:rsidRPr="00075DC8">
              <w:rPr>
                <w:szCs w:val="22"/>
                <w:lang w:val="fr-FR"/>
              </w:rPr>
              <w:t>'</w:t>
            </w:r>
            <w:r w:rsidRPr="00075DC8">
              <w:rPr>
                <w:szCs w:val="22"/>
                <w:lang w:val="fr-FR"/>
              </w:rPr>
              <w:t>autres sources</w:t>
            </w:r>
          </w:p>
        </w:tc>
      </w:tr>
      <w:tr w:rsidR="00725E50" w:rsidRPr="00075DC8" w14:paraId="06E57478" w14:textId="77777777" w:rsidTr="006F4AE5">
        <w:trPr>
          <w:jc w:val="center"/>
        </w:trPr>
        <w:tc>
          <w:tcPr>
            <w:tcW w:w="2055" w:type="dxa"/>
            <w:tcBorders>
              <w:top w:val="single" w:sz="4" w:space="0" w:color="auto"/>
              <w:left w:val="single" w:sz="4" w:space="0" w:color="auto"/>
              <w:bottom w:val="single" w:sz="4" w:space="0" w:color="auto"/>
              <w:right w:val="single" w:sz="4" w:space="0" w:color="auto"/>
            </w:tcBorders>
            <w:hideMark/>
          </w:tcPr>
          <w:p w14:paraId="07D2D36F" w14:textId="77777777" w:rsidR="00725E50" w:rsidRPr="00075DC8" w:rsidRDefault="00725E50" w:rsidP="00ED4837">
            <w:pPr>
              <w:pStyle w:val="Tabletext"/>
              <w:jc w:val="center"/>
              <w:rPr>
                <w:lang w:val="fr-FR"/>
              </w:rPr>
            </w:pPr>
            <w:r w:rsidRPr="00075DC8">
              <w:rPr>
                <w:szCs w:val="22"/>
                <w:lang w:val="fr-FR"/>
              </w:rPr>
              <w:t>F.1108</w:t>
            </w:r>
          </w:p>
        </w:tc>
        <w:tc>
          <w:tcPr>
            <w:tcW w:w="7595" w:type="dxa"/>
            <w:tcBorders>
              <w:top w:val="single" w:sz="4" w:space="0" w:color="auto"/>
              <w:left w:val="single" w:sz="4" w:space="0" w:color="auto"/>
              <w:bottom w:val="single" w:sz="4" w:space="0" w:color="auto"/>
              <w:right w:val="single" w:sz="4" w:space="0" w:color="auto"/>
            </w:tcBorders>
            <w:hideMark/>
          </w:tcPr>
          <w:p w14:paraId="3E05FDC6" w14:textId="77777777" w:rsidR="00725E50" w:rsidRPr="00075DC8" w:rsidRDefault="00725E50" w:rsidP="00ED4837">
            <w:pPr>
              <w:pStyle w:val="Tabletext"/>
              <w:jc w:val="left"/>
              <w:rPr>
                <w:lang w:val="fr-FR"/>
              </w:rPr>
            </w:pPr>
            <w:r w:rsidRPr="00075DC8">
              <w:rPr>
                <w:szCs w:val="22"/>
                <w:lang w:val="fr-FR"/>
              </w:rPr>
              <w:t>Détermination des critères nécessaires à la protection des récepteurs du service fixe des émissions de stations spatiales opérant sur des orbites non géostationnaires dans des bandes de fréquences partagées</w:t>
            </w:r>
          </w:p>
        </w:tc>
      </w:tr>
      <w:tr w:rsidR="00725E50" w:rsidRPr="00075DC8" w14:paraId="3A391CDC" w14:textId="77777777" w:rsidTr="006F4AE5">
        <w:trPr>
          <w:jc w:val="center"/>
        </w:trPr>
        <w:tc>
          <w:tcPr>
            <w:tcW w:w="2055" w:type="dxa"/>
            <w:tcBorders>
              <w:top w:val="single" w:sz="4" w:space="0" w:color="auto"/>
              <w:left w:val="single" w:sz="4" w:space="0" w:color="auto"/>
              <w:bottom w:val="single" w:sz="4" w:space="0" w:color="auto"/>
              <w:right w:val="single" w:sz="4" w:space="0" w:color="auto"/>
            </w:tcBorders>
            <w:hideMark/>
          </w:tcPr>
          <w:p w14:paraId="2BB1C369" w14:textId="77777777" w:rsidR="00725E50" w:rsidRPr="00075DC8" w:rsidRDefault="00725E50" w:rsidP="00ED4837">
            <w:pPr>
              <w:pStyle w:val="Tabletext"/>
              <w:jc w:val="center"/>
              <w:rPr>
                <w:lang w:val="fr-FR"/>
              </w:rPr>
            </w:pPr>
            <w:r w:rsidRPr="00075DC8">
              <w:rPr>
                <w:szCs w:val="22"/>
                <w:lang w:val="fr-FR"/>
              </w:rPr>
              <w:t>F.1334</w:t>
            </w:r>
          </w:p>
        </w:tc>
        <w:tc>
          <w:tcPr>
            <w:tcW w:w="7595" w:type="dxa"/>
            <w:tcBorders>
              <w:top w:val="single" w:sz="4" w:space="0" w:color="auto"/>
              <w:left w:val="single" w:sz="4" w:space="0" w:color="auto"/>
              <w:bottom w:val="single" w:sz="4" w:space="0" w:color="auto"/>
              <w:right w:val="single" w:sz="4" w:space="0" w:color="auto"/>
            </w:tcBorders>
            <w:hideMark/>
          </w:tcPr>
          <w:p w14:paraId="5DA2663D" w14:textId="77777777" w:rsidR="00725E50" w:rsidRPr="00075DC8" w:rsidRDefault="00725E50" w:rsidP="00ED4837">
            <w:pPr>
              <w:pStyle w:val="Tabletext"/>
              <w:jc w:val="left"/>
              <w:rPr>
                <w:lang w:val="fr-FR"/>
              </w:rPr>
            </w:pPr>
            <w:r w:rsidRPr="00075DC8">
              <w:rPr>
                <w:szCs w:val="22"/>
                <w:lang w:val="fr-FR"/>
              </w:rPr>
              <w:t>Critères de protection des systèmes du service fixe utilisant en partage avec le service terrestre mobile les mêmes bandes de fréquences dans la gamme des 1 à 3 GHz</w:t>
            </w:r>
          </w:p>
        </w:tc>
      </w:tr>
      <w:tr w:rsidR="00725E50" w:rsidRPr="00075DC8" w14:paraId="54BCF539" w14:textId="77777777" w:rsidTr="006F4AE5">
        <w:trPr>
          <w:jc w:val="center"/>
        </w:trPr>
        <w:tc>
          <w:tcPr>
            <w:tcW w:w="2055" w:type="dxa"/>
            <w:tcBorders>
              <w:top w:val="single" w:sz="4" w:space="0" w:color="auto"/>
              <w:left w:val="single" w:sz="4" w:space="0" w:color="auto"/>
              <w:bottom w:val="single" w:sz="4" w:space="0" w:color="auto"/>
              <w:right w:val="single" w:sz="4" w:space="0" w:color="auto"/>
            </w:tcBorders>
            <w:hideMark/>
          </w:tcPr>
          <w:p w14:paraId="3C14F093" w14:textId="77777777" w:rsidR="00725E50" w:rsidRPr="00075DC8" w:rsidRDefault="00725E50" w:rsidP="00ED4837">
            <w:pPr>
              <w:pStyle w:val="Tabletext"/>
              <w:jc w:val="center"/>
              <w:rPr>
                <w:lang w:val="fr-FR"/>
              </w:rPr>
            </w:pPr>
            <w:r w:rsidRPr="00075DC8">
              <w:rPr>
                <w:szCs w:val="22"/>
                <w:lang w:val="fr-FR"/>
              </w:rPr>
              <w:t>F.1338</w:t>
            </w:r>
          </w:p>
        </w:tc>
        <w:tc>
          <w:tcPr>
            <w:tcW w:w="7595" w:type="dxa"/>
            <w:tcBorders>
              <w:top w:val="single" w:sz="4" w:space="0" w:color="auto"/>
              <w:left w:val="single" w:sz="4" w:space="0" w:color="auto"/>
              <w:bottom w:val="single" w:sz="4" w:space="0" w:color="auto"/>
              <w:right w:val="single" w:sz="4" w:space="0" w:color="auto"/>
            </w:tcBorders>
            <w:hideMark/>
          </w:tcPr>
          <w:p w14:paraId="0A5E0A47" w14:textId="7F557561" w:rsidR="00725E50" w:rsidRPr="00075DC8" w:rsidRDefault="00725E50" w:rsidP="00ED4837">
            <w:pPr>
              <w:pStyle w:val="Tabletext"/>
              <w:jc w:val="left"/>
              <w:rPr>
                <w:lang w:val="fr-FR"/>
              </w:rPr>
            </w:pPr>
            <w:r w:rsidRPr="00075DC8">
              <w:rPr>
                <w:szCs w:val="22"/>
                <w:lang w:val="fr-FR"/>
              </w:rPr>
              <w:t>Seuils pour déterminer la nécessité de procéder à une coordination entre des systèmes particuliers du service de radiodiffusion par satellite (sonore), utilisant l</w:t>
            </w:r>
            <w:r w:rsidR="001F6A0D" w:rsidRPr="00075DC8">
              <w:rPr>
                <w:szCs w:val="22"/>
                <w:lang w:val="fr-FR"/>
              </w:rPr>
              <w:t>'</w:t>
            </w:r>
            <w:r w:rsidRPr="00075DC8">
              <w:rPr>
                <w:szCs w:val="22"/>
                <w:lang w:val="fr-FR"/>
              </w:rPr>
              <w:t>orbite des satellites géostationnaires pour des émissions dans le sens espace-Terre et le service fixe dans la bande 1 452-1 492 MHz</w:t>
            </w:r>
          </w:p>
        </w:tc>
      </w:tr>
      <w:tr w:rsidR="006F4AE5" w:rsidRPr="00075DC8" w14:paraId="1BFC610C" w14:textId="77777777" w:rsidTr="006F4AE5">
        <w:trPr>
          <w:jc w:val="center"/>
        </w:trPr>
        <w:tc>
          <w:tcPr>
            <w:tcW w:w="9655" w:type="dxa"/>
            <w:gridSpan w:val="2"/>
            <w:tcBorders>
              <w:top w:val="nil"/>
              <w:left w:val="nil"/>
              <w:bottom w:val="single" w:sz="4" w:space="0" w:color="auto"/>
              <w:right w:val="nil"/>
            </w:tcBorders>
            <w:vAlign w:val="center"/>
          </w:tcPr>
          <w:p w14:paraId="483B0A06" w14:textId="77777777" w:rsidR="006F4AE5" w:rsidRPr="00075DC8" w:rsidRDefault="006F4AE5" w:rsidP="00754C3F">
            <w:pPr>
              <w:pStyle w:val="TableNo"/>
              <w:rPr>
                <w:lang w:val="fr-FR"/>
              </w:rPr>
            </w:pPr>
            <w:r w:rsidRPr="00075DC8">
              <w:rPr>
                <w:lang w:val="fr-FR"/>
              </w:rPr>
              <w:lastRenderedPageBreak/>
              <w:t>TABLEAU 1 (</w:t>
            </w:r>
            <w:r w:rsidRPr="00075DC8">
              <w:rPr>
                <w:i/>
                <w:iCs/>
                <w:lang w:val="fr-FR"/>
              </w:rPr>
              <w:t>fin</w:t>
            </w:r>
            <w:r w:rsidRPr="00075DC8">
              <w:rPr>
                <w:lang w:val="fr-FR"/>
              </w:rPr>
              <w:t>)</w:t>
            </w:r>
          </w:p>
        </w:tc>
      </w:tr>
      <w:tr w:rsidR="006F4AE5" w:rsidRPr="00075DC8" w14:paraId="69EDFB0F" w14:textId="77777777" w:rsidTr="006F4AE5">
        <w:trPr>
          <w:jc w:val="center"/>
        </w:trPr>
        <w:tc>
          <w:tcPr>
            <w:tcW w:w="2056" w:type="dxa"/>
            <w:tcBorders>
              <w:top w:val="single" w:sz="4" w:space="0" w:color="auto"/>
              <w:left w:val="single" w:sz="4" w:space="0" w:color="auto"/>
              <w:bottom w:val="single" w:sz="4" w:space="0" w:color="auto"/>
              <w:right w:val="single" w:sz="4" w:space="0" w:color="auto"/>
            </w:tcBorders>
            <w:vAlign w:val="center"/>
          </w:tcPr>
          <w:p w14:paraId="3C23CD2C" w14:textId="77777777" w:rsidR="006F4AE5" w:rsidRPr="00075DC8" w:rsidRDefault="006F4AE5" w:rsidP="00754C3F">
            <w:pPr>
              <w:pStyle w:val="Tablehead"/>
              <w:rPr>
                <w:lang w:val="fr-FR"/>
              </w:rPr>
            </w:pPr>
            <w:r w:rsidRPr="00075DC8">
              <w:rPr>
                <w:lang w:val="fr-FR"/>
              </w:rPr>
              <w:t>Recommandation</w:t>
            </w:r>
            <w:r w:rsidRPr="00075DC8">
              <w:rPr>
                <w:lang w:val="fr-FR"/>
              </w:rPr>
              <w:br/>
              <w:t>UIT</w:t>
            </w:r>
            <w:r w:rsidRPr="00075DC8">
              <w:rPr>
                <w:lang w:val="fr-FR"/>
              </w:rPr>
              <w:noBreakHyphen/>
              <w:t>R</w:t>
            </w:r>
          </w:p>
        </w:tc>
        <w:tc>
          <w:tcPr>
            <w:tcW w:w="7599" w:type="dxa"/>
            <w:tcBorders>
              <w:top w:val="single" w:sz="4" w:space="0" w:color="auto"/>
              <w:left w:val="single" w:sz="4" w:space="0" w:color="auto"/>
              <w:bottom w:val="single" w:sz="4" w:space="0" w:color="auto"/>
              <w:right w:val="single" w:sz="4" w:space="0" w:color="auto"/>
            </w:tcBorders>
            <w:vAlign w:val="center"/>
          </w:tcPr>
          <w:p w14:paraId="4482D339" w14:textId="77777777" w:rsidR="006F4AE5" w:rsidRPr="00075DC8" w:rsidRDefault="006F4AE5" w:rsidP="00754C3F">
            <w:pPr>
              <w:pStyle w:val="Tablehead"/>
              <w:rPr>
                <w:lang w:val="fr-FR"/>
              </w:rPr>
            </w:pPr>
            <w:r w:rsidRPr="00075DC8">
              <w:rPr>
                <w:lang w:val="fr-FR"/>
              </w:rPr>
              <w:t>Titre</w:t>
            </w:r>
          </w:p>
        </w:tc>
      </w:tr>
      <w:tr w:rsidR="00725E50" w:rsidRPr="00075DC8" w14:paraId="1E621713" w14:textId="77777777" w:rsidTr="006F4AE5">
        <w:trPr>
          <w:jc w:val="center"/>
        </w:trPr>
        <w:tc>
          <w:tcPr>
            <w:tcW w:w="2056" w:type="dxa"/>
            <w:tcBorders>
              <w:top w:val="single" w:sz="4" w:space="0" w:color="auto"/>
              <w:left w:val="single" w:sz="4" w:space="0" w:color="auto"/>
              <w:bottom w:val="single" w:sz="4" w:space="0" w:color="auto"/>
              <w:right w:val="single" w:sz="4" w:space="0" w:color="auto"/>
            </w:tcBorders>
            <w:hideMark/>
          </w:tcPr>
          <w:p w14:paraId="701864B8" w14:textId="1000C313" w:rsidR="00725E50" w:rsidRPr="00075DC8" w:rsidRDefault="00725E50" w:rsidP="00ED4837">
            <w:pPr>
              <w:pStyle w:val="Tabletext"/>
              <w:jc w:val="center"/>
              <w:rPr>
                <w:lang w:val="fr-FR"/>
              </w:rPr>
            </w:pPr>
            <w:r w:rsidRPr="00075DC8">
              <w:rPr>
                <w:szCs w:val="22"/>
                <w:lang w:val="fr-FR"/>
              </w:rPr>
              <w:t>F.1494</w:t>
            </w:r>
          </w:p>
        </w:tc>
        <w:tc>
          <w:tcPr>
            <w:tcW w:w="7599" w:type="dxa"/>
            <w:tcBorders>
              <w:top w:val="single" w:sz="4" w:space="0" w:color="auto"/>
              <w:left w:val="single" w:sz="4" w:space="0" w:color="auto"/>
              <w:bottom w:val="single" w:sz="4" w:space="0" w:color="auto"/>
              <w:right w:val="single" w:sz="4" w:space="0" w:color="auto"/>
            </w:tcBorders>
            <w:hideMark/>
          </w:tcPr>
          <w:p w14:paraId="72DCDEF3" w14:textId="67B799BE" w:rsidR="00725E50" w:rsidRPr="00075DC8" w:rsidRDefault="00725E50" w:rsidP="00ED4837">
            <w:pPr>
              <w:pStyle w:val="Tabletext"/>
              <w:jc w:val="left"/>
              <w:rPr>
                <w:lang w:val="fr-FR"/>
              </w:rPr>
            </w:pPr>
            <w:r w:rsidRPr="00075DC8">
              <w:rPr>
                <w:szCs w:val="22"/>
                <w:lang w:val="fr-FR"/>
              </w:rPr>
              <w:t>Critères de brouillages propres à assurer la protection du service fixe contre les différents brouillages, variables avec le temps, occasionnés par d</w:t>
            </w:r>
            <w:r w:rsidR="001F6A0D" w:rsidRPr="00075DC8">
              <w:rPr>
                <w:szCs w:val="22"/>
                <w:lang w:val="fr-FR"/>
              </w:rPr>
              <w:t>'</w:t>
            </w:r>
            <w:r w:rsidRPr="00075DC8">
              <w:rPr>
                <w:szCs w:val="22"/>
                <w:lang w:val="fr-FR"/>
              </w:rPr>
              <w:t>autres services partageant la bande 10,7-12,75 GHz à titre coprimaire</w:t>
            </w:r>
          </w:p>
        </w:tc>
      </w:tr>
      <w:tr w:rsidR="00725E50" w:rsidRPr="00075DC8" w14:paraId="5409C4E3" w14:textId="77777777" w:rsidTr="006F4AE5">
        <w:trPr>
          <w:jc w:val="center"/>
        </w:trPr>
        <w:tc>
          <w:tcPr>
            <w:tcW w:w="2056" w:type="dxa"/>
            <w:tcBorders>
              <w:top w:val="single" w:sz="4" w:space="0" w:color="auto"/>
              <w:left w:val="single" w:sz="4" w:space="0" w:color="auto"/>
              <w:bottom w:val="single" w:sz="4" w:space="0" w:color="auto"/>
              <w:right w:val="single" w:sz="4" w:space="0" w:color="auto"/>
            </w:tcBorders>
            <w:hideMark/>
          </w:tcPr>
          <w:p w14:paraId="5AA16203" w14:textId="77777777" w:rsidR="00725E50" w:rsidRPr="00075DC8" w:rsidRDefault="00725E50" w:rsidP="00ED4837">
            <w:pPr>
              <w:pStyle w:val="Tabletext"/>
              <w:jc w:val="center"/>
              <w:rPr>
                <w:lang w:val="fr-FR"/>
              </w:rPr>
            </w:pPr>
            <w:r w:rsidRPr="00075DC8">
              <w:rPr>
                <w:szCs w:val="22"/>
                <w:lang w:val="fr-FR"/>
              </w:rPr>
              <w:t>F.1495</w:t>
            </w:r>
          </w:p>
        </w:tc>
        <w:tc>
          <w:tcPr>
            <w:tcW w:w="7599" w:type="dxa"/>
            <w:tcBorders>
              <w:top w:val="single" w:sz="4" w:space="0" w:color="auto"/>
              <w:left w:val="single" w:sz="4" w:space="0" w:color="auto"/>
              <w:bottom w:val="single" w:sz="4" w:space="0" w:color="auto"/>
              <w:right w:val="single" w:sz="4" w:space="0" w:color="auto"/>
            </w:tcBorders>
            <w:hideMark/>
          </w:tcPr>
          <w:p w14:paraId="7C39E4C1" w14:textId="41360FE4" w:rsidR="00725E50" w:rsidRPr="00075DC8" w:rsidRDefault="00725E50" w:rsidP="00ED4837">
            <w:pPr>
              <w:pStyle w:val="Tabletext"/>
              <w:jc w:val="left"/>
              <w:rPr>
                <w:lang w:val="fr-FR"/>
              </w:rPr>
            </w:pPr>
            <w:r w:rsidRPr="00075DC8">
              <w:rPr>
                <w:szCs w:val="22"/>
                <w:lang w:val="fr-FR"/>
              </w:rPr>
              <w:t>Critères de brouillage à appliquer pour protéger le service fixe contre les brouillages composites variables dans le temps causés par d</w:t>
            </w:r>
            <w:r w:rsidR="001F6A0D" w:rsidRPr="00075DC8">
              <w:rPr>
                <w:szCs w:val="22"/>
                <w:lang w:val="fr-FR"/>
              </w:rPr>
              <w:t>'</w:t>
            </w:r>
            <w:r w:rsidRPr="00075DC8">
              <w:rPr>
                <w:szCs w:val="22"/>
                <w:lang w:val="fr-FR"/>
              </w:rPr>
              <w:t>autres services de radiocommunication partageant la bande 17,7-19,3 GHz à titre coprimaire</w:t>
            </w:r>
          </w:p>
        </w:tc>
      </w:tr>
      <w:tr w:rsidR="00725E50" w:rsidRPr="00075DC8" w14:paraId="308F618D" w14:textId="77777777" w:rsidTr="006F4AE5">
        <w:trPr>
          <w:jc w:val="center"/>
        </w:trPr>
        <w:tc>
          <w:tcPr>
            <w:tcW w:w="2056" w:type="dxa"/>
            <w:tcBorders>
              <w:top w:val="single" w:sz="4" w:space="0" w:color="auto"/>
              <w:left w:val="single" w:sz="4" w:space="0" w:color="auto"/>
              <w:bottom w:val="single" w:sz="4" w:space="0" w:color="auto"/>
              <w:right w:val="single" w:sz="4" w:space="0" w:color="auto"/>
            </w:tcBorders>
            <w:hideMark/>
          </w:tcPr>
          <w:p w14:paraId="15D30D36" w14:textId="77777777" w:rsidR="00725E50" w:rsidRPr="00075DC8" w:rsidRDefault="00725E50" w:rsidP="00ED4837">
            <w:pPr>
              <w:pStyle w:val="Tabletext"/>
              <w:jc w:val="center"/>
              <w:rPr>
                <w:lang w:val="fr-FR"/>
              </w:rPr>
            </w:pPr>
            <w:r w:rsidRPr="00075DC8">
              <w:rPr>
                <w:szCs w:val="22"/>
                <w:lang w:val="fr-FR"/>
              </w:rPr>
              <w:t>F.1565</w:t>
            </w:r>
          </w:p>
        </w:tc>
        <w:tc>
          <w:tcPr>
            <w:tcW w:w="7599" w:type="dxa"/>
            <w:tcBorders>
              <w:top w:val="single" w:sz="4" w:space="0" w:color="auto"/>
              <w:left w:val="single" w:sz="4" w:space="0" w:color="auto"/>
              <w:bottom w:val="single" w:sz="4" w:space="0" w:color="auto"/>
              <w:right w:val="single" w:sz="4" w:space="0" w:color="auto"/>
            </w:tcBorders>
            <w:hideMark/>
          </w:tcPr>
          <w:p w14:paraId="5CAE94CD" w14:textId="41F0F072" w:rsidR="00725E50" w:rsidRPr="00075DC8" w:rsidRDefault="00725E50" w:rsidP="00ED4837">
            <w:pPr>
              <w:pStyle w:val="Tabletext"/>
              <w:jc w:val="left"/>
              <w:rPr>
                <w:lang w:val="fr-FR"/>
              </w:rPr>
            </w:pPr>
            <w:r w:rsidRPr="00075DC8">
              <w:rPr>
                <w:szCs w:val="22"/>
                <w:lang w:val="fr-FR"/>
              </w:rPr>
              <w:t>Dégradation de la qualité de fonctionnement due aux brouillages causés par d</w:t>
            </w:r>
            <w:r w:rsidR="001F6A0D" w:rsidRPr="00075DC8">
              <w:rPr>
                <w:szCs w:val="22"/>
                <w:lang w:val="fr-FR"/>
              </w:rPr>
              <w:t>'</w:t>
            </w:r>
            <w:r w:rsidRPr="00075DC8">
              <w:rPr>
                <w:szCs w:val="22"/>
                <w:lang w:val="fr-FR"/>
              </w:rPr>
              <w:t>autres services partageant les mêmes bandes de fréquences avec des systèmes hertziens numériques réels utilisés dans le tronçon international ou national d</w:t>
            </w:r>
            <w:r w:rsidR="001F6A0D" w:rsidRPr="00075DC8">
              <w:rPr>
                <w:szCs w:val="22"/>
                <w:lang w:val="fr-FR"/>
              </w:rPr>
              <w:t>'</w:t>
            </w:r>
            <w:r w:rsidRPr="00075DC8">
              <w:rPr>
                <w:szCs w:val="22"/>
                <w:lang w:val="fr-FR"/>
              </w:rPr>
              <w:t>un conduit fictif de référence de 27 500 km et fonctionnant à un débit égal ou supérieur au débit primaire</w:t>
            </w:r>
          </w:p>
        </w:tc>
      </w:tr>
      <w:tr w:rsidR="00725E50" w:rsidRPr="00075DC8" w14:paraId="170F6995" w14:textId="77777777" w:rsidTr="006F4AE5">
        <w:trPr>
          <w:jc w:val="center"/>
        </w:trPr>
        <w:tc>
          <w:tcPr>
            <w:tcW w:w="2056" w:type="dxa"/>
            <w:tcBorders>
              <w:top w:val="single" w:sz="4" w:space="0" w:color="auto"/>
              <w:left w:val="single" w:sz="4" w:space="0" w:color="auto"/>
              <w:bottom w:val="single" w:sz="4" w:space="0" w:color="auto"/>
              <w:right w:val="single" w:sz="4" w:space="0" w:color="auto"/>
            </w:tcBorders>
            <w:hideMark/>
          </w:tcPr>
          <w:p w14:paraId="079E3957" w14:textId="77777777" w:rsidR="00725E50" w:rsidRPr="00075DC8" w:rsidRDefault="00725E50" w:rsidP="00ED4837">
            <w:pPr>
              <w:pStyle w:val="Tabletext"/>
              <w:jc w:val="center"/>
              <w:rPr>
                <w:lang w:val="fr-FR"/>
              </w:rPr>
            </w:pPr>
            <w:r w:rsidRPr="00075DC8">
              <w:rPr>
                <w:szCs w:val="22"/>
                <w:lang w:val="fr-FR"/>
              </w:rPr>
              <w:t>F.1606</w:t>
            </w:r>
          </w:p>
        </w:tc>
        <w:tc>
          <w:tcPr>
            <w:tcW w:w="7599" w:type="dxa"/>
            <w:tcBorders>
              <w:top w:val="single" w:sz="4" w:space="0" w:color="auto"/>
              <w:left w:val="single" w:sz="4" w:space="0" w:color="auto"/>
              <w:bottom w:val="single" w:sz="4" w:space="0" w:color="auto"/>
              <w:right w:val="single" w:sz="4" w:space="0" w:color="auto"/>
            </w:tcBorders>
            <w:hideMark/>
          </w:tcPr>
          <w:p w14:paraId="5C0A6D49" w14:textId="205954EE" w:rsidR="00725E50" w:rsidRPr="00075DC8" w:rsidRDefault="00725E50" w:rsidP="00ED4837">
            <w:pPr>
              <w:pStyle w:val="Tabletext"/>
              <w:jc w:val="left"/>
              <w:rPr>
                <w:lang w:val="fr-FR"/>
              </w:rPr>
            </w:pPr>
            <w:r w:rsidRPr="00075DC8">
              <w:rPr>
                <w:szCs w:val="22"/>
                <w:lang w:val="fr-FR"/>
              </w:rPr>
              <w:t>Critères de brouillage pour la protection des systèmes hertziens fixes contre les brouillages composites variable dans le temps et causés par des satellites non géostationnaires exploités dans d</w:t>
            </w:r>
            <w:r w:rsidR="001F6A0D" w:rsidRPr="00075DC8">
              <w:rPr>
                <w:szCs w:val="22"/>
                <w:lang w:val="fr-FR"/>
              </w:rPr>
              <w:t>'</w:t>
            </w:r>
            <w:r w:rsidRPr="00075DC8">
              <w:rPr>
                <w:szCs w:val="22"/>
                <w:lang w:val="fr-FR"/>
              </w:rPr>
              <w:t>autres services partageant les bandes 37-40 GHz et 40,5-42,5 GHz à titre coprimaire</w:t>
            </w:r>
          </w:p>
        </w:tc>
      </w:tr>
      <w:tr w:rsidR="00725E50" w:rsidRPr="00075DC8" w14:paraId="15AC0D3B" w14:textId="77777777" w:rsidTr="006F4AE5">
        <w:trPr>
          <w:jc w:val="center"/>
        </w:trPr>
        <w:tc>
          <w:tcPr>
            <w:tcW w:w="2056" w:type="dxa"/>
            <w:tcBorders>
              <w:top w:val="single" w:sz="4" w:space="0" w:color="auto"/>
              <w:left w:val="single" w:sz="4" w:space="0" w:color="auto"/>
              <w:bottom w:val="single" w:sz="4" w:space="0" w:color="auto"/>
              <w:right w:val="single" w:sz="4" w:space="0" w:color="auto"/>
            </w:tcBorders>
          </w:tcPr>
          <w:p w14:paraId="4552275C" w14:textId="77777777" w:rsidR="00725E50" w:rsidRPr="00075DC8" w:rsidRDefault="00725E50" w:rsidP="00ED4837">
            <w:pPr>
              <w:pStyle w:val="Tabletext"/>
              <w:jc w:val="center"/>
              <w:rPr>
                <w:szCs w:val="22"/>
                <w:lang w:val="fr-FR"/>
              </w:rPr>
            </w:pPr>
            <w:r w:rsidRPr="00075DC8">
              <w:rPr>
                <w:szCs w:val="22"/>
                <w:lang w:val="fr-FR"/>
              </w:rPr>
              <w:t>F.1668</w:t>
            </w:r>
          </w:p>
        </w:tc>
        <w:tc>
          <w:tcPr>
            <w:tcW w:w="7599" w:type="dxa"/>
            <w:tcBorders>
              <w:top w:val="single" w:sz="4" w:space="0" w:color="auto"/>
              <w:left w:val="single" w:sz="4" w:space="0" w:color="auto"/>
              <w:bottom w:val="single" w:sz="4" w:space="0" w:color="auto"/>
              <w:right w:val="single" w:sz="4" w:space="0" w:color="auto"/>
            </w:tcBorders>
          </w:tcPr>
          <w:p w14:paraId="7BBCD108" w14:textId="322FBDE6" w:rsidR="00725E50" w:rsidRPr="00075DC8" w:rsidRDefault="00725E50" w:rsidP="00ED4837">
            <w:pPr>
              <w:pStyle w:val="Tabletext"/>
              <w:jc w:val="left"/>
              <w:rPr>
                <w:szCs w:val="22"/>
                <w:lang w:val="fr-FR"/>
              </w:rPr>
            </w:pPr>
            <w:r w:rsidRPr="00075DC8">
              <w:rPr>
                <w:szCs w:val="22"/>
                <w:lang w:val="fr-FR"/>
              </w:rPr>
              <w:t>Objectifs de qualité en matière d</w:t>
            </w:r>
            <w:r w:rsidR="001F6A0D" w:rsidRPr="00075DC8">
              <w:rPr>
                <w:szCs w:val="22"/>
                <w:lang w:val="fr-FR"/>
              </w:rPr>
              <w:t>'</w:t>
            </w:r>
            <w:r w:rsidRPr="00075DC8">
              <w:rPr>
                <w:szCs w:val="22"/>
                <w:lang w:val="fr-FR"/>
              </w:rPr>
              <w:t>erreur applicables aux liaisons hertziennes fixes numériques réelles utilisées dans des conduits et des connexions fictifs de référence de 27 500 km</w:t>
            </w:r>
          </w:p>
        </w:tc>
      </w:tr>
      <w:tr w:rsidR="00725E50" w:rsidRPr="00075DC8" w14:paraId="31DB32F1" w14:textId="77777777" w:rsidTr="006F4AE5">
        <w:trPr>
          <w:jc w:val="center"/>
        </w:trPr>
        <w:tc>
          <w:tcPr>
            <w:tcW w:w="2056" w:type="dxa"/>
            <w:tcBorders>
              <w:top w:val="single" w:sz="4" w:space="0" w:color="auto"/>
              <w:left w:val="single" w:sz="4" w:space="0" w:color="auto"/>
              <w:bottom w:val="single" w:sz="4" w:space="0" w:color="auto"/>
              <w:right w:val="single" w:sz="4" w:space="0" w:color="auto"/>
            </w:tcBorders>
          </w:tcPr>
          <w:p w14:paraId="04844483" w14:textId="77777777" w:rsidR="00725E50" w:rsidRPr="00075DC8" w:rsidRDefault="00725E50" w:rsidP="00ED4837">
            <w:pPr>
              <w:pStyle w:val="Tabletext"/>
              <w:jc w:val="center"/>
              <w:rPr>
                <w:szCs w:val="22"/>
                <w:lang w:val="fr-FR"/>
              </w:rPr>
            </w:pPr>
            <w:r w:rsidRPr="00075DC8">
              <w:rPr>
                <w:szCs w:val="22"/>
                <w:lang w:val="fr-FR"/>
              </w:rPr>
              <w:t>F.1669</w:t>
            </w:r>
          </w:p>
        </w:tc>
        <w:tc>
          <w:tcPr>
            <w:tcW w:w="7599" w:type="dxa"/>
            <w:tcBorders>
              <w:top w:val="single" w:sz="4" w:space="0" w:color="auto"/>
              <w:left w:val="single" w:sz="4" w:space="0" w:color="auto"/>
              <w:bottom w:val="single" w:sz="4" w:space="0" w:color="auto"/>
              <w:right w:val="single" w:sz="4" w:space="0" w:color="auto"/>
            </w:tcBorders>
          </w:tcPr>
          <w:p w14:paraId="61451248" w14:textId="77777777" w:rsidR="00725E50" w:rsidRPr="00075DC8" w:rsidRDefault="00725E50" w:rsidP="00ED4837">
            <w:pPr>
              <w:pStyle w:val="Tabletext"/>
              <w:jc w:val="left"/>
              <w:rPr>
                <w:szCs w:val="22"/>
                <w:lang w:val="fr-FR"/>
              </w:rPr>
            </w:pPr>
            <w:r w:rsidRPr="00075DC8">
              <w:rPr>
                <w:szCs w:val="22"/>
                <w:lang w:val="fr-FR"/>
              </w:rPr>
              <w:t>Critères de protection des systèmes hertziens fixes fonctionnant dans les bandes 37</w:t>
            </w:r>
            <w:r w:rsidRPr="00075DC8">
              <w:rPr>
                <w:szCs w:val="22"/>
                <w:lang w:val="fr-FR"/>
              </w:rPr>
              <w:noBreakHyphen/>
              <w:t>40 GHz et 40,5-42,5 GHz contre les brouillages causés par des satellites en orbite géostationnaire</w:t>
            </w:r>
          </w:p>
        </w:tc>
      </w:tr>
      <w:tr w:rsidR="00725E50" w:rsidRPr="00075DC8" w14:paraId="423E06F7" w14:textId="77777777" w:rsidTr="006F4AE5">
        <w:trPr>
          <w:jc w:val="center"/>
        </w:trPr>
        <w:tc>
          <w:tcPr>
            <w:tcW w:w="2056" w:type="dxa"/>
            <w:tcBorders>
              <w:top w:val="single" w:sz="4" w:space="0" w:color="auto"/>
              <w:left w:val="single" w:sz="4" w:space="0" w:color="auto"/>
              <w:bottom w:val="single" w:sz="4" w:space="0" w:color="auto"/>
              <w:right w:val="single" w:sz="4" w:space="0" w:color="auto"/>
            </w:tcBorders>
          </w:tcPr>
          <w:p w14:paraId="413E18C6" w14:textId="77777777" w:rsidR="00725E50" w:rsidRPr="00075DC8" w:rsidRDefault="00725E50" w:rsidP="00ED4837">
            <w:pPr>
              <w:pStyle w:val="Tabletext"/>
              <w:jc w:val="center"/>
              <w:rPr>
                <w:szCs w:val="22"/>
                <w:lang w:val="fr-FR"/>
              </w:rPr>
            </w:pPr>
            <w:r w:rsidRPr="00075DC8">
              <w:rPr>
                <w:szCs w:val="22"/>
                <w:lang w:val="fr-FR"/>
              </w:rPr>
              <w:t>F.1670</w:t>
            </w:r>
          </w:p>
        </w:tc>
        <w:tc>
          <w:tcPr>
            <w:tcW w:w="7599" w:type="dxa"/>
            <w:tcBorders>
              <w:top w:val="single" w:sz="4" w:space="0" w:color="auto"/>
              <w:left w:val="single" w:sz="4" w:space="0" w:color="auto"/>
              <w:bottom w:val="single" w:sz="4" w:space="0" w:color="auto"/>
              <w:right w:val="single" w:sz="4" w:space="0" w:color="auto"/>
            </w:tcBorders>
          </w:tcPr>
          <w:p w14:paraId="064939E0" w14:textId="2928F3F2" w:rsidR="00725E50" w:rsidRPr="00075DC8" w:rsidRDefault="00725E50" w:rsidP="00ED4837">
            <w:pPr>
              <w:pStyle w:val="Tabletext"/>
              <w:jc w:val="left"/>
              <w:rPr>
                <w:szCs w:val="22"/>
                <w:lang w:val="fr-FR"/>
              </w:rPr>
            </w:pPr>
            <w:r w:rsidRPr="00075DC8">
              <w:rPr>
                <w:szCs w:val="22"/>
                <w:lang w:val="fr-FR"/>
              </w:rPr>
              <w:t>Protection des systèmes hertziens fixes vis-à-vis des systèmes de radiodiffusion vidéonumérique et sonore de Terre dans les bandes d</w:t>
            </w:r>
            <w:r w:rsidR="001F6A0D" w:rsidRPr="00075DC8">
              <w:rPr>
                <w:szCs w:val="22"/>
                <w:lang w:val="fr-FR"/>
              </w:rPr>
              <w:t>'</w:t>
            </w:r>
            <w:r w:rsidRPr="00075DC8">
              <w:rPr>
                <w:szCs w:val="22"/>
                <w:lang w:val="fr-FR"/>
              </w:rPr>
              <w:t>ondes métriques et décimétriques utilisées en partage</w:t>
            </w:r>
          </w:p>
        </w:tc>
      </w:tr>
      <w:tr w:rsidR="00725E50" w:rsidRPr="00075DC8" w14:paraId="746E4057" w14:textId="77777777" w:rsidTr="006F4AE5">
        <w:trPr>
          <w:jc w:val="center"/>
        </w:trPr>
        <w:tc>
          <w:tcPr>
            <w:tcW w:w="2056" w:type="dxa"/>
            <w:tcBorders>
              <w:top w:val="single" w:sz="4" w:space="0" w:color="auto"/>
              <w:left w:val="single" w:sz="4" w:space="0" w:color="auto"/>
              <w:bottom w:val="single" w:sz="4" w:space="0" w:color="auto"/>
              <w:right w:val="single" w:sz="4" w:space="0" w:color="auto"/>
            </w:tcBorders>
          </w:tcPr>
          <w:p w14:paraId="609DFB3C" w14:textId="77777777" w:rsidR="00725E50" w:rsidRPr="00075DC8" w:rsidRDefault="00725E50" w:rsidP="00ED4837">
            <w:pPr>
              <w:pStyle w:val="Tabletext"/>
              <w:jc w:val="center"/>
              <w:rPr>
                <w:szCs w:val="22"/>
                <w:lang w:val="fr-FR"/>
              </w:rPr>
            </w:pPr>
            <w:r w:rsidRPr="00075DC8">
              <w:rPr>
                <w:szCs w:val="22"/>
                <w:lang w:val="fr-FR"/>
              </w:rPr>
              <w:t>F.1703</w:t>
            </w:r>
          </w:p>
        </w:tc>
        <w:tc>
          <w:tcPr>
            <w:tcW w:w="7599" w:type="dxa"/>
            <w:tcBorders>
              <w:top w:val="single" w:sz="4" w:space="0" w:color="auto"/>
              <w:left w:val="single" w:sz="4" w:space="0" w:color="auto"/>
              <w:bottom w:val="single" w:sz="4" w:space="0" w:color="auto"/>
              <w:right w:val="single" w:sz="4" w:space="0" w:color="auto"/>
            </w:tcBorders>
          </w:tcPr>
          <w:p w14:paraId="27BC0DE8" w14:textId="77777777" w:rsidR="00725E50" w:rsidRPr="00075DC8" w:rsidRDefault="00725E50" w:rsidP="00ED4837">
            <w:pPr>
              <w:pStyle w:val="Tabletext"/>
              <w:jc w:val="left"/>
              <w:rPr>
                <w:szCs w:val="22"/>
                <w:lang w:val="fr-FR"/>
              </w:rPr>
            </w:pPr>
            <w:r w:rsidRPr="00075DC8">
              <w:rPr>
                <w:szCs w:val="22"/>
                <w:lang w:val="fr-FR"/>
              </w:rPr>
              <w:t>Objectifs de disponibilité applicables à des liaisons hertziennes fixes numériques réelles utilisées dans des conduits et des connexions fictifs de référence de 27 500 km</w:t>
            </w:r>
          </w:p>
        </w:tc>
      </w:tr>
      <w:tr w:rsidR="00725E50" w:rsidRPr="00075DC8" w14:paraId="2858A94F" w14:textId="77777777" w:rsidTr="006F4AE5">
        <w:trPr>
          <w:jc w:val="center"/>
        </w:trPr>
        <w:tc>
          <w:tcPr>
            <w:tcW w:w="2056" w:type="dxa"/>
            <w:tcBorders>
              <w:top w:val="single" w:sz="4" w:space="0" w:color="auto"/>
              <w:left w:val="single" w:sz="4" w:space="0" w:color="auto"/>
              <w:bottom w:val="single" w:sz="4" w:space="0" w:color="auto"/>
              <w:right w:val="single" w:sz="4" w:space="0" w:color="auto"/>
            </w:tcBorders>
          </w:tcPr>
          <w:p w14:paraId="44A73940" w14:textId="77777777" w:rsidR="00725E50" w:rsidRPr="00075DC8" w:rsidRDefault="00725E50" w:rsidP="00ED4837">
            <w:pPr>
              <w:pStyle w:val="Tabletext"/>
              <w:jc w:val="center"/>
              <w:rPr>
                <w:szCs w:val="22"/>
                <w:lang w:val="fr-FR"/>
              </w:rPr>
            </w:pPr>
            <w:r w:rsidRPr="00075DC8">
              <w:rPr>
                <w:szCs w:val="22"/>
                <w:lang w:val="fr-FR"/>
              </w:rPr>
              <w:t>F.1706</w:t>
            </w:r>
          </w:p>
        </w:tc>
        <w:tc>
          <w:tcPr>
            <w:tcW w:w="7599" w:type="dxa"/>
            <w:tcBorders>
              <w:top w:val="single" w:sz="4" w:space="0" w:color="auto"/>
              <w:left w:val="single" w:sz="4" w:space="0" w:color="auto"/>
              <w:bottom w:val="single" w:sz="4" w:space="0" w:color="auto"/>
              <w:right w:val="single" w:sz="4" w:space="0" w:color="auto"/>
            </w:tcBorders>
          </w:tcPr>
          <w:p w14:paraId="5E4C189A" w14:textId="1BAA0228" w:rsidR="00725E50" w:rsidRPr="00075DC8" w:rsidRDefault="00725E50" w:rsidP="00ED4837">
            <w:pPr>
              <w:pStyle w:val="Tabletext"/>
              <w:jc w:val="left"/>
              <w:rPr>
                <w:szCs w:val="22"/>
                <w:lang w:val="fr-FR"/>
              </w:rPr>
            </w:pPr>
            <w:r w:rsidRPr="00075DC8">
              <w:rPr>
                <w:szCs w:val="22"/>
                <w:lang w:val="fr-FR"/>
              </w:rPr>
              <w:t>Critères de protection des systèmes hertziens fixes point à point partageant avec des systèmes d</w:t>
            </w:r>
            <w:r w:rsidR="001F6A0D" w:rsidRPr="00075DC8">
              <w:rPr>
                <w:szCs w:val="22"/>
                <w:lang w:val="fr-FR"/>
              </w:rPr>
              <w:t>'</w:t>
            </w:r>
            <w:r w:rsidRPr="00075DC8">
              <w:rPr>
                <w:szCs w:val="22"/>
                <w:lang w:val="fr-FR"/>
              </w:rPr>
              <w:t>accès hertziens nomades une même bande de fréquences dans la gamme 4-6 GHz</w:t>
            </w:r>
          </w:p>
        </w:tc>
      </w:tr>
      <w:tr w:rsidR="00725E50" w:rsidRPr="00075DC8" w14:paraId="0D1B3A0F" w14:textId="77777777" w:rsidTr="006F4AE5">
        <w:trPr>
          <w:jc w:val="center"/>
        </w:trPr>
        <w:tc>
          <w:tcPr>
            <w:tcW w:w="2056" w:type="dxa"/>
            <w:tcBorders>
              <w:top w:val="single" w:sz="4" w:space="0" w:color="auto"/>
              <w:left w:val="single" w:sz="4" w:space="0" w:color="auto"/>
              <w:bottom w:val="single" w:sz="4" w:space="0" w:color="auto"/>
              <w:right w:val="single" w:sz="4" w:space="0" w:color="auto"/>
            </w:tcBorders>
          </w:tcPr>
          <w:p w14:paraId="6C63FB9C" w14:textId="77777777" w:rsidR="00725E50" w:rsidRPr="00075DC8" w:rsidRDefault="00725E50" w:rsidP="00ED4837">
            <w:pPr>
              <w:pStyle w:val="Tabletext"/>
              <w:jc w:val="center"/>
              <w:rPr>
                <w:szCs w:val="22"/>
                <w:lang w:val="fr-FR"/>
              </w:rPr>
            </w:pPr>
            <w:r w:rsidRPr="00075DC8">
              <w:rPr>
                <w:szCs w:val="22"/>
                <w:lang w:val="fr-FR"/>
              </w:rPr>
              <w:t>SF.1006</w:t>
            </w:r>
          </w:p>
        </w:tc>
        <w:tc>
          <w:tcPr>
            <w:tcW w:w="7599" w:type="dxa"/>
            <w:tcBorders>
              <w:top w:val="single" w:sz="4" w:space="0" w:color="auto"/>
              <w:left w:val="single" w:sz="4" w:space="0" w:color="auto"/>
              <w:bottom w:val="single" w:sz="4" w:space="0" w:color="auto"/>
              <w:right w:val="single" w:sz="4" w:space="0" w:color="auto"/>
            </w:tcBorders>
          </w:tcPr>
          <w:p w14:paraId="52B88D8D" w14:textId="77777777" w:rsidR="00725E50" w:rsidRPr="00075DC8" w:rsidRDefault="00725E50" w:rsidP="00ED4837">
            <w:pPr>
              <w:pStyle w:val="Tabletext"/>
              <w:jc w:val="left"/>
              <w:rPr>
                <w:szCs w:val="22"/>
                <w:lang w:val="fr-FR"/>
              </w:rPr>
            </w:pPr>
            <w:r w:rsidRPr="00075DC8">
              <w:rPr>
                <w:szCs w:val="22"/>
                <w:lang w:val="fr-FR"/>
              </w:rPr>
              <w:t>Détermination des possibilités de brouillage entre stations terriennes du service fixe par satellite et stations du service fixe</w:t>
            </w:r>
          </w:p>
        </w:tc>
      </w:tr>
      <w:tr w:rsidR="00725E50" w:rsidRPr="00075DC8" w14:paraId="096AD023" w14:textId="77777777" w:rsidTr="006F4AE5">
        <w:trPr>
          <w:jc w:val="center"/>
        </w:trPr>
        <w:tc>
          <w:tcPr>
            <w:tcW w:w="2056" w:type="dxa"/>
            <w:tcBorders>
              <w:top w:val="single" w:sz="4" w:space="0" w:color="auto"/>
              <w:left w:val="single" w:sz="4" w:space="0" w:color="auto"/>
              <w:bottom w:val="single" w:sz="4" w:space="0" w:color="auto"/>
              <w:right w:val="single" w:sz="4" w:space="0" w:color="auto"/>
            </w:tcBorders>
          </w:tcPr>
          <w:p w14:paraId="688F1123" w14:textId="77777777" w:rsidR="00725E50" w:rsidRPr="00075DC8" w:rsidRDefault="00725E50" w:rsidP="00ED4837">
            <w:pPr>
              <w:pStyle w:val="Tabletext"/>
              <w:jc w:val="center"/>
              <w:rPr>
                <w:szCs w:val="22"/>
                <w:lang w:val="fr-FR"/>
              </w:rPr>
            </w:pPr>
            <w:r w:rsidRPr="00075DC8">
              <w:rPr>
                <w:szCs w:val="22"/>
                <w:lang w:val="fr-FR"/>
              </w:rPr>
              <w:t>SF.1650</w:t>
            </w:r>
          </w:p>
        </w:tc>
        <w:tc>
          <w:tcPr>
            <w:tcW w:w="7599" w:type="dxa"/>
            <w:tcBorders>
              <w:top w:val="single" w:sz="4" w:space="0" w:color="auto"/>
              <w:left w:val="single" w:sz="4" w:space="0" w:color="auto"/>
              <w:bottom w:val="single" w:sz="4" w:space="0" w:color="auto"/>
              <w:right w:val="single" w:sz="4" w:space="0" w:color="auto"/>
            </w:tcBorders>
          </w:tcPr>
          <w:p w14:paraId="539154B0" w14:textId="77777777" w:rsidR="00725E50" w:rsidRPr="00075DC8" w:rsidRDefault="00725E50" w:rsidP="00ED4837">
            <w:pPr>
              <w:pStyle w:val="Tabletext"/>
              <w:jc w:val="left"/>
              <w:rPr>
                <w:szCs w:val="22"/>
                <w:lang w:val="fr-FR"/>
              </w:rPr>
            </w:pPr>
            <w:r w:rsidRPr="00075DC8">
              <w:rPr>
                <w:szCs w:val="22"/>
                <w:lang w:val="fr-FR"/>
              </w:rPr>
              <w:t>Distance minimale à partir de la ligne de base au-delà de laquelle les stations terriennes en mouvement embarquées ne causeraient pas de brouillages inacceptables aux services de Terre dans les bandes 5 925-6 425 MHz et 14</w:t>
            </w:r>
            <w:r w:rsidRPr="00075DC8">
              <w:rPr>
                <w:szCs w:val="22"/>
                <w:lang w:val="fr-FR"/>
              </w:rPr>
              <w:noBreakHyphen/>
              <w:t>14,5 GHz</w:t>
            </w:r>
          </w:p>
        </w:tc>
      </w:tr>
    </w:tbl>
    <w:p w14:paraId="21F6C38E" w14:textId="77777777" w:rsidR="00ED7FB5" w:rsidRPr="00075DC8" w:rsidRDefault="00ED7FB5" w:rsidP="00ED7FB5">
      <w:pPr>
        <w:pStyle w:val="Tablefin"/>
        <w:rPr>
          <w:lang w:val="fr-FR"/>
        </w:rPr>
      </w:pPr>
    </w:p>
    <w:p w14:paraId="61BF8D47" w14:textId="4B8E0230" w:rsidR="00725E50" w:rsidRPr="00075DC8" w:rsidRDefault="00725E50" w:rsidP="00ED7FB5">
      <w:pPr>
        <w:pStyle w:val="Heading2"/>
        <w:rPr>
          <w:lang w:val="fr-FR"/>
        </w:rPr>
      </w:pPr>
      <w:bookmarkStart w:id="27" w:name="_Toc198643823"/>
      <w:r w:rsidRPr="00075DC8">
        <w:rPr>
          <w:lang w:val="fr-FR"/>
        </w:rPr>
        <w:t>4.1</w:t>
      </w:r>
      <w:r w:rsidRPr="00075DC8">
        <w:rPr>
          <w:lang w:val="fr-FR"/>
        </w:rPr>
        <w:tab/>
        <w:t>Brouillage de longue durée</w:t>
      </w:r>
      <w:bookmarkEnd w:id="27"/>
    </w:p>
    <w:p w14:paraId="0C9BD056" w14:textId="722ACF88" w:rsidR="00725E50" w:rsidRPr="00075DC8" w:rsidRDefault="00725E50" w:rsidP="00725E50">
      <w:pPr>
        <w:rPr>
          <w:lang w:val="fr-FR"/>
        </w:rPr>
      </w:pPr>
      <w:r w:rsidRPr="00075DC8">
        <w:rPr>
          <w:lang w:val="fr-FR"/>
        </w:rPr>
        <w:t xml:space="preserve">La </w:t>
      </w:r>
      <w:hyperlink r:id="rId78" w:history="1">
        <w:r w:rsidRPr="00075DC8">
          <w:rPr>
            <w:lang w:val="fr-FR"/>
          </w:rPr>
          <w:t>Recommandation UIT-R F.1094</w:t>
        </w:r>
      </w:hyperlink>
      <w:r w:rsidRPr="00075DC8">
        <w:rPr>
          <w:lang w:val="fr-FR"/>
        </w:rPr>
        <w:t xml:space="preserve"> pose les fondements de la répartition entre les objectifs de qualité en matière d</w:t>
      </w:r>
      <w:r w:rsidR="001F6A0D" w:rsidRPr="00075DC8">
        <w:rPr>
          <w:lang w:val="fr-FR"/>
        </w:rPr>
        <w:t>'</w:t>
      </w:r>
      <w:r w:rsidRPr="00075DC8">
        <w:rPr>
          <w:lang w:val="fr-FR"/>
        </w:rPr>
        <w:t>erreur (EPO) et les objectifs de qualité en matière de disponibilité (APO).</w:t>
      </w:r>
    </w:p>
    <w:p w14:paraId="50942A2A" w14:textId="77777777" w:rsidR="00725E50" w:rsidRPr="00075DC8" w:rsidRDefault="00725E50" w:rsidP="00725E50">
      <w:pPr>
        <w:rPr>
          <w:lang w:val="fr-FR"/>
        </w:rPr>
      </w:pPr>
      <w:r w:rsidRPr="00075DC8">
        <w:rPr>
          <w:lang w:val="fr-FR"/>
        </w:rPr>
        <w:t>Dans le présent paragraphe, on examine les relations entre les trois sujets a), b) et c) ci-après, en excluant toute considération qui a trait au brouillage de courte durée:</w:t>
      </w:r>
    </w:p>
    <w:p w14:paraId="5F226C91" w14:textId="36D1A8C2" w:rsidR="00725E50" w:rsidRPr="00075DC8" w:rsidRDefault="00725E50" w:rsidP="00725E50">
      <w:pPr>
        <w:pStyle w:val="enumlev1"/>
        <w:rPr>
          <w:lang w:val="fr-FR"/>
        </w:rPr>
      </w:pPr>
      <w:r w:rsidRPr="00075DC8">
        <w:rPr>
          <w:lang w:val="fr-FR"/>
        </w:rPr>
        <w:lastRenderedPageBreak/>
        <w:t>a)</w:t>
      </w:r>
      <w:r w:rsidRPr="00075DC8">
        <w:rPr>
          <w:lang w:val="fr-FR"/>
        </w:rPr>
        <w:tab/>
        <w:t>La dégradation de la qualité en matière d</w:t>
      </w:r>
      <w:r w:rsidR="001F6A0D" w:rsidRPr="00075DC8">
        <w:rPr>
          <w:lang w:val="fr-FR"/>
        </w:rPr>
        <w:t>'</w:t>
      </w:r>
      <w:r w:rsidRPr="00075DC8">
        <w:rPr>
          <w:lang w:val="fr-FR"/>
        </w:rPr>
        <w:t>erreur ou de la qualité en matière de disponibilité, causée par le brouillage provenant du service bénéficiant d</w:t>
      </w:r>
      <w:r w:rsidR="001F6A0D" w:rsidRPr="00075DC8">
        <w:rPr>
          <w:lang w:val="fr-FR"/>
        </w:rPr>
        <w:t>'</w:t>
      </w:r>
      <w:r w:rsidRPr="00075DC8">
        <w:rPr>
          <w:lang w:val="fr-FR"/>
        </w:rPr>
        <w:t>attributions à titre primaire avec égalité de droits, qui est clairement définie comme étant de 10% dans la Recommandation UIT</w:t>
      </w:r>
      <w:r w:rsidRPr="00075DC8">
        <w:rPr>
          <w:lang w:val="fr-FR"/>
        </w:rPr>
        <w:noBreakHyphen/>
        <w:t xml:space="preserve">R F.1094 (ainsi que dans la </w:t>
      </w:r>
      <w:hyperlink r:id="rId79" w:history="1">
        <w:r w:rsidRPr="00075DC8">
          <w:rPr>
            <w:lang w:val="fr-FR"/>
          </w:rPr>
          <w:t>Recommandation UIT-R F.1565</w:t>
        </w:r>
      </w:hyperlink>
      <w:r w:rsidRPr="00075DC8">
        <w:rPr>
          <w:lang w:val="fr-FR"/>
        </w:rPr>
        <w:t>).</w:t>
      </w:r>
    </w:p>
    <w:p w14:paraId="46ABD250" w14:textId="1E17B703" w:rsidR="00725E50" w:rsidRPr="00075DC8" w:rsidRDefault="00725E50" w:rsidP="00725E50">
      <w:pPr>
        <w:pStyle w:val="enumlev1"/>
        <w:keepLines/>
        <w:rPr>
          <w:lang w:val="fr-FR"/>
        </w:rPr>
      </w:pPr>
      <w:r w:rsidRPr="00075DC8">
        <w:rPr>
          <w:lang w:val="fr-FR"/>
        </w:rPr>
        <w:t>b)</w:t>
      </w:r>
      <w:r w:rsidRPr="00075DC8">
        <w:rPr>
          <w:lang w:val="fr-FR"/>
        </w:rPr>
        <w:tab/>
        <w:t>La dégradation de la qualité en matière d</w:t>
      </w:r>
      <w:r w:rsidR="001F6A0D" w:rsidRPr="00075DC8">
        <w:rPr>
          <w:lang w:val="fr-FR"/>
        </w:rPr>
        <w:t>'</w:t>
      </w:r>
      <w:r w:rsidRPr="00075DC8">
        <w:rPr>
          <w:lang w:val="fr-FR"/>
        </w:rPr>
        <w:t>erreur ou de la qualité en matière de disponibilité, causée par le brouillage provenant de toutes les sources et applications autres que les services bénéficiant d</w:t>
      </w:r>
      <w:r w:rsidR="001F6A0D" w:rsidRPr="00075DC8">
        <w:rPr>
          <w:lang w:val="fr-FR"/>
        </w:rPr>
        <w:t>'</w:t>
      </w:r>
      <w:r w:rsidRPr="00075DC8">
        <w:rPr>
          <w:lang w:val="fr-FR"/>
        </w:rPr>
        <w:t>attributions à titre primaire avec égalité de droits dans la bande considérée, qui est clairement définie comme étant de 1% dans la Recommandation UIT-R F.1094 (et qui est déjà utilisée dans un certain nombre d</w:t>
      </w:r>
      <w:r w:rsidR="001F6A0D" w:rsidRPr="00075DC8">
        <w:rPr>
          <w:lang w:val="fr-FR"/>
        </w:rPr>
        <w:t>'</w:t>
      </w:r>
      <w:r w:rsidRPr="00075DC8">
        <w:rPr>
          <w:lang w:val="fr-FR"/>
        </w:rPr>
        <w:t>études de compatibilité, par exemple dans la Recommandation UIT-R SM.1756 relative aux brouillages causés par les dispositifs à bande ultralarge – UWB). Dans la pratique, la valeur calculée conformément au point a) doit être divisée par 10.</w:t>
      </w:r>
    </w:p>
    <w:p w14:paraId="48B02685" w14:textId="13490FAC" w:rsidR="00725E50" w:rsidRPr="00075DC8" w:rsidRDefault="00725E50" w:rsidP="00725E50">
      <w:pPr>
        <w:pStyle w:val="enumlev1"/>
        <w:rPr>
          <w:lang w:val="fr-FR"/>
        </w:rPr>
      </w:pPr>
      <w:r w:rsidRPr="00075DC8">
        <w:rPr>
          <w:lang w:val="fr-FR"/>
        </w:rPr>
        <w:t>c)</w:t>
      </w:r>
      <w:r w:rsidRPr="00075DC8">
        <w:rPr>
          <w:lang w:val="fr-FR"/>
        </w:rPr>
        <w:tab/>
        <w:t>La dégradation de la marge contre les évanouissements, causée par le brouillage, qui se calcule directement à partir de la valeur (</w:t>
      </w:r>
      <w:r w:rsidRPr="00075DC8">
        <w:rPr>
          <w:i/>
          <w:lang w:val="fr-FR"/>
        </w:rPr>
        <w:t>I</w:t>
      </w:r>
      <w:r w:rsidRPr="00075DC8">
        <w:rPr>
          <w:lang w:val="fr-FR"/>
        </w:rPr>
        <w:t>/</w:t>
      </w:r>
      <w:r w:rsidRPr="00075DC8">
        <w:rPr>
          <w:i/>
          <w:lang w:val="fr-FR"/>
        </w:rPr>
        <w:t>N</w:t>
      </w:r>
      <w:r w:rsidRPr="00075DC8">
        <w:rPr>
          <w:lang w:val="fr-FR"/>
        </w:rPr>
        <w:t>) au moyen de l</w:t>
      </w:r>
      <w:r w:rsidR="001F6A0D" w:rsidRPr="00075DC8">
        <w:rPr>
          <w:lang w:val="fr-FR"/>
        </w:rPr>
        <w:t>'</w:t>
      </w:r>
      <w:r w:rsidRPr="00075DC8">
        <w:rPr>
          <w:lang w:val="fr-FR"/>
        </w:rPr>
        <w:t>équation suivante: 10 log ((</w:t>
      </w:r>
      <w:r w:rsidRPr="00075DC8">
        <w:rPr>
          <w:i/>
          <w:lang w:val="fr-FR"/>
        </w:rPr>
        <w:t>N </w:t>
      </w:r>
      <w:r w:rsidRPr="00075DC8">
        <w:rPr>
          <w:lang w:val="fr-FR"/>
        </w:rPr>
        <w:t>+ </w:t>
      </w:r>
      <w:r w:rsidRPr="00075DC8">
        <w:rPr>
          <w:i/>
          <w:lang w:val="fr-FR"/>
        </w:rPr>
        <w:t>I</w:t>
      </w:r>
      <w:r w:rsidRPr="00075DC8">
        <w:rPr>
          <w:lang w:val="fr-FR"/>
        </w:rPr>
        <w:t>)/</w:t>
      </w:r>
      <w:r w:rsidRPr="00075DC8">
        <w:rPr>
          <w:i/>
          <w:lang w:val="fr-FR"/>
        </w:rPr>
        <w:t>N</w:t>
      </w:r>
      <w:r w:rsidRPr="00075DC8">
        <w:rPr>
          <w:lang w:val="fr-FR"/>
        </w:rPr>
        <w:t>) = 10 log ((1 + (</w:t>
      </w:r>
      <w:r w:rsidRPr="00075DC8">
        <w:rPr>
          <w:i/>
          <w:lang w:val="fr-FR"/>
        </w:rPr>
        <w:t>I</w:t>
      </w:r>
      <w:r w:rsidRPr="00075DC8">
        <w:rPr>
          <w:lang w:val="fr-FR"/>
        </w:rPr>
        <w:t>/</w:t>
      </w:r>
      <w:r w:rsidRPr="00075DC8">
        <w:rPr>
          <w:i/>
          <w:lang w:val="fr-FR"/>
        </w:rPr>
        <w:t>N</w:t>
      </w:r>
      <w:r w:rsidRPr="00075DC8">
        <w:rPr>
          <w:lang w:val="fr-FR"/>
        </w:rPr>
        <w:t>))) (dB).</w:t>
      </w:r>
    </w:p>
    <w:p w14:paraId="28C2A5E4" w14:textId="6AEB7B4D" w:rsidR="00725E50" w:rsidRPr="00075DC8" w:rsidRDefault="00725E50" w:rsidP="00ED7FB5">
      <w:pPr>
        <w:rPr>
          <w:lang w:val="fr-FR"/>
        </w:rPr>
      </w:pPr>
      <w:r w:rsidRPr="00075DC8">
        <w:rPr>
          <w:lang w:val="fr-FR"/>
        </w:rPr>
        <w:t xml:space="preserve">Il convient de noter que la valeur </w:t>
      </w:r>
      <w:r w:rsidRPr="00075DC8">
        <w:rPr>
          <w:i/>
          <w:lang w:val="fr-FR"/>
        </w:rPr>
        <w:t>I</w:t>
      </w:r>
      <w:r w:rsidRPr="00075DC8">
        <w:rPr>
          <w:lang w:val="fr-FR"/>
        </w:rPr>
        <w:t>/</w:t>
      </w:r>
      <w:r w:rsidRPr="00075DC8">
        <w:rPr>
          <w:i/>
          <w:lang w:val="fr-FR"/>
        </w:rPr>
        <w:t>N</w:t>
      </w:r>
      <w:r w:rsidRPr="00075DC8">
        <w:rPr>
          <w:lang w:val="fr-FR"/>
        </w:rPr>
        <w:t xml:space="preserve"> est habituellement définie en termes de puissance moyenne (au sens de la valeur quadratique moyenne) tant du bruit que du brouillage. Toutefois, lorsqu</w:t>
      </w:r>
      <w:r w:rsidR="001F6A0D" w:rsidRPr="00075DC8">
        <w:rPr>
          <w:lang w:val="fr-FR"/>
        </w:rPr>
        <w:t>'</w:t>
      </w:r>
      <w:r w:rsidRPr="00075DC8">
        <w:rPr>
          <w:lang w:val="fr-FR"/>
        </w:rPr>
        <w:t>il s</w:t>
      </w:r>
      <w:r w:rsidR="001F6A0D" w:rsidRPr="00075DC8">
        <w:rPr>
          <w:lang w:val="fr-FR"/>
        </w:rPr>
        <w:t>'</w:t>
      </w:r>
      <w:r w:rsidRPr="00075DC8">
        <w:rPr>
          <w:lang w:val="fr-FR"/>
        </w:rPr>
        <w:t>agit d</w:t>
      </w:r>
      <w:r w:rsidR="001F6A0D" w:rsidRPr="00075DC8">
        <w:rPr>
          <w:lang w:val="fr-FR"/>
        </w:rPr>
        <w:t>'</w:t>
      </w:r>
      <w:r w:rsidRPr="00075DC8">
        <w:rPr>
          <w:lang w:val="fr-FR"/>
        </w:rPr>
        <w:t>émissions en continu de brouillage par impulsions continues ou en rafales, le rapport de la puissance maximale à la puissance moyenne peut jouer un rôle déterminant dans la définition du critère de protection.</w:t>
      </w:r>
    </w:p>
    <w:p w14:paraId="4E62F30B" w14:textId="6F581258" w:rsidR="00725E50" w:rsidRPr="00075DC8" w:rsidRDefault="00725E50" w:rsidP="00ED7FB5">
      <w:pPr>
        <w:rPr>
          <w:lang w:val="fr-FR"/>
        </w:rPr>
      </w:pPr>
      <w:r w:rsidRPr="00075DC8">
        <w:rPr>
          <w:lang w:val="fr-FR"/>
        </w:rPr>
        <w:t>Lorsque le rapport de la puissance maximale à la puissance moyenne augmente beaucoup et que la largeur de bande du récepteur du service fixe devient grande, il peut s</w:t>
      </w:r>
      <w:r w:rsidR="001F6A0D" w:rsidRPr="00075DC8">
        <w:rPr>
          <w:lang w:val="fr-FR"/>
        </w:rPr>
        <w:t>'</w:t>
      </w:r>
      <w:r w:rsidRPr="00075DC8">
        <w:rPr>
          <w:lang w:val="fr-FR"/>
        </w:rPr>
        <w:t>avérer nécessaire de tenir compte d</w:t>
      </w:r>
      <w:r w:rsidR="001F6A0D" w:rsidRPr="00075DC8">
        <w:rPr>
          <w:lang w:val="fr-FR"/>
        </w:rPr>
        <w:t>'</w:t>
      </w:r>
      <w:r w:rsidRPr="00075DC8">
        <w:rPr>
          <w:lang w:val="fr-FR"/>
        </w:rPr>
        <w:t>un objectif</w:t>
      </w:r>
      <w:r w:rsidRPr="00075DC8">
        <w:rPr>
          <w:i/>
          <w:lang w:val="fr-FR"/>
        </w:rPr>
        <w:t xml:space="preserve"> I</w:t>
      </w:r>
      <w:r w:rsidRPr="00075DC8">
        <w:rPr>
          <w:lang w:val="fr-FR"/>
        </w:rPr>
        <w:t>/</w:t>
      </w:r>
      <w:r w:rsidRPr="00075DC8">
        <w:rPr>
          <w:i/>
          <w:lang w:val="fr-FR"/>
        </w:rPr>
        <w:t>N</w:t>
      </w:r>
      <w:r w:rsidRPr="00075DC8">
        <w:rPr>
          <w:lang w:val="fr-FR"/>
        </w:rPr>
        <w:t xml:space="preserve"> en termes de brouillage maximal, intégré sur toute la largeur de bande victime, en vue d</w:t>
      </w:r>
      <w:r w:rsidR="001F6A0D" w:rsidRPr="00075DC8">
        <w:rPr>
          <w:lang w:val="fr-FR"/>
        </w:rPr>
        <w:t>'</w:t>
      </w:r>
      <w:r w:rsidRPr="00075DC8">
        <w:rPr>
          <w:lang w:val="fr-FR"/>
        </w:rPr>
        <w:t xml:space="preserve">évaluer correctement la dégradation, causée par le brouillage, de la marge contre les évanouissements. On trouvera des considérations générales sur les effets des brouillages de pointe élevés et les critères de protection dans la </w:t>
      </w:r>
      <w:hyperlink r:id="rId80" w:history="1">
        <w:r w:rsidRPr="00075DC8">
          <w:rPr>
            <w:lang w:val="fr-FR"/>
          </w:rPr>
          <w:t>Recommandation UIT-R F.1097</w:t>
        </w:r>
      </w:hyperlink>
      <w:r w:rsidRPr="00075DC8">
        <w:rPr>
          <w:lang w:val="fr-FR"/>
        </w:rPr>
        <w:t>, pour le brouillage provenant d</w:t>
      </w:r>
      <w:r w:rsidR="001F6A0D" w:rsidRPr="00075DC8">
        <w:rPr>
          <w:lang w:val="fr-FR"/>
        </w:rPr>
        <w:t>'</w:t>
      </w:r>
      <w:r w:rsidRPr="00075DC8">
        <w:rPr>
          <w:lang w:val="fr-FR"/>
        </w:rPr>
        <w:t xml:space="preserve">un radar, et dans la </w:t>
      </w:r>
      <w:hyperlink r:id="rId81" w:history="1">
        <w:r w:rsidRPr="00075DC8">
          <w:rPr>
            <w:lang w:val="fr-FR"/>
          </w:rPr>
          <w:t>Recommandation UIT-R SM.1757</w:t>
        </w:r>
      </w:hyperlink>
      <w:r w:rsidRPr="00075DC8">
        <w:rPr>
          <w:lang w:val="fr-FR"/>
        </w:rPr>
        <w:t xml:space="preserve">, commentée plus amplement dans le </w:t>
      </w:r>
      <w:hyperlink r:id="rId82" w:history="1">
        <w:r w:rsidRPr="00075DC8">
          <w:rPr>
            <w:lang w:val="fr-FR"/>
          </w:rPr>
          <w:t>Rapport UIT-R SM.2057</w:t>
        </w:r>
      </w:hyperlink>
      <w:r w:rsidRPr="00075DC8">
        <w:rPr>
          <w:lang w:val="fr-FR"/>
        </w:rPr>
        <w:t>, pour le brouillage provenant des radars UWB-SRR (radars à courte portée et à bande extra-large).</w:t>
      </w:r>
    </w:p>
    <w:p w14:paraId="4512D752" w14:textId="358602F9" w:rsidR="00725E50" w:rsidRPr="00075DC8" w:rsidRDefault="00725E50" w:rsidP="00ED7FB5">
      <w:pPr>
        <w:rPr>
          <w:lang w:val="fr-FR"/>
        </w:rPr>
      </w:pPr>
      <w:r w:rsidRPr="00075DC8">
        <w:rPr>
          <w:lang w:val="fr-FR"/>
        </w:rPr>
        <w:t>Dans les paragraphes suivants, les orientations ne sont données que pour les cas les plus courants pour lesquels l</w:t>
      </w:r>
      <w:r w:rsidR="001F6A0D" w:rsidRPr="00075DC8">
        <w:rPr>
          <w:lang w:val="fr-FR"/>
        </w:rPr>
        <w:t>'</w:t>
      </w:r>
      <w:r w:rsidRPr="00075DC8">
        <w:rPr>
          <w:lang w:val="fr-FR"/>
        </w:rPr>
        <w:t>évaluation de la puissance moyenne (valeur quadratique moyenne) du brouillage convient.</w:t>
      </w:r>
    </w:p>
    <w:p w14:paraId="7EDB34F5" w14:textId="77777777" w:rsidR="00725E50" w:rsidRPr="00075DC8" w:rsidRDefault="00725E50" w:rsidP="00ED7FB5">
      <w:pPr>
        <w:pStyle w:val="Heading3"/>
        <w:rPr>
          <w:lang w:val="fr-FR"/>
        </w:rPr>
      </w:pPr>
      <w:r w:rsidRPr="00075DC8">
        <w:rPr>
          <w:lang w:val="fr-FR"/>
        </w:rPr>
        <w:t>4.1.1</w:t>
      </w:r>
      <w:r w:rsidRPr="00075DC8">
        <w:rPr>
          <w:lang w:val="fr-FR"/>
        </w:rPr>
        <w:tab/>
        <w:t>Effet de la réduction de la marge contre les évanouissements dans les bandes où les trajets multiples sont un facteur prépondérant</w:t>
      </w:r>
    </w:p>
    <w:p w14:paraId="3A8BA8D8" w14:textId="7249CA50" w:rsidR="00725E50" w:rsidRPr="00075DC8" w:rsidRDefault="00725E50" w:rsidP="00725E50">
      <w:pPr>
        <w:rPr>
          <w:lang w:val="fr-FR"/>
        </w:rPr>
      </w:pPr>
      <w:r w:rsidRPr="00075DC8">
        <w:rPr>
          <w:lang w:val="fr-FR"/>
        </w:rPr>
        <w:t>Dans les cas où la qualité de fonctionnement des systèmes numériques est dominée par les évanouissements dus aux trajets multiples (par exemple, à des fréquences inférieures à 17 GHz environ), l</w:t>
      </w:r>
      <w:r w:rsidR="001F6A0D" w:rsidRPr="00075DC8">
        <w:rPr>
          <w:lang w:val="fr-FR"/>
        </w:rPr>
        <w:t>'</w:t>
      </w:r>
      <w:r w:rsidRPr="00075DC8">
        <w:rPr>
          <w:lang w:val="fr-FR"/>
        </w:rPr>
        <w:t>introduction d</w:t>
      </w:r>
      <w:r w:rsidR="001F6A0D" w:rsidRPr="00075DC8">
        <w:rPr>
          <w:lang w:val="fr-FR"/>
        </w:rPr>
        <w:t>'</w:t>
      </w:r>
      <w:r w:rsidRPr="00075DC8">
        <w:rPr>
          <w:lang w:val="fr-FR"/>
        </w:rPr>
        <w:t>une contribution au brouillage cumulatif, qui est inférieure de 10 dB au bruit de fond du système, entraîne une augmentation de 10% du temps pendant lequel le rapport (</w:t>
      </w:r>
      <w:r w:rsidRPr="00075DC8">
        <w:rPr>
          <w:i/>
          <w:lang w:val="fr-FR"/>
        </w:rPr>
        <w:t>C</w:t>
      </w:r>
      <w:r w:rsidRPr="00075DC8">
        <w:rPr>
          <w:lang w:val="fr-FR"/>
        </w:rPr>
        <w:t>/(</w:t>
      </w:r>
      <w:r w:rsidRPr="00075DC8">
        <w:rPr>
          <w:i/>
          <w:lang w:val="fr-FR"/>
        </w:rPr>
        <w:t>N </w:t>
      </w:r>
      <w:r w:rsidRPr="00075DC8">
        <w:rPr>
          <w:lang w:val="fr-FR"/>
        </w:rPr>
        <w:t>+ </w:t>
      </w:r>
      <w:r w:rsidRPr="00075DC8">
        <w:rPr>
          <w:i/>
          <w:lang w:val="fr-FR"/>
        </w:rPr>
        <w:t>I</w:t>
      </w:r>
      <w:r w:rsidRPr="00075DC8">
        <w:rPr>
          <w:lang w:val="fr-FR"/>
        </w:rPr>
        <w:t>)) entre la porteuse du système et la somme du bruit et du brouillage est inférieur à une valeur critique. Pour la détermination de la dégradation de la qualité de fonctionnement, il faudra aussi tenir compte, pour ce qui concerne les objectifs de qualité en matière d</w:t>
      </w:r>
      <w:r w:rsidR="001F6A0D" w:rsidRPr="00075DC8">
        <w:rPr>
          <w:lang w:val="fr-FR"/>
        </w:rPr>
        <w:t>'</w:t>
      </w:r>
      <w:r w:rsidRPr="00075DC8">
        <w:rPr>
          <w:lang w:val="fr-FR"/>
        </w:rPr>
        <w:t>erreur, de toutes les caractéristiques temporelles de l</w:t>
      </w:r>
      <w:r w:rsidR="001F6A0D" w:rsidRPr="00075DC8">
        <w:rPr>
          <w:lang w:val="fr-FR"/>
        </w:rPr>
        <w:t>'</w:t>
      </w:r>
      <w:r w:rsidRPr="00075DC8">
        <w:rPr>
          <w:lang w:val="fr-FR"/>
        </w:rPr>
        <w:t>exposition du service fixe au brouillage.</w:t>
      </w:r>
    </w:p>
    <w:p w14:paraId="1AD93A77" w14:textId="19D53486" w:rsidR="00725E50" w:rsidRPr="00075DC8" w:rsidRDefault="00725E50" w:rsidP="00725E50">
      <w:pPr>
        <w:rPr>
          <w:lang w:val="fr-FR"/>
        </w:rPr>
      </w:pPr>
      <w:r w:rsidRPr="00075DC8">
        <w:rPr>
          <w:lang w:val="fr-FR"/>
        </w:rPr>
        <w:t>En outre, il convient de noter que de nombreux systèmes FWS emploient la réception en diversité d</w:t>
      </w:r>
      <w:r w:rsidR="001F6A0D" w:rsidRPr="00075DC8">
        <w:rPr>
          <w:lang w:val="fr-FR"/>
        </w:rPr>
        <w:t>'</w:t>
      </w:r>
      <w:r w:rsidRPr="00075DC8">
        <w:rPr>
          <w:lang w:val="fr-FR"/>
        </w:rPr>
        <w:t>espace dans les bandes où la contribution majeure à l</w:t>
      </w:r>
      <w:r w:rsidR="001F6A0D" w:rsidRPr="00075DC8">
        <w:rPr>
          <w:lang w:val="fr-FR"/>
        </w:rPr>
        <w:t>'</w:t>
      </w:r>
      <w:r w:rsidRPr="00075DC8">
        <w:rPr>
          <w:lang w:val="fr-FR"/>
        </w:rPr>
        <w:t>évanouissement est celle des trajets multiples, et que la puissance de réception dans les systèmes qui emploient la diversité a une distribution qui est plus modérée que la loi de Rayleigh pour l</w:t>
      </w:r>
      <w:r w:rsidR="001F6A0D" w:rsidRPr="00075DC8">
        <w:rPr>
          <w:lang w:val="fr-FR"/>
        </w:rPr>
        <w:t>'</w:t>
      </w:r>
      <w:r w:rsidRPr="00075DC8">
        <w:rPr>
          <w:lang w:val="fr-FR"/>
        </w:rPr>
        <w:t>évanouissement. En conséquence, de tels systèmes atteignent la même qualité de fonctionnement qu</w:t>
      </w:r>
      <w:r w:rsidR="001F6A0D" w:rsidRPr="00075DC8">
        <w:rPr>
          <w:lang w:val="fr-FR"/>
        </w:rPr>
        <w:t>'</w:t>
      </w:r>
      <w:r w:rsidRPr="00075DC8">
        <w:rPr>
          <w:lang w:val="fr-FR"/>
        </w:rPr>
        <w:t xml:space="preserve">une mise en œuvre sans diversité, mais avec une marge contre les évanouissements beaucoup plus faible. La même dégradation de la marge contre les </w:t>
      </w:r>
      <w:r w:rsidRPr="00075DC8">
        <w:rPr>
          <w:lang w:val="fr-FR"/>
        </w:rPr>
        <w:lastRenderedPageBreak/>
        <w:t>évanouissements aura plus d</w:t>
      </w:r>
      <w:r w:rsidR="001F6A0D" w:rsidRPr="00075DC8">
        <w:rPr>
          <w:lang w:val="fr-FR"/>
        </w:rPr>
        <w:t>'</w:t>
      </w:r>
      <w:r w:rsidRPr="00075DC8">
        <w:rPr>
          <w:lang w:val="fr-FR"/>
        </w:rPr>
        <w:t>effet sur les systèmes qui emploient la réception en diversité et conduira à une dégradation de la qualité en matière d</w:t>
      </w:r>
      <w:r w:rsidR="001F6A0D" w:rsidRPr="00075DC8">
        <w:rPr>
          <w:lang w:val="fr-FR"/>
        </w:rPr>
        <w:t>'</w:t>
      </w:r>
      <w:r w:rsidRPr="00075DC8">
        <w:rPr>
          <w:lang w:val="fr-FR"/>
        </w:rPr>
        <w:t>erreur environ deux fois plus grande. Dans le Tableau 2 sont indiquées les relations entre ces deux types de systèmes pour trois valeurs de (</w:t>
      </w:r>
      <w:r w:rsidRPr="00075DC8">
        <w:rPr>
          <w:i/>
          <w:lang w:val="fr-FR"/>
        </w:rPr>
        <w:t>I</w:t>
      </w:r>
      <w:r w:rsidRPr="00075DC8">
        <w:rPr>
          <w:lang w:val="fr-FR"/>
        </w:rPr>
        <w:t>/</w:t>
      </w:r>
      <w:r w:rsidRPr="00075DC8">
        <w:rPr>
          <w:i/>
          <w:lang w:val="fr-FR"/>
        </w:rPr>
        <w:t>N</w:t>
      </w:r>
      <w:r w:rsidRPr="00075DC8">
        <w:rPr>
          <w:lang w:val="fr-FR"/>
        </w:rPr>
        <w:t>).</w:t>
      </w:r>
    </w:p>
    <w:p w14:paraId="3B5F1A6E" w14:textId="77777777" w:rsidR="00725E50" w:rsidRPr="00075DC8" w:rsidRDefault="00725E50" w:rsidP="00725E50">
      <w:pPr>
        <w:pStyle w:val="TableNo"/>
        <w:rPr>
          <w:lang w:val="fr-FR"/>
        </w:rPr>
      </w:pPr>
      <w:r w:rsidRPr="00075DC8">
        <w:rPr>
          <w:lang w:val="fr-FR"/>
        </w:rPr>
        <w:t>TABLEAU 2</w:t>
      </w:r>
    </w:p>
    <w:p w14:paraId="4A85C554" w14:textId="4ED17393" w:rsidR="00725E50" w:rsidRPr="00075DC8" w:rsidRDefault="00725E50" w:rsidP="00725E50">
      <w:pPr>
        <w:pStyle w:val="Tabletitle"/>
        <w:rPr>
          <w:lang w:val="fr-FR"/>
        </w:rPr>
      </w:pPr>
      <w:r w:rsidRPr="00075DC8">
        <w:rPr>
          <w:lang w:val="fr-FR"/>
        </w:rPr>
        <w:t>Dégradation de la qualité en matière d</w:t>
      </w:r>
      <w:r w:rsidR="001F6A0D" w:rsidRPr="00075DC8">
        <w:rPr>
          <w:lang w:val="fr-FR"/>
        </w:rPr>
        <w:t>'</w:t>
      </w:r>
      <w:r w:rsidRPr="00075DC8">
        <w:rPr>
          <w:lang w:val="fr-FR"/>
        </w:rPr>
        <w:t>erreur causée par les</w:t>
      </w:r>
      <w:r w:rsidRPr="00075DC8">
        <w:rPr>
          <w:lang w:val="fr-FR"/>
        </w:rPr>
        <w:br/>
        <w:t>évanouissements dus aux trajets multiples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2383"/>
        <w:gridCol w:w="2440"/>
        <w:gridCol w:w="2440"/>
      </w:tblGrid>
      <w:tr w:rsidR="00725E50" w:rsidRPr="00075DC8" w14:paraId="085424F7" w14:textId="77777777" w:rsidTr="00FA3EB9">
        <w:trPr>
          <w:trHeight w:val="20"/>
          <w:jc w:val="center"/>
        </w:trPr>
        <w:tc>
          <w:tcPr>
            <w:tcW w:w="2381" w:type="dxa"/>
            <w:vMerge w:val="restart"/>
            <w:tcBorders>
              <w:top w:val="single" w:sz="4" w:space="0" w:color="auto"/>
              <w:left w:val="single" w:sz="4" w:space="0" w:color="auto"/>
              <w:bottom w:val="single" w:sz="4" w:space="0" w:color="auto"/>
              <w:right w:val="single" w:sz="4" w:space="0" w:color="auto"/>
            </w:tcBorders>
            <w:vAlign w:val="center"/>
            <w:hideMark/>
          </w:tcPr>
          <w:p w14:paraId="08EFF96A" w14:textId="77777777" w:rsidR="00725E50" w:rsidRPr="00075DC8" w:rsidRDefault="00725E50" w:rsidP="00FA3EB9">
            <w:pPr>
              <w:pStyle w:val="Tablehead"/>
              <w:rPr>
                <w:lang w:val="fr-FR"/>
              </w:rPr>
            </w:pPr>
            <w:r w:rsidRPr="00075DC8">
              <w:rPr>
                <w:lang w:val="fr-FR"/>
              </w:rPr>
              <w:t>Niveau de brouillage par rapport au bruit thermique dans le récepteur (dB)</w:t>
            </w:r>
          </w:p>
        </w:tc>
        <w:tc>
          <w:tcPr>
            <w:tcW w:w="2381" w:type="dxa"/>
            <w:vMerge w:val="restart"/>
            <w:tcBorders>
              <w:top w:val="single" w:sz="4" w:space="0" w:color="auto"/>
              <w:left w:val="single" w:sz="4" w:space="0" w:color="auto"/>
              <w:bottom w:val="single" w:sz="4" w:space="0" w:color="auto"/>
              <w:right w:val="single" w:sz="4" w:space="0" w:color="auto"/>
            </w:tcBorders>
            <w:vAlign w:val="center"/>
            <w:hideMark/>
          </w:tcPr>
          <w:p w14:paraId="79401F70" w14:textId="6E5676C1" w:rsidR="00725E50" w:rsidRPr="00075DC8" w:rsidRDefault="00725E50" w:rsidP="00FA3EB9">
            <w:pPr>
              <w:pStyle w:val="Tablehead"/>
              <w:rPr>
                <w:lang w:val="fr-FR"/>
              </w:rPr>
            </w:pPr>
            <w:r w:rsidRPr="00075DC8">
              <w:rPr>
                <w:lang w:val="fr-FR"/>
              </w:rPr>
              <w:t>Dégradation résultante de la marge contre les évanouissements</w:t>
            </w:r>
            <w:r w:rsidR="00FA3EB9" w:rsidRPr="00075DC8">
              <w:rPr>
                <w:lang w:val="fr-FR"/>
              </w:rPr>
              <w:t xml:space="preserve"> </w:t>
            </w:r>
            <w:r w:rsidRPr="00075DC8">
              <w:rPr>
                <w:lang w:val="fr-FR"/>
              </w:rPr>
              <w:t>(dB)</w:t>
            </w:r>
          </w:p>
        </w:tc>
        <w:tc>
          <w:tcPr>
            <w:tcW w:w="4876" w:type="dxa"/>
            <w:gridSpan w:val="2"/>
            <w:tcBorders>
              <w:top w:val="single" w:sz="4" w:space="0" w:color="auto"/>
              <w:left w:val="single" w:sz="4" w:space="0" w:color="auto"/>
              <w:bottom w:val="single" w:sz="4" w:space="0" w:color="auto"/>
              <w:right w:val="single" w:sz="4" w:space="0" w:color="auto"/>
            </w:tcBorders>
            <w:vAlign w:val="center"/>
            <w:hideMark/>
          </w:tcPr>
          <w:p w14:paraId="2C02F3EA" w14:textId="7625FCD2" w:rsidR="00725E50" w:rsidRPr="00075DC8" w:rsidRDefault="00725E50" w:rsidP="00FA3EB9">
            <w:pPr>
              <w:pStyle w:val="Tablehead"/>
              <w:rPr>
                <w:lang w:val="fr-FR"/>
              </w:rPr>
            </w:pPr>
            <w:r w:rsidRPr="00075DC8">
              <w:rPr>
                <w:lang w:val="fr-FR"/>
              </w:rPr>
              <w:t>Dégradation résultante de la qualité en matière d</w:t>
            </w:r>
            <w:r w:rsidR="001F6A0D" w:rsidRPr="00075DC8">
              <w:rPr>
                <w:lang w:val="fr-FR"/>
              </w:rPr>
              <w:t>'</w:t>
            </w:r>
            <w:r w:rsidRPr="00075DC8">
              <w:rPr>
                <w:lang w:val="fr-FR"/>
              </w:rPr>
              <w:t>erreur</w:t>
            </w:r>
            <w:r w:rsidRPr="00075DC8">
              <w:rPr>
                <w:bCs/>
                <w:vertAlign w:val="superscript"/>
                <w:lang w:val="fr-FR"/>
              </w:rPr>
              <w:t>(1)</w:t>
            </w:r>
          </w:p>
        </w:tc>
      </w:tr>
      <w:tr w:rsidR="00725E50" w:rsidRPr="00075DC8" w14:paraId="3DB282FE" w14:textId="77777777" w:rsidTr="00FA3EB9">
        <w:trPr>
          <w:trHeight w:val="20"/>
          <w:jc w:val="center"/>
        </w:trPr>
        <w:tc>
          <w:tcPr>
            <w:tcW w:w="9638" w:type="dxa"/>
            <w:vMerge/>
            <w:tcBorders>
              <w:top w:val="single" w:sz="4" w:space="0" w:color="auto"/>
              <w:left w:val="single" w:sz="4" w:space="0" w:color="auto"/>
              <w:bottom w:val="single" w:sz="4" w:space="0" w:color="auto"/>
              <w:right w:val="single" w:sz="4" w:space="0" w:color="auto"/>
            </w:tcBorders>
            <w:vAlign w:val="center"/>
            <w:hideMark/>
          </w:tcPr>
          <w:p w14:paraId="1F1AB9C0" w14:textId="77777777" w:rsidR="00725E50" w:rsidRPr="00075DC8" w:rsidRDefault="00725E50" w:rsidP="00FA3EB9">
            <w:pPr>
              <w:pStyle w:val="Tablehead"/>
              <w:rPr>
                <w:lang w:val="fr-FR"/>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14:paraId="5F54C00F" w14:textId="77777777" w:rsidR="00725E50" w:rsidRPr="00075DC8" w:rsidRDefault="00725E50" w:rsidP="00FA3EB9">
            <w:pPr>
              <w:pStyle w:val="Tablehead"/>
              <w:rPr>
                <w:lang w:val="fr-FR"/>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5158D9F6" w14:textId="662FD084" w:rsidR="00725E50" w:rsidRPr="00075DC8" w:rsidRDefault="00725E50" w:rsidP="00FA3EB9">
            <w:pPr>
              <w:pStyle w:val="Tablehead"/>
              <w:rPr>
                <w:lang w:val="fr-FR"/>
              </w:rPr>
            </w:pPr>
            <w:r w:rsidRPr="00075DC8">
              <w:rPr>
                <w:lang w:val="fr-FR"/>
              </w:rPr>
              <w:t>Systèmes sans diversité d</w:t>
            </w:r>
            <w:r w:rsidR="001F6A0D" w:rsidRPr="00075DC8">
              <w:rPr>
                <w:lang w:val="fr-FR"/>
              </w:rPr>
              <w:t>'</w:t>
            </w:r>
            <w:r w:rsidRPr="00075DC8">
              <w:rPr>
                <w:lang w:val="fr-FR"/>
              </w:rPr>
              <w:t>espace</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8AE9C64" w14:textId="0A69F7DB" w:rsidR="00725E50" w:rsidRPr="00075DC8" w:rsidRDefault="00725E50" w:rsidP="00FA3EB9">
            <w:pPr>
              <w:pStyle w:val="Tablehead"/>
              <w:rPr>
                <w:lang w:val="fr-FR"/>
              </w:rPr>
            </w:pPr>
            <w:r w:rsidRPr="00075DC8">
              <w:rPr>
                <w:lang w:val="fr-FR"/>
              </w:rPr>
              <w:t>Systèmes avec diversité d</w:t>
            </w:r>
            <w:r w:rsidR="001F6A0D" w:rsidRPr="00075DC8">
              <w:rPr>
                <w:lang w:val="fr-FR"/>
              </w:rPr>
              <w:t>'</w:t>
            </w:r>
            <w:r w:rsidRPr="00075DC8">
              <w:rPr>
                <w:lang w:val="fr-FR"/>
              </w:rPr>
              <w:t>espace</w:t>
            </w:r>
          </w:p>
        </w:tc>
      </w:tr>
      <w:tr w:rsidR="00725E50" w:rsidRPr="00075DC8" w14:paraId="13D4EAF0" w14:textId="77777777" w:rsidTr="00ED7FB5">
        <w:trPr>
          <w:jc w:val="center"/>
        </w:trPr>
        <w:tc>
          <w:tcPr>
            <w:tcW w:w="2381" w:type="dxa"/>
            <w:tcBorders>
              <w:top w:val="single" w:sz="4" w:space="0" w:color="auto"/>
              <w:left w:val="single" w:sz="4" w:space="0" w:color="auto"/>
              <w:bottom w:val="single" w:sz="4" w:space="0" w:color="auto"/>
              <w:right w:val="single" w:sz="4" w:space="0" w:color="auto"/>
            </w:tcBorders>
            <w:hideMark/>
          </w:tcPr>
          <w:p w14:paraId="04581BE0" w14:textId="1B1A7111" w:rsidR="00725E50" w:rsidRPr="00075DC8" w:rsidRDefault="00ED7FB5" w:rsidP="00ED4837">
            <w:pPr>
              <w:pStyle w:val="Tabletext"/>
              <w:jc w:val="center"/>
              <w:rPr>
                <w:lang w:val="fr-FR"/>
              </w:rPr>
            </w:pPr>
            <w:r w:rsidRPr="00075DC8">
              <w:rPr>
                <w:szCs w:val="22"/>
                <w:lang w:val="fr-FR"/>
              </w:rPr>
              <w:t>−</w:t>
            </w:r>
            <w:r w:rsidR="00725E50" w:rsidRPr="00075DC8">
              <w:rPr>
                <w:szCs w:val="22"/>
                <w:lang w:val="fr-FR"/>
              </w:rPr>
              <w:t>6</w:t>
            </w:r>
          </w:p>
        </w:tc>
        <w:tc>
          <w:tcPr>
            <w:tcW w:w="2381" w:type="dxa"/>
            <w:tcBorders>
              <w:top w:val="single" w:sz="4" w:space="0" w:color="auto"/>
              <w:left w:val="single" w:sz="4" w:space="0" w:color="auto"/>
              <w:bottom w:val="single" w:sz="4" w:space="0" w:color="auto"/>
              <w:right w:val="single" w:sz="4" w:space="0" w:color="auto"/>
            </w:tcBorders>
            <w:hideMark/>
          </w:tcPr>
          <w:p w14:paraId="43320C6F" w14:textId="77777777" w:rsidR="00725E50" w:rsidRPr="00075DC8" w:rsidRDefault="00725E50" w:rsidP="00ED4837">
            <w:pPr>
              <w:pStyle w:val="Tabletext"/>
              <w:jc w:val="center"/>
              <w:rPr>
                <w:lang w:val="fr-FR"/>
              </w:rPr>
            </w:pPr>
            <w:r w:rsidRPr="00075DC8">
              <w:rPr>
                <w:szCs w:val="22"/>
                <w:lang w:val="fr-FR"/>
              </w:rPr>
              <w:t>1</w:t>
            </w:r>
          </w:p>
        </w:tc>
        <w:tc>
          <w:tcPr>
            <w:tcW w:w="2438" w:type="dxa"/>
            <w:tcBorders>
              <w:top w:val="single" w:sz="4" w:space="0" w:color="auto"/>
              <w:left w:val="single" w:sz="4" w:space="0" w:color="auto"/>
              <w:bottom w:val="single" w:sz="4" w:space="0" w:color="auto"/>
              <w:right w:val="single" w:sz="4" w:space="0" w:color="auto"/>
            </w:tcBorders>
            <w:hideMark/>
          </w:tcPr>
          <w:p w14:paraId="7213D0AB" w14:textId="77777777" w:rsidR="00725E50" w:rsidRPr="00075DC8" w:rsidRDefault="00725E50" w:rsidP="00ED4837">
            <w:pPr>
              <w:pStyle w:val="Tabletext"/>
              <w:jc w:val="center"/>
              <w:rPr>
                <w:lang w:val="fr-FR"/>
              </w:rPr>
            </w:pPr>
            <w:r w:rsidRPr="00075DC8">
              <w:rPr>
                <w:szCs w:val="22"/>
                <w:lang w:val="fr-FR"/>
              </w:rPr>
              <w:t>25%</w:t>
            </w:r>
          </w:p>
        </w:tc>
        <w:tc>
          <w:tcPr>
            <w:tcW w:w="2438" w:type="dxa"/>
            <w:tcBorders>
              <w:top w:val="single" w:sz="4" w:space="0" w:color="auto"/>
              <w:left w:val="single" w:sz="4" w:space="0" w:color="auto"/>
              <w:bottom w:val="single" w:sz="4" w:space="0" w:color="auto"/>
              <w:right w:val="single" w:sz="4" w:space="0" w:color="auto"/>
            </w:tcBorders>
            <w:hideMark/>
          </w:tcPr>
          <w:p w14:paraId="7D3921DC" w14:textId="77777777" w:rsidR="00725E50" w:rsidRPr="00075DC8" w:rsidRDefault="00725E50" w:rsidP="00ED4837">
            <w:pPr>
              <w:pStyle w:val="Tabletext"/>
              <w:jc w:val="center"/>
              <w:rPr>
                <w:lang w:val="fr-FR"/>
              </w:rPr>
            </w:pPr>
            <w:r w:rsidRPr="00075DC8">
              <w:rPr>
                <w:szCs w:val="22"/>
                <w:lang w:val="fr-FR"/>
              </w:rPr>
              <w:t>50%</w:t>
            </w:r>
          </w:p>
        </w:tc>
      </w:tr>
      <w:tr w:rsidR="00725E50" w:rsidRPr="00075DC8" w14:paraId="6993AFB8" w14:textId="77777777" w:rsidTr="00ED7FB5">
        <w:trPr>
          <w:jc w:val="center"/>
        </w:trPr>
        <w:tc>
          <w:tcPr>
            <w:tcW w:w="2381" w:type="dxa"/>
            <w:tcBorders>
              <w:top w:val="single" w:sz="4" w:space="0" w:color="auto"/>
              <w:left w:val="single" w:sz="4" w:space="0" w:color="auto"/>
              <w:bottom w:val="single" w:sz="4" w:space="0" w:color="auto"/>
              <w:right w:val="single" w:sz="4" w:space="0" w:color="auto"/>
            </w:tcBorders>
            <w:vAlign w:val="center"/>
            <w:hideMark/>
          </w:tcPr>
          <w:p w14:paraId="6A45AFF5" w14:textId="6D48A00B" w:rsidR="00725E50" w:rsidRPr="00075DC8" w:rsidRDefault="00ED7FB5" w:rsidP="00ED4837">
            <w:pPr>
              <w:pStyle w:val="Tabletext"/>
              <w:jc w:val="center"/>
              <w:rPr>
                <w:lang w:val="fr-FR"/>
              </w:rPr>
            </w:pPr>
            <w:r w:rsidRPr="00075DC8">
              <w:rPr>
                <w:szCs w:val="22"/>
                <w:lang w:val="fr-FR"/>
              </w:rPr>
              <w:t>−</w:t>
            </w:r>
            <w:r w:rsidR="00725E50" w:rsidRPr="00075DC8">
              <w:rPr>
                <w:szCs w:val="22"/>
                <w:lang w:val="fr-FR"/>
              </w:rPr>
              <w:t>10</w:t>
            </w:r>
          </w:p>
        </w:tc>
        <w:tc>
          <w:tcPr>
            <w:tcW w:w="2381" w:type="dxa"/>
            <w:tcBorders>
              <w:top w:val="single" w:sz="4" w:space="0" w:color="auto"/>
              <w:left w:val="single" w:sz="4" w:space="0" w:color="auto"/>
              <w:bottom w:val="single" w:sz="4" w:space="0" w:color="auto"/>
              <w:right w:val="single" w:sz="4" w:space="0" w:color="auto"/>
            </w:tcBorders>
            <w:hideMark/>
          </w:tcPr>
          <w:p w14:paraId="0E7C41BE" w14:textId="77777777" w:rsidR="00725E50" w:rsidRPr="00075DC8" w:rsidRDefault="00725E50" w:rsidP="00ED4837">
            <w:pPr>
              <w:pStyle w:val="Tabletext"/>
              <w:jc w:val="center"/>
              <w:rPr>
                <w:lang w:val="fr-FR"/>
              </w:rPr>
            </w:pPr>
            <w:r w:rsidRPr="00075DC8">
              <w:rPr>
                <w:szCs w:val="22"/>
                <w:lang w:val="fr-FR"/>
              </w:rPr>
              <w:t>0,5</w:t>
            </w:r>
          </w:p>
        </w:tc>
        <w:tc>
          <w:tcPr>
            <w:tcW w:w="2438" w:type="dxa"/>
            <w:tcBorders>
              <w:top w:val="single" w:sz="4" w:space="0" w:color="auto"/>
              <w:left w:val="single" w:sz="4" w:space="0" w:color="auto"/>
              <w:bottom w:val="single" w:sz="4" w:space="0" w:color="auto"/>
              <w:right w:val="single" w:sz="4" w:space="0" w:color="auto"/>
            </w:tcBorders>
            <w:hideMark/>
          </w:tcPr>
          <w:p w14:paraId="4FF2D38A" w14:textId="77777777" w:rsidR="00725E50" w:rsidRPr="00075DC8" w:rsidRDefault="00725E50" w:rsidP="00ED4837">
            <w:pPr>
              <w:pStyle w:val="Tabletext"/>
              <w:jc w:val="center"/>
              <w:rPr>
                <w:lang w:val="fr-FR"/>
              </w:rPr>
            </w:pPr>
            <w:r w:rsidRPr="00075DC8">
              <w:rPr>
                <w:bCs/>
                <w:szCs w:val="22"/>
                <w:lang w:val="fr-FR"/>
              </w:rPr>
              <w:t>10%</w:t>
            </w:r>
          </w:p>
        </w:tc>
        <w:tc>
          <w:tcPr>
            <w:tcW w:w="2438" w:type="dxa"/>
            <w:tcBorders>
              <w:top w:val="single" w:sz="4" w:space="0" w:color="auto"/>
              <w:left w:val="single" w:sz="4" w:space="0" w:color="auto"/>
              <w:bottom w:val="single" w:sz="4" w:space="0" w:color="auto"/>
              <w:right w:val="single" w:sz="4" w:space="0" w:color="auto"/>
            </w:tcBorders>
            <w:hideMark/>
          </w:tcPr>
          <w:p w14:paraId="31AA33D8" w14:textId="77777777" w:rsidR="00725E50" w:rsidRPr="00075DC8" w:rsidRDefault="00725E50" w:rsidP="00ED4837">
            <w:pPr>
              <w:pStyle w:val="Tabletext"/>
              <w:jc w:val="center"/>
              <w:rPr>
                <w:lang w:val="fr-FR"/>
              </w:rPr>
            </w:pPr>
            <w:r w:rsidRPr="00075DC8">
              <w:rPr>
                <w:bCs/>
                <w:szCs w:val="22"/>
                <w:lang w:val="fr-FR"/>
              </w:rPr>
              <w:t>20%</w:t>
            </w:r>
          </w:p>
        </w:tc>
      </w:tr>
      <w:tr w:rsidR="00725E50" w:rsidRPr="00075DC8" w14:paraId="5F3DB89A" w14:textId="77777777" w:rsidTr="00ED7FB5">
        <w:trPr>
          <w:jc w:val="center"/>
        </w:trPr>
        <w:tc>
          <w:tcPr>
            <w:tcW w:w="2381" w:type="dxa"/>
            <w:tcBorders>
              <w:top w:val="single" w:sz="4" w:space="0" w:color="auto"/>
              <w:left w:val="single" w:sz="4" w:space="0" w:color="auto"/>
              <w:bottom w:val="single" w:sz="4" w:space="0" w:color="auto"/>
              <w:right w:val="single" w:sz="4" w:space="0" w:color="auto"/>
            </w:tcBorders>
            <w:hideMark/>
          </w:tcPr>
          <w:p w14:paraId="61C92645" w14:textId="520A4DB6" w:rsidR="00725E50" w:rsidRPr="00075DC8" w:rsidRDefault="00ED7FB5" w:rsidP="00ED4837">
            <w:pPr>
              <w:pStyle w:val="Tabletext"/>
              <w:jc w:val="center"/>
              <w:rPr>
                <w:lang w:val="fr-FR"/>
              </w:rPr>
            </w:pPr>
            <w:r w:rsidRPr="00075DC8">
              <w:rPr>
                <w:szCs w:val="22"/>
                <w:lang w:val="fr-FR"/>
              </w:rPr>
              <w:t>−</w:t>
            </w:r>
            <w:r w:rsidR="00725E50" w:rsidRPr="00075DC8">
              <w:rPr>
                <w:szCs w:val="22"/>
                <w:lang w:val="fr-FR"/>
              </w:rPr>
              <w:t>13</w:t>
            </w:r>
          </w:p>
        </w:tc>
        <w:tc>
          <w:tcPr>
            <w:tcW w:w="2381" w:type="dxa"/>
            <w:tcBorders>
              <w:top w:val="single" w:sz="4" w:space="0" w:color="auto"/>
              <w:left w:val="single" w:sz="4" w:space="0" w:color="auto"/>
              <w:bottom w:val="single" w:sz="4" w:space="0" w:color="auto"/>
              <w:right w:val="single" w:sz="4" w:space="0" w:color="auto"/>
            </w:tcBorders>
            <w:hideMark/>
          </w:tcPr>
          <w:p w14:paraId="7CCE0BA4" w14:textId="77777777" w:rsidR="00725E50" w:rsidRPr="00075DC8" w:rsidRDefault="00725E50" w:rsidP="00ED4837">
            <w:pPr>
              <w:pStyle w:val="Tabletext"/>
              <w:jc w:val="center"/>
              <w:rPr>
                <w:lang w:val="fr-FR"/>
              </w:rPr>
            </w:pPr>
            <w:r w:rsidRPr="00075DC8">
              <w:rPr>
                <w:szCs w:val="22"/>
                <w:lang w:val="fr-FR"/>
              </w:rPr>
              <w:t>0,2</w:t>
            </w:r>
          </w:p>
        </w:tc>
        <w:tc>
          <w:tcPr>
            <w:tcW w:w="2438" w:type="dxa"/>
            <w:tcBorders>
              <w:top w:val="single" w:sz="4" w:space="0" w:color="auto"/>
              <w:left w:val="single" w:sz="4" w:space="0" w:color="auto"/>
              <w:bottom w:val="single" w:sz="4" w:space="0" w:color="auto"/>
              <w:right w:val="single" w:sz="4" w:space="0" w:color="auto"/>
            </w:tcBorders>
            <w:hideMark/>
          </w:tcPr>
          <w:p w14:paraId="07A185F9" w14:textId="77777777" w:rsidR="00725E50" w:rsidRPr="00075DC8" w:rsidRDefault="00725E50" w:rsidP="00ED4837">
            <w:pPr>
              <w:pStyle w:val="Tabletext"/>
              <w:jc w:val="center"/>
              <w:rPr>
                <w:lang w:val="fr-FR"/>
              </w:rPr>
            </w:pPr>
            <w:r w:rsidRPr="00075DC8">
              <w:rPr>
                <w:bCs/>
                <w:szCs w:val="22"/>
                <w:lang w:val="fr-FR"/>
              </w:rPr>
              <w:t>5%</w:t>
            </w:r>
          </w:p>
        </w:tc>
        <w:tc>
          <w:tcPr>
            <w:tcW w:w="2438" w:type="dxa"/>
            <w:tcBorders>
              <w:top w:val="single" w:sz="4" w:space="0" w:color="auto"/>
              <w:left w:val="single" w:sz="4" w:space="0" w:color="auto"/>
              <w:bottom w:val="single" w:sz="4" w:space="0" w:color="auto"/>
              <w:right w:val="single" w:sz="4" w:space="0" w:color="auto"/>
            </w:tcBorders>
            <w:hideMark/>
          </w:tcPr>
          <w:p w14:paraId="5A9D4A71" w14:textId="77777777" w:rsidR="00725E50" w:rsidRPr="00075DC8" w:rsidRDefault="00725E50" w:rsidP="00ED4837">
            <w:pPr>
              <w:pStyle w:val="Tabletext"/>
              <w:jc w:val="center"/>
              <w:rPr>
                <w:lang w:val="fr-FR"/>
              </w:rPr>
            </w:pPr>
            <w:r w:rsidRPr="00075DC8">
              <w:rPr>
                <w:bCs/>
                <w:szCs w:val="22"/>
                <w:lang w:val="fr-FR"/>
              </w:rPr>
              <w:t>10%</w:t>
            </w:r>
          </w:p>
        </w:tc>
      </w:tr>
      <w:tr w:rsidR="00725E50" w:rsidRPr="00075DC8" w14:paraId="6CDBBFE1" w14:textId="77777777" w:rsidTr="00ED7FB5">
        <w:trPr>
          <w:jc w:val="center"/>
        </w:trPr>
        <w:tc>
          <w:tcPr>
            <w:tcW w:w="9638" w:type="dxa"/>
            <w:gridSpan w:val="4"/>
            <w:tcBorders>
              <w:top w:val="single" w:sz="4" w:space="0" w:color="auto"/>
              <w:left w:val="nil"/>
              <w:bottom w:val="nil"/>
              <w:right w:val="nil"/>
            </w:tcBorders>
            <w:hideMark/>
          </w:tcPr>
          <w:p w14:paraId="5DDFC6D5" w14:textId="46A6FD5A" w:rsidR="00725E50" w:rsidRPr="00075DC8" w:rsidRDefault="00725E50" w:rsidP="00ED7FB5">
            <w:pPr>
              <w:pStyle w:val="Tabletext"/>
              <w:ind w:left="284" w:hanging="284"/>
              <w:rPr>
                <w:lang w:val="fr-FR"/>
              </w:rPr>
            </w:pPr>
            <w:r w:rsidRPr="00075DC8">
              <w:rPr>
                <w:vertAlign w:val="superscript"/>
                <w:lang w:val="fr-FR"/>
              </w:rPr>
              <w:t>(1)</w:t>
            </w:r>
            <w:r w:rsidRPr="00075DC8">
              <w:rPr>
                <w:lang w:val="fr-FR"/>
              </w:rPr>
              <w:tab/>
              <w:t>Il est tenu compte des évanouissements dus aux trajets multiples qui suivent la loi de Rayleigh et de l</w:t>
            </w:r>
            <w:r w:rsidR="001F6A0D" w:rsidRPr="00075DC8">
              <w:rPr>
                <w:lang w:val="fr-FR"/>
              </w:rPr>
              <w:t>'</w:t>
            </w:r>
            <w:r w:rsidRPr="00075DC8">
              <w:rPr>
                <w:lang w:val="fr-FR"/>
              </w:rPr>
              <w:t>effet type de diversité d</w:t>
            </w:r>
            <w:r w:rsidR="001F6A0D" w:rsidRPr="00075DC8">
              <w:rPr>
                <w:lang w:val="fr-FR"/>
              </w:rPr>
              <w:t>'</w:t>
            </w:r>
            <w:r w:rsidRPr="00075DC8">
              <w:rPr>
                <w:lang w:val="fr-FR"/>
              </w:rPr>
              <w:t>espace. Les chiffres seraient différents dans le cas d</w:t>
            </w:r>
            <w:r w:rsidR="001F6A0D" w:rsidRPr="00075DC8">
              <w:rPr>
                <w:lang w:val="fr-FR"/>
              </w:rPr>
              <w:t>'</w:t>
            </w:r>
            <w:r w:rsidRPr="00075DC8">
              <w:rPr>
                <w:lang w:val="fr-FR"/>
              </w:rPr>
              <w:t>autres distributions pour l</w:t>
            </w:r>
            <w:r w:rsidR="001F6A0D" w:rsidRPr="00075DC8">
              <w:rPr>
                <w:lang w:val="fr-FR"/>
              </w:rPr>
              <w:t>'</w:t>
            </w:r>
            <w:r w:rsidRPr="00075DC8">
              <w:rPr>
                <w:lang w:val="fr-FR"/>
              </w:rPr>
              <w:t xml:space="preserve">évanouissement. </w:t>
            </w:r>
          </w:p>
        </w:tc>
      </w:tr>
    </w:tbl>
    <w:p w14:paraId="1BA001D0" w14:textId="77777777" w:rsidR="00ED7FB5" w:rsidRPr="00075DC8" w:rsidRDefault="00ED7FB5" w:rsidP="00ED7FB5">
      <w:pPr>
        <w:pStyle w:val="Tablefin"/>
        <w:rPr>
          <w:lang w:val="fr-FR"/>
        </w:rPr>
      </w:pPr>
      <w:bookmarkStart w:id="28" w:name="_Toc107037975"/>
    </w:p>
    <w:p w14:paraId="455D0729" w14:textId="04751B2B" w:rsidR="00725E50" w:rsidRPr="00075DC8" w:rsidRDefault="00725E50" w:rsidP="00725E50">
      <w:pPr>
        <w:pStyle w:val="Heading3"/>
        <w:rPr>
          <w:lang w:val="fr-FR"/>
        </w:rPr>
      </w:pPr>
      <w:r w:rsidRPr="00075DC8">
        <w:rPr>
          <w:lang w:val="fr-FR"/>
        </w:rPr>
        <w:t>4.1.2</w:t>
      </w:r>
      <w:r w:rsidRPr="00075DC8">
        <w:rPr>
          <w:lang w:val="fr-FR"/>
        </w:rPr>
        <w:tab/>
        <w:t>Effet de la réduction de la marge contre les évanouissements dans les bandes où la pluie est un facteur prépondérant</w:t>
      </w:r>
    </w:p>
    <w:p w14:paraId="1CE88371" w14:textId="61595C92" w:rsidR="00725E50" w:rsidRPr="00075DC8" w:rsidRDefault="00725E50" w:rsidP="00725E50">
      <w:pPr>
        <w:rPr>
          <w:bCs/>
          <w:lang w:val="fr-FR"/>
        </w:rPr>
      </w:pPr>
      <w:r w:rsidRPr="00075DC8">
        <w:rPr>
          <w:bCs/>
          <w:lang w:val="fr-FR"/>
        </w:rPr>
        <w:t>En cas d</w:t>
      </w:r>
      <w:r w:rsidR="001F6A0D" w:rsidRPr="00075DC8">
        <w:rPr>
          <w:bCs/>
          <w:lang w:val="fr-FR"/>
        </w:rPr>
        <w:t>'</w:t>
      </w:r>
      <w:r w:rsidRPr="00075DC8">
        <w:rPr>
          <w:bCs/>
          <w:lang w:val="fr-FR"/>
        </w:rPr>
        <w:t>averses de pluie, la relation entre:</w:t>
      </w:r>
    </w:p>
    <w:p w14:paraId="1F074DD6" w14:textId="77777777" w:rsidR="00725E50" w:rsidRPr="00075DC8" w:rsidRDefault="00725E50" w:rsidP="00FA3EB9">
      <w:pPr>
        <w:pStyle w:val="enumlev1"/>
        <w:rPr>
          <w:lang w:val="fr-FR"/>
        </w:rPr>
      </w:pPr>
      <w:r w:rsidRPr="00075DC8">
        <w:rPr>
          <w:lang w:val="fr-FR"/>
        </w:rPr>
        <w:t>a)</w:t>
      </w:r>
      <w:r w:rsidRPr="00075DC8">
        <w:rPr>
          <w:lang w:val="fr-FR"/>
        </w:rPr>
        <w:tab/>
        <w:t>la dégradation de la qualité en matière de disponibilité causée par le brouillage;</w:t>
      </w:r>
    </w:p>
    <w:p w14:paraId="283F4E91" w14:textId="67498236" w:rsidR="00FA3EB9" w:rsidRPr="00075DC8" w:rsidRDefault="00725E50" w:rsidP="00FA3EB9">
      <w:pPr>
        <w:pStyle w:val="enumlev1"/>
        <w:rPr>
          <w:lang w:val="fr-FR"/>
        </w:rPr>
      </w:pPr>
      <w:r w:rsidRPr="00075DC8">
        <w:rPr>
          <w:lang w:val="fr-FR"/>
        </w:rPr>
        <w:t>b)</w:t>
      </w:r>
      <w:r w:rsidRPr="00075DC8">
        <w:rPr>
          <w:lang w:val="fr-FR"/>
        </w:rPr>
        <w:tab/>
        <w:t>la dégradation de la marge contre les évanouissements causée par le brouillage n</w:t>
      </w:r>
      <w:r w:rsidR="001F6A0D" w:rsidRPr="00075DC8">
        <w:rPr>
          <w:lang w:val="fr-FR"/>
        </w:rPr>
        <w:t>'</w:t>
      </w:r>
      <w:r w:rsidRPr="00075DC8">
        <w:rPr>
          <w:lang w:val="fr-FR"/>
        </w:rPr>
        <w:t>est pas simple,</w:t>
      </w:r>
    </w:p>
    <w:p w14:paraId="7641BEAA" w14:textId="3785EF6F" w:rsidR="00725E50" w:rsidRPr="00075DC8" w:rsidRDefault="00725E50" w:rsidP="00FA3EB9">
      <w:pPr>
        <w:rPr>
          <w:lang w:val="fr-FR"/>
        </w:rPr>
      </w:pPr>
      <w:r w:rsidRPr="00075DC8">
        <w:rPr>
          <w:lang w:val="fr-FR"/>
        </w:rPr>
        <w:t>parce que la distribution de l</w:t>
      </w:r>
      <w:r w:rsidR="001F6A0D" w:rsidRPr="00075DC8">
        <w:rPr>
          <w:lang w:val="fr-FR"/>
        </w:rPr>
        <w:t>'</w:t>
      </w:r>
      <w:r w:rsidRPr="00075DC8">
        <w:rPr>
          <w:lang w:val="fr-FR"/>
        </w:rPr>
        <w:t>atténuation due à la pluie dépend de nombreux paramètres, par exemple, la fréquence radioélectrique, la zone de pluie, la longueur de la liaison et l</w:t>
      </w:r>
      <w:r w:rsidR="001F6A0D" w:rsidRPr="00075DC8">
        <w:rPr>
          <w:lang w:val="fr-FR"/>
        </w:rPr>
        <w:t>'</w:t>
      </w:r>
      <w:r w:rsidRPr="00075DC8">
        <w:rPr>
          <w:lang w:val="fr-FR"/>
        </w:rPr>
        <w:t>objectif de qualité en matière de disponibilité.</w:t>
      </w:r>
    </w:p>
    <w:p w14:paraId="533C7B3D" w14:textId="456BF30A" w:rsidR="00725E50" w:rsidRPr="00075DC8" w:rsidRDefault="00725E50" w:rsidP="00FA3EB9">
      <w:pPr>
        <w:rPr>
          <w:lang w:val="fr-FR"/>
        </w:rPr>
      </w:pPr>
      <w:r w:rsidRPr="00075DC8">
        <w:rPr>
          <w:lang w:val="fr-FR"/>
        </w:rPr>
        <w:t>Des résultats de calcul, obtenus à l</w:t>
      </w:r>
      <w:r w:rsidR="001F6A0D" w:rsidRPr="00075DC8">
        <w:rPr>
          <w:lang w:val="fr-FR"/>
        </w:rPr>
        <w:t>'</w:t>
      </w:r>
      <w:r w:rsidRPr="00075DC8">
        <w:rPr>
          <w:lang w:val="fr-FR"/>
        </w:rPr>
        <w:t xml:space="preserve">aide de paramètres et de distributions de probabilité types définis dans la </w:t>
      </w:r>
      <w:hyperlink r:id="rId83" w:history="1">
        <w:r w:rsidRPr="00075DC8">
          <w:rPr>
            <w:lang w:val="fr-FR"/>
          </w:rPr>
          <w:t>Recommandation UIT-R P.530</w:t>
        </w:r>
      </w:hyperlink>
      <w:r w:rsidRPr="00075DC8">
        <w:rPr>
          <w:lang w:val="fr-FR"/>
        </w:rPr>
        <w:t>, sont donnés à titre d</w:t>
      </w:r>
      <w:r w:rsidR="001F6A0D" w:rsidRPr="00075DC8">
        <w:rPr>
          <w:lang w:val="fr-FR"/>
        </w:rPr>
        <w:t>'</w:t>
      </w:r>
      <w:r w:rsidRPr="00075DC8">
        <w:rPr>
          <w:lang w:val="fr-FR"/>
        </w:rPr>
        <w:t>exemple dans les Tableaux 3 et 4, où sont mises en évidence les relations entre la valeur (</w:t>
      </w:r>
      <w:r w:rsidRPr="00075DC8">
        <w:rPr>
          <w:i/>
          <w:lang w:val="fr-FR"/>
        </w:rPr>
        <w:t>I</w:t>
      </w:r>
      <w:r w:rsidRPr="00075DC8">
        <w:rPr>
          <w:lang w:val="fr-FR"/>
        </w:rPr>
        <w:t>/</w:t>
      </w:r>
      <w:r w:rsidRPr="00075DC8">
        <w:rPr>
          <w:i/>
          <w:lang w:val="fr-FR"/>
        </w:rPr>
        <w:t>N</w:t>
      </w:r>
      <w:r w:rsidRPr="00075DC8">
        <w:rPr>
          <w:lang w:val="fr-FR"/>
        </w:rPr>
        <w:t>) et la dégradation de la qualité en matière de disponibilité pour une liaison avec une longueur de bond de 6 km et 3 km respectivement. L</w:t>
      </w:r>
      <w:r w:rsidR="001F6A0D" w:rsidRPr="00075DC8">
        <w:rPr>
          <w:lang w:val="fr-FR"/>
        </w:rPr>
        <w:t>'</w:t>
      </w:r>
      <w:r w:rsidRPr="00075DC8">
        <w:rPr>
          <w:lang w:val="fr-FR"/>
        </w:rPr>
        <w:t>interprétation des chiffres dans ces tableaux permet de déduire que, par exemple, si la dégradation de la valeur nominale de 42,9 dB de la marge est de 1 dB (faisant passer la valeur nominale à 41,9 dB), la qualité en matière de disponibilité de la liaison, définie par un taux d</w:t>
      </w:r>
      <w:r w:rsidR="001F6A0D" w:rsidRPr="00075DC8">
        <w:rPr>
          <w:lang w:val="fr-FR"/>
        </w:rPr>
        <w:t>'</w:t>
      </w:r>
      <w:r w:rsidRPr="00075DC8">
        <w:rPr>
          <w:lang w:val="fr-FR"/>
        </w:rPr>
        <w:t>indisponibilité de 0,001% en l</w:t>
      </w:r>
      <w:r w:rsidR="001F6A0D" w:rsidRPr="00075DC8">
        <w:rPr>
          <w:lang w:val="fr-FR"/>
        </w:rPr>
        <w:t>'</w:t>
      </w:r>
      <w:r w:rsidRPr="00075DC8">
        <w:rPr>
          <w:lang w:val="fr-FR"/>
        </w:rPr>
        <w:t>absence de brouillage, augmentera et sera de 0,001</w:t>
      </w:r>
      <w:r w:rsidR="00FA3EB9" w:rsidRPr="00075DC8">
        <w:rPr>
          <w:lang w:val="fr-FR"/>
        </w:rPr>
        <w:t> </w:t>
      </w:r>
      <w:r w:rsidRPr="00075DC8">
        <w:rPr>
          <w:lang w:val="fr-FR"/>
        </w:rPr>
        <w:t>085% (en augmentation de 8,5%) en présence de brouillage.</w:t>
      </w:r>
    </w:p>
    <w:p w14:paraId="5250BA30" w14:textId="6C3F971B" w:rsidR="00725E50" w:rsidRPr="00075DC8" w:rsidRDefault="00725E50" w:rsidP="00FA3EB9">
      <w:pPr>
        <w:rPr>
          <w:lang w:val="fr-FR"/>
        </w:rPr>
      </w:pPr>
      <w:r w:rsidRPr="00075DC8">
        <w:rPr>
          <w:lang w:val="fr-FR"/>
        </w:rPr>
        <w:t>De façon générale, on observe que la dégradation résultante de la qualité en matière de disponibilité est plus grande dans les systèmes dont la marge contre les évanouissements est plus petite. Les concepteurs des systèmes devraient, lorsqu</w:t>
      </w:r>
      <w:r w:rsidR="001F6A0D" w:rsidRPr="00075DC8">
        <w:rPr>
          <w:lang w:val="fr-FR"/>
        </w:rPr>
        <w:t>'</w:t>
      </w:r>
      <w:r w:rsidRPr="00075DC8">
        <w:rPr>
          <w:lang w:val="fr-FR"/>
        </w:rPr>
        <w:t>ils mettent au point un critère de partage en termes de valeur (</w:t>
      </w:r>
      <w:r w:rsidRPr="00075DC8">
        <w:rPr>
          <w:i/>
          <w:lang w:val="fr-FR"/>
        </w:rPr>
        <w:t>I</w:t>
      </w:r>
      <w:r w:rsidRPr="00075DC8">
        <w:rPr>
          <w:lang w:val="fr-FR"/>
        </w:rPr>
        <w:t>/</w:t>
      </w:r>
      <w:r w:rsidRPr="00075DC8">
        <w:rPr>
          <w:i/>
          <w:lang w:val="fr-FR"/>
        </w:rPr>
        <w:t>N</w:t>
      </w:r>
      <w:r w:rsidRPr="00075DC8">
        <w:rPr>
          <w:lang w:val="fr-FR"/>
        </w:rPr>
        <w:t>), tenir compte de tous les paramètres y relatifs, y compris les données de propagation.</w:t>
      </w:r>
    </w:p>
    <w:p w14:paraId="7E0393E8" w14:textId="7EBB2906" w:rsidR="00725E50" w:rsidRPr="00075DC8" w:rsidRDefault="00725E50" w:rsidP="00FA3EB9">
      <w:pPr>
        <w:rPr>
          <w:lang w:val="fr-FR"/>
        </w:rPr>
      </w:pPr>
      <w:r w:rsidRPr="00075DC8">
        <w:rPr>
          <w:lang w:val="fr-FR"/>
        </w:rPr>
        <w:t>Il convient de noter que, dans les Tableaux 3 et 4, les exemples de calcul des dégradations résultantes de la qualité en matière de disponibilité et de la marge contre les évanouissements sont fondés sur des évanouissements dus à la pluie non corrélés. S</w:t>
      </w:r>
      <w:r w:rsidR="001F6A0D" w:rsidRPr="00075DC8">
        <w:rPr>
          <w:lang w:val="fr-FR"/>
        </w:rPr>
        <w:t>'</w:t>
      </w:r>
      <w:r w:rsidRPr="00075DC8">
        <w:rPr>
          <w:lang w:val="fr-FR"/>
        </w:rPr>
        <w:t>il était tenu compte des effets des évanouissements dus à la pluie corrélés, les chiffres résultants pourraient être plus petits. Un exemple d</w:t>
      </w:r>
      <w:r w:rsidR="001F6A0D" w:rsidRPr="00075DC8">
        <w:rPr>
          <w:lang w:val="fr-FR"/>
        </w:rPr>
        <w:t>'</w:t>
      </w:r>
      <w:r w:rsidRPr="00075DC8">
        <w:rPr>
          <w:lang w:val="fr-FR"/>
        </w:rPr>
        <w:t xml:space="preserve">un tel effet est donné dans la </w:t>
      </w:r>
      <w:hyperlink r:id="rId84" w:history="1">
        <w:r w:rsidRPr="00075DC8">
          <w:rPr>
            <w:lang w:val="fr-FR"/>
          </w:rPr>
          <w:t>Recommandation UIT-R F.1669</w:t>
        </w:r>
      </w:hyperlink>
      <w:r w:rsidRPr="00075DC8">
        <w:rPr>
          <w:lang w:val="fr-FR"/>
        </w:rPr>
        <w:t>.</w:t>
      </w:r>
    </w:p>
    <w:p w14:paraId="6A4E2EA1" w14:textId="77777777" w:rsidR="00725E50" w:rsidRPr="00075DC8" w:rsidRDefault="00725E50" w:rsidP="00725E50">
      <w:pPr>
        <w:pStyle w:val="TableNo"/>
        <w:rPr>
          <w:lang w:val="fr-FR"/>
        </w:rPr>
      </w:pPr>
      <w:r w:rsidRPr="00075DC8">
        <w:rPr>
          <w:lang w:val="fr-FR"/>
        </w:rPr>
        <w:lastRenderedPageBreak/>
        <w:t>TABLEAU 3</w:t>
      </w:r>
    </w:p>
    <w:p w14:paraId="545FC05C" w14:textId="77777777" w:rsidR="00725E50" w:rsidRPr="00075DC8" w:rsidRDefault="00725E50" w:rsidP="00725E50">
      <w:pPr>
        <w:pStyle w:val="Tabletitle"/>
        <w:rPr>
          <w:lang w:val="fr-FR"/>
        </w:rPr>
      </w:pPr>
      <w:r w:rsidRPr="00075DC8">
        <w:rPr>
          <w:lang w:val="fr-FR"/>
        </w:rPr>
        <w:t xml:space="preserve">Dégradation de la qualité en matière de disponibilité causée par les évanouissements </w:t>
      </w:r>
      <w:r w:rsidRPr="00075DC8">
        <w:rPr>
          <w:lang w:val="fr-FR"/>
        </w:rPr>
        <w:br/>
        <w:t>dus à la pluie (Fréquence radioélectrique: 23 GHz, longueur de la liaison: 6 km)</w:t>
      </w:r>
    </w:p>
    <w:tbl>
      <w:tblPr>
        <w:tblW w:w="96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99"/>
        <w:gridCol w:w="1342"/>
        <w:gridCol w:w="1455"/>
        <w:gridCol w:w="1256"/>
        <w:gridCol w:w="1540"/>
        <w:gridCol w:w="1426"/>
        <w:gridCol w:w="1427"/>
      </w:tblGrid>
      <w:tr w:rsidR="00725E50" w:rsidRPr="00075DC8" w14:paraId="1AB871B5" w14:textId="77777777" w:rsidTr="00ED7FB5">
        <w:trPr>
          <w:cantSplit/>
          <w:trHeight w:val="588"/>
          <w:jc w:val="center"/>
        </w:trPr>
        <w:tc>
          <w:tcPr>
            <w:tcW w:w="1191" w:type="dxa"/>
            <w:vMerge w:val="restart"/>
            <w:vAlign w:val="center"/>
            <w:hideMark/>
          </w:tcPr>
          <w:p w14:paraId="78637C82" w14:textId="77777777" w:rsidR="00725E50" w:rsidRPr="00075DC8" w:rsidRDefault="00725E50" w:rsidP="00FA3EB9">
            <w:pPr>
              <w:pStyle w:val="Tablehead"/>
              <w:rPr>
                <w:lang w:val="fr-FR"/>
              </w:rPr>
            </w:pPr>
            <w:r w:rsidRPr="00075DC8">
              <w:rPr>
                <w:lang w:val="fr-FR"/>
              </w:rPr>
              <w:t>Climat</w:t>
            </w:r>
            <w:r w:rsidRPr="00075DC8">
              <w:rPr>
                <w:lang w:val="fr-FR"/>
              </w:rPr>
              <w:br/>
              <w:t>(taux de pluie dépassé pendant 0,01% du temps)</w:t>
            </w:r>
          </w:p>
        </w:tc>
        <w:tc>
          <w:tcPr>
            <w:tcW w:w="1333" w:type="dxa"/>
            <w:vMerge w:val="restart"/>
            <w:vAlign w:val="center"/>
            <w:hideMark/>
          </w:tcPr>
          <w:p w14:paraId="1BAC876E" w14:textId="77777777" w:rsidR="00725E50" w:rsidRPr="00075DC8" w:rsidRDefault="00725E50" w:rsidP="00FA3EB9">
            <w:pPr>
              <w:pStyle w:val="Tablehead"/>
              <w:rPr>
                <w:lang w:val="fr-FR"/>
              </w:rPr>
            </w:pPr>
            <w:r w:rsidRPr="00075DC8">
              <w:rPr>
                <w:lang w:val="fr-FR"/>
              </w:rPr>
              <w:t>Niveau de brouillage par rapport au bruit thermique dans le récepteur</w:t>
            </w:r>
            <w:r w:rsidRPr="00075DC8">
              <w:rPr>
                <w:lang w:val="fr-FR"/>
              </w:rPr>
              <w:br/>
              <w:t>(dB)</w:t>
            </w:r>
          </w:p>
        </w:tc>
        <w:tc>
          <w:tcPr>
            <w:tcW w:w="1445" w:type="dxa"/>
            <w:vMerge w:val="restart"/>
            <w:vAlign w:val="center"/>
            <w:hideMark/>
          </w:tcPr>
          <w:p w14:paraId="44D458B5" w14:textId="77777777" w:rsidR="00725E50" w:rsidRPr="00075DC8" w:rsidRDefault="00725E50" w:rsidP="00FA3EB9">
            <w:pPr>
              <w:pStyle w:val="Tablehead"/>
              <w:rPr>
                <w:lang w:val="fr-FR"/>
              </w:rPr>
            </w:pPr>
            <w:r w:rsidRPr="00075DC8">
              <w:rPr>
                <w:lang w:val="fr-FR"/>
              </w:rPr>
              <w:t>Dégradation résultante de la marge (dB)</w:t>
            </w:r>
          </w:p>
        </w:tc>
        <w:tc>
          <w:tcPr>
            <w:tcW w:w="2778" w:type="dxa"/>
            <w:gridSpan w:val="2"/>
            <w:vAlign w:val="center"/>
            <w:hideMark/>
          </w:tcPr>
          <w:p w14:paraId="215BF81D" w14:textId="46336CF3" w:rsidR="00725E50" w:rsidRPr="00075DC8" w:rsidRDefault="00725E50" w:rsidP="00FA3EB9">
            <w:pPr>
              <w:pStyle w:val="Tablehead"/>
              <w:rPr>
                <w:lang w:val="fr-FR"/>
              </w:rPr>
            </w:pPr>
            <w:r w:rsidRPr="00075DC8">
              <w:rPr>
                <w:lang w:val="fr-FR"/>
              </w:rPr>
              <w:t>Qualité en matière de disponibilité sans brouillage fixée à un taux d</w:t>
            </w:r>
            <w:r w:rsidR="001F6A0D" w:rsidRPr="00075DC8">
              <w:rPr>
                <w:lang w:val="fr-FR"/>
              </w:rPr>
              <w:t>'</w:t>
            </w:r>
            <w:r w:rsidRPr="00075DC8">
              <w:rPr>
                <w:lang w:val="fr-FR"/>
              </w:rPr>
              <w:t>indisponibilité de 0,01%</w:t>
            </w:r>
          </w:p>
        </w:tc>
        <w:tc>
          <w:tcPr>
            <w:tcW w:w="2835" w:type="dxa"/>
            <w:gridSpan w:val="2"/>
            <w:vAlign w:val="center"/>
            <w:hideMark/>
          </w:tcPr>
          <w:p w14:paraId="604A3AA3" w14:textId="75810CB0" w:rsidR="00725E50" w:rsidRPr="00075DC8" w:rsidRDefault="00725E50" w:rsidP="00FA3EB9">
            <w:pPr>
              <w:pStyle w:val="Tablehead"/>
              <w:rPr>
                <w:lang w:val="fr-FR"/>
              </w:rPr>
            </w:pPr>
            <w:r w:rsidRPr="00075DC8">
              <w:rPr>
                <w:lang w:val="fr-FR"/>
              </w:rPr>
              <w:t>Qualité en matière de disponibilité sans brouillage fixée à un taux d</w:t>
            </w:r>
            <w:r w:rsidR="001F6A0D" w:rsidRPr="00075DC8">
              <w:rPr>
                <w:lang w:val="fr-FR"/>
              </w:rPr>
              <w:t>'</w:t>
            </w:r>
            <w:r w:rsidRPr="00075DC8">
              <w:rPr>
                <w:lang w:val="fr-FR"/>
              </w:rPr>
              <w:t>indisponibilité de 0,001%</w:t>
            </w:r>
          </w:p>
        </w:tc>
      </w:tr>
      <w:tr w:rsidR="00725E50" w:rsidRPr="00075DC8" w14:paraId="3E5FE9B7" w14:textId="77777777" w:rsidTr="00ED7FB5">
        <w:trPr>
          <w:cantSplit/>
          <w:trHeight w:val="421"/>
          <w:jc w:val="center"/>
        </w:trPr>
        <w:tc>
          <w:tcPr>
            <w:tcW w:w="1191" w:type="dxa"/>
            <w:vMerge/>
            <w:vAlign w:val="center"/>
            <w:hideMark/>
          </w:tcPr>
          <w:p w14:paraId="30EEF536" w14:textId="77777777" w:rsidR="00725E50" w:rsidRPr="00075DC8" w:rsidRDefault="00725E50" w:rsidP="00FA3EB9">
            <w:pPr>
              <w:pStyle w:val="Tablehead"/>
              <w:rPr>
                <w:lang w:val="fr-FR"/>
              </w:rPr>
            </w:pPr>
          </w:p>
        </w:tc>
        <w:tc>
          <w:tcPr>
            <w:tcW w:w="1333" w:type="dxa"/>
            <w:vMerge/>
            <w:vAlign w:val="center"/>
            <w:hideMark/>
          </w:tcPr>
          <w:p w14:paraId="5A41E4E5" w14:textId="77777777" w:rsidR="00725E50" w:rsidRPr="00075DC8" w:rsidRDefault="00725E50" w:rsidP="00FA3EB9">
            <w:pPr>
              <w:pStyle w:val="Tablehead"/>
              <w:rPr>
                <w:lang w:val="fr-FR"/>
              </w:rPr>
            </w:pPr>
          </w:p>
        </w:tc>
        <w:tc>
          <w:tcPr>
            <w:tcW w:w="1445" w:type="dxa"/>
            <w:vMerge/>
            <w:vAlign w:val="center"/>
            <w:hideMark/>
          </w:tcPr>
          <w:p w14:paraId="2CF6FB96" w14:textId="77777777" w:rsidR="00725E50" w:rsidRPr="00075DC8" w:rsidRDefault="00725E50" w:rsidP="00FA3EB9">
            <w:pPr>
              <w:pStyle w:val="Tablehead"/>
              <w:rPr>
                <w:lang w:val="fr-FR"/>
              </w:rPr>
            </w:pPr>
          </w:p>
        </w:tc>
        <w:tc>
          <w:tcPr>
            <w:tcW w:w="1248" w:type="dxa"/>
            <w:vAlign w:val="center"/>
            <w:hideMark/>
          </w:tcPr>
          <w:p w14:paraId="1A1E6D88" w14:textId="77777777" w:rsidR="00725E50" w:rsidRPr="00075DC8" w:rsidRDefault="00725E50" w:rsidP="00FA3EB9">
            <w:pPr>
              <w:pStyle w:val="Tablehead"/>
              <w:rPr>
                <w:lang w:val="fr-FR"/>
              </w:rPr>
            </w:pPr>
            <w:r w:rsidRPr="00075DC8">
              <w:rPr>
                <w:lang w:val="fr-FR"/>
              </w:rPr>
              <w:t>Marge nominale</w:t>
            </w:r>
            <w:r w:rsidRPr="00075DC8">
              <w:rPr>
                <w:lang w:val="fr-FR"/>
              </w:rPr>
              <w:br/>
              <w:t>(dB)</w:t>
            </w:r>
          </w:p>
        </w:tc>
        <w:tc>
          <w:tcPr>
            <w:tcW w:w="1530" w:type="dxa"/>
            <w:vAlign w:val="center"/>
            <w:hideMark/>
          </w:tcPr>
          <w:p w14:paraId="1C5CAB30" w14:textId="77777777" w:rsidR="00725E50" w:rsidRPr="00075DC8" w:rsidRDefault="00725E50" w:rsidP="00FA3EB9">
            <w:pPr>
              <w:pStyle w:val="Tablehead"/>
              <w:rPr>
                <w:lang w:val="fr-FR"/>
              </w:rPr>
            </w:pPr>
            <w:r w:rsidRPr="00075DC8">
              <w:rPr>
                <w:lang w:val="fr-FR"/>
              </w:rPr>
              <w:t>Dégradation résultante de la qualité en matière de disponibilité</w:t>
            </w:r>
          </w:p>
        </w:tc>
        <w:tc>
          <w:tcPr>
            <w:tcW w:w="1417" w:type="dxa"/>
            <w:vAlign w:val="center"/>
            <w:hideMark/>
          </w:tcPr>
          <w:p w14:paraId="2A200D6E" w14:textId="77777777" w:rsidR="00725E50" w:rsidRPr="00075DC8" w:rsidRDefault="00725E50" w:rsidP="00FA3EB9">
            <w:pPr>
              <w:pStyle w:val="Tablehead"/>
              <w:rPr>
                <w:lang w:val="fr-FR"/>
              </w:rPr>
            </w:pPr>
            <w:r w:rsidRPr="00075DC8">
              <w:rPr>
                <w:lang w:val="fr-FR"/>
              </w:rPr>
              <w:t>Marge nominale</w:t>
            </w:r>
            <w:r w:rsidRPr="00075DC8">
              <w:rPr>
                <w:lang w:val="fr-FR"/>
              </w:rPr>
              <w:br/>
              <w:t>(dB)</w:t>
            </w:r>
          </w:p>
        </w:tc>
        <w:tc>
          <w:tcPr>
            <w:tcW w:w="1418" w:type="dxa"/>
            <w:vAlign w:val="center"/>
            <w:hideMark/>
          </w:tcPr>
          <w:p w14:paraId="2AB00942" w14:textId="77777777" w:rsidR="00725E50" w:rsidRPr="00075DC8" w:rsidRDefault="00725E50" w:rsidP="00FA3EB9">
            <w:pPr>
              <w:pStyle w:val="Tablehead"/>
              <w:rPr>
                <w:lang w:val="fr-FR"/>
              </w:rPr>
            </w:pPr>
            <w:r w:rsidRPr="00075DC8">
              <w:rPr>
                <w:lang w:val="fr-FR"/>
              </w:rPr>
              <w:t>Dégradation résultante de la qualité en matière de disponibilité</w:t>
            </w:r>
          </w:p>
        </w:tc>
      </w:tr>
      <w:tr w:rsidR="00725E50" w:rsidRPr="00075DC8" w14:paraId="4AB026A2" w14:textId="77777777" w:rsidTr="00ED7FB5">
        <w:trPr>
          <w:cantSplit/>
          <w:trHeight w:val="353"/>
          <w:jc w:val="center"/>
        </w:trPr>
        <w:tc>
          <w:tcPr>
            <w:tcW w:w="1191" w:type="dxa"/>
            <w:vMerge w:val="restart"/>
            <w:vAlign w:val="center"/>
            <w:hideMark/>
          </w:tcPr>
          <w:p w14:paraId="0095E8ED" w14:textId="77777777" w:rsidR="00725E50" w:rsidRPr="00075DC8" w:rsidRDefault="00725E50" w:rsidP="00ED7FB5">
            <w:pPr>
              <w:pStyle w:val="Tabletext"/>
              <w:jc w:val="center"/>
              <w:rPr>
                <w:lang w:val="fr-FR"/>
              </w:rPr>
            </w:pPr>
            <w:r w:rsidRPr="00075DC8">
              <w:rPr>
                <w:lang w:val="fr-FR"/>
              </w:rPr>
              <w:t>32 mm/h</w:t>
            </w:r>
          </w:p>
        </w:tc>
        <w:tc>
          <w:tcPr>
            <w:tcW w:w="1333" w:type="dxa"/>
            <w:hideMark/>
          </w:tcPr>
          <w:p w14:paraId="12157E9A" w14:textId="0D3DAF89" w:rsidR="00725E50" w:rsidRPr="00075DC8" w:rsidRDefault="00ED7FB5" w:rsidP="00ED7FB5">
            <w:pPr>
              <w:pStyle w:val="Tabletext"/>
              <w:jc w:val="center"/>
              <w:rPr>
                <w:lang w:val="fr-FR"/>
              </w:rPr>
            </w:pPr>
            <w:r w:rsidRPr="00075DC8">
              <w:rPr>
                <w:lang w:val="fr-FR"/>
              </w:rPr>
              <w:t>−</w:t>
            </w:r>
            <w:r w:rsidR="00725E50" w:rsidRPr="00075DC8">
              <w:rPr>
                <w:lang w:val="fr-FR"/>
              </w:rPr>
              <w:t>6</w:t>
            </w:r>
          </w:p>
        </w:tc>
        <w:tc>
          <w:tcPr>
            <w:tcW w:w="1445" w:type="dxa"/>
            <w:hideMark/>
          </w:tcPr>
          <w:p w14:paraId="5DA69DC1" w14:textId="77777777" w:rsidR="00725E50" w:rsidRPr="00075DC8" w:rsidRDefault="00725E50" w:rsidP="00ED7FB5">
            <w:pPr>
              <w:pStyle w:val="Tabletext"/>
              <w:jc w:val="center"/>
              <w:rPr>
                <w:lang w:val="fr-FR"/>
              </w:rPr>
            </w:pPr>
            <w:r w:rsidRPr="00075DC8">
              <w:rPr>
                <w:lang w:val="fr-FR"/>
              </w:rPr>
              <w:t>1</w:t>
            </w:r>
          </w:p>
        </w:tc>
        <w:tc>
          <w:tcPr>
            <w:tcW w:w="1248" w:type="dxa"/>
            <w:hideMark/>
          </w:tcPr>
          <w:p w14:paraId="5BFEE937" w14:textId="77777777" w:rsidR="00725E50" w:rsidRPr="00075DC8" w:rsidRDefault="00725E50" w:rsidP="00ED7FB5">
            <w:pPr>
              <w:pStyle w:val="Tabletext"/>
              <w:jc w:val="center"/>
              <w:rPr>
                <w:lang w:val="fr-FR"/>
              </w:rPr>
            </w:pPr>
            <w:r w:rsidRPr="00075DC8">
              <w:rPr>
                <w:lang w:val="fr-FR"/>
              </w:rPr>
              <w:t>20,1</w:t>
            </w:r>
          </w:p>
        </w:tc>
        <w:tc>
          <w:tcPr>
            <w:tcW w:w="1530" w:type="dxa"/>
            <w:hideMark/>
          </w:tcPr>
          <w:p w14:paraId="5D45BAF2" w14:textId="77777777" w:rsidR="00725E50" w:rsidRPr="00075DC8" w:rsidRDefault="00725E50" w:rsidP="00ED7FB5">
            <w:pPr>
              <w:pStyle w:val="Tabletext"/>
              <w:jc w:val="center"/>
              <w:rPr>
                <w:lang w:val="fr-FR"/>
              </w:rPr>
            </w:pPr>
            <w:r w:rsidRPr="00075DC8">
              <w:rPr>
                <w:lang w:val="fr-FR"/>
              </w:rPr>
              <w:t>14,6%</w:t>
            </w:r>
          </w:p>
        </w:tc>
        <w:tc>
          <w:tcPr>
            <w:tcW w:w="1417" w:type="dxa"/>
            <w:hideMark/>
          </w:tcPr>
          <w:p w14:paraId="5721B931" w14:textId="77777777" w:rsidR="00725E50" w:rsidRPr="00075DC8" w:rsidRDefault="00725E50" w:rsidP="00ED7FB5">
            <w:pPr>
              <w:pStyle w:val="Tabletext"/>
              <w:jc w:val="center"/>
              <w:rPr>
                <w:lang w:val="fr-FR"/>
              </w:rPr>
            </w:pPr>
            <w:r w:rsidRPr="00075DC8">
              <w:rPr>
                <w:lang w:val="fr-FR"/>
              </w:rPr>
              <w:t>42,9</w:t>
            </w:r>
          </w:p>
        </w:tc>
        <w:tc>
          <w:tcPr>
            <w:tcW w:w="1418" w:type="dxa"/>
            <w:hideMark/>
          </w:tcPr>
          <w:p w14:paraId="43CA807D" w14:textId="77777777" w:rsidR="00725E50" w:rsidRPr="00075DC8" w:rsidRDefault="00725E50" w:rsidP="00ED7FB5">
            <w:pPr>
              <w:pStyle w:val="Tabletext"/>
              <w:jc w:val="center"/>
              <w:rPr>
                <w:lang w:val="fr-FR"/>
              </w:rPr>
            </w:pPr>
            <w:r w:rsidRPr="00075DC8">
              <w:rPr>
                <w:lang w:val="fr-FR"/>
              </w:rPr>
              <w:t>8,5%</w:t>
            </w:r>
          </w:p>
        </w:tc>
      </w:tr>
      <w:tr w:rsidR="00725E50" w:rsidRPr="00075DC8" w14:paraId="302662C6" w14:textId="77777777" w:rsidTr="00ED7FB5">
        <w:trPr>
          <w:cantSplit/>
          <w:trHeight w:val="273"/>
          <w:jc w:val="center"/>
        </w:trPr>
        <w:tc>
          <w:tcPr>
            <w:tcW w:w="1191" w:type="dxa"/>
            <w:vMerge/>
            <w:vAlign w:val="center"/>
            <w:hideMark/>
          </w:tcPr>
          <w:p w14:paraId="62C6EBEB" w14:textId="77777777" w:rsidR="00725E50" w:rsidRPr="00075DC8" w:rsidRDefault="00725E50" w:rsidP="00ED7FB5">
            <w:pPr>
              <w:pStyle w:val="Tabletext"/>
              <w:jc w:val="center"/>
              <w:rPr>
                <w:lang w:val="fr-FR"/>
              </w:rPr>
            </w:pPr>
          </w:p>
        </w:tc>
        <w:tc>
          <w:tcPr>
            <w:tcW w:w="1333" w:type="dxa"/>
            <w:hideMark/>
          </w:tcPr>
          <w:p w14:paraId="045572C3" w14:textId="305CBA6E" w:rsidR="00725E50" w:rsidRPr="00075DC8" w:rsidRDefault="00ED7FB5" w:rsidP="00ED7FB5">
            <w:pPr>
              <w:pStyle w:val="Tabletext"/>
              <w:jc w:val="center"/>
              <w:rPr>
                <w:lang w:val="fr-FR"/>
              </w:rPr>
            </w:pPr>
            <w:r w:rsidRPr="00075DC8">
              <w:rPr>
                <w:lang w:val="fr-FR"/>
              </w:rPr>
              <w:t>−</w:t>
            </w:r>
            <w:r w:rsidR="00725E50" w:rsidRPr="00075DC8">
              <w:rPr>
                <w:lang w:val="fr-FR"/>
              </w:rPr>
              <w:t>10</w:t>
            </w:r>
          </w:p>
        </w:tc>
        <w:tc>
          <w:tcPr>
            <w:tcW w:w="1445" w:type="dxa"/>
            <w:hideMark/>
          </w:tcPr>
          <w:p w14:paraId="5D2054E4" w14:textId="77777777" w:rsidR="00725E50" w:rsidRPr="00075DC8" w:rsidRDefault="00725E50" w:rsidP="00ED7FB5">
            <w:pPr>
              <w:pStyle w:val="Tabletext"/>
              <w:jc w:val="center"/>
              <w:rPr>
                <w:lang w:val="fr-FR"/>
              </w:rPr>
            </w:pPr>
            <w:r w:rsidRPr="00075DC8">
              <w:rPr>
                <w:lang w:val="fr-FR"/>
              </w:rPr>
              <w:t>0,5</w:t>
            </w:r>
          </w:p>
        </w:tc>
        <w:tc>
          <w:tcPr>
            <w:tcW w:w="1248" w:type="dxa"/>
            <w:hideMark/>
          </w:tcPr>
          <w:p w14:paraId="3C65958E" w14:textId="77777777" w:rsidR="00725E50" w:rsidRPr="00075DC8" w:rsidRDefault="00725E50" w:rsidP="00ED7FB5">
            <w:pPr>
              <w:pStyle w:val="Tabletext"/>
              <w:jc w:val="center"/>
              <w:rPr>
                <w:lang w:val="fr-FR"/>
              </w:rPr>
            </w:pPr>
            <w:r w:rsidRPr="00075DC8">
              <w:rPr>
                <w:lang w:val="fr-FR"/>
              </w:rPr>
              <w:t>20,1</w:t>
            </w:r>
          </w:p>
        </w:tc>
        <w:tc>
          <w:tcPr>
            <w:tcW w:w="1530" w:type="dxa"/>
            <w:hideMark/>
          </w:tcPr>
          <w:p w14:paraId="2027438D" w14:textId="77777777" w:rsidR="00725E50" w:rsidRPr="00075DC8" w:rsidRDefault="00725E50" w:rsidP="00ED7FB5">
            <w:pPr>
              <w:pStyle w:val="Tabletext"/>
              <w:jc w:val="center"/>
              <w:rPr>
                <w:lang w:val="fr-FR"/>
              </w:rPr>
            </w:pPr>
            <w:r w:rsidRPr="00075DC8">
              <w:rPr>
                <w:lang w:val="fr-FR"/>
              </w:rPr>
              <w:t>7,0%</w:t>
            </w:r>
          </w:p>
        </w:tc>
        <w:tc>
          <w:tcPr>
            <w:tcW w:w="1417" w:type="dxa"/>
            <w:hideMark/>
          </w:tcPr>
          <w:p w14:paraId="1D573F55" w14:textId="77777777" w:rsidR="00725E50" w:rsidRPr="00075DC8" w:rsidRDefault="00725E50" w:rsidP="00ED7FB5">
            <w:pPr>
              <w:pStyle w:val="Tabletext"/>
              <w:jc w:val="center"/>
              <w:rPr>
                <w:lang w:val="fr-FR"/>
              </w:rPr>
            </w:pPr>
            <w:r w:rsidRPr="00075DC8">
              <w:rPr>
                <w:lang w:val="fr-FR"/>
              </w:rPr>
              <w:t>42,9</w:t>
            </w:r>
          </w:p>
        </w:tc>
        <w:tc>
          <w:tcPr>
            <w:tcW w:w="1418" w:type="dxa"/>
            <w:hideMark/>
          </w:tcPr>
          <w:p w14:paraId="372561D1" w14:textId="77777777" w:rsidR="00725E50" w:rsidRPr="00075DC8" w:rsidRDefault="00725E50" w:rsidP="00ED7FB5">
            <w:pPr>
              <w:pStyle w:val="Tabletext"/>
              <w:jc w:val="center"/>
              <w:rPr>
                <w:lang w:val="fr-FR"/>
              </w:rPr>
            </w:pPr>
            <w:r w:rsidRPr="00075DC8">
              <w:rPr>
                <w:lang w:val="fr-FR"/>
              </w:rPr>
              <w:t>4,2%</w:t>
            </w:r>
          </w:p>
        </w:tc>
      </w:tr>
      <w:tr w:rsidR="00725E50" w:rsidRPr="00075DC8" w14:paraId="29B717BC" w14:textId="77777777" w:rsidTr="00ED7FB5">
        <w:trPr>
          <w:cantSplit/>
          <w:jc w:val="center"/>
        </w:trPr>
        <w:tc>
          <w:tcPr>
            <w:tcW w:w="1191" w:type="dxa"/>
            <w:vMerge/>
            <w:vAlign w:val="center"/>
            <w:hideMark/>
          </w:tcPr>
          <w:p w14:paraId="4BA80338" w14:textId="77777777" w:rsidR="00725E50" w:rsidRPr="00075DC8" w:rsidRDefault="00725E50" w:rsidP="00ED7FB5">
            <w:pPr>
              <w:pStyle w:val="Tabletext"/>
              <w:jc w:val="center"/>
              <w:rPr>
                <w:lang w:val="fr-FR"/>
              </w:rPr>
            </w:pPr>
          </w:p>
        </w:tc>
        <w:tc>
          <w:tcPr>
            <w:tcW w:w="1333" w:type="dxa"/>
            <w:hideMark/>
          </w:tcPr>
          <w:p w14:paraId="07906B84" w14:textId="2D7C8DC6" w:rsidR="00725E50" w:rsidRPr="00075DC8" w:rsidRDefault="00ED7FB5" w:rsidP="00ED7FB5">
            <w:pPr>
              <w:pStyle w:val="Tabletext"/>
              <w:jc w:val="center"/>
              <w:rPr>
                <w:lang w:val="fr-FR"/>
              </w:rPr>
            </w:pPr>
            <w:r w:rsidRPr="00075DC8">
              <w:rPr>
                <w:lang w:val="fr-FR"/>
              </w:rPr>
              <w:t>−</w:t>
            </w:r>
            <w:r w:rsidR="00725E50" w:rsidRPr="00075DC8">
              <w:rPr>
                <w:lang w:val="fr-FR"/>
              </w:rPr>
              <w:t>13</w:t>
            </w:r>
          </w:p>
        </w:tc>
        <w:tc>
          <w:tcPr>
            <w:tcW w:w="1445" w:type="dxa"/>
            <w:hideMark/>
          </w:tcPr>
          <w:p w14:paraId="4A795735" w14:textId="77777777" w:rsidR="00725E50" w:rsidRPr="00075DC8" w:rsidRDefault="00725E50" w:rsidP="00ED7FB5">
            <w:pPr>
              <w:pStyle w:val="Tabletext"/>
              <w:jc w:val="center"/>
              <w:rPr>
                <w:lang w:val="fr-FR"/>
              </w:rPr>
            </w:pPr>
            <w:r w:rsidRPr="00075DC8">
              <w:rPr>
                <w:lang w:val="fr-FR"/>
              </w:rPr>
              <w:t>0,2</w:t>
            </w:r>
          </w:p>
        </w:tc>
        <w:tc>
          <w:tcPr>
            <w:tcW w:w="1248" w:type="dxa"/>
            <w:hideMark/>
          </w:tcPr>
          <w:p w14:paraId="2C136532" w14:textId="77777777" w:rsidR="00725E50" w:rsidRPr="00075DC8" w:rsidRDefault="00725E50" w:rsidP="00ED7FB5">
            <w:pPr>
              <w:pStyle w:val="Tabletext"/>
              <w:jc w:val="center"/>
              <w:rPr>
                <w:lang w:val="fr-FR"/>
              </w:rPr>
            </w:pPr>
            <w:r w:rsidRPr="00075DC8">
              <w:rPr>
                <w:lang w:val="fr-FR"/>
              </w:rPr>
              <w:t>20,1</w:t>
            </w:r>
          </w:p>
        </w:tc>
        <w:tc>
          <w:tcPr>
            <w:tcW w:w="1530" w:type="dxa"/>
            <w:hideMark/>
          </w:tcPr>
          <w:p w14:paraId="7F1DF9F0" w14:textId="77777777" w:rsidR="00725E50" w:rsidRPr="00075DC8" w:rsidRDefault="00725E50" w:rsidP="00ED7FB5">
            <w:pPr>
              <w:pStyle w:val="Tabletext"/>
              <w:jc w:val="center"/>
              <w:rPr>
                <w:lang w:val="fr-FR"/>
              </w:rPr>
            </w:pPr>
            <w:r w:rsidRPr="00075DC8">
              <w:rPr>
                <w:lang w:val="fr-FR"/>
              </w:rPr>
              <w:t>2,8%</w:t>
            </w:r>
          </w:p>
        </w:tc>
        <w:tc>
          <w:tcPr>
            <w:tcW w:w="1417" w:type="dxa"/>
            <w:hideMark/>
          </w:tcPr>
          <w:p w14:paraId="3C0A7708" w14:textId="77777777" w:rsidR="00725E50" w:rsidRPr="00075DC8" w:rsidRDefault="00725E50" w:rsidP="00ED7FB5">
            <w:pPr>
              <w:pStyle w:val="Tabletext"/>
              <w:jc w:val="center"/>
              <w:rPr>
                <w:lang w:val="fr-FR"/>
              </w:rPr>
            </w:pPr>
            <w:r w:rsidRPr="00075DC8">
              <w:rPr>
                <w:lang w:val="fr-FR"/>
              </w:rPr>
              <w:t>42,9</w:t>
            </w:r>
          </w:p>
        </w:tc>
        <w:tc>
          <w:tcPr>
            <w:tcW w:w="1418" w:type="dxa"/>
            <w:hideMark/>
          </w:tcPr>
          <w:p w14:paraId="788537B5" w14:textId="77777777" w:rsidR="00725E50" w:rsidRPr="00075DC8" w:rsidRDefault="00725E50" w:rsidP="00ED7FB5">
            <w:pPr>
              <w:pStyle w:val="Tabletext"/>
              <w:jc w:val="center"/>
              <w:rPr>
                <w:lang w:val="fr-FR"/>
              </w:rPr>
            </w:pPr>
            <w:r w:rsidRPr="00075DC8">
              <w:rPr>
                <w:lang w:val="fr-FR"/>
              </w:rPr>
              <w:t>1,7%</w:t>
            </w:r>
          </w:p>
        </w:tc>
      </w:tr>
      <w:tr w:rsidR="00725E50" w:rsidRPr="00075DC8" w14:paraId="2C505D04" w14:textId="77777777" w:rsidTr="00ED7FB5">
        <w:trPr>
          <w:cantSplit/>
          <w:jc w:val="center"/>
        </w:trPr>
        <w:tc>
          <w:tcPr>
            <w:tcW w:w="1191" w:type="dxa"/>
            <w:vMerge w:val="restart"/>
            <w:vAlign w:val="center"/>
            <w:hideMark/>
          </w:tcPr>
          <w:p w14:paraId="7016603C" w14:textId="77777777" w:rsidR="00725E50" w:rsidRPr="00075DC8" w:rsidRDefault="00725E50" w:rsidP="00ED7FB5">
            <w:pPr>
              <w:pStyle w:val="Tabletext"/>
              <w:jc w:val="center"/>
              <w:rPr>
                <w:lang w:val="fr-FR"/>
              </w:rPr>
            </w:pPr>
            <w:r w:rsidRPr="00075DC8">
              <w:rPr>
                <w:lang w:val="fr-FR"/>
              </w:rPr>
              <w:t>22 mm/h</w:t>
            </w:r>
          </w:p>
        </w:tc>
        <w:tc>
          <w:tcPr>
            <w:tcW w:w="1333" w:type="dxa"/>
            <w:hideMark/>
          </w:tcPr>
          <w:p w14:paraId="2576CEF1" w14:textId="0838499B" w:rsidR="00725E50" w:rsidRPr="00075DC8" w:rsidRDefault="00ED7FB5" w:rsidP="00ED7FB5">
            <w:pPr>
              <w:pStyle w:val="Tabletext"/>
              <w:jc w:val="center"/>
              <w:rPr>
                <w:lang w:val="fr-FR"/>
              </w:rPr>
            </w:pPr>
            <w:r w:rsidRPr="00075DC8">
              <w:rPr>
                <w:lang w:val="fr-FR"/>
              </w:rPr>
              <w:t>−</w:t>
            </w:r>
            <w:r w:rsidR="00725E50" w:rsidRPr="00075DC8">
              <w:rPr>
                <w:lang w:val="fr-FR"/>
              </w:rPr>
              <w:t>6</w:t>
            </w:r>
          </w:p>
        </w:tc>
        <w:tc>
          <w:tcPr>
            <w:tcW w:w="1445" w:type="dxa"/>
            <w:hideMark/>
          </w:tcPr>
          <w:p w14:paraId="59EDB1D1" w14:textId="77777777" w:rsidR="00725E50" w:rsidRPr="00075DC8" w:rsidRDefault="00725E50" w:rsidP="00ED7FB5">
            <w:pPr>
              <w:pStyle w:val="Tabletext"/>
              <w:jc w:val="center"/>
              <w:rPr>
                <w:lang w:val="fr-FR"/>
              </w:rPr>
            </w:pPr>
            <w:r w:rsidRPr="00075DC8">
              <w:rPr>
                <w:lang w:val="fr-FR"/>
              </w:rPr>
              <w:t>1</w:t>
            </w:r>
          </w:p>
        </w:tc>
        <w:tc>
          <w:tcPr>
            <w:tcW w:w="1248" w:type="dxa"/>
            <w:hideMark/>
          </w:tcPr>
          <w:p w14:paraId="0ECB7698" w14:textId="77777777" w:rsidR="00725E50" w:rsidRPr="00075DC8" w:rsidRDefault="00725E50" w:rsidP="00ED7FB5">
            <w:pPr>
              <w:pStyle w:val="Tabletext"/>
              <w:jc w:val="center"/>
              <w:rPr>
                <w:lang w:val="fr-FR"/>
              </w:rPr>
            </w:pPr>
            <w:r w:rsidRPr="00075DC8">
              <w:rPr>
                <w:lang w:val="fr-FR"/>
              </w:rPr>
              <w:t>13,8</w:t>
            </w:r>
          </w:p>
        </w:tc>
        <w:tc>
          <w:tcPr>
            <w:tcW w:w="1530" w:type="dxa"/>
            <w:hideMark/>
          </w:tcPr>
          <w:p w14:paraId="2E916CA0" w14:textId="77777777" w:rsidR="00725E50" w:rsidRPr="00075DC8" w:rsidRDefault="00725E50" w:rsidP="00ED7FB5">
            <w:pPr>
              <w:pStyle w:val="Tabletext"/>
              <w:jc w:val="center"/>
              <w:rPr>
                <w:lang w:val="fr-FR"/>
              </w:rPr>
            </w:pPr>
            <w:r w:rsidRPr="00075DC8">
              <w:rPr>
                <w:lang w:val="fr-FR"/>
              </w:rPr>
              <w:t>22,0%</w:t>
            </w:r>
          </w:p>
        </w:tc>
        <w:tc>
          <w:tcPr>
            <w:tcW w:w="1417" w:type="dxa"/>
            <w:hideMark/>
          </w:tcPr>
          <w:p w14:paraId="1C0113F0" w14:textId="77777777" w:rsidR="00725E50" w:rsidRPr="00075DC8" w:rsidRDefault="00725E50" w:rsidP="00ED7FB5">
            <w:pPr>
              <w:pStyle w:val="Tabletext"/>
              <w:jc w:val="center"/>
              <w:rPr>
                <w:lang w:val="fr-FR"/>
              </w:rPr>
            </w:pPr>
            <w:r w:rsidRPr="00075DC8">
              <w:rPr>
                <w:lang w:val="fr-FR"/>
              </w:rPr>
              <w:t>29,6</w:t>
            </w:r>
          </w:p>
        </w:tc>
        <w:tc>
          <w:tcPr>
            <w:tcW w:w="1418" w:type="dxa"/>
            <w:hideMark/>
          </w:tcPr>
          <w:p w14:paraId="7066A18C" w14:textId="77777777" w:rsidR="00725E50" w:rsidRPr="00075DC8" w:rsidRDefault="00725E50" w:rsidP="00ED7FB5">
            <w:pPr>
              <w:pStyle w:val="Tabletext"/>
              <w:jc w:val="center"/>
              <w:rPr>
                <w:lang w:val="fr-FR"/>
              </w:rPr>
            </w:pPr>
            <w:r w:rsidRPr="00075DC8">
              <w:rPr>
                <w:lang w:val="fr-FR"/>
              </w:rPr>
              <w:t>12,6%</w:t>
            </w:r>
          </w:p>
        </w:tc>
      </w:tr>
      <w:tr w:rsidR="00725E50" w:rsidRPr="00075DC8" w14:paraId="24903AF7" w14:textId="77777777" w:rsidTr="00ED7FB5">
        <w:trPr>
          <w:cantSplit/>
          <w:jc w:val="center"/>
        </w:trPr>
        <w:tc>
          <w:tcPr>
            <w:tcW w:w="1191" w:type="dxa"/>
            <w:vMerge/>
            <w:hideMark/>
          </w:tcPr>
          <w:p w14:paraId="220D1E53" w14:textId="77777777" w:rsidR="00725E50" w:rsidRPr="00075DC8" w:rsidRDefault="00725E50" w:rsidP="00ED7FB5">
            <w:pPr>
              <w:pStyle w:val="Tabletext"/>
              <w:jc w:val="center"/>
              <w:rPr>
                <w:lang w:val="fr-FR"/>
              </w:rPr>
            </w:pPr>
          </w:p>
        </w:tc>
        <w:tc>
          <w:tcPr>
            <w:tcW w:w="1333" w:type="dxa"/>
            <w:hideMark/>
          </w:tcPr>
          <w:p w14:paraId="6C510EA5" w14:textId="04BB7F43" w:rsidR="00725E50" w:rsidRPr="00075DC8" w:rsidRDefault="00ED7FB5" w:rsidP="00ED7FB5">
            <w:pPr>
              <w:pStyle w:val="Tabletext"/>
              <w:jc w:val="center"/>
              <w:rPr>
                <w:lang w:val="fr-FR"/>
              </w:rPr>
            </w:pPr>
            <w:r w:rsidRPr="00075DC8">
              <w:rPr>
                <w:lang w:val="fr-FR"/>
              </w:rPr>
              <w:t>−</w:t>
            </w:r>
            <w:r w:rsidR="00725E50" w:rsidRPr="00075DC8">
              <w:rPr>
                <w:lang w:val="fr-FR"/>
              </w:rPr>
              <w:t>10</w:t>
            </w:r>
          </w:p>
        </w:tc>
        <w:tc>
          <w:tcPr>
            <w:tcW w:w="1445" w:type="dxa"/>
            <w:hideMark/>
          </w:tcPr>
          <w:p w14:paraId="7CABCE7E" w14:textId="77777777" w:rsidR="00725E50" w:rsidRPr="00075DC8" w:rsidRDefault="00725E50" w:rsidP="00ED7FB5">
            <w:pPr>
              <w:pStyle w:val="Tabletext"/>
              <w:jc w:val="center"/>
              <w:rPr>
                <w:lang w:val="fr-FR"/>
              </w:rPr>
            </w:pPr>
            <w:r w:rsidRPr="00075DC8">
              <w:rPr>
                <w:lang w:val="fr-FR"/>
              </w:rPr>
              <w:t>0,5</w:t>
            </w:r>
          </w:p>
        </w:tc>
        <w:tc>
          <w:tcPr>
            <w:tcW w:w="1248" w:type="dxa"/>
            <w:hideMark/>
          </w:tcPr>
          <w:p w14:paraId="661DB008" w14:textId="77777777" w:rsidR="00725E50" w:rsidRPr="00075DC8" w:rsidRDefault="00725E50" w:rsidP="00ED7FB5">
            <w:pPr>
              <w:pStyle w:val="Tabletext"/>
              <w:jc w:val="center"/>
              <w:rPr>
                <w:lang w:val="fr-FR"/>
              </w:rPr>
            </w:pPr>
            <w:r w:rsidRPr="00075DC8">
              <w:rPr>
                <w:lang w:val="fr-FR"/>
              </w:rPr>
              <w:t>13,8</w:t>
            </w:r>
          </w:p>
        </w:tc>
        <w:tc>
          <w:tcPr>
            <w:tcW w:w="1530" w:type="dxa"/>
            <w:hideMark/>
          </w:tcPr>
          <w:p w14:paraId="1BF71147" w14:textId="77777777" w:rsidR="00725E50" w:rsidRPr="00075DC8" w:rsidRDefault="00725E50" w:rsidP="00ED7FB5">
            <w:pPr>
              <w:pStyle w:val="Tabletext"/>
              <w:jc w:val="center"/>
              <w:rPr>
                <w:lang w:val="fr-FR"/>
              </w:rPr>
            </w:pPr>
            <w:r w:rsidRPr="00075DC8">
              <w:rPr>
                <w:lang w:val="fr-FR"/>
              </w:rPr>
              <w:t>10,3%</w:t>
            </w:r>
          </w:p>
        </w:tc>
        <w:tc>
          <w:tcPr>
            <w:tcW w:w="1417" w:type="dxa"/>
            <w:hideMark/>
          </w:tcPr>
          <w:p w14:paraId="705E999F" w14:textId="77777777" w:rsidR="00725E50" w:rsidRPr="00075DC8" w:rsidRDefault="00725E50" w:rsidP="00ED7FB5">
            <w:pPr>
              <w:pStyle w:val="Tabletext"/>
              <w:jc w:val="center"/>
              <w:rPr>
                <w:lang w:val="fr-FR"/>
              </w:rPr>
            </w:pPr>
            <w:r w:rsidRPr="00075DC8">
              <w:rPr>
                <w:lang w:val="fr-FR"/>
              </w:rPr>
              <w:t>29,6</w:t>
            </w:r>
          </w:p>
        </w:tc>
        <w:tc>
          <w:tcPr>
            <w:tcW w:w="1418" w:type="dxa"/>
            <w:hideMark/>
          </w:tcPr>
          <w:p w14:paraId="783857E1" w14:textId="77777777" w:rsidR="00725E50" w:rsidRPr="00075DC8" w:rsidRDefault="00725E50" w:rsidP="00ED7FB5">
            <w:pPr>
              <w:pStyle w:val="Tabletext"/>
              <w:jc w:val="center"/>
              <w:rPr>
                <w:lang w:val="fr-FR"/>
              </w:rPr>
            </w:pPr>
            <w:r w:rsidRPr="00075DC8">
              <w:rPr>
                <w:lang w:val="fr-FR"/>
              </w:rPr>
              <w:t>6,1%</w:t>
            </w:r>
          </w:p>
        </w:tc>
      </w:tr>
      <w:tr w:rsidR="00725E50" w:rsidRPr="00075DC8" w14:paraId="0E83B39D" w14:textId="77777777" w:rsidTr="00ED7FB5">
        <w:trPr>
          <w:cantSplit/>
          <w:jc w:val="center"/>
        </w:trPr>
        <w:tc>
          <w:tcPr>
            <w:tcW w:w="1191" w:type="dxa"/>
            <w:vMerge/>
            <w:hideMark/>
          </w:tcPr>
          <w:p w14:paraId="4C32E2AE" w14:textId="77777777" w:rsidR="00725E50" w:rsidRPr="00075DC8" w:rsidRDefault="00725E50" w:rsidP="00ED7FB5">
            <w:pPr>
              <w:pStyle w:val="Tabletext"/>
              <w:jc w:val="center"/>
              <w:rPr>
                <w:lang w:val="fr-FR"/>
              </w:rPr>
            </w:pPr>
          </w:p>
        </w:tc>
        <w:tc>
          <w:tcPr>
            <w:tcW w:w="1333" w:type="dxa"/>
            <w:hideMark/>
          </w:tcPr>
          <w:p w14:paraId="572F1BF4" w14:textId="2F08BDC7" w:rsidR="00725E50" w:rsidRPr="00075DC8" w:rsidRDefault="00ED7FB5" w:rsidP="00ED7FB5">
            <w:pPr>
              <w:pStyle w:val="Tabletext"/>
              <w:jc w:val="center"/>
              <w:rPr>
                <w:lang w:val="fr-FR"/>
              </w:rPr>
            </w:pPr>
            <w:r w:rsidRPr="00075DC8">
              <w:rPr>
                <w:lang w:val="fr-FR"/>
              </w:rPr>
              <w:t>−</w:t>
            </w:r>
            <w:r w:rsidR="00725E50" w:rsidRPr="00075DC8">
              <w:rPr>
                <w:lang w:val="fr-FR"/>
              </w:rPr>
              <w:t>13</w:t>
            </w:r>
          </w:p>
        </w:tc>
        <w:tc>
          <w:tcPr>
            <w:tcW w:w="1445" w:type="dxa"/>
            <w:hideMark/>
          </w:tcPr>
          <w:p w14:paraId="45504B50" w14:textId="77777777" w:rsidR="00725E50" w:rsidRPr="00075DC8" w:rsidRDefault="00725E50" w:rsidP="00ED7FB5">
            <w:pPr>
              <w:pStyle w:val="Tabletext"/>
              <w:jc w:val="center"/>
              <w:rPr>
                <w:lang w:val="fr-FR"/>
              </w:rPr>
            </w:pPr>
            <w:r w:rsidRPr="00075DC8">
              <w:rPr>
                <w:lang w:val="fr-FR"/>
              </w:rPr>
              <w:t>0,2</w:t>
            </w:r>
          </w:p>
        </w:tc>
        <w:tc>
          <w:tcPr>
            <w:tcW w:w="1248" w:type="dxa"/>
            <w:hideMark/>
          </w:tcPr>
          <w:p w14:paraId="34661694" w14:textId="77777777" w:rsidR="00725E50" w:rsidRPr="00075DC8" w:rsidRDefault="00725E50" w:rsidP="00ED7FB5">
            <w:pPr>
              <w:pStyle w:val="Tabletext"/>
              <w:jc w:val="center"/>
              <w:rPr>
                <w:lang w:val="fr-FR"/>
              </w:rPr>
            </w:pPr>
            <w:r w:rsidRPr="00075DC8">
              <w:rPr>
                <w:lang w:val="fr-FR"/>
              </w:rPr>
              <w:t>13,8</w:t>
            </w:r>
          </w:p>
        </w:tc>
        <w:tc>
          <w:tcPr>
            <w:tcW w:w="1530" w:type="dxa"/>
            <w:hideMark/>
          </w:tcPr>
          <w:p w14:paraId="4B7CEF6D" w14:textId="77777777" w:rsidR="00725E50" w:rsidRPr="00075DC8" w:rsidRDefault="00725E50" w:rsidP="00ED7FB5">
            <w:pPr>
              <w:pStyle w:val="Tabletext"/>
              <w:jc w:val="center"/>
              <w:rPr>
                <w:lang w:val="fr-FR"/>
              </w:rPr>
            </w:pPr>
            <w:r w:rsidRPr="00075DC8">
              <w:rPr>
                <w:lang w:val="fr-FR"/>
              </w:rPr>
              <w:t>4,0%</w:t>
            </w:r>
          </w:p>
        </w:tc>
        <w:tc>
          <w:tcPr>
            <w:tcW w:w="1417" w:type="dxa"/>
            <w:hideMark/>
          </w:tcPr>
          <w:p w14:paraId="12FA0344" w14:textId="77777777" w:rsidR="00725E50" w:rsidRPr="00075DC8" w:rsidRDefault="00725E50" w:rsidP="00ED7FB5">
            <w:pPr>
              <w:pStyle w:val="Tabletext"/>
              <w:jc w:val="center"/>
              <w:rPr>
                <w:lang w:val="fr-FR"/>
              </w:rPr>
            </w:pPr>
            <w:r w:rsidRPr="00075DC8">
              <w:rPr>
                <w:lang w:val="fr-FR"/>
              </w:rPr>
              <w:t>29,6</w:t>
            </w:r>
          </w:p>
        </w:tc>
        <w:tc>
          <w:tcPr>
            <w:tcW w:w="1418" w:type="dxa"/>
            <w:hideMark/>
          </w:tcPr>
          <w:p w14:paraId="1C5BF2F0" w14:textId="77777777" w:rsidR="00725E50" w:rsidRPr="00075DC8" w:rsidRDefault="00725E50" w:rsidP="00ED7FB5">
            <w:pPr>
              <w:pStyle w:val="Tabletext"/>
              <w:jc w:val="center"/>
              <w:rPr>
                <w:lang w:val="fr-FR"/>
              </w:rPr>
            </w:pPr>
            <w:r w:rsidRPr="00075DC8">
              <w:rPr>
                <w:lang w:val="fr-FR"/>
              </w:rPr>
              <w:t>2,4%</w:t>
            </w:r>
          </w:p>
        </w:tc>
      </w:tr>
    </w:tbl>
    <w:p w14:paraId="7B339508" w14:textId="77777777" w:rsidR="00ED7FB5" w:rsidRPr="00075DC8" w:rsidRDefault="00ED7FB5" w:rsidP="00ED7FB5">
      <w:pPr>
        <w:pStyle w:val="Tablefin"/>
        <w:rPr>
          <w:lang w:val="fr-FR"/>
        </w:rPr>
      </w:pPr>
    </w:p>
    <w:p w14:paraId="6D8E3A04" w14:textId="643C5FC9" w:rsidR="00725E50" w:rsidRPr="00075DC8" w:rsidRDefault="00725E50" w:rsidP="00725E50">
      <w:pPr>
        <w:pStyle w:val="TableNo"/>
        <w:keepLines/>
        <w:rPr>
          <w:lang w:val="fr-FR"/>
        </w:rPr>
      </w:pPr>
      <w:r w:rsidRPr="00075DC8">
        <w:rPr>
          <w:lang w:val="fr-FR"/>
        </w:rPr>
        <w:t>TABLEAU 4</w:t>
      </w:r>
    </w:p>
    <w:p w14:paraId="04549D33" w14:textId="77777777" w:rsidR="00725E50" w:rsidRPr="00075DC8" w:rsidRDefault="00725E50" w:rsidP="00725E50">
      <w:pPr>
        <w:pStyle w:val="Tabletitle"/>
        <w:keepLines/>
        <w:rPr>
          <w:lang w:val="fr-FR"/>
        </w:rPr>
      </w:pPr>
      <w:r w:rsidRPr="00075DC8">
        <w:rPr>
          <w:lang w:val="fr-FR"/>
        </w:rPr>
        <w:t xml:space="preserve">Dégradation de la qualité en matière de disponibilité causée par les évanouissements </w:t>
      </w:r>
      <w:r w:rsidRPr="00075DC8">
        <w:rPr>
          <w:lang w:val="fr-FR"/>
        </w:rPr>
        <w:br/>
        <w:t>dus à la pluie (fréquence radioélectrique: 23 GHz, longueur de la liaison: 3 km)</w:t>
      </w:r>
    </w:p>
    <w:tbl>
      <w:tblPr>
        <w:tblW w:w="96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99"/>
        <w:gridCol w:w="1342"/>
        <w:gridCol w:w="1455"/>
        <w:gridCol w:w="1257"/>
        <w:gridCol w:w="1539"/>
        <w:gridCol w:w="1426"/>
        <w:gridCol w:w="1427"/>
      </w:tblGrid>
      <w:tr w:rsidR="00725E50" w:rsidRPr="00075DC8" w14:paraId="26465D8C" w14:textId="77777777" w:rsidTr="00604EF4">
        <w:trPr>
          <w:cantSplit/>
          <w:trHeight w:val="588"/>
          <w:jc w:val="center"/>
        </w:trPr>
        <w:tc>
          <w:tcPr>
            <w:tcW w:w="1191" w:type="dxa"/>
            <w:vMerge w:val="restart"/>
            <w:vAlign w:val="center"/>
            <w:hideMark/>
          </w:tcPr>
          <w:p w14:paraId="3D1F56D0" w14:textId="77777777" w:rsidR="00725E50" w:rsidRPr="00075DC8" w:rsidRDefault="00725E50" w:rsidP="00FA3EB9">
            <w:pPr>
              <w:pStyle w:val="Tablehead"/>
              <w:rPr>
                <w:lang w:val="fr-FR"/>
              </w:rPr>
            </w:pPr>
            <w:r w:rsidRPr="00075DC8">
              <w:rPr>
                <w:lang w:val="fr-FR"/>
              </w:rPr>
              <w:t>Climat</w:t>
            </w:r>
            <w:r w:rsidRPr="00075DC8">
              <w:rPr>
                <w:lang w:val="fr-FR"/>
              </w:rPr>
              <w:br/>
              <w:t>(taux de pluie dépassé pendant 0,01% du temps)</w:t>
            </w:r>
          </w:p>
        </w:tc>
        <w:tc>
          <w:tcPr>
            <w:tcW w:w="1333" w:type="dxa"/>
            <w:vMerge w:val="restart"/>
            <w:vAlign w:val="center"/>
            <w:hideMark/>
          </w:tcPr>
          <w:p w14:paraId="7652469F" w14:textId="77777777" w:rsidR="00725E50" w:rsidRPr="00075DC8" w:rsidRDefault="00725E50" w:rsidP="00FA3EB9">
            <w:pPr>
              <w:pStyle w:val="Tablehead"/>
              <w:rPr>
                <w:lang w:val="fr-FR"/>
              </w:rPr>
            </w:pPr>
            <w:r w:rsidRPr="00075DC8">
              <w:rPr>
                <w:lang w:val="fr-FR"/>
              </w:rPr>
              <w:t>Niveau de brouillage par rapport au bruit thermique dans le récepteur</w:t>
            </w:r>
            <w:r w:rsidRPr="00075DC8">
              <w:rPr>
                <w:lang w:val="fr-FR"/>
              </w:rPr>
              <w:br/>
              <w:t>(dB)</w:t>
            </w:r>
          </w:p>
        </w:tc>
        <w:tc>
          <w:tcPr>
            <w:tcW w:w="1445" w:type="dxa"/>
            <w:vMerge w:val="restart"/>
            <w:vAlign w:val="center"/>
            <w:hideMark/>
          </w:tcPr>
          <w:p w14:paraId="4D6C3287" w14:textId="77777777" w:rsidR="00725E50" w:rsidRPr="00075DC8" w:rsidRDefault="00725E50" w:rsidP="00FA3EB9">
            <w:pPr>
              <w:pStyle w:val="Tablehead"/>
              <w:rPr>
                <w:lang w:val="fr-FR"/>
              </w:rPr>
            </w:pPr>
            <w:r w:rsidRPr="00075DC8">
              <w:rPr>
                <w:lang w:val="fr-FR"/>
              </w:rPr>
              <w:t>Dégradation résultante de la marge (dB)</w:t>
            </w:r>
          </w:p>
        </w:tc>
        <w:tc>
          <w:tcPr>
            <w:tcW w:w="2778" w:type="dxa"/>
            <w:gridSpan w:val="2"/>
            <w:vAlign w:val="center"/>
            <w:hideMark/>
          </w:tcPr>
          <w:p w14:paraId="4ADB4D1E" w14:textId="4B759258" w:rsidR="00725E50" w:rsidRPr="00075DC8" w:rsidRDefault="00725E50" w:rsidP="00FA3EB9">
            <w:pPr>
              <w:pStyle w:val="Tablehead"/>
              <w:rPr>
                <w:lang w:val="fr-FR"/>
              </w:rPr>
            </w:pPr>
            <w:r w:rsidRPr="00075DC8">
              <w:rPr>
                <w:lang w:val="fr-FR"/>
              </w:rPr>
              <w:t>Qualité en matière de disponibilité sans brouillage fixée à un taux d</w:t>
            </w:r>
            <w:r w:rsidR="001F6A0D" w:rsidRPr="00075DC8">
              <w:rPr>
                <w:lang w:val="fr-FR"/>
              </w:rPr>
              <w:t>'</w:t>
            </w:r>
            <w:r w:rsidRPr="00075DC8">
              <w:rPr>
                <w:lang w:val="fr-FR"/>
              </w:rPr>
              <w:t>indisponibilité de 0,01%</w:t>
            </w:r>
          </w:p>
        </w:tc>
        <w:tc>
          <w:tcPr>
            <w:tcW w:w="2835" w:type="dxa"/>
            <w:gridSpan w:val="2"/>
            <w:vAlign w:val="center"/>
            <w:hideMark/>
          </w:tcPr>
          <w:p w14:paraId="5A2A5D33" w14:textId="4B6CB9BB" w:rsidR="00725E50" w:rsidRPr="00075DC8" w:rsidRDefault="00725E50" w:rsidP="00FA3EB9">
            <w:pPr>
              <w:pStyle w:val="Tablehead"/>
              <w:rPr>
                <w:lang w:val="fr-FR"/>
              </w:rPr>
            </w:pPr>
            <w:r w:rsidRPr="00075DC8">
              <w:rPr>
                <w:lang w:val="fr-FR"/>
              </w:rPr>
              <w:t>Qualité en matière de disponibilité sans brouillage fixée à un taux d</w:t>
            </w:r>
            <w:r w:rsidR="001F6A0D" w:rsidRPr="00075DC8">
              <w:rPr>
                <w:lang w:val="fr-FR"/>
              </w:rPr>
              <w:t>'</w:t>
            </w:r>
            <w:r w:rsidRPr="00075DC8">
              <w:rPr>
                <w:lang w:val="fr-FR"/>
              </w:rPr>
              <w:t>indisponibilité de 0,001%</w:t>
            </w:r>
          </w:p>
        </w:tc>
      </w:tr>
      <w:tr w:rsidR="00725E50" w:rsidRPr="00075DC8" w14:paraId="71F8AD58" w14:textId="77777777" w:rsidTr="00604EF4">
        <w:trPr>
          <w:cantSplit/>
          <w:trHeight w:val="421"/>
          <w:jc w:val="center"/>
        </w:trPr>
        <w:tc>
          <w:tcPr>
            <w:tcW w:w="1191" w:type="dxa"/>
            <w:vMerge/>
            <w:vAlign w:val="center"/>
            <w:hideMark/>
          </w:tcPr>
          <w:p w14:paraId="747F8C89" w14:textId="77777777" w:rsidR="00725E50" w:rsidRPr="00075DC8" w:rsidRDefault="00725E50" w:rsidP="00FA3EB9">
            <w:pPr>
              <w:pStyle w:val="Tablehead"/>
              <w:rPr>
                <w:lang w:val="fr-FR"/>
              </w:rPr>
            </w:pPr>
          </w:p>
        </w:tc>
        <w:tc>
          <w:tcPr>
            <w:tcW w:w="1333" w:type="dxa"/>
            <w:vMerge/>
            <w:vAlign w:val="center"/>
            <w:hideMark/>
          </w:tcPr>
          <w:p w14:paraId="5C3F6B50" w14:textId="77777777" w:rsidR="00725E50" w:rsidRPr="00075DC8" w:rsidRDefault="00725E50" w:rsidP="00FA3EB9">
            <w:pPr>
              <w:pStyle w:val="Tablehead"/>
              <w:rPr>
                <w:lang w:val="fr-FR"/>
              </w:rPr>
            </w:pPr>
          </w:p>
        </w:tc>
        <w:tc>
          <w:tcPr>
            <w:tcW w:w="1445" w:type="dxa"/>
            <w:vMerge/>
            <w:vAlign w:val="center"/>
            <w:hideMark/>
          </w:tcPr>
          <w:p w14:paraId="0804CC89" w14:textId="77777777" w:rsidR="00725E50" w:rsidRPr="00075DC8" w:rsidRDefault="00725E50" w:rsidP="00FA3EB9">
            <w:pPr>
              <w:pStyle w:val="Tablehead"/>
              <w:rPr>
                <w:lang w:val="fr-FR"/>
              </w:rPr>
            </w:pPr>
          </w:p>
        </w:tc>
        <w:tc>
          <w:tcPr>
            <w:tcW w:w="1249" w:type="dxa"/>
            <w:vAlign w:val="center"/>
            <w:hideMark/>
          </w:tcPr>
          <w:p w14:paraId="3B274989" w14:textId="77777777" w:rsidR="00725E50" w:rsidRPr="00075DC8" w:rsidRDefault="00725E50" w:rsidP="00FA3EB9">
            <w:pPr>
              <w:pStyle w:val="Tablehead"/>
              <w:rPr>
                <w:lang w:val="fr-FR"/>
              </w:rPr>
            </w:pPr>
            <w:r w:rsidRPr="00075DC8">
              <w:rPr>
                <w:lang w:val="fr-FR"/>
              </w:rPr>
              <w:t>Marge nominale</w:t>
            </w:r>
            <w:r w:rsidRPr="00075DC8">
              <w:rPr>
                <w:lang w:val="fr-FR"/>
              </w:rPr>
              <w:br/>
              <w:t>(dB)</w:t>
            </w:r>
          </w:p>
        </w:tc>
        <w:tc>
          <w:tcPr>
            <w:tcW w:w="1529" w:type="dxa"/>
            <w:vAlign w:val="center"/>
            <w:hideMark/>
          </w:tcPr>
          <w:p w14:paraId="6D3CD539" w14:textId="77777777" w:rsidR="00725E50" w:rsidRPr="00075DC8" w:rsidRDefault="00725E50" w:rsidP="00FA3EB9">
            <w:pPr>
              <w:pStyle w:val="Tablehead"/>
              <w:rPr>
                <w:lang w:val="fr-FR"/>
              </w:rPr>
            </w:pPr>
            <w:r w:rsidRPr="00075DC8">
              <w:rPr>
                <w:lang w:val="fr-FR"/>
              </w:rPr>
              <w:t>Dégradation résultante de la qualité en matière de disponibilité</w:t>
            </w:r>
          </w:p>
        </w:tc>
        <w:tc>
          <w:tcPr>
            <w:tcW w:w="1417" w:type="dxa"/>
            <w:vAlign w:val="center"/>
            <w:hideMark/>
          </w:tcPr>
          <w:p w14:paraId="51CCDE59" w14:textId="77777777" w:rsidR="00725E50" w:rsidRPr="00075DC8" w:rsidRDefault="00725E50" w:rsidP="00FA3EB9">
            <w:pPr>
              <w:pStyle w:val="Tablehead"/>
              <w:rPr>
                <w:lang w:val="fr-FR"/>
              </w:rPr>
            </w:pPr>
            <w:r w:rsidRPr="00075DC8">
              <w:rPr>
                <w:lang w:val="fr-FR"/>
              </w:rPr>
              <w:t>Marge nominale</w:t>
            </w:r>
            <w:r w:rsidRPr="00075DC8">
              <w:rPr>
                <w:lang w:val="fr-FR"/>
              </w:rPr>
              <w:br/>
              <w:t>(dB)</w:t>
            </w:r>
          </w:p>
        </w:tc>
        <w:tc>
          <w:tcPr>
            <w:tcW w:w="1418" w:type="dxa"/>
            <w:vAlign w:val="center"/>
            <w:hideMark/>
          </w:tcPr>
          <w:p w14:paraId="3B7AD2E0" w14:textId="77777777" w:rsidR="00725E50" w:rsidRPr="00075DC8" w:rsidRDefault="00725E50" w:rsidP="00FA3EB9">
            <w:pPr>
              <w:pStyle w:val="Tablehead"/>
              <w:rPr>
                <w:lang w:val="fr-FR"/>
              </w:rPr>
            </w:pPr>
            <w:r w:rsidRPr="00075DC8">
              <w:rPr>
                <w:lang w:val="fr-FR"/>
              </w:rPr>
              <w:t>Dégradation résultante de la qualité en matière de disponibilité</w:t>
            </w:r>
          </w:p>
        </w:tc>
      </w:tr>
      <w:tr w:rsidR="00725E50" w:rsidRPr="00075DC8" w14:paraId="6CC80DDF" w14:textId="77777777" w:rsidTr="00FA3EB9">
        <w:trPr>
          <w:cantSplit/>
          <w:trHeight w:val="353"/>
          <w:jc w:val="center"/>
        </w:trPr>
        <w:tc>
          <w:tcPr>
            <w:tcW w:w="1191" w:type="dxa"/>
            <w:vMerge w:val="restart"/>
            <w:vAlign w:val="center"/>
            <w:hideMark/>
          </w:tcPr>
          <w:p w14:paraId="6C1EFE3B" w14:textId="77777777" w:rsidR="00725E50" w:rsidRPr="00075DC8" w:rsidRDefault="00725E50" w:rsidP="00FA3EB9">
            <w:pPr>
              <w:pStyle w:val="Tabletext"/>
              <w:jc w:val="center"/>
              <w:rPr>
                <w:lang w:val="fr-FR"/>
              </w:rPr>
            </w:pPr>
            <w:r w:rsidRPr="00075DC8">
              <w:rPr>
                <w:lang w:val="fr-FR"/>
              </w:rPr>
              <w:t>32 mm/h</w:t>
            </w:r>
          </w:p>
        </w:tc>
        <w:tc>
          <w:tcPr>
            <w:tcW w:w="1333" w:type="dxa"/>
            <w:hideMark/>
          </w:tcPr>
          <w:p w14:paraId="7C0C019C" w14:textId="512B60F4" w:rsidR="00725E50" w:rsidRPr="00075DC8" w:rsidRDefault="00604EF4" w:rsidP="00FA3EB9">
            <w:pPr>
              <w:pStyle w:val="Tabletext"/>
              <w:jc w:val="center"/>
              <w:rPr>
                <w:lang w:val="fr-FR"/>
              </w:rPr>
            </w:pPr>
            <w:r w:rsidRPr="00075DC8">
              <w:rPr>
                <w:lang w:val="fr-FR"/>
              </w:rPr>
              <w:t>−</w:t>
            </w:r>
            <w:r w:rsidR="00725E50" w:rsidRPr="00075DC8">
              <w:rPr>
                <w:lang w:val="fr-FR"/>
              </w:rPr>
              <w:t>6</w:t>
            </w:r>
          </w:p>
        </w:tc>
        <w:tc>
          <w:tcPr>
            <w:tcW w:w="1445" w:type="dxa"/>
            <w:hideMark/>
          </w:tcPr>
          <w:p w14:paraId="73A6B854" w14:textId="77777777" w:rsidR="00725E50" w:rsidRPr="00075DC8" w:rsidRDefault="00725E50" w:rsidP="00FA3EB9">
            <w:pPr>
              <w:pStyle w:val="Tabletext"/>
              <w:jc w:val="center"/>
              <w:rPr>
                <w:lang w:val="fr-FR"/>
              </w:rPr>
            </w:pPr>
            <w:r w:rsidRPr="00075DC8">
              <w:rPr>
                <w:lang w:val="fr-FR"/>
              </w:rPr>
              <w:t>1</w:t>
            </w:r>
          </w:p>
        </w:tc>
        <w:tc>
          <w:tcPr>
            <w:tcW w:w="1249" w:type="dxa"/>
            <w:hideMark/>
          </w:tcPr>
          <w:p w14:paraId="5DFA55B1" w14:textId="77777777" w:rsidR="00725E50" w:rsidRPr="00075DC8" w:rsidRDefault="00725E50" w:rsidP="00FA3EB9">
            <w:pPr>
              <w:pStyle w:val="Tabletext"/>
              <w:jc w:val="center"/>
              <w:rPr>
                <w:lang w:val="fr-FR"/>
              </w:rPr>
            </w:pPr>
            <w:r w:rsidRPr="00075DC8">
              <w:rPr>
                <w:lang w:val="fr-FR"/>
              </w:rPr>
              <w:t>11,2</w:t>
            </w:r>
          </w:p>
        </w:tc>
        <w:tc>
          <w:tcPr>
            <w:tcW w:w="1529" w:type="dxa"/>
            <w:hideMark/>
          </w:tcPr>
          <w:p w14:paraId="67B645C9" w14:textId="77777777" w:rsidR="00725E50" w:rsidRPr="00075DC8" w:rsidRDefault="00725E50" w:rsidP="00FA3EB9">
            <w:pPr>
              <w:pStyle w:val="Tabletext"/>
              <w:jc w:val="center"/>
              <w:rPr>
                <w:lang w:val="fr-FR"/>
              </w:rPr>
            </w:pPr>
            <w:r w:rsidRPr="00075DC8">
              <w:rPr>
                <w:lang w:val="fr-FR"/>
              </w:rPr>
              <w:t>27,8%</w:t>
            </w:r>
          </w:p>
        </w:tc>
        <w:tc>
          <w:tcPr>
            <w:tcW w:w="1417" w:type="dxa"/>
            <w:hideMark/>
          </w:tcPr>
          <w:p w14:paraId="56A00BBB" w14:textId="77777777" w:rsidR="00725E50" w:rsidRPr="00075DC8" w:rsidRDefault="00725E50" w:rsidP="00FA3EB9">
            <w:pPr>
              <w:pStyle w:val="Tabletext"/>
              <w:jc w:val="center"/>
              <w:rPr>
                <w:lang w:val="fr-FR"/>
              </w:rPr>
            </w:pPr>
            <w:r w:rsidRPr="00075DC8">
              <w:rPr>
                <w:lang w:val="fr-FR"/>
              </w:rPr>
              <w:t>24,1</w:t>
            </w:r>
          </w:p>
        </w:tc>
        <w:tc>
          <w:tcPr>
            <w:tcW w:w="1418" w:type="dxa"/>
            <w:hideMark/>
          </w:tcPr>
          <w:p w14:paraId="54EEEB5C" w14:textId="77777777" w:rsidR="00725E50" w:rsidRPr="00075DC8" w:rsidRDefault="00725E50" w:rsidP="00FA3EB9">
            <w:pPr>
              <w:pStyle w:val="Tabletext"/>
              <w:jc w:val="center"/>
              <w:rPr>
                <w:lang w:val="fr-FR"/>
              </w:rPr>
            </w:pPr>
            <w:r w:rsidRPr="00075DC8">
              <w:rPr>
                <w:lang w:val="fr-FR"/>
              </w:rPr>
              <w:t>15,7%</w:t>
            </w:r>
          </w:p>
        </w:tc>
      </w:tr>
      <w:tr w:rsidR="00725E50" w:rsidRPr="00075DC8" w14:paraId="3B5B9B61" w14:textId="77777777" w:rsidTr="00FA3EB9">
        <w:trPr>
          <w:cantSplit/>
          <w:trHeight w:val="273"/>
          <w:jc w:val="center"/>
        </w:trPr>
        <w:tc>
          <w:tcPr>
            <w:tcW w:w="1191" w:type="dxa"/>
            <w:vMerge/>
            <w:vAlign w:val="center"/>
            <w:hideMark/>
          </w:tcPr>
          <w:p w14:paraId="51C921F7" w14:textId="77777777" w:rsidR="00725E50" w:rsidRPr="00075DC8" w:rsidRDefault="00725E50" w:rsidP="00FA3EB9">
            <w:pPr>
              <w:pStyle w:val="Tabletext"/>
              <w:jc w:val="center"/>
              <w:rPr>
                <w:lang w:val="fr-FR"/>
              </w:rPr>
            </w:pPr>
          </w:p>
        </w:tc>
        <w:tc>
          <w:tcPr>
            <w:tcW w:w="1333" w:type="dxa"/>
            <w:hideMark/>
          </w:tcPr>
          <w:p w14:paraId="2C28E79C" w14:textId="1E310DB8" w:rsidR="00725E50" w:rsidRPr="00075DC8" w:rsidRDefault="00604EF4" w:rsidP="00FA3EB9">
            <w:pPr>
              <w:pStyle w:val="Tabletext"/>
              <w:jc w:val="center"/>
              <w:rPr>
                <w:lang w:val="fr-FR"/>
              </w:rPr>
            </w:pPr>
            <w:r w:rsidRPr="00075DC8">
              <w:rPr>
                <w:lang w:val="fr-FR"/>
              </w:rPr>
              <w:t>−</w:t>
            </w:r>
            <w:r w:rsidR="00725E50" w:rsidRPr="00075DC8">
              <w:rPr>
                <w:lang w:val="fr-FR"/>
              </w:rPr>
              <w:t>10</w:t>
            </w:r>
          </w:p>
        </w:tc>
        <w:tc>
          <w:tcPr>
            <w:tcW w:w="1445" w:type="dxa"/>
            <w:hideMark/>
          </w:tcPr>
          <w:p w14:paraId="384A0E36" w14:textId="77777777" w:rsidR="00725E50" w:rsidRPr="00075DC8" w:rsidRDefault="00725E50" w:rsidP="00FA3EB9">
            <w:pPr>
              <w:pStyle w:val="Tabletext"/>
              <w:jc w:val="center"/>
              <w:rPr>
                <w:lang w:val="fr-FR"/>
              </w:rPr>
            </w:pPr>
            <w:r w:rsidRPr="00075DC8">
              <w:rPr>
                <w:lang w:val="fr-FR"/>
              </w:rPr>
              <w:t>0,5</w:t>
            </w:r>
          </w:p>
        </w:tc>
        <w:tc>
          <w:tcPr>
            <w:tcW w:w="1249" w:type="dxa"/>
            <w:hideMark/>
          </w:tcPr>
          <w:p w14:paraId="0C0FEC7C" w14:textId="77777777" w:rsidR="00725E50" w:rsidRPr="00075DC8" w:rsidRDefault="00725E50" w:rsidP="00FA3EB9">
            <w:pPr>
              <w:pStyle w:val="Tabletext"/>
              <w:jc w:val="center"/>
              <w:rPr>
                <w:lang w:val="fr-FR"/>
              </w:rPr>
            </w:pPr>
            <w:r w:rsidRPr="00075DC8">
              <w:rPr>
                <w:lang w:val="fr-FR"/>
              </w:rPr>
              <w:t>11,2</w:t>
            </w:r>
          </w:p>
        </w:tc>
        <w:tc>
          <w:tcPr>
            <w:tcW w:w="1529" w:type="dxa"/>
            <w:hideMark/>
          </w:tcPr>
          <w:p w14:paraId="59F013BB" w14:textId="77777777" w:rsidR="00725E50" w:rsidRPr="00075DC8" w:rsidRDefault="00725E50" w:rsidP="00FA3EB9">
            <w:pPr>
              <w:pStyle w:val="Tabletext"/>
              <w:jc w:val="center"/>
              <w:rPr>
                <w:lang w:val="fr-FR"/>
              </w:rPr>
            </w:pPr>
            <w:r w:rsidRPr="00075DC8">
              <w:rPr>
                <w:lang w:val="fr-FR"/>
              </w:rPr>
              <w:t>12,7%</w:t>
            </w:r>
          </w:p>
        </w:tc>
        <w:tc>
          <w:tcPr>
            <w:tcW w:w="1417" w:type="dxa"/>
            <w:hideMark/>
          </w:tcPr>
          <w:p w14:paraId="6A31E019" w14:textId="77777777" w:rsidR="00725E50" w:rsidRPr="00075DC8" w:rsidRDefault="00725E50" w:rsidP="00FA3EB9">
            <w:pPr>
              <w:pStyle w:val="Tabletext"/>
              <w:jc w:val="center"/>
              <w:rPr>
                <w:lang w:val="fr-FR"/>
              </w:rPr>
            </w:pPr>
            <w:r w:rsidRPr="00075DC8">
              <w:rPr>
                <w:lang w:val="fr-FR"/>
              </w:rPr>
              <w:t>24,1</w:t>
            </w:r>
          </w:p>
        </w:tc>
        <w:tc>
          <w:tcPr>
            <w:tcW w:w="1418" w:type="dxa"/>
            <w:hideMark/>
          </w:tcPr>
          <w:p w14:paraId="166EFFE4" w14:textId="77777777" w:rsidR="00725E50" w:rsidRPr="00075DC8" w:rsidRDefault="00725E50" w:rsidP="00FA3EB9">
            <w:pPr>
              <w:pStyle w:val="Tabletext"/>
              <w:jc w:val="center"/>
              <w:rPr>
                <w:lang w:val="fr-FR"/>
              </w:rPr>
            </w:pPr>
            <w:r w:rsidRPr="00075DC8">
              <w:rPr>
                <w:lang w:val="fr-FR"/>
              </w:rPr>
              <w:t>7,5%</w:t>
            </w:r>
          </w:p>
        </w:tc>
      </w:tr>
      <w:tr w:rsidR="00725E50" w:rsidRPr="00075DC8" w14:paraId="7C17481F" w14:textId="77777777" w:rsidTr="00FA3EB9">
        <w:trPr>
          <w:cantSplit/>
          <w:jc w:val="center"/>
        </w:trPr>
        <w:tc>
          <w:tcPr>
            <w:tcW w:w="1191" w:type="dxa"/>
            <w:vMerge/>
            <w:vAlign w:val="center"/>
            <w:hideMark/>
          </w:tcPr>
          <w:p w14:paraId="4464B201" w14:textId="77777777" w:rsidR="00725E50" w:rsidRPr="00075DC8" w:rsidRDefault="00725E50" w:rsidP="00FA3EB9">
            <w:pPr>
              <w:pStyle w:val="Tabletext"/>
              <w:jc w:val="center"/>
              <w:rPr>
                <w:lang w:val="fr-FR"/>
              </w:rPr>
            </w:pPr>
          </w:p>
        </w:tc>
        <w:tc>
          <w:tcPr>
            <w:tcW w:w="1333" w:type="dxa"/>
            <w:hideMark/>
          </w:tcPr>
          <w:p w14:paraId="660D9B11" w14:textId="5258BBE1" w:rsidR="00725E50" w:rsidRPr="00075DC8" w:rsidRDefault="00604EF4" w:rsidP="00FA3EB9">
            <w:pPr>
              <w:pStyle w:val="Tabletext"/>
              <w:jc w:val="center"/>
              <w:rPr>
                <w:lang w:val="fr-FR"/>
              </w:rPr>
            </w:pPr>
            <w:r w:rsidRPr="00075DC8">
              <w:rPr>
                <w:lang w:val="fr-FR"/>
              </w:rPr>
              <w:t>−</w:t>
            </w:r>
            <w:r w:rsidR="00725E50" w:rsidRPr="00075DC8">
              <w:rPr>
                <w:lang w:val="fr-FR"/>
              </w:rPr>
              <w:t>13</w:t>
            </w:r>
          </w:p>
        </w:tc>
        <w:tc>
          <w:tcPr>
            <w:tcW w:w="1445" w:type="dxa"/>
            <w:hideMark/>
          </w:tcPr>
          <w:p w14:paraId="3302B8B0" w14:textId="77777777" w:rsidR="00725E50" w:rsidRPr="00075DC8" w:rsidRDefault="00725E50" w:rsidP="00FA3EB9">
            <w:pPr>
              <w:pStyle w:val="Tabletext"/>
              <w:jc w:val="center"/>
              <w:rPr>
                <w:lang w:val="fr-FR"/>
              </w:rPr>
            </w:pPr>
            <w:r w:rsidRPr="00075DC8">
              <w:rPr>
                <w:lang w:val="fr-FR"/>
              </w:rPr>
              <w:t>0,2</w:t>
            </w:r>
          </w:p>
        </w:tc>
        <w:tc>
          <w:tcPr>
            <w:tcW w:w="1249" w:type="dxa"/>
            <w:hideMark/>
          </w:tcPr>
          <w:p w14:paraId="0A7405CB" w14:textId="77777777" w:rsidR="00725E50" w:rsidRPr="00075DC8" w:rsidRDefault="00725E50" w:rsidP="00FA3EB9">
            <w:pPr>
              <w:pStyle w:val="Tabletext"/>
              <w:jc w:val="center"/>
              <w:rPr>
                <w:lang w:val="fr-FR"/>
              </w:rPr>
            </w:pPr>
            <w:r w:rsidRPr="00075DC8">
              <w:rPr>
                <w:lang w:val="fr-FR"/>
              </w:rPr>
              <w:t>11,2</w:t>
            </w:r>
          </w:p>
        </w:tc>
        <w:tc>
          <w:tcPr>
            <w:tcW w:w="1529" w:type="dxa"/>
            <w:hideMark/>
          </w:tcPr>
          <w:p w14:paraId="200EE5A9" w14:textId="77777777" w:rsidR="00725E50" w:rsidRPr="00075DC8" w:rsidRDefault="00725E50" w:rsidP="00FA3EB9">
            <w:pPr>
              <w:pStyle w:val="Tabletext"/>
              <w:jc w:val="center"/>
              <w:rPr>
                <w:lang w:val="fr-FR"/>
              </w:rPr>
            </w:pPr>
            <w:r w:rsidRPr="00075DC8">
              <w:rPr>
                <w:lang w:val="fr-FR"/>
              </w:rPr>
              <w:t>4,8%</w:t>
            </w:r>
          </w:p>
        </w:tc>
        <w:tc>
          <w:tcPr>
            <w:tcW w:w="1417" w:type="dxa"/>
            <w:hideMark/>
          </w:tcPr>
          <w:p w14:paraId="768D3E9C" w14:textId="77777777" w:rsidR="00725E50" w:rsidRPr="00075DC8" w:rsidRDefault="00725E50" w:rsidP="00FA3EB9">
            <w:pPr>
              <w:pStyle w:val="Tabletext"/>
              <w:jc w:val="center"/>
              <w:rPr>
                <w:lang w:val="fr-FR"/>
              </w:rPr>
            </w:pPr>
            <w:r w:rsidRPr="00075DC8">
              <w:rPr>
                <w:lang w:val="fr-FR"/>
              </w:rPr>
              <w:t>24,1</w:t>
            </w:r>
          </w:p>
        </w:tc>
        <w:tc>
          <w:tcPr>
            <w:tcW w:w="1418" w:type="dxa"/>
            <w:hideMark/>
          </w:tcPr>
          <w:p w14:paraId="23A7EC0C" w14:textId="77777777" w:rsidR="00725E50" w:rsidRPr="00075DC8" w:rsidRDefault="00725E50" w:rsidP="00FA3EB9">
            <w:pPr>
              <w:pStyle w:val="Tabletext"/>
              <w:jc w:val="center"/>
              <w:rPr>
                <w:lang w:val="fr-FR"/>
              </w:rPr>
            </w:pPr>
            <w:r w:rsidRPr="00075DC8">
              <w:rPr>
                <w:lang w:val="fr-FR"/>
              </w:rPr>
              <w:t>2,9%</w:t>
            </w:r>
          </w:p>
        </w:tc>
      </w:tr>
      <w:tr w:rsidR="00725E50" w:rsidRPr="00075DC8" w14:paraId="5C36AD29" w14:textId="77777777" w:rsidTr="00FA3EB9">
        <w:trPr>
          <w:cantSplit/>
          <w:jc w:val="center"/>
        </w:trPr>
        <w:tc>
          <w:tcPr>
            <w:tcW w:w="1191" w:type="dxa"/>
            <w:vMerge w:val="restart"/>
            <w:vAlign w:val="center"/>
            <w:hideMark/>
          </w:tcPr>
          <w:p w14:paraId="2436BD35" w14:textId="77777777" w:rsidR="00725E50" w:rsidRPr="00075DC8" w:rsidRDefault="00725E50" w:rsidP="00FA3EB9">
            <w:pPr>
              <w:pStyle w:val="Tabletext"/>
              <w:jc w:val="center"/>
              <w:rPr>
                <w:lang w:val="fr-FR"/>
              </w:rPr>
            </w:pPr>
            <w:r w:rsidRPr="00075DC8">
              <w:rPr>
                <w:lang w:val="fr-FR"/>
              </w:rPr>
              <w:t>22 mm/h</w:t>
            </w:r>
          </w:p>
        </w:tc>
        <w:tc>
          <w:tcPr>
            <w:tcW w:w="1333" w:type="dxa"/>
            <w:hideMark/>
          </w:tcPr>
          <w:p w14:paraId="63055C1D" w14:textId="7ED19B2D" w:rsidR="00725E50" w:rsidRPr="00075DC8" w:rsidRDefault="00604EF4" w:rsidP="00FA3EB9">
            <w:pPr>
              <w:pStyle w:val="Tabletext"/>
              <w:jc w:val="center"/>
              <w:rPr>
                <w:lang w:val="fr-FR"/>
              </w:rPr>
            </w:pPr>
            <w:r w:rsidRPr="00075DC8">
              <w:rPr>
                <w:lang w:val="fr-FR"/>
              </w:rPr>
              <w:t>−</w:t>
            </w:r>
            <w:r w:rsidR="00725E50" w:rsidRPr="00075DC8">
              <w:rPr>
                <w:lang w:val="fr-FR"/>
              </w:rPr>
              <w:t>6</w:t>
            </w:r>
          </w:p>
        </w:tc>
        <w:tc>
          <w:tcPr>
            <w:tcW w:w="1445" w:type="dxa"/>
            <w:hideMark/>
          </w:tcPr>
          <w:p w14:paraId="5FABB7C6" w14:textId="77777777" w:rsidR="00725E50" w:rsidRPr="00075DC8" w:rsidRDefault="00725E50" w:rsidP="00FA3EB9">
            <w:pPr>
              <w:pStyle w:val="Tabletext"/>
              <w:jc w:val="center"/>
              <w:rPr>
                <w:lang w:val="fr-FR"/>
              </w:rPr>
            </w:pPr>
            <w:r w:rsidRPr="00075DC8">
              <w:rPr>
                <w:lang w:val="fr-FR"/>
              </w:rPr>
              <w:t>1</w:t>
            </w:r>
          </w:p>
        </w:tc>
        <w:tc>
          <w:tcPr>
            <w:tcW w:w="1249" w:type="dxa"/>
            <w:hideMark/>
          </w:tcPr>
          <w:p w14:paraId="59B60EB4" w14:textId="77777777" w:rsidR="00725E50" w:rsidRPr="00075DC8" w:rsidRDefault="00725E50" w:rsidP="00FA3EB9">
            <w:pPr>
              <w:pStyle w:val="Tabletext"/>
              <w:jc w:val="center"/>
              <w:rPr>
                <w:lang w:val="fr-FR"/>
              </w:rPr>
            </w:pPr>
            <w:r w:rsidRPr="00075DC8">
              <w:rPr>
                <w:lang w:val="fr-FR"/>
              </w:rPr>
              <w:t>7,6</w:t>
            </w:r>
          </w:p>
        </w:tc>
        <w:tc>
          <w:tcPr>
            <w:tcW w:w="1529" w:type="dxa"/>
            <w:hideMark/>
          </w:tcPr>
          <w:p w14:paraId="385EFF2F" w14:textId="77777777" w:rsidR="00725E50" w:rsidRPr="00075DC8" w:rsidRDefault="00725E50" w:rsidP="00FA3EB9">
            <w:pPr>
              <w:pStyle w:val="Tabletext"/>
              <w:jc w:val="center"/>
              <w:rPr>
                <w:lang w:val="fr-FR"/>
              </w:rPr>
            </w:pPr>
            <w:r w:rsidRPr="00075DC8">
              <w:rPr>
                <w:lang w:val="fr-FR"/>
              </w:rPr>
              <w:t>44,3%</w:t>
            </w:r>
          </w:p>
        </w:tc>
        <w:tc>
          <w:tcPr>
            <w:tcW w:w="1417" w:type="dxa"/>
            <w:hideMark/>
          </w:tcPr>
          <w:p w14:paraId="2F708837" w14:textId="77777777" w:rsidR="00725E50" w:rsidRPr="00075DC8" w:rsidRDefault="00725E50" w:rsidP="00FA3EB9">
            <w:pPr>
              <w:pStyle w:val="Tabletext"/>
              <w:jc w:val="center"/>
              <w:rPr>
                <w:lang w:val="fr-FR"/>
              </w:rPr>
            </w:pPr>
            <w:r w:rsidRPr="00075DC8">
              <w:rPr>
                <w:lang w:val="fr-FR"/>
              </w:rPr>
              <w:t>16,3</w:t>
            </w:r>
          </w:p>
        </w:tc>
        <w:tc>
          <w:tcPr>
            <w:tcW w:w="1418" w:type="dxa"/>
            <w:hideMark/>
          </w:tcPr>
          <w:p w14:paraId="0B266D2A" w14:textId="77777777" w:rsidR="00725E50" w:rsidRPr="00075DC8" w:rsidRDefault="00725E50" w:rsidP="00FA3EB9">
            <w:pPr>
              <w:pStyle w:val="Tabletext"/>
              <w:jc w:val="center"/>
              <w:rPr>
                <w:lang w:val="fr-FR"/>
              </w:rPr>
            </w:pPr>
            <w:r w:rsidRPr="00075DC8">
              <w:rPr>
                <w:lang w:val="fr-FR"/>
              </w:rPr>
              <w:t>24,2%</w:t>
            </w:r>
          </w:p>
        </w:tc>
      </w:tr>
      <w:tr w:rsidR="00725E50" w:rsidRPr="00075DC8" w14:paraId="388B8BD7" w14:textId="77777777" w:rsidTr="00FA3EB9">
        <w:trPr>
          <w:cantSplit/>
          <w:jc w:val="center"/>
        </w:trPr>
        <w:tc>
          <w:tcPr>
            <w:tcW w:w="1191" w:type="dxa"/>
            <w:vMerge/>
            <w:vAlign w:val="center"/>
            <w:hideMark/>
          </w:tcPr>
          <w:p w14:paraId="389DF3FB" w14:textId="77777777" w:rsidR="00725E50" w:rsidRPr="00075DC8" w:rsidRDefault="00725E50" w:rsidP="00FA3EB9">
            <w:pPr>
              <w:pStyle w:val="Tabletext"/>
              <w:rPr>
                <w:lang w:val="fr-FR"/>
              </w:rPr>
            </w:pPr>
          </w:p>
        </w:tc>
        <w:tc>
          <w:tcPr>
            <w:tcW w:w="1333" w:type="dxa"/>
            <w:hideMark/>
          </w:tcPr>
          <w:p w14:paraId="1EA5C837" w14:textId="09E32A88" w:rsidR="00725E50" w:rsidRPr="00075DC8" w:rsidRDefault="00604EF4" w:rsidP="00FA3EB9">
            <w:pPr>
              <w:pStyle w:val="Tabletext"/>
              <w:jc w:val="center"/>
              <w:rPr>
                <w:lang w:val="fr-FR"/>
              </w:rPr>
            </w:pPr>
            <w:r w:rsidRPr="00075DC8">
              <w:rPr>
                <w:lang w:val="fr-FR"/>
              </w:rPr>
              <w:t>−</w:t>
            </w:r>
            <w:r w:rsidR="00725E50" w:rsidRPr="00075DC8">
              <w:rPr>
                <w:lang w:val="fr-FR"/>
              </w:rPr>
              <w:t>10</w:t>
            </w:r>
          </w:p>
        </w:tc>
        <w:tc>
          <w:tcPr>
            <w:tcW w:w="1445" w:type="dxa"/>
            <w:hideMark/>
          </w:tcPr>
          <w:p w14:paraId="58FEAC43" w14:textId="77777777" w:rsidR="00725E50" w:rsidRPr="00075DC8" w:rsidRDefault="00725E50" w:rsidP="00FA3EB9">
            <w:pPr>
              <w:pStyle w:val="Tabletext"/>
              <w:jc w:val="center"/>
              <w:rPr>
                <w:lang w:val="fr-FR"/>
              </w:rPr>
            </w:pPr>
            <w:r w:rsidRPr="00075DC8">
              <w:rPr>
                <w:lang w:val="fr-FR"/>
              </w:rPr>
              <w:t>0,5</w:t>
            </w:r>
          </w:p>
        </w:tc>
        <w:tc>
          <w:tcPr>
            <w:tcW w:w="1249" w:type="dxa"/>
            <w:hideMark/>
          </w:tcPr>
          <w:p w14:paraId="3D236EB7" w14:textId="77777777" w:rsidR="00725E50" w:rsidRPr="00075DC8" w:rsidRDefault="00725E50" w:rsidP="00FA3EB9">
            <w:pPr>
              <w:pStyle w:val="Tabletext"/>
              <w:jc w:val="center"/>
              <w:rPr>
                <w:lang w:val="fr-FR"/>
              </w:rPr>
            </w:pPr>
            <w:r w:rsidRPr="00075DC8">
              <w:rPr>
                <w:lang w:val="fr-FR"/>
              </w:rPr>
              <w:t>7,6</w:t>
            </w:r>
          </w:p>
        </w:tc>
        <w:tc>
          <w:tcPr>
            <w:tcW w:w="1529" w:type="dxa"/>
            <w:hideMark/>
          </w:tcPr>
          <w:p w14:paraId="135B3D4C" w14:textId="77777777" w:rsidR="00725E50" w:rsidRPr="00075DC8" w:rsidRDefault="00725E50" w:rsidP="00FA3EB9">
            <w:pPr>
              <w:pStyle w:val="Tabletext"/>
              <w:jc w:val="center"/>
              <w:rPr>
                <w:lang w:val="fr-FR"/>
              </w:rPr>
            </w:pPr>
            <w:r w:rsidRPr="00075DC8">
              <w:rPr>
                <w:lang w:val="fr-FR"/>
              </w:rPr>
              <w:t>19,5%</w:t>
            </w:r>
          </w:p>
        </w:tc>
        <w:tc>
          <w:tcPr>
            <w:tcW w:w="1417" w:type="dxa"/>
            <w:hideMark/>
          </w:tcPr>
          <w:p w14:paraId="2E4B45C8" w14:textId="77777777" w:rsidR="00725E50" w:rsidRPr="00075DC8" w:rsidRDefault="00725E50" w:rsidP="00FA3EB9">
            <w:pPr>
              <w:pStyle w:val="Tabletext"/>
              <w:jc w:val="center"/>
              <w:rPr>
                <w:lang w:val="fr-FR"/>
              </w:rPr>
            </w:pPr>
            <w:r w:rsidRPr="00075DC8">
              <w:rPr>
                <w:lang w:val="fr-FR"/>
              </w:rPr>
              <w:t>16,3</w:t>
            </w:r>
          </w:p>
        </w:tc>
        <w:tc>
          <w:tcPr>
            <w:tcW w:w="1418" w:type="dxa"/>
            <w:hideMark/>
          </w:tcPr>
          <w:p w14:paraId="18C0D3D7" w14:textId="77777777" w:rsidR="00725E50" w:rsidRPr="00075DC8" w:rsidRDefault="00725E50" w:rsidP="00FA3EB9">
            <w:pPr>
              <w:pStyle w:val="Tabletext"/>
              <w:jc w:val="center"/>
              <w:rPr>
                <w:lang w:val="fr-FR"/>
              </w:rPr>
            </w:pPr>
            <w:r w:rsidRPr="00075DC8">
              <w:rPr>
                <w:lang w:val="fr-FR"/>
              </w:rPr>
              <w:t>11,4%</w:t>
            </w:r>
          </w:p>
        </w:tc>
      </w:tr>
      <w:tr w:rsidR="00725E50" w:rsidRPr="00075DC8" w14:paraId="31A3E254" w14:textId="77777777" w:rsidTr="00FA3EB9">
        <w:trPr>
          <w:cantSplit/>
          <w:jc w:val="center"/>
        </w:trPr>
        <w:tc>
          <w:tcPr>
            <w:tcW w:w="1191" w:type="dxa"/>
            <w:vMerge/>
            <w:vAlign w:val="center"/>
            <w:hideMark/>
          </w:tcPr>
          <w:p w14:paraId="5C807B70" w14:textId="77777777" w:rsidR="00725E50" w:rsidRPr="00075DC8" w:rsidRDefault="00725E50" w:rsidP="00FA3EB9">
            <w:pPr>
              <w:pStyle w:val="Tabletext"/>
              <w:rPr>
                <w:lang w:val="fr-FR"/>
              </w:rPr>
            </w:pPr>
          </w:p>
        </w:tc>
        <w:tc>
          <w:tcPr>
            <w:tcW w:w="1333" w:type="dxa"/>
            <w:hideMark/>
          </w:tcPr>
          <w:p w14:paraId="480C6AB4" w14:textId="6EC3E9F6" w:rsidR="00725E50" w:rsidRPr="00075DC8" w:rsidRDefault="00604EF4" w:rsidP="00FA3EB9">
            <w:pPr>
              <w:pStyle w:val="Tabletext"/>
              <w:jc w:val="center"/>
              <w:rPr>
                <w:lang w:val="fr-FR"/>
              </w:rPr>
            </w:pPr>
            <w:r w:rsidRPr="00075DC8">
              <w:rPr>
                <w:lang w:val="fr-FR"/>
              </w:rPr>
              <w:t>−</w:t>
            </w:r>
            <w:r w:rsidR="00725E50" w:rsidRPr="00075DC8">
              <w:rPr>
                <w:lang w:val="fr-FR"/>
              </w:rPr>
              <w:t>13</w:t>
            </w:r>
          </w:p>
        </w:tc>
        <w:tc>
          <w:tcPr>
            <w:tcW w:w="1445" w:type="dxa"/>
            <w:hideMark/>
          </w:tcPr>
          <w:p w14:paraId="1F664E43" w14:textId="77777777" w:rsidR="00725E50" w:rsidRPr="00075DC8" w:rsidRDefault="00725E50" w:rsidP="00FA3EB9">
            <w:pPr>
              <w:pStyle w:val="Tabletext"/>
              <w:jc w:val="center"/>
              <w:rPr>
                <w:lang w:val="fr-FR"/>
              </w:rPr>
            </w:pPr>
            <w:r w:rsidRPr="00075DC8">
              <w:rPr>
                <w:lang w:val="fr-FR"/>
              </w:rPr>
              <w:t>0,2</w:t>
            </w:r>
          </w:p>
        </w:tc>
        <w:tc>
          <w:tcPr>
            <w:tcW w:w="1249" w:type="dxa"/>
            <w:hideMark/>
          </w:tcPr>
          <w:p w14:paraId="32D53622" w14:textId="77777777" w:rsidR="00725E50" w:rsidRPr="00075DC8" w:rsidRDefault="00725E50" w:rsidP="00FA3EB9">
            <w:pPr>
              <w:pStyle w:val="Tabletext"/>
              <w:jc w:val="center"/>
              <w:rPr>
                <w:lang w:val="fr-FR"/>
              </w:rPr>
            </w:pPr>
            <w:r w:rsidRPr="00075DC8">
              <w:rPr>
                <w:lang w:val="fr-FR"/>
              </w:rPr>
              <w:t>7,6</w:t>
            </w:r>
          </w:p>
        </w:tc>
        <w:tc>
          <w:tcPr>
            <w:tcW w:w="1529" w:type="dxa"/>
            <w:hideMark/>
          </w:tcPr>
          <w:p w14:paraId="388A8F5E" w14:textId="77777777" w:rsidR="00725E50" w:rsidRPr="00075DC8" w:rsidRDefault="00725E50" w:rsidP="00FA3EB9">
            <w:pPr>
              <w:pStyle w:val="Tabletext"/>
              <w:jc w:val="center"/>
              <w:rPr>
                <w:lang w:val="fr-FR"/>
              </w:rPr>
            </w:pPr>
            <w:r w:rsidRPr="00075DC8">
              <w:rPr>
                <w:lang w:val="fr-FR"/>
              </w:rPr>
              <w:t>7,2%</w:t>
            </w:r>
          </w:p>
        </w:tc>
        <w:tc>
          <w:tcPr>
            <w:tcW w:w="1417" w:type="dxa"/>
            <w:hideMark/>
          </w:tcPr>
          <w:p w14:paraId="36AADAE5" w14:textId="77777777" w:rsidR="00725E50" w:rsidRPr="00075DC8" w:rsidRDefault="00725E50" w:rsidP="00FA3EB9">
            <w:pPr>
              <w:pStyle w:val="Tabletext"/>
              <w:jc w:val="center"/>
              <w:rPr>
                <w:lang w:val="fr-FR"/>
              </w:rPr>
            </w:pPr>
            <w:r w:rsidRPr="00075DC8">
              <w:rPr>
                <w:lang w:val="fr-FR"/>
              </w:rPr>
              <w:t>16,3</w:t>
            </w:r>
          </w:p>
        </w:tc>
        <w:tc>
          <w:tcPr>
            <w:tcW w:w="1418" w:type="dxa"/>
            <w:hideMark/>
          </w:tcPr>
          <w:p w14:paraId="539C638C" w14:textId="77777777" w:rsidR="00725E50" w:rsidRPr="00075DC8" w:rsidRDefault="00725E50" w:rsidP="00FA3EB9">
            <w:pPr>
              <w:pStyle w:val="Tabletext"/>
              <w:jc w:val="center"/>
              <w:rPr>
                <w:lang w:val="fr-FR"/>
              </w:rPr>
            </w:pPr>
            <w:r w:rsidRPr="00075DC8">
              <w:rPr>
                <w:lang w:val="fr-FR"/>
              </w:rPr>
              <w:t>4,5%</w:t>
            </w:r>
          </w:p>
        </w:tc>
      </w:tr>
    </w:tbl>
    <w:p w14:paraId="7AEC6407" w14:textId="77777777" w:rsidR="00604EF4" w:rsidRPr="00075DC8" w:rsidRDefault="00604EF4" w:rsidP="00604EF4">
      <w:pPr>
        <w:pStyle w:val="Tablefin"/>
        <w:rPr>
          <w:lang w:val="fr-FR"/>
        </w:rPr>
      </w:pPr>
    </w:p>
    <w:p w14:paraId="772E7CA4" w14:textId="7CF916CB" w:rsidR="00725E50" w:rsidRPr="00075DC8" w:rsidRDefault="00725E50" w:rsidP="00604EF4">
      <w:pPr>
        <w:pStyle w:val="Heading3"/>
        <w:rPr>
          <w:lang w:val="fr-FR"/>
        </w:rPr>
      </w:pPr>
      <w:r w:rsidRPr="00075DC8">
        <w:rPr>
          <w:lang w:val="fr-FR"/>
        </w:rPr>
        <w:t>4.1.3</w:t>
      </w:r>
      <w:r w:rsidRPr="00075DC8">
        <w:rPr>
          <w:lang w:val="fr-FR"/>
        </w:rPr>
        <w:tab/>
        <w:t>Contribution cumulée du bruit thermique dans le récepteur et du bruit de brouillage</w:t>
      </w:r>
    </w:p>
    <w:p w14:paraId="4D708E66" w14:textId="11401CE0" w:rsidR="00725E50" w:rsidRPr="00075DC8" w:rsidRDefault="00725E50" w:rsidP="00725E50">
      <w:pPr>
        <w:rPr>
          <w:lang w:val="fr-FR"/>
        </w:rPr>
      </w:pPr>
      <w:r w:rsidRPr="00075DC8">
        <w:rPr>
          <w:lang w:val="fr-FR"/>
        </w:rPr>
        <w:t xml:space="preserve">Dans les calculs des Tableaux 2 et 3 des paragraphes précédents, on a pris comme référence un niveau de puissance défini comme étant le «bruit thermique dans le récepteur». Dans la pratique, le niveau de référence devrait être un niveau de bruit réel comprenant tous les bruits dans le système récepteur </w:t>
      </w:r>
      <w:r w:rsidRPr="00075DC8">
        <w:rPr>
          <w:lang w:val="fr-FR"/>
        </w:rPr>
        <w:lastRenderedPageBreak/>
        <w:t xml:space="preserve">ainsi que le brouillage supposé dans le service fixe, comme dans la portion </w:t>
      </w:r>
      <w:r w:rsidRPr="00075DC8">
        <w:rPr>
          <w:i/>
          <w:iCs/>
          <w:lang w:val="fr-FR"/>
        </w:rPr>
        <w:t>X</w:t>
      </w:r>
      <w:r w:rsidRPr="00075DC8">
        <w:rPr>
          <w:lang w:val="fr-FR"/>
        </w:rPr>
        <w:t xml:space="preserve"> définie dans la </w:t>
      </w:r>
      <w:hyperlink r:id="rId85" w:history="1">
        <w:r w:rsidRPr="00075DC8">
          <w:rPr>
            <w:lang w:val="fr-FR"/>
          </w:rPr>
          <w:t>Recommandation UIT-R F.1094</w:t>
        </w:r>
      </w:hyperlink>
      <w:r w:rsidRPr="00075DC8">
        <w:rPr>
          <w:lang w:val="fr-FR"/>
        </w:rPr>
        <w:t>. Il convient de noter que le brouillage provenant d</w:t>
      </w:r>
      <w:r w:rsidR="001F6A0D" w:rsidRPr="00075DC8">
        <w:rPr>
          <w:lang w:val="fr-FR"/>
        </w:rPr>
        <w:t>'</w:t>
      </w:r>
      <w:r w:rsidRPr="00075DC8">
        <w:rPr>
          <w:lang w:val="fr-FR"/>
        </w:rPr>
        <w:t>autres services devrait aussi faire référence à ce niveau effectif. Donc, en augmentant la valeur supposée du brouillage dans le service lui-même, on diminue la dégradation de la qualité de fonctionnement admise pour un niveau donné de puissance de brouillage par un autre service.</w:t>
      </w:r>
    </w:p>
    <w:p w14:paraId="7213AB67" w14:textId="1FD94D0E" w:rsidR="00725E50" w:rsidRPr="00075DC8" w:rsidRDefault="00725E50" w:rsidP="00725E50">
      <w:pPr>
        <w:pStyle w:val="Heading3"/>
        <w:rPr>
          <w:lang w:val="fr-FR"/>
        </w:rPr>
      </w:pPr>
      <w:r w:rsidRPr="00075DC8">
        <w:rPr>
          <w:lang w:val="fr-FR"/>
        </w:rPr>
        <w:t>4.1.4</w:t>
      </w:r>
      <w:r w:rsidRPr="00075DC8">
        <w:rPr>
          <w:lang w:val="fr-FR"/>
        </w:rPr>
        <w:tab/>
        <w:t>Dégradation de la qualité en matière d</w:t>
      </w:r>
      <w:r w:rsidR="001F6A0D" w:rsidRPr="00075DC8">
        <w:rPr>
          <w:lang w:val="fr-FR"/>
        </w:rPr>
        <w:t>'</w:t>
      </w:r>
      <w:r w:rsidRPr="00075DC8">
        <w:rPr>
          <w:lang w:val="fr-FR"/>
        </w:rPr>
        <w:t>erreur/de la qualité en matière de disponibilité dans des liaisons à bonds multiples</w:t>
      </w:r>
    </w:p>
    <w:p w14:paraId="77A39224" w14:textId="27F7EB27" w:rsidR="00725E50" w:rsidRPr="00075DC8" w:rsidRDefault="00725E50" w:rsidP="00725E50">
      <w:pPr>
        <w:rPr>
          <w:lang w:val="fr-FR"/>
        </w:rPr>
      </w:pPr>
      <w:r w:rsidRPr="00075DC8">
        <w:rPr>
          <w:lang w:val="fr-FR"/>
        </w:rPr>
        <w:t xml:space="preserve">Dans la </w:t>
      </w:r>
      <w:hyperlink r:id="rId86" w:history="1">
        <w:r w:rsidRPr="00075DC8">
          <w:rPr>
            <w:lang w:val="fr-FR"/>
          </w:rPr>
          <w:t>Recommandation UIT-R F.1565</w:t>
        </w:r>
      </w:hyperlink>
      <w:r w:rsidRPr="00075DC8">
        <w:rPr>
          <w:lang w:val="fr-FR"/>
        </w:rPr>
        <w:t>, la dégradation de la qualité en matière d</w:t>
      </w:r>
      <w:r w:rsidR="001F6A0D" w:rsidRPr="00075DC8">
        <w:rPr>
          <w:lang w:val="fr-FR"/>
        </w:rPr>
        <w:t>'</w:t>
      </w:r>
      <w:r w:rsidRPr="00075DC8">
        <w:rPr>
          <w:lang w:val="fr-FR"/>
        </w:rPr>
        <w:t>erreur d</w:t>
      </w:r>
      <w:r w:rsidR="001F6A0D" w:rsidRPr="00075DC8">
        <w:rPr>
          <w:lang w:val="fr-FR"/>
        </w:rPr>
        <w:t>'</w:t>
      </w:r>
      <w:r w:rsidRPr="00075DC8">
        <w:rPr>
          <w:lang w:val="fr-FR"/>
        </w:rPr>
        <w:t>un système FWS réel causée par le brouillage en provenance d</w:t>
      </w:r>
      <w:r w:rsidR="001F6A0D" w:rsidRPr="00075DC8">
        <w:rPr>
          <w:lang w:val="fr-FR"/>
        </w:rPr>
        <w:t>'</w:t>
      </w:r>
      <w:r w:rsidRPr="00075DC8">
        <w:rPr>
          <w:lang w:val="fr-FR"/>
        </w:rPr>
        <w:t>autres services bénéficiant d</w:t>
      </w:r>
      <w:r w:rsidR="001F6A0D" w:rsidRPr="00075DC8">
        <w:rPr>
          <w:lang w:val="fr-FR"/>
        </w:rPr>
        <w:t>'</w:t>
      </w:r>
      <w:r w:rsidRPr="00075DC8">
        <w:rPr>
          <w:lang w:val="fr-FR"/>
        </w:rPr>
        <w:t>attributions à titre primaire avec égalité de droits est spécifiée pour chaque section de la connexion fictive de référence. Plus particulièrement, la dégradation de la qualité en matière d</w:t>
      </w:r>
      <w:r w:rsidR="001F6A0D" w:rsidRPr="00075DC8">
        <w:rPr>
          <w:lang w:val="fr-FR"/>
        </w:rPr>
        <w:t>'</w:t>
      </w:r>
      <w:r w:rsidRPr="00075DC8">
        <w:rPr>
          <w:lang w:val="fr-FR"/>
        </w:rPr>
        <w:t>erreur d</w:t>
      </w:r>
      <w:r w:rsidR="001F6A0D" w:rsidRPr="00075DC8">
        <w:rPr>
          <w:lang w:val="fr-FR"/>
        </w:rPr>
        <w:t>'</w:t>
      </w:r>
      <w:r w:rsidRPr="00075DC8">
        <w:rPr>
          <w:lang w:val="fr-FR"/>
        </w:rPr>
        <w:t>un système FWS réel pourrait être évaluée pour l</w:t>
      </w:r>
      <w:r w:rsidR="001F6A0D" w:rsidRPr="00075DC8">
        <w:rPr>
          <w:lang w:val="fr-FR"/>
        </w:rPr>
        <w:t>'</w:t>
      </w:r>
      <w:r w:rsidRPr="00075DC8">
        <w:rPr>
          <w:lang w:val="fr-FR"/>
        </w:rPr>
        <w:t>ensemble de la section entière de courte portée entre centraux de communication et l</w:t>
      </w:r>
      <w:r w:rsidR="001F6A0D" w:rsidRPr="00075DC8">
        <w:rPr>
          <w:lang w:val="fr-FR"/>
        </w:rPr>
        <w:t>'</w:t>
      </w:r>
      <w:r w:rsidRPr="00075DC8">
        <w:rPr>
          <w:lang w:val="fr-FR"/>
        </w:rPr>
        <w:t>ensemble de la section du réseau d</w:t>
      </w:r>
      <w:r w:rsidR="001F6A0D" w:rsidRPr="00075DC8">
        <w:rPr>
          <w:lang w:val="fr-FR"/>
        </w:rPr>
        <w:t>'</w:t>
      </w:r>
      <w:r w:rsidRPr="00075DC8">
        <w:rPr>
          <w:lang w:val="fr-FR"/>
        </w:rPr>
        <w:t>accès. Dans le cas d</w:t>
      </w:r>
      <w:r w:rsidR="001F6A0D" w:rsidRPr="00075DC8">
        <w:rPr>
          <w:lang w:val="fr-FR"/>
        </w:rPr>
        <w:t>'</w:t>
      </w:r>
      <w:r w:rsidRPr="00075DC8">
        <w:rPr>
          <w:lang w:val="fr-FR"/>
        </w:rPr>
        <w:t>une section de longue portée entre centraux de communication, la longueur minimale de la liaison pour laquelle l</w:t>
      </w:r>
      <w:r w:rsidR="001F6A0D" w:rsidRPr="00075DC8">
        <w:rPr>
          <w:lang w:val="fr-FR"/>
        </w:rPr>
        <w:t>'</w:t>
      </w:r>
      <w:r w:rsidRPr="00075DC8">
        <w:rPr>
          <w:lang w:val="fr-FR"/>
        </w:rPr>
        <w:t>objectif EPO est spécifié est de 50 km.</w:t>
      </w:r>
    </w:p>
    <w:p w14:paraId="592A5581" w14:textId="790E3F03" w:rsidR="00725E50" w:rsidRPr="00075DC8" w:rsidRDefault="00725E50" w:rsidP="00725E50">
      <w:pPr>
        <w:rPr>
          <w:lang w:val="fr-FR"/>
        </w:rPr>
      </w:pPr>
      <w:r w:rsidRPr="00075DC8">
        <w:rPr>
          <w:lang w:val="fr-FR"/>
        </w:rPr>
        <w:t>Il convient de noter que, si un système FWS à bonds multiples est mis en place, formant l</w:t>
      </w:r>
      <w:r w:rsidR="001F6A0D" w:rsidRPr="00075DC8">
        <w:rPr>
          <w:lang w:val="fr-FR"/>
        </w:rPr>
        <w:t>'</w:t>
      </w:r>
      <w:r w:rsidRPr="00075DC8">
        <w:rPr>
          <w:lang w:val="fr-FR"/>
        </w:rPr>
        <w:t>ensemble de la section du réseau d</w:t>
      </w:r>
      <w:r w:rsidR="001F6A0D" w:rsidRPr="00075DC8">
        <w:rPr>
          <w:lang w:val="fr-FR"/>
        </w:rPr>
        <w:t>'</w:t>
      </w:r>
      <w:r w:rsidRPr="00075DC8">
        <w:rPr>
          <w:lang w:val="fr-FR"/>
        </w:rPr>
        <w:t>accès, ou de la section de courte portée entre centraux de communication, ou d</w:t>
      </w:r>
      <w:r w:rsidR="001F6A0D" w:rsidRPr="00075DC8">
        <w:rPr>
          <w:lang w:val="fr-FR"/>
        </w:rPr>
        <w:t>'</w:t>
      </w:r>
      <w:r w:rsidRPr="00075DC8">
        <w:rPr>
          <w:lang w:val="fr-FR"/>
        </w:rPr>
        <w:t>une section de longue portée entre centraux de communication, inférieure à 50 km, l</w:t>
      </w:r>
      <w:r w:rsidR="001F6A0D" w:rsidRPr="00075DC8">
        <w:rPr>
          <w:lang w:val="fr-FR"/>
        </w:rPr>
        <w:t>'</w:t>
      </w:r>
      <w:r w:rsidRPr="00075DC8">
        <w:rPr>
          <w:lang w:val="fr-FR"/>
        </w:rPr>
        <w:t xml:space="preserve">objectif EPO pour le brouillage spécifié dans la </w:t>
      </w:r>
      <w:hyperlink r:id="rId87" w:history="1">
        <w:r w:rsidRPr="00075DC8">
          <w:rPr>
            <w:lang w:val="fr-FR"/>
          </w:rPr>
          <w:t>Recommandation UIT-R F.1565</w:t>
        </w:r>
      </w:hyperlink>
      <w:r w:rsidRPr="00075DC8">
        <w:rPr>
          <w:lang w:val="fr-FR"/>
        </w:rPr>
        <w:t xml:space="preserve"> ne doit pas s</w:t>
      </w:r>
      <w:r w:rsidR="001F6A0D" w:rsidRPr="00075DC8">
        <w:rPr>
          <w:lang w:val="fr-FR"/>
        </w:rPr>
        <w:t>'</w:t>
      </w:r>
      <w:r w:rsidRPr="00075DC8">
        <w:rPr>
          <w:lang w:val="fr-FR"/>
        </w:rPr>
        <w:t>appliquer à chacun des bonds mais à la liaison à bonds multiples dans son ensemble.</w:t>
      </w:r>
    </w:p>
    <w:p w14:paraId="481F1B64" w14:textId="3BF0424D" w:rsidR="00725E50" w:rsidRPr="00075DC8" w:rsidRDefault="00725E50" w:rsidP="00725E50">
      <w:pPr>
        <w:rPr>
          <w:lang w:val="fr-FR"/>
        </w:rPr>
      </w:pPr>
      <w:r w:rsidRPr="00075DC8">
        <w:rPr>
          <w:lang w:val="fr-FR"/>
        </w:rPr>
        <w:t>Des considérations analogues pourraient s</w:t>
      </w:r>
      <w:r w:rsidR="001F6A0D" w:rsidRPr="00075DC8">
        <w:rPr>
          <w:lang w:val="fr-FR"/>
        </w:rPr>
        <w:t>'</w:t>
      </w:r>
      <w:r w:rsidRPr="00075DC8">
        <w:rPr>
          <w:lang w:val="fr-FR"/>
        </w:rPr>
        <w:t>appliquer à l</w:t>
      </w:r>
      <w:r w:rsidR="001F6A0D" w:rsidRPr="00075DC8">
        <w:rPr>
          <w:lang w:val="fr-FR"/>
        </w:rPr>
        <w:t>'</w:t>
      </w:r>
      <w:r w:rsidRPr="00075DC8">
        <w:rPr>
          <w:lang w:val="fr-FR"/>
        </w:rPr>
        <w:t>attribution de l</w:t>
      </w:r>
      <w:r w:rsidR="001F6A0D" w:rsidRPr="00075DC8">
        <w:rPr>
          <w:lang w:val="fr-FR"/>
        </w:rPr>
        <w:t>'</w:t>
      </w:r>
      <w:r w:rsidRPr="00075DC8">
        <w:rPr>
          <w:lang w:val="fr-FR"/>
        </w:rPr>
        <w:t xml:space="preserve">objectif APO spécifié dans la </w:t>
      </w:r>
      <w:hyperlink r:id="rId88" w:history="1">
        <w:r w:rsidRPr="00075DC8">
          <w:rPr>
            <w:lang w:val="fr-FR"/>
          </w:rPr>
          <w:t>Recommandation UIT-R F.1703</w:t>
        </w:r>
      </w:hyperlink>
      <w:r w:rsidRPr="00075DC8">
        <w:rPr>
          <w:lang w:val="fr-FR"/>
        </w:rPr>
        <w:t>, compte tenu du fait qu</w:t>
      </w:r>
      <w:r w:rsidR="001F6A0D" w:rsidRPr="00075DC8">
        <w:rPr>
          <w:lang w:val="fr-FR"/>
        </w:rPr>
        <w:t>'</w:t>
      </w:r>
      <w:r w:rsidRPr="00075DC8">
        <w:rPr>
          <w:lang w:val="fr-FR"/>
        </w:rPr>
        <w:t>une liaison est considérée comme étant disponible uniquement si les deux directions sont disponibles.</w:t>
      </w:r>
    </w:p>
    <w:p w14:paraId="6C6AA9E3" w14:textId="58AC9FE9" w:rsidR="00725E50" w:rsidRPr="00075DC8" w:rsidRDefault="00725E50" w:rsidP="00725E50">
      <w:pPr>
        <w:rPr>
          <w:lang w:val="fr-FR"/>
        </w:rPr>
      </w:pPr>
      <w:r w:rsidRPr="00075DC8">
        <w:rPr>
          <w:lang w:val="fr-FR"/>
        </w:rPr>
        <w:t>Il conviendrait de prendre ce point en compte dans l</w:t>
      </w:r>
      <w:r w:rsidR="001F6A0D" w:rsidRPr="00075DC8">
        <w:rPr>
          <w:lang w:val="fr-FR"/>
        </w:rPr>
        <w:t>'</w:t>
      </w:r>
      <w:r w:rsidRPr="00075DC8">
        <w:rPr>
          <w:lang w:val="fr-FR"/>
        </w:rPr>
        <w:t>environnement de partage où le brouillage n</w:t>
      </w:r>
      <w:r w:rsidR="001F6A0D" w:rsidRPr="00075DC8">
        <w:rPr>
          <w:lang w:val="fr-FR"/>
        </w:rPr>
        <w:t>'</w:t>
      </w:r>
      <w:r w:rsidRPr="00075DC8">
        <w:rPr>
          <w:lang w:val="fr-FR"/>
        </w:rPr>
        <w:t>est pas important dans la plupart des bonds et n</w:t>
      </w:r>
      <w:r w:rsidR="001F6A0D" w:rsidRPr="00075DC8">
        <w:rPr>
          <w:lang w:val="fr-FR"/>
        </w:rPr>
        <w:t>'</w:t>
      </w:r>
      <w:r w:rsidRPr="00075DC8">
        <w:rPr>
          <w:lang w:val="fr-FR"/>
        </w:rPr>
        <w:t>affecte que quelques bonds particuliers. Par exemple, si un seul bond est exposé au brouillage dans la liaison du système FWS à N bonds formant l</w:t>
      </w:r>
      <w:r w:rsidR="001F6A0D" w:rsidRPr="00075DC8">
        <w:rPr>
          <w:lang w:val="fr-FR"/>
        </w:rPr>
        <w:t>'</w:t>
      </w:r>
      <w:r w:rsidRPr="00075DC8">
        <w:rPr>
          <w:lang w:val="fr-FR"/>
        </w:rPr>
        <w:t>ensemble de la section, la dégradation résultante de la qualité en matière d</w:t>
      </w:r>
      <w:r w:rsidR="001F6A0D" w:rsidRPr="00075DC8">
        <w:rPr>
          <w:lang w:val="fr-FR"/>
        </w:rPr>
        <w:t>'</w:t>
      </w:r>
      <w:r w:rsidRPr="00075DC8">
        <w:rPr>
          <w:lang w:val="fr-FR"/>
        </w:rPr>
        <w:t>erreur/de la qualité en matière de disponibilité devrait être attribuée au seul bond exposé, conformément aux conditions de calcul des Tableaux 2, 3 et 4.</w:t>
      </w:r>
    </w:p>
    <w:p w14:paraId="53044C25" w14:textId="77777777" w:rsidR="00725E50" w:rsidRPr="00075DC8" w:rsidRDefault="00725E50" w:rsidP="00604EF4">
      <w:pPr>
        <w:pStyle w:val="Heading2"/>
        <w:rPr>
          <w:lang w:val="fr-FR"/>
        </w:rPr>
      </w:pPr>
      <w:bookmarkStart w:id="29" w:name="_Toc37843602"/>
      <w:bookmarkStart w:id="30" w:name="_Toc198643824"/>
      <w:r w:rsidRPr="00075DC8">
        <w:rPr>
          <w:lang w:val="fr-FR"/>
        </w:rPr>
        <w:t>4.2</w:t>
      </w:r>
      <w:r w:rsidRPr="00075DC8">
        <w:rPr>
          <w:lang w:val="fr-FR"/>
        </w:rPr>
        <w:tab/>
        <w:t>Brouillage de courte durée</w:t>
      </w:r>
      <w:bookmarkEnd w:id="29"/>
      <w:bookmarkEnd w:id="30"/>
    </w:p>
    <w:p w14:paraId="66EA09D2" w14:textId="48274DDD" w:rsidR="00725E50" w:rsidRPr="00075DC8" w:rsidRDefault="00725E50" w:rsidP="00725E50">
      <w:pPr>
        <w:rPr>
          <w:lang w:val="fr-FR"/>
        </w:rPr>
      </w:pPr>
      <w:r w:rsidRPr="00075DC8">
        <w:rPr>
          <w:lang w:val="fr-FR"/>
        </w:rPr>
        <w:t>Un système doit satisfaire à ses objectifs de qualité en matière d</w:t>
      </w:r>
      <w:r w:rsidR="001F6A0D" w:rsidRPr="00075DC8">
        <w:rPr>
          <w:lang w:val="fr-FR"/>
        </w:rPr>
        <w:t>'</w:t>
      </w:r>
      <w:r w:rsidRPr="00075DC8">
        <w:rPr>
          <w:lang w:val="fr-FR"/>
        </w:rPr>
        <w:t>erreur et de qualité en matière de disponibilité, que les dégradations admissibles soient causées par des brouillages de courte durée ou par des brouillages de longue durée. Cela nécessite de tenir compte des dégradations attribuées aux brouillages de courte durée ainsi que des dégradations attribuées aux brouillages de longue durée, de manière que leur somme ne dépasse pas la dégradation de la qualité de fonctionnement admise. Pour les brouillages provenant de sources bénéficiant d</w:t>
      </w:r>
      <w:r w:rsidR="001F6A0D" w:rsidRPr="00075DC8">
        <w:rPr>
          <w:lang w:val="fr-FR"/>
        </w:rPr>
        <w:t>'</w:t>
      </w:r>
      <w:r w:rsidRPr="00075DC8">
        <w:rPr>
          <w:lang w:val="fr-FR"/>
        </w:rPr>
        <w:t>attributions à titre primaire avec égalité de droits, la dégradation totale des objectifs de qualité en matière d</w:t>
      </w:r>
      <w:r w:rsidR="001F6A0D" w:rsidRPr="00075DC8">
        <w:rPr>
          <w:lang w:val="fr-FR"/>
        </w:rPr>
        <w:t>'</w:t>
      </w:r>
      <w:r w:rsidRPr="00075DC8">
        <w:rPr>
          <w:lang w:val="fr-FR"/>
        </w:rPr>
        <w:t>erreur et de qualité en matière de disponibilité causés par des brouillages aussi bien de courte que de longue durée devrait être limitée à 10%; pour les brouillages provenant de sources autres que celles bénéficiant d</w:t>
      </w:r>
      <w:r w:rsidR="001F6A0D" w:rsidRPr="00075DC8">
        <w:rPr>
          <w:lang w:val="fr-FR"/>
        </w:rPr>
        <w:t>'</w:t>
      </w:r>
      <w:r w:rsidRPr="00075DC8">
        <w:rPr>
          <w:lang w:val="fr-FR"/>
        </w:rPr>
        <w:t>attributions à titre primaire avec égalité de droits, la dégradation totale devrait être limitée à 1%.</w:t>
      </w:r>
    </w:p>
    <w:p w14:paraId="3B87AA16" w14:textId="6A21179D" w:rsidR="00725E50" w:rsidRPr="00075DC8" w:rsidRDefault="00725E50" w:rsidP="00725E50">
      <w:pPr>
        <w:rPr>
          <w:lang w:val="fr-FR"/>
        </w:rPr>
      </w:pPr>
      <w:r w:rsidRPr="00075DC8">
        <w:rPr>
          <w:lang w:val="fr-FR"/>
        </w:rPr>
        <w:t>Le calcul des niveaux de brouillage de courte durée admis, et des pourcentages de temps associés, est une procédure complexe. Puisque cette procédure est détaillée dans plusieurs Recommandations UIT</w:t>
      </w:r>
      <w:r w:rsidRPr="00075DC8">
        <w:rPr>
          <w:lang w:val="fr-FR"/>
        </w:rPr>
        <w:noBreakHyphen/>
        <w:t>R existantes s</w:t>
      </w:r>
      <w:r w:rsidR="001F6A0D" w:rsidRPr="00075DC8">
        <w:rPr>
          <w:lang w:val="fr-FR"/>
        </w:rPr>
        <w:t>'</w:t>
      </w:r>
      <w:r w:rsidRPr="00075DC8">
        <w:rPr>
          <w:lang w:val="fr-FR"/>
        </w:rPr>
        <w:t>agissant du partage à titre primaire avec égalité de droits dans des conditions différentes et des bandes de fréquences différentes, les calculs ne sont pas présentés ici.</w:t>
      </w:r>
    </w:p>
    <w:p w14:paraId="5E94DDF0" w14:textId="4EA8AC57" w:rsidR="00725E50" w:rsidRPr="00075DC8" w:rsidRDefault="00725E50" w:rsidP="00725E50">
      <w:pPr>
        <w:rPr>
          <w:lang w:val="fr-FR"/>
        </w:rPr>
      </w:pPr>
      <w:r w:rsidRPr="00075DC8">
        <w:rPr>
          <w:lang w:val="fr-FR"/>
        </w:rPr>
        <w:lastRenderedPageBreak/>
        <w:t xml:space="preserve">Les procédures décrites dans les </w:t>
      </w:r>
      <w:hyperlink r:id="rId89" w:history="1">
        <w:r w:rsidRPr="00075DC8">
          <w:rPr>
            <w:lang w:val="fr-FR"/>
          </w:rPr>
          <w:t>Recommandations UIT-R F.1494</w:t>
        </w:r>
      </w:hyperlink>
      <w:r w:rsidRPr="00075DC8">
        <w:rPr>
          <w:lang w:val="fr-FR"/>
        </w:rPr>
        <w:t xml:space="preserve">, </w:t>
      </w:r>
      <w:hyperlink r:id="rId90" w:history="1">
        <w:r w:rsidRPr="00075DC8">
          <w:rPr>
            <w:lang w:val="fr-FR"/>
          </w:rPr>
          <w:t>UIT-R F.1495</w:t>
        </w:r>
      </w:hyperlink>
      <w:r w:rsidRPr="00075DC8">
        <w:rPr>
          <w:lang w:val="fr-FR"/>
        </w:rPr>
        <w:t xml:space="preserve"> et </w:t>
      </w:r>
      <w:hyperlink r:id="rId91" w:history="1">
        <w:r w:rsidRPr="00075DC8">
          <w:rPr>
            <w:lang w:val="fr-FR"/>
          </w:rPr>
          <w:t>UIT-R F.1606</w:t>
        </w:r>
      </w:hyperlink>
      <w:r w:rsidRPr="00075DC8">
        <w:rPr>
          <w:lang w:val="fr-FR"/>
        </w:rPr>
        <w:t xml:space="preserve"> et à l</w:t>
      </w:r>
      <w:r w:rsidR="001F6A0D" w:rsidRPr="00075DC8">
        <w:rPr>
          <w:lang w:val="fr-FR"/>
        </w:rPr>
        <w:t>'</w:t>
      </w:r>
      <w:r w:rsidRPr="00075DC8">
        <w:rPr>
          <w:lang w:val="fr-FR"/>
        </w:rPr>
        <w:t xml:space="preserve">Annexe 5 au </w:t>
      </w:r>
      <w:hyperlink r:id="rId92" w:history="1">
        <w:r w:rsidRPr="00075DC8">
          <w:rPr>
            <w:lang w:val="fr-FR"/>
          </w:rPr>
          <w:t>Rapport UIT-R M.2119</w:t>
        </w:r>
      </w:hyperlink>
      <w:r w:rsidRPr="00075DC8">
        <w:rPr>
          <w:lang w:val="fr-FR"/>
        </w:rPr>
        <w:t xml:space="preserve"> fournissent des exemples de la mise au point de critères de brouillage de courte durée.</w:t>
      </w:r>
    </w:p>
    <w:p w14:paraId="10133920" w14:textId="6923C444" w:rsidR="00725E50" w:rsidRPr="00075DC8" w:rsidRDefault="00725E50" w:rsidP="00604EF4">
      <w:pPr>
        <w:pStyle w:val="Heading1"/>
        <w:rPr>
          <w:lang w:val="fr-FR"/>
        </w:rPr>
      </w:pPr>
      <w:bookmarkStart w:id="31" w:name="_Toc37843603"/>
      <w:bookmarkStart w:id="32" w:name="_Toc198643825"/>
      <w:r w:rsidRPr="00075DC8">
        <w:rPr>
          <w:lang w:val="fr-FR"/>
        </w:rPr>
        <w:t>5</w:t>
      </w:r>
      <w:r w:rsidRPr="00075DC8">
        <w:rPr>
          <w:lang w:val="fr-FR"/>
        </w:rPr>
        <w:tab/>
        <w:t>Emploi de la commande automatique de la puissance d</w:t>
      </w:r>
      <w:r w:rsidR="001F6A0D" w:rsidRPr="00075DC8">
        <w:rPr>
          <w:lang w:val="fr-FR"/>
        </w:rPr>
        <w:t>'</w:t>
      </w:r>
      <w:r w:rsidRPr="00075DC8">
        <w:rPr>
          <w:lang w:val="fr-FR"/>
        </w:rPr>
        <w:t>émission dans les systèmes numériques</w:t>
      </w:r>
      <w:bookmarkEnd w:id="31"/>
      <w:bookmarkEnd w:id="32"/>
    </w:p>
    <w:p w14:paraId="4C833A8B" w14:textId="33D46E3E" w:rsidR="00725E50" w:rsidRPr="00075DC8" w:rsidRDefault="00725E50" w:rsidP="00604EF4">
      <w:pPr>
        <w:rPr>
          <w:lang w:val="fr-FR"/>
        </w:rPr>
      </w:pPr>
      <w:r w:rsidRPr="00075DC8">
        <w:rPr>
          <w:lang w:val="fr-FR"/>
        </w:rPr>
        <w:t>Les systèmes du service fixe dans certaines bandes de fréquences peuvent être équipés d</w:t>
      </w:r>
      <w:r w:rsidR="001F6A0D" w:rsidRPr="00075DC8">
        <w:rPr>
          <w:lang w:val="fr-FR"/>
        </w:rPr>
        <w:t>'</w:t>
      </w:r>
      <w:r w:rsidRPr="00075DC8">
        <w:rPr>
          <w:lang w:val="fr-FR"/>
        </w:rPr>
        <w:t>une commande automatique de la puissance d</w:t>
      </w:r>
      <w:r w:rsidR="001F6A0D" w:rsidRPr="00075DC8">
        <w:rPr>
          <w:lang w:val="fr-FR"/>
        </w:rPr>
        <w:t>'</w:t>
      </w:r>
      <w:r w:rsidRPr="00075DC8">
        <w:rPr>
          <w:lang w:val="fr-FR"/>
        </w:rPr>
        <w:t>émission (ATPC). Cette commande est habituellement activée par le niveau du signal reçu, au-dessous d</w:t>
      </w:r>
      <w:r w:rsidR="001F6A0D" w:rsidRPr="00075DC8">
        <w:rPr>
          <w:lang w:val="fr-FR"/>
        </w:rPr>
        <w:t>'</w:t>
      </w:r>
      <w:r w:rsidRPr="00075DC8">
        <w:rPr>
          <w:lang w:val="fr-FR"/>
        </w:rPr>
        <w:t>un seuil prédéfini. Dans certains cas, un seuil de dégradation du taux d</w:t>
      </w:r>
      <w:r w:rsidR="001F6A0D" w:rsidRPr="00075DC8">
        <w:rPr>
          <w:lang w:val="fr-FR"/>
        </w:rPr>
        <w:t>'</w:t>
      </w:r>
      <w:r w:rsidRPr="00075DC8">
        <w:rPr>
          <w:lang w:val="fr-FR"/>
        </w:rPr>
        <w:t>erreurs sur les bits (BER) peut compléter l</w:t>
      </w:r>
      <w:r w:rsidR="001F6A0D" w:rsidRPr="00075DC8">
        <w:rPr>
          <w:lang w:val="fr-FR"/>
        </w:rPr>
        <w:t>'</w:t>
      </w:r>
      <w:r w:rsidRPr="00075DC8">
        <w:rPr>
          <w:lang w:val="fr-FR"/>
        </w:rPr>
        <w:t>algorithme d</w:t>
      </w:r>
      <w:r w:rsidR="001F6A0D" w:rsidRPr="00075DC8">
        <w:rPr>
          <w:lang w:val="fr-FR"/>
        </w:rPr>
        <w:t>'</w:t>
      </w:r>
      <w:r w:rsidRPr="00075DC8">
        <w:rPr>
          <w:lang w:val="fr-FR"/>
        </w:rPr>
        <w:t>activation de la commande ATPC. Chaque fois qu</w:t>
      </w:r>
      <w:r w:rsidR="001F6A0D" w:rsidRPr="00075DC8">
        <w:rPr>
          <w:lang w:val="fr-FR"/>
        </w:rPr>
        <w:t>'</w:t>
      </w:r>
      <w:r w:rsidRPr="00075DC8">
        <w:rPr>
          <w:lang w:val="fr-FR"/>
        </w:rPr>
        <w:t>il convient, la commande ATCP peut être prise en compte lors des études du partage qui concernent le service fixe. De telles études devraient intégrer le niveau maximal de la puissance d</w:t>
      </w:r>
      <w:r w:rsidR="001F6A0D" w:rsidRPr="00075DC8">
        <w:rPr>
          <w:lang w:val="fr-FR"/>
        </w:rPr>
        <w:t>'</w:t>
      </w:r>
      <w:r w:rsidRPr="00075DC8">
        <w:rPr>
          <w:lang w:val="fr-FR"/>
        </w:rPr>
        <w:t>émission, le domaine d</w:t>
      </w:r>
      <w:r w:rsidR="001F6A0D" w:rsidRPr="00075DC8">
        <w:rPr>
          <w:lang w:val="fr-FR"/>
        </w:rPr>
        <w:t>'</w:t>
      </w:r>
      <w:r w:rsidRPr="00075DC8">
        <w:rPr>
          <w:lang w:val="fr-FR"/>
        </w:rPr>
        <w:t>application de la commande ATPC et la distribution dans le temps des niveaux de la puissance du service fixe qui sont fonction de la variation de l</w:t>
      </w:r>
      <w:r w:rsidR="001F6A0D" w:rsidRPr="00075DC8">
        <w:rPr>
          <w:lang w:val="fr-FR"/>
        </w:rPr>
        <w:t>'</w:t>
      </w:r>
      <w:r w:rsidRPr="00075DC8">
        <w:rPr>
          <w:lang w:val="fr-FR"/>
        </w:rPr>
        <w:t>affaiblissement au cours de la propagation. En présence d</w:t>
      </w:r>
      <w:r w:rsidR="001F6A0D" w:rsidRPr="00075DC8">
        <w:rPr>
          <w:lang w:val="fr-FR"/>
        </w:rPr>
        <w:t>'</w:t>
      </w:r>
      <w:r w:rsidRPr="00075DC8">
        <w:rPr>
          <w:lang w:val="fr-FR"/>
        </w:rPr>
        <w:t>un brouillage relativement fort (par exemple, un brouillage de courte durée), cette distribution peut être difficile à déterminer, puisque le niveau du brouillage pourrait entraîner l</w:t>
      </w:r>
      <w:r w:rsidR="001F6A0D" w:rsidRPr="00075DC8">
        <w:rPr>
          <w:lang w:val="fr-FR"/>
        </w:rPr>
        <w:t>'</w:t>
      </w:r>
      <w:r w:rsidRPr="00075DC8">
        <w:rPr>
          <w:lang w:val="fr-FR"/>
        </w:rPr>
        <w:t>activation de la commande ATPC (par exemple, en atteignant le seuil du taux BER) ou empêcher l</w:t>
      </w:r>
      <w:r w:rsidR="001F6A0D" w:rsidRPr="00075DC8">
        <w:rPr>
          <w:lang w:val="fr-FR"/>
        </w:rPr>
        <w:t>'</w:t>
      </w:r>
      <w:r w:rsidRPr="00075DC8">
        <w:rPr>
          <w:lang w:val="fr-FR"/>
        </w:rPr>
        <w:t>activation de la commande ATPC (par exemple, en empêchant d</w:t>
      </w:r>
      <w:r w:rsidR="001F6A0D" w:rsidRPr="00075DC8">
        <w:rPr>
          <w:lang w:val="fr-FR"/>
        </w:rPr>
        <w:t>'</w:t>
      </w:r>
      <w:r w:rsidRPr="00075DC8">
        <w:rPr>
          <w:lang w:val="fr-FR"/>
        </w:rPr>
        <w:t>atteindre le seuil du signal reçu) de manière non prévisible. Pour l</w:t>
      </w:r>
      <w:r w:rsidR="001F6A0D" w:rsidRPr="00075DC8">
        <w:rPr>
          <w:lang w:val="fr-FR"/>
        </w:rPr>
        <w:t>'</w:t>
      </w:r>
      <w:r w:rsidRPr="00075DC8">
        <w:rPr>
          <w:lang w:val="fr-FR"/>
        </w:rPr>
        <w:t>analyse du partage interservices, l</w:t>
      </w:r>
      <w:r w:rsidR="001F6A0D" w:rsidRPr="00075DC8">
        <w:rPr>
          <w:lang w:val="fr-FR"/>
        </w:rPr>
        <w:t>'</w:t>
      </w:r>
      <w:r w:rsidRPr="00075DC8">
        <w:rPr>
          <w:lang w:val="fr-FR"/>
        </w:rPr>
        <w:t>évaluation du brouillage de courte durée dans les systèmes équipés de la commande ATPC devrait néanmoins employer la puissance de longue durée de l</w:t>
      </w:r>
      <w:r w:rsidR="001F6A0D" w:rsidRPr="00075DC8">
        <w:rPr>
          <w:lang w:val="fr-FR"/>
        </w:rPr>
        <w:t>'</w:t>
      </w:r>
      <w:r w:rsidRPr="00075DC8">
        <w:rPr>
          <w:lang w:val="fr-FR"/>
        </w:rPr>
        <w:t>émetteur désiré plutôt que sa puissance maximale, à moins que le brouillage ne se propage suivant le même trajet. Par exemple, si le trajet du brouillage est issu d</w:t>
      </w:r>
      <w:r w:rsidR="001F6A0D" w:rsidRPr="00075DC8">
        <w:rPr>
          <w:lang w:val="fr-FR"/>
        </w:rPr>
        <w:t>'</w:t>
      </w:r>
      <w:r w:rsidRPr="00075DC8">
        <w:rPr>
          <w:lang w:val="fr-FR"/>
        </w:rPr>
        <w:t>une station embarquée sur un satellite, il n</w:t>
      </w:r>
      <w:r w:rsidR="001F6A0D" w:rsidRPr="00075DC8">
        <w:rPr>
          <w:lang w:val="fr-FR"/>
        </w:rPr>
        <w:t>'</w:t>
      </w:r>
      <w:r w:rsidRPr="00075DC8">
        <w:rPr>
          <w:lang w:val="fr-FR"/>
        </w:rPr>
        <w:t>y a pas de corrélation avec le trajet du service fixe désiré. Dans de tels cas, il faut supposer que la puissance de l</w:t>
      </w:r>
      <w:r w:rsidR="001F6A0D" w:rsidRPr="00075DC8">
        <w:rPr>
          <w:lang w:val="fr-FR"/>
        </w:rPr>
        <w:t>'</w:t>
      </w:r>
      <w:r w:rsidRPr="00075DC8">
        <w:rPr>
          <w:lang w:val="fr-FR"/>
        </w:rPr>
        <w:t>émetteur désiré est à son niveau le plus bas. Si toutefois le trajet du brouillage est issu d</w:t>
      </w:r>
      <w:r w:rsidR="001F6A0D" w:rsidRPr="00075DC8">
        <w:rPr>
          <w:lang w:val="fr-FR"/>
        </w:rPr>
        <w:t>'</w:t>
      </w:r>
      <w:r w:rsidRPr="00075DC8">
        <w:rPr>
          <w:lang w:val="fr-FR"/>
        </w:rPr>
        <w:t>une source terrestre, une certaine corrélation de l</w:t>
      </w:r>
      <w:r w:rsidR="001F6A0D" w:rsidRPr="00075DC8">
        <w:rPr>
          <w:lang w:val="fr-FR"/>
        </w:rPr>
        <w:t>'</w:t>
      </w:r>
      <w:r w:rsidRPr="00075DC8">
        <w:rPr>
          <w:lang w:val="fr-FR"/>
        </w:rPr>
        <w:t>évanouissement peut être supposée (voir la Note ci-après). Dans ce cas, la puissance désirée supposée pourrait être la puissance maximale dans le domaine d</w:t>
      </w:r>
      <w:r w:rsidR="001F6A0D" w:rsidRPr="00075DC8">
        <w:rPr>
          <w:lang w:val="fr-FR"/>
        </w:rPr>
        <w:t>'</w:t>
      </w:r>
      <w:r w:rsidRPr="00075DC8">
        <w:rPr>
          <w:lang w:val="fr-FR"/>
        </w:rPr>
        <w:t xml:space="preserve">application de la commande ATPC. De plus amples informations sur la commande ATPC sont données dans les </w:t>
      </w:r>
      <w:hyperlink r:id="rId93" w:history="1">
        <w:r w:rsidRPr="00075DC8">
          <w:rPr>
            <w:lang w:val="fr-FR"/>
          </w:rPr>
          <w:t>Recommandations</w:t>
        </w:r>
        <w:r w:rsidR="00604EF4" w:rsidRPr="00075DC8">
          <w:rPr>
            <w:lang w:val="fr-FR"/>
          </w:rPr>
          <w:t> </w:t>
        </w:r>
        <w:r w:rsidRPr="00075DC8">
          <w:rPr>
            <w:lang w:val="fr-FR"/>
          </w:rPr>
          <w:t>UIT</w:t>
        </w:r>
        <w:r w:rsidRPr="00075DC8">
          <w:rPr>
            <w:lang w:val="fr-FR"/>
          </w:rPr>
          <w:noBreakHyphen/>
          <w:t>R F.1494</w:t>
        </w:r>
      </w:hyperlink>
      <w:r w:rsidRPr="00075DC8">
        <w:rPr>
          <w:lang w:val="fr-FR"/>
        </w:rPr>
        <w:t xml:space="preserve">, </w:t>
      </w:r>
      <w:hyperlink r:id="rId94" w:history="1">
        <w:r w:rsidRPr="00075DC8">
          <w:rPr>
            <w:lang w:val="fr-FR"/>
          </w:rPr>
          <w:t>UIT-R F.1495</w:t>
        </w:r>
      </w:hyperlink>
      <w:r w:rsidRPr="00075DC8">
        <w:rPr>
          <w:lang w:val="fr-FR"/>
        </w:rPr>
        <w:t xml:space="preserve">, </w:t>
      </w:r>
      <w:hyperlink r:id="rId95" w:history="1">
        <w:r w:rsidRPr="00075DC8">
          <w:rPr>
            <w:lang w:val="fr-FR"/>
          </w:rPr>
          <w:t>UIT-R F.1606</w:t>
        </w:r>
      </w:hyperlink>
      <w:r w:rsidRPr="00075DC8">
        <w:rPr>
          <w:lang w:val="fr-FR"/>
        </w:rPr>
        <w:t xml:space="preserve"> et </w:t>
      </w:r>
      <w:hyperlink r:id="rId96" w:history="1">
        <w:r w:rsidRPr="00075DC8">
          <w:rPr>
            <w:lang w:val="fr-FR"/>
          </w:rPr>
          <w:t>UIT-R F.1669</w:t>
        </w:r>
      </w:hyperlink>
      <w:r w:rsidRPr="00075DC8">
        <w:rPr>
          <w:lang w:val="fr-FR"/>
        </w:rPr>
        <w:t>.</w:t>
      </w:r>
    </w:p>
    <w:p w14:paraId="6169CFFE" w14:textId="7E343370" w:rsidR="00725E50" w:rsidRPr="00075DC8" w:rsidRDefault="00725E50" w:rsidP="00725E50">
      <w:pPr>
        <w:pStyle w:val="Note"/>
        <w:rPr>
          <w:lang w:val="fr-FR"/>
        </w:rPr>
      </w:pPr>
      <w:r w:rsidRPr="00075DC8">
        <w:rPr>
          <w:lang w:val="fr-FR"/>
        </w:rPr>
        <w:t>NOTE – Ceci est souvent le cas dans les bandes de fréquences supérieures à 17 GHz, où la pluie est le facteur prépondérant affectant la propagation sur la liaison. Les Recommandations UIT-R P.452 et UIT</w:t>
      </w:r>
      <w:r w:rsidRPr="00075DC8">
        <w:rPr>
          <w:lang w:val="fr-FR"/>
        </w:rPr>
        <w:noBreakHyphen/>
        <w:t>R P.839, par exemple, donnent des informations sur la dimension de la cellule de pluie et la distribution de l</w:t>
      </w:r>
      <w:r w:rsidR="001F6A0D" w:rsidRPr="00075DC8">
        <w:rPr>
          <w:lang w:val="fr-FR"/>
        </w:rPr>
        <w:t>'</w:t>
      </w:r>
      <w:r w:rsidRPr="00075DC8">
        <w:rPr>
          <w:lang w:val="fr-FR"/>
        </w:rPr>
        <w:t>intensité de la pluie (dans les directions de l</w:t>
      </w:r>
      <w:r w:rsidR="001F6A0D" w:rsidRPr="00075DC8">
        <w:rPr>
          <w:lang w:val="fr-FR"/>
        </w:rPr>
        <w:t>'</w:t>
      </w:r>
      <w:r w:rsidRPr="00075DC8">
        <w:rPr>
          <w:lang w:val="fr-FR"/>
        </w:rPr>
        <w:t>azimut et de l</w:t>
      </w:r>
      <w:r w:rsidR="001F6A0D" w:rsidRPr="00075DC8">
        <w:rPr>
          <w:lang w:val="fr-FR"/>
        </w:rPr>
        <w:t>'</w:t>
      </w:r>
      <w:r w:rsidRPr="00075DC8">
        <w:rPr>
          <w:lang w:val="fr-FR"/>
        </w:rPr>
        <w:t>élévation) dans la cellule. Dans les bandes de fréquences plus basses, lorsque les trajets multiples sont le facteur prépondérant, l</w:t>
      </w:r>
      <w:r w:rsidR="001F6A0D" w:rsidRPr="00075DC8">
        <w:rPr>
          <w:lang w:val="fr-FR"/>
        </w:rPr>
        <w:t>'</w:t>
      </w:r>
      <w:r w:rsidRPr="00075DC8">
        <w:rPr>
          <w:lang w:val="fr-FR"/>
        </w:rPr>
        <w:t>évanouissement profond sur le trajet du signal désiré et sur le trajet du brouillage ne sont pas corrélés.</w:t>
      </w:r>
    </w:p>
    <w:p w14:paraId="335D39E3" w14:textId="77777777" w:rsidR="00725E50" w:rsidRPr="00075DC8" w:rsidRDefault="00725E50" w:rsidP="00604EF4">
      <w:pPr>
        <w:pStyle w:val="Heading1"/>
        <w:rPr>
          <w:lang w:val="fr-FR"/>
        </w:rPr>
      </w:pPr>
      <w:bookmarkStart w:id="33" w:name="_Toc37843604"/>
      <w:bookmarkStart w:id="34" w:name="_Toc198643826"/>
      <w:r w:rsidRPr="00075DC8">
        <w:rPr>
          <w:lang w:val="fr-FR"/>
        </w:rPr>
        <w:t>6</w:t>
      </w:r>
      <w:r w:rsidRPr="00075DC8">
        <w:rPr>
          <w:lang w:val="fr-FR"/>
        </w:rPr>
        <w:tab/>
        <w:t xml:space="preserve">Calcul des niveaux de brouillage </w:t>
      </w:r>
      <w:bookmarkEnd w:id="28"/>
      <w:r w:rsidRPr="00075DC8">
        <w:rPr>
          <w:lang w:val="fr-FR"/>
        </w:rPr>
        <w:t>réel</w:t>
      </w:r>
      <w:bookmarkEnd w:id="33"/>
      <w:bookmarkEnd w:id="34"/>
    </w:p>
    <w:p w14:paraId="1A82818C" w14:textId="4BB8338B" w:rsidR="00725E50" w:rsidRPr="00075DC8" w:rsidRDefault="00725E50" w:rsidP="00604EF4">
      <w:pPr>
        <w:rPr>
          <w:lang w:val="fr-FR"/>
        </w:rPr>
      </w:pPr>
      <w:r w:rsidRPr="00075DC8">
        <w:rPr>
          <w:lang w:val="fr-FR"/>
        </w:rPr>
        <w:t>Pour achever l</w:t>
      </w:r>
      <w:r w:rsidR="001F6A0D" w:rsidRPr="00075DC8">
        <w:rPr>
          <w:lang w:val="fr-FR"/>
        </w:rPr>
        <w:t>'</w:t>
      </w:r>
      <w:r w:rsidRPr="00075DC8">
        <w:rPr>
          <w:lang w:val="fr-FR"/>
        </w:rPr>
        <w:t>analyse du partage, il faut évaluer la probabilité de brouillage à l</w:t>
      </w:r>
      <w:r w:rsidR="001F6A0D" w:rsidRPr="00075DC8">
        <w:rPr>
          <w:lang w:val="fr-FR"/>
        </w:rPr>
        <w:t>'</w:t>
      </w:r>
      <w:r w:rsidRPr="00075DC8">
        <w:rPr>
          <w:lang w:val="fr-FR"/>
        </w:rPr>
        <w:t>entrée de l</w:t>
      </w:r>
      <w:r w:rsidR="001F6A0D" w:rsidRPr="00075DC8">
        <w:rPr>
          <w:lang w:val="fr-FR"/>
        </w:rPr>
        <w:t>'</w:t>
      </w:r>
      <w:r w:rsidRPr="00075DC8">
        <w:rPr>
          <w:lang w:val="fr-FR"/>
        </w:rPr>
        <w:t>antenne. Il faudra pour cela prendre en considération les plus récents modèles de propagation et les facteurs affectant le trajet, décrits dans les Rapports et dans les Recommandations UIT-R de la Série P. Il est peu probable qu</w:t>
      </w:r>
      <w:r w:rsidR="001F6A0D" w:rsidRPr="00075DC8">
        <w:rPr>
          <w:lang w:val="fr-FR"/>
        </w:rPr>
        <w:t>'</w:t>
      </w:r>
      <w:r w:rsidRPr="00075DC8">
        <w:rPr>
          <w:lang w:val="fr-FR"/>
        </w:rPr>
        <w:t>un seul modèle puisse suffire pour toutes les applications possibles. Le calcul de l</w:t>
      </w:r>
      <w:r w:rsidR="001F6A0D" w:rsidRPr="00075DC8">
        <w:rPr>
          <w:lang w:val="fr-FR"/>
        </w:rPr>
        <w:t>'</w:t>
      </w:r>
      <w:r w:rsidRPr="00075DC8">
        <w:rPr>
          <w:lang w:val="fr-FR"/>
        </w:rPr>
        <w:t>affaiblissement de la transmission comportera aussi des facteurs tels que les pertes par absorption, diffraction, diffusion, couplage de polarisation et couplage ouverture/milieu, ainsi que l</w:t>
      </w:r>
      <w:r w:rsidR="001F6A0D" w:rsidRPr="00075DC8">
        <w:rPr>
          <w:lang w:val="fr-FR"/>
        </w:rPr>
        <w:t>'</w:t>
      </w:r>
      <w:r w:rsidRPr="00075DC8">
        <w:rPr>
          <w:lang w:val="fr-FR"/>
        </w:rPr>
        <w:t>effet des trajets multiples. Il faudra peut-être prendre aussi en compte les niveaux des brouillages cumulatifs et du brouillage unique.</w:t>
      </w:r>
    </w:p>
    <w:p w14:paraId="1BB0A7A9" w14:textId="77777777" w:rsidR="00725E50" w:rsidRPr="00075DC8" w:rsidRDefault="00725E50" w:rsidP="00725E50">
      <w:pPr>
        <w:rPr>
          <w:lang w:val="fr-FR"/>
        </w:rPr>
      </w:pPr>
    </w:p>
    <w:p w14:paraId="559F7AC8" w14:textId="77777777" w:rsidR="00604EF4" w:rsidRPr="00075DC8" w:rsidRDefault="00604EF4" w:rsidP="00725E50">
      <w:pPr>
        <w:rPr>
          <w:lang w:val="fr-FR"/>
        </w:rPr>
      </w:pPr>
    </w:p>
    <w:p w14:paraId="631CC307" w14:textId="77777777" w:rsidR="00725E50" w:rsidRPr="00075DC8" w:rsidRDefault="00725E50" w:rsidP="00604EF4">
      <w:pPr>
        <w:pStyle w:val="AnnexNoTitle"/>
        <w:outlineLvl w:val="0"/>
        <w:rPr>
          <w:lang w:val="fr-FR"/>
        </w:rPr>
      </w:pPr>
      <w:bookmarkStart w:id="35" w:name="_Toc107037976"/>
      <w:bookmarkStart w:id="36" w:name="_Toc37843605"/>
      <w:bookmarkStart w:id="37" w:name="_Toc198643827"/>
      <w:r w:rsidRPr="00075DC8">
        <w:rPr>
          <w:lang w:val="fr-FR"/>
        </w:rPr>
        <w:lastRenderedPageBreak/>
        <w:t>Annexe 2</w:t>
      </w:r>
      <w:r w:rsidRPr="00075DC8">
        <w:rPr>
          <w:lang w:val="fr-FR"/>
        </w:rPr>
        <w:br/>
      </w:r>
      <w:r w:rsidRPr="00075DC8">
        <w:rPr>
          <w:lang w:val="fr-FR"/>
        </w:rPr>
        <w:br/>
        <w:t>Paramètres des systèmes numériques du service fixe</w:t>
      </w:r>
      <w:r w:rsidRPr="00075DC8">
        <w:rPr>
          <w:lang w:val="fr-FR"/>
        </w:rPr>
        <w:br/>
        <w:t>pour les études de partage</w:t>
      </w:r>
      <w:bookmarkEnd w:id="35"/>
      <w:r w:rsidRPr="00075DC8">
        <w:rPr>
          <w:lang w:val="fr-FR"/>
        </w:rPr>
        <w:t xml:space="preserve"> ou de compatibilité</w:t>
      </w:r>
      <w:bookmarkEnd w:id="36"/>
      <w:bookmarkEnd w:id="37"/>
    </w:p>
    <w:p w14:paraId="6172CC11" w14:textId="77777777" w:rsidR="00725E50" w:rsidRPr="00075DC8" w:rsidRDefault="00725E50" w:rsidP="00725E50">
      <w:pPr>
        <w:pStyle w:val="Heading1"/>
        <w:rPr>
          <w:lang w:val="fr-FR"/>
        </w:rPr>
      </w:pPr>
      <w:bookmarkStart w:id="38" w:name="_Toc107037977"/>
      <w:bookmarkStart w:id="39" w:name="_Toc37843606"/>
      <w:bookmarkStart w:id="40" w:name="_Toc198643828"/>
      <w:r w:rsidRPr="00075DC8">
        <w:rPr>
          <w:lang w:val="fr-FR"/>
        </w:rPr>
        <w:t>1</w:t>
      </w:r>
      <w:r w:rsidRPr="00075DC8">
        <w:rPr>
          <w:lang w:val="fr-FR"/>
        </w:rPr>
        <w:tab/>
        <w:t>Introduction</w:t>
      </w:r>
      <w:bookmarkEnd w:id="38"/>
      <w:bookmarkEnd w:id="39"/>
      <w:bookmarkEnd w:id="40"/>
    </w:p>
    <w:p w14:paraId="0C0B90EE" w14:textId="7681DE1D" w:rsidR="00725E50" w:rsidRPr="00075DC8" w:rsidRDefault="00725E50" w:rsidP="00725E50">
      <w:pPr>
        <w:rPr>
          <w:lang w:val="fr-FR"/>
        </w:rPr>
      </w:pPr>
      <w:r w:rsidRPr="00075DC8">
        <w:rPr>
          <w:lang w:val="fr-FR"/>
        </w:rPr>
        <w:t>Pour calculer les dégradations de qualité et de disponibilité, il faut connaître les caractéristiques du système FWS affecté. Les systèmes FWS en exploitation ou en cours de mise au point en vue de répondre aux nouvelles spécifications sont très diversifiés. Cette diversité des paramètres des systèmes peut être modélisée au moyen de systèmes représentatifs pour certaines gammes de fréquences particulières pour lesquelles le fonctionnement des équipements est le même. La présente Annexe détaille les principaux paramètres des systèmes radioélectriques, nécessaires aux études de partage entre le service fixe et les autres services. Un tableau présente les paramètres du système pour le plus petit nombre de gammes de fréquences qui est nécessaire pour entreprendre des études de partage entre le système fixe et d</w:t>
      </w:r>
      <w:r w:rsidR="001F6A0D" w:rsidRPr="00075DC8">
        <w:rPr>
          <w:lang w:val="fr-FR"/>
        </w:rPr>
        <w:t>'</w:t>
      </w:r>
      <w:r w:rsidRPr="00075DC8">
        <w:rPr>
          <w:lang w:val="fr-FR"/>
        </w:rPr>
        <w:t>autres services.</w:t>
      </w:r>
    </w:p>
    <w:p w14:paraId="32C3AB64" w14:textId="13B0DB68" w:rsidR="00725E50" w:rsidRPr="00075DC8" w:rsidRDefault="00725E50" w:rsidP="00725E50">
      <w:pPr>
        <w:pStyle w:val="Heading1"/>
        <w:rPr>
          <w:lang w:val="fr-FR"/>
        </w:rPr>
      </w:pPr>
      <w:bookmarkStart w:id="41" w:name="_Toc107037978"/>
      <w:bookmarkStart w:id="42" w:name="_Toc37843607"/>
      <w:bookmarkStart w:id="43" w:name="_Toc198643829"/>
      <w:r w:rsidRPr="00075DC8">
        <w:rPr>
          <w:lang w:val="fr-FR"/>
        </w:rPr>
        <w:t>2</w:t>
      </w:r>
      <w:r w:rsidRPr="00075DC8">
        <w:rPr>
          <w:lang w:val="fr-FR"/>
        </w:rPr>
        <w:tab/>
        <w:t>Spécification de l</w:t>
      </w:r>
      <w:r w:rsidR="001F6A0D" w:rsidRPr="00075DC8">
        <w:rPr>
          <w:lang w:val="fr-FR"/>
        </w:rPr>
        <w:t>'</w:t>
      </w:r>
      <w:r w:rsidRPr="00075DC8">
        <w:rPr>
          <w:lang w:val="fr-FR"/>
        </w:rPr>
        <w:t>émetteur</w:t>
      </w:r>
      <w:bookmarkEnd w:id="41"/>
      <w:bookmarkEnd w:id="42"/>
      <w:bookmarkEnd w:id="43"/>
    </w:p>
    <w:p w14:paraId="1792E642" w14:textId="17D47E94" w:rsidR="00725E50" w:rsidRPr="00075DC8" w:rsidRDefault="00725E50" w:rsidP="00604EF4">
      <w:pPr>
        <w:pStyle w:val="Heading2"/>
        <w:rPr>
          <w:lang w:val="fr-FR"/>
        </w:rPr>
      </w:pPr>
      <w:bookmarkStart w:id="44" w:name="_Toc37843608"/>
      <w:bookmarkStart w:id="45" w:name="_Toc198643830"/>
      <w:r w:rsidRPr="00075DC8">
        <w:rPr>
          <w:lang w:val="fr-FR"/>
        </w:rPr>
        <w:t>2.1</w:t>
      </w:r>
      <w:r w:rsidRPr="00075DC8">
        <w:rPr>
          <w:lang w:val="fr-FR"/>
        </w:rPr>
        <w:tab/>
        <w:t>Paramètres de l</w:t>
      </w:r>
      <w:r w:rsidR="001F6A0D" w:rsidRPr="00075DC8">
        <w:rPr>
          <w:lang w:val="fr-FR"/>
        </w:rPr>
        <w:t>'</w:t>
      </w:r>
      <w:r w:rsidRPr="00075DC8">
        <w:rPr>
          <w:lang w:val="fr-FR"/>
        </w:rPr>
        <w:t>équipement</w:t>
      </w:r>
      <w:bookmarkEnd w:id="44"/>
      <w:bookmarkEnd w:id="45"/>
    </w:p>
    <w:p w14:paraId="79983E07" w14:textId="6C0B861D" w:rsidR="00725E50" w:rsidRPr="00075DC8" w:rsidRDefault="00725E50" w:rsidP="00725E50">
      <w:pPr>
        <w:rPr>
          <w:szCs w:val="22"/>
          <w:lang w:val="fr-FR"/>
        </w:rPr>
      </w:pPr>
      <w:r w:rsidRPr="00075DC8">
        <w:rPr>
          <w:lang w:val="fr-FR"/>
        </w:rPr>
        <w:t>Les principaux paramètres de l</w:t>
      </w:r>
      <w:r w:rsidR="001F6A0D" w:rsidRPr="00075DC8">
        <w:rPr>
          <w:lang w:val="fr-FR"/>
        </w:rPr>
        <w:t>'</w:t>
      </w:r>
      <w:r w:rsidRPr="00075DC8">
        <w:rPr>
          <w:lang w:val="fr-FR"/>
        </w:rPr>
        <w:t>émetteur qui sont nécessaires à l</w:t>
      </w:r>
      <w:r w:rsidR="001F6A0D" w:rsidRPr="00075DC8">
        <w:rPr>
          <w:lang w:val="fr-FR"/>
        </w:rPr>
        <w:t>'</w:t>
      </w:r>
      <w:r w:rsidRPr="00075DC8">
        <w:rPr>
          <w:lang w:val="fr-FR"/>
        </w:rPr>
        <w:t>évaluation du brouillage pouvant affecter d</w:t>
      </w:r>
      <w:r w:rsidR="001F6A0D" w:rsidRPr="00075DC8">
        <w:rPr>
          <w:lang w:val="fr-FR"/>
        </w:rPr>
        <w:t>'</w:t>
      </w:r>
      <w:r w:rsidRPr="00075DC8">
        <w:rPr>
          <w:lang w:val="fr-FR"/>
        </w:rPr>
        <w:t xml:space="preserve">autres </w:t>
      </w:r>
      <w:r w:rsidRPr="00075DC8">
        <w:rPr>
          <w:szCs w:val="22"/>
          <w:lang w:val="fr-FR"/>
        </w:rPr>
        <w:t>services sont les suivants:</w:t>
      </w:r>
    </w:p>
    <w:p w14:paraId="60907A64" w14:textId="77777777" w:rsidR="00725E50" w:rsidRPr="00075DC8" w:rsidRDefault="00725E50" w:rsidP="00725E50">
      <w:pPr>
        <w:pStyle w:val="enumlev1"/>
        <w:rPr>
          <w:lang w:val="fr-FR"/>
        </w:rPr>
      </w:pPr>
      <w:r w:rsidRPr="00075DC8">
        <w:rPr>
          <w:lang w:val="fr-FR"/>
        </w:rPr>
        <w:t>–</w:t>
      </w:r>
      <w:r w:rsidRPr="00075DC8">
        <w:rPr>
          <w:lang w:val="fr-FR"/>
        </w:rPr>
        <w:tab/>
        <w:t>la fréquence de la porteuse;</w:t>
      </w:r>
    </w:p>
    <w:p w14:paraId="21B4453E" w14:textId="500845E1" w:rsidR="00725E50" w:rsidRPr="00075DC8" w:rsidRDefault="00725E50" w:rsidP="00725E50">
      <w:pPr>
        <w:pStyle w:val="enumlev1"/>
        <w:rPr>
          <w:lang w:val="fr-FR"/>
        </w:rPr>
      </w:pPr>
      <w:r w:rsidRPr="00075DC8">
        <w:rPr>
          <w:lang w:val="fr-FR"/>
        </w:rPr>
        <w:t>–</w:t>
      </w:r>
      <w:r w:rsidRPr="00075DC8">
        <w:rPr>
          <w:lang w:val="fr-FR"/>
        </w:rPr>
        <w:tab/>
        <w:t>les caractéristiques spectrales (par exemple, la largeur de bande et la densité de puissance de l</w:t>
      </w:r>
      <w:r w:rsidR="001F6A0D" w:rsidRPr="00075DC8">
        <w:rPr>
          <w:lang w:val="fr-FR"/>
        </w:rPr>
        <w:t>'</w:t>
      </w:r>
      <w:r w:rsidRPr="00075DC8">
        <w:rPr>
          <w:lang w:val="fr-FR"/>
        </w:rPr>
        <w:t>émetteur);</w:t>
      </w:r>
    </w:p>
    <w:p w14:paraId="1BD1191E" w14:textId="77777777" w:rsidR="00725E50" w:rsidRPr="00075DC8" w:rsidRDefault="00725E50" w:rsidP="00725E50">
      <w:pPr>
        <w:pStyle w:val="enumlev1"/>
        <w:rPr>
          <w:lang w:val="fr-FR"/>
        </w:rPr>
      </w:pPr>
      <w:r w:rsidRPr="00075DC8">
        <w:rPr>
          <w:lang w:val="fr-FR"/>
        </w:rPr>
        <w:t>–</w:t>
      </w:r>
      <w:r w:rsidRPr="00075DC8">
        <w:rPr>
          <w:lang w:val="fr-FR"/>
        </w:rPr>
        <w:tab/>
        <w:t>la puissance isotrope rayonnée équivalente (p.i.r.e.);</w:t>
      </w:r>
    </w:p>
    <w:p w14:paraId="3FBD5337" w14:textId="5092BE7B" w:rsidR="00725E50" w:rsidRPr="00075DC8" w:rsidRDefault="00725E50" w:rsidP="00725E50">
      <w:pPr>
        <w:pStyle w:val="enumlev1"/>
        <w:rPr>
          <w:lang w:val="fr-FR"/>
        </w:rPr>
      </w:pPr>
      <w:r w:rsidRPr="00075DC8">
        <w:rPr>
          <w:lang w:val="fr-FR"/>
        </w:rPr>
        <w:t>–</w:t>
      </w:r>
      <w:r w:rsidRPr="00075DC8">
        <w:rPr>
          <w:lang w:val="fr-FR"/>
        </w:rPr>
        <w:tab/>
        <w:t>le diagramme de rayonnement de l</w:t>
      </w:r>
      <w:r w:rsidR="001F6A0D" w:rsidRPr="00075DC8">
        <w:rPr>
          <w:lang w:val="fr-FR"/>
        </w:rPr>
        <w:t>'</w:t>
      </w:r>
      <w:r w:rsidRPr="00075DC8">
        <w:rPr>
          <w:lang w:val="fr-FR"/>
        </w:rPr>
        <w:t>antenne.</w:t>
      </w:r>
    </w:p>
    <w:p w14:paraId="5D2E2B1D" w14:textId="76B0D094" w:rsidR="00725E50" w:rsidRPr="00075DC8" w:rsidRDefault="00725E50" w:rsidP="00604EF4">
      <w:pPr>
        <w:rPr>
          <w:lang w:val="fr-FR"/>
        </w:rPr>
      </w:pPr>
      <w:r w:rsidRPr="00075DC8">
        <w:rPr>
          <w:lang w:val="fr-FR"/>
        </w:rPr>
        <w:t>Les fréquences utilisées correspondent normalement aux dispositions des canaux radioélectriques spécifiées dans les Recommandations UIT</w:t>
      </w:r>
      <w:r w:rsidRPr="00075DC8">
        <w:rPr>
          <w:lang w:val="fr-FR"/>
        </w:rPr>
        <w:noBreakHyphen/>
        <w:t>R. Le type de modulation et la disposition des canaux radioélectriques donneront une indication quant aux caractéristiques spectrales des émissions, en vue d</w:t>
      </w:r>
      <w:r w:rsidR="001F6A0D" w:rsidRPr="00075DC8">
        <w:rPr>
          <w:lang w:val="fr-FR"/>
        </w:rPr>
        <w:t>'</w:t>
      </w:r>
      <w:r w:rsidRPr="00075DC8">
        <w:rPr>
          <w:lang w:val="fr-FR"/>
        </w:rPr>
        <w:t>effectuer des évaluations statistiques génériques où seul le type de brouillage par partage de canal est habituellement pris en compte. Des calculs de partage déterministes (station par station) exigeraient toutefois la spécification du profil des caractéristiques spectrales, afin de pouvoir calculer le rejet dû au décalage de fréquence pour une séparation donnée des fréquences des porteuses du signal utile et du signal brouilleur.</w:t>
      </w:r>
    </w:p>
    <w:p w14:paraId="4F38D1F9" w14:textId="047B848B" w:rsidR="00725E50" w:rsidRPr="00075DC8" w:rsidRDefault="00725E50" w:rsidP="00604EF4">
      <w:pPr>
        <w:rPr>
          <w:lang w:val="fr-FR"/>
        </w:rPr>
      </w:pPr>
      <w:r w:rsidRPr="00075DC8">
        <w:rPr>
          <w:lang w:val="fr-FR"/>
        </w:rPr>
        <w:t>La p.i.r.e. de l</w:t>
      </w:r>
      <w:r w:rsidR="001F6A0D" w:rsidRPr="00075DC8">
        <w:rPr>
          <w:lang w:val="fr-FR"/>
        </w:rPr>
        <w:t>'</w:t>
      </w:r>
      <w:r w:rsidRPr="00075DC8">
        <w:rPr>
          <w:lang w:val="fr-FR"/>
        </w:rPr>
        <w:t>émetteur est calculée à partir de sa puissance, des pertes dues à l</w:t>
      </w:r>
      <w:r w:rsidR="001F6A0D" w:rsidRPr="00075DC8">
        <w:rPr>
          <w:lang w:val="fr-FR"/>
        </w:rPr>
        <w:t>'</w:t>
      </w:r>
      <w:r w:rsidRPr="00075DC8">
        <w:rPr>
          <w:lang w:val="fr-FR"/>
        </w:rPr>
        <w:t>alimentation et au multiplexeur et du gain d</w:t>
      </w:r>
      <w:r w:rsidR="001F6A0D" w:rsidRPr="00075DC8">
        <w:rPr>
          <w:lang w:val="fr-FR"/>
        </w:rPr>
        <w:t>'</w:t>
      </w:r>
      <w:r w:rsidRPr="00075DC8">
        <w:rPr>
          <w:lang w:val="fr-FR"/>
        </w:rPr>
        <w:t>antenne. En principe, la valeur maximale de la p.i.r.e. correspondra au gain d</w:t>
      </w:r>
      <w:r w:rsidR="001F6A0D" w:rsidRPr="00075DC8">
        <w:rPr>
          <w:lang w:val="fr-FR"/>
        </w:rPr>
        <w:t>'</w:t>
      </w:r>
      <w:r w:rsidRPr="00075DC8">
        <w:rPr>
          <w:lang w:val="fr-FR"/>
        </w:rPr>
        <w:t>antenne maximal, aux pertes minimales dues à l</w:t>
      </w:r>
      <w:r w:rsidR="001F6A0D" w:rsidRPr="00075DC8">
        <w:rPr>
          <w:lang w:val="fr-FR"/>
        </w:rPr>
        <w:t>'</w:t>
      </w:r>
      <w:r w:rsidRPr="00075DC8">
        <w:rPr>
          <w:lang w:val="fr-FR"/>
        </w:rPr>
        <w:t>alimentation et au multiplexeur, et à la puissance maximale de sortie au niveau de l</w:t>
      </w:r>
      <w:r w:rsidR="001F6A0D" w:rsidRPr="00075DC8">
        <w:rPr>
          <w:lang w:val="fr-FR"/>
        </w:rPr>
        <w:t>'</w:t>
      </w:r>
      <w:r w:rsidRPr="00075DC8">
        <w:rPr>
          <w:lang w:val="fr-FR"/>
        </w:rPr>
        <w:t>émetteur. Cette valeur correspond au plus fort brouillage susceptible d</w:t>
      </w:r>
      <w:r w:rsidR="001F6A0D" w:rsidRPr="00075DC8">
        <w:rPr>
          <w:lang w:val="fr-FR"/>
        </w:rPr>
        <w:t>'</w:t>
      </w:r>
      <w:r w:rsidRPr="00075DC8">
        <w:rPr>
          <w:lang w:val="fr-FR"/>
        </w:rPr>
        <w:t>affecter d</w:t>
      </w:r>
      <w:r w:rsidR="001F6A0D" w:rsidRPr="00075DC8">
        <w:rPr>
          <w:lang w:val="fr-FR"/>
        </w:rPr>
        <w:t>'</w:t>
      </w:r>
      <w:r w:rsidRPr="00075DC8">
        <w:rPr>
          <w:lang w:val="fr-FR"/>
        </w:rPr>
        <w:t>autres services. Toutefois, lorsque des études de partage ou de compatibilité nécessitent l</w:t>
      </w:r>
      <w:r w:rsidR="001F6A0D" w:rsidRPr="00075DC8">
        <w:rPr>
          <w:lang w:val="fr-FR"/>
        </w:rPr>
        <w:t>'</w:t>
      </w:r>
      <w:r w:rsidRPr="00075DC8">
        <w:rPr>
          <w:lang w:val="fr-FR"/>
        </w:rPr>
        <w:t>évaluation statistique d</w:t>
      </w:r>
      <w:r w:rsidR="001F6A0D" w:rsidRPr="00075DC8">
        <w:rPr>
          <w:lang w:val="fr-FR"/>
        </w:rPr>
        <w:t>'</w:t>
      </w:r>
      <w:r w:rsidRPr="00075DC8">
        <w:rPr>
          <w:lang w:val="fr-FR"/>
        </w:rPr>
        <w:t>une agrégation d</w:t>
      </w:r>
      <w:r w:rsidR="001F6A0D" w:rsidRPr="00075DC8">
        <w:rPr>
          <w:lang w:val="fr-FR"/>
        </w:rPr>
        <w:t>'</w:t>
      </w:r>
      <w:r w:rsidRPr="00075DC8">
        <w:rPr>
          <w:lang w:val="fr-FR"/>
        </w:rPr>
        <w:t>un grand nombre de stations du service fixe, ou que la situation de brouillage potentiel peut affecter de façon aléatoire une grande zone géographique, l</w:t>
      </w:r>
      <w:r w:rsidR="001F6A0D" w:rsidRPr="00075DC8">
        <w:rPr>
          <w:lang w:val="fr-FR"/>
        </w:rPr>
        <w:t>'</w:t>
      </w:r>
      <w:r w:rsidRPr="00075DC8">
        <w:rPr>
          <w:lang w:val="fr-FR"/>
        </w:rPr>
        <w:t>emploi du cas le plus défavorable dans l</w:t>
      </w:r>
      <w:r w:rsidR="001F6A0D" w:rsidRPr="00075DC8">
        <w:rPr>
          <w:lang w:val="fr-FR"/>
        </w:rPr>
        <w:t>'</w:t>
      </w:r>
      <w:r w:rsidRPr="00075DC8">
        <w:rPr>
          <w:lang w:val="fr-FR"/>
        </w:rPr>
        <w:t>absolu pourrait ne pas convenir et une gamme de valeurs utilisées aléatoirement (ou suivant une autre distribution statistique adaptée) pourrait être plus appropriée.</w:t>
      </w:r>
    </w:p>
    <w:p w14:paraId="51DC2083" w14:textId="04558554" w:rsidR="00725E50" w:rsidRPr="00075DC8" w:rsidRDefault="00725E50" w:rsidP="00725E50">
      <w:pPr>
        <w:rPr>
          <w:lang w:val="fr-FR"/>
        </w:rPr>
      </w:pPr>
      <w:r w:rsidRPr="00075DC8">
        <w:rPr>
          <w:lang w:val="fr-FR"/>
        </w:rPr>
        <w:lastRenderedPageBreak/>
        <w:t>La connaissance des diagrammes de rayonnement d</w:t>
      </w:r>
      <w:r w:rsidR="001F6A0D" w:rsidRPr="00075DC8">
        <w:rPr>
          <w:lang w:val="fr-FR"/>
        </w:rPr>
        <w:t>'</w:t>
      </w:r>
      <w:r w:rsidRPr="00075DC8">
        <w:rPr>
          <w:lang w:val="fr-FR"/>
        </w:rPr>
        <w:t>antenne est indispensable pour effectuer des études de partage détaillées. Lorsque l</w:t>
      </w:r>
      <w:r w:rsidR="001F6A0D" w:rsidRPr="00075DC8">
        <w:rPr>
          <w:lang w:val="fr-FR"/>
        </w:rPr>
        <w:t>'</w:t>
      </w:r>
      <w:r w:rsidRPr="00075DC8">
        <w:rPr>
          <w:lang w:val="fr-FR"/>
        </w:rPr>
        <w:t>on ne dispose pas de diagrammes mesurés, les diagrammes de rayonnement de référence décrits dans les Recommandations suivantes devraient être employés:</w:t>
      </w:r>
    </w:p>
    <w:p w14:paraId="04D82061" w14:textId="7AD68533" w:rsidR="00725E50" w:rsidRPr="00075DC8" w:rsidRDefault="00725E50" w:rsidP="00725E50">
      <w:pPr>
        <w:pStyle w:val="enumlev1"/>
        <w:rPr>
          <w:lang w:val="fr-FR"/>
        </w:rPr>
      </w:pPr>
      <w:r w:rsidRPr="00075DC8">
        <w:rPr>
          <w:lang w:val="fr-FR"/>
        </w:rPr>
        <w:t>–</w:t>
      </w:r>
      <w:r w:rsidRPr="00075DC8">
        <w:rPr>
          <w:lang w:val="fr-FR"/>
        </w:rPr>
        <w:tab/>
      </w:r>
      <w:hyperlink r:id="rId97" w:history="1">
        <w:r w:rsidRPr="00075DC8">
          <w:rPr>
            <w:lang w:val="fr-FR"/>
          </w:rPr>
          <w:t>Recommandation UIT-R F.699</w:t>
        </w:r>
      </w:hyperlink>
      <w:r w:rsidRPr="00075DC8">
        <w:rPr>
          <w:lang w:val="fr-FR"/>
        </w:rPr>
        <w:t xml:space="preserve"> – Diagrammes de rayonnement de référence pour antennes de systèmes hertziens fixes à utiliser pour les études de coordination et l</w:t>
      </w:r>
      <w:r w:rsidR="001F6A0D" w:rsidRPr="00075DC8">
        <w:rPr>
          <w:lang w:val="fr-FR"/>
        </w:rPr>
        <w:t>'</w:t>
      </w:r>
      <w:r w:rsidRPr="00075DC8">
        <w:rPr>
          <w:lang w:val="fr-FR"/>
        </w:rPr>
        <w:t>évaluation du brouillage dans la gamme de fréquences comprise entre 100 MHz et 86 GHz.</w:t>
      </w:r>
    </w:p>
    <w:p w14:paraId="725ED418" w14:textId="0E2469C1" w:rsidR="00725E50" w:rsidRPr="00075DC8" w:rsidRDefault="00725E50" w:rsidP="00725E50">
      <w:pPr>
        <w:pStyle w:val="enumlev1"/>
        <w:rPr>
          <w:lang w:val="fr-FR"/>
        </w:rPr>
      </w:pPr>
      <w:r w:rsidRPr="00075DC8">
        <w:rPr>
          <w:lang w:val="fr-FR"/>
        </w:rPr>
        <w:t>–</w:t>
      </w:r>
      <w:r w:rsidRPr="00075DC8">
        <w:rPr>
          <w:lang w:val="fr-FR"/>
        </w:rPr>
        <w:tab/>
      </w:r>
      <w:hyperlink r:id="rId98" w:history="1">
        <w:r w:rsidRPr="00075DC8">
          <w:rPr>
            <w:lang w:val="fr-FR"/>
          </w:rPr>
          <w:t>Recommandation UIT-R F.1245</w:t>
        </w:r>
      </w:hyperlink>
      <w:r w:rsidRPr="00075DC8">
        <w:rPr>
          <w:lang w:val="fr-FR"/>
        </w:rPr>
        <w:t xml:space="preserve"> – Modèle mathématique de diagrammes de rayonnement moyens, de diagrammes de rayonnement connexes pour antennes de systèmes hertziens fixes en visibilité directe point à point, à utiliser dans certaines études de coordination et pour l</w:t>
      </w:r>
      <w:r w:rsidR="001F6A0D" w:rsidRPr="00075DC8">
        <w:rPr>
          <w:lang w:val="fr-FR"/>
        </w:rPr>
        <w:t>'</w:t>
      </w:r>
      <w:r w:rsidRPr="00075DC8">
        <w:rPr>
          <w:lang w:val="fr-FR"/>
        </w:rPr>
        <w:t>évaluation du brouillage dans la gamme de fréquences comprise entre 1 GHz et 86 GHz.</w:t>
      </w:r>
    </w:p>
    <w:p w14:paraId="3AFB9907" w14:textId="77777777" w:rsidR="00725E50" w:rsidRPr="00075DC8" w:rsidRDefault="00725E50" w:rsidP="00725E50">
      <w:pPr>
        <w:pStyle w:val="enumlev1"/>
        <w:rPr>
          <w:lang w:val="fr-FR"/>
        </w:rPr>
      </w:pPr>
      <w:r w:rsidRPr="00075DC8">
        <w:rPr>
          <w:lang w:val="fr-FR"/>
        </w:rPr>
        <w:t>–</w:t>
      </w:r>
      <w:r w:rsidRPr="00075DC8">
        <w:rPr>
          <w:lang w:val="fr-FR"/>
        </w:rPr>
        <w:tab/>
      </w:r>
      <w:hyperlink r:id="rId99" w:history="1">
        <w:r w:rsidRPr="00075DC8">
          <w:rPr>
            <w:lang w:val="fr-FR"/>
          </w:rPr>
          <w:t>Recommandation UIT-R F.1336</w:t>
        </w:r>
      </w:hyperlink>
      <w:r w:rsidRPr="00075DC8">
        <w:rPr>
          <w:lang w:val="fr-FR"/>
        </w:rPr>
        <w:t xml:space="preserve"> – Diagrammes de rayonnement de référence des antennes équidirectives, sectorielles et autres antennes pour les services fixe et mobile, à utiliser pour les études de partage dans la gamme de fréquences comprise entre 400 MHz et environ 70 GHz.</w:t>
      </w:r>
    </w:p>
    <w:p w14:paraId="612A6234" w14:textId="77777777" w:rsidR="00725E50" w:rsidRPr="00075DC8" w:rsidRDefault="00725E50" w:rsidP="00E8215E">
      <w:pPr>
        <w:pStyle w:val="Heading2"/>
        <w:rPr>
          <w:lang w:val="fr-FR"/>
        </w:rPr>
      </w:pPr>
      <w:bookmarkStart w:id="46" w:name="_Toc37843609"/>
      <w:bookmarkStart w:id="47" w:name="_Toc198643831"/>
      <w:r w:rsidRPr="00075DC8">
        <w:rPr>
          <w:lang w:val="fr-FR"/>
        </w:rPr>
        <w:t>2.2</w:t>
      </w:r>
      <w:r w:rsidRPr="00075DC8">
        <w:rPr>
          <w:lang w:val="fr-FR"/>
        </w:rPr>
        <w:tab/>
        <w:t>Répartition statistique sur le territoire</w:t>
      </w:r>
      <w:bookmarkEnd w:id="46"/>
      <w:bookmarkEnd w:id="47"/>
    </w:p>
    <w:p w14:paraId="32065BBA" w14:textId="20751ED9" w:rsidR="00725E50" w:rsidRPr="00075DC8" w:rsidRDefault="00725E50" w:rsidP="00725E50">
      <w:pPr>
        <w:rPr>
          <w:szCs w:val="22"/>
          <w:lang w:val="fr-FR"/>
        </w:rPr>
      </w:pPr>
      <w:r w:rsidRPr="00075DC8">
        <w:rPr>
          <w:szCs w:val="22"/>
          <w:lang w:val="fr-FR"/>
        </w:rPr>
        <w:t>Par le passé, les liaisons du service fixe servaient principalement aux connexions interurbaines multicanales à bonds multiples entre les centres de commutation des grandes villes ou aux connexions rurales dans les zones éloignées. Dans les deux cas, pour assurer la rentabilité du réseau, chaque bond devait en général être aussi long que le permettait la technologie de l</w:t>
      </w:r>
      <w:r w:rsidR="001F6A0D" w:rsidRPr="00075DC8">
        <w:rPr>
          <w:szCs w:val="22"/>
          <w:lang w:val="fr-FR"/>
        </w:rPr>
        <w:t>'</w:t>
      </w:r>
      <w:r w:rsidRPr="00075DC8">
        <w:rPr>
          <w:szCs w:val="22"/>
          <w:lang w:val="fr-FR"/>
        </w:rPr>
        <w:t>époque pour le type de propagation prévue. Cela a conduit, pour la plupart des liaisons du service fixe, à l</w:t>
      </w:r>
      <w:r w:rsidR="001F6A0D" w:rsidRPr="00075DC8">
        <w:rPr>
          <w:szCs w:val="22"/>
          <w:lang w:val="fr-FR"/>
        </w:rPr>
        <w:t>'</w:t>
      </w:r>
      <w:r w:rsidRPr="00075DC8">
        <w:rPr>
          <w:szCs w:val="22"/>
          <w:lang w:val="fr-FR"/>
        </w:rPr>
        <w:t>utilisation généralisée de la puissance maximale possible de sortie, associée aux grandes antennes.</w:t>
      </w:r>
    </w:p>
    <w:p w14:paraId="38F9CB8F" w14:textId="0718A10E" w:rsidR="00725E50" w:rsidRPr="00075DC8" w:rsidRDefault="00725E50" w:rsidP="00725E50">
      <w:pPr>
        <w:rPr>
          <w:szCs w:val="22"/>
          <w:lang w:val="fr-FR"/>
        </w:rPr>
      </w:pPr>
      <w:r w:rsidRPr="00075DC8">
        <w:rPr>
          <w:szCs w:val="22"/>
          <w:lang w:val="fr-FR"/>
        </w:rPr>
        <w:t>En raison de cela, la p.i.r.e. maximale possible de l</w:t>
      </w:r>
      <w:r w:rsidR="001F6A0D" w:rsidRPr="00075DC8">
        <w:rPr>
          <w:szCs w:val="22"/>
          <w:lang w:val="fr-FR"/>
        </w:rPr>
        <w:t>'</w:t>
      </w:r>
      <w:r w:rsidRPr="00075DC8">
        <w:rPr>
          <w:szCs w:val="22"/>
          <w:lang w:val="fr-FR"/>
        </w:rPr>
        <w:t>émetteur était dans la pratique la même que la p.i.r.e. supposée dans les études de partage. En outre, la densité de stations du service fixe sur le territoire était limitée à quelques grandes stations de télécommunication vers lesquelles convergeaient toutes les liaisons interurbaines.</w:t>
      </w:r>
    </w:p>
    <w:p w14:paraId="6202F062" w14:textId="3BD53D3E" w:rsidR="00725E50" w:rsidRPr="00075DC8" w:rsidRDefault="00725E50" w:rsidP="00725E50">
      <w:pPr>
        <w:rPr>
          <w:szCs w:val="22"/>
          <w:lang w:val="fr-FR"/>
        </w:rPr>
      </w:pPr>
      <w:r w:rsidRPr="00075DC8">
        <w:rPr>
          <w:szCs w:val="22"/>
          <w:lang w:val="fr-FR"/>
        </w:rPr>
        <w:t>Actuellement, l</w:t>
      </w:r>
      <w:r w:rsidR="001F6A0D" w:rsidRPr="00075DC8">
        <w:rPr>
          <w:szCs w:val="22"/>
          <w:lang w:val="fr-FR"/>
        </w:rPr>
        <w:t>'</w:t>
      </w:r>
      <w:r w:rsidRPr="00075DC8">
        <w:rPr>
          <w:szCs w:val="22"/>
          <w:lang w:val="fr-FR"/>
        </w:rPr>
        <w:t>avènement des réseaux de téléphonie mobile et le besoin de connexions de données sans fil dans le réseau d</w:t>
      </w:r>
      <w:r w:rsidR="001F6A0D" w:rsidRPr="00075DC8">
        <w:rPr>
          <w:szCs w:val="22"/>
          <w:lang w:val="fr-FR"/>
        </w:rPr>
        <w:t>'</w:t>
      </w:r>
      <w:r w:rsidRPr="00075DC8">
        <w:rPr>
          <w:szCs w:val="22"/>
          <w:lang w:val="fr-FR"/>
        </w:rPr>
        <w:t>accès ont changé la répartition type des longueurs de liaison. Elles sont maintenant définies en fonction de considérations diverses sur la couverture du système cellulaire (à savoir, la distance entre les stations de base devant être reliées au moyen de liaisons du service fixe) ou sur l</w:t>
      </w:r>
      <w:r w:rsidR="001F6A0D" w:rsidRPr="00075DC8">
        <w:rPr>
          <w:szCs w:val="22"/>
          <w:lang w:val="fr-FR"/>
        </w:rPr>
        <w:t>'</w:t>
      </w:r>
      <w:r w:rsidRPr="00075DC8">
        <w:rPr>
          <w:szCs w:val="22"/>
          <w:lang w:val="fr-FR"/>
        </w:rPr>
        <w:t>emplacement géographique des centres de données des abonnés privés par rapport au plus proche point d</w:t>
      </w:r>
      <w:r w:rsidR="001F6A0D" w:rsidRPr="00075DC8">
        <w:rPr>
          <w:szCs w:val="22"/>
          <w:lang w:val="fr-FR"/>
        </w:rPr>
        <w:t>'</w:t>
      </w:r>
      <w:r w:rsidRPr="00075DC8">
        <w:rPr>
          <w:szCs w:val="22"/>
          <w:lang w:val="fr-FR"/>
        </w:rPr>
        <w:t>accès au réseau central.</w:t>
      </w:r>
    </w:p>
    <w:p w14:paraId="25CCCBBA" w14:textId="77777777" w:rsidR="00725E50" w:rsidRPr="00075DC8" w:rsidRDefault="00725E50" w:rsidP="00725E50">
      <w:pPr>
        <w:rPr>
          <w:szCs w:val="22"/>
          <w:lang w:val="fr-FR"/>
        </w:rPr>
      </w:pPr>
      <w:r w:rsidRPr="00075DC8">
        <w:rPr>
          <w:szCs w:val="22"/>
          <w:lang w:val="fr-FR"/>
        </w:rPr>
        <w:t>Dans les zones à forte densité de population, cela a conduit à des réseaux plus denses pour le service fixe, nécessitant:</w:t>
      </w:r>
    </w:p>
    <w:p w14:paraId="3CB0562B" w14:textId="77777777" w:rsidR="00725E50" w:rsidRPr="00075DC8" w:rsidRDefault="00725E50" w:rsidP="00725E50">
      <w:pPr>
        <w:pStyle w:val="enumlev1"/>
        <w:rPr>
          <w:lang w:val="fr-FR"/>
        </w:rPr>
      </w:pPr>
      <w:r w:rsidRPr="00075DC8">
        <w:rPr>
          <w:lang w:val="fr-FR"/>
        </w:rPr>
        <w:t>–</w:t>
      </w:r>
      <w:r w:rsidRPr="00075DC8">
        <w:rPr>
          <w:lang w:val="fr-FR"/>
        </w:rPr>
        <w:tab/>
        <w:t>des bonds plus courts, répartis aléatoirement sur le territoire;</w:t>
      </w:r>
    </w:p>
    <w:p w14:paraId="53E680EB" w14:textId="77777777" w:rsidR="00725E50" w:rsidRPr="00075DC8" w:rsidRDefault="00725E50" w:rsidP="00725E50">
      <w:pPr>
        <w:pStyle w:val="enumlev1"/>
        <w:rPr>
          <w:lang w:val="fr-FR"/>
        </w:rPr>
      </w:pPr>
      <w:r w:rsidRPr="00075DC8">
        <w:rPr>
          <w:lang w:val="fr-FR"/>
        </w:rPr>
        <w:t>–</w:t>
      </w:r>
      <w:r w:rsidRPr="00075DC8">
        <w:rPr>
          <w:lang w:val="fr-FR"/>
        </w:rPr>
        <w:tab/>
        <w:t>des longueurs de bond très différentes dans la même zone géographique;</w:t>
      </w:r>
    </w:p>
    <w:p w14:paraId="4CEC9448" w14:textId="77777777" w:rsidR="00725E50" w:rsidRPr="00075DC8" w:rsidRDefault="00725E50" w:rsidP="00725E50">
      <w:pPr>
        <w:pStyle w:val="enumlev1"/>
        <w:rPr>
          <w:lang w:val="fr-FR"/>
        </w:rPr>
      </w:pPr>
      <w:r w:rsidRPr="00075DC8">
        <w:rPr>
          <w:lang w:val="fr-FR"/>
        </w:rPr>
        <w:t>–</w:t>
      </w:r>
      <w:r w:rsidRPr="00075DC8">
        <w:rPr>
          <w:lang w:val="fr-FR"/>
        </w:rPr>
        <w:tab/>
        <w:t>une coordination minutieuse du réseau;</w:t>
      </w:r>
    </w:p>
    <w:p w14:paraId="2B0170FD" w14:textId="01825B07" w:rsidR="00725E50" w:rsidRPr="00075DC8" w:rsidRDefault="00725E50" w:rsidP="00725E50">
      <w:pPr>
        <w:pStyle w:val="enumlev1"/>
        <w:rPr>
          <w:lang w:val="fr-FR"/>
        </w:rPr>
      </w:pPr>
      <w:r w:rsidRPr="00075DC8">
        <w:rPr>
          <w:lang w:val="fr-FR"/>
        </w:rPr>
        <w:t>–</w:t>
      </w:r>
      <w:r w:rsidRPr="00075DC8">
        <w:rPr>
          <w:lang w:val="fr-FR"/>
        </w:rPr>
        <w:tab/>
        <w:t>des p.i.r.e. différentes, imposées au cas par cas aux liaisons par les règles d</w:t>
      </w:r>
      <w:r w:rsidR="001F6A0D" w:rsidRPr="00075DC8">
        <w:rPr>
          <w:lang w:val="fr-FR"/>
        </w:rPr>
        <w:t>'</w:t>
      </w:r>
      <w:r w:rsidRPr="00075DC8">
        <w:rPr>
          <w:lang w:val="fr-FR"/>
        </w:rPr>
        <w:t>octroi de licences afin de minimiser le brouillage et de maximiser l</w:t>
      </w:r>
      <w:r w:rsidR="001F6A0D" w:rsidRPr="00075DC8">
        <w:rPr>
          <w:lang w:val="fr-FR"/>
        </w:rPr>
        <w:t>'</w:t>
      </w:r>
      <w:r w:rsidRPr="00075DC8">
        <w:rPr>
          <w:lang w:val="fr-FR"/>
        </w:rPr>
        <w:t>efficacité du spectre.</w:t>
      </w:r>
    </w:p>
    <w:p w14:paraId="715863C9" w14:textId="7FABD0AC" w:rsidR="00725E50" w:rsidRPr="00075DC8" w:rsidRDefault="00725E50" w:rsidP="00725E50">
      <w:pPr>
        <w:rPr>
          <w:szCs w:val="22"/>
          <w:lang w:val="fr-FR"/>
        </w:rPr>
      </w:pPr>
      <w:r w:rsidRPr="00075DC8">
        <w:rPr>
          <w:szCs w:val="22"/>
          <w:lang w:val="fr-FR"/>
        </w:rPr>
        <w:t>Les considérations ci-dessus, appliquées aux études de partage, conduisent à la nécessité de disposer d</w:t>
      </w:r>
      <w:r w:rsidR="001F6A0D" w:rsidRPr="00075DC8">
        <w:rPr>
          <w:szCs w:val="22"/>
          <w:lang w:val="fr-FR"/>
        </w:rPr>
        <w:t>'</w:t>
      </w:r>
      <w:r w:rsidRPr="00075DC8">
        <w:rPr>
          <w:szCs w:val="22"/>
          <w:lang w:val="fr-FR"/>
        </w:rPr>
        <w:t>un scénario de mise en place «à orientation probabiliste» où la p.i.r.e. peut, suivant la longueur de la liaison, varier dans un intervalle de valeurs, et où les directions des liaisons ont une distribution azimutale aléatoire et un intervalle d</w:t>
      </w:r>
      <w:r w:rsidR="001F6A0D" w:rsidRPr="00075DC8">
        <w:rPr>
          <w:szCs w:val="22"/>
          <w:lang w:val="fr-FR"/>
        </w:rPr>
        <w:t>'</w:t>
      </w:r>
      <w:r w:rsidRPr="00075DC8">
        <w:rPr>
          <w:szCs w:val="22"/>
          <w:lang w:val="fr-FR"/>
        </w:rPr>
        <w:t>élévations plus large.</w:t>
      </w:r>
    </w:p>
    <w:p w14:paraId="66F919F7" w14:textId="2E7AFDA7" w:rsidR="00725E50" w:rsidRPr="00075DC8" w:rsidRDefault="00725E50" w:rsidP="00725E50">
      <w:pPr>
        <w:rPr>
          <w:szCs w:val="22"/>
          <w:lang w:val="fr-FR"/>
        </w:rPr>
      </w:pPr>
      <w:r w:rsidRPr="00075DC8">
        <w:rPr>
          <w:szCs w:val="22"/>
          <w:lang w:val="fr-FR"/>
        </w:rPr>
        <w:t>La longueur des liaisons qui peut être réalisée diminue lorsque la fréquence de fonctionnement augmente, en raison des niveaux de puissance de sortie qui sont fixés par les règlements administratifs intérieurs et de l</w:t>
      </w:r>
      <w:r w:rsidR="001F6A0D" w:rsidRPr="00075DC8">
        <w:rPr>
          <w:szCs w:val="22"/>
          <w:lang w:val="fr-FR"/>
        </w:rPr>
        <w:t>'</w:t>
      </w:r>
      <w:r w:rsidRPr="00075DC8">
        <w:rPr>
          <w:szCs w:val="22"/>
          <w:lang w:val="fr-FR"/>
        </w:rPr>
        <w:t xml:space="preserve">affaiblissement accru de la propagation. En conséquence, pour chaque bande, la </w:t>
      </w:r>
      <w:r w:rsidRPr="00075DC8">
        <w:rPr>
          <w:szCs w:val="22"/>
          <w:lang w:val="fr-FR"/>
        </w:rPr>
        <w:lastRenderedPageBreak/>
        <w:t>limite supérieure de la p.i.r.e. est définie par la valeur maximale disponible sur le marché, tandis que la limite inférieure est, dans la pratique, définie par la longueur de liaison «rentable» la plus courte dans la bande. En fait, la plupart des conditions d</w:t>
      </w:r>
      <w:r w:rsidR="001F6A0D" w:rsidRPr="00075DC8">
        <w:rPr>
          <w:szCs w:val="22"/>
          <w:lang w:val="fr-FR"/>
        </w:rPr>
        <w:t>'</w:t>
      </w:r>
      <w:r w:rsidRPr="00075DC8">
        <w:rPr>
          <w:szCs w:val="22"/>
          <w:lang w:val="fr-FR"/>
        </w:rPr>
        <w:t>octroi de licences imposent une redevance par liaison qui diminue lorsque la largeur de la bande de fonctionnement augmente. Donc, l</w:t>
      </w:r>
      <w:r w:rsidR="001F6A0D" w:rsidRPr="00075DC8">
        <w:rPr>
          <w:szCs w:val="22"/>
          <w:lang w:val="fr-FR"/>
        </w:rPr>
        <w:t>'</w:t>
      </w:r>
      <w:r w:rsidRPr="00075DC8">
        <w:rPr>
          <w:szCs w:val="22"/>
          <w:lang w:val="fr-FR"/>
        </w:rPr>
        <w:t>utilisateur est encouragé, du point de vue de la rentabilité, à utiliser les bandes supérieures (pour lesquelles le coût de l</w:t>
      </w:r>
      <w:r w:rsidR="001F6A0D" w:rsidRPr="00075DC8">
        <w:rPr>
          <w:szCs w:val="22"/>
          <w:lang w:val="fr-FR"/>
        </w:rPr>
        <w:t>'</w:t>
      </w:r>
      <w:r w:rsidRPr="00075DC8">
        <w:rPr>
          <w:szCs w:val="22"/>
          <w:lang w:val="fr-FR"/>
        </w:rPr>
        <w:t>équipement est aussi moindre) pour les liaisons plus courtes au lieu de réduire simplement la p.i.r.e. dans les bandes inférieures.</w:t>
      </w:r>
    </w:p>
    <w:p w14:paraId="7D6613FC" w14:textId="77777777" w:rsidR="00725E50" w:rsidRPr="00075DC8" w:rsidRDefault="00725E50" w:rsidP="00725E50">
      <w:pPr>
        <w:rPr>
          <w:szCs w:val="22"/>
          <w:lang w:val="fr-FR" w:eastAsia="ja-JP"/>
        </w:rPr>
      </w:pPr>
      <w:r w:rsidRPr="00075DC8">
        <w:rPr>
          <w:szCs w:val="22"/>
          <w:lang w:val="fr-FR"/>
        </w:rPr>
        <w:t>En raison de cela, la puissance de sortie et les plages des p.i.r.e. indiquées dans les Tableaux 6 à 15 correspondent à la gamme de valeurs qui sont utiles pour les études «probabilistes».</w:t>
      </w:r>
    </w:p>
    <w:p w14:paraId="5019A308" w14:textId="233D6BC4" w:rsidR="00725E50" w:rsidRPr="00075DC8" w:rsidRDefault="00725E50" w:rsidP="00725E50">
      <w:pPr>
        <w:rPr>
          <w:szCs w:val="22"/>
          <w:lang w:val="fr-FR" w:eastAsia="ja-JP"/>
        </w:rPr>
      </w:pPr>
      <w:r w:rsidRPr="00075DC8">
        <w:rPr>
          <w:szCs w:val="22"/>
          <w:lang w:val="fr-FR"/>
        </w:rPr>
        <w:t>La fonction de distribution des longueurs de liaison dépendant en définitive de la répartition géographique des stations de base mobiles ou des locaux des abonnés, on ne peut pas supposer que la distribution statistique de la p.i.r.e. est «gaussienne» mais on pourrait l</w:t>
      </w:r>
      <w:r w:rsidR="001F6A0D" w:rsidRPr="00075DC8">
        <w:rPr>
          <w:szCs w:val="22"/>
          <w:lang w:val="fr-FR"/>
        </w:rPr>
        <w:t>'</w:t>
      </w:r>
      <w:r w:rsidRPr="00075DC8">
        <w:rPr>
          <w:szCs w:val="22"/>
          <w:lang w:val="fr-FR"/>
        </w:rPr>
        <w:t>évaluer au cas par cas. La Pièce jointe 1 à la présente Annexe contient des exemples de tels calculs.</w:t>
      </w:r>
    </w:p>
    <w:p w14:paraId="029046BF" w14:textId="68E12A11" w:rsidR="00725E50" w:rsidRPr="00075DC8" w:rsidRDefault="00725E50" w:rsidP="00725E50">
      <w:pPr>
        <w:rPr>
          <w:lang w:val="fr-FR"/>
        </w:rPr>
      </w:pPr>
      <w:r w:rsidRPr="00075DC8">
        <w:rPr>
          <w:lang w:val="fr-FR" w:eastAsia="ja-JP"/>
        </w:rPr>
        <w:t>Afin d</w:t>
      </w:r>
      <w:r w:rsidR="001F6A0D" w:rsidRPr="00075DC8">
        <w:rPr>
          <w:lang w:val="fr-FR" w:eastAsia="ja-JP"/>
        </w:rPr>
        <w:t>'</w:t>
      </w:r>
      <w:r w:rsidRPr="00075DC8">
        <w:rPr>
          <w:lang w:val="fr-FR" w:eastAsia="ja-JP"/>
        </w:rPr>
        <w:t>être un modèle probabiliste précis, un modèle de partage devrait être tel que les liaisons du service fixe sont réparties aléatoirement entre les nœuds dans la zone géographique. Il convient de prévoir un facteur de pondération pour les emplacements urbains, périurbains et ruraux, qui identifie en gros les caractéristiques moyennes du service fixe, afin de pouvoir répartir les nœuds fixes plus précisément. Le facteur de pondération dépend du type de service fixe à mettre en place et devrait être déterminé au cas par cas. La subdivision réelle en termes de pourcentage par zone géographique peut varier d</w:t>
      </w:r>
      <w:r w:rsidR="001F6A0D" w:rsidRPr="00075DC8">
        <w:rPr>
          <w:lang w:val="fr-FR" w:eastAsia="ja-JP"/>
        </w:rPr>
        <w:t>'</w:t>
      </w:r>
      <w:r w:rsidRPr="00075DC8">
        <w:rPr>
          <w:lang w:val="fr-FR" w:eastAsia="ja-JP"/>
        </w:rPr>
        <w:t>un pays à l</w:t>
      </w:r>
      <w:r w:rsidR="001F6A0D" w:rsidRPr="00075DC8">
        <w:rPr>
          <w:lang w:val="fr-FR" w:eastAsia="ja-JP"/>
        </w:rPr>
        <w:t>'</w:t>
      </w:r>
      <w:r w:rsidRPr="00075DC8">
        <w:rPr>
          <w:lang w:val="fr-FR" w:eastAsia="ja-JP"/>
        </w:rPr>
        <w:t>autre. À titre d</w:t>
      </w:r>
      <w:r w:rsidR="001F6A0D" w:rsidRPr="00075DC8">
        <w:rPr>
          <w:lang w:val="fr-FR" w:eastAsia="ja-JP"/>
        </w:rPr>
        <w:t>'</w:t>
      </w:r>
      <w:r w:rsidRPr="00075DC8">
        <w:rPr>
          <w:lang w:val="fr-FR" w:eastAsia="ja-JP"/>
        </w:rPr>
        <w:t>exemple, dans un pays, on peut employer les valeurs de 60%/30%/10% pour les zones urbaine, périurbaine et rurale respectivement.</w:t>
      </w:r>
    </w:p>
    <w:p w14:paraId="73F6C2E2" w14:textId="77777777" w:rsidR="00725E50" w:rsidRPr="00075DC8" w:rsidRDefault="00725E50" w:rsidP="00725E50">
      <w:pPr>
        <w:pStyle w:val="Heading1"/>
        <w:rPr>
          <w:lang w:val="fr-FR"/>
        </w:rPr>
      </w:pPr>
      <w:bookmarkStart w:id="48" w:name="_Toc107037979"/>
      <w:bookmarkStart w:id="49" w:name="_Toc37843610"/>
      <w:bookmarkStart w:id="50" w:name="_Toc198643832"/>
      <w:r w:rsidRPr="00075DC8">
        <w:rPr>
          <w:lang w:val="fr-FR"/>
        </w:rPr>
        <w:t>3</w:t>
      </w:r>
      <w:r w:rsidRPr="00075DC8">
        <w:rPr>
          <w:lang w:val="fr-FR"/>
        </w:rPr>
        <w:tab/>
        <w:t xml:space="preserve">Spécification </w:t>
      </w:r>
      <w:bookmarkEnd w:id="48"/>
      <w:r w:rsidRPr="00075DC8">
        <w:rPr>
          <w:lang w:val="fr-FR"/>
        </w:rPr>
        <w:t>du récepteur</w:t>
      </w:r>
      <w:bookmarkStart w:id="51" w:name="_Toc107037980"/>
      <w:bookmarkEnd w:id="49"/>
      <w:bookmarkEnd w:id="50"/>
    </w:p>
    <w:p w14:paraId="5C9F4C77" w14:textId="2943F1B0" w:rsidR="00725E50" w:rsidRPr="00075DC8" w:rsidRDefault="00725E50" w:rsidP="00725E50">
      <w:pPr>
        <w:pStyle w:val="Heading2"/>
        <w:rPr>
          <w:lang w:val="fr-FR"/>
        </w:rPr>
      </w:pPr>
      <w:bookmarkStart w:id="52" w:name="_Toc37843611"/>
      <w:bookmarkStart w:id="53" w:name="_Toc198643833"/>
      <w:r w:rsidRPr="00075DC8">
        <w:rPr>
          <w:lang w:val="fr-FR"/>
        </w:rPr>
        <w:t>3.1</w:t>
      </w:r>
      <w:r w:rsidRPr="00075DC8">
        <w:rPr>
          <w:lang w:val="fr-FR"/>
        </w:rPr>
        <w:tab/>
        <w:t>Paramètres de l</w:t>
      </w:r>
      <w:r w:rsidR="001F6A0D" w:rsidRPr="00075DC8">
        <w:rPr>
          <w:lang w:val="fr-FR"/>
        </w:rPr>
        <w:t>'</w:t>
      </w:r>
      <w:r w:rsidRPr="00075DC8">
        <w:rPr>
          <w:lang w:val="fr-FR"/>
        </w:rPr>
        <w:t>équipement</w:t>
      </w:r>
      <w:bookmarkEnd w:id="51"/>
      <w:bookmarkEnd w:id="52"/>
      <w:bookmarkEnd w:id="53"/>
    </w:p>
    <w:p w14:paraId="66456571" w14:textId="307DAF5E" w:rsidR="00725E50" w:rsidRPr="00075DC8" w:rsidRDefault="00725E50" w:rsidP="00725E50">
      <w:pPr>
        <w:rPr>
          <w:lang w:val="fr-FR"/>
        </w:rPr>
      </w:pPr>
      <w:r w:rsidRPr="00075DC8">
        <w:rPr>
          <w:lang w:val="fr-FR"/>
        </w:rPr>
        <w:t>L</w:t>
      </w:r>
      <w:r w:rsidR="001F6A0D" w:rsidRPr="00075DC8">
        <w:rPr>
          <w:lang w:val="fr-FR"/>
        </w:rPr>
        <w:t>'</w:t>
      </w:r>
      <w:r w:rsidRPr="00075DC8">
        <w:rPr>
          <w:lang w:val="fr-FR"/>
        </w:rPr>
        <w:t>évaluation des effets du brouillage induit dans le service fixe par d</w:t>
      </w:r>
      <w:r w:rsidR="001F6A0D" w:rsidRPr="00075DC8">
        <w:rPr>
          <w:lang w:val="fr-FR"/>
        </w:rPr>
        <w:t>'</w:t>
      </w:r>
      <w:r w:rsidRPr="00075DC8">
        <w:rPr>
          <w:lang w:val="fr-FR"/>
        </w:rPr>
        <w:t>autres services nécessite de connaître les caractéristiques en matière de qualité de fonctionnement du récepteur radioélectrique. Les paramètres suivants du récepteur sont importants pour les études du partage de fréquences:</w:t>
      </w:r>
    </w:p>
    <w:p w14:paraId="0F5195B1" w14:textId="77777777" w:rsidR="00725E50" w:rsidRPr="00075DC8" w:rsidRDefault="00725E50" w:rsidP="00E8215E">
      <w:pPr>
        <w:pStyle w:val="enumlev1"/>
        <w:rPr>
          <w:lang w:val="fr-FR"/>
        </w:rPr>
      </w:pPr>
      <w:r w:rsidRPr="00075DC8">
        <w:rPr>
          <w:lang w:val="fr-FR"/>
        </w:rPr>
        <w:t>–</w:t>
      </w:r>
      <w:r w:rsidRPr="00075DC8">
        <w:rPr>
          <w:lang w:val="fr-FR"/>
        </w:rPr>
        <w:tab/>
        <w:t>le facteur de bruit;</w:t>
      </w:r>
    </w:p>
    <w:p w14:paraId="47E86185" w14:textId="77777777" w:rsidR="00725E50" w:rsidRPr="00075DC8" w:rsidRDefault="00725E50" w:rsidP="00E8215E">
      <w:pPr>
        <w:pStyle w:val="enumlev1"/>
        <w:rPr>
          <w:lang w:val="fr-FR"/>
        </w:rPr>
      </w:pPr>
      <w:r w:rsidRPr="00075DC8">
        <w:rPr>
          <w:lang w:val="fr-FR"/>
        </w:rPr>
        <w:t>–</w:t>
      </w:r>
      <w:r w:rsidRPr="00075DC8">
        <w:rPr>
          <w:lang w:val="fr-FR"/>
        </w:rPr>
        <w:tab/>
        <w:t>la largeur de bande du bruit;</w:t>
      </w:r>
    </w:p>
    <w:p w14:paraId="38F20A54" w14:textId="77777777" w:rsidR="00725E50" w:rsidRPr="00075DC8" w:rsidRDefault="00725E50" w:rsidP="00E8215E">
      <w:pPr>
        <w:pStyle w:val="enumlev1"/>
        <w:rPr>
          <w:lang w:val="fr-FR"/>
        </w:rPr>
      </w:pPr>
      <w:r w:rsidRPr="00075DC8">
        <w:rPr>
          <w:lang w:val="fr-FR"/>
        </w:rPr>
        <w:t>–</w:t>
      </w:r>
      <w:r w:rsidRPr="00075DC8">
        <w:rPr>
          <w:lang w:val="fr-FR"/>
        </w:rPr>
        <w:tab/>
        <w:t>la densité de puissance de bruit thermique du récepteur;</w:t>
      </w:r>
    </w:p>
    <w:p w14:paraId="3882F848" w14:textId="620BE72F" w:rsidR="00725E50" w:rsidRPr="00075DC8" w:rsidRDefault="00725E50" w:rsidP="00E8215E">
      <w:pPr>
        <w:pStyle w:val="enumlev1"/>
        <w:rPr>
          <w:lang w:val="fr-FR"/>
        </w:rPr>
      </w:pPr>
      <w:r w:rsidRPr="00075DC8">
        <w:rPr>
          <w:lang w:val="fr-FR"/>
        </w:rPr>
        <w:t>–</w:t>
      </w:r>
      <w:r w:rsidRPr="00075DC8">
        <w:rPr>
          <w:lang w:val="fr-FR"/>
        </w:rPr>
        <w:tab/>
        <w:t>la puissance du signal reçu pour un taux d</w:t>
      </w:r>
      <w:r w:rsidR="001F6A0D" w:rsidRPr="00075DC8">
        <w:rPr>
          <w:lang w:val="fr-FR"/>
        </w:rPr>
        <w:t>'</w:t>
      </w:r>
      <w:r w:rsidRPr="00075DC8">
        <w:rPr>
          <w:lang w:val="fr-FR"/>
        </w:rPr>
        <w:t>erreurs sur les bits (BER) de 1 </w:t>
      </w:r>
      <w:r w:rsidRPr="00075DC8">
        <w:rPr>
          <w:lang w:val="fr-FR"/>
        </w:rPr>
        <w:sym w:font="Symbol" w:char="F0B4"/>
      </w:r>
      <w:r w:rsidRPr="00075DC8">
        <w:rPr>
          <w:lang w:val="fr-FR"/>
        </w:rPr>
        <w:t> 10</w:t>
      </w:r>
      <w:r w:rsidR="00E8215E" w:rsidRPr="00075DC8">
        <w:rPr>
          <w:vertAlign w:val="superscript"/>
          <w:lang w:val="fr-FR"/>
        </w:rPr>
        <w:t>−</w:t>
      </w:r>
      <w:r w:rsidRPr="00075DC8">
        <w:rPr>
          <w:vertAlign w:val="superscript"/>
          <w:lang w:val="fr-FR"/>
        </w:rPr>
        <w:t>3</w:t>
      </w:r>
      <w:r w:rsidRPr="00075DC8">
        <w:rPr>
          <w:lang w:val="fr-FR"/>
        </w:rPr>
        <w:t>, 1 </w:t>
      </w:r>
      <w:r w:rsidRPr="00075DC8">
        <w:rPr>
          <w:lang w:val="fr-FR"/>
        </w:rPr>
        <w:sym w:font="Symbol" w:char="F0B4"/>
      </w:r>
      <w:r w:rsidRPr="00075DC8">
        <w:rPr>
          <w:lang w:val="fr-FR"/>
        </w:rPr>
        <w:t> 10</w:t>
      </w:r>
      <w:r w:rsidR="00E8215E" w:rsidRPr="00075DC8">
        <w:rPr>
          <w:vertAlign w:val="superscript"/>
          <w:lang w:val="fr-FR"/>
        </w:rPr>
        <w:t>−</w:t>
      </w:r>
      <w:r w:rsidRPr="00075DC8">
        <w:rPr>
          <w:vertAlign w:val="superscript"/>
          <w:lang w:val="fr-FR"/>
        </w:rPr>
        <w:t>6</w:t>
      </w:r>
      <w:r w:rsidRPr="00075DC8">
        <w:rPr>
          <w:lang w:val="fr-FR"/>
        </w:rPr>
        <w:t>, 1 </w:t>
      </w:r>
      <w:r w:rsidRPr="00075DC8">
        <w:rPr>
          <w:lang w:val="fr-FR"/>
        </w:rPr>
        <w:sym w:font="Symbol" w:char="F0B4"/>
      </w:r>
      <w:r w:rsidRPr="00075DC8">
        <w:rPr>
          <w:lang w:val="fr-FR"/>
        </w:rPr>
        <w:t> 10</w:t>
      </w:r>
      <w:r w:rsidR="00E8215E" w:rsidRPr="00075DC8">
        <w:rPr>
          <w:vertAlign w:val="superscript"/>
          <w:lang w:val="fr-FR"/>
        </w:rPr>
        <w:t>−</w:t>
      </w:r>
      <w:r w:rsidRPr="00075DC8">
        <w:rPr>
          <w:vertAlign w:val="superscript"/>
          <w:lang w:val="fr-FR"/>
        </w:rPr>
        <w:t>10</w:t>
      </w:r>
      <w:r w:rsidRPr="00075DC8">
        <w:rPr>
          <w:lang w:val="fr-FR"/>
        </w:rPr>
        <w:t xml:space="preserve"> (après correction d</w:t>
      </w:r>
      <w:r w:rsidR="001F6A0D" w:rsidRPr="00075DC8">
        <w:rPr>
          <w:lang w:val="fr-FR"/>
        </w:rPr>
        <w:t>'</w:t>
      </w:r>
      <w:r w:rsidRPr="00075DC8">
        <w:rPr>
          <w:lang w:val="fr-FR"/>
        </w:rPr>
        <w:t>erreur) (voir la Note 1);</w:t>
      </w:r>
    </w:p>
    <w:p w14:paraId="137BABBD" w14:textId="07976278" w:rsidR="00725E50" w:rsidRPr="00075DC8" w:rsidRDefault="00725E50" w:rsidP="00E8215E">
      <w:pPr>
        <w:pStyle w:val="enumlev1"/>
        <w:rPr>
          <w:lang w:val="fr-FR"/>
        </w:rPr>
      </w:pPr>
      <w:r w:rsidRPr="00075DC8">
        <w:rPr>
          <w:lang w:val="fr-FR"/>
        </w:rPr>
        <w:t>–</w:t>
      </w:r>
      <w:r w:rsidRPr="00075DC8">
        <w:rPr>
          <w:lang w:val="fr-FR"/>
        </w:rPr>
        <w:tab/>
        <w:t>le niveau nominal à l</w:t>
      </w:r>
      <w:r w:rsidR="001F6A0D" w:rsidRPr="00075DC8">
        <w:rPr>
          <w:lang w:val="fr-FR"/>
        </w:rPr>
        <w:t>'</w:t>
      </w:r>
      <w:r w:rsidRPr="00075DC8">
        <w:rPr>
          <w:lang w:val="fr-FR"/>
        </w:rPr>
        <w:t>entrée du récepteur.</w:t>
      </w:r>
    </w:p>
    <w:p w14:paraId="0A783360" w14:textId="77A100C2" w:rsidR="00725E50" w:rsidRPr="00075DC8" w:rsidRDefault="00725E50" w:rsidP="00725E50">
      <w:pPr>
        <w:pStyle w:val="Note"/>
        <w:rPr>
          <w:lang w:val="fr-FR"/>
        </w:rPr>
      </w:pPr>
      <w:r w:rsidRPr="00075DC8">
        <w:rPr>
          <w:lang w:val="fr-FR"/>
        </w:rPr>
        <w:t>NOTE 1 – Généralement, pour les systèmes non codés, le niveau de la porteuse correspondant à un taux BER de 1 </w:t>
      </w:r>
      <w:r w:rsidRPr="00075DC8">
        <w:rPr>
          <w:lang w:val="fr-FR"/>
        </w:rPr>
        <w:sym w:font="Symbol" w:char="F0B4"/>
      </w:r>
      <w:r w:rsidRPr="00075DC8">
        <w:rPr>
          <w:lang w:val="fr-FR"/>
        </w:rPr>
        <w:t> 10</w:t>
      </w:r>
      <w:r w:rsidR="00E8215E" w:rsidRPr="00075DC8">
        <w:rPr>
          <w:vertAlign w:val="superscript"/>
          <w:lang w:val="fr-FR"/>
        </w:rPr>
        <w:t>−</w:t>
      </w:r>
      <w:r w:rsidRPr="00075DC8">
        <w:rPr>
          <w:vertAlign w:val="superscript"/>
          <w:lang w:val="fr-FR"/>
        </w:rPr>
        <w:t>6</w:t>
      </w:r>
      <w:r w:rsidRPr="00075DC8">
        <w:rPr>
          <w:lang w:val="fr-FR"/>
        </w:rPr>
        <w:t xml:space="preserve"> dépasse d</w:t>
      </w:r>
      <w:r w:rsidR="001F6A0D" w:rsidRPr="00075DC8">
        <w:rPr>
          <w:lang w:val="fr-FR"/>
        </w:rPr>
        <w:t>'</w:t>
      </w:r>
      <w:r w:rsidRPr="00075DC8">
        <w:rPr>
          <w:lang w:val="fr-FR"/>
        </w:rPr>
        <w:t>environ 4 dB celui pour un taux BER de 1 </w:t>
      </w:r>
      <w:r w:rsidRPr="00075DC8">
        <w:rPr>
          <w:lang w:val="fr-FR"/>
        </w:rPr>
        <w:sym w:font="Symbol" w:char="F0B4"/>
      </w:r>
      <w:r w:rsidRPr="00075DC8">
        <w:rPr>
          <w:lang w:val="fr-FR"/>
        </w:rPr>
        <w:t> 10</w:t>
      </w:r>
      <w:r w:rsidR="00E8215E" w:rsidRPr="00075DC8">
        <w:rPr>
          <w:vertAlign w:val="superscript"/>
          <w:lang w:val="fr-FR"/>
        </w:rPr>
        <w:t>−</w:t>
      </w:r>
      <w:r w:rsidRPr="00075DC8">
        <w:rPr>
          <w:vertAlign w:val="superscript"/>
          <w:lang w:val="fr-FR"/>
        </w:rPr>
        <w:t>3</w:t>
      </w:r>
      <w:r w:rsidRPr="00075DC8">
        <w:rPr>
          <w:lang w:val="fr-FR"/>
        </w:rPr>
        <w:t>. La différence entre les niveaux de la porteuse pour des taux BER de 1 </w:t>
      </w:r>
      <w:r w:rsidRPr="00075DC8">
        <w:rPr>
          <w:lang w:val="fr-FR"/>
        </w:rPr>
        <w:sym w:font="Symbol" w:char="F0B4"/>
      </w:r>
      <w:r w:rsidRPr="00075DC8">
        <w:rPr>
          <w:lang w:val="fr-FR"/>
        </w:rPr>
        <w:t> 10</w:t>
      </w:r>
      <w:r w:rsidR="00E8215E" w:rsidRPr="00075DC8">
        <w:rPr>
          <w:vertAlign w:val="superscript"/>
          <w:lang w:val="fr-FR"/>
        </w:rPr>
        <w:t>−</w:t>
      </w:r>
      <w:r w:rsidRPr="00075DC8">
        <w:rPr>
          <w:vertAlign w:val="superscript"/>
          <w:lang w:val="fr-FR"/>
        </w:rPr>
        <w:t>6</w:t>
      </w:r>
      <w:r w:rsidRPr="00075DC8">
        <w:rPr>
          <w:lang w:val="fr-FR"/>
        </w:rPr>
        <w:t xml:space="preserve"> et de 1 </w:t>
      </w:r>
      <w:r w:rsidRPr="00075DC8">
        <w:rPr>
          <w:lang w:val="fr-FR"/>
        </w:rPr>
        <w:sym w:font="Symbol" w:char="F0B4"/>
      </w:r>
      <w:r w:rsidRPr="00075DC8">
        <w:rPr>
          <w:lang w:val="fr-FR"/>
        </w:rPr>
        <w:t> 10</w:t>
      </w:r>
      <w:r w:rsidR="00E8215E" w:rsidRPr="00075DC8">
        <w:rPr>
          <w:vertAlign w:val="superscript"/>
          <w:lang w:val="fr-FR"/>
        </w:rPr>
        <w:t>−</w:t>
      </w:r>
      <w:r w:rsidRPr="00075DC8">
        <w:rPr>
          <w:vertAlign w:val="superscript"/>
          <w:lang w:val="fr-FR"/>
        </w:rPr>
        <w:t>10</w:t>
      </w:r>
      <w:r w:rsidRPr="00075DC8">
        <w:rPr>
          <w:lang w:val="fr-FR"/>
        </w:rPr>
        <w:t xml:space="preserve"> est aussi de 4 dB environ. Pour un équipement radioélectrique qui emploie la correction d</w:t>
      </w:r>
      <w:r w:rsidR="001F6A0D" w:rsidRPr="00075DC8">
        <w:rPr>
          <w:lang w:val="fr-FR"/>
        </w:rPr>
        <w:t>'</w:t>
      </w:r>
      <w:r w:rsidRPr="00075DC8">
        <w:rPr>
          <w:lang w:val="fr-FR"/>
        </w:rPr>
        <w:t>erreur vers l</w:t>
      </w:r>
      <w:r w:rsidR="001F6A0D" w:rsidRPr="00075DC8">
        <w:rPr>
          <w:lang w:val="fr-FR"/>
        </w:rPr>
        <w:t>'</w:t>
      </w:r>
      <w:r w:rsidRPr="00075DC8">
        <w:rPr>
          <w:lang w:val="fr-FR"/>
        </w:rPr>
        <w:t>avant (FEC), le niveau de la porteuse correspondant à un taux BER de 1 </w:t>
      </w:r>
      <w:r w:rsidRPr="00075DC8">
        <w:rPr>
          <w:lang w:val="fr-FR"/>
        </w:rPr>
        <w:sym w:font="Symbol" w:char="F0B4"/>
      </w:r>
      <w:r w:rsidRPr="00075DC8">
        <w:rPr>
          <w:lang w:val="fr-FR"/>
        </w:rPr>
        <w:t> 10</w:t>
      </w:r>
      <w:r w:rsidR="00E8215E" w:rsidRPr="00075DC8">
        <w:rPr>
          <w:vertAlign w:val="superscript"/>
          <w:lang w:val="fr-FR"/>
        </w:rPr>
        <w:t>−</w:t>
      </w:r>
      <w:r w:rsidRPr="00075DC8">
        <w:rPr>
          <w:vertAlign w:val="superscript"/>
          <w:lang w:val="fr-FR"/>
        </w:rPr>
        <w:t>6</w:t>
      </w:r>
      <w:r w:rsidRPr="00075DC8">
        <w:rPr>
          <w:lang w:val="fr-FR"/>
        </w:rPr>
        <w:t xml:space="preserve"> dépasse de 1 à 2 dB celui pour un taux BER de 1 </w:t>
      </w:r>
      <w:r w:rsidRPr="00075DC8">
        <w:rPr>
          <w:lang w:val="fr-FR"/>
        </w:rPr>
        <w:sym w:font="Symbol" w:char="F0B4"/>
      </w:r>
      <w:r w:rsidRPr="00075DC8">
        <w:rPr>
          <w:lang w:val="fr-FR"/>
        </w:rPr>
        <w:t> 10</w:t>
      </w:r>
      <w:r w:rsidR="00E8215E" w:rsidRPr="00075DC8">
        <w:rPr>
          <w:vertAlign w:val="superscript"/>
          <w:lang w:val="fr-FR"/>
        </w:rPr>
        <w:t>−</w:t>
      </w:r>
      <w:r w:rsidRPr="00075DC8">
        <w:rPr>
          <w:vertAlign w:val="superscript"/>
          <w:lang w:val="fr-FR"/>
        </w:rPr>
        <w:t>3</w:t>
      </w:r>
      <w:r w:rsidRPr="00075DC8">
        <w:rPr>
          <w:lang w:val="fr-FR"/>
        </w:rPr>
        <w:t>. La différence entre les niveaux de la porteuse pour des taux BER de 1 </w:t>
      </w:r>
      <w:r w:rsidRPr="00075DC8">
        <w:rPr>
          <w:lang w:val="fr-FR"/>
        </w:rPr>
        <w:sym w:font="Symbol" w:char="F0B4"/>
      </w:r>
      <w:r w:rsidRPr="00075DC8">
        <w:rPr>
          <w:lang w:val="fr-FR"/>
        </w:rPr>
        <w:t> 10</w:t>
      </w:r>
      <w:r w:rsidRPr="00075DC8">
        <w:rPr>
          <w:vertAlign w:val="superscript"/>
          <w:lang w:val="fr-FR"/>
        </w:rPr>
        <w:t>−6</w:t>
      </w:r>
      <w:r w:rsidRPr="00075DC8">
        <w:rPr>
          <w:lang w:val="fr-FR"/>
        </w:rPr>
        <w:t xml:space="preserve"> et de 1 </w:t>
      </w:r>
      <w:r w:rsidRPr="00075DC8">
        <w:rPr>
          <w:lang w:val="fr-FR"/>
        </w:rPr>
        <w:sym w:font="Symbol" w:char="F0B4"/>
      </w:r>
      <w:r w:rsidRPr="00075DC8">
        <w:rPr>
          <w:lang w:val="fr-FR"/>
        </w:rPr>
        <w:t> 10</w:t>
      </w:r>
      <w:r w:rsidRPr="00075DC8">
        <w:rPr>
          <w:vertAlign w:val="superscript"/>
          <w:lang w:val="fr-FR"/>
        </w:rPr>
        <w:t>−10</w:t>
      </w:r>
      <w:r w:rsidRPr="00075DC8">
        <w:rPr>
          <w:lang w:val="fr-FR"/>
        </w:rPr>
        <w:t xml:space="preserve"> est aussi de 1 à 2 dB. Dans les tableaux ci-après, seule est prise en compte la puissance du signal reçu pour un taux BER de 1 </w:t>
      </w:r>
      <w:r w:rsidRPr="00075DC8">
        <w:rPr>
          <w:lang w:val="fr-FR"/>
        </w:rPr>
        <w:sym w:font="Symbol" w:char="F0B4"/>
      </w:r>
      <w:r w:rsidRPr="00075DC8">
        <w:rPr>
          <w:lang w:val="fr-FR"/>
        </w:rPr>
        <w:t> 10</w:t>
      </w:r>
      <w:r w:rsidR="00E8215E" w:rsidRPr="00075DC8">
        <w:rPr>
          <w:vertAlign w:val="superscript"/>
          <w:lang w:val="fr-FR"/>
        </w:rPr>
        <w:t>−</w:t>
      </w:r>
      <w:r w:rsidRPr="00075DC8">
        <w:rPr>
          <w:vertAlign w:val="superscript"/>
          <w:lang w:val="fr-FR"/>
        </w:rPr>
        <w:t>6</w:t>
      </w:r>
      <w:r w:rsidRPr="00075DC8">
        <w:rPr>
          <w:lang w:val="fr-FR"/>
        </w:rPr>
        <w:t xml:space="preserve"> parce ce que les paramètres correspondants aux autres taux BER peuvent théoriquement être calculés à partir du schéma de modulation ou de l</w:t>
      </w:r>
      <w:r w:rsidR="001F6A0D" w:rsidRPr="00075DC8">
        <w:rPr>
          <w:lang w:val="fr-FR"/>
        </w:rPr>
        <w:t>'</w:t>
      </w:r>
      <w:r w:rsidRPr="00075DC8">
        <w:rPr>
          <w:lang w:val="fr-FR"/>
        </w:rPr>
        <w:t>effet de correction de l</w:t>
      </w:r>
      <w:r w:rsidR="001F6A0D" w:rsidRPr="00075DC8">
        <w:rPr>
          <w:lang w:val="fr-FR"/>
        </w:rPr>
        <w:t>'</w:t>
      </w:r>
      <w:r w:rsidRPr="00075DC8">
        <w:rPr>
          <w:lang w:val="fr-FR"/>
        </w:rPr>
        <w:t>erreur.</w:t>
      </w:r>
    </w:p>
    <w:p w14:paraId="4057A8D1" w14:textId="152596A9" w:rsidR="00725E50" w:rsidRPr="00075DC8" w:rsidRDefault="00725E50" w:rsidP="00E8215E">
      <w:pPr>
        <w:rPr>
          <w:lang w:val="fr-FR"/>
        </w:rPr>
      </w:pPr>
      <w:r w:rsidRPr="00075DC8">
        <w:rPr>
          <w:lang w:val="fr-FR"/>
        </w:rPr>
        <w:t>Les niveaux du signal reçu et ceux du brouillage peuvent être rapportés au niveau d</w:t>
      </w:r>
      <w:r w:rsidR="001F6A0D" w:rsidRPr="00075DC8">
        <w:rPr>
          <w:lang w:val="fr-FR"/>
        </w:rPr>
        <w:t>'</w:t>
      </w:r>
      <w:r w:rsidRPr="00075DC8">
        <w:rPr>
          <w:lang w:val="fr-FR"/>
        </w:rPr>
        <w:t>entrée de l</w:t>
      </w:r>
      <w:r w:rsidR="001F6A0D" w:rsidRPr="00075DC8">
        <w:rPr>
          <w:lang w:val="fr-FR"/>
        </w:rPr>
        <w:t>'</w:t>
      </w:r>
      <w:r w:rsidRPr="00075DC8">
        <w:rPr>
          <w:lang w:val="fr-FR"/>
        </w:rPr>
        <w:t>amplificateur à faible bruit et du mélangeur du récepteur, de manière à être indépendants du gain de l</w:t>
      </w:r>
      <w:r w:rsidR="001F6A0D" w:rsidRPr="00075DC8">
        <w:rPr>
          <w:lang w:val="fr-FR"/>
        </w:rPr>
        <w:t>'</w:t>
      </w:r>
      <w:r w:rsidRPr="00075DC8">
        <w:rPr>
          <w:lang w:val="fr-FR"/>
        </w:rPr>
        <w:t>antenne de réception et des pertes dues à la ligne d</w:t>
      </w:r>
      <w:r w:rsidR="001F6A0D" w:rsidRPr="00075DC8">
        <w:rPr>
          <w:lang w:val="fr-FR"/>
        </w:rPr>
        <w:t>'</w:t>
      </w:r>
      <w:r w:rsidRPr="00075DC8">
        <w:rPr>
          <w:lang w:val="fr-FR"/>
        </w:rPr>
        <w:t>alimentation et au multiplexeur (en admettant que ces valeurs soient les mêmes pour l</w:t>
      </w:r>
      <w:r w:rsidR="001F6A0D" w:rsidRPr="00075DC8">
        <w:rPr>
          <w:lang w:val="fr-FR"/>
        </w:rPr>
        <w:t>'</w:t>
      </w:r>
      <w:r w:rsidRPr="00075DC8">
        <w:rPr>
          <w:lang w:val="fr-FR"/>
        </w:rPr>
        <w:t>émetteur et pour le récepteur).</w:t>
      </w:r>
    </w:p>
    <w:p w14:paraId="7DF42394" w14:textId="6173AD10" w:rsidR="00725E50" w:rsidRPr="00075DC8" w:rsidRDefault="00725E50" w:rsidP="00E8215E">
      <w:pPr>
        <w:rPr>
          <w:lang w:val="fr-FR"/>
        </w:rPr>
      </w:pPr>
      <w:r w:rsidRPr="00075DC8">
        <w:rPr>
          <w:lang w:val="fr-FR"/>
        </w:rPr>
        <w:lastRenderedPageBreak/>
        <w:t>Il convient aussi de noter que les calculs de partage déterministes (station par station) nécessitent de connaître la sélectivité en fréquence de l</w:t>
      </w:r>
      <w:r w:rsidR="001F6A0D" w:rsidRPr="00075DC8">
        <w:rPr>
          <w:lang w:val="fr-FR"/>
        </w:rPr>
        <w:t>'</w:t>
      </w:r>
      <w:r w:rsidRPr="00075DC8">
        <w:rPr>
          <w:lang w:val="fr-FR"/>
        </w:rPr>
        <w:t>équipement radioélectrique. Les études génériques de partage ou de compatibilité, dans la même bande attribuée, reposent habituellement sur un brouillage dans le même canal, de sorte que la connaissance de la largeur de bande du bruit est suffisante.</w:t>
      </w:r>
    </w:p>
    <w:p w14:paraId="1A05D3D0" w14:textId="77777777" w:rsidR="00725E50" w:rsidRPr="00075DC8" w:rsidRDefault="00725E50" w:rsidP="00E8215E">
      <w:pPr>
        <w:rPr>
          <w:lang w:val="fr-FR"/>
        </w:rPr>
      </w:pPr>
      <w:r w:rsidRPr="00075DC8">
        <w:rPr>
          <w:lang w:val="fr-FR"/>
        </w:rPr>
        <w:t xml:space="preserve">Les niveaux de signal requis pour les taux BER indiqués pourront être déduits du niveau calculé pour le bruit thermique dans le récepteur, en ajoutant le rapport signal sur bruit thermique </w:t>
      </w:r>
      <w:r w:rsidRPr="00075DC8">
        <w:rPr>
          <w:i/>
          <w:lang w:val="fr-FR"/>
        </w:rPr>
        <w:t>S</w:t>
      </w:r>
      <w:r w:rsidRPr="00075DC8">
        <w:rPr>
          <w:iCs/>
          <w:lang w:val="fr-FR"/>
        </w:rPr>
        <w:t>/</w:t>
      </w:r>
      <w:r w:rsidRPr="00075DC8">
        <w:rPr>
          <w:i/>
          <w:lang w:val="fr-FR"/>
        </w:rPr>
        <w:t>N</w:t>
      </w:r>
      <w:r w:rsidRPr="00075DC8">
        <w:rPr>
          <w:lang w:val="fr-FR"/>
        </w:rPr>
        <w:t xml:space="preserve"> nécessaire pour un taux BER donné. On trouvera de plus amples informations sur les valeurs théoriques et effectives dudit rapport pour les formats de modulation les plus courants dans la </w:t>
      </w:r>
      <w:hyperlink r:id="rId100" w:history="1">
        <w:r w:rsidRPr="00075DC8">
          <w:rPr>
            <w:lang w:val="fr-FR"/>
          </w:rPr>
          <w:t>Recommandation UIT-R F.1101</w:t>
        </w:r>
      </w:hyperlink>
      <w:r w:rsidRPr="00075DC8">
        <w:rPr>
          <w:lang w:val="fr-FR"/>
        </w:rPr>
        <w:t>.</w:t>
      </w:r>
    </w:p>
    <w:p w14:paraId="6C9B8D87" w14:textId="77777777" w:rsidR="00725E50" w:rsidRPr="00075DC8" w:rsidRDefault="00725E50" w:rsidP="00725E50">
      <w:pPr>
        <w:pStyle w:val="Heading2"/>
        <w:rPr>
          <w:lang w:val="fr-FR"/>
        </w:rPr>
      </w:pPr>
      <w:bookmarkStart w:id="54" w:name="_Toc107037981"/>
      <w:bookmarkStart w:id="55" w:name="_Toc37843612"/>
      <w:bookmarkStart w:id="56" w:name="_Toc198643834"/>
      <w:r w:rsidRPr="00075DC8">
        <w:rPr>
          <w:lang w:val="fr-FR"/>
        </w:rPr>
        <w:t>3.2</w:t>
      </w:r>
      <w:r w:rsidRPr="00075DC8">
        <w:rPr>
          <w:lang w:val="fr-FR"/>
        </w:rPr>
        <w:tab/>
        <w:t>Brouillage admissible</w:t>
      </w:r>
      <w:bookmarkEnd w:id="54"/>
      <w:bookmarkEnd w:id="55"/>
      <w:bookmarkEnd w:id="56"/>
    </w:p>
    <w:p w14:paraId="26917260" w14:textId="5597CE8B" w:rsidR="00725E50" w:rsidRPr="00075DC8" w:rsidRDefault="00725E50" w:rsidP="00E8215E">
      <w:pPr>
        <w:rPr>
          <w:lang w:val="fr-FR"/>
        </w:rPr>
      </w:pPr>
      <w:r w:rsidRPr="00075DC8">
        <w:rPr>
          <w:lang w:val="fr-FR"/>
        </w:rPr>
        <w:t>Il faut spécifier les niveaux maximaux de brouillage, aussi bien pour des pourcentages de temps de longue durée que pour ceux de courte durée. Dans le cas d</w:t>
      </w:r>
      <w:r w:rsidR="001F6A0D" w:rsidRPr="00075DC8">
        <w:rPr>
          <w:lang w:val="fr-FR"/>
        </w:rPr>
        <w:t>'</w:t>
      </w:r>
      <w:r w:rsidRPr="00075DC8">
        <w:rPr>
          <w:lang w:val="fr-FR"/>
        </w:rPr>
        <w:t>un brouillage cumulatif de longue durée, si un brouillage en provenance de sources multiples se produit simultanément, il y a lieu de noter que les critères de brouillage par une source unique seront diminués d</w:t>
      </w:r>
      <w:r w:rsidR="001F6A0D" w:rsidRPr="00075DC8">
        <w:rPr>
          <w:lang w:val="fr-FR"/>
        </w:rPr>
        <w:t>'</w:t>
      </w:r>
      <w:r w:rsidRPr="00075DC8">
        <w:rPr>
          <w:lang w:val="fr-FR"/>
        </w:rPr>
        <w:t>autant. Dans le cas d</w:t>
      </w:r>
      <w:r w:rsidR="001F6A0D" w:rsidRPr="00075DC8">
        <w:rPr>
          <w:lang w:val="fr-FR"/>
        </w:rPr>
        <w:t>'</w:t>
      </w:r>
      <w:r w:rsidRPr="00075DC8">
        <w:rPr>
          <w:lang w:val="fr-FR"/>
        </w:rPr>
        <w:t>un brouillage de courte durée, les pourcentages de temps à prendre en compte dépendront des objectifs en matière de qualité de fonctionnement du système.</w:t>
      </w:r>
    </w:p>
    <w:p w14:paraId="34DD89F1" w14:textId="736FFADF" w:rsidR="00725E50" w:rsidRPr="00075DC8" w:rsidRDefault="00725E50" w:rsidP="00E8215E">
      <w:pPr>
        <w:rPr>
          <w:lang w:val="fr-FR"/>
        </w:rPr>
      </w:pPr>
      <w:r w:rsidRPr="00075DC8">
        <w:rPr>
          <w:lang w:val="fr-FR"/>
        </w:rPr>
        <w:t>Il faut calculer séparément, pour chaque type de système, les niveaux de brouillage de longue et de courte durées, ainsi que les pourcentages de temps associés, conformément aux principes décrits à</w:t>
      </w:r>
      <w:r w:rsidR="00E8215E" w:rsidRPr="00075DC8">
        <w:rPr>
          <w:lang w:val="fr-FR"/>
        </w:rPr>
        <w:t> </w:t>
      </w:r>
      <w:r w:rsidRPr="00075DC8">
        <w:rPr>
          <w:lang w:val="fr-FR"/>
        </w:rPr>
        <w:t>l</w:t>
      </w:r>
      <w:r w:rsidR="001F6A0D" w:rsidRPr="00075DC8">
        <w:rPr>
          <w:lang w:val="fr-FR"/>
        </w:rPr>
        <w:t>'</w:t>
      </w:r>
      <w:r w:rsidRPr="00075DC8">
        <w:rPr>
          <w:lang w:val="fr-FR"/>
        </w:rPr>
        <w:t>Annexe 1.</w:t>
      </w:r>
    </w:p>
    <w:p w14:paraId="3201BDD1" w14:textId="77777777" w:rsidR="00725E50" w:rsidRPr="00075DC8" w:rsidRDefault="00725E50" w:rsidP="00E8215E">
      <w:pPr>
        <w:pStyle w:val="Heading1"/>
        <w:rPr>
          <w:lang w:val="fr-FR"/>
        </w:rPr>
      </w:pPr>
      <w:bookmarkStart w:id="57" w:name="_Toc107037982"/>
      <w:bookmarkStart w:id="58" w:name="_Toc37843613"/>
      <w:bookmarkStart w:id="59" w:name="_Toc198643835"/>
      <w:r w:rsidRPr="00075DC8">
        <w:rPr>
          <w:lang w:val="fr-FR"/>
        </w:rPr>
        <w:t>4</w:t>
      </w:r>
      <w:r w:rsidRPr="00075DC8">
        <w:rPr>
          <w:lang w:val="fr-FR"/>
        </w:rPr>
        <w:tab/>
        <w:t>Tableaux des paramètres du système</w:t>
      </w:r>
      <w:bookmarkEnd w:id="57"/>
      <w:bookmarkEnd w:id="58"/>
      <w:bookmarkEnd w:id="59"/>
    </w:p>
    <w:p w14:paraId="07DBB78C" w14:textId="77777777" w:rsidR="00725E50" w:rsidRPr="00075DC8" w:rsidRDefault="00725E50" w:rsidP="00E8215E">
      <w:pPr>
        <w:rPr>
          <w:lang w:val="fr-FR"/>
        </w:rPr>
      </w:pPr>
      <w:r w:rsidRPr="00075DC8">
        <w:rPr>
          <w:lang w:val="fr-FR"/>
        </w:rPr>
        <w:t>Les Tableaux 6 à 14 contiennent des valeurs représentatives des paramètres à employer dans les études de partage ou de compatibilité pour les systèmes FWS qui sont actuellement utilisés dans diverses bandes de fréquences.</w:t>
      </w:r>
    </w:p>
    <w:p w14:paraId="131D2751" w14:textId="31DB898A" w:rsidR="00725E50" w:rsidRPr="00075DC8" w:rsidRDefault="00725E50" w:rsidP="00E8215E">
      <w:pPr>
        <w:rPr>
          <w:szCs w:val="22"/>
          <w:lang w:val="fr-FR"/>
        </w:rPr>
      </w:pPr>
      <w:r w:rsidRPr="00075DC8">
        <w:rPr>
          <w:szCs w:val="22"/>
          <w:lang w:val="fr-FR"/>
        </w:rPr>
        <w:t>Dans la plupart des bandes, il existe de par le monde des systèmes FWS très divers (par exemple, en termes d</w:t>
      </w:r>
      <w:r w:rsidR="001F6A0D" w:rsidRPr="00075DC8">
        <w:rPr>
          <w:szCs w:val="22"/>
          <w:lang w:val="fr-FR"/>
        </w:rPr>
        <w:t>'</w:t>
      </w:r>
      <w:r w:rsidRPr="00075DC8">
        <w:rPr>
          <w:szCs w:val="22"/>
          <w:lang w:val="fr-FR"/>
        </w:rPr>
        <w:t xml:space="preserve">espacement des canaux et de formats de modulation). Leur utilisation effective dans une zone géographique dépend des attributions aux niveaux régional ou national et des besoins. En conséquence, les paramètres des systèmes indiqués ne sont pas représentatifs des systèmes existants du service fixe, mais ils correspondent plutôt à une moyenne ou à un intervalle prévu de valeurs adaptées aux études de partage ou de compatibilité. </w:t>
      </w:r>
    </w:p>
    <w:p w14:paraId="6079FD67" w14:textId="3DE5F50F" w:rsidR="00725E50" w:rsidRPr="00075DC8" w:rsidRDefault="00725E50" w:rsidP="00E8215E">
      <w:pPr>
        <w:rPr>
          <w:szCs w:val="22"/>
          <w:lang w:val="fr-FR"/>
        </w:rPr>
      </w:pPr>
      <w:r w:rsidRPr="00075DC8">
        <w:rPr>
          <w:szCs w:val="22"/>
          <w:lang w:val="fr-FR"/>
        </w:rPr>
        <w:t xml:space="preserve">Chacune des lignes dans les </w:t>
      </w:r>
      <w:r w:rsidR="0074121B" w:rsidRPr="00075DC8">
        <w:rPr>
          <w:szCs w:val="22"/>
          <w:lang w:val="fr-FR"/>
        </w:rPr>
        <w:t>t</w:t>
      </w:r>
      <w:r w:rsidRPr="00075DC8">
        <w:rPr>
          <w:szCs w:val="22"/>
          <w:lang w:val="fr-FR"/>
        </w:rPr>
        <w:t>ableaux correspond à un paramètre donné (ou à l</w:t>
      </w:r>
      <w:r w:rsidR="001F6A0D" w:rsidRPr="00075DC8">
        <w:rPr>
          <w:szCs w:val="22"/>
          <w:lang w:val="fr-FR"/>
        </w:rPr>
        <w:t>'</w:t>
      </w:r>
      <w:r w:rsidRPr="00075DC8">
        <w:rPr>
          <w:szCs w:val="22"/>
          <w:lang w:val="fr-FR"/>
        </w:rPr>
        <w:t>intervalle de ses valeurs) qui a été défini ou déduit selon les principes énoncés dans les paragraphes ci-après. En conséquence, il est important de prendre en compte ces principes, ainsi que d</w:t>
      </w:r>
      <w:r w:rsidR="001F6A0D" w:rsidRPr="00075DC8">
        <w:rPr>
          <w:szCs w:val="22"/>
          <w:lang w:val="fr-FR"/>
        </w:rPr>
        <w:t>'</w:t>
      </w:r>
      <w:r w:rsidRPr="00075DC8">
        <w:rPr>
          <w:szCs w:val="22"/>
          <w:lang w:val="fr-FR"/>
        </w:rPr>
        <w:t>autres facteurs, lorsque l</w:t>
      </w:r>
      <w:r w:rsidR="001F6A0D" w:rsidRPr="00075DC8">
        <w:rPr>
          <w:szCs w:val="22"/>
          <w:lang w:val="fr-FR"/>
        </w:rPr>
        <w:t>'</w:t>
      </w:r>
      <w:r w:rsidRPr="00075DC8">
        <w:rPr>
          <w:szCs w:val="22"/>
          <w:lang w:val="fr-FR"/>
        </w:rPr>
        <w:t>on sélectionne des paramètres FWS spécifiques dans les tableaux ci-après, afin d</w:t>
      </w:r>
      <w:r w:rsidR="001F6A0D" w:rsidRPr="00075DC8">
        <w:rPr>
          <w:szCs w:val="22"/>
          <w:lang w:val="fr-FR"/>
        </w:rPr>
        <w:t>'</w:t>
      </w:r>
      <w:r w:rsidRPr="00075DC8">
        <w:rPr>
          <w:szCs w:val="22"/>
          <w:lang w:val="fr-FR"/>
        </w:rPr>
        <w:t>utiliser un ensemble global de paramètres FWS représentatifs dans les études de partage et de compatibilité.</w:t>
      </w:r>
    </w:p>
    <w:p w14:paraId="42FB5459" w14:textId="77777777" w:rsidR="00725E50" w:rsidRPr="00075DC8" w:rsidRDefault="00725E50" w:rsidP="00725E50">
      <w:pPr>
        <w:pStyle w:val="Heading2"/>
        <w:rPr>
          <w:lang w:val="fr-FR"/>
        </w:rPr>
      </w:pPr>
      <w:bookmarkStart w:id="60" w:name="_Toc37843614"/>
      <w:bookmarkStart w:id="61" w:name="_Toc198643836"/>
      <w:r w:rsidRPr="00075DC8">
        <w:rPr>
          <w:lang w:val="fr-FR"/>
        </w:rPr>
        <w:t>4.1</w:t>
      </w:r>
      <w:r w:rsidRPr="00075DC8">
        <w:rPr>
          <w:lang w:val="fr-FR"/>
        </w:rPr>
        <w:tab/>
        <w:t>Gamme de fréquences et Recommandation UIT-R de référence associée</w:t>
      </w:r>
      <w:bookmarkEnd w:id="60"/>
      <w:bookmarkEnd w:id="61"/>
    </w:p>
    <w:p w14:paraId="3EDFC4CE" w14:textId="77777777" w:rsidR="00725E50" w:rsidRPr="00075DC8" w:rsidRDefault="00725E50" w:rsidP="00725E50">
      <w:pPr>
        <w:rPr>
          <w:szCs w:val="22"/>
          <w:lang w:val="fr-FR"/>
        </w:rPr>
      </w:pPr>
      <w:r w:rsidRPr="00075DC8">
        <w:rPr>
          <w:szCs w:val="22"/>
          <w:lang w:val="fr-FR"/>
        </w:rPr>
        <w:t>La gamme de fréquences est indiquée approximativement et est généralement couverte par la Recommandation concernée où figure la disposition des canaux de fréquences radioélectriques. Les limites réelles de la bande dépendent des attributions au service fixe, faites aux niveaux régional ou national.</w:t>
      </w:r>
    </w:p>
    <w:p w14:paraId="298DF0F3" w14:textId="77777777" w:rsidR="00725E50" w:rsidRPr="00075DC8" w:rsidRDefault="00725E50" w:rsidP="00725E50">
      <w:pPr>
        <w:pStyle w:val="Heading2"/>
        <w:rPr>
          <w:lang w:val="fr-FR"/>
        </w:rPr>
      </w:pPr>
      <w:bookmarkStart w:id="62" w:name="_Toc37843615"/>
      <w:bookmarkStart w:id="63" w:name="_Toc198643837"/>
      <w:r w:rsidRPr="00075DC8">
        <w:rPr>
          <w:lang w:val="fr-FR"/>
        </w:rPr>
        <w:t>4.2</w:t>
      </w:r>
      <w:r w:rsidRPr="00075DC8">
        <w:rPr>
          <w:lang w:val="fr-FR"/>
        </w:rPr>
        <w:tab/>
        <w:t>Format de modulation</w:t>
      </w:r>
      <w:bookmarkEnd w:id="62"/>
      <w:bookmarkEnd w:id="63"/>
    </w:p>
    <w:p w14:paraId="45615326" w14:textId="395F0962" w:rsidR="00725E50" w:rsidRPr="00075DC8" w:rsidRDefault="00725E50" w:rsidP="00725E50">
      <w:pPr>
        <w:rPr>
          <w:szCs w:val="22"/>
          <w:lang w:val="fr-FR"/>
        </w:rPr>
      </w:pPr>
      <w:r w:rsidRPr="00075DC8">
        <w:rPr>
          <w:szCs w:val="22"/>
          <w:lang w:val="fr-FR"/>
        </w:rPr>
        <w:t>Pour chacune des gammes de fréquences, il y a deux colonnes qui renvoient à deux types d</w:t>
      </w:r>
      <w:r w:rsidR="001F6A0D" w:rsidRPr="00075DC8">
        <w:rPr>
          <w:szCs w:val="22"/>
          <w:lang w:val="fr-FR"/>
        </w:rPr>
        <w:t>'</w:t>
      </w:r>
      <w:r w:rsidRPr="00075DC8">
        <w:rPr>
          <w:szCs w:val="22"/>
          <w:lang w:val="fr-FR"/>
        </w:rPr>
        <w:t xml:space="preserve">application. Le premier type est supposé être représentatif de systèmes simples (par exemple, à bande étroite et à format de modulation peu complexe), qui présentent souvent une densité de p.i.r.e. </w:t>
      </w:r>
      <w:r w:rsidRPr="00075DC8">
        <w:rPr>
          <w:szCs w:val="22"/>
          <w:lang w:val="fr-FR"/>
        </w:rPr>
        <w:lastRenderedPageBreak/>
        <w:t>élevée. Le second type est supposé être représentatif de systèmes plus complexes (par exemple, à bande plus large et à format de modulation très complexe), qui nécessitent habituellement une qualité en matière d</w:t>
      </w:r>
      <w:r w:rsidR="001F6A0D" w:rsidRPr="00075DC8">
        <w:rPr>
          <w:szCs w:val="22"/>
          <w:lang w:val="fr-FR"/>
        </w:rPr>
        <w:t>'</w:t>
      </w:r>
      <w:r w:rsidRPr="00075DC8">
        <w:rPr>
          <w:szCs w:val="22"/>
          <w:lang w:val="fr-FR"/>
        </w:rPr>
        <w:t>erreur élevée et sont par conséquent supposés être plus sensibles au brouillage.</w:t>
      </w:r>
    </w:p>
    <w:p w14:paraId="41BFAD79" w14:textId="5F5EFEF8" w:rsidR="00725E50" w:rsidRPr="00075DC8" w:rsidRDefault="00725E50" w:rsidP="00725E50">
      <w:pPr>
        <w:rPr>
          <w:szCs w:val="22"/>
          <w:lang w:val="fr-FR"/>
        </w:rPr>
      </w:pPr>
      <w:r w:rsidRPr="00075DC8">
        <w:rPr>
          <w:szCs w:val="22"/>
          <w:lang w:val="fr-FR"/>
        </w:rPr>
        <w:t>Les études de partage sont généralement indépendantes de la modulation parce qu</w:t>
      </w:r>
      <w:r w:rsidR="001F6A0D" w:rsidRPr="00075DC8">
        <w:rPr>
          <w:szCs w:val="22"/>
          <w:lang w:val="fr-FR"/>
        </w:rPr>
        <w:t>'</w:t>
      </w:r>
      <w:r w:rsidRPr="00075DC8">
        <w:rPr>
          <w:szCs w:val="22"/>
          <w:lang w:val="fr-FR"/>
        </w:rPr>
        <w:t xml:space="preserve">elles reposent sur les objectifs </w:t>
      </w:r>
      <w:r w:rsidRPr="00075DC8">
        <w:rPr>
          <w:i/>
          <w:szCs w:val="22"/>
          <w:lang w:val="fr-FR"/>
        </w:rPr>
        <w:t>I</w:t>
      </w:r>
      <w:r w:rsidRPr="00075DC8">
        <w:rPr>
          <w:szCs w:val="22"/>
          <w:lang w:val="fr-FR"/>
        </w:rPr>
        <w:t>/</w:t>
      </w:r>
      <w:r w:rsidRPr="00075DC8">
        <w:rPr>
          <w:i/>
          <w:szCs w:val="22"/>
          <w:lang w:val="fr-FR"/>
        </w:rPr>
        <w:t>N</w:t>
      </w:r>
      <w:r w:rsidRPr="00075DC8">
        <w:rPr>
          <w:szCs w:val="22"/>
          <w:lang w:val="fr-FR"/>
        </w:rPr>
        <w:t>. Le format de modulation est, en principe, seulement utile pour l</w:t>
      </w:r>
      <w:r w:rsidR="001F6A0D" w:rsidRPr="00075DC8">
        <w:rPr>
          <w:szCs w:val="22"/>
          <w:lang w:val="fr-FR"/>
        </w:rPr>
        <w:t>'</w:t>
      </w:r>
      <w:r w:rsidRPr="00075DC8">
        <w:rPr>
          <w:szCs w:val="22"/>
          <w:lang w:val="fr-FR"/>
        </w:rPr>
        <w:t>évaluation des niveaux des signaux dans le récepteur (nominaux et pour un taux BER de 1 × 10</w:t>
      </w:r>
      <w:r w:rsidRPr="00075DC8">
        <w:rPr>
          <w:szCs w:val="22"/>
          <w:vertAlign w:val="superscript"/>
          <w:lang w:val="fr-FR"/>
        </w:rPr>
        <w:t>−6</w:t>
      </w:r>
      <w:r w:rsidRPr="00075DC8">
        <w:rPr>
          <w:szCs w:val="22"/>
          <w:lang w:val="fr-FR"/>
        </w:rPr>
        <w:t>), qui peuvent être utilisés pour l</w:t>
      </w:r>
      <w:r w:rsidR="001F6A0D" w:rsidRPr="00075DC8">
        <w:rPr>
          <w:szCs w:val="22"/>
          <w:lang w:val="fr-FR"/>
        </w:rPr>
        <w:t>'</w:t>
      </w:r>
      <w:r w:rsidRPr="00075DC8">
        <w:rPr>
          <w:szCs w:val="22"/>
          <w:lang w:val="fr-FR"/>
        </w:rPr>
        <w:t>évaluation des brouillages de courte durée.</w:t>
      </w:r>
    </w:p>
    <w:p w14:paraId="716EDE89" w14:textId="13D09A73" w:rsidR="00725E50" w:rsidRPr="00075DC8" w:rsidRDefault="00725E50" w:rsidP="00725E50">
      <w:pPr>
        <w:rPr>
          <w:szCs w:val="22"/>
          <w:lang w:val="fr-FR" w:eastAsia="ja-JP"/>
        </w:rPr>
      </w:pPr>
      <w:r w:rsidRPr="00075DC8">
        <w:rPr>
          <w:szCs w:val="22"/>
          <w:lang w:val="fr-FR"/>
        </w:rPr>
        <w:t>Il convient de noter que la technologie de codage et de modulation adaptatifs (ACM) (c</w:t>
      </w:r>
      <w:r w:rsidR="001F6A0D" w:rsidRPr="00075DC8">
        <w:rPr>
          <w:szCs w:val="22"/>
          <w:lang w:val="fr-FR"/>
        </w:rPr>
        <w:t>'</w:t>
      </w:r>
      <w:r w:rsidRPr="00075DC8">
        <w:rPr>
          <w:szCs w:val="22"/>
          <w:lang w:val="fr-FR"/>
        </w:rPr>
        <w:t>est-à-dire le rendement de codage et/ou la modulation variant en fonction du brouillage au cours de la propagation et/ou du brouillage intrasystème) peut être employée pour augmenter dès que possible le débit ou la capacité du système. En conséquence, ces systèmes peuvent fonctionner avec un format de modulation jusqu</w:t>
      </w:r>
      <w:r w:rsidR="001F6A0D" w:rsidRPr="00075DC8">
        <w:rPr>
          <w:szCs w:val="22"/>
          <w:lang w:val="fr-FR"/>
        </w:rPr>
        <w:t>'</w:t>
      </w:r>
      <w:r w:rsidRPr="00075DC8">
        <w:rPr>
          <w:szCs w:val="22"/>
          <w:lang w:val="fr-FR"/>
        </w:rPr>
        <w:t>à MDPB (1 bit/symbole) au plus bas dans les conditions de propagation les plus défavorables et jusqu</w:t>
      </w:r>
      <w:r w:rsidR="001F6A0D" w:rsidRPr="00075DC8">
        <w:rPr>
          <w:szCs w:val="22"/>
          <w:lang w:val="fr-FR"/>
        </w:rPr>
        <w:t>'</w:t>
      </w:r>
      <w:r w:rsidRPr="00075DC8">
        <w:rPr>
          <w:szCs w:val="22"/>
          <w:lang w:val="fr-FR"/>
        </w:rPr>
        <w:t>à MAQ-4 096 (12 bits/symbole) au plus haut dans des conditions nominales de propagation.</w:t>
      </w:r>
    </w:p>
    <w:p w14:paraId="455C16F8" w14:textId="77777777" w:rsidR="00725E50" w:rsidRPr="00075DC8" w:rsidRDefault="00725E50" w:rsidP="00725E50">
      <w:pPr>
        <w:pStyle w:val="Heading2"/>
        <w:rPr>
          <w:lang w:val="fr-FR"/>
        </w:rPr>
      </w:pPr>
      <w:bookmarkStart w:id="64" w:name="_Toc37843616"/>
      <w:bookmarkStart w:id="65" w:name="_Toc198643838"/>
      <w:r w:rsidRPr="00075DC8">
        <w:rPr>
          <w:lang w:val="fr-FR"/>
        </w:rPr>
        <w:t>4.3</w:t>
      </w:r>
      <w:r w:rsidRPr="00075DC8">
        <w:rPr>
          <w:lang w:val="fr-FR"/>
        </w:rPr>
        <w:tab/>
        <w:t>Espacement des canaux et largeur de bande de bruit du récepteur</w:t>
      </w:r>
      <w:bookmarkEnd w:id="64"/>
      <w:bookmarkEnd w:id="65"/>
    </w:p>
    <w:p w14:paraId="78EA02D4" w14:textId="3391875B" w:rsidR="00725E50" w:rsidRPr="00075DC8" w:rsidRDefault="00725E50" w:rsidP="00725E50">
      <w:pPr>
        <w:rPr>
          <w:szCs w:val="22"/>
          <w:lang w:val="fr-FR"/>
        </w:rPr>
      </w:pPr>
      <w:r w:rsidRPr="00075DC8">
        <w:rPr>
          <w:szCs w:val="22"/>
          <w:lang w:val="fr-FR"/>
        </w:rPr>
        <w:t>L</w:t>
      </w:r>
      <w:r w:rsidR="001F6A0D" w:rsidRPr="00075DC8">
        <w:rPr>
          <w:szCs w:val="22"/>
          <w:lang w:val="fr-FR"/>
        </w:rPr>
        <w:t>'</w:t>
      </w:r>
      <w:r w:rsidRPr="00075DC8">
        <w:rPr>
          <w:szCs w:val="22"/>
          <w:lang w:val="fr-FR"/>
        </w:rPr>
        <w:t>espacement des canaux est nécessaire pour une simple évaluation de la densité de puissance de sortie au niveau de l</w:t>
      </w:r>
      <w:r w:rsidR="001F6A0D" w:rsidRPr="00075DC8">
        <w:rPr>
          <w:szCs w:val="22"/>
          <w:lang w:val="fr-FR"/>
        </w:rPr>
        <w:t>'</w:t>
      </w:r>
      <w:r w:rsidRPr="00075DC8">
        <w:rPr>
          <w:szCs w:val="22"/>
          <w:lang w:val="fr-FR"/>
        </w:rPr>
        <w:t>émetteur. Toutefois, dans certaines bandes, la Recommandation UIT-R prévoit divers espacements de canaux, dont l</w:t>
      </w:r>
      <w:r w:rsidR="001F6A0D" w:rsidRPr="00075DC8">
        <w:rPr>
          <w:szCs w:val="22"/>
          <w:lang w:val="fr-FR"/>
        </w:rPr>
        <w:t>'</w:t>
      </w:r>
      <w:r w:rsidRPr="00075DC8">
        <w:rPr>
          <w:szCs w:val="22"/>
          <w:lang w:val="fr-FR"/>
        </w:rPr>
        <w:t>emploi concret dépend du pays. En raison de cela, plusieurs valeurs sont données pour l</w:t>
      </w:r>
      <w:r w:rsidR="001F6A0D" w:rsidRPr="00075DC8">
        <w:rPr>
          <w:szCs w:val="22"/>
          <w:lang w:val="fr-FR"/>
        </w:rPr>
        <w:t>'</w:t>
      </w:r>
      <w:r w:rsidRPr="00075DC8">
        <w:rPr>
          <w:szCs w:val="22"/>
          <w:lang w:val="fr-FR"/>
        </w:rPr>
        <w:t>espacement des canaux. La largeur réelle de la bande du bruit dépend de la mise en œuvre, mais aux fins des études génériques de partage ou de compatibilité, la valeur nominale est généralement supposée être égale à la largeur de bande du canal.</w:t>
      </w:r>
    </w:p>
    <w:p w14:paraId="447B7DF2" w14:textId="050B236F" w:rsidR="00725E50" w:rsidRPr="00075DC8" w:rsidRDefault="00725E50" w:rsidP="00725E50">
      <w:pPr>
        <w:pStyle w:val="Heading2"/>
        <w:rPr>
          <w:lang w:val="fr-FR"/>
        </w:rPr>
      </w:pPr>
      <w:bookmarkStart w:id="66" w:name="_Toc37843617"/>
      <w:bookmarkStart w:id="67" w:name="_Toc198643839"/>
      <w:r w:rsidRPr="00075DC8">
        <w:rPr>
          <w:lang w:val="fr-FR"/>
        </w:rPr>
        <w:t>4.4</w:t>
      </w:r>
      <w:r w:rsidRPr="00075DC8">
        <w:rPr>
          <w:lang w:val="fr-FR"/>
        </w:rPr>
        <w:tab/>
        <w:t>Plage des puissances de sortie au niveau de l</w:t>
      </w:r>
      <w:r w:rsidR="001F6A0D" w:rsidRPr="00075DC8">
        <w:rPr>
          <w:lang w:val="fr-FR"/>
        </w:rPr>
        <w:t>'</w:t>
      </w:r>
      <w:r w:rsidRPr="00075DC8">
        <w:rPr>
          <w:lang w:val="fr-FR"/>
        </w:rPr>
        <w:t>émetteur (dBW)</w:t>
      </w:r>
      <w:bookmarkEnd w:id="66"/>
      <w:bookmarkEnd w:id="67"/>
    </w:p>
    <w:p w14:paraId="509B7B5D" w14:textId="28990F08" w:rsidR="00725E50" w:rsidRPr="00075DC8" w:rsidRDefault="00725E50" w:rsidP="00725E50">
      <w:pPr>
        <w:rPr>
          <w:lang w:val="fr-FR"/>
        </w:rPr>
      </w:pPr>
      <w:r w:rsidRPr="00075DC8">
        <w:rPr>
          <w:lang w:val="fr-FR"/>
        </w:rPr>
        <w:t>Lorsque les fréquences sont coordonnées (soit liaison par liaison dans les systèmes PP, ou entre les cellules et les terminaux du même système PMP) pour la gestion du brouillage intraservice (provenant du service fixe et affectant le service fixe), la p.i.r.e. (et en conséquence la puissance de sortie au niveau de l</w:t>
      </w:r>
      <w:r w:rsidR="001F6A0D" w:rsidRPr="00075DC8">
        <w:rPr>
          <w:lang w:val="fr-FR"/>
        </w:rPr>
        <w:t>'</w:t>
      </w:r>
      <w:r w:rsidRPr="00075DC8">
        <w:rPr>
          <w:lang w:val="fr-FR"/>
        </w:rPr>
        <w:t>émetteur) est fixée à un niveau qui permet juste d</w:t>
      </w:r>
      <w:r w:rsidR="001F6A0D" w:rsidRPr="00075DC8">
        <w:rPr>
          <w:lang w:val="fr-FR"/>
        </w:rPr>
        <w:t>'</w:t>
      </w:r>
      <w:r w:rsidRPr="00075DC8">
        <w:rPr>
          <w:lang w:val="fr-FR"/>
        </w:rPr>
        <w:t>offrir le service, avec la qualité attendue, sur la liaison particulière ou dans la zone d</w:t>
      </w:r>
      <w:r w:rsidR="001F6A0D" w:rsidRPr="00075DC8">
        <w:rPr>
          <w:lang w:val="fr-FR"/>
        </w:rPr>
        <w:t>'</w:t>
      </w:r>
      <w:r w:rsidRPr="00075DC8">
        <w:rPr>
          <w:lang w:val="fr-FR"/>
        </w:rPr>
        <w:t>une cellule. La plage des puissances de sortie présentée fournit des informations non seulement sur la puissance maximale fournie par la conception du système mais aussi sur l</w:t>
      </w:r>
      <w:r w:rsidR="001F6A0D" w:rsidRPr="00075DC8">
        <w:rPr>
          <w:lang w:val="fr-FR"/>
        </w:rPr>
        <w:t>'</w:t>
      </w:r>
      <w:r w:rsidRPr="00075DC8">
        <w:rPr>
          <w:lang w:val="fr-FR"/>
        </w:rPr>
        <w:t>étendue réelle de la puissance concrètement utilisée sur un large territoire. Les valeurs tiennent compte des pertes au niveau du filtre de l</w:t>
      </w:r>
      <w:r w:rsidR="001F6A0D" w:rsidRPr="00075DC8">
        <w:rPr>
          <w:lang w:val="fr-FR"/>
        </w:rPr>
        <w:t>'</w:t>
      </w:r>
      <w:r w:rsidRPr="00075DC8">
        <w:rPr>
          <w:lang w:val="fr-FR"/>
        </w:rPr>
        <w:t>émetteur.</w:t>
      </w:r>
    </w:p>
    <w:p w14:paraId="77D87F71" w14:textId="0A40A2DC" w:rsidR="00725E50" w:rsidRPr="00075DC8" w:rsidRDefault="00725E50" w:rsidP="00725E50">
      <w:pPr>
        <w:rPr>
          <w:lang w:val="fr-FR"/>
        </w:rPr>
      </w:pPr>
      <w:r w:rsidRPr="00075DC8">
        <w:rPr>
          <w:lang w:val="fr-FR"/>
        </w:rPr>
        <w:t>Les systèmes du service fixe peuvent aussi utiliser la commande automatique de la puissance d</w:t>
      </w:r>
      <w:r w:rsidR="001F6A0D" w:rsidRPr="00075DC8">
        <w:rPr>
          <w:lang w:val="fr-FR"/>
        </w:rPr>
        <w:t>'</w:t>
      </w:r>
      <w:r w:rsidRPr="00075DC8">
        <w:rPr>
          <w:lang w:val="fr-FR"/>
        </w:rPr>
        <w:t>émission (CAPE) et, dans ce cas, la puissance de sortie de l</w:t>
      </w:r>
      <w:r w:rsidR="001F6A0D" w:rsidRPr="00075DC8">
        <w:rPr>
          <w:lang w:val="fr-FR"/>
        </w:rPr>
        <w:t>'</w:t>
      </w:r>
      <w:r w:rsidRPr="00075DC8">
        <w:rPr>
          <w:lang w:val="fr-FR"/>
        </w:rPr>
        <w:t>émetteur n</w:t>
      </w:r>
      <w:r w:rsidR="001F6A0D" w:rsidRPr="00075DC8">
        <w:rPr>
          <w:lang w:val="fr-FR"/>
        </w:rPr>
        <w:t>'</w:t>
      </w:r>
      <w:r w:rsidRPr="00075DC8">
        <w:rPr>
          <w:lang w:val="fr-FR"/>
        </w:rPr>
        <w:t>est pas fixée à un niveau précis mais peut varier dans les intervalles pris en charge par l</w:t>
      </w:r>
      <w:r w:rsidR="001F6A0D" w:rsidRPr="00075DC8">
        <w:rPr>
          <w:lang w:val="fr-FR"/>
        </w:rPr>
        <w:t>'</w:t>
      </w:r>
      <w:r w:rsidRPr="00075DC8">
        <w:rPr>
          <w:lang w:val="fr-FR"/>
        </w:rPr>
        <w:t>émetteur moyennant l</w:t>
      </w:r>
      <w:r w:rsidR="001F6A0D" w:rsidRPr="00075DC8">
        <w:rPr>
          <w:lang w:val="fr-FR"/>
        </w:rPr>
        <w:t>'</w:t>
      </w:r>
      <w:r w:rsidRPr="00075DC8">
        <w:rPr>
          <w:lang w:val="fr-FR"/>
        </w:rPr>
        <w:t>adaptation du niveau de puissance aux conditions de propagation (c</w:t>
      </w:r>
      <w:r w:rsidR="001F6A0D" w:rsidRPr="00075DC8">
        <w:rPr>
          <w:lang w:val="fr-FR"/>
        </w:rPr>
        <w:t>'</w:t>
      </w:r>
      <w:r w:rsidRPr="00075DC8">
        <w:rPr>
          <w:lang w:val="fr-FR"/>
        </w:rPr>
        <w:t>est-à-dire que le récepteur demande à l</w:t>
      </w:r>
      <w:r w:rsidR="001F6A0D" w:rsidRPr="00075DC8">
        <w:rPr>
          <w:lang w:val="fr-FR"/>
        </w:rPr>
        <w:t>'</w:t>
      </w:r>
      <w:r w:rsidRPr="00075DC8">
        <w:rPr>
          <w:lang w:val="fr-FR"/>
        </w:rPr>
        <w:t>émetteur d</w:t>
      </w:r>
      <w:r w:rsidR="001F6A0D" w:rsidRPr="00075DC8">
        <w:rPr>
          <w:lang w:val="fr-FR"/>
        </w:rPr>
        <w:t>'</w:t>
      </w:r>
      <w:r w:rsidRPr="00075DC8">
        <w:rPr>
          <w:lang w:val="fr-FR"/>
        </w:rPr>
        <w:t>augmenter ou de diminuer la puissance de sortie). En conséquence, ces systèmes peuvent fonctionner avec une puissance de sortie d</w:t>
      </w:r>
      <w:r w:rsidR="001F6A0D" w:rsidRPr="00075DC8">
        <w:rPr>
          <w:lang w:val="fr-FR"/>
        </w:rPr>
        <w:t>'</w:t>
      </w:r>
      <w:r w:rsidRPr="00075DC8">
        <w:rPr>
          <w:lang w:val="fr-FR"/>
        </w:rPr>
        <w:t>émetteur plus faible dans des conditions nominales de propagation. Cette puissance de sortie nominale peut descendre jusqu</w:t>
      </w:r>
      <w:r w:rsidR="001F6A0D" w:rsidRPr="00075DC8">
        <w:rPr>
          <w:lang w:val="fr-FR"/>
        </w:rPr>
        <w:t>'</w:t>
      </w:r>
      <w:r w:rsidRPr="00075DC8">
        <w:rPr>
          <w:lang w:val="fr-FR"/>
        </w:rPr>
        <w:t xml:space="preserve">à </w:t>
      </w:r>
      <w:r w:rsidR="00E8215E" w:rsidRPr="00075DC8">
        <w:rPr>
          <w:lang w:val="fr-FR"/>
        </w:rPr>
        <w:t>−</w:t>
      </w:r>
      <w:r w:rsidRPr="00075DC8">
        <w:rPr>
          <w:lang w:val="fr-FR"/>
        </w:rPr>
        <w:t>40 dBW, mais cette limite inférieure n</w:t>
      </w:r>
      <w:r w:rsidR="001F6A0D" w:rsidRPr="00075DC8">
        <w:rPr>
          <w:lang w:val="fr-FR"/>
        </w:rPr>
        <w:t>'</w:t>
      </w:r>
      <w:r w:rsidRPr="00075DC8">
        <w:rPr>
          <w:lang w:val="fr-FR"/>
        </w:rPr>
        <w:t>est utilisée que dans de rares cas.</w:t>
      </w:r>
    </w:p>
    <w:p w14:paraId="479DF807" w14:textId="6409D040" w:rsidR="00725E50" w:rsidRPr="00075DC8" w:rsidRDefault="00725E50" w:rsidP="00725E50">
      <w:pPr>
        <w:pStyle w:val="Heading2"/>
        <w:rPr>
          <w:lang w:val="fr-FR"/>
        </w:rPr>
      </w:pPr>
      <w:bookmarkStart w:id="68" w:name="_Toc37843618"/>
      <w:bookmarkStart w:id="69" w:name="_Toc198643840"/>
      <w:r w:rsidRPr="00075DC8">
        <w:rPr>
          <w:lang w:val="fr-FR"/>
        </w:rPr>
        <w:t>4.5</w:t>
      </w:r>
      <w:r w:rsidRPr="00075DC8">
        <w:rPr>
          <w:lang w:val="fr-FR"/>
        </w:rPr>
        <w:tab/>
        <w:t>Plage des densités de puissance de sortie au niveau de l</w:t>
      </w:r>
      <w:r w:rsidR="001F6A0D" w:rsidRPr="00075DC8">
        <w:rPr>
          <w:lang w:val="fr-FR"/>
        </w:rPr>
        <w:t>'</w:t>
      </w:r>
      <w:r w:rsidRPr="00075DC8">
        <w:rPr>
          <w:lang w:val="fr-FR"/>
        </w:rPr>
        <w:t>émetteur (dBW/MHz)</w:t>
      </w:r>
      <w:bookmarkEnd w:id="68"/>
      <w:bookmarkEnd w:id="69"/>
    </w:p>
    <w:p w14:paraId="124106A1" w14:textId="7EBE49F4" w:rsidR="00725E50" w:rsidRPr="00075DC8" w:rsidRDefault="00725E50" w:rsidP="00725E50">
      <w:pPr>
        <w:rPr>
          <w:szCs w:val="22"/>
          <w:lang w:val="fr-FR" w:eastAsia="ja-JP"/>
        </w:rPr>
      </w:pPr>
      <w:r w:rsidRPr="00075DC8">
        <w:rPr>
          <w:szCs w:val="22"/>
          <w:lang w:val="fr-FR"/>
        </w:rPr>
        <w:t>Dans les études de partage ou de compatibilité, on peut avoir besoin des densités spectrales de puissance. La densité de puissance de sortie au niveau de l</w:t>
      </w:r>
      <w:r w:rsidR="001F6A0D" w:rsidRPr="00075DC8">
        <w:rPr>
          <w:szCs w:val="22"/>
          <w:lang w:val="fr-FR"/>
        </w:rPr>
        <w:t>'</w:t>
      </w:r>
      <w:r w:rsidRPr="00075DC8">
        <w:rPr>
          <w:szCs w:val="22"/>
          <w:lang w:val="fr-FR"/>
        </w:rPr>
        <w:t>émetteur est obtenue en appliquant le facteur d</w:t>
      </w:r>
      <w:r w:rsidR="001F6A0D" w:rsidRPr="00075DC8">
        <w:rPr>
          <w:szCs w:val="22"/>
          <w:lang w:val="fr-FR"/>
        </w:rPr>
        <w:t>'</w:t>
      </w:r>
      <w:r w:rsidRPr="00075DC8">
        <w:rPr>
          <w:szCs w:val="22"/>
          <w:lang w:val="fr-FR"/>
        </w:rPr>
        <w:t>échelle largeur de bande à la puissance de sortie au niveau de l</w:t>
      </w:r>
      <w:r w:rsidR="001F6A0D" w:rsidRPr="00075DC8">
        <w:rPr>
          <w:szCs w:val="22"/>
          <w:lang w:val="fr-FR"/>
        </w:rPr>
        <w:t>'</w:t>
      </w:r>
      <w:r w:rsidRPr="00075DC8">
        <w:rPr>
          <w:szCs w:val="22"/>
          <w:lang w:val="fr-FR"/>
        </w:rPr>
        <w:t>émetteur, pour les liaisons dans le réseau considéré: densité de puissance de sortie au niveau de l</w:t>
      </w:r>
      <w:r w:rsidR="001F6A0D" w:rsidRPr="00075DC8">
        <w:rPr>
          <w:szCs w:val="22"/>
          <w:lang w:val="fr-FR"/>
        </w:rPr>
        <w:t>'</w:t>
      </w:r>
      <w:r w:rsidRPr="00075DC8">
        <w:rPr>
          <w:szCs w:val="22"/>
          <w:lang w:val="fr-FR"/>
        </w:rPr>
        <w:t>émetteur (dBW/MHz) = puissance de sortie au niveau de l</w:t>
      </w:r>
      <w:r w:rsidR="001F6A0D" w:rsidRPr="00075DC8">
        <w:rPr>
          <w:szCs w:val="22"/>
          <w:lang w:val="fr-FR"/>
        </w:rPr>
        <w:t>'</w:t>
      </w:r>
      <w:r w:rsidRPr="00075DC8">
        <w:rPr>
          <w:szCs w:val="22"/>
          <w:lang w:val="fr-FR"/>
        </w:rPr>
        <w:t>émetteur (dBW) </w:t>
      </w:r>
      <w:r w:rsidR="00E8215E" w:rsidRPr="00075DC8">
        <w:rPr>
          <w:lang w:val="fr-FR"/>
        </w:rPr>
        <w:t>−</w:t>
      </w:r>
      <w:r w:rsidR="00D46B2A" w:rsidRPr="00075DC8">
        <w:rPr>
          <w:lang w:val="fr-FR"/>
        </w:rPr>
        <w:t> </w:t>
      </w:r>
      <w:r w:rsidRPr="00075DC8">
        <w:rPr>
          <w:szCs w:val="22"/>
          <w:lang w:val="fr-FR"/>
        </w:rPr>
        <w:t>10 log (espacement entre les canaux en MHz).</w:t>
      </w:r>
    </w:p>
    <w:p w14:paraId="63A7F90C" w14:textId="43593A82" w:rsidR="00725E50" w:rsidRPr="00075DC8" w:rsidRDefault="00725E50" w:rsidP="00725E50">
      <w:pPr>
        <w:pStyle w:val="Heading2"/>
        <w:rPr>
          <w:lang w:val="fr-FR" w:eastAsia="ja-JP"/>
        </w:rPr>
      </w:pPr>
      <w:bookmarkStart w:id="70" w:name="_Toc37843619"/>
      <w:bookmarkStart w:id="71" w:name="_Toc198643841"/>
      <w:r w:rsidRPr="00075DC8">
        <w:rPr>
          <w:lang w:val="fr-FR"/>
        </w:rPr>
        <w:lastRenderedPageBreak/>
        <w:t>4.</w:t>
      </w:r>
      <w:r w:rsidRPr="00075DC8">
        <w:rPr>
          <w:lang w:val="fr-FR" w:eastAsia="ja-JP"/>
        </w:rPr>
        <w:t>6</w:t>
      </w:r>
      <w:r w:rsidRPr="00075DC8">
        <w:rPr>
          <w:lang w:val="fr-FR"/>
        </w:rPr>
        <w:tab/>
        <w:t>Plage des pertes dues à la ligne d</w:t>
      </w:r>
      <w:r w:rsidR="001F6A0D" w:rsidRPr="00075DC8">
        <w:rPr>
          <w:lang w:val="fr-FR"/>
        </w:rPr>
        <w:t>'</w:t>
      </w:r>
      <w:r w:rsidRPr="00075DC8">
        <w:rPr>
          <w:lang w:val="fr-FR"/>
        </w:rPr>
        <w:t>alimentation ou au multiplexeur (dB)</w:t>
      </w:r>
      <w:bookmarkEnd w:id="70"/>
      <w:bookmarkEnd w:id="71"/>
    </w:p>
    <w:p w14:paraId="3E0A21CB" w14:textId="7D5408D6" w:rsidR="00725E50" w:rsidRPr="00075DC8" w:rsidRDefault="00725E50" w:rsidP="00725E50">
      <w:pPr>
        <w:rPr>
          <w:szCs w:val="22"/>
          <w:lang w:val="fr-FR"/>
        </w:rPr>
      </w:pPr>
      <w:r w:rsidRPr="00075DC8">
        <w:rPr>
          <w:szCs w:val="22"/>
          <w:lang w:val="fr-FR"/>
        </w:rPr>
        <w:t>Parmi les très nombreux systèmes présents dans le monde entier, il existe différentes méthodologies de mise en place physique. Des systèmes conventionnels d</w:t>
      </w:r>
      <w:r w:rsidR="001F6A0D" w:rsidRPr="00075DC8">
        <w:rPr>
          <w:szCs w:val="22"/>
          <w:lang w:val="fr-FR"/>
        </w:rPr>
        <w:t>'</w:t>
      </w:r>
      <w:r w:rsidRPr="00075DC8">
        <w:rPr>
          <w:szCs w:val="22"/>
          <w:lang w:val="fr-FR"/>
        </w:rPr>
        <w:t>intérieur (par exemple, avec des étages d</w:t>
      </w:r>
      <w:r w:rsidR="001F6A0D" w:rsidRPr="00075DC8">
        <w:rPr>
          <w:szCs w:val="22"/>
          <w:lang w:val="fr-FR"/>
        </w:rPr>
        <w:t>'</w:t>
      </w:r>
      <w:r w:rsidRPr="00075DC8">
        <w:rPr>
          <w:szCs w:val="22"/>
          <w:lang w:val="fr-FR"/>
        </w:rPr>
        <w:t>entrée des fréquences radioélectriques dans un environnement protégé), associés à une antenne placée sur un pylône ou sur un toit et reliée à une ligne d</w:t>
      </w:r>
      <w:r w:rsidR="001F6A0D" w:rsidRPr="00075DC8">
        <w:rPr>
          <w:szCs w:val="22"/>
          <w:lang w:val="fr-FR"/>
        </w:rPr>
        <w:t>'</w:t>
      </w:r>
      <w:r w:rsidRPr="00075DC8">
        <w:rPr>
          <w:szCs w:val="22"/>
          <w:lang w:val="fr-FR"/>
        </w:rPr>
        <w:t>alimentation, sont présents surtout dans les bandes inférieures. Des systèmes complets d</w:t>
      </w:r>
      <w:r w:rsidR="001F6A0D" w:rsidRPr="00075DC8">
        <w:rPr>
          <w:szCs w:val="22"/>
          <w:lang w:val="fr-FR"/>
        </w:rPr>
        <w:t>'</w:t>
      </w:r>
      <w:r w:rsidRPr="00075DC8">
        <w:rPr>
          <w:szCs w:val="22"/>
          <w:lang w:val="fr-FR"/>
        </w:rPr>
        <w:t>extérieur (par exemple, dans un cabinet étanche à l</w:t>
      </w:r>
      <w:r w:rsidR="001F6A0D" w:rsidRPr="00075DC8">
        <w:rPr>
          <w:szCs w:val="22"/>
          <w:lang w:val="fr-FR"/>
        </w:rPr>
        <w:t>'</w:t>
      </w:r>
      <w:r w:rsidRPr="00075DC8">
        <w:rPr>
          <w:szCs w:val="22"/>
          <w:lang w:val="fr-FR"/>
        </w:rPr>
        <w:t>eau, intégré à l</w:t>
      </w:r>
      <w:r w:rsidR="001F6A0D" w:rsidRPr="00075DC8">
        <w:rPr>
          <w:szCs w:val="22"/>
          <w:lang w:val="fr-FR"/>
        </w:rPr>
        <w:t>'</w:t>
      </w:r>
      <w:r w:rsidRPr="00075DC8">
        <w:rPr>
          <w:szCs w:val="22"/>
          <w:lang w:val="fr-FR"/>
        </w:rPr>
        <w:t>antenne ou voisin) sont présents surtout dans les bandes supérieures, mais leur présence dans les bandes inférieures augmente. En raison de cela, les pertes dues à la ligne d</w:t>
      </w:r>
      <w:r w:rsidR="001F6A0D" w:rsidRPr="00075DC8">
        <w:rPr>
          <w:szCs w:val="22"/>
          <w:lang w:val="fr-FR"/>
        </w:rPr>
        <w:t>'</w:t>
      </w:r>
      <w:r w:rsidRPr="00075DC8">
        <w:rPr>
          <w:szCs w:val="22"/>
          <w:lang w:val="fr-FR"/>
        </w:rPr>
        <w:t>alimentation de 0 dB concernent les applications entièrement d</w:t>
      </w:r>
      <w:r w:rsidR="001F6A0D" w:rsidRPr="00075DC8">
        <w:rPr>
          <w:szCs w:val="22"/>
          <w:lang w:val="fr-FR"/>
        </w:rPr>
        <w:t>'</w:t>
      </w:r>
      <w:r w:rsidRPr="00075DC8">
        <w:rPr>
          <w:szCs w:val="22"/>
          <w:lang w:val="fr-FR"/>
        </w:rPr>
        <w:t>extérieur, tandis que des valeurs plus élevées, seulement dans les bandes inférieures à 18/23 GHz, sont déduites d</w:t>
      </w:r>
      <w:r w:rsidR="001F6A0D" w:rsidRPr="00075DC8">
        <w:rPr>
          <w:szCs w:val="22"/>
          <w:lang w:val="fr-FR"/>
        </w:rPr>
        <w:t>'</w:t>
      </w:r>
      <w:r w:rsidRPr="00075DC8">
        <w:rPr>
          <w:szCs w:val="22"/>
          <w:lang w:val="fr-FR"/>
        </w:rPr>
        <w:t>une longueur moyenne de la ligne d</w:t>
      </w:r>
      <w:r w:rsidR="001F6A0D" w:rsidRPr="00075DC8">
        <w:rPr>
          <w:szCs w:val="22"/>
          <w:lang w:val="fr-FR"/>
        </w:rPr>
        <w:t>'</w:t>
      </w:r>
      <w:r w:rsidRPr="00075DC8">
        <w:rPr>
          <w:szCs w:val="22"/>
          <w:lang w:val="fr-FR"/>
        </w:rPr>
        <w:t>alimentation, un guide d</w:t>
      </w:r>
      <w:r w:rsidR="001F6A0D" w:rsidRPr="00075DC8">
        <w:rPr>
          <w:szCs w:val="22"/>
          <w:lang w:val="fr-FR"/>
        </w:rPr>
        <w:t>'</w:t>
      </w:r>
      <w:r w:rsidRPr="00075DC8">
        <w:rPr>
          <w:szCs w:val="22"/>
          <w:lang w:val="fr-FR"/>
        </w:rPr>
        <w:t>onde souple, d</w:t>
      </w:r>
      <w:r w:rsidR="001F6A0D" w:rsidRPr="00075DC8">
        <w:rPr>
          <w:szCs w:val="22"/>
          <w:lang w:val="fr-FR"/>
        </w:rPr>
        <w:t>'</w:t>
      </w:r>
      <w:r w:rsidRPr="00075DC8">
        <w:rPr>
          <w:szCs w:val="22"/>
          <w:lang w:val="fr-FR"/>
        </w:rPr>
        <w:t>environ 50 m. La ligne qui concerne les pertes dues à la ligne d</w:t>
      </w:r>
      <w:r w:rsidR="001F6A0D" w:rsidRPr="00075DC8">
        <w:rPr>
          <w:szCs w:val="22"/>
          <w:lang w:val="fr-FR"/>
        </w:rPr>
        <w:t>'</w:t>
      </w:r>
      <w:r w:rsidRPr="00075DC8">
        <w:rPr>
          <w:szCs w:val="22"/>
          <w:lang w:val="fr-FR"/>
        </w:rPr>
        <w:t>alimentation ou au multiplexeur rend compte des pertes dues à la ligne d</w:t>
      </w:r>
      <w:r w:rsidR="001F6A0D" w:rsidRPr="00075DC8">
        <w:rPr>
          <w:szCs w:val="22"/>
          <w:lang w:val="fr-FR"/>
        </w:rPr>
        <w:t>'</w:t>
      </w:r>
      <w:r w:rsidRPr="00075DC8">
        <w:rPr>
          <w:szCs w:val="22"/>
          <w:lang w:val="fr-FR"/>
        </w:rPr>
        <w:t>alimentation, et, le cas échéant, également des pertes dues aux systèmes combinant des canaux multiples (à l</w:t>
      </w:r>
      <w:r w:rsidR="001F6A0D" w:rsidRPr="00075DC8">
        <w:rPr>
          <w:szCs w:val="22"/>
          <w:lang w:val="fr-FR"/>
        </w:rPr>
        <w:t>'</w:t>
      </w:r>
      <w:r w:rsidRPr="00075DC8">
        <w:rPr>
          <w:szCs w:val="22"/>
          <w:lang w:val="fr-FR"/>
        </w:rPr>
        <w:t>exception des pertes dans le filtre de canaux, dont il est tenu compte dans la puissance de sortie au niveau de l</w:t>
      </w:r>
      <w:r w:rsidR="001F6A0D" w:rsidRPr="00075DC8">
        <w:rPr>
          <w:szCs w:val="22"/>
          <w:lang w:val="fr-FR"/>
        </w:rPr>
        <w:t>'</w:t>
      </w:r>
      <w:r w:rsidRPr="00075DC8">
        <w:rPr>
          <w:szCs w:val="22"/>
          <w:lang w:val="fr-FR"/>
        </w:rPr>
        <w:t>émetteur ou dans le facteur de bruit du récepteur).</w:t>
      </w:r>
    </w:p>
    <w:p w14:paraId="25BF39D2" w14:textId="42BBFDFE" w:rsidR="00725E50" w:rsidRPr="00075DC8" w:rsidRDefault="00725E50" w:rsidP="00725E50">
      <w:pPr>
        <w:pStyle w:val="Heading2"/>
        <w:rPr>
          <w:lang w:val="fr-FR"/>
        </w:rPr>
      </w:pPr>
      <w:bookmarkStart w:id="72" w:name="_Toc37843620"/>
      <w:bookmarkStart w:id="73" w:name="_Toc198643842"/>
      <w:r w:rsidRPr="00075DC8">
        <w:rPr>
          <w:lang w:val="fr-FR"/>
        </w:rPr>
        <w:t>4.7</w:t>
      </w:r>
      <w:r w:rsidRPr="00075DC8">
        <w:rPr>
          <w:lang w:val="fr-FR"/>
        </w:rPr>
        <w:tab/>
        <w:t>Plage des gains d</w:t>
      </w:r>
      <w:r w:rsidR="001F6A0D" w:rsidRPr="00075DC8">
        <w:rPr>
          <w:lang w:val="fr-FR"/>
        </w:rPr>
        <w:t>'</w:t>
      </w:r>
      <w:r w:rsidRPr="00075DC8">
        <w:rPr>
          <w:lang w:val="fr-FR"/>
        </w:rPr>
        <w:t>antenne (dBi) (de point à point) ou type d</w:t>
      </w:r>
      <w:r w:rsidR="001F6A0D" w:rsidRPr="00075DC8">
        <w:rPr>
          <w:lang w:val="fr-FR"/>
        </w:rPr>
        <w:t>'</w:t>
      </w:r>
      <w:r w:rsidRPr="00075DC8">
        <w:rPr>
          <w:lang w:val="fr-FR"/>
        </w:rPr>
        <w:t>antenne et plage des gains d</w:t>
      </w:r>
      <w:r w:rsidR="001F6A0D" w:rsidRPr="00075DC8">
        <w:rPr>
          <w:lang w:val="fr-FR"/>
        </w:rPr>
        <w:t>'</w:t>
      </w:r>
      <w:r w:rsidRPr="00075DC8">
        <w:rPr>
          <w:lang w:val="fr-FR"/>
        </w:rPr>
        <w:t>antenne (dBi) (de point à multipoint)</w:t>
      </w:r>
      <w:bookmarkEnd w:id="72"/>
      <w:bookmarkEnd w:id="73"/>
    </w:p>
    <w:p w14:paraId="3419F54C" w14:textId="6513F00F" w:rsidR="00725E50" w:rsidRPr="00075DC8" w:rsidRDefault="00725E50" w:rsidP="00725E50">
      <w:pPr>
        <w:rPr>
          <w:szCs w:val="22"/>
          <w:lang w:val="fr-FR"/>
        </w:rPr>
      </w:pPr>
      <w:r w:rsidRPr="00075DC8">
        <w:rPr>
          <w:szCs w:val="22"/>
          <w:lang w:val="fr-FR"/>
        </w:rPr>
        <w:t>Dans les systèmes PP, des antennes plus petites vont généralement de pair avec des pertes dues à l</w:t>
      </w:r>
      <w:r w:rsidR="001F6A0D" w:rsidRPr="00075DC8">
        <w:rPr>
          <w:szCs w:val="22"/>
          <w:lang w:val="fr-FR"/>
        </w:rPr>
        <w:t>'</w:t>
      </w:r>
      <w:r w:rsidRPr="00075DC8">
        <w:rPr>
          <w:szCs w:val="22"/>
          <w:lang w:val="fr-FR"/>
        </w:rPr>
        <w:t>alimentation faibles ou nulles (par exemple, les applications entièrement d</w:t>
      </w:r>
      <w:r w:rsidR="001F6A0D" w:rsidRPr="00075DC8">
        <w:rPr>
          <w:szCs w:val="22"/>
          <w:lang w:val="fr-FR"/>
        </w:rPr>
        <w:t>'</w:t>
      </w:r>
      <w:r w:rsidRPr="00075DC8">
        <w:rPr>
          <w:szCs w:val="22"/>
          <w:lang w:val="fr-FR"/>
        </w:rPr>
        <w:t xml:space="preserve">extérieur). On trouvera les configurations de rayonnement de référence dans les </w:t>
      </w:r>
      <w:hyperlink r:id="rId101" w:history="1">
        <w:r w:rsidRPr="00075DC8">
          <w:rPr>
            <w:lang w:val="fr-FR"/>
          </w:rPr>
          <w:t>Recommandations UIT-R F.699</w:t>
        </w:r>
      </w:hyperlink>
      <w:r w:rsidRPr="00075DC8">
        <w:rPr>
          <w:lang w:val="fr-FR"/>
        </w:rPr>
        <w:t xml:space="preserve"> et </w:t>
      </w:r>
      <w:hyperlink r:id="rId102" w:history="1">
        <w:r w:rsidRPr="00075DC8">
          <w:rPr>
            <w:lang w:val="fr-FR"/>
          </w:rPr>
          <w:t>UIT</w:t>
        </w:r>
        <w:r w:rsidRPr="00075DC8">
          <w:rPr>
            <w:lang w:val="fr-FR"/>
          </w:rPr>
          <w:noBreakHyphen/>
          <w:t>R F.1245</w:t>
        </w:r>
      </w:hyperlink>
      <w:r w:rsidRPr="00075DC8">
        <w:rPr>
          <w:lang w:val="fr-FR"/>
        </w:rPr>
        <w:t>. Dans les systèmes PMP, les types d</w:t>
      </w:r>
      <w:r w:rsidR="001F6A0D" w:rsidRPr="00075DC8">
        <w:rPr>
          <w:lang w:val="fr-FR"/>
        </w:rPr>
        <w:t>'</w:t>
      </w:r>
      <w:r w:rsidRPr="00075DC8">
        <w:rPr>
          <w:lang w:val="fr-FR"/>
        </w:rPr>
        <w:t xml:space="preserve">antenne </w:t>
      </w:r>
      <w:r w:rsidRPr="00075DC8">
        <w:rPr>
          <w:szCs w:val="22"/>
          <w:lang w:val="fr-FR"/>
        </w:rPr>
        <w:t xml:space="preserve">représentatifs sont les suivants: équidirectif, Yagi, parabolique et sectoriel. On trouvera les configurations de rayonnement de référence dans la </w:t>
      </w:r>
      <w:hyperlink r:id="rId103" w:history="1">
        <w:r w:rsidRPr="00075DC8">
          <w:rPr>
            <w:lang w:val="fr-FR"/>
          </w:rPr>
          <w:t>Recommandation UIT-R F.1336</w:t>
        </w:r>
      </w:hyperlink>
      <w:r w:rsidRPr="00075DC8">
        <w:rPr>
          <w:szCs w:val="22"/>
          <w:lang w:val="fr-FR"/>
        </w:rPr>
        <w:t>.</w:t>
      </w:r>
    </w:p>
    <w:p w14:paraId="62E42D70" w14:textId="77777777" w:rsidR="00725E50" w:rsidRPr="00075DC8" w:rsidRDefault="00725E50" w:rsidP="00725E50">
      <w:pPr>
        <w:rPr>
          <w:szCs w:val="22"/>
          <w:lang w:val="fr-FR"/>
        </w:rPr>
      </w:pPr>
      <w:r w:rsidRPr="00075DC8">
        <w:rPr>
          <w:szCs w:val="22"/>
          <w:lang w:val="fr-FR"/>
        </w:rPr>
        <w:t>Il convient de prendre les précautions nécessaires, compte tenu de ce que:</w:t>
      </w:r>
    </w:p>
    <w:p w14:paraId="66B010CE" w14:textId="6066FCD4" w:rsidR="00725E50" w:rsidRPr="00075DC8" w:rsidRDefault="00725E50" w:rsidP="00725E50">
      <w:pPr>
        <w:pStyle w:val="enumlev1"/>
        <w:rPr>
          <w:lang w:val="fr-FR" w:eastAsia="ja-JP"/>
        </w:rPr>
      </w:pPr>
      <w:r w:rsidRPr="00075DC8">
        <w:rPr>
          <w:lang w:val="fr-FR"/>
        </w:rPr>
        <w:t>–</w:t>
      </w:r>
      <w:r w:rsidRPr="00075DC8">
        <w:rPr>
          <w:lang w:val="fr-FR"/>
        </w:rPr>
        <w:tab/>
      </w:r>
      <w:r w:rsidR="00D46B2A" w:rsidRPr="00075DC8">
        <w:rPr>
          <w:lang w:val="fr-FR"/>
        </w:rPr>
        <w:t>d</w:t>
      </w:r>
      <w:r w:rsidRPr="00075DC8">
        <w:rPr>
          <w:lang w:val="fr-FR"/>
        </w:rPr>
        <w:t>ans les études de partage, ce n</w:t>
      </w:r>
      <w:r w:rsidR="001F6A0D" w:rsidRPr="00075DC8">
        <w:rPr>
          <w:lang w:val="fr-FR"/>
        </w:rPr>
        <w:t>'</w:t>
      </w:r>
      <w:r w:rsidRPr="00075DC8">
        <w:rPr>
          <w:lang w:val="fr-FR"/>
        </w:rPr>
        <w:t>est pas toujours la valeur maximale du gain d</w:t>
      </w:r>
      <w:r w:rsidR="001F6A0D" w:rsidRPr="00075DC8">
        <w:rPr>
          <w:lang w:val="fr-FR"/>
        </w:rPr>
        <w:t>'</w:t>
      </w:r>
      <w:r w:rsidRPr="00075DC8">
        <w:rPr>
          <w:lang w:val="fr-FR"/>
        </w:rPr>
        <w:t>antenne qui cause le plus de brouillages. Un gain d</w:t>
      </w:r>
      <w:r w:rsidR="001F6A0D" w:rsidRPr="00075DC8">
        <w:rPr>
          <w:lang w:val="fr-FR"/>
        </w:rPr>
        <w:t>'</w:t>
      </w:r>
      <w:r w:rsidRPr="00075DC8">
        <w:rPr>
          <w:lang w:val="fr-FR"/>
        </w:rPr>
        <w:t>antenne inférieur est associé à un faisceau plus large et, dans certains scénarios, cela cause plus de dommages, le service fixe étant soit la victime soit le brouilleur. Cela peut être déterminé au cas par cas pour chacun des scénarios de partage pour une plage représentative</w:t>
      </w:r>
      <w:r w:rsidR="00D46B2A" w:rsidRPr="00075DC8">
        <w:rPr>
          <w:lang w:val="fr-FR"/>
        </w:rPr>
        <w:t>;</w:t>
      </w:r>
    </w:p>
    <w:p w14:paraId="0B8196FD" w14:textId="7128CC2D" w:rsidR="00725E50" w:rsidRPr="00075DC8" w:rsidRDefault="00725E50" w:rsidP="00725E50">
      <w:pPr>
        <w:pStyle w:val="enumlev1"/>
        <w:rPr>
          <w:b/>
          <w:lang w:val="fr-FR"/>
        </w:rPr>
      </w:pPr>
      <w:r w:rsidRPr="00075DC8">
        <w:rPr>
          <w:lang w:val="fr-FR"/>
        </w:rPr>
        <w:t>–</w:t>
      </w:r>
      <w:r w:rsidRPr="00075DC8">
        <w:rPr>
          <w:lang w:val="fr-FR"/>
        </w:rPr>
        <w:tab/>
      </w:r>
      <w:r w:rsidR="00D46B2A" w:rsidRPr="00075DC8">
        <w:rPr>
          <w:lang w:val="fr-FR"/>
        </w:rPr>
        <w:t>l</w:t>
      </w:r>
      <w:r w:rsidRPr="00075DC8">
        <w:rPr>
          <w:lang w:val="fr-FR"/>
        </w:rPr>
        <w:t>a plage des gains est représentative de l</w:t>
      </w:r>
      <w:r w:rsidR="001F6A0D" w:rsidRPr="00075DC8">
        <w:rPr>
          <w:lang w:val="fr-FR"/>
        </w:rPr>
        <w:t>'</w:t>
      </w:r>
      <w:r w:rsidRPr="00075DC8">
        <w:rPr>
          <w:lang w:val="fr-FR"/>
        </w:rPr>
        <w:t>ensemble des réseaux, chaque réseau étant caractérisé par une distribution différente des valeurs des gains d</w:t>
      </w:r>
      <w:r w:rsidR="001F6A0D" w:rsidRPr="00075DC8">
        <w:rPr>
          <w:lang w:val="fr-FR"/>
        </w:rPr>
        <w:t>'</w:t>
      </w:r>
      <w:r w:rsidRPr="00075DC8">
        <w:rPr>
          <w:lang w:val="fr-FR"/>
        </w:rPr>
        <w:t>antenne. La valeur type est susceptible de se situer dans une plage donnée, qui dépend aussi de considérations d</w:t>
      </w:r>
      <w:r w:rsidR="001F6A0D" w:rsidRPr="00075DC8">
        <w:rPr>
          <w:lang w:val="fr-FR"/>
        </w:rPr>
        <w:t>'</w:t>
      </w:r>
      <w:r w:rsidRPr="00075DC8">
        <w:rPr>
          <w:lang w:val="fr-FR"/>
        </w:rPr>
        <w:t>ordre national différentes.</w:t>
      </w:r>
    </w:p>
    <w:p w14:paraId="058A2DD2" w14:textId="77777777" w:rsidR="00725E50" w:rsidRPr="00075DC8" w:rsidRDefault="00725E50" w:rsidP="00725E50">
      <w:pPr>
        <w:pStyle w:val="Heading2"/>
        <w:rPr>
          <w:lang w:val="fr-FR"/>
        </w:rPr>
      </w:pPr>
      <w:bookmarkStart w:id="74" w:name="_Toc37843621"/>
      <w:bookmarkStart w:id="75" w:name="_Toc198643843"/>
      <w:r w:rsidRPr="00075DC8">
        <w:rPr>
          <w:lang w:val="fr-FR"/>
        </w:rPr>
        <w:t>4.8</w:t>
      </w:r>
      <w:r w:rsidRPr="00075DC8">
        <w:rPr>
          <w:lang w:val="fr-FR"/>
        </w:rPr>
        <w:tab/>
        <w:t>Plage des p.i.r.e. (dBW)</w:t>
      </w:r>
      <w:bookmarkEnd w:id="74"/>
      <w:bookmarkEnd w:id="75"/>
    </w:p>
    <w:p w14:paraId="210C96D3" w14:textId="5E5739DB" w:rsidR="00725E50" w:rsidRPr="00075DC8" w:rsidRDefault="00725E50" w:rsidP="00725E50">
      <w:pPr>
        <w:rPr>
          <w:szCs w:val="22"/>
          <w:lang w:val="fr-FR" w:eastAsia="ja-JP"/>
        </w:rPr>
      </w:pPr>
      <w:r w:rsidRPr="00075DC8">
        <w:rPr>
          <w:szCs w:val="22"/>
          <w:lang w:val="fr-FR"/>
        </w:rPr>
        <w:t>La plage des p.i.r.e. dépend de la puissance de sortie susmentionnée, des pertes dues à la ligne d</w:t>
      </w:r>
      <w:r w:rsidR="001F6A0D" w:rsidRPr="00075DC8">
        <w:rPr>
          <w:szCs w:val="22"/>
          <w:lang w:val="fr-FR"/>
        </w:rPr>
        <w:t>'</w:t>
      </w:r>
      <w:r w:rsidRPr="00075DC8">
        <w:rPr>
          <w:szCs w:val="22"/>
          <w:lang w:val="fr-FR"/>
        </w:rPr>
        <w:t>alimentation et des gains d</w:t>
      </w:r>
      <w:r w:rsidR="001F6A0D" w:rsidRPr="00075DC8">
        <w:rPr>
          <w:szCs w:val="22"/>
          <w:lang w:val="fr-FR"/>
        </w:rPr>
        <w:t>'</w:t>
      </w:r>
      <w:r w:rsidRPr="00075DC8">
        <w:rPr>
          <w:szCs w:val="22"/>
          <w:lang w:val="fr-FR"/>
        </w:rPr>
        <w:t>antenne, comme suit: p.i.r.e. = (puissance de sortie au niveau de l</w:t>
      </w:r>
      <w:r w:rsidR="001F6A0D" w:rsidRPr="00075DC8">
        <w:rPr>
          <w:szCs w:val="22"/>
          <w:lang w:val="fr-FR"/>
        </w:rPr>
        <w:t>'</w:t>
      </w:r>
      <w:r w:rsidRPr="00075DC8">
        <w:rPr>
          <w:szCs w:val="22"/>
          <w:lang w:val="fr-FR"/>
        </w:rPr>
        <w:t>émetteur) + (gain d</w:t>
      </w:r>
      <w:r w:rsidR="001F6A0D" w:rsidRPr="00075DC8">
        <w:rPr>
          <w:szCs w:val="22"/>
          <w:lang w:val="fr-FR"/>
        </w:rPr>
        <w:t>'</w:t>
      </w:r>
      <w:r w:rsidRPr="00075DC8">
        <w:rPr>
          <w:szCs w:val="22"/>
          <w:lang w:val="fr-FR"/>
        </w:rPr>
        <w:t xml:space="preserve">antenne) </w:t>
      </w:r>
      <w:r w:rsidR="00FB2A75" w:rsidRPr="00075DC8">
        <w:rPr>
          <w:szCs w:val="22"/>
          <w:lang w:val="fr-FR"/>
        </w:rPr>
        <w:t>−</w:t>
      </w:r>
      <w:r w:rsidRPr="00075DC8">
        <w:rPr>
          <w:szCs w:val="22"/>
          <w:lang w:val="fr-FR"/>
        </w:rPr>
        <w:t xml:space="preserve"> (pertes dues à la ligne d</w:t>
      </w:r>
      <w:r w:rsidR="001F6A0D" w:rsidRPr="00075DC8">
        <w:rPr>
          <w:szCs w:val="22"/>
          <w:lang w:val="fr-FR"/>
        </w:rPr>
        <w:t>'</w:t>
      </w:r>
      <w:r w:rsidRPr="00075DC8">
        <w:rPr>
          <w:szCs w:val="22"/>
          <w:lang w:val="fr-FR"/>
        </w:rPr>
        <w:t>alimentation). Cependant, la plage des p.i.r.e. réelle ne doit pas être calculée comme la somme directe de la valeur la plus haute et de la valeur la plus basse, puisque les considérations suivantes s</w:t>
      </w:r>
      <w:r w:rsidR="001F6A0D" w:rsidRPr="00075DC8">
        <w:rPr>
          <w:szCs w:val="22"/>
          <w:lang w:val="fr-FR"/>
        </w:rPr>
        <w:t>'</w:t>
      </w:r>
      <w:r w:rsidRPr="00075DC8">
        <w:rPr>
          <w:szCs w:val="22"/>
          <w:lang w:val="fr-FR"/>
        </w:rPr>
        <w:t>appliquent:</w:t>
      </w:r>
    </w:p>
    <w:p w14:paraId="7B02E5B4" w14:textId="2F95B338" w:rsidR="00725E50" w:rsidRPr="00075DC8" w:rsidRDefault="00725E50" w:rsidP="00725E50">
      <w:pPr>
        <w:pStyle w:val="enumlev1"/>
        <w:rPr>
          <w:lang w:val="fr-FR"/>
        </w:rPr>
      </w:pPr>
      <w:r w:rsidRPr="00075DC8">
        <w:rPr>
          <w:lang w:val="fr-FR"/>
        </w:rPr>
        <w:t>–</w:t>
      </w:r>
      <w:r w:rsidRPr="00075DC8">
        <w:rPr>
          <w:lang w:val="fr-FR"/>
        </w:rPr>
        <w:tab/>
        <w:t>Lorsqu</w:t>
      </w:r>
      <w:r w:rsidR="001F6A0D" w:rsidRPr="00075DC8">
        <w:rPr>
          <w:lang w:val="fr-FR"/>
        </w:rPr>
        <w:t>'</w:t>
      </w:r>
      <w:r w:rsidRPr="00075DC8">
        <w:rPr>
          <w:lang w:val="fr-FR"/>
        </w:rPr>
        <w:t>une plage des pertes dues à la ligne d</w:t>
      </w:r>
      <w:r w:rsidR="001F6A0D" w:rsidRPr="00075DC8">
        <w:rPr>
          <w:lang w:val="fr-FR"/>
        </w:rPr>
        <w:t>'</w:t>
      </w:r>
      <w:r w:rsidRPr="00075DC8">
        <w:rPr>
          <w:lang w:val="fr-FR"/>
        </w:rPr>
        <w:t>alimentation est donnée, la valeur de 0 dB se réfère aux applications entièrement d</w:t>
      </w:r>
      <w:r w:rsidR="001F6A0D" w:rsidRPr="00075DC8">
        <w:rPr>
          <w:lang w:val="fr-FR"/>
        </w:rPr>
        <w:t>'</w:t>
      </w:r>
      <w:r w:rsidRPr="00075DC8">
        <w:rPr>
          <w:lang w:val="fr-FR"/>
        </w:rPr>
        <w:t>extérieur, qui habituellement ont une puissance de sortie modérée.</w:t>
      </w:r>
    </w:p>
    <w:p w14:paraId="39332E6A" w14:textId="5D196D21" w:rsidR="00725E50" w:rsidRPr="00075DC8" w:rsidRDefault="00725E50" w:rsidP="00725E50">
      <w:pPr>
        <w:pStyle w:val="enumlev1"/>
        <w:rPr>
          <w:lang w:val="fr-FR"/>
        </w:rPr>
      </w:pPr>
      <w:r w:rsidRPr="00075DC8">
        <w:rPr>
          <w:lang w:val="fr-FR"/>
        </w:rPr>
        <w:t>–</w:t>
      </w:r>
      <w:r w:rsidRPr="00075DC8">
        <w:rPr>
          <w:lang w:val="fr-FR"/>
        </w:rPr>
        <w:tab/>
        <w:t>Lorsque des limites réglementaires s</w:t>
      </w:r>
      <w:r w:rsidR="001F6A0D" w:rsidRPr="00075DC8">
        <w:rPr>
          <w:lang w:val="fr-FR"/>
        </w:rPr>
        <w:t>'</w:t>
      </w:r>
      <w:r w:rsidRPr="00075DC8">
        <w:rPr>
          <w:lang w:val="fr-FR"/>
        </w:rPr>
        <w:t>appliquent, la p.i.r.e. peut ne pas être égale à la somme de la puissance maximale et du gain maximal, diminuée des pertes minimales dues à la ligne d</w:t>
      </w:r>
      <w:r w:rsidR="001F6A0D" w:rsidRPr="00075DC8">
        <w:rPr>
          <w:lang w:val="fr-FR"/>
        </w:rPr>
        <w:t>'</w:t>
      </w:r>
      <w:r w:rsidRPr="00075DC8">
        <w:rPr>
          <w:lang w:val="fr-FR"/>
        </w:rPr>
        <w:t>alimentation (en dB).</w:t>
      </w:r>
    </w:p>
    <w:p w14:paraId="7B887471" w14:textId="4973A550" w:rsidR="00725E50" w:rsidRPr="00075DC8" w:rsidRDefault="00725E50" w:rsidP="00725E50">
      <w:pPr>
        <w:pStyle w:val="enumlev1"/>
        <w:rPr>
          <w:lang w:val="fr-FR"/>
        </w:rPr>
      </w:pPr>
      <w:r w:rsidRPr="00075DC8">
        <w:rPr>
          <w:lang w:val="fr-FR"/>
        </w:rPr>
        <w:lastRenderedPageBreak/>
        <w:t>–</w:t>
      </w:r>
      <w:r w:rsidRPr="00075DC8">
        <w:rPr>
          <w:lang w:val="fr-FR"/>
        </w:rPr>
        <w:tab/>
        <w:t>Les systèmes ayant une modulation moins complexe peuvent, en principe, avoir un émetteur à faible perte de puissance et donc une puissance plus élevée. Toutefois, une conception adaptée au bilan de liaison exigé par le marché pour cette application suggère, pour des raisons de rentabilité, de maintenir une puissance modérée. Néanmoins, lorsqu</w:t>
      </w:r>
      <w:r w:rsidR="001F6A0D" w:rsidRPr="00075DC8">
        <w:rPr>
          <w:lang w:val="fr-FR"/>
        </w:rPr>
        <w:t>'</w:t>
      </w:r>
      <w:r w:rsidRPr="00075DC8">
        <w:rPr>
          <w:lang w:val="fr-FR"/>
        </w:rPr>
        <w:t>elle est employée pour des espacements de canaux plus petits, la densité de p.i.r.e. (dBW/MHz) peut devenir plus élevée.</w:t>
      </w:r>
    </w:p>
    <w:p w14:paraId="3CE80E62" w14:textId="144065DB" w:rsidR="00725E50" w:rsidRPr="00075DC8" w:rsidRDefault="00725E50" w:rsidP="00725E50">
      <w:pPr>
        <w:pStyle w:val="enumlev1"/>
        <w:rPr>
          <w:lang w:val="fr-FR"/>
        </w:rPr>
      </w:pPr>
      <w:r w:rsidRPr="00075DC8">
        <w:rPr>
          <w:lang w:val="fr-FR"/>
        </w:rPr>
        <w:t>–</w:t>
      </w:r>
      <w:r w:rsidRPr="00075DC8">
        <w:rPr>
          <w:lang w:val="fr-FR"/>
        </w:rPr>
        <w:tab/>
        <w:t>Les systèmes ayant une modulation d</w:t>
      </w:r>
      <w:r w:rsidR="001F6A0D" w:rsidRPr="00075DC8">
        <w:rPr>
          <w:lang w:val="fr-FR"/>
        </w:rPr>
        <w:t>'</w:t>
      </w:r>
      <w:r w:rsidRPr="00075DC8">
        <w:rPr>
          <w:lang w:val="fr-FR"/>
        </w:rPr>
        <w:t>ordre plus élevé ont une plus grande perte de puissance dans l</w:t>
      </w:r>
      <w:r w:rsidR="001F6A0D" w:rsidRPr="00075DC8">
        <w:rPr>
          <w:lang w:val="fr-FR"/>
        </w:rPr>
        <w:t>'</w:t>
      </w:r>
      <w:r w:rsidRPr="00075DC8">
        <w:rPr>
          <w:lang w:val="fr-FR"/>
        </w:rPr>
        <w:t>émetteur et, lorsqu</w:t>
      </w:r>
      <w:r w:rsidR="001F6A0D" w:rsidRPr="00075DC8">
        <w:rPr>
          <w:lang w:val="fr-FR"/>
        </w:rPr>
        <w:t>'</w:t>
      </w:r>
      <w:r w:rsidRPr="00075DC8">
        <w:rPr>
          <w:lang w:val="fr-FR"/>
        </w:rPr>
        <w:t>ils sont associés à des systèmes à large bande et à grande capacité, ils utilisent la puissance maximale couramment disponible. Néanmoins, la densité de p.i.r.e. (dBW/MHz) pourrait ne pas être la plus forte parmi les applications du service fixe.</w:t>
      </w:r>
    </w:p>
    <w:p w14:paraId="2D7C9ED8" w14:textId="11E7C613" w:rsidR="00725E50" w:rsidRPr="00075DC8" w:rsidRDefault="00725E50" w:rsidP="00725E50">
      <w:pPr>
        <w:pStyle w:val="enumlev1"/>
        <w:rPr>
          <w:lang w:val="fr-FR"/>
        </w:rPr>
      </w:pPr>
      <w:r w:rsidRPr="00075DC8">
        <w:rPr>
          <w:lang w:val="fr-FR"/>
        </w:rPr>
        <w:t>–</w:t>
      </w:r>
      <w:r w:rsidRPr="00075DC8">
        <w:rPr>
          <w:lang w:val="fr-FR"/>
        </w:rPr>
        <w:tab/>
        <w:t>Dans un réseau donné, la plus grande puissance de sortie au niveau de l</w:t>
      </w:r>
      <w:r w:rsidR="001F6A0D" w:rsidRPr="00075DC8">
        <w:rPr>
          <w:lang w:val="fr-FR"/>
        </w:rPr>
        <w:t>'</w:t>
      </w:r>
      <w:r w:rsidRPr="00075DC8">
        <w:rPr>
          <w:lang w:val="fr-FR"/>
        </w:rPr>
        <w:t>émetteur n</w:t>
      </w:r>
      <w:r w:rsidR="001F6A0D" w:rsidRPr="00075DC8">
        <w:rPr>
          <w:lang w:val="fr-FR"/>
        </w:rPr>
        <w:t>'</w:t>
      </w:r>
      <w:r w:rsidRPr="00075DC8">
        <w:rPr>
          <w:lang w:val="fr-FR"/>
        </w:rPr>
        <w:t>est pas nécessairement associée au gain d</w:t>
      </w:r>
      <w:r w:rsidR="001F6A0D" w:rsidRPr="00075DC8">
        <w:rPr>
          <w:lang w:val="fr-FR"/>
        </w:rPr>
        <w:t>'</w:t>
      </w:r>
      <w:r w:rsidRPr="00075DC8">
        <w:rPr>
          <w:lang w:val="fr-FR"/>
        </w:rPr>
        <w:t>antenne le plus élevé.</w:t>
      </w:r>
    </w:p>
    <w:p w14:paraId="20E684C2" w14:textId="50882D3F" w:rsidR="00725E50" w:rsidRPr="00075DC8" w:rsidRDefault="00725E50" w:rsidP="00725E50">
      <w:pPr>
        <w:rPr>
          <w:szCs w:val="22"/>
          <w:lang w:val="fr-FR" w:eastAsia="ja-JP"/>
        </w:rPr>
      </w:pPr>
      <w:r w:rsidRPr="00075DC8">
        <w:rPr>
          <w:szCs w:val="22"/>
          <w:lang w:val="fr-FR"/>
        </w:rPr>
        <w:t>La p.i.r.e. pour différentes directions d</w:t>
      </w:r>
      <w:r w:rsidR="001F6A0D" w:rsidRPr="00075DC8">
        <w:rPr>
          <w:szCs w:val="22"/>
          <w:lang w:val="fr-FR"/>
        </w:rPr>
        <w:t>'</w:t>
      </w:r>
      <w:r w:rsidRPr="00075DC8">
        <w:rPr>
          <w:szCs w:val="22"/>
          <w:lang w:val="fr-FR"/>
        </w:rPr>
        <w:t>antenne peut être calculée en tenant compte de la configuration de rayonnement de l</w:t>
      </w:r>
      <w:r w:rsidR="001F6A0D" w:rsidRPr="00075DC8">
        <w:rPr>
          <w:szCs w:val="22"/>
          <w:lang w:val="fr-FR"/>
        </w:rPr>
        <w:t>'</w:t>
      </w:r>
      <w:r w:rsidRPr="00075DC8">
        <w:rPr>
          <w:szCs w:val="22"/>
          <w:lang w:val="fr-FR"/>
        </w:rPr>
        <w:t>antenne.</w:t>
      </w:r>
    </w:p>
    <w:p w14:paraId="467FDA79" w14:textId="77777777" w:rsidR="00725E50" w:rsidRPr="00075DC8" w:rsidRDefault="00725E50" w:rsidP="00725E50">
      <w:pPr>
        <w:pStyle w:val="Heading2"/>
        <w:rPr>
          <w:lang w:val="fr-FR"/>
        </w:rPr>
      </w:pPr>
      <w:bookmarkStart w:id="76" w:name="_Toc37843622"/>
      <w:bookmarkStart w:id="77" w:name="_Toc198643844"/>
      <w:r w:rsidRPr="00075DC8">
        <w:rPr>
          <w:lang w:val="fr-FR"/>
        </w:rPr>
        <w:t>4.9</w:t>
      </w:r>
      <w:r w:rsidRPr="00075DC8">
        <w:rPr>
          <w:lang w:val="fr-FR"/>
        </w:rPr>
        <w:tab/>
        <w:t>Plage des densités de p.i.r.e. (dBW/MHz)</w:t>
      </w:r>
      <w:bookmarkEnd w:id="76"/>
      <w:bookmarkEnd w:id="77"/>
    </w:p>
    <w:p w14:paraId="31ED1F30" w14:textId="1CEC83EA" w:rsidR="00725E50" w:rsidRPr="00075DC8" w:rsidRDefault="00725E50" w:rsidP="00725E50">
      <w:pPr>
        <w:rPr>
          <w:szCs w:val="22"/>
          <w:lang w:val="fr-FR"/>
        </w:rPr>
      </w:pPr>
      <w:r w:rsidRPr="00075DC8">
        <w:rPr>
          <w:szCs w:val="22"/>
          <w:lang w:val="fr-FR"/>
        </w:rPr>
        <w:t>Dans les études de partage ou de compatibilité, la densité spectrale de p.i.r.e. est souvent utilisée. Elle peut être facilement obtenue par l</w:t>
      </w:r>
      <w:r w:rsidR="001F6A0D" w:rsidRPr="00075DC8">
        <w:rPr>
          <w:szCs w:val="22"/>
          <w:lang w:val="fr-FR"/>
        </w:rPr>
        <w:t>'</w:t>
      </w:r>
      <w:r w:rsidRPr="00075DC8">
        <w:rPr>
          <w:szCs w:val="22"/>
          <w:lang w:val="fr-FR"/>
        </w:rPr>
        <w:t>application du facteur d</w:t>
      </w:r>
      <w:r w:rsidR="001F6A0D" w:rsidRPr="00075DC8">
        <w:rPr>
          <w:szCs w:val="22"/>
          <w:lang w:val="fr-FR"/>
        </w:rPr>
        <w:t>'</w:t>
      </w:r>
      <w:r w:rsidRPr="00075DC8">
        <w:rPr>
          <w:szCs w:val="22"/>
          <w:lang w:val="fr-FR"/>
        </w:rPr>
        <w:t>échelle largeur de bande, pour les liaisons dans le réseau considéré: densité p.i.r.e. (dBW/MHz) = p.i.r.e. (dBW) </w:t>
      </w:r>
      <w:r w:rsidR="00E8215E" w:rsidRPr="00075DC8">
        <w:rPr>
          <w:lang w:val="fr-FR"/>
        </w:rPr>
        <w:t xml:space="preserve">− </w:t>
      </w:r>
      <w:r w:rsidRPr="00075DC8">
        <w:rPr>
          <w:szCs w:val="22"/>
          <w:lang w:val="fr-FR"/>
        </w:rPr>
        <w:t>10 log (espacement entre les canaux en MHz).</w:t>
      </w:r>
    </w:p>
    <w:p w14:paraId="70D235FF" w14:textId="77777777" w:rsidR="00725E50" w:rsidRPr="00075DC8" w:rsidRDefault="00725E50" w:rsidP="00725E50">
      <w:pPr>
        <w:rPr>
          <w:szCs w:val="22"/>
          <w:lang w:val="fr-FR"/>
        </w:rPr>
      </w:pPr>
      <w:r w:rsidRPr="00075DC8">
        <w:rPr>
          <w:szCs w:val="22"/>
          <w:lang w:val="fr-FR"/>
        </w:rPr>
        <w:t>Dans certains cas, un mode est aussi fourni, le mode étant le paramètre statistique pour la valeur rencontrée le plus souvent.</w:t>
      </w:r>
    </w:p>
    <w:p w14:paraId="4B6E755E" w14:textId="77777777" w:rsidR="00725E50" w:rsidRPr="00075DC8" w:rsidRDefault="00725E50" w:rsidP="00725E50">
      <w:pPr>
        <w:pStyle w:val="Heading2"/>
        <w:rPr>
          <w:lang w:val="fr-FR"/>
        </w:rPr>
      </w:pPr>
      <w:bookmarkStart w:id="78" w:name="_Toc37843623"/>
      <w:bookmarkStart w:id="79" w:name="_Toc198643845"/>
      <w:r w:rsidRPr="00075DC8">
        <w:rPr>
          <w:lang w:val="fr-FR"/>
        </w:rPr>
        <w:t>4.10</w:t>
      </w:r>
      <w:r w:rsidRPr="00075DC8">
        <w:rPr>
          <w:lang w:val="fr-FR"/>
        </w:rPr>
        <w:tab/>
        <w:t>Facteur de bruit type du récepteur (dB)</w:t>
      </w:r>
      <w:bookmarkEnd w:id="78"/>
      <w:bookmarkEnd w:id="79"/>
    </w:p>
    <w:p w14:paraId="67996931" w14:textId="22577195" w:rsidR="00725E50" w:rsidRPr="00075DC8" w:rsidRDefault="00725E50" w:rsidP="00725E50">
      <w:pPr>
        <w:rPr>
          <w:szCs w:val="22"/>
          <w:lang w:val="fr-FR"/>
        </w:rPr>
      </w:pPr>
      <w:r w:rsidRPr="00075DC8">
        <w:rPr>
          <w:szCs w:val="22"/>
          <w:lang w:val="fr-FR"/>
        </w:rPr>
        <w:t>Le facteur de bruit du récepteur inclut les pertes dans le filtre qui y est placé. La valeur correspond à un équilibre en matière de rentabilité pour l</w:t>
      </w:r>
      <w:r w:rsidR="001F6A0D" w:rsidRPr="00075DC8">
        <w:rPr>
          <w:szCs w:val="22"/>
          <w:lang w:val="fr-FR"/>
        </w:rPr>
        <w:t>'</w:t>
      </w:r>
      <w:r w:rsidRPr="00075DC8">
        <w:rPr>
          <w:szCs w:val="22"/>
          <w:lang w:val="fr-FR"/>
        </w:rPr>
        <w:t>application (dépendant surtout du bilan de liaison qui est visé dans la conception du système).</w:t>
      </w:r>
    </w:p>
    <w:p w14:paraId="03657909" w14:textId="77777777" w:rsidR="00725E50" w:rsidRPr="00075DC8" w:rsidRDefault="00725E50" w:rsidP="00725E50">
      <w:pPr>
        <w:pStyle w:val="Heading2"/>
        <w:rPr>
          <w:lang w:val="fr-FR"/>
        </w:rPr>
      </w:pPr>
      <w:bookmarkStart w:id="80" w:name="_Toc37843624"/>
      <w:bookmarkStart w:id="81" w:name="_Toc198643846"/>
      <w:r w:rsidRPr="00075DC8">
        <w:rPr>
          <w:lang w:val="fr-FR"/>
        </w:rPr>
        <w:t>4.11</w:t>
      </w:r>
      <w:r w:rsidRPr="00075DC8">
        <w:rPr>
          <w:lang w:val="fr-FR"/>
        </w:rPr>
        <w:tab/>
        <w:t>Densité type de puissance de bruit du récepteur (dBW/MHz)</w:t>
      </w:r>
      <w:bookmarkEnd w:id="80"/>
      <w:bookmarkEnd w:id="81"/>
    </w:p>
    <w:p w14:paraId="66E107E3" w14:textId="3E7913CF" w:rsidR="00725E50" w:rsidRPr="00075DC8" w:rsidRDefault="00725E50" w:rsidP="00725E50">
      <w:pPr>
        <w:rPr>
          <w:szCs w:val="22"/>
          <w:lang w:val="fr-FR" w:eastAsia="ja-JP"/>
        </w:rPr>
      </w:pPr>
      <w:r w:rsidRPr="00075DC8">
        <w:rPr>
          <w:szCs w:val="22"/>
          <w:lang w:val="fr-FR" w:eastAsia="ja-JP"/>
        </w:rPr>
        <w:t>La densité type de puissance de bruit du récepteur est calculée à partir de la densité de puissance du bruit thermique et s</w:t>
      </w:r>
      <w:r w:rsidR="001F6A0D" w:rsidRPr="00075DC8">
        <w:rPr>
          <w:szCs w:val="22"/>
          <w:lang w:val="fr-FR" w:eastAsia="ja-JP"/>
        </w:rPr>
        <w:t>'</w:t>
      </w:r>
      <w:r w:rsidRPr="00075DC8">
        <w:rPr>
          <w:szCs w:val="22"/>
          <w:lang w:val="fr-FR" w:eastAsia="ja-JP"/>
        </w:rPr>
        <w:t>écrit comme suit:</w:t>
      </w:r>
      <w:r w:rsidRPr="00075DC8">
        <w:rPr>
          <w:szCs w:val="22"/>
          <w:lang w:val="fr-FR"/>
        </w:rPr>
        <w:t xml:space="preserve"> </w:t>
      </w:r>
      <w:r w:rsidR="00E8215E" w:rsidRPr="00075DC8">
        <w:rPr>
          <w:lang w:val="fr-FR"/>
        </w:rPr>
        <w:t>−</w:t>
      </w:r>
      <w:r w:rsidRPr="00075DC8">
        <w:rPr>
          <w:szCs w:val="22"/>
          <w:lang w:val="fr-FR"/>
        </w:rPr>
        <w:t>144 dBW/MHz + facteur de bruit. La puissance absolue de bruit du récepteur peut s</w:t>
      </w:r>
      <w:r w:rsidR="001F6A0D" w:rsidRPr="00075DC8">
        <w:rPr>
          <w:szCs w:val="22"/>
          <w:lang w:val="fr-FR"/>
        </w:rPr>
        <w:t>'</w:t>
      </w:r>
      <w:r w:rsidRPr="00075DC8">
        <w:rPr>
          <w:szCs w:val="22"/>
          <w:lang w:val="fr-FR"/>
        </w:rPr>
        <w:t>obtenir en ajoutant le facteur nominal largeur de bande du bruit = 10 log (espacement entre les canaux en MHz).</w:t>
      </w:r>
    </w:p>
    <w:p w14:paraId="61F88374" w14:textId="1A715C55" w:rsidR="00725E50" w:rsidRPr="00075DC8" w:rsidRDefault="00725E50" w:rsidP="00725E50">
      <w:pPr>
        <w:pStyle w:val="Heading2"/>
        <w:rPr>
          <w:lang w:val="fr-FR"/>
        </w:rPr>
      </w:pPr>
      <w:bookmarkStart w:id="82" w:name="_Toc37843625"/>
      <w:bookmarkStart w:id="83" w:name="_Toc198643847"/>
      <w:r w:rsidRPr="00075DC8">
        <w:rPr>
          <w:lang w:val="fr-FR"/>
        </w:rPr>
        <w:t>4.12</w:t>
      </w:r>
      <w:r w:rsidRPr="00075DC8">
        <w:rPr>
          <w:lang w:val="fr-FR"/>
        </w:rPr>
        <w:tab/>
        <w:t>Niveau normalisé à l</w:t>
      </w:r>
      <w:r w:rsidR="001F6A0D" w:rsidRPr="00075DC8">
        <w:rPr>
          <w:lang w:val="fr-FR"/>
        </w:rPr>
        <w:t>'</w:t>
      </w:r>
      <w:r w:rsidRPr="00075DC8">
        <w:rPr>
          <w:lang w:val="fr-FR"/>
        </w:rPr>
        <w:t>entrée du récepteur pour un taux BER de 1 × 10</w:t>
      </w:r>
      <w:r w:rsidRPr="00075DC8">
        <w:rPr>
          <w:vertAlign w:val="superscript"/>
          <w:lang w:val="fr-FR"/>
        </w:rPr>
        <w:t>−6</w:t>
      </w:r>
      <w:r w:rsidRPr="00075DC8">
        <w:rPr>
          <w:lang w:val="fr-FR"/>
        </w:rPr>
        <w:t xml:space="preserve"> (dBW/MHz)</w:t>
      </w:r>
      <w:bookmarkEnd w:id="82"/>
      <w:bookmarkEnd w:id="83"/>
    </w:p>
    <w:p w14:paraId="15D7D9E0" w14:textId="3903A71D" w:rsidR="00725E50" w:rsidRPr="00075DC8" w:rsidRDefault="00725E50" w:rsidP="00725E50">
      <w:pPr>
        <w:rPr>
          <w:szCs w:val="22"/>
          <w:lang w:val="fr-FR"/>
        </w:rPr>
      </w:pPr>
      <w:r w:rsidRPr="00075DC8">
        <w:rPr>
          <w:szCs w:val="22"/>
          <w:lang w:val="fr-FR"/>
        </w:rPr>
        <w:t>Le niveau normalisé à l</w:t>
      </w:r>
      <w:r w:rsidR="001F6A0D" w:rsidRPr="00075DC8">
        <w:rPr>
          <w:szCs w:val="22"/>
          <w:lang w:val="fr-FR"/>
        </w:rPr>
        <w:t>'</w:t>
      </w:r>
      <w:r w:rsidRPr="00075DC8">
        <w:rPr>
          <w:szCs w:val="22"/>
          <w:lang w:val="fr-FR"/>
        </w:rPr>
        <w:t>entrée du récepteur pour un taux BER de 1 × 10</w:t>
      </w:r>
      <w:r w:rsidRPr="00075DC8">
        <w:rPr>
          <w:szCs w:val="22"/>
          <w:vertAlign w:val="superscript"/>
          <w:lang w:val="fr-FR"/>
        </w:rPr>
        <w:t>−6</w:t>
      </w:r>
      <w:r w:rsidRPr="00075DC8">
        <w:rPr>
          <w:szCs w:val="22"/>
          <w:lang w:val="fr-FR"/>
        </w:rPr>
        <w:t xml:space="preserve"> dépend du rapport correspondant </w:t>
      </w:r>
      <w:r w:rsidRPr="00075DC8">
        <w:rPr>
          <w:i/>
          <w:iCs/>
          <w:szCs w:val="22"/>
          <w:lang w:val="fr-FR"/>
        </w:rPr>
        <w:t>S</w:t>
      </w:r>
      <w:r w:rsidRPr="00075DC8">
        <w:rPr>
          <w:szCs w:val="22"/>
          <w:lang w:val="fr-FR"/>
        </w:rPr>
        <w:t>/</w:t>
      </w:r>
      <w:r w:rsidRPr="00075DC8">
        <w:rPr>
          <w:i/>
          <w:iCs/>
          <w:szCs w:val="22"/>
          <w:lang w:val="fr-FR"/>
        </w:rPr>
        <w:t>N</w:t>
      </w:r>
      <w:r w:rsidRPr="00075DC8">
        <w:rPr>
          <w:szCs w:val="22"/>
          <w:lang w:val="fr-FR"/>
        </w:rPr>
        <w:t xml:space="preserve"> pour le format de modulation effectif et de la largeur de bande du canal. Il peut être calculé à partir de la densité de puissance de bruit du récepteur à l</w:t>
      </w:r>
      <w:r w:rsidR="001F6A0D" w:rsidRPr="00075DC8">
        <w:rPr>
          <w:szCs w:val="22"/>
          <w:lang w:val="fr-FR"/>
        </w:rPr>
        <w:t>'</w:t>
      </w:r>
      <w:r w:rsidRPr="00075DC8">
        <w:rPr>
          <w:szCs w:val="22"/>
          <w:lang w:val="fr-FR"/>
        </w:rPr>
        <w:t>aide de la formule suivante:</w:t>
      </w:r>
    </w:p>
    <w:p w14:paraId="14CE2CF6" w14:textId="08F30B76" w:rsidR="00725E50" w:rsidRPr="00075DC8" w:rsidRDefault="00725E50" w:rsidP="00725E50">
      <w:pPr>
        <w:rPr>
          <w:szCs w:val="22"/>
          <w:lang w:val="fr-FR"/>
        </w:rPr>
      </w:pPr>
      <w:r w:rsidRPr="00075DC8">
        <w:rPr>
          <w:szCs w:val="22"/>
          <w:lang w:val="fr-FR"/>
        </w:rPr>
        <w:t>Niveau normalisé à l</w:t>
      </w:r>
      <w:r w:rsidR="001F6A0D" w:rsidRPr="00075DC8">
        <w:rPr>
          <w:szCs w:val="22"/>
          <w:lang w:val="fr-FR"/>
        </w:rPr>
        <w:t>'</w:t>
      </w:r>
      <w:r w:rsidRPr="00075DC8">
        <w:rPr>
          <w:szCs w:val="22"/>
          <w:lang w:val="fr-FR"/>
        </w:rPr>
        <w:t xml:space="preserve">entrée du récepteur (dBW/MHz) = densité de puissance de bruit du récepteur (dBW/MHz) + </w:t>
      </w:r>
      <w:r w:rsidRPr="00075DC8">
        <w:rPr>
          <w:i/>
          <w:szCs w:val="22"/>
          <w:lang w:val="fr-FR"/>
        </w:rPr>
        <w:t>S</w:t>
      </w:r>
      <w:r w:rsidRPr="00075DC8">
        <w:rPr>
          <w:szCs w:val="22"/>
          <w:lang w:val="fr-FR"/>
        </w:rPr>
        <w:t>/</w:t>
      </w:r>
      <w:r w:rsidRPr="00075DC8">
        <w:rPr>
          <w:i/>
          <w:szCs w:val="22"/>
          <w:lang w:val="fr-FR"/>
        </w:rPr>
        <w:t>N</w:t>
      </w:r>
      <w:r w:rsidRPr="00075DC8">
        <w:rPr>
          <w:szCs w:val="22"/>
          <w:lang w:val="fr-FR"/>
        </w:rPr>
        <w:t xml:space="preserve"> (dB). </w:t>
      </w:r>
    </w:p>
    <w:p w14:paraId="449F90E4" w14:textId="10C57EF8" w:rsidR="00725E50" w:rsidRPr="00075DC8" w:rsidRDefault="00725E50" w:rsidP="00725E50">
      <w:pPr>
        <w:rPr>
          <w:szCs w:val="22"/>
          <w:lang w:val="fr-FR"/>
        </w:rPr>
      </w:pPr>
      <w:r w:rsidRPr="00075DC8">
        <w:rPr>
          <w:szCs w:val="22"/>
          <w:lang w:val="fr-FR"/>
        </w:rPr>
        <w:t>Le niveau effectif à l</w:t>
      </w:r>
      <w:r w:rsidR="001F6A0D" w:rsidRPr="00075DC8">
        <w:rPr>
          <w:szCs w:val="22"/>
          <w:lang w:val="fr-FR"/>
        </w:rPr>
        <w:t>'</w:t>
      </w:r>
      <w:r w:rsidRPr="00075DC8">
        <w:rPr>
          <w:szCs w:val="22"/>
          <w:lang w:val="fr-FR"/>
        </w:rPr>
        <w:t>entrée du récepteur s</w:t>
      </w:r>
      <w:r w:rsidR="001F6A0D" w:rsidRPr="00075DC8">
        <w:rPr>
          <w:szCs w:val="22"/>
          <w:lang w:val="fr-FR"/>
        </w:rPr>
        <w:t>'</w:t>
      </w:r>
      <w:r w:rsidRPr="00075DC8">
        <w:rPr>
          <w:szCs w:val="22"/>
          <w:lang w:val="fr-FR"/>
        </w:rPr>
        <w:t>obtient en ajoutant le facteur nominal largeur de bande du bruit = 10 log (espacement entre les canaux en MHz).</w:t>
      </w:r>
    </w:p>
    <w:p w14:paraId="38864528" w14:textId="77777777" w:rsidR="00725E50" w:rsidRPr="00075DC8" w:rsidRDefault="00725E50" w:rsidP="00725E50">
      <w:pPr>
        <w:rPr>
          <w:szCs w:val="22"/>
          <w:lang w:val="fr-FR"/>
        </w:rPr>
      </w:pPr>
      <w:r w:rsidRPr="00075DC8">
        <w:rPr>
          <w:szCs w:val="22"/>
          <w:lang w:val="fr-FR"/>
        </w:rPr>
        <w:t xml:space="preserve">Des informations sur la valeur théorique </w:t>
      </w:r>
      <w:r w:rsidRPr="00075DC8">
        <w:rPr>
          <w:i/>
          <w:iCs/>
          <w:szCs w:val="22"/>
          <w:lang w:val="fr-FR"/>
        </w:rPr>
        <w:t>S</w:t>
      </w:r>
      <w:r w:rsidRPr="00075DC8">
        <w:rPr>
          <w:szCs w:val="22"/>
          <w:lang w:val="fr-FR"/>
        </w:rPr>
        <w:t>/</w:t>
      </w:r>
      <w:r w:rsidRPr="00075DC8">
        <w:rPr>
          <w:i/>
          <w:iCs/>
          <w:szCs w:val="22"/>
          <w:lang w:val="fr-FR"/>
        </w:rPr>
        <w:t>N</w:t>
      </w:r>
      <w:r w:rsidRPr="00075DC8">
        <w:rPr>
          <w:szCs w:val="22"/>
          <w:lang w:val="fr-FR"/>
        </w:rPr>
        <w:t xml:space="preserve"> pour plusieurs formats de modulation, codés et non codés, sont données dans la </w:t>
      </w:r>
      <w:hyperlink r:id="rId104" w:history="1">
        <w:r w:rsidRPr="00075DC8">
          <w:rPr>
            <w:lang w:val="fr-FR"/>
          </w:rPr>
          <w:t>Recommandation UIT-R F.1101</w:t>
        </w:r>
      </w:hyperlink>
      <w:r w:rsidRPr="00075DC8">
        <w:rPr>
          <w:lang w:val="fr-FR"/>
        </w:rPr>
        <w:t>.</w:t>
      </w:r>
      <w:r w:rsidRPr="00075DC8">
        <w:rPr>
          <w:szCs w:val="22"/>
          <w:lang w:val="fr-FR"/>
        </w:rPr>
        <w:t xml:space="preserve"> Lorsque des données sont disponibles concernant la valeur type </w:t>
      </w:r>
      <w:r w:rsidRPr="00075DC8">
        <w:rPr>
          <w:i/>
          <w:iCs/>
          <w:szCs w:val="22"/>
          <w:lang w:val="fr-FR"/>
        </w:rPr>
        <w:t>S</w:t>
      </w:r>
      <w:r w:rsidRPr="00075DC8">
        <w:rPr>
          <w:szCs w:val="22"/>
          <w:lang w:val="fr-FR"/>
        </w:rPr>
        <w:t>/</w:t>
      </w:r>
      <w:r w:rsidRPr="00075DC8">
        <w:rPr>
          <w:i/>
          <w:iCs/>
          <w:szCs w:val="22"/>
          <w:lang w:val="fr-FR"/>
        </w:rPr>
        <w:t>N</w:t>
      </w:r>
      <w:r w:rsidRPr="00075DC8">
        <w:rPr>
          <w:szCs w:val="22"/>
          <w:lang w:val="fr-FR"/>
        </w:rPr>
        <w:t xml:space="preserve"> prévue, gain de codage compris, il en est fait état dans le tableau. Sinon, les valeurs dans le Tableau sont déduites de ladite Recommandation en supposant que, dans les </w:t>
      </w:r>
      <w:r w:rsidRPr="00075DC8">
        <w:rPr>
          <w:szCs w:val="22"/>
          <w:lang w:val="fr-FR"/>
        </w:rPr>
        <w:lastRenderedPageBreak/>
        <w:t xml:space="preserve">systèmes actuels, le gain de codage effectif recouvre au moins les pertes dues à la mise en œuvre. Il convient de noter que la </w:t>
      </w:r>
      <w:hyperlink r:id="rId105" w:history="1">
        <w:r w:rsidRPr="00075DC8">
          <w:rPr>
            <w:lang w:val="fr-FR"/>
          </w:rPr>
          <w:t>Recommandation UIT-R F.1101</w:t>
        </w:r>
      </w:hyperlink>
      <w:r w:rsidRPr="00075DC8">
        <w:rPr>
          <w:szCs w:val="22"/>
          <w:lang w:val="fr-FR"/>
        </w:rPr>
        <w:t xml:space="preserve"> concerne les systèmes du service fixe qui fonctionnent au-dessous de 17 GHz environ, comme indiqué dans son titre. Toutefois, les valeurs théoriques </w:t>
      </w:r>
      <w:r w:rsidRPr="00075DC8">
        <w:rPr>
          <w:i/>
          <w:iCs/>
          <w:szCs w:val="22"/>
          <w:lang w:val="fr-FR"/>
        </w:rPr>
        <w:t>S</w:t>
      </w:r>
      <w:r w:rsidRPr="00075DC8">
        <w:rPr>
          <w:szCs w:val="22"/>
          <w:lang w:val="fr-FR"/>
        </w:rPr>
        <w:t>/</w:t>
      </w:r>
      <w:r w:rsidRPr="00075DC8">
        <w:rPr>
          <w:i/>
          <w:iCs/>
          <w:szCs w:val="22"/>
          <w:lang w:val="fr-FR"/>
        </w:rPr>
        <w:t>N</w:t>
      </w:r>
      <w:r w:rsidRPr="00075DC8">
        <w:rPr>
          <w:szCs w:val="22"/>
          <w:lang w:val="fr-FR"/>
        </w:rPr>
        <w:t xml:space="preserve"> figurant dans ladite Recommandation peuvent être appliquées aux systèmes du service fixe fonctionnant au-dessus de 17 GHz.</w:t>
      </w:r>
    </w:p>
    <w:p w14:paraId="1217F091" w14:textId="77777777" w:rsidR="00725E50" w:rsidRPr="00075DC8" w:rsidRDefault="00725E50" w:rsidP="00725E50">
      <w:pPr>
        <w:pStyle w:val="Heading2"/>
        <w:rPr>
          <w:lang w:val="fr-FR"/>
        </w:rPr>
      </w:pPr>
      <w:bookmarkStart w:id="84" w:name="_Toc37843626"/>
      <w:bookmarkStart w:id="85" w:name="_Toc198643848"/>
      <w:r w:rsidRPr="00075DC8">
        <w:rPr>
          <w:lang w:val="fr-FR"/>
        </w:rPr>
        <w:t>4.13</w:t>
      </w:r>
      <w:r w:rsidRPr="00075DC8">
        <w:rPr>
          <w:lang w:val="fr-FR"/>
        </w:rPr>
        <w:tab/>
        <w:t>Densité nominale de puissance de brouillage de longue durée (dBW/MHz)</w:t>
      </w:r>
      <w:bookmarkEnd w:id="84"/>
      <w:bookmarkEnd w:id="85"/>
    </w:p>
    <w:p w14:paraId="3B74A6C5" w14:textId="0F681B99" w:rsidR="00725E50" w:rsidRPr="00075DC8" w:rsidRDefault="00725E50" w:rsidP="00725E50">
      <w:pPr>
        <w:rPr>
          <w:szCs w:val="22"/>
          <w:lang w:val="fr-FR"/>
        </w:rPr>
      </w:pPr>
      <w:r w:rsidRPr="00075DC8">
        <w:rPr>
          <w:szCs w:val="22"/>
          <w:lang w:val="fr-FR"/>
        </w:rPr>
        <w:t xml:space="preserve">La densité de puissance du brouillage de longue durée figurant dans les Tableaux 6 à 14 et dans les Tableaux 16 à 19 est égale à </w:t>
      </w:r>
      <w:r w:rsidRPr="00075DC8">
        <w:rPr>
          <w:i/>
          <w:iCs/>
          <w:szCs w:val="22"/>
          <w:lang w:val="fr-FR"/>
        </w:rPr>
        <w:t>N</w:t>
      </w:r>
      <w:r w:rsidRPr="00075DC8">
        <w:rPr>
          <w:i/>
          <w:iCs/>
          <w:szCs w:val="22"/>
          <w:vertAlign w:val="subscript"/>
          <w:lang w:val="fr-FR"/>
        </w:rPr>
        <w:t>RX</w:t>
      </w:r>
      <w:r w:rsidRPr="00075DC8">
        <w:rPr>
          <w:szCs w:val="22"/>
          <w:lang w:val="fr-FR"/>
        </w:rPr>
        <w:t> + </w:t>
      </w:r>
      <w:r w:rsidRPr="00075DC8">
        <w:rPr>
          <w:i/>
          <w:iCs/>
          <w:szCs w:val="22"/>
          <w:lang w:val="fr-FR"/>
        </w:rPr>
        <w:t>I</w:t>
      </w:r>
      <w:r w:rsidRPr="00075DC8">
        <w:rPr>
          <w:szCs w:val="22"/>
          <w:lang w:val="fr-FR"/>
        </w:rPr>
        <w:t>/</w:t>
      </w:r>
      <w:r w:rsidRPr="00075DC8">
        <w:rPr>
          <w:i/>
          <w:iCs/>
          <w:szCs w:val="22"/>
          <w:lang w:val="fr-FR"/>
        </w:rPr>
        <w:t>N</w:t>
      </w:r>
      <w:r w:rsidRPr="00075DC8">
        <w:rPr>
          <w:szCs w:val="22"/>
          <w:lang w:val="fr-FR"/>
        </w:rPr>
        <w:t>. Cette valeur sert de point de départ pour les études de partage ou de compatibilité. Bien qu</w:t>
      </w:r>
      <w:r w:rsidR="001F6A0D" w:rsidRPr="00075DC8">
        <w:rPr>
          <w:szCs w:val="22"/>
          <w:lang w:val="fr-FR"/>
        </w:rPr>
        <w:t>'</w:t>
      </w:r>
      <w:r w:rsidRPr="00075DC8">
        <w:rPr>
          <w:szCs w:val="22"/>
          <w:lang w:val="fr-FR"/>
        </w:rPr>
        <w:t xml:space="preserve">une valeur pour </w:t>
      </w:r>
      <w:r w:rsidRPr="00075DC8">
        <w:rPr>
          <w:i/>
          <w:iCs/>
          <w:szCs w:val="22"/>
          <w:lang w:val="fr-FR"/>
        </w:rPr>
        <w:t>N</w:t>
      </w:r>
      <w:r w:rsidRPr="00075DC8">
        <w:rPr>
          <w:i/>
          <w:iCs/>
          <w:szCs w:val="22"/>
          <w:vertAlign w:val="subscript"/>
          <w:lang w:val="fr-FR"/>
        </w:rPr>
        <w:t>RX</w:t>
      </w:r>
      <w:r w:rsidRPr="00075DC8">
        <w:rPr>
          <w:szCs w:val="22"/>
          <w:lang w:val="fr-FR"/>
        </w:rPr>
        <w:t xml:space="preserve"> soit donnée dans la deuxième ligne au</w:t>
      </w:r>
      <w:r w:rsidRPr="00075DC8">
        <w:rPr>
          <w:szCs w:val="22"/>
          <w:lang w:val="fr-FR"/>
        </w:rPr>
        <w:noBreakHyphen/>
        <w:t xml:space="preserve">dessus de cette rubrique dans chacune des colonnes de ces Tableaux, la valeur appropriée de </w:t>
      </w:r>
      <w:r w:rsidRPr="00075DC8">
        <w:rPr>
          <w:i/>
          <w:iCs/>
          <w:szCs w:val="22"/>
          <w:lang w:val="fr-FR"/>
        </w:rPr>
        <w:t>I</w:t>
      </w:r>
      <w:r w:rsidRPr="00075DC8">
        <w:rPr>
          <w:szCs w:val="22"/>
          <w:lang w:val="fr-FR"/>
        </w:rPr>
        <w:t>/</w:t>
      </w:r>
      <w:r w:rsidRPr="00075DC8">
        <w:rPr>
          <w:i/>
          <w:iCs/>
          <w:szCs w:val="22"/>
          <w:lang w:val="fr-FR"/>
        </w:rPr>
        <w:t>N</w:t>
      </w:r>
      <w:r w:rsidRPr="00075DC8">
        <w:rPr>
          <w:szCs w:val="22"/>
          <w:lang w:val="fr-FR"/>
        </w:rPr>
        <w:t xml:space="preserve"> dépend de la bande de fréquences et des conditions de partage ou de compatibilité, comme indiqué dans le Tableau 5 ci-dessous. Dans la plupart des cas, par le passé, une valeur cumulée de −10 dB a été employée pour les conditions de partage avec un service bénéficiant d</w:t>
      </w:r>
      <w:r w:rsidR="001F6A0D" w:rsidRPr="00075DC8">
        <w:rPr>
          <w:szCs w:val="22"/>
          <w:lang w:val="fr-FR"/>
        </w:rPr>
        <w:t>'</w:t>
      </w:r>
      <w:r w:rsidRPr="00075DC8">
        <w:rPr>
          <w:szCs w:val="22"/>
          <w:lang w:val="fr-FR"/>
        </w:rPr>
        <w:t>attributions à titre primaire avec égalité de droits. Toutefois, d</w:t>
      </w:r>
      <w:r w:rsidR="001F6A0D" w:rsidRPr="00075DC8">
        <w:rPr>
          <w:szCs w:val="22"/>
          <w:lang w:val="fr-FR"/>
        </w:rPr>
        <w:t>'</w:t>
      </w:r>
      <w:r w:rsidRPr="00075DC8">
        <w:rPr>
          <w:szCs w:val="22"/>
          <w:lang w:val="fr-FR"/>
        </w:rPr>
        <w:t>autres valeurs ont aussi été employées ou mises au point dans les études de partage ou de compatibilité, dans différents environnements de brouillage.</w:t>
      </w:r>
    </w:p>
    <w:p w14:paraId="052EA0F9" w14:textId="748AFFE0" w:rsidR="00725E50" w:rsidRPr="00075DC8" w:rsidRDefault="00725E50" w:rsidP="00725E50">
      <w:pPr>
        <w:rPr>
          <w:szCs w:val="22"/>
          <w:lang w:val="fr-FR"/>
        </w:rPr>
      </w:pPr>
      <w:r w:rsidRPr="00075DC8">
        <w:rPr>
          <w:szCs w:val="22"/>
          <w:lang w:val="fr-FR"/>
        </w:rPr>
        <w:t xml:space="preserve">Une valeur de </w:t>
      </w:r>
      <w:r w:rsidRPr="00075DC8">
        <w:rPr>
          <w:szCs w:val="22"/>
          <w:lang w:val="fr-FR" w:eastAsia="ja-JP"/>
        </w:rPr>
        <w:t>−6 dB</w:t>
      </w:r>
      <w:r w:rsidRPr="00075DC8">
        <w:rPr>
          <w:szCs w:val="22"/>
          <w:lang w:val="fr-FR"/>
        </w:rPr>
        <w:t xml:space="preserve"> a été employée dans certains cas de partage avec un service bénéficiant d</w:t>
      </w:r>
      <w:r w:rsidR="001F6A0D" w:rsidRPr="00075DC8">
        <w:rPr>
          <w:szCs w:val="22"/>
          <w:lang w:val="fr-FR"/>
        </w:rPr>
        <w:t>'</w:t>
      </w:r>
      <w:r w:rsidRPr="00075DC8">
        <w:rPr>
          <w:szCs w:val="22"/>
          <w:lang w:val="fr-FR"/>
        </w:rPr>
        <w:t>attributions à titre primaire avec égalité de droits dans les bandes sous les 3 GHz. Des indications sont en outre données concernant les études de partage impliquant plus d</w:t>
      </w:r>
      <w:r w:rsidR="001F6A0D" w:rsidRPr="00075DC8">
        <w:rPr>
          <w:szCs w:val="22"/>
          <w:lang w:val="fr-FR"/>
        </w:rPr>
        <w:t>'</w:t>
      </w:r>
      <w:r w:rsidRPr="00075DC8">
        <w:rPr>
          <w:szCs w:val="22"/>
          <w:lang w:val="fr-FR"/>
        </w:rPr>
        <w:t>un service bénéficiant d</w:t>
      </w:r>
      <w:r w:rsidR="001F6A0D" w:rsidRPr="00075DC8">
        <w:rPr>
          <w:szCs w:val="22"/>
          <w:lang w:val="fr-FR"/>
        </w:rPr>
        <w:t>'</w:t>
      </w:r>
      <w:r w:rsidRPr="00075DC8">
        <w:rPr>
          <w:szCs w:val="22"/>
          <w:lang w:val="fr-FR"/>
        </w:rPr>
        <w:t xml:space="preserve">attributions à titre primaire avec égalité de droits. Le Tableau 4 donne des orientations quant au choix des valeurs </w:t>
      </w:r>
      <w:r w:rsidRPr="00075DC8">
        <w:rPr>
          <w:i/>
          <w:iCs/>
          <w:szCs w:val="22"/>
          <w:lang w:val="fr-FR"/>
        </w:rPr>
        <w:t>I</w:t>
      </w:r>
      <w:r w:rsidRPr="00075DC8">
        <w:rPr>
          <w:szCs w:val="22"/>
          <w:lang w:val="fr-FR"/>
        </w:rPr>
        <w:t>/</w:t>
      </w:r>
      <w:r w:rsidRPr="00075DC8">
        <w:rPr>
          <w:i/>
          <w:iCs/>
          <w:szCs w:val="22"/>
          <w:lang w:val="fr-FR"/>
        </w:rPr>
        <w:t>N</w:t>
      </w:r>
      <w:r w:rsidRPr="00075DC8">
        <w:rPr>
          <w:szCs w:val="22"/>
          <w:lang w:val="fr-FR"/>
        </w:rPr>
        <w:t xml:space="preserve"> à employer pour déterminer une densité appropriée de puissance de brouillage de longue durée. </w:t>
      </w:r>
    </w:p>
    <w:p w14:paraId="68E215EB" w14:textId="77777777" w:rsidR="00725E50" w:rsidRPr="00075DC8" w:rsidRDefault="00725E50" w:rsidP="00725E50">
      <w:pPr>
        <w:pStyle w:val="TableNo"/>
        <w:keepLines/>
        <w:rPr>
          <w:lang w:val="fr-FR" w:eastAsia="ja-JP"/>
        </w:rPr>
      </w:pPr>
      <w:r w:rsidRPr="00075DC8">
        <w:rPr>
          <w:lang w:val="fr-FR" w:eastAsia="ja-JP"/>
        </w:rPr>
        <w:t>TABLEAU 5</w:t>
      </w:r>
    </w:p>
    <w:p w14:paraId="446FD1AE" w14:textId="77777777" w:rsidR="00725E50" w:rsidRPr="00075DC8" w:rsidRDefault="00725E50" w:rsidP="00725E50">
      <w:pPr>
        <w:pStyle w:val="Tabletitle"/>
        <w:keepLines/>
        <w:rPr>
          <w:lang w:val="fr-FR" w:eastAsia="ja-JP"/>
        </w:rPr>
      </w:pPr>
      <w:r w:rsidRPr="00075DC8">
        <w:rPr>
          <w:lang w:val="fr-FR" w:eastAsia="ja-JP"/>
        </w:rPr>
        <w:t xml:space="preserve">Orientations quant au choix des valeurs </w:t>
      </w:r>
      <w:r w:rsidRPr="00075DC8">
        <w:rPr>
          <w:i/>
          <w:iCs/>
          <w:lang w:val="fr-FR" w:eastAsia="ja-JP"/>
        </w:rPr>
        <w:t>I</w:t>
      </w:r>
      <w:r w:rsidRPr="00075DC8">
        <w:rPr>
          <w:lang w:val="fr-FR" w:eastAsia="ja-JP"/>
        </w:rPr>
        <w:t>/</w:t>
      </w:r>
      <w:r w:rsidRPr="00075DC8">
        <w:rPr>
          <w:i/>
          <w:iCs/>
          <w:lang w:val="fr-FR" w:eastAsia="ja-JP"/>
        </w:rPr>
        <w:t>N</w:t>
      </w:r>
      <w:r w:rsidRPr="00075DC8">
        <w:rPr>
          <w:lang w:val="fr-FR" w:eastAsia="ja-JP"/>
        </w:rPr>
        <w:t xml:space="preserve"> pour le brouillage de longue durée</w:t>
      </w:r>
    </w:p>
    <w:tbl>
      <w:tblPr>
        <w:tblW w:w="96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1816"/>
        <w:gridCol w:w="2499"/>
        <w:gridCol w:w="4201"/>
      </w:tblGrid>
      <w:tr w:rsidR="00725E50" w:rsidRPr="00075DC8" w14:paraId="5E1D5DB3" w14:textId="77777777" w:rsidTr="003567D8">
        <w:trPr>
          <w:trHeight w:val="61"/>
          <w:jc w:val="center"/>
        </w:trPr>
        <w:tc>
          <w:tcPr>
            <w:tcW w:w="1134" w:type="dxa"/>
            <w:vAlign w:val="center"/>
            <w:hideMark/>
          </w:tcPr>
          <w:p w14:paraId="10CBDCFA" w14:textId="77777777" w:rsidR="00725E50" w:rsidRPr="00075DC8" w:rsidRDefault="00725E50" w:rsidP="00ED4837">
            <w:pPr>
              <w:pStyle w:val="Tablehead"/>
              <w:keepLines/>
              <w:rPr>
                <w:vertAlign w:val="superscript"/>
                <w:lang w:val="fr-FR" w:eastAsia="ja-JP"/>
              </w:rPr>
            </w:pPr>
            <w:r w:rsidRPr="00075DC8">
              <w:rPr>
                <w:i/>
                <w:iCs/>
                <w:lang w:val="fr-FR" w:eastAsia="ja-JP"/>
              </w:rPr>
              <w:t>I</w:t>
            </w:r>
            <w:r w:rsidRPr="00075DC8">
              <w:rPr>
                <w:lang w:val="fr-FR" w:eastAsia="ja-JP"/>
              </w:rPr>
              <w:t>/</w:t>
            </w:r>
            <w:r w:rsidRPr="00075DC8">
              <w:rPr>
                <w:i/>
                <w:iCs/>
                <w:lang w:val="fr-FR" w:eastAsia="ja-JP"/>
              </w:rPr>
              <w:t>N</w:t>
            </w:r>
            <w:r w:rsidRPr="00075DC8">
              <w:rPr>
                <w:b w:val="0"/>
                <w:bCs/>
                <w:vertAlign w:val="superscript"/>
                <w:lang w:val="fr-FR" w:eastAsia="ja-JP"/>
              </w:rPr>
              <w:t>(1)</w:t>
            </w:r>
          </w:p>
        </w:tc>
        <w:tc>
          <w:tcPr>
            <w:tcW w:w="1815" w:type="dxa"/>
            <w:vAlign w:val="center"/>
            <w:hideMark/>
          </w:tcPr>
          <w:p w14:paraId="77E91159" w14:textId="77777777" w:rsidR="00725E50" w:rsidRPr="00075DC8" w:rsidRDefault="00725E50" w:rsidP="00ED4837">
            <w:pPr>
              <w:pStyle w:val="Tablehead"/>
              <w:keepLines/>
              <w:rPr>
                <w:lang w:val="fr-FR" w:eastAsia="ja-JP"/>
              </w:rPr>
            </w:pPr>
            <w:r w:rsidRPr="00075DC8">
              <w:rPr>
                <w:lang w:val="fr-FR" w:eastAsia="ja-JP"/>
              </w:rPr>
              <w:t>Gamme de fréquences</w:t>
            </w:r>
          </w:p>
        </w:tc>
        <w:tc>
          <w:tcPr>
            <w:tcW w:w="2498" w:type="dxa"/>
            <w:vAlign w:val="center"/>
            <w:hideMark/>
          </w:tcPr>
          <w:p w14:paraId="434B7BD1" w14:textId="77777777" w:rsidR="00725E50" w:rsidRPr="00075DC8" w:rsidRDefault="00725E50" w:rsidP="00ED4837">
            <w:pPr>
              <w:pStyle w:val="Tablehead"/>
              <w:keepLines/>
              <w:rPr>
                <w:lang w:val="fr-FR" w:eastAsia="ja-JP"/>
              </w:rPr>
            </w:pPr>
            <w:r w:rsidRPr="00075DC8">
              <w:rPr>
                <w:lang w:val="fr-FR" w:eastAsia="ja-JP"/>
              </w:rPr>
              <w:t>Conditions de partage ou de compatibilité</w:t>
            </w:r>
            <w:r w:rsidRPr="00075DC8">
              <w:rPr>
                <w:b w:val="0"/>
                <w:bCs/>
                <w:vertAlign w:val="superscript"/>
                <w:lang w:val="fr-FR" w:eastAsia="ja-JP"/>
              </w:rPr>
              <w:t>(2)</w:t>
            </w:r>
          </w:p>
        </w:tc>
        <w:tc>
          <w:tcPr>
            <w:tcW w:w="4200" w:type="dxa"/>
            <w:vAlign w:val="center"/>
            <w:hideMark/>
          </w:tcPr>
          <w:p w14:paraId="41D9DDC3" w14:textId="77777777" w:rsidR="00725E50" w:rsidRPr="00075DC8" w:rsidRDefault="00725E50" w:rsidP="00ED4837">
            <w:pPr>
              <w:pStyle w:val="Tablehead"/>
              <w:keepLines/>
              <w:rPr>
                <w:lang w:val="fr-FR" w:eastAsia="ja-JP"/>
              </w:rPr>
            </w:pPr>
            <w:r w:rsidRPr="00075DC8">
              <w:rPr>
                <w:lang w:val="fr-FR" w:eastAsia="ja-JP"/>
              </w:rPr>
              <w:t>Observations et Recommandations UIT-R pertinentes</w:t>
            </w:r>
          </w:p>
        </w:tc>
      </w:tr>
      <w:tr w:rsidR="00725E50" w:rsidRPr="00075DC8" w14:paraId="7BC4A068" w14:textId="77777777" w:rsidTr="003567D8">
        <w:trPr>
          <w:trHeight w:val="624"/>
          <w:jc w:val="center"/>
        </w:trPr>
        <w:tc>
          <w:tcPr>
            <w:tcW w:w="1134" w:type="dxa"/>
            <w:vAlign w:val="center"/>
            <w:hideMark/>
          </w:tcPr>
          <w:p w14:paraId="27A09065" w14:textId="74D9B2D8" w:rsidR="00725E50" w:rsidRPr="00075DC8" w:rsidRDefault="00E8215E" w:rsidP="00E8215E">
            <w:pPr>
              <w:pStyle w:val="Tabletext"/>
              <w:keepNext/>
              <w:keepLines/>
              <w:jc w:val="center"/>
              <w:rPr>
                <w:lang w:val="fr-FR"/>
              </w:rPr>
            </w:pPr>
            <w:r w:rsidRPr="00075DC8">
              <w:rPr>
                <w:szCs w:val="22"/>
                <w:lang w:val="fr-FR" w:eastAsia="ja-JP"/>
              </w:rPr>
              <w:t>−</w:t>
            </w:r>
            <w:r w:rsidR="00725E50" w:rsidRPr="00075DC8">
              <w:rPr>
                <w:szCs w:val="22"/>
                <w:lang w:val="fr-FR"/>
              </w:rPr>
              <w:t>6 dB</w:t>
            </w:r>
          </w:p>
        </w:tc>
        <w:tc>
          <w:tcPr>
            <w:tcW w:w="1815" w:type="dxa"/>
            <w:vAlign w:val="center"/>
            <w:hideMark/>
          </w:tcPr>
          <w:p w14:paraId="55D0298A" w14:textId="77777777" w:rsidR="00725E50" w:rsidRPr="00075DC8" w:rsidRDefault="00725E50" w:rsidP="00E8215E">
            <w:pPr>
              <w:pStyle w:val="Tabletext"/>
              <w:keepNext/>
              <w:keepLines/>
              <w:jc w:val="center"/>
              <w:rPr>
                <w:lang w:val="fr-FR"/>
              </w:rPr>
            </w:pPr>
            <w:r w:rsidRPr="00075DC8">
              <w:rPr>
                <w:szCs w:val="22"/>
                <w:lang w:val="fr-FR"/>
              </w:rPr>
              <w:t>De 30 MHz à 3 GHz</w:t>
            </w:r>
          </w:p>
        </w:tc>
        <w:tc>
          <w:tcPr>
            <w:tcW w:w="2498" w:type="dxa"/>
            <w:vMerge w:val="restart"/>
            <w:hideMark/>
          </w:tcPr>
          <w:p w14:paraId="2DD66B7A" w14:textId="637EF3A0" w:rsidR="00725E50" w:rsidRPr="00075DC8" w:rsidRDefault="00725E50" w:rsidP="00E8215E">
            <w:pPr>
              <w:pStyle w:val="Tabletext"/>
              <w:keepNext/>
              <w:keepLines/>
              <w:jc w:val="left"/>
              <w:rPr>
                <w:lang w:val="fr-FR"/>
              </w:rPr>
            </w:pPr>
            <w:r w:rsidRPr="00075DC8">
              <w:rPr>
                <w:szCs w:val="22"/>
                <w:lang w:val="fr-FR"/>
              </w:rPr>
              <w:t>Condition de partage sauf mention contraire ailleurs dans le présent Tableau</w:t>
            </w:r>
          </w:p>
        </w:tc>
        <w:tc>
          <w:tcPr>
            <w:tcW w:w="4200" w:type="dxa"/>
            <w:vMerge w:val="restart"/>
            <w:hideMark/>
          </w:tcPr>
          <w:p w14:paraId="15E5E0B8" w14:textId="77777777" w:rsidR="00725E50" w:rsidRPr="00075DC8" w:rsidRDefault="00725E50" w:rsidP="00E8215E">
            <w:pPr>
              <w:pStyle w:val="Tabletext"/>
              <w:keepNext/>
              <w:keepLines/>
              <w:jc w:val="left"/>
              <w:rPr>
                <w:lang w:val="fr-FR"/>
              </w:rPr>
            </w:pPr>
            <w:r w:rsidRPr="00075DC8">
              <w:rPr>
                <w:szCs w:val="22"/>
                <w:lang w:val="fr-FR"/>
              </w:rPr>
              <w:t>Valeur généralement applicable pour le brouillage cumulatif</w:t>
            </w:r>
          </w:p>
          <w:p w14:paraId="2EEAAB91" w14:textId="77777777" w:rsidR="00725E50" w:rsidRPr="00075DC8" w:rsidRDefault="00725E50" w:rsidP="00E8215E">
            <w:pPr>
              <w:pStyle w:val="Tabletext"/>
              <w:keepNext/>
              <w:keepLines/>
              <w:jc w:val="left"/>
              <w:rPr>
                <w:lang w:val="fr-FR"/>
              </w:rPr>
            </w:pPr>
            <w:r w:rsidRPr="00075DC8">
              <w:rPr>
                <w:lang w:val="fr-FR"/>
              </w:rPr>
              <w:t>Voir les Recommandations pertinentes dans le Tableau 1.</w:t>
            </w:r>
          </w:p>
        </w:tc>
      </w:tr>
      <w:tr w:rsidR="00725E50" w:rsidRPr="00075DC8" w14:paraId="5372C144" w14:textId="77777777" w:rsidTr="003567D8">
        <w:trPr>
          <w:jc w:val="center"/>
        </w:trPr>
        <w:tc>
          <w:tcPr>
            <w:tcW w:w="1134" w:type="dxa"/>
            <w:tcBorders>
              <w:bottom w:val="single" w:sz="2" w:space="0" w:color="auto"/>
            </w:tcBorders>
            <w:vAlign w:val="center"/>
            <w:hideMark/>
          </w:tcPr>
          <w:p w14:paraId="414AA19A" w14:textId="13EB9A9F" w:rsidR="00725E50" w:rsidRPr="00075DC8" w:rsidRDefault="00E8215E" w:rsidP="00E8215E">
            <w:pPr>
              <w:pStyle w:val="Tabletext"/>
              <w:keepNext/>
              <w:keepLines/>
              <w:jc w:val="center"/>
              <w:rPr>
                <w:lang w:val="fr-FR"/>
              </w:rPr>
            </w:pPr>
            <w:r w:rsidRPr="00075DC8">
              <w:rPr>
                <w:szCs w:val="22"/>
                <w:lang w:val="fr-FR" w:eastAsia="ja-JP"/>
              </w:rPr>
              <w:t>−</w:t>
            </w:r>
            <w:r w:rsidR="00725E50" w:rsidRPr="00075DC8">
              <w:rPr>
                <w:szCs w:val="22"/>
                <w:lang w:val="fr-FR"/>
              </w:rPr>
              <w:t>10 dB</w:t>
            </w:r>
          </w:p>
        </w:tc>
        <w:tc>
          <w:tcPr>
            <w:tcW w:w="1815" w:type="dxa"/>
            <w:tcBorders>
              <w:bottom w:val="single" w:sz="2" w:space="0" w:color="auto"/>
            </w:tcBorders>
            <w:vAlign w:val="center"/>
            <w:hideMark/>
          </w:tcPr>
          <w:p w14:paraId="67267978" w14:textId="77777777" w:rsidR="00725E50" w:rsidRPr="00075DC8" w:rsidRDefault="00725E50" w:rsidP="00E8215E">
            <w:pPr>
              <w:pStyle w:val="Tabletext"/>
              <w:keepNext/>
              <w:keepLines/>
              <w:jc w:val="center"/>
              <w:rPr>
                <w:lang w:val="fr-FR"/>
              </w:rPr>
            </w:pPr>
            <w:r w:rsidRPr="00075DC8">
              <w:rPr>
                <w:szCs w:val="22"/>
                <w:lang w:val="fr-FR"/>
              </w:rPr>
              <w:t>Supérieure à 3 GHz</w:t>
            </w:r>
          </w:p>
        </w:tc>
        <w:tc>
          <w:tcPr>
            <w:tcW w:w="2498" w:type="dxa"/>
            <w:vMerge/>
            <w:tcBorders>
              <w:bottom w:val="single" w:sz="2" w:space="0" w:color="auto"/>
            </w:tcBorders>
            <w:hideMark/>
          </w:tcPr>
          <w:p w14:paraId="4A0ED958" w14:textId="77777777" w:rsidR="00725E50" w:rsidRPr="00075DC8" w:rsidRDefault="00725E50" w:rsidP="00E8215E">
            <w:pPr>
              <w:tabs>
                <w:tab w:val="clear" w:pos="794"/>
                <w:tab w:val="clear" w:pos="1191"/>
                <w:tab w:val="clear" w:pos="1588"/>
                <w:tab w:val="clear" w:pos="1985"/>
              </w:tabs>
              <w:overflowPunct/>
              <w:autoSpaceDE/>
              <w:autoSpaceDN/>
              <w:adjustRightInd/>
              <w:spacing w:before="0"/>
              <w:jc w:val="left"/>
              <w:rPr>
                <w:sz w:val="22"/>
                <w:lang w:val="fr-FR"/>
              </w:rPr>
            </w:pPr>
          </w:p>
        </w:tc>
        <w:tc>
          <w:tcPr>
            <w:tcW w:w="4200" w:type="dxa"/>
            <w:vMerge/>
            <w:tcBorders>
              <w:bottom w:val="single" w:sz="2" w:space="0" w:color="auto"/>
            </w:tcBorders>
            <w:hideMark/>
          </w:tcPr>
          <w:p w14:paraId="36B4DC43" w14:textId="77777777" w:rsidR="00725E50" w:rsidRPr="00075DC8" w:rsidRDefault="00725E50" w:rsidP="00E8215E">
            <w:pPr>
              <w:tabs>
                <w:tab w:val="clear" w:pos="794"/>
                <w:tab w:val="clear" w:pos="1191"/>
                <w:tab w:val="clear" w:pos="1588"/>
                <w:tab w:val="clear" w:pos="1985"/>
              </w:tabs>
              <w:overflowPunct/>
              <w:autoSpaceDE/>
              <w:autoSpaceDN/>
              <w:adjustRightInd/>
              <w:spacing w:before="0"/>
              <w:jc w:val="left"/>
              <w:rPr>
                <w:sz w:val="22"/>
                <w:lang w:val="fr-FR"/>
              </w:rPr>
            </w:pPr>
          </w:p>
        </w:tc>
      </w:tr>
      <w:tr w:rsidR="00725E50" w:rsidRPr="00075DC8" w14:paraId="448BFE68" w14:textId="77777777" w:rsidTr="003567D8">
        <w:trPr>
          <w:jc w:val="center"/>
        </w:trPr>
        <w:tc>
          <w:tcPr>
            <w:tcW w:w="1134" w:type="dxa"/>
            <w:vAlign w:val="center"/>
            <w:hideMark/>
          </w:tcPr>
          <w:p w14:paraId="746D401E" w14:textId="208F6AE5" w:rsidR="00725E50" w:rsidRPr="00075DC8" w:rsidRDefault="00725E50" w:rsidP="00E8215E">
            <w:pPr>
              <w:pStyle w:val="Tabletext"/>
              <w:jc w:val="center"/>
              <w:rPr>
                <w:lang w:val="fr-FR"/>
              </w:rPr>
            </w:pPr>
            <w:r w:rsidRPr="00075DC8">
              <w:rPr>
                <w:szCs w:val="22"/>
                <w:lang w:val="fr-FR"/>
              </w:rPr>
              <w:t xml:space="preserve">≤ </w:t>
            </w:r>
            <w:r w:rsidR="00E8215E" w:rsidRPr="00075DC8">
              <w:rPr>
                <w:szCs w:val="22"/>
                <w:lang w:val="fr-FR" w:eastAsia="ja-JP"/>
              </w:rPr>
              <w:t>−</w:t>
            </w:r>
            <w:r w:rsidRPr="00075DC8">
              <w:rPr>
                <w:szCs w:val="22"/>
                <w:lang w:val="fr-FR"/>
              </w:rPr>
              <w:t>6 dB</w:t>
            </w:r>
          </w:p>
        </w:tc>
        <w:tc>
          <w:tcPr>
            <w:tcW w:w="1815" w:type="dxa"/>
            <w:vAlign w:val="center"/>
            <w:hideMark/>
          </w:tcPr>
          <w:p w14:paraId="1E41A6C0" w14:textId="77777777" w:rsidR="00725E50" w:rsidRPr="00075DC8" w:rsidRDefault="00725E50" w:rsidP="00E8215E">
            <w:pPr>
              <w:pStyle w:val="Tabletext"/>
              <w:jc w:val="center"/>
              <w:rPr>
                <w:lang w:val="fr-FR"/>
              </w:rPr>
            </w:pPr>
            <w:r w:rsidRPr="00075DC8">
              <w:rPr>
                <w:szCs w:val="22"/>
                <w:lang w:val="fr-FR"/>
              </w:rPr>
              <w:t>De 30 MHz à 3 GHz</w:t>
            </w:r>
          </w:p>
        </w:tc>
        <w:tc>
          <w:tcPr>
            <w:tcW w:w="2498" w:type="dxa"/>
            <w:vMerge w:val="restart"/>
            <w:hideMark/>
          </w:tcPr>
          <w:p w14:paraId="57A6E44C" w14:textId="7AF8B706" w:rsidR="00725E50" w:rsidRPr="00075DC8" w:rsidRDefault="00725E50" w:rsidP="00E8215E">
            <w:pPr>
              <w:pStyle w:val="Tabletext"/>
              <w:jc w:val="left"/>
              <w:rPr>
                <w:lang w:val="fr-FR"/>
              </w:rPr>
            </w:pPr>
            <w:r w:rsidRPr="00075DC8">
              <w:rPr>
                <w:szCs w:val="22"/>
                <w:lang w:val="fr-FR"/>
              </w:rPr>
              <w:t>Partage avec plus d</w:t>
            </w:r>
            <w:r w:rsidR="001F6A0D" w:rsidRPr="00075DC8">
              <w:rPr>
                <w:szCs w:val="22"/>
                <w:lang w:val="fr-FR"/>
              </w:rPr>
              <w:t>'</w:t>
            </w:r>
            <w:r w:rsidRPr="00075DC8">
              <w:rPr>
                <w:szCs w:val="22"/>
                <w:lang w:val="fr-FR"/>
              </w:rPr>
              <w:t>un service bénéficiant d</w:t>
            </w:r>
            <w:r w:rsidR="001F6A0D" w:rsidRPr="00075DC8">
              <w:rPr>
                <w:szCs w:val="22"/>
                <w:lang w:val="fr-FR"/>
              </w:rPr>
              <w:t>'</w:t>
            </w:r>
            <w:r w:rsidRPr="00075DC8">
              <w:rPr>
                <w:szCs w:val="22"/>
                <w:lang w:val="fr-FR"/>
              </w:rPr>
              <w:t>attributions à titre primaire avec égalité de droits</w:t>
            </w:r>
          </w:p>
        </w:tc>
        <w:tc>
          <w:tcPr>
            <w:tcW w:w="4200" w:type="dxa"/>
            <w:vMerge w:val="restart"/>
            <w:hideMark/>
          </w:tcPr>
          <w:p w14:paraId="38911B91" w14:textId="5E2CCAD4" w:rsidR="00725E50" w:rsidRPr="00075DC8" w:rsidRDefault="00725E50" w:rsidP="00E8215E">
            <w:pPr>
              <w:pStyle w:val="Tabletext"/>
              <w:jc w:val="left"/>
              <w:rPr>
                <w:lang w:val="fr-FR"/>
              </w:rPr>
            </w:pPr>
            <w:r w:rsidRPr="00075DC8">
              <w:rPr>
                <w:szCs w:val="22"/>
                <w:lang w:val="fr-FR"/>
              </w:rPr>
              <w:t xml:space="preserve">Répartition des objectifs </w:t>
            </w:r>
            <w:hyperlink r:id="rId106" w:history="1">
              <w:r w:rsidRPr="00075DC8">
                <w:rPr>
                  <w:lang w:val="fr-FR"/>
                </w:rPr>
                <w:t>UIT-R F.1094</w:t>
              </w:r>
            </w:hyperlink>
            <w:r w:rsidRPr="00075DC8">
              <w:rPr>
                <w:szCs w:val="22"/>
                <w:lang w:val="fr-FR"/>
              </w:rPr>
              <w:t xml:space="preserve"> (voir le </w:t>
            </w:r>
            <w:r w:rsidR="008B1840" w:rsidRPr="00075DC8">
              <w:rPr>
                <w:szCs w:val="22"/>
                <w:lang w:val="fr-FR"/>
              </w:rPr>
              <w:t>§ </w:t>
            </w:r>
            <w:r w:rsidRPr="00075DC8">
              <w:rPr>
                <w:szCs w:val="22"/>
                <w:lang w:val="fr-FR"/>
              </w:rPr>
              <w:t>2 de l</w:t>
            </w:r>
            <w:r w:rsidR="001F6A0D" w:rsidRPr="00075DC8">
              <w:rPr>
                <w:szCs w:val="22"/>
                <w:lang w:val="fr-FR"/>
              </w:rPr>
              <w:t>'</w:t>
            </w:r>
            <w:r w:rsidRPr="00075DC8">
              <w:rPr>
                <w:szCs w:val="22"/>
                <w:lang w:val="fr-FR"/>
              </w:rPr>
              <w:t>Annexe 1 de la présente Recommandation)</w:t>
            </w:r>
          </w:p>
          <w:p w14:paraId="31DB48FE" w14:textId="4527D783" w:rsidR="00725E50" w:rsidRPr="00075DC8" w:rsidRDefault="00E8215E" w:rsidP="00E8215E">
            <w:pPr>
              <w:pStyle w:val="Tabletext"/>
              <w:jc w:val="left"/>
              <w:rPr>
                <w:lang w:val="fr-FR"/>
              </w:rPr>
            </w:pPr>
            <w:r w:rsidRPr="00075DC8">
              <w:rPr>
                <w:szCs w:val="22"/>
                <w:lang w:val="fr-FR" w:eastAsia="ja-JP"/>
              </w:rPr>
              <w:t>−</w:t>
            </w:r>
            <w:r w:rsidR="00725E50" w:rsidRPr="00075DC8">
              <w:rPr>
                <w:lang w:val="fr-FR"/>
              </w:rPr>
              <w:t xml:space="preserve">6 dB ou </w:t>
            </w:r>
            <w:r w:rsidRPr="00075DC8">
              <w:rPr>
                <w:szCs w:val="22"/>
                <w:lang w:val="fr-FR" w:eastAsia="ja-JP"/>
              </w:rPr>
              <w:t>−</w:t>
            </w:r>
            <w:r w:rsidR="00725E50" w:rsidRPr="00075DC8">
              <w:rPr>
                <w:lang w:val="fr-FR"/>
              </w:rPr>
              <w:t>10 dB, comme il convient, peuvent s</w:t>
            </w:r>
            <w:r w:rsidR="001F6A0D" w:rsidRPr="00075DC8">
              <w:rPr>
                <w:lang w:val="fr-FR"/>
              </w:rPr>
              <w:t>'</w:t>
            </w:r>
            <w:r w:rsidR="00725E50" w:rsidRPr="00075DC8">
              <w:rPr>
                <w:lang w:val="fr-FR"/>
              </w:rPr>
              <w:t>appliquer lorsque le risque de brouillage simultané en provenance de stations bénéficiant d</w:t>
            </w:r>
            <w:r w:rsidR="001F6A0D" w:rsidRPr="00075DC8">
              <w:rPr>
                <w:lang w:val="fr-FR"/>
              </w:rPr>
              <w:t>'</w:t>
            </w:r>
            <w:r w:rsidR="00725E50" w:rsidRPr="00075DC8">
              <w:rPr>
                <w:lang w:val="fr-FR"/>
              </w:rPr>
              <w:t>autres attributions à titre primaire avec égalité de droits est négligeable. Sinon, un critère plus rigoureux peut être nécessaire pour la prise en compte du brouillage cumulatif en provenance des services brouilleurs bénéficiant d</w:t>
            </w:r>
            <w:r w:rsidR="001F6A0D" w:rsidRPr="00075DC8">
              <w:rPr>
                <w:lang w:val="fr-FR"/>
              </w:rPr>
              <w:t>'</w:t>
            </w:r>
            <w:r w:rsidR="00725E50" w:rsidRPr="00075DC8">
              <w:rPr>
                <w:lang w:val="fr-FR"/>
              </w:rPr>
              <w:t>attributions à titre primaire avec égalité de droits (c</w:t>
            </w:r>
            <w:r w:rsidR="001F6A0D" w:rsidRPr="00075DC8">
              <w:rPr>
                <w:lang w:val="fr-FR"/>
              </w:rPr>
              <w:t>'</w:t>
            </w:r>
            <w:r w:rsidR="00725E50" w:rsidRPr="00075DC8">
              <w:rPr>
                <w:lang w:val="fr-FR"/>
              </w:rPr>
              <w:t>est</w:t>
            </w:r>
            <w:r w:rsidR="00725E50" w:rsidRPr="00075DC8">
              <w:rPr>
                <w:lang w:val="fr-FR"/>
              </w:rPr>
              <w:noBreakHyphen/>
              <w:t>à</w:t>
            </w:r>
            <w:r w:rsidR="00725E50" w:rsidRPr="00075DC8">
              <w:rPr>
                <w:lang w:val="fr-FR"/>
              </w:rPr>
              <w:noBreakHyphen/>
              <w:t xml:space="preserve">dire que </w:t>
            </w:r>
            <w:r w:rsidRPr="00075DC8">
              <w:rPr>
                <w:szCs w:val="22"/>
                <w:lang w:val="fr-FR" w:eastAsia="ja-JP"/>
              </w:rPr>
              <w:t>−</w:t>
            </w:r>
            <w:r w:rsidR="00725E50" w:rsidRPr="00075DC8">
              <w:rPr>
                <w:lang w:val="fr-FR"/>
              </w:rPr>
              <w:t xml:space="preserve">6 dB ou </w:t>
            </w:r>
            <w:r w:rsidRPr="00075DC8">
              <w:rPr>
                <w:szCs w:val="22"/>
                <w:lang w:val="fr-FR" w:eastAsia="ja-JP"/>
              </w:rPr>
              <w:t>−</w:t>
            </w:r>
            <w:r w:rsidR="00725E50" w:rsidRPr="00075DC8">
              <w:rPr>
                <w:lang w:val="fr-FR"/>
              </w:rPr>
              <w:t xml:space="preserve">10 dB devrait être la valeur </w:t>
            </w:r>
            <w:r w:rsidR="00725E50" w:rsidRPr="00075DC8">
              <w:rPr>
                <w:i/>
                <w:iCs/>
                <w:lang w:val="fr-FR"/>
              </w:rPr>
              <w:t>I</w:t>
            </w:r>
            <w:r w:rsidR="00725E50" w:rsidRPr="00075DC8">
              <w:rPr>
                <w:lang w:val="fr-FR"/>
              </w:rPr>
              <w:t>/</w:t>
            </w:r>
            <w:r w:rsidR="00725E50" w:rsidRPr="00075DC8">
              <w:rPr>
                <w:i/>
                <w:iCs/>
                <w:lang w:val="fr-FR"/>
              </w:rPr>
              <w:t>N</w:t>
            </w:r>
            <w:r w:rsidR="00725E50" w:rsidRPr="00075DC8">
              <w:rPr>
                <w:lang w:val="fr-FR"/>
              </w:rPr>
              <w:t xml:space="preserve"> cumulée maximale provenant de tous les autres services).</w:t>
            </w:r>
          </w:p>
        </w:tc>
      </w:tr>
      <w:tr w:rsidR="00725E50" w:rsidRPr="00075DC8" w14:paraId="7BFD4975" w14:textId="77777777" w:rsidTr="003567D8">
        <w:trPr>
          <w:jc w:val="center"/>
        </w:trPr>
        <w:tc>
          <w:tcPr>
            <w:tcW w:w="1134" w:type="dxa"/>
            <w:tcBorders>
              <w:bottom w:val="single" w:sz="2" w:space="0" w:color="auto"/>
            </w:tcBorders>
            <w:vAlign w:val="center"/>
            <w:hideMark/>
          </w:tcPr>
          <w:p w14:paraId="49ABB638" w14:textId="4E7FE1E3" w:rsidR="00725E50" w:rsidRPr="00075DC8" w:rsidRDefault="00725E50" w:rsidP="00E8215E">
            <w:pPr>
              <w:pStyle w:val="Tabletext"/>
              <w:jc w:val="center"/>
              <w:rPr>
                <w:lang w:val="fr-FR"/>
              </w:rPr>
            </w:pPr>
            <w:r w:rsidRPr="00075DC8">
              <w:rPr>
                <w:szCs w:val="22"/>
                <w:lang w:val="fr-FR"/>
              </w:rPr>
              <w:t xml:space="preserve">≤ </w:t>
            </w:r>
            <w:r w:rsidR="00E8215E" w:rsidRPr="00075DC8">
              <w:rPr>
                <w:szCs w:val="22"/>
                <w:lang w:val="fr-FR" w:eastAsia="ja-JP"/>
              </w:rPr>
              <w:t>−</w:t>
            </w:r>
            <w:r w:rsidRPr="00075DC8">
              <w:rPr>
                <w:szCs w:val="22"/>
                <w:lang w:val="fr-FR"/>
              </w:rPr>
              <w:t>10 dB</w:t>
            </w:r>
          </w:p>
        </w:tc>
        <w:tc>
          <w:tcPr>
            <w:tcW w:w="1815" w:type="dxa"/>
            <w:tcBorders>
              <w:bottom w:val="single" w:sz="2" w:space="0" w:color="auto"/>
            </w:tcBorders>
            <w:vAlign w:val="center"/>
            <w:hideMark/>
          </w:tcPr>
          <w:p w14:paraId="5B7A6566" w14:textId="77777777" w:rsidR="00725E50" w:rsidRPr="00075DC8" w:rsidRDefault="00725E50" w:rsidP="00E8215E">
            <w:pPr>
              <w:pStyle w:val="Tabletext"/>
              <w:jc w:val="center"/>
              <w:rPr>
                <w:lang w:val="fr-FR"/>
              </w:rPr>
            </w:pPr>
            <w:r w:rsidRPr="00075DC8">
              <w:rPr>
                <w:szCs w:val="22"/>
                <w:lang w:val="fr-FR"/>
              </w:rPr>
              <w:t>Supérieure à 3 GHz</w:t>
            </w:r>
          </w:p>
        </w:tc>
        <w:tc>
          <w:tcPr>
            <w:tcW w:w="2498" w:type="dxa"/>
            <w:vMerge/>
            <w:tcBorders>
              <w:bottom w:val="single" w:sz="2" w:space="0" w:color="auto"/>
            </w:tcBorders>
            <w:vAlign w:val="center"/>
            <w:hideMark/>
          </w:tcPr>
          <w:p w14:paraId="0190D8D8" w14:textId="77777777" w:rsidR="00725E50" w:rsidRPr="00075DC8" w:rsidRDefault="00725E50" w:rsidP="00ED4837">
            <w:pPr>
              <w:tabs>
                <w:tab w:val="clear" w:pos="794"/>
                <w:tab w:val="clear" w:pos="1191"/>
                <w:tab w:val="clear" w:pos="1588"/>
                <w:tab w:val="clear" w:pos="1985"/>
              </w:tabs>
              <w:overflowPunct/>
              <w:autoSpaceDE/>
              <w:autoSpaceDN/>
              <w:adjustRightInd/>
              <w:spacing w:before="0"/>
              <w:jc w:val="left"/>
              <w:rPr>
                <w:sz w:val="22"/>
                <w:lang w:val="fr-FR"/>
              </w:rPr>
            </w:pPr>
          </w:p>
        </w:tc>
        <w:tc>
          <w:tcPr>
            <w:tcW w:w="4200" w:type="dxa"/>
            <w:vMerge/>
            <w:tcBorders>
              <w:bottom w:val="single" w:sz="2" w:space="0" w:color="auto"/>
            </w:tcBorders>
            <w:vAlign w:val="center"/>
            <w:hideMark/>
          </w:tcPr>
          <w:p w14:paraId="2CDB8154" w14:textId="77777777" w:rsidR="00725E50" w:rsidRPr="00075DC8" w:rsidRDefault="00725E50" w:rsidP="00ED4837">
            <w:pPr>
              <w:tabs>
                <w:tab w:val="clear" w:pos="794"/>
                <w:tab w:val="clear" w:pos="1191"/>
                <w:tab w:val="clear" w:pos="1588"/>
                <w:tab w:val="clear" w:pos="1985"/>
              </w:tabs>
              <w:overflowPunct/>
              <w:autoSpaceDE/>
              <w:autoSpaceDN/>
              <w:adjustRightInd/>
              <w:spacing w:before="0"/>
              <w:jc w:val="left"/>
              <w:rPr>
                <w:sz w:val="22"/>
                <w:lang w:val="fr-FR"/>
              </w:rPr>
            </w:pPr>
          </w:p>
        </w:tc>
      </w:tr>
      <w:tr w:rsidR="009B3D52" w:rsidRPr="00075DC8" w14:paraId="40B1BFA7" w14:textId="77777777" w:rsidTr="00356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47" w:type="dxa"/>
            <w:gridSpan w:val="4"/>
            <w:tcBorders>
              <w:top w:val="nil"/>
              <w:left w:val="nil"/>
              <w:bottom w:val="single" w:sz="4" w:space="0" w:color="auto"/>
              <w:right w:val="nil"/>
            </w:tcBorders>
            <w:vAlign w:val="center"/>
          </w:tcPr>
          <w:p w14:paraId="7C902393" w14:textId="10CB62DE" w:rsidR="009B3D52" w:rsidRPr="00075DC8" w:rsidRDefault="009B3D52" w:rsidP="009B3D52">
            <w:pPr>
              <w:pStyle w:val="TableNo"/>
              <w:rPr>
                <w:lang w:val="fr-FR" w:eastAsia="ja-JP"/>
              </w:rPr>
            </w:pPr>
            <w:r w:rsidRPr="00075DC8">
              <w:rPr>
                <w:lang w:val="fr-FR" w:eastAsia="ja-JP"/>
              </w:rPr>
              <w:lastRenderedPageBreak/>
              <w:t>TABLEAU 5 (</w:t>
            </w:r>
            <w:r w:rsidRPr="00075DC8">
              <w:rPr>
                <w:i/>
                <w:iCs/>
                <w:lang w:val="fr-FR" w:eastAsia="ja-JP"/>
              </w:rPr>
              <w:t>fin</w:t>
            </w:r>
            <w:r w:rsidRPr="00075DC8">
              <w:rPr>
                <w:lang w:val="fr-FR" w:eastAsia="ja-JP"/>
              </w:rPr>
              <w:t>)</w:t>
            </w:r>
          </w:p>
        </w:tc>
      </w:tr>
      <w:tr w:rsidR="00725E50" w:rsidRPr="00075DC8" w14:paraId="371B07ED" w14:textId="77777777" w:rsidTr="00356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B233232" w14:textId="77777777" w:rsidR="00725E50" w:rsidRPr="00075DC8" w:rsidRDefault="00725E50" w:rsidP="00ED4837">
            <w:pPr>
              <w:pStyle w:val="Tablehead"/>
              <w:keepLines/>
              <w:rPr>
                <w:i/>
                <w:iCs/>
                <w:lang w:val="fr-FR" w:eastAsia="ja-JP"/>
              </w:rPr>
            </w:pPr>
            <w:r w:rsidRPr="00075DC8">
              <w:rPr>
                <w:i/>
                <w:iCs/>
                <w:lang w:val="fr-FR" w:eastAsia="ja-JP"/>
              </w:rPr>
              <w:t>I</w:t>
            </w:r>
            <w:r w:rsidRPr="00075DC8">
              <w:rPr>
                <w:lang w:val="fr-FR" w:eastAsia="ja-JP"/>
              </w:rPr>
              <w:t>/</w:t>
            </w:r>
            <w:r w:rsidRPr="00075DC8">
              <w:rPr>
                <w:i/>
                <w:iCs/>
                <w:lang w:val="fr-FR" w:eastAsia="ja-JP"/>
              </w:rPr>
              <w:t>N</w:t>
            </w:r>
            <w:r w:rsidRPr="00075DC8">
              <w:rPr>
                <w:rStyle w:val="FootnoteReference"/>
                <w:b w:val="0"/>
                <w:bCs/>
                <w:vertAlign w:val="superscript"/>
                <w:lang w:val="fr-FR"/>
              </w:rPr>
              <w:t>(1)</w:t>
            </w:r>
          </w:p>
        </w:tc>
        <w:tc>
          <w:tcPr>
            <w:tcW w:w="1815" w:type="dxa"/>
            <w:tcBorders>
              <w:top w:val="single" w:sz="4" w:space="0" w:color="auto"/>
              <w:left w:val="single" w:sz="4" w:space="0" w:color="auto"/>
              <w:bottom w:val="single" w:sz="4" w:space="0" w:color="auto"/>
              <w:right w:val="single" w:sz="4" w:space="0" w:color="auto"/>
            </w:tcBorders>
            <w:vAlign w:val="center"/>
          </w:tcPr>
          <w:p w14:paraId="204979FD" w14:textId="77777777" w:rsidR="00725E50" w:rsidRPr="00075DC8" w:rsidRDefault="00725E50" w:rsidP="00ED4837">
            <w:pPr>
              <w:pStyle w:val="Tablehead"/>
              <w:keepLines/>
              <w:rPr>
                <w:lang w:val="fr-FR" w:eastAsia="ja-JP"/>
              </w:rPr>
            </w:pPr>
            <w:r w:rsidRPr="00075DC8">
              <w:rPr>
                <w:lang w:val="fr-FR" w:eastAsia="ja-JP"/>
              </w:rPr>
              <w:t>Gamme de fréquences</w:t>
            </w:r>
          </w:p>
        </w:tc>
        <w:tc>
          <w:tcPr>
            <w:tcW w:w="2498" w:type="dxa"/>
            <w:tcBorders>
              <w:top w:val="single" w:sz="4" w:space="0" w:color="auto"/>
              <w:left w:val="single" w:sz="4" w:space="0" w:color="auto"/>
              <w:bottom w:val="single" w:sz="4" w:space="0" w:color="auto"/>
              <w:right w:val="single" w:sz="4" w:space="0" w:color="auto"/>
            </w:tcBorders>
            <w:vAlign w:val="center"/>
          </w:tcPr>
          <w:p w14:paraId="3DD99FE0" w14:textId="77777777" w:rsidR="00725E50" w:rsidRPr="00075DC8" w:rsidRDefault="00725E50" w:rsidP="00ED4837">
            <w:pPr>
              <w:pStyle w:val="Tablehead"/>
              <w:keepLines/>
              <w:rPr>
                <w:lang w:val="fr-FR" w:eastAsia="ja-JP"/>
              </w:rPr>
            </w:pPr>
            <w:r w:rsidRPr="00075DC8">
              <w:rPr>
                <w:lang w:val="fr-FR" w:eastAsia="ja-JP"/>
              </w:rPr>
              <w:t>Conditions de partage ou de compatibilité</w:t>
            </w:r>
            <w:r w:rsidRPr="00075DC8">
              <w:rPr>
                <w:b w:val="0"/>
                <w:bCs/>
                <w:vertAlign w:val="superscript"/>
                <w:lang w:val="fr-FR" w:eastAsia="ja-JP"/>
              </w:rPr>
              <w:t>(2)</w:t>
            </w:r>
          </w:p>
        </w:tc>
        <w:tc>
          <w:tcPr>
            <w:tcW w:w="4200" w:type="dxa"/>
            <w:tcBorders>
              <w:top w:val="single" w:sz="4" w:space="0" w:color="auto"/>
              <w:left w:val="single" w:sz="4" w:space="0" w:color="auto"/>
              <w:bottom w:val="single" w:sz="4" w:space="0" w:color="auto"/>
              <w:right w:val="single" w:sz="4" w:space="0" w:color="auto"/>
            </w:tcBorders>
            <w:vAlign w:val="center"/>
          </w:tcPr>
          <w:p w14:paraId="60D71A5B" w14:textId="77777777" w:rsidR="00725E50" w:rsidRPr="00075DC8" w:rsidRDefault="00725E50" w:rsidP="00ED4837">
            <w:pPr>
              <w:pStyle w:val="Tablehead"/>
              <w:keepLines/>
              <w:rPr>
                <w:lang w:val="fr-FR" w:eastAsia="ja-JP"/>
              </w:rPr>
            </w:pPr>
            <w:r w:rsidRPr="00075DC8">
              <w:rPr>
                <w:lang w:val="fr-FR" w:eastAsia="ja-JP"/>
              </w:rPr>
              <w:t>Observations et Recommandations UIT-R pertinentes</w:t>
            </w:r>
          </w:p>
        </w:tc>
      </w:tr>
      <w:tr w:rsidR="00725E50" w:rsidRPr="00075DC8" w14:paraId="6A22D03D" w14:textId="77777777" w:rsidTr="00356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30BD409" w14:textId="56DE70FC" w:rsidR="00725E50" w:rsidRPr="00075DC8" w:rsidRDefault="00E8215E" w:rsidP="00E8215E">
            <w:pPr>
              <w:pStyle w:val="Tabletext"/>
              <w:jc w:val="center"/>
              <w:rPr>
                <w:lang w:val="fr-FR"/>
              </w:rPr>
            </w:pPr>
            <w:r w:rsidRPr="00075DC8">
              <w:rPr>
                <w:szCs w:val="22"/>
                <w:lang w:val="fr-FR" w:eastAsia="ja-JP"/>
              </w:rPr>
              <w:t>−</w:t>
            </w:r>
            <w:r w:rsidR="00725E50" w:rsidRPr="00075DC8">
              <w:rPr>
                <w:szCs w:val="22"/>
                <w:lang w:val="fr-FR"/>
              </w:rPr>
              <w:t>13 dB</w:t>
            </w:r>
          </w:p>
        </w:tc>
        <w:tc>
          <w:tcPr>
            <w:tcW w:w="1815" w:type="dxa"/>
            <w:tcBorders>
              <w:top w:val="single" w:sz="4" w:space="0" w:color="auto"/>
              <w:left w:val="single" w:sz="4" w:space="0" w:color="auto"/>
              <w:bottom w:val="single" w:sz="4" w:space="0" w:color="auto"/>
              <w:right w:val="single" w:sz="4" w:space="0" w:color="auto"/>
            </w:tcBorders>
            <w:vAlign w:val="center"/>
            <w:hideMark/>
          </w:tcPr>
          <w:p w14:paraId="17D214F2" w14:textId="77777777" w:rsidR="00725E50" w:rsidRPr="00075DC8" w:rsidRDefault="00725E50" w:rsidP="00E8215E">
            <w:pPr>
              <w:pStyle w:val="Tabletext"/>
              <w:jc w:val="center"/>
              <w:rPr>
                <w:lang w:val="fr-FR"/>
              </w:rPr>
            </w:pPr>
            <w:r w:rsidRPr="00075DC8">
              <w:rPr>
                <w:szCs w:val="22"/>
                <w:lang w:val="fr-FR"/>
              </w:rPr>
              <w:t>3 à 6 GHz</w:t>
            </w:r>
          </w:p>
        </w:tc>
        <w:tc>
          <w:tcPr>
            <w:tcW w:w="2498" w:type="dxa"/>
            <w:tcBorders>
              <w:top w:val="single" w:sz="4" w:space="0" w:color="auto"/>
              <w:left w:val="single" w:sz="4" w:space="0" w:color="auto"/>
              <w:bottom w:val="single" w:sz="4" w:space="0" w:color="auto"/>
              <w:right w:val="single" w:sz="4" w:space="0" w:color="auto"/>
            </w:tcBorders>
            <w:hideMark/>
          </w:tcPr>
          <w:p w14:paraId="717A39D0" w14:textId="77777777" w:rsidR="00725E50" w:rsidRPr="00075DC8" w:rsidRDefault="00725E50" w:rsidP="00E8215E">
            <w:pPr>
              <w:pStyle w:val="Tabletext"/>
              <w:jc w:val="left"/>
              <w:rPr>
                <w:lang w:val="fr-FR"/>
              </w:rPr>
            </w:pPr>
            <w:r w:rsidRPr="00075DC8">
              <w:rPr>
                <w:szCs w:val="22"/>
                <w:lang w:val="fr-FR"/>
              </w:rPr>
              <w:t>Compatibilité avec un service dans une bande ultra</w:t>
            </w:r>
            <w:r w:rsidRPr="00075DC8">
              <w:rPr>
                <w:szCs w:val="22"/>
                <w:lang w:val="fr-FR"/>
              </w:rPr>
              <w:noBreakHyphen/>
              <w:t>large (UWB)</w:t>
            </w:r>
          </w:p>
        </w:tc>
        <w:tc>
          <w:tcPr>
            <w:tcW w:w="4200" w:type="dxa"/>
            <w:tcBorders>
              <w:top w:val="single" w:sz="4" w:space="0" w:color="auto"/>
              <w:left w:val="single" w:sz="4" w:space="0" w:color="auto"/>
              <w:bottom w:val="single" w:sz="4" w:space="0" w:color="auto"/>
              <w:right w:val="single" w:sz="4" w:space="0" w:color="auto"/>
            </w:tcBorders>
            <w:hideMark/>
          </w:tcPr>
          <w:p w14:paraId="7908DFB6" w14:textId="42510848" w:rsidR="00725E50" w:rsidRPr="00075DC8" w:rsidRDefault="00725E50" w:rsidP="00E8215E">
            <w:pPr>
              <w:pStyle w:val="Tabletext"/>
              <w:jc w:val="left"/>
              <w:rPr>
                <w:lang w:val="fr-FR"/>
              </w:rPr>
            </w:pPr>
            <w:r w:rsidRPr="00075DC8">
              <w:rPr>
                <w:szCs w:val="22"/>
                <w:lang w:val="fr-FR"/>
              </w:rPr>
              <w:t>Pour les terminaux d</w:t>
            </w:r>
            <w:r w:rsidR="001F6A0D" w:rsidRPr="00075DC8">
              <w:rPr>
                <w:szCs w:val="22"/>
                <w:lang w:val="fr-FR"/>
              </w:rPr>
              <w:t>'</w:t>
            </w:r>
            <w:r w:rsidRPr="00075DC8">
              <w:rPr>
                <w:szCs w:val="22"/>
                <w:lang w:val="fr-FR"/>
              </w:rPr>
              <w:t>accès hertzien fixe d</w:t>
            </w:r>
            <w:r w:rsidR="001F6A0D" w:rsidRPr="00075DC8">
              <w:rPr>
                <w:szCs w:val="22"/>
                <w:lang w:val="fr-FR"/>
              </w:rPr>
              <w:t>'</w:t>
            </w:r>
            <w:r w:rsidRPr="00075DC8">
              <w:rPr>
                <w:szCs w:val="22"/>
                <w:lang w:val="fr-FR"/>
              </w:rPr>
              <w:t>intérieur (FWA)</w:t>
            </w:r>
          </w:p>
          <w:p w14:paraId="647B52C2" w14:textId="77777777" w:rsidR="00725E50" w:rsidRPr="00075DC8" w:rsidRDefault="00725E50" w:rsidP="00E8215E">
            <w:pPr>
              <w:pStyle w:val="Tabletext"/>
              <w:jc w:val="left"/>
              <w:rPr>
                <w:lang w:val="fr-FR"/>
              </w:rPr>
            </w:pPr>
            <w:hyperlink r:id="rId107" w:history="1">
              <w:r w:rsidRPr="00075DC8">
                <w:rPr>
                  <w:lang w:val="fr-FR"/>
                </w:rPr>
                <w:t>UIT-R SM.1757</w:t>
              </w:r>
            </w:hyperlink>
          </w:p>
        </w:tc>
      </w:tr>
      <w:tr w:rsidR="00725E50" w:rsidRPr="00075DC8" w14:paraId="73AC675C" w14:textId="77777777" w:rsidTr="00356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549BA65A" w14:textId="0957BEF4" w:rsidR="00725E50" w:rsidRPr="00075DC8" w:rsidRDefault="00E8215E" w:rsidP="00E8215E">
            <w:pPr>
              <w:pStyle w:val="Tabletext"/>
              <w:jc w:val="center"/>
              <w:rPr>
                <w:lang w:val="fr-FR"/>
              </w:rPr>
            </w:pPr>
            <w:r w:rsidRPr="00075DC8">
              <w:rPr>
                <w:szCs w:val="22"/>
                <w:lang w:val="fr-FR" w:eastAsia="ja-JP"/>
              </w:rPr>
              <w:t>−</w:t>
            </w:r>
            <w:r w:rsidR="00725E50" w:rsidRPr="00075DC8">
              <w:rPr>
                <w:szCs w:val="22"/>
                <w:lang w:val="fr-FR"/>
              </w:rPr>
              <w:t>15 dB</w:t>
            </w:r>
          </w:p>
        </w:tc>
        <w:tc>
          <w:tcPr>
            <w:tcW w:w="1815" w:type="dxa"/>
            <w:tcBorders>
              <w:top w:val="single" w:sz="4" w:space="0" w:color="auto"/>
              <w:left w:val="single" w:sz="4" w:space="0" w:color="auto"/>
              <w:bottom w:val="single" w:sz="4" w:space="0" w:color="auto"/>
              <w:right w:val="single" w:sz="4" w:space="0" w:color="auto"/>
            </w:tcBorders>
            <w:vAlign w:val="center"/>
            <w:hideMark/>
          </w:tcPr>
          <w:p w14:paraId="72499DA3" w14:textId="77777777" w:rsidR="00725E50" w:rsidRPr="00075DC8" w:rsidRDefault="00725E50" w:rsidP="00E8215E">
            <w:pPr>
              <w:pStyle w:val="Tabletext"/>
              <w:jc w:val="center"/>
              <w:rPr>
                <w:lang w:val="fr-FR"/>
              </w:rPr>
            </w:pPr>
            <w:r w:rsidRPr="00075DC8">
              <w:rPr>
                <w:szCs w:val="22"/>
                <w:lang w:val="fr-FR"/>
              </w:rPr>
              <w:t>27 à 31 GHz</w:t>
            </w:r>
          </w:p>
        </w:tc>
        <w:tc>
          <w:tcPr>
            <w:tcW w:w="2498" w:type="dxa"/>
            <w:tcBorders>
              <w:top w:val="single" w:sz="4" w:space="0" w:color="auto"/>
              <w:left w:val="single" w:sz="4" w:space="0" w:color="auto"/>
              <w:bottom w:val="single" w:sz="4" w:space="0" w:color="auto"/>
              <w:right w:val="single" w:sz="4" w:space="0" w:color="auto"/>
            </w:tcBorders>
            <w:hideMark/>
          </w:tcPr>
          <w:p w14:paraId="0D317958" w14:textId="77777777" w:rsidR="00725E50" w:rsidRPr="00075DC8" w:rsidRDefault="00725E50" w:rsidP="00E8215E">
            <w:pPr>
              <w:pStyle w:val="Tabletext"/>
              <w:jc w:val="left"/>
              <w:rPr>
                <w:lang w:val="fr-FR"/>
              </w:rPr>
            </w:pPr>
            <w:r w:rsidRPr="00075DC8">
              <w:rPr>
                <w:szCs w:val="22"/>
                <w:lang w:val="fr-FR"/>
              </w:rPr>
              <w:t>Partage avec un service fixe qui emploie des stations sur une plate</w:t>
            </w:r>
            <w:r w:rsidRPr="00075DC8">
              <w:rPr>
                <w:szCs w:val="22"/>
                <w:lang w:val="fr-FR"/>
              </w:rPr>
              <w:noBreakHyphen/>
              <w:t>forme à haute altitude (HAPS)</w:t>
            </w:r>
          </w:p>
        </w:tc>
        <w:tc>
          <w:tcPr>
            <w:tcW w:w="4200" w:type="dxa"/>
            <w:tcBorders>
              <w:top w:val="single" w:sz="4" w:space="0" w:color="auto"/>
              <w:left w:val="single" w:sz="4" w:space="0" w:color="auto"/>
              <w:bottom w:val="single" w:sz="4" w:space="0" w:color="auto"/>
              <w:right w:val="single" w:sz="4" w:space="0" w:color="auto"/>
            </w:tcBorders>
            <w:hideMark/>
          </w:tcPr>
          <w:p w14:paraId="3E08D3A6" w14:textId="77777777" w:rsidR="00725E50" w:rsidRPr="00075DC8" w:rsidRDefault="00725E50" w:rsidP="00E8215E">
            <w:pPr>
              <w:pStyle w:val="Tabletext"/>
              <w:jc w:val="left"/>
              <w:rPr>
                <w:lang w:val="fr-FR"/>
              </w:rPr>
            </w:pPr>
            <w:r w:rsidRPr="00075DC8">
              <w:rPr>
                <w:szCs w:val="22"/>
                <w:lang w:val="fr-FR"/>
              </w:rPr>
              <w:t>UIT-R F.1609</w:t>
            </w:r>
          </w:p>
        </w:tc>
      </w:tr>
      <w:tr w:rsidR="00725E50" w:rsidRPr="00075DC8" w14:paraId="73E311B1" w14:textId="77777777" w:rsidTr="00356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38062F61" w14:textId="52B2BD83" w:rsidR="00725E50" w:rsidRPr="00075DC8" w:rsidRDefault="00E8215E" w:rsidP="00E8215E">
            <w:pPr>
              <w:pStyle w:val="Tabletext"/>
              <w:jc w:val="center"/>
              <w:rPr>
                <w:szCs w:val="22"/>
                <w:lang w:val="fr-FR"/>
              </w:rPr>
            </w:pPr>
            <w:r w:rsidRPr="00075DC8">
              <w:rPr>
                <w:szCs w:val="22"/>
                <w:lang w:val="fr-FR" w:eastAsia="ja-JP"/>
              </w:rPr>
              <w:t>−</w:t>
            </w:r>
            <w:r w:rsidR="00725E50" w:rsidRPr="00075DC8">
              <w:rPr>
                <w:szCs w:val="22"/>
                <w:lang w:val="fr-FR"/>
              </w:rPr>
              <w:t>20 dB</w:t>
            </w:r>
          </w:p>
        </w:tc>
        <w:tc>
          <w:tcPr>
            <w:tcW w:w="1815" w:type="dxa"/>
            <w:tcBorders>
              <w:top w:val="single" w:sz="4" w:space="0" w:color="auto"/>
              <w:left w:val="single" w:sz="4" w:space="0" w:color="auto"/>
              <w:bottom w:val="single" w:sz="4" w:space="0" w:color="auto"/>
              <w:right w:val="single" w:sz="4" w:space="0" w:color="auto"/>
            </w:tcBorders>
            <w:vAlign w:val="center"/>
          </w:tcPr>
          <w:p w14:paraId="605478EC" w14:textId="77777777" w:rsidR="00725E50" w:rsidRPr="00075DC8" w:rsidRDefault="00725E50" w:rsidP="00E8215E">
            <w:pPr>
              <w:pStyle w:val="Tabletext"/>
              <w:jc w:val="center"/>
              <w:rPr>
                <w:szCs w:val="22"/>
                <w:lang w:val="fr-FR"/>
              </w:rPr>
            </w:pPr>
            <w:r w:rsidRPr="00075DC8">
              <w:rPr>
                <w:szCs w:val="22"/>
                <w:lang w:val="fr-FR"/>
              </w:rPr>
              <w:t>3-8,5 GHz</w:t>
            </w:r>
          </w:p>
        </w:tc>
        <w:tc>
          <w:tcPr>
            <w:tcW w:w="2498" w:type="dxa"/>
            <w:tcBorders>
              <w:top w:val="single" w:sz="4" w:space="0" w:color="auto"/>
              <w:left w:val="single" w:sz="4" w:space="0" w:color="auto"/>
              <w:bottom w:val="single" w:sz="4" w:space="0" w:color="auto"/>
              <w:right w:val="single" w:sz="4" w:space="0" w:color="auto"/>
            </w:tcBorders>
          </w:tcPr>
          <w:p w14:paraId="23AFEA06" w14:textId="77777777" w:rsidR="00725E50" w:rsidRPr="00075DC8" w:rsidRDefault="00725E50" w:rsidP="00E8215E">
            <w:pPr>
              <w:pStyle w:val="Tabletext"/>
              <w:jc w:val="left"/>
              <w:rPr>
                <w:szCs w:val="22"/>
                <w:lang w:val="fr-FR"/>
              </w:rPr>
            </w:pPr>
            <w:r w:rsidRPr="00075DC8">
              <w:rPr>
                <w:szCs w:val="22"/>
                <w:lang w:val="fr-FR"/>
              </w:rPr>
              <w:t>Compatibilité avec un service dans une bande ultra</w:t>
            </w:r>
            <w:r w:rsidRPr="00075DC8">
              <w:rPr>
                <w:szCs w:val="22"/>
                <w:lang w:val="fr-FR"/>
              </w:rPr>
              <w:noBreakHyphen/>
              <w:t>large (UWB)</w:t>
            </w:r>
          </w:p>
        </w:tc>
        <w:tc>
          <w:tcPr>
            <w:tcW w:w="4200" w:type="dxa"/>
            <w:tcBorders>
              <w:top w:val="single" w:sz="4" w:space="0" w:color="auto"/>
              <w:left w:val="single" w:sz="4" w:space="0" w:color="auto"/>
              <w:bottom w:val="single" w:sz="4" w:space="0" w:color="auto"/>
              <w:right w:val="single" w:sz="4" w:space="0" w:color="auto"/>
            </w:tcBorders>
          </w:tcPr>
          <w:p w14:paraId="2EB1BE6C" w14:textId="77777777" w:rsidR="00725E50" w:rsidRPr="00075DC8" w:rsidRDefault="00725E50" w:rsidP="00E8215E">
            <w:pPr>
              <w:pStyle w:val="Tabletext"/>
              <w:jc w:val="left"/>
              <w:rPr>
                <w:lang w:val="fr-FR"/>
              </w:rPr>
            </w:pPr>
            <w:hyperlink r:id="rId108" w:history="1">
              <w:r w:rsidRPr="00075DC8">
                <w:rPr>
                  <w:lang w:val="fr-FR"/>
                </w:rPr>
                <w:t>UIT-R SM.1757</w:t>
              </w:r>
            </w:hyperlink>
          </w:p>
        </w:tc>
      </w:tr>
      <w:tr w:rsidR="00725E50" w:rsidRPr="00075DC8" w14:paraId="60D45385" w14:textId="77777777" w:rsidTr="00356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92AB90C" w14:textId="1E988B70" w:rsidR="00725E50" w:rsidRPr="00075DC8" w:rsidRDefault="00E8215E" w:rsidP="00E8215E">
            <w:pPr>
              <w:pStyle w:val="Tabletext"/>
              <w:jc w:val="center"/>
              <w:rPr>
                <w:szCs w:val="22"/>
                <w:lang w:val="fr-FR"/>
              </w:rPr>
            </w:pPr>
            <w:r w:rsidRPr="00075DC8">
              <w:rPr>
                <w:szCs w:val="22"/>
                <w:lang w:val="fr-FR" w:eastAsia="ja-JP"/>
              </w:rPr>
              <w:t>−</w:t>
            </w:r>
            <w:r w:rsidR="00725E50" w:rsidRPr="00075DC8">
              <w:rPr>
                <w:szCs w:val="22"/>
                <w:lang w:val="fr-FR"/>
              </w:rPr>
              <w:t>20 dB</w:t>
            </w:r>
          </w:p>
        </w:tc>
        <w:tc>
          <w:tcPr>
            <w:tcW w:w="1815" w:type="dxa"/>
            <w:tcBorders>
              <w:top w:val="single" w:sz="4" w:space="0" w:color="auto"/>
              <w:left w:val="single" w:sz="4" w:space="0" w:color="auto"/>
              <w:bottom w:val="single" w:sz="4" w:space="0" w:color="auto"/>
              <w:right w:val="single" w:sz="4" w:space="0" w:color="auto"/>
            </w:tcBorders>
            <w:vAlign w:val="center"/>
          </w:tcPr>
          <w:p w14:paraId="2709E40B" w14:textId="77777777" w:rsidR="00725E50" w:rsidRPr="00075DC8" w:rsidRDefault="00725E50" w:rsidP="00E8215E">
            <w:pPr>
              <w:pStyle w:val="Tabletext"/>
              <w:jc w:val="center"/>
              <w:rPr>
                <w:szCs w:val="22"/>
                <w:lang w:val="fr-FR"/>
              </w:rPr>
            </w:pPr>
            <w:r w:rsidRPr="00075DC8">
              <w:rPr>
                <w:szCs w:val="22"/>
                <w:lang w:val="fr-FR"/>
              </w:rPr>
              <w:t>Toutes</w:t>
            </w:r>
          </w:p>
        </w:tc>
        <w:tc>
          <w:tcPr>
            <w:tcW w:w="2498" w:type="dxa"/>
            <w:tcBorders>
              <w:top w:val="single" w:sz="4" w:space="0" w:color="auto"/>
              <w:left w:val="single" w:sz="4" w:space="0" w:color="auto"/>
              <w:bottom w:val="single" w:sz="4" w:space="0" w:color="auto"/>
              <w:right w:val="single" w:sz="4" w:space="0" w:color="auto"/>
            </w:tcBorders>
          </w:tcPr>
          <w:p w14:paraId="417E35F0" w14:textId="77777777" w:rsidR="00725E50" w:rsidRPr="00075DC8" w:rsidRDefault="00725E50" w:rsidP="00E8215E">
            <w:pPr>
              <w:pStyle w:val="Tabletext"/>
              <w:jc w:val="left"/>
              <w:rPr>
                <w:szCs w:val="22"/>
                <w:lang w:val="fr-FR"/>
              </w:rPr>
            </w:pPr>
            <w:r w:rsidRPr="00075DC8">
              <w:rPr>
                <w:szCs w:val="22"/>
                <w:lang w:val="fr-FR"/>
              </w:rPr>
              <w:t xml:space="preserve">Études de compatibilité </w:t>
            </w:r>
          </w:p>
        </w:tc>
        <w:tc>
          <w:tcPr>
            <w:tcW w:w="4200" w:type="dxa"/>
            <w:tcBorders>
              <w:top w:val="single" w:sz="4" w:space="0" w:color="auto"/>
              <w:left w:val="single" w:sz="4" w:space="0" w:color="auto"/>
              <w:bottom w:val="single" w:sz="4" w:space="0" w:color="auto"/>
              <w:right w:val="single" w:sz="4" w:space="0" w:color="auto"/>
            </w:tcBorders>
          </w:tcPr>
          <w:p w14:paraId="21E81E04" w14:textId="77777777" w:rsidR="00725E50" w:rsidRPr="00075DC8" w:rsidRDefault="00725E50" w:rsidP="00E8215E">
            <w:pPr>
              <w:pStyle w:val="Tabletext"/>
              <w:jc w:val="left"/>
              <w:rPr>
                <w:lang w:val="fr-FR"/>
              </w:rPr>
            </w:pPr>
            <w:hyperlink r:id="rId109" w:history="1">
              <w:r w:rsidRPr="00075DC8">
                <w:rPr>
                  <w:lang w:val="fr-FR"/>
                </w:rPr>
                <w:t>UIT-R F.1094</w:t>
              </w:r>
            </w:hyperlink>
          </w:p>
        </w:tc>
      </w:tr>
      <w:tr w:rsidR="00725E50" w:rsidRPr="00075DC8" w14:paraId="4BD5E4C0" w14:textId="77777777" w:rsidTr="00356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47" w:type="dxa"/>
            <w:gridSpan w:val="4"/>
            <w:tcBorders>
              <w:top w:val="single" w:sz="4" w:space="0" w:color="auto"/>
              <w:left w:val="nil"/>
              <w:bottom w:val="nil"/>
              <w:right w:val="nil"/>
            </w:tcBorders>
            <w:vAlign w:val="center"/>
          </w:tcPr>
          <w:p w14:paraId="4C950DE0" w14:textId="5411E9D2" w:rsidR="00725E50" w:rsidRPr="00075DC8" w:rsidRDefault="00725E50" w:rsidP="00E8215E">
            <w:pPr>
              <w:pStyle w:val="Tabletext"/>
              <w:ind w:left="284" w:hanging="284"/>
              <w:jc w:val="left"/>
              <w:rPr>
                <w:lang w:val="fr-FR" w:eastAsia="ja-JP"/>
              </w:rPr>
            </w:pPr>
            <w:r w:rsidRPr="00075DC8">
              <w:rPr>
                <w:vertAlign w:val="superscript"/>
                <w:lang w:val="fr-FR" w:eastAsia="ja-JP"/>
              </w:rPr>
              <w:t>(1)</w:t>
            </w:r>
            <w:r w:rsidRPr="00075DC8">
              <w:rPr>
                <w:lang w:val="fr-FR" w:eastAsia="ja-JP"/>
              </w:rPr>
              <w:tab/>
              <w:t xml:space="preserve">Ces valeurs de </w:t>
            </w:r>
            <w:r w:rsidRPr="00075DC8">
              <w:rPr>
                <w:i/>
                <w:lang w:val="fr-FR" w:eastAsia="ja-JP"/>
              </w:rPr>
              <w:t>I</w:t>
            </w:r>
            <w:r w:rsidRPr="00075DC8">
              <w:rPr>
                <w:iCs/>
                <w:lang w:val="fr-FR" w:eastAsia="ja-JP"/>
              </w:rPr>
              <w:t>/</w:t>
            </w:r>
            <w:r w:rsidRPr="00075DC8">
              <w:rPr>
                <w:i/>
                <w:lang w:val="fr-FR" w:eastAsia="ja-JP"/>
              </w:rPr>
              <w:t>N</w:t>
            </w:r>
            <w:r w:rsidRPr="00075DC8">
              <w:rPr>
                <w:lang w:val="fr-FR" w:eastAsia="ja-JP"/>
              </w:rPr>
              <w:t xml:space="preserve"> s</w:t>
            </w:r>
            <w:r w:rsidR="001F6A0D" w:rsidRPr="00075DC8">
              <w:rPr>
                <w:lang w:val="fr-FR" w:eastAsia="ja-JP"/>
              </w:rPr>
              <w:t>'</w:t>
            </w:r>
            <w:r w:rsidRPr="00075DC8">
              <w:rPr>
                <w:lang w:val="fr-FR" w:eastAsia="ja-JP"/>
              </w:rPr>
              <w:t>appliquent au brouillage cumulatif provenant du fonctionnement du service partagé.</w:t>
            </w:r>
          </w:p>
          <w:p w14:paraId="0D422E2F" w14:textId="77777777" w:rsidR="00725E50" w:rsidRPr="00075DC8" w:rsidRDefault="00725E50" w:rsidP="00E8215E">
            <w:pPr>
              <w:pStyle w:val="Tabletext"/>
              <w:ind w:left="284" w:hanging="284"/>
              <w:jc w:val="left"/>
              <w:rPr>
                <w:lang w:val="fr-FR" w:eastAsia="ja-JP"/>
              </w:rPr>
            </w:pPr>
            <w:r w:rsidRPr="00075DC8">
              <w:rPr>
                <w:vertAlign w:val="superscript"/>
                <w:lang w:val="fr-FR" w:eastAsia="ja-JP"/>
              </w:rPr>
              <w:t>(2)</w:t>
            </w:r>
            <w:r w:rsidRPr="00075DC8">
              <w:rPr>
                <w:lang w:val="fr-FR" w:eastAsia="ja-JP"/>
              </w:rPr>
              <w:tab/>
              <w:t>Dans la présente Recommandation, les études de compatibilité désignent les études entre les systèmes FWS et:</w:t>
            </w:r>
          </w:p>
          <w:p w14:paraId="3EF27274" w14:textId="77777777" w:rsidR="00725E50" w:rsidRPr="00075DC8" w:rsidRDefault="00725E50" w:rsidP="00E8215E">
            <w:pPr>
              <w:pStyle w:val="Tabletext"/>
              <w:ind w:left="568" w:hanging="284"/>
              <w:jc w:val="left"/>
              <w:rPr>
                <w:lang w:val="fr-FR" w:eastAsia="ja-JP"/>
              </w:rPr>
            </w:pPr>
            <w:r w:rsidRPr="00075DC8">
              <w:rPr>
                <w:lang w:val="fr-FR" w:eastAsia="ja-JP"/>
              </w:rPr>
              <w:t>–</w:t>
            </w:r>
            <w:r w:rsidRPr="00075DC8">
              <w:rPr>
                <w:lang w:val="fr-FR" w:eastAsia="ja-JP"/>
              </w:rPr>
              <w:tab/>
              <w:t>les systèmes de services ayant des attributions à titre secondaire dans des bandes attribuées au service fixe à titre primaire;</w:t>
            </w:r>
          </w:p>
          <w:p w14:paraId="761D9A83" w14:textId="05B4DC7F" w:rsidR="00725E50" w:rsidRPr="00075DC8" w:rsidRDefault="00725E50" w:rsidP="00E8215E">
            <w:pPr>
              <w:pStyle w:val="Tabletext"/>
              <w:ind w:left="568" w:hanging="284"/>
              <w:jc w:val="left"/>
              <w:rPr>
                <w:lang w:val="fr-FR" w:eastAsia="ja-JP"/>
              </w:rPr>
            </w:pPr>
            <w:r w:rsidRPr="00075DC8">
              <w:rPr>
                <w:lang w:val="fr-FR" w:eastAsia="ja-JP"/>
              </w:rPr>
              <w:t>–</w:t>
            </w:r>
            <w:r w:rsidRPr="00075DC8">
              <w:rPr>
                <w:lang w:val="fr-FR" w:eastAsia="ja-JP"/>
              </w:rPr>
              <w:tab/>
              <w:t>les systèmes de services ayant des attributions dans d</w:t>
            </w:r>
            <w:r w:rsidR="001F6A0D" w:rsidRPr="00075DC8">
              <w:rPr>
                <w:lang w:val="fr-FR" w:eastAsia="ja-JP"/>
              </w:rPr>
              <w:t>'</w:t>
            </w:r>
            <w:r w:rsidRPr="00075DC8">
              <w:rPr>
                <w:lang w:val="fr-FR" w:eastAsia="ja-JP"/>
              </w:rPr>
              <w:t xml:space="preserve">autres bandes (par exemple, dans des bandes adjacentes); </w:t>
            </w:r>
            <w:r w:rsidR="00D46B2A" w:rsidRPr="00075DC8">
              <w:rPr>
                <w:lang w:val="fr-FR" w:eastAsia="ja-JP"/>
              </w:rPr>
              <w:t>ou</w:t>
            </w:r>
          </w:p>
          <w:p w14:paraId="68BD93A4" w14:textId="787D6ABF" w:rsidR="00725E50" w:rsidRPr="00075DC8" w:rsidRDefault="00725E50" w:rsidP="00E8215E">
            <w:pPr>
              <w:pStyle w:val="Tabletext"/>
              <w:ind w:left="284"/>
              <w:jc w:val="left"/>
              <w:rPr>
                <w:szCs w:val="22"/>
                <w:lang w:val="fr-FR"/>
              </w:rPr>
            </w:pPr>
            <w:r w:rsidRPr="00075DC8">
              <w:rPr>
                <w:lang w:val="fr-FR" w:eastAsia="ja-JP"/>
              </w:rPr>
              <w:t>–</w:t>
            </w:r>
            <w:r w:rsidRPr="00075DC8">
              <w:rPr>
                <w:lang w:val="fr-FR" w:eastAsia="ja-JP"/>
              </w:rPr>
              <w:tab/>
              <w:t>les sources d</w:t>
            </w:r>
            <w:r w:rsidR="001F6A0D" w:rsidRPr="00075DC8">
              <w:rPr>
                <w:lang w:val="fr-FR" w:eastAsia="ja-JP"/>
              </w:rPr>
              <w:t>'</w:t>
            </w:r>
            <w:r w:rsidRPr="00075DC8">
              <w:rPr>
                <w:lang w:val="fr-FR" w:eastAsia="ja-JP"/>
              </w:rPr>
              <w:t>émissions autres que les services de radiocommunication.</w:t>
            </w:r>
          </w:p>
        </w:tc>
      </w:tr>
    </w:tbl>
    <w:p w14:paraId="2B193BA8" w14:textId="77777777" w:rsidR="00E8215E" w:rsidRPr="00075DC8" w:rsidRDefault="00E8215E" w:rsidP="00E8215E">
      <w:pPr>
        <w:pStyle w:val="Tablefin"/>
        <w:rPr>
          <w:lang w:val="fr-FR" w:eastAsia="ja-JP"/>
        </w:rPr>
      </w:pPr>
      <w:bookmarkStart w:id="86" w:name="_Toc37843627"/>
    </w:p>
    <w:p w14:paraId="67B58259" w14:textId="6AA85CDD" w:rsidR="00725E50" w:rsidRPr="00075DC8" w:rsidRDefault="00725E50" w:rsidP="00E8215E">
      <w:pPr>
        <w:pStyle w:val="Heading2"/>
        <w:rPr>
          <w:lang w:val="fr-FR"/>
        </w:rPr>
      </w:pPr>
      <w:bookmarkStart w:id="87" w:name="_Toc198643849"/>
      <w:r w:rsidRPr="00075DC8">
        <w:rPr>
          <w:lang w:val="fr-FR"/>
        </w:rPr>
        <w:t>4.14</w:t>
      </w:r>
      <w:r w:rsidRPr="00075DC8">
        <w:rPr>
          <w:lang w:val="fr-FR"/>
        </w:rPr>
        <w:tab/>
        <w:t>Informations complémentaires (niveau nominal à l</w:t>
      </w:r>
      <w:r w:rsidR="001F6A0D" w:rsidRPr="00075DC8">
        <w:rPr>
          <w:lang w:val="fr-FR"/>
        </w:rPr>
        <w:t>'</w:t>
      </w:r>
      <w:r w:rsidRPr="00075DC8">
        <w:rPr>
          <w:lang w:val="fr-FR"/>
        </w:rPr>
        <w:t>entrée du récepteur)</w:t>
      </w:r>
      <w:bookmarkEnd w:id="86"/>
      <w:bookmarkEnd w:id="87"/>
    </w:p>
    <w:p w14:paraId="3956800D" w14:textId="20B8F9B6" w:rsidR="00725E50" w:rsidRPr="00075DC8" w:rsidRDefault="00725E50" w:rsidP="00725E50">
      <w:pPr>
        <w:rPr>
          <w:szCs w:val="22"/>
          <w:lang w:val="fr-FR" w:eastAsia="ja-JP"/>
        </w:rPr>
      </w:pPr>
      <w:r w:rsidRPr="00075DC8">
        <w:rPr>
          <w:szCs w:val="22"/>
          <w:lang w:val="fr-FR" w:eastAsia="ja-JP"/>
        </w:rPr>
        <w:t>Le niveau nominal à l</w:t>
      </w:r>
      <w:r w:rsidR="001F6A0D" w:rsidRPr="00075DC8">
        <w:rPr>
          <w:szCs w:val="22"/>
          <w:lang w:val="fr-FR" w:eastAsia="ja-JP"/>
        </w:rPr>
        <w:t>'</w:t>
      </w:r>
      <w:r w:rsidRPr="00075DC8">
        <w:rPr>
          <w:szCs w:val="22"/>
          <w:lang w:val="fr-FR" w:eastAsia="ja-JP"/>
        </w:rPr>
        <w:t>entrée du récepteur (dBW) n</w:t>
      </w:r>
      <w:r w:rsidR="001F6A0D" w:rsidRPr="00075DC8">
        <w:rPr>
          <w:szCs w:val="22"/>
          <w:lang w:val="fr-FR" w:eastAsia="ja-JP"/>
        </w:rPr>
        <w:t>'</w:t>
      </w:r>
      <w:r w:rsidRPr="00075DC8">
        <w:rPr>
          <w:szCs w:val="22"/>
          <w:lang w:val="fr-FR" w:eastAsia="ja-JP"/>
        </w:rPr>
        <w:t xml:space="preserve">est pas mentionné dans les </w:t>
      </w:r>
      <w:r w:rsidR="0074121B" w:rsidRPr="00075DC8">
        <w:rPr>
          <w:szCs w:val="22"/>
          <w:lang w:val="fr-FR" w:eastAsia="ja-JP"/>
        </w:rPr>
        <w:t>t</w:t>
      </w:r>
      <w:r w:rsidRPr="00075DC8">
        <w:rPr>
          <w:szCs w:val="22"/>
          <w:lang w:val="fr-FR" w:eastAsia="ja-JP"/>
        </w:rPr>
        <w:t>ableaux en raison de sa grande variabilité dans les réseaux. Mais on pourrait en avoir besoin pour l</w:t>
      </w:r>
      <w:r w:rsidR="001F6A0D" w:rsidRPr="00075DC8">
        <w:rPr>
          <w:szCs w:val="22"/>
          <w:lang w:val="fr-FR" w:eastAsia="ja-JP"/>
        </w:rPr>
        <w:t>'</w:t>
      </w:r>
      <w:r w:rsidRPr="00075DC8">
        <w:rPr>
          <w:szCs w:val="22"/>
          <w:lang w:val="fr-FR" w:eastAsia="ja-JP"/>
        </w:rPr>
        <w:t>évaluation de brouillage «de courte durée». Le niveau nominal à la réception dépend du bilan particulier de liaison qui est nécessaire pour assurer la qualité en matière d</w:t>
      </w:r>
      <w:r w:rsidR="001F6A0D" w:rsidRPr="00075DC8">
        <w:rPr>
          <w:szCs w:val="22"/>
          <w:lang w:val="fr-FR" w:eastAsia="ja-JP"/>
        </w:rPr>
        <w:t>'</w:t>
      </w:r>
      <w:r w:rsidRPr="00075DC8">
        <w:rPr>
          <w:szCs w:val="22"/>
          <w:lang w:val="fr-FR" w:eastAsia="ja-JP"/>
        </w:rPr>
        <w:t>erreur et la disponibilité requises. Par ailleurs, lorsque la commande ATPC est employée, le niveau nominal du récepteur est diminué par la plage de la commande ATPC. Généralement, lorsque cette commande est utilisée, le niveau nominal du récepteur devrait être abaissé d</w:t>
      </w:r>
      <w:r w:rsidR="001F6A0D" w:rsidRPr="00075DC8">
        <w:rPr>
          <w:szCs w:val="22"/>
          <w:lang w:val="fr-FR" w:eastAsia="ja-JP"/>
        </w:rPr>
        <w:t>'</w:t>
      </w:r>
      <w:r w:rsidRPr="00075DC8">
        <w:rPr>
          <w:szCs w:val="22"/>
          <w:lang w:val="fr-FR" w:eastAsia="ja-JP"/>
        </w:rPr>
        <w:t>environ 10 dB. En cas de besoin, les données concernant le niveau nominal à l</w:t>
      </w:r>
      <w:r w:rsidR="001F6A0D" w:rsidRPr="00075DC8">
        <w:rPr>
          <w:szCs w:val="22"/>
          <w:lang w:val="fr-FR" w:eastAsia="ja-JP"/>
        </w:rPr>
        <w:t>'</w:t>
      </w:r>
      <w:r w:rsidRPr="00075DC8">
        <w:rPr>
          <w:szCs w:val="22"/>
          <w:lang w:val="fr-FR" w:eastAsia="ja-JP"/>
        </w:rPr>
        <w:t>entrée du récepteur devraient être fournies par les administrations nationales concernées par l</w:t>
      </w:r>
      <w:r w:rsidR="001F6A0D" w:rsidRPr="00075DC8">
        <w:rPr>
          <w:szCs w:val="22"/>
          <w:lang w:val="fr-FR" w:eastAsia="ja-JP"/>
        </w:rPr>
        <w:t>'</w:t>
      </w:r>
      <w:r w:rsidRPr="00075DC8">
        <w:rPr>
          <w:szCs w:val="22"/>
          <w:lang w:val="fr-FR" w:eastAsia="ja-JP"/>
        </w:rPr>
        <w:t>étude.</w:t>
      </w:r>
    </w:p>
    <w:p w14:paraId="467B45E5" w14:textId="63053F8A" w:rsidR="00725E50" w:rsidRPr="00075DC8" w:rsidRDefault="00725E50" w:rsidP="00725E50">
      <w:pPr>
        <w:rPr>
          <w:szCs w:val="22"/>
          <w:lang w:val="fr-FR" w:eastAsia="ja-JP"/>
        </w:rPr>
      </w:pPr>
      <w:r w:rsidRPr="00075DC8">
        <w:rPr>
          <w:szCs w:val="22"/>
          <w:lang w:val="fr-FR" w:eastAsia="ja-JP"/>
        </w:rPr>
        <w:t>Dans tous les cas, pour une bonne fonction de liaison, avec la commande ATPC, le niveau nominal à</w:t>
      </w:r>
      <w:r w:rsidR="009B3D52" w:rsidRPr="00075DC8">
        <w:rPr>
          <w:szCs w:val="22"/>
          <w:lang w:val="fr-FR" w:eastAsia="ja-JP"/>
        </w:rPr>
        <w:t> </w:t>
      </w:r>
      <w:r w:rsidRPr="00075DC8">
        <w:rPr>
          <w:szCs w:val="22"/>
          <w:lang w:val="fr-FR" w:eastAsia="ja-JP"/>
        </w:rPr>
        <w:t>l</w:t>
      </w:r>
      <w:r w:rsidR="001F6A0D" w:rsidRPr="00075DC8">
        <w:rPr>
          <w:szCs w:val="22"/>
          <w:lang w:val="fr-FR" w:eastAsia="ja-JP"/>
        </w:rPr>
        <w:t>'</w:t>
      </w:r>
      <w:r w:rsidRPr="00075DC8">
        <w:rPr>
          <w:szCs w:val="22"/>
          <w:lang w:val="fr-FR" w:eastAsia="ja-JP"/>
        </w:rPr>
        <w:t>entrée du récepteur ne devrait pas descendre sous le niveau dépassant de 10 à 15 dB environ le niveau à l</w:t>
      </w:r>
      <w:r w:rsidR="001F6A0D" w:rsidRPr="00075DC8">
        <w:rPr>
          <w:szCs w:val="22"/>
          <w:lang w:val="fr-FR" w:eastAsia="ja-JP"/>
        </w:rPr>
        <w:t>'</w:t>
      </w:r>
      <w:r w:rsidRPr="00075DC8">
        <w:rPr>
          <w:szCs w:val="22"/>
          <w:lang w:val="fr-FR" w:eastAsia="ja-JP"/>
        </w:rPr>
        <w:t>entrée du récepteur pour un taux BER de 10</w:t>
      </w:r>
      <w:r w:rsidRPr="00075DC8">
        <w:rPr>
          <w:szCs w:val="22"/>
          <w:vertAlign w:val="superscript"/>
          <w:lang w:val="fr-FR" w:eastAsia="ja-JP"/>
        </w:rPr>
        <w:t>−6</w:t>
      </w:r>
      <w:r w:rsidRPr="00075DC8">
        <w:rPr>
          <w:szCs w:val="22"/>
          <w:lang w:val="fr-FR" w:eastAsia="ja-JP"/>
        </w:rPr>
        <w:t>.</w:t>
      </w:r>
    </w:p>
    <w:p w14:paraId="02352D80" w14:textId="568790AA" w:rsidR="00725E50" w:rsidRPr="00075DC8" w:rsidRDefault="00725E50" w:rsidP="00725E50">
      <w:pPr>
        <w:rPr>
          <w:szCs w:val="22"/>
          <w:lang w:val="fr-FR" w:eastAsia="ja-JP"/>
        </w:rPr>
      </w:pPr>
      <w:r w:rsidRPr="00075DC8">
        <w:rPr>
          <w:szCs w:val="22"/>
          <w:lang w:val="fr-FR" w:eastAsia="ja-JP"/>
        </w:rPr>
        <w:t xml:space="preserve">Pour chacune des gammes de fréquences dans les Tableaux 6 à 15, il y a deux colonnes qui renvoient à des valeurs représentatives de systèmes simples et de systèmes plus complexes, respectivement (voir le </w:t>
      </w:r>
      <w:r w:rsidR="008B1840" w:rsidRPr="00075DC8">
        <w:rPr>
          <w:szCs w:val="22"/>
          <w:lang w:val="fr-FR" w:eastAsia="ja-JP"/>
        </w:rPr>
        <w:t>§ </w:t>
      </w:r>
      <w:r w:rsidRPr="00075DC8">
        <w:rPr>
          <w:szCs w:val="22"/>
          <w:lang w:val="fr-FR" w:eastAsia="ja-JP"/>
        </w:rPr>
        <w:t>4.2 de l</w:t>
      </w:r>
      <w:r w:rsidR="001F6A0D" w:rsidRPr="00075DC8">
        <w:rPr>
          <w:szCs w:val="22"/>
          <w:lang w:val="fr-FR" w:eastAsia="ja-JP"/>
        </w:rPr>
        <w:t>'</w:t>
      </w:r>
      <w:r w:rsidRPr="00075DC8">
        <w:rPr>
          <w:szCs w:val="22"/>
          <w:lang w:val="fr-FR" w:eastAsia="ja-JP"/>
        </w:rPr>
        <w:t>Annexe 2).</w:t>
      </w:r>
    </w:p>
    <w:p w14:paraId="4D1F29AB" w14:textId="77777777" w:rsidR="00725E50" w:rsidRPr="00075DC8" w:rsidRDefault="00725E50" w:rsidP="003E7546">
      <w:pPr>
        <w:pStyle w:val="TableNo"/>
        <w:rPr>
          <w:lang w:val="fr-FR"/>
        </w:rPr>
      </w:pPr>
      <w:r w:rsidRPr="00075DC8">
        <w:rPr>
          <w:lang w:val="fr-FR"/>
        </w:rPr>
        <w:lastRenderedPageBreak/>
        <w:t>TABLEAU 6</w:t>
      </w:r>
    </w:p>
    <w:p w14:paraId="3F8E585E" w14:textId="77777777" w:rsidR="00725E50" w:rsidRPr="00075DC8" w:rsidRDefault="00725E50" w:rsidP="003E7546">
      <w:pPr>
        <w:pStyle w:val="Tabletitle"/>
        <w:rPr>
          <w:lang w:val="fr-FR" w:eastAsia="ja-JP"/>
        </w:rPr>
      </w:pPr>
      <w:r w:rsidRPr="00075DC8">
        <w:rPr>
          <w:lang w:val="fr-FR" w:eastAsia="ja-JP"/>
        </w:rPr>
        <w:t>Paramètres des systèmes du service fixe de point à point dans les</w:t>
      </w:r>
      <w:r w:rsidRPr="00075DC8">
        <w:rPr>
          <w:lang w:val="fr-FR" w:eastAsia="ja-JP"/>
        </w:rPr>
        <w:br/>
        <w:t>bandes attribuées inférieures à 400 MHz</w:t>
      </w:r>
    </w:p>
    <w:tbl>
      <w:tblPr>
        <w:tblW w:w="96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809"/>
        <w:gridCol w:w="3821"/>
      </w:tblGrid>
      <w:tr w:rsidR="00725E50" w:rsidRPr="00075DC8" w14:paraId="62BEF54F" w14:textId="77777777" w:rsidTr="00D46B2A">
        <w:trPr>
          <w:jc w:val="center"/>
        </w:trPr>
        <w:tc>
          <w:tcPr>
            <w:tcW w:w="5809" w:type="dxa"/>
            <w:tcMar>
              <w:top w:w="0" w:type="dxa"/>
              <w:left w:w="108" w:type="dxa"/>
              <w:bottom w:w="0" w:type="dxa"/>
              <w:right w:w="108" w:type="dxa"/>
            </w:tcMar>
            <w:vAlign w:val="center"/>
            <w:hideMark/>
          </w:tcPr>
          <w:p w14:paraId="1B80CBF2" w14:textId="411B25E6" w:rsidR="00725E50" w:rsidRPr="00075DC8" w:rsidRDefault="00725E50" w:rsidP="003E7546">
            <w:pPr>
              <w:pStyle w:val="Tablehead"/>
              <w:rPr>
                <w:lang w:val="fr-FR"/>
              </w:rPr>
            </w:pPr>
            <w:r w:rsidRPr="00075DC8">
              <w:rPr>
                <w:lang w:val="fr-FR"/>
              </w:rPr>
              <w:t>Gamme de fréquences</w:t>
            </w:r>
            <w:r w:rsidR="003E7546" w:rsidRPr="00075DC8">
              <w:rPr>
                <w:lang w:val="fr-FR"/>
              </w:rPr>
              <w:br/>
            </w:r>
            <w:r w:rsidRPr="00075DC8">
              <w:rPr>
                <w:lang w:val="fr-FR"/>
              </w:rPr>
              <w:t>(MHz)</w:t>
            </w:r>
          </w:p>
        </w:tc>
        <w:tc>
          <w:tcPr>
            <w:tcW w:w="3821" w:type="dxa"/>
            <w:tcMar>
              <w:left w:w="108" w:type="dxa"/>
              <w:right w:w="108" w:type="dxa"/>
            </w:tcMar>
            <w:hideMark/>
          </w:tcPr>
          <w:p w14:paraId="371CB0FF" w14:textId="77777777" w:rsidR="00725E50" w:rsidRPr="00075DC8" w:rsidRDefault="00725E50" w:rsidP="003E7546">
            <w:pPr>
              <w:pStyle w:val="Tablehead"/>
              <w:rPr>
                <w:lang w:val="fr-FR"/>
              </w:rPr>
            </w:pPr>
            <w:r w:rsidRPr="00075DC8">
              <w:rPr>
                <w:lang w:val="fr-FR"/>
              </w:rPr>
              <w:t>54,02-66,26</w:t>
            </w:r>
          </w:p>
        </w:tc>
      </w:tr>
      <w:tr w:rsidR="00725E50" w:rsidRPr="00075DC8" w14:paraId="2D6ADFC6" w14:textId="77777777" w:rsidTr="00D46B2A">
        <w:trPr>
          <w:jc w:val="center"/>
        </w:trPr>
        <w:tc>
          <w:tcPr>
            <w:tcW w:w="5809" w:type="dxa"/>
            <w:tcMar>
              <w:top w:w="0" w:type="dxa"/>
              <w:left w:w="108" w:type="dxa"/>
              <w:bottom w:w="0" w:type="dxa"/>
              <w:right w:w="108" w:type="dxa"/>
            </w:tcMar>
            <w:hideMark/>
          </w:tcPr>
          <w:p w14:paraId="52D5CD43" w14:textId="77777777" w:rsidR="00725E50" w:rsidRPr="00075DC8" w:rsidRDefault="00725E50" w:rsidP="003E7546">
            <w:pPr>
              <w:pStyle w:val="Tabletext"/>
              <w:jc w:val="left"/>
              <w:rPr>
                <w:lang w:val="fr-FR"/>
              </w:rPr>
            </w:pPr>
            <w:r w:rsidRPr="00075DC8">
              <w:rPr>
                <w:lang w:val="fr-FR"/>
              </w:rPr>
              <w:t>Recommandation UIT-R de référence</w:t>
            </w:r>
          </w:p>
        </w:tc>
        <w:tc>
          <w:tcPr>
            <w:tcW w:w="3821" w:type="dxa"/>
            <w:tcMar>
              <w:left w:w="108" w:type="dxa"/>
              <w:right w:w="108" w:type="dxa"/>
            </w:tcMar>
          </w:tcPr>
          <w:p w14:paraId="6F305CF4" w14:textId="77777777" w:rsidR="00725E50" w:rsidRPr="00075DC8" w:rsidRDefault="00725E50" w:rsidP="003E7546">
            <w:pPr>
              <w:pStyle w:val="Tabletext"/>
              <w:jc w:val="center"/>
              <w:rPr>
                <w:lang w:val="fr-FR"/>
              </w:rPr>
            </w:pPr>
          </w:p>
        </w:tc>
      </w:tr>
      <w:tr w:rsidR="00725E50" w:rsidRPr="00075DC8" w14:paraId="4371C730" w14:textId="77777777" w:rsidTr="00D46B2A">
        <w:trPr>
          <w:jc w:val="center"/>
        </w:trPr>
        <w:tc>
          <w:tcPr>
            <w:tcW w:w="5809" w:type="dxa"/>
            <w:tcMar>
              <w:top w:w="0" w:type="dxa"/>
              <w:left w:w="108" w:type="dxa"/>
              <w:bottom w:w="0" w:type="dxa"/>
              <w:right w:w="108" w:type="dxa"/>
            </w:tcMar>
            <w:hideMark/>
          </w:tcPr>
          <w:p w14:paraId="78176E64" w14:textId="77777777" w:rsidR="00725E50" w:rsidRPr="00075DC8" w:rsidRDefault="00725E50" w:rsidP="003E7546">
            <w:pPr>
              <w:pStyle w:val="Tabletext"/>
              <w:jc w:val="left"/>
              <w:rPr>
                <w:lang w:val="fr-FR"/>
              </w:rPr>
            </w:pPr>
            <w:r w:rsidRPr="00075DC8">
              <w:rPr>
                <w:lang w:val="fr-FR"/>
              </w:rPr>
              <w:t>Modulation</w:t>
            </w:r>
          </w:p>
        </w:tc>
        <w:tc>
          <w:tcPr>
            <w:tcW w:w="3821" w:type="dxa"/>
            <w:tcMar>
              <w:left w:w="108" w:type="dxa"/>
              <w:right w:w="108" w:type="dxa"/>
            </w:tcMar>
            <w:hideMark/>
          </w:tcPr>
          <w:p w14:paraId="35F2ECC3" w14:textId="77777777" w:rsidR="00725E50" w:rsidRPr="00075DC8" w:rsidRDefault="00725E50" w:rsidP="003E7546">
            <w:pPr>
              <w:pStyle w:val="Tabletext"/>
              <w:jc w:val="center"/>
              <w:rPr>
                <w:lang w:val="fr-FR"/>
              </w:rPr>
            </w:pPr>
            <w:r w:rsidRPr="00075DC8">
              <w:rPr>
                <w:lang w:val="fr-FR"/>
              </w:rPr>
              <w:t>MDPQ, MAQ-16, MAQ-64, MAQ-256</w:t>
            </w:r>
          </w:p>
        </w:tc>
      </w:tr>
      <w:tr w:rsidR="00725E50" w:rsidRPr="00075DC8" w14:paraId="4878E0CC" w14:textId="77777777" w:rsidTr="00D46B2A">
        <w:trPr>
          <w:jc w:val="center"/>
        </w:trPr>
        <w:tc>
          <w:tcPr>
            <w:tcW w:w="5809" w:type="dxa"/>
            <w:tcMar>
              <w:top w:w="0" w:type="dxa"/>
              <w:left w:w="108" w:type="dxa"/>
              <w:bottom w:w="0" w:type="dxa"/>
              <w:right w:w="108" w:type="dxa"/>
            </w:tcMar>
            <w:hideMark/>
          </w:tcPr>
          <w:p w14:paraId="7EF347D0" w14:textId="77777777" w:rsidR="00725E50" w:rsidRPr="00075DC8" w:rsidRDefault="00725E50" w:rsidP="003E7546">
            <w:pPr>
              <w:pStyle w:val="Tabletext"/>
              <w:jc w:val="left"/>
              <w:rPr>
                <w:lang w:val="fr-FR"/>
              </w:rPr>
            </w:pPr>
            <w:r w:rsidRPr="00075DC8">
              <w:rPr>
                <w:lang w:val="fr-FR"/>
              </w:rPr>
              <w:t>Espacement des canaux et largeur de bande de bruit du récepteur (MHz)</w:t>
            </w:r>
          </w:p>
        </w:tc>
        <w:tc>
          <w:tcPr>
            <w:tcW w:w="3821" w:type="dxa"/>
            <w:tcMar>
              <w:left w:w="108" w:type="dxa"/>
              <w:right w:w="108" w:type="dxa"/>
            </w:tcMar>
            <w:hideMark/>
          </w:tcPr>
          <w:p w14:paraId="5616EC6C" w14:textId="77777777" w:rsidR="00725E50" w:rsidRPr="00075DC8" w:rsidRDefault="00725E50" w:rsidP="003E7546">
            <w:pPr>
              <w:pStyle w:val="Tabletext"/>
              <w:jc w:val="center"/>
              <w:rPr>
                <w:lang w:val="fr-FR"/>
              </w:rPr>
            </w:pPr>
            <w:r w:rsidRPr="00075DC8">
              <w:rPr>
                <w:lang w:val="fr-FR"/>
              </w:rPr>
              <w:t>0,12</w:t>
            </w:r>
          </w:p>
        </w:tc>
      </w:tr>
      <w:tr w:rsidR="00725E50" w:rsidRPr="00075DC8" w14:paraId="3174D7FF" w14:textId="77777777" w:rsidTr="00D46B2A">
        <w:trPr>
          <w:jc w:val="center"/>
        </w:trPr>
        <w:tc>
          <w:tcPr>
            <w:tcW w:w="5809" w:type="dxa"/>
            <w:tcMar>
              <w:top w:w="0" w:type="dxa"/>
              <w:left w:w="108" w:type="dxa"/>
              <w:bottom w:w="0" w:type="dxa"/>
              <w:right w:w="108" w:type="dxa"/>
            </w:tcMar>
            <w:hideMark/>
          </w:tcPr>
          <w:p w14:paraId="6054CBB9" w14:textId="50183D4D" w:rsidR="00725E50" w:rsidRPr="00075DC8" w:rsidRDefault="00725E50" w:rsidP="003E7546">
            <w:pPr>
              <w:pStyle w:val="Tabletext"/>
              <w:jc w:val="left"/>
              <w:rPr>
                <w:lang w:val="fr-FR"/>
              </w:rPr>
            </w:pPr>
            <w:r w:rsidRPr="00075DC8">
              <w:rPr>
                <w:lang w:val="fr-FR"/>
              </w:rPr>
              <w:t>Plage des puissances de sortie au niveau de l</w:t>
            </w:r>
            <w:r w:rsidR="001F6A0D" w:rsidRPr="00075DC8">
              <w:rPr>
                <w:lang w:val="fr-FR"/>
              </w:rPr>
              <w:t>'</w:t>
            </w:r>
            <w:r w:rsidRPr="00075DC8">
              <w:rPr>
                <w:lang w:val="fr-FR"/>
              </w:rPr>
              <w:t>émetteur (dBW)</w:t>
            </w:r>
          </w:p>
        </w:tc>
        <w:tc>
          <w:tcPr>
            <w:tcW w:w="3821" w:type="dxa"/>
            <w:tcMar>
              <w:left w:w="108" w:type="dxa"/>
              <w:right w:w="108" w:type="dxa"/>
            </w:tcMar>
            <w:hideMark/>
          </w:tcPr>
          <w:p w14:paraId="30185B57" w14:textId="77777777" w:rsidR="00725E50" w:rsidRPr="00075DC8" w:rsidRDefault="00725E50" w:rsidP="003E7546">
            <w:pPr>
              <w:pStyle w:val="Tabletext"/>
              <w:jc w:val="center"/>
              <w:rPr>
                <w:lang w:val="fr-FR"/>
              </w:rPr>
            </w:pPr>
            <w:r w:rsidRPr="00075DC8">
              <w:rPr>
                <w:lang w:val="fr-FR"/>
              </w:rPr>
              <w:t>10</w:t>
            </w:r>
          </w:p>
        </w:tc>
      </w:tr>
      <w:tr w:rsidR="00725E50" w:rsidRPr="00075DC8" w14:paraId="4A9A7040" w14:textId="77777777" w:rsidTr="00D46B2A">
        <w:trPr>
          <w:jc w:val="center"/>
        </w:trPr>
        <w:tc>
          <w:tcPr>
            <w:tcW w:w="5809" w:type="dxa"/>
            <w:tcMar>
              <w:top w:w="0" w:type="dxa"/>
              <w:left w:w="108" w:type="dxa"/>
              <w:bottom w:w="0" w:type="dxa"/>
              <w:right w:w="108" w:type="dxa"/>
            </w:tcMar>
            <w:hideMark/>
          </w:tcPr>
          <w:p w14:paraId="6A8F1EBC" w14:textId="5ECA8236" w:rsidR="00725E50" w:rsidRPr="00075DC8" w:rsidRDefault="00725E50" w:rsidP="003E7546">
            <w:pPr>
              <w:pStyle w:val="Tabletext"/>
              <w:jc w:val="left"/>
              <w:rPr>
                <w:lang w:val="fr-FR"/>
              </w:rPr>
            </w:pPr>
            <w:r w:rsidRPr="00075DC8">
              <w:rPr>
                <w:lang w:val="fr-FR"/>
              </w:rPr>
              <w:t>Plage des densités de puissance de sortie au niveau de l</w:t>
            </w:r>
            <w:r w:rsidR="001F6A0D" w:rsidRPr="00075DC8">
              <w:rPr>
                <w:lang w:val="fr-FR"/>
              </w:rPr>
              <w:t>'</w:t>
            </w:r>
            <w:r w:rsidRPr="00075DC8">
              <w:rPr>
                <w:lang w:val="fr-FR"/>
              </w:rPr>
              <w:t>émetteur (dBW/MHz)</w:t>
            </w:r>
          </w:p>
        </w:tc>
        <w:tc>
          <w:tcPr>
            <w:tcW w:w="3821" w:type="dxa"/>
            <w:tcMar>
              <w:left w:w="108" w:type="dxa"/>
              <w:right w:w="108" w:type="dxa"/>
            </w:tcMar>
            <w:hideMark/>
          </w:tcPr>
          <w:p w14:paraId="0F9B0EFB" w14:textId="77777777" w:rsidR="00725E50" w:rsidRPr="00075DC8" w:rsidRDefault="00725E50" w:rsidP="003E7546">
            <w:pPr>
              <w:pStyle w:val="Tabletext"/>
              <w:jc w:val="center"/>
              <w:rPr>
                <w:lang w:val="fr-FR"/>
              </w:rPr>
            </w:pPr>
            <w:r w:rsidRPr="00075DC8">
              <w:rPr>
                <w:lang w:val="fr-FR"/>
              </w:rPr>
              <w:t>19,2</w:t>
            </w:r>
          </w:p>
        </w:tc>
      </w:tr>
      <w:tr w:rsidR="00725E50" w:rsidRPr="00075DC8" w14:paraId="1AD85EDC" w14:textId="77777777" w:rsidTr="00D46B2A">
        <w:trPr>
          <w:jc w:val="center"/>
        </w:trPr>
        <w:tc>
          <w:tcPr>
            <w:tcW w:w="5809" w:type="dxa"/>
            <w:tcMar>
              <w:top w:w="0" w:type="dxa"/>
              <w:left w:w="108" w:type="dxa"/>
              <w:bottom w:w="0" w:type="dxa"/>
              <w:right w:w="108" w:type="dxa"/>
            </w:tcMar>
            <w:hideMark/>
          </w:tcPr>
          <w:p w14:paraId="21D12284" w14:textId="7F763FC0" w:rsidR="00725E50" w:rsidRPr="00075DC8" w:rsidRDefault="00725E50" w:rsidP="003E7546">
            <w:pPr>
              <w:pStyle w:val="Tabletext"/>
              <w:jc w:val="left"/>
              <w:rPr>
                <w:lang w:val="fr-FR"/>
              </w:rPr>
            </w:pPr>
            <w:r w:rsidRPr="00075DC8">
              <w:rPr>
                <w:lang w:val="fr-FR"/>
              </w:rPr>
              <w:t>Plage des pertes dues à la ligne d</w:t>
            </w:r>
            <w:r w:rsidR="001F6A0D" w:rsidRPr="00075DC8">
              <w:rPr>
                <w:lang w:val="fr-FR"/>
              </w:rPr>
              <w:t>'</w:t>
            </w:r>
            <w:r w:rsidRPr="00075DC8">
              <w:rPr>
                <w:lang w:val="fr-FR"/>
              </w:rPr>
              <w:t>alimentation ou au multiplexeur (dB)</w:t>
            </w:r>
          </w:p>
        </w:tc>
        <w:tc>
          <w:tcPr>
            <w:tcW w:w="3821" w:type="dxa"/>
            <w:tcMar>
              <w:left w:w="108" w:type="dxa"/>
              <w:right w:w="108" w:type="dxa"/>
            </w:tcMar>
            <w:hideMark/>
          </w:tcPr>
          <w:p w14:paraId="6F25DE91" w14:textId="77777777" w:rsidR="00725E50" w:rsidRPr="00075DC8" w:rsidRDefault="00725E50" w:rsidP="003E7546">
            <w:pPr>
              <w:pStyle w:val="Tabletext"/>
              <w:jc w:val="center"/>
              <w:rPr>
                <w:lang w:val="fr-FR"/>
              </w:rPr>
            </w:pPr>
            <w:r w:rsidRPr="00075DC8">
              <w:rPr>
                <w:lang w:val="fr-FR"/>
              </w:rPr>
              <w:t>3</w:t>
            </w:r>
          </w:p>
        </w:tc>
      </w:tr>
      <w:tr w:rsidR="00725E50" w:rsidRPr="00075DC8" w14:paraId="747D72AB" w14:textId="77777777" w:rsidTr="00D46B2A">
        <w:trPr>
          <w:jc w:val="center"/>
        </w:trPr>
        <w:tc>
          <w:tcPr>
            <w:tcW w:w="5809" w:type="dxa"/>
            <w:tcMar>
              <w:top w:w="0" w:type="dxa"/>
              <w:left w:w="108" w:type="dxa"/>
              <w:bottom w:w="0" w:type="dxa"/>
              <w:right w:w="108" w:type="dxa"/>
            </w:tcMar>
            <w:hideMark/>
          </w:tcPr>
          <w:p w14:paraId="79BBCCE6" w14:textId="0FA596FE" w:rsidR="00725E50" w:rsidRPr="00075DC8" w:rsidRDefault="00725E50" w:rsidP="003E7546">
            <w:pPr>
              <w:pStyle w:val="Tabletext"/>
              <w:jc w:val="left"/>
              <w:rPr>
                <w:lang w:val="fr-FR"/>
              </w:rPr>
            </w:pPr>
            <w:r w:rsidRPr="00075DC8">
              <w:rPr>
                <w:lang w:val="fr-FR"/>
              </w:rPr>
              <w:t>Plage des gains d</w:t>
            </w:r>
            <w:r w:rsidR="001F6A0D" w:rsidRPr="00075DC8">
              <w:rPr>
                <w:lang w:val="fr-FR"/>
              </w:rPr>
              <w:t>'</w:t>
            </w:r>
            <w:r w:rsidRPr="00075DC8">
              <w:rPr>
                <w:lang w:val="fr-FR"/>
              </w:rPr>
              <w:t>antenne (dBi)</w:t>
            </w:r>
          </w:p>
        </w:tc>
        <w:tc>
          <w:tcPr>
            <w:tcW w:w="3821" w:type="dxa"/>
            <w:tcMar>
              <w:left w:w="108" w:type="dxa"/>
              <w:right w:w="108" w:type="dxa"/>
            </w:tcMar>
            <w:hideMark/>
          </w:tcPr>
          <w:p w14:paraId="34B08F7D" w14:textId="77777777" w:rsidR="00725E50" w:rsidRPr="00075DC8" w:rsidRDefault="00725E50" w:rsidP="003E7546">
            <w:pPr>
              <w:pStyle w:val="Tabletext"/>
              <w:jc w:val="center"/>
              <w:rPr>
                <w:lang w:val="fr-FR"/>
              </w:rPr>
            </w:pPr>
            <w:r w:rsidRPr="00075DC8">
              <w:rPr>
                <w:lang w:val="fr-FR"/>
              </w:rPr>
              <w:t>11,15 (yagi)</w:t>
            </w:r>
          </w:p>
        </w:tc>
      </w:tr>
      <w:tr w:rsidR="00725E50" w:rsidRPr="00075DC8" w14:paraId="45FE6A32" w14:textId="77777777" w:rsidTr="00D46B2A">
        <w:trPr>
          <w:jc w:val="center"/>
        </w:trPr>
        <w:tc>
          <w:tcPr>
            <w:tcW w:w="5809" w:type="dxa"/>
            <w:tcMar>
              <w:top w:w="0" w:type="dxa"/>
              <w:left w:w="108" w:type="dxa"/>
              <w:bottom w:w="0" w:type="dxa"/>
              <w:right w:w="108" w:type="dxa"/>
            </w:tcMar>
            <w:hideMark/>
          </w:tcPr>
          <w:p w14:paraId="0BA4F62C" w14:textId="77777777" w:rsidR="00725E50" w:rsidRPr="00075DC8" w:rsidRDefault="00725E50" w:rsidP="003E7546">
            <w:pPr>
              <w:pStyle w:val="Tabletext"/>
              <w:jc w:val="left"/>
              <w:rPr>
                <w:lang w:val="fr-FR"/>
              </w:rPr>
            </w:pPr>
            <w:r w:rsidRPr="00075DC8">
              <w:rPr>
                <w:lang w:val="fr-FR"/>
              </w:rPr>
              <w:t>Plage des p.i.r.e. (dBW)</w:t>
            </w:r>
          </w:p>
        </w:tc>
        <w:tc>
          <w:tcPr>
            <w:tcW w:w="3821" w:type="dxa"/>
            <w:tcMar>
              <w:left w:w="108" w:type="dxa"/>
              <w:right w:w="108" w:type="dxa"/>
            </w:tcMar>
            <w:hideMark/>
          </w:tcPr>
          <w:p w14:paraId="5284A6C3" w14:textId="77777777" w:rsidR="00725E50" w:rsidRPr="00075DC8" w:rsidRDefault="00725E50" w:rsidP="003E7546">
            <w:pPr>
              <w:pStyle w:val="Tabletext"/>
              <w:jc w:val="center"/>
              <w:rPr>
                <w:lang w:val="fr-FR"/>
              </w:rPr>
            </w:pPr>
            <w:r w:rsidRPr="00075DC8">
              <w:rPr>
                <w:lang w:val="fr-FR"/>
              </w:rPr>
              <w:t>19,2</w:t>
            </w:r>
          </w:p>
        </w:tc>
      </w:tr>
      <w:tr w:rsidR="00725E50" w:rsidRPr="00075DC8" w14:paraId="69F2D8BF" w14:textId="77777777" w:rsidTr="00D46B2A">
        <w:trPr>
          <w:jc w:val="center"/>
        </w:trPr>
        <w:tc>
          <w:tcPr>
            <w:tcW w:w="5809" w:type="dxa"/>
            <w:tcMar>
              <w:top w:w="0" w:type="dxa"/>
              <w:left w:w="108" w:type="dxa"/>
              <w:bottom w:w="0" w:type="dxa"/>
              <w:right w:w="108" w:type="dxa"/>
            </w:tcMar>
            <w:hideMark/>
          </w:tcPr>
          <w:p w14:paraId="4C3CD475" w14:textId="77777777" w:rsidR="00725E50" w:rsidRPr="00075DC8" w:rsidRDefault="00725E50" w:rsidP="003E7546">
            <w:pPr>
              <w:pStyle w:val="Tabletext"/>
              <w:jc w:val="left"/>
              <w:rPr>
                <w:lang w:val="fr-FR"/>
              </w:rPr>
            </w:pPr>
            <w:r w:rsidRPr="00075DC8">
              <w:rPr>
                <w:lang w:val="fr-FR"/>
              </w:rPr>
              <w:t>Plage des densités de p.i.r.e. (dBW/MHz)</w:t>
            </w:r>
          </w:p>
        </w:tc>
        <w:tc>
          <w:tcPr>
            <w:tcW w:w="3821" w:type="dxa"/>
            <w:tcMar>
              <w:left w:w="108" w:type="dxa"/>
              <w:right w:w="108" w:type="dxa"/>
            </w:tcMar>
            <w:hideMark/>
          </w:tcPr>
          <w:p w14:paraId="54AF739B" w14:textId="77777777" w:rsidR="00725E50" w:rsidRPr="00075DC8" w:rsidRDefault="00725E50" w:rsidP="003E7546">
            <w:pPr>
              <w:pStyle w:val="Tabletext"/>
              <w:jc w:val="center"/>
              <w:rPr>
                <w:lang w:val="fr-FR"/>
              </w:rPr>
            </w:pPr>
            <w:r w:rsidRPr="00075DC8">
              <w:rPr>
                <w:lang w:val="fr-FR"/>
              </w:rPr>
              <w:t>27,4</w:t>
            </w:r>
          </w:p>
        </w:tc>
      </w:tr>
      <w:tr w:rsidR="00725E50" w:rsidRPr="00075DC8" w14:paraId="21E92CDB" w14:textId="77777777" w:rsidTr="00D46B2A">
        <w:trPr>
          <w:jc w:val="center"/>
        </w:trPr>
        <w:tc>
          <w:tcPr>
            <w:tcW w:w="5809" w:type="dxa"/>
            <w:tcMar>
              <w:top w:w="0" w:type="dxa"/>
              <w:left w:w="108" w:type="dxa"/>
              <w:bottom w:w="0" w:type="dxa"/>
              <w:right w:w="108" w:type="dxa"/>
            </w:tcMar>
            <w:hideMark/>
          </w:tcPr>
          <w:p w14:paraId="2472169E" w14:textId="77777777" w:rsidR="00725E50" w:rsidRPr="00075DC8" w:rsidRDefault="00725E50" w:rsidP="003E7546">
            <w:pPr>
              <w:pStyle w:val="Tabletext"/>
              <w:jc w:val="left"/>
              <w:rPr>
                <w:lang w:val="fr-FR"/>
              </w:rPr>
            </w:pPr>
            <w:r w:rsidRPr="00075DC8">
              <w:rPr>
                <w:lang w:val="fr-FR"/>
              </w:rPr>
              <w:t>Facteur de bruit type du récepteur (dB)</w:t>
            </w:r>
          </w:p>
        </w:tc>
        <w:tc>
          <w:tcPr>
            <w:tcW w:w="3821" w:type="dxa"/>
            <w:tcMar>
              <w:left w:w="108" w:type="dxa"/>
              <w:right w:w="108" w:type="dxa"/>
            </w:tcMar>
            <w:hideMark/>
          </w:tcPr>
          <w:p w14:paraId="47DA6F35" w14:textId="77777777" w:rsidR="00725E50" w:rsidRPr="00075DC8" w:rsidRDefault="00725E50" w:rsidP="003E7546">
            <w:pPr>
              <w:pStyle w:val="Tabletext"/>
              <w:jc w:val="center"/>
              <w:rPr>
                <w:lang w:val="fr-FR"/>
              </w:rPr>
            </w:pPr>
            <w:r w:rsidRPr="00075DC8">
              <w:rPr>
                <w:lang w:val="fr-FR"/>
              </w:rPr>
              <w:t>6,4</w:t>
            </w:r>
          </w:p>
        </w:tc>
      </w:tr>
      <w:tr w:rsidR="00725E50" w:rsidRPr="00075DC8" w14:paraId="16BF4A04" w14:textId="77777777" w:rsidTr="00D46B2A">
        <w:trPr>
          <w:jc w:val="center"/>
        </w:trPr>
        <w:tc>
          <w:tcPr>
            <w:tcW w:w="5809" w:type="dxa"/>
            <w:tcMar>
              <w:top w:w="0" w:type="dxa"/>
              <w:left w:w="108" w:type="dxa"/>
              <w:bottom w:w="0" w:type="dxa"/>
              <w:right w:w="108" w:type="dxa"/>
            </w:tcMar>
            <w:hideMark/>
          </w:tcPr>
          <w:p w14:paraId="096A96EB" w14:textId="77777777" w:rsidR="00725E50" w:rsidRPr="00075DC8" w:rsidRDefault="00725E50" w:rsidP="003E7546">
            <w:pPr>
              <w:pStyle w:val="Tabletext"/>
              <w:jc w:val="left"/>
              <w:rPr>
                <w:lang w:val="fr-FR"/>
              </w:rPr>
            </w:pPr>
            <w:r w:rsidRPr="00075DC8">
              <w:rPr>
                <w:lang w:val="fr-FR"/>
              </w:rPr>
              <w:t>Densité type de puissance de bruit du récepteur (=NRX) (dBW/MHz)</w:t>
            </w:r>
          </w:p>
        </w:tc>
        <w:tc>
          <w:tcPr>
            <w:tcW w:w="3821" w:type="dxa"/>
            <w:tcMar>
              <w:left w:w="108" w:type="dxa"/>
              <w:right w:w="108" w:type="dxa"/>
            </w:tcMar>
            <w:hideMark/>
          </w:tcPr>
          <w:p w14:paraId="592C622D" w14:textId="49A59E51" w:rsidR="00725E50" w:rsidRPr="00075DC8" w:rsidRDefault="003E7546" w:rsidP="003E7546">
            <w:pPr>
              <w:pStyle w:val="Tabletext"/>
              <w:jc w:val="center"/>
              <w:rPr>
                <w:lang w:val="fr-FR"/>
              </w:rPr>
            </w:pPr>
            <w:r w:rsidRPr="00075DC8">
              <w:rPr>
                <w:lang w:val="fr-FR"/>
              </w:rPr>
              <w:t>−</w:t>
            </w:r>
            <w:r w:rsidR="00725E50" w:rsidRPr="00075DC8">
              <w:rPr>
                <w:lang w:val="fr-FR"/>
              </w:rPr>
              <w:t>137,6</w:t>
            </w:r>
          </w:p>
        </w:tc>
      </w:tr>
      <w:tr w:rsidR="00725E50" w:rsidRPr="00075DC8" w14:paraId="5D7A5704" w14:textId="77777777" w:rsidTr="00D46B2A">
        <w:trPr>
          <w:jc w:val="center"/>
        </w:trPr>
        <w:tc>
          <w:tcPr>
            <w:tcW w:w="5809" w:type="dxa"/>
            <w:tcMar>
              <w:top w:w="0" w:type="dxa"/>
              <w:left w:w="108" w:type="dxa"/>
              <w:bottom w:w="0" w:type="dxa"/>
              <w:right w:w="108" w:type="dxa"/>
            </w:tcMar>
            <w:hideMark/>
          </w:tcPr>
          <w:p w14:paraId="438743FC" w14:textId="0BDE12CF" w:rsidR="00725E50" w:rsidRPr="00075DC8" w:rsidRDefault="00725E50" w:rsidP="003E7546">
            <w:pPr>
              <w:pStyle w:val="Tabletext"/>
              <w:jc w:val="left"/>
              <w:rPr>
                <w:lang w:val="fr-FR"/>
              </w:rPr>
            </w:pPr>
            <w:r w:rsidRPr="00075DC8">
              <w:rPr>
                <w:lang w:val="fr-FR"/>
              </w:rPr>
              <w:t>Niveau normalisé à l</w:t>
            </w:r>
            <w:r w:rsidR="001F6A0D" w:rsidRPr="00075DC8">
              <w:rPr>
                <w:lang w:val="fr-FR"/>
              </w:rPr>
              <w:t>'</w:t>
            </w:r>
            <w:r w:rsidRPr="00075DC8">
              <w:rPr>
                <w:lang w:val="fr-FR"/>
              </w:rPr>
              <w:t>entrée du récepteur pour un taux BER de</w:t>
            </w:r>
            <w:r w:rsidR="00D46B2A" w:rsidRPr="00075DC8">
              <w:rPr>
                <w:lang w:val="fr-FR"/>
              </w:rPr>
              <w:t> </w:t>
            </w:r>
            <w:r w:rsidRPr="00075DC8">
              <w:rPr>
                <w:lang w:val="fr-FR"/>
              </w:rPr>
              <w:t>1</w:t>
            </w:r>
            <w:r w:rsidR="00D46B2A" w:rsidRPr="00075DC8">
              <w:rPr>
                <w:lang w:val="fr-FR"/>
              </w:rPr>
              <w:t> </w:t>
            </w:r>
            <w:r w:rsidRPr="00075DC8">
              <w:rPr>
                <w:lang w:val="fr-FR"/>
              </w:rPr>
              <w:t>×</w:t>
            </w:r>
            <w:r w:rsidR="00D46B2A" w:rsidRPr="00075DC8">
              <w:rPr>
                <w:lang w:val="fr-FR"/>
              </w:rPr>
              <w:t> </w:t>
            </w:r>
            <w:r w:rsidRPr="00075DC8">
              <w:rPr>
                <w:lang w:val="fr-FR"/>
              </w:rPr>
              <w:t>10</w:t>
            </w:r>
            <w:r w:rsidR="003E7546" w:rsidRPr="00075DC8">
              <w:rPr>
                <w:vertAlign w:val="superscript"/>
                <w:lang w:val="fr-FR"/>
              </w:rPr>
              <w:t>−</w:t>
            </w:r>
            <w:r w:rsidRPr="00075DC8">
              <w:rPr>
                <w:vertAlign w:val="superscript"/>
                <w:lang w:val="fr-FR"/>
              </w:rPr>
              <w:t>6</w:t>
            </w:r>
            <w:r w:rsidRPr="00075DC8">
              <w:rPr>
                <w:lang w:val="fr-FR"/>
              </w:rPr>
              <w:t xml:space="preserve"> (dBW/MHz) </w:t>
            </w:r>
          </w:p>
        </w:tc>
        <w:tc>
          <w:tcPr>
            <w:tcW w:w="3821" w:type="dxa"/>
            <w:tcMar>
              <w:left w:w="108" w:type="dxa"/>
              <w:right w:w="108" w:type="dxa"/>
            </w:tcMar>
            <w:hideMark/>
          </w:tcPr>
          <w:p w14:paraId="3747EDCB" w14:textId="7E8286AF" w:rsidR="00725E50" w:rsidRPr="00075DC8" w:rsidRDefault="003E7546" w:rsidP="003E7546">
            <w:pPr>
              <w:pStyle w:val="Tabletext"/>
              <w:jc w:val="center"/>
              <w:rPr>
                <w:lang w:val="fr-FR"/>
              </w:rPr>
            </w:pPr>
            <w:r w:rsidRPr="00075DC8">
              <w:rPr>
                <w:lang w:val="fr-FR"/>
              </w:rPr>
              <w:t>−</w:t>
            </w:r>
            <w:r w:rsidR="00725E50" w:rsidRPr="00075DC8">
              <w:rPr>
                <w:lang w:val="fr-FR"/>
              </w:rPr>
              <w:t>111,4</w:t>
            </w:r>
          </w:p>
        </w:tc>
      </w:tr>
      <w:tr w:rsidR="00725E50" w:rsidRPr="00075DC8" w14:paraId="73FCA00C" w14:textId="77777777" w:rsidTr="00D46B2A">
        <w:trPr>
          <w:jc w:val="center"/>
        </w:trPr>
        <w:tc>
          <w:tcPr>
            <w:tcW w:w="5809" w:type="dxa"/>
            <w:tcMar>
              <w:top w:w="0" w:type="dxa"/>
              <w:left w:w="108" w:type="dxa"/>
              <w:bottom w:w="0" w:type="dxa"/>
              <w:right w:w="108" w:type="dxa"/>
            </w:tcMar>
            <w:hideMark/>
          </w:tcPr>
          <w:p w14:paraId="39691F3A" w14:textId="77777777" w:rsidR="00725E50" w:rsidRPr="00075DC8" w:rsidRDefault="00725E50" w:rsidP="003E7546">
            <w:pPr>
              <w:pStyle w:val="Tabletext"/>
              <w:jc w:val="left"/>
              <w:rPr>
                <w:lang w:val="fr-FR"/>
              </w:rPr>
            </w:pPr>
            <w:r w:rsidRPr="00075DC8">
              <w:rPr>
                <w:lang w:val="fr-FR"/>
              </w:rPr>
              <w:t>Densité nominale de puissance de brouillage de longue durée (dBW/MHz)</w:t>
            </w:r>
          </w:p>
        </w:tc>
        <w:tc>
          <w:tcPr>
            <w:tcW w:w="3821" w:type="dxa"/>
            <w:tcMar>
              <w:left w:w="108" w:type="dxa"/>
              <w:right w:w="108" w:type="dxa"/>
            </w:tcMar>
            <w:hideMark/>
          </w:tcPr>
          <w:p w14:paraId="10DFC7B2" w14:textId="3384D269" w:rsidR="00725E50" w:rsidRPr="00075DC8" w:rsidRDefault="003E7546" w:rsidP="003E7546">
            <w:pPr>
              <w:pStyle w:val="Tabletext"/>
              <w:jc w:val="center"/>
              <w:rPr>
                <w:lang w:val="fr-FR"/>
              </w:rPr>
            </w:pPr>
            <w:r w:rsidRPr="00075DC8">
              <w:rPr>
                <w:lang w:val="fr-FR"/>
              </w:rPr>
              <w:t>−</w:t>
            </w:r>
            <w:r w:rsidR="00725E50" w:rsidRPr="00075DC8">
              <w:rPr>
                <w:lang w:val="fr-FR"/>
              </w:rPr>
              <w:t xml:space="preserve">137,6 + </w:t>
            </w:r>
            <w:r w:rsidR="00725E50" w:rsidRPr="00075DC8">
              <w:rPr>
                <w:i/>
                <w:iCs/>
                <w:lang w:val="fr-FR"/>
              </w:rPr>
              <w:t>I</w:t>
            </w:r>
            <w:r w:rsidR="00725E50" w:rsidRPr="00075DC8">
              <w:rPr>
                <w:lang w:val="fr-FR"/>
              </w:rPr>
              <w:t>/</w:t>
            </w:r>
            <w:r w:rsidR="00725E50" w:rsidRPr="00075DC8">
              <w:rPr>
                <w:i/>
                <w:iCs/>
                <w:lang w:val="fr-FR"/>
              </w:rPr>
              <w:t>N</w:t>
            </w:r>
          </w:p>
        </w:tc>
      </w:tr>
    </w:tbl>
    <w:p w14:paraId="5D1D297D" w14:textId="77777777" w:rsidR="00725E50" w:rsidRDefault="00725E50" w:rsidP="00E9047B">
      <w:pPr>
        <w:pStyle w:val="Tablefin"/>
        <w:rPr>
          <w:lang w:val="fr-FR"/>
        </w:rPr>
      </w:pPr>
    </w:p>
    <w:p w14:paraId="5EE581E2" w14:textId="77777777" w:rsidR="00E9047B" w:rsidRDefault="00E9047B" w:rsidP="00725E50">
      <w:pPr>
        <w:rPr>
          <w:lang w:val="fr-FR"/>
        </w:rPr>
      </w:pPr>
    </w:p>
    <w:p w14:paraId="3D94E8E4" w14:textId="77777777" w:rsidR="00E9047B" w:rsidRPr="00075DC8" w:rsidRDefault="00E9047B" w:rsidP="00725E50">
      <w:pPr>
        <w:rPr>
          <w:lang w:val="fr-FR"/>
        </w:rPr>
        <w:sectPr w:rsidR="00E9047B" w:rsidRPr="00075DC8" w:rsidSect="00725E50">
          <w:headerReference w:type="default" r:id="rId110"/>
          <w:footerReference w:type="default" r:id="rId111"/>
          <w:pgSz w:w="11907" w:h="16834" w:code="9"/>
          <w:pgMar w:top="1418" w:right="1134" w:bottom="1134" w:left="1134" w:header="720" w:footer="482" w:gutter="0"/>
          <w:paperSrc w:first="15" w:other="15"/>
          <w:pgNumType w:start="1"/>
          <w:cols w:space="720"/>
        </w:sectPr>
      </w:pPr>
    </w:p>
    <w:p w14:paraId="14B74879" w14:textId="77777777" w:rsidR="00725E50" w:rsidRPr="00075DC8" w:rsidRDefault="00725E50" w:rsidP="003E7546">
      <w:pPr>
        <w:pStyle w:val="TableNo"/>
        <w:rPr>
          <w:lang w:val="fr-FR"/>
        </w:rPr>
      </w:pPr>
      <w:r w:rsidRPr="00075DC8">
        <w:rPr>
          <w:lang w:val="fr-FR"/>
        </w:rPr>
        <w:lastRenderedPageBreak/>
        <w:t>TABLEAU 7</w:t>
      </w:r>
    </w:p>
    <w:p w14:paraId="56641509" w14:textId="77777777" w:rsidR="00725E50" w:rsidRPr="00075DC8" w:rsidRDefault="00725E50" w:rsidP="00725E50">
      <w:pPr>
        <w:pStyle w:val="Tabletitle"/>
        <w:rPr>
          <w:lang w:val="fr-FR" w:eastAsia="ja-JP"/>
        </w:rPr>
      </w:pPr>
      <w:r w:rsidRPr="00075DC8">
        <w:rPr>
          <w:lang w:val="fr-FR" w:eastAsia="ja-JP"/>
        </w:rPr>
        <w:t>Paramètres des systèmes du service fixe de point à point dans les bandes attribuées comprises entre 0,4 et 3 GHz</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9"/>
        <w:gridCol w:w="1009"/>
        <w:gridCol w:w="1009"/>
        <w:gridCol w:w="1379"/>
        <w:gridCol w:w="950"/>
        <w:gridCol w:w="950"/>
        <w:gridCol w:w="1134"/>
        <w:gridCol w:w="1134"/>
        <w:gridCol w:w="1133"/>
        <w:gridCol w:w="1134"/>
        <w:gridCol w:w="1428"/>
      </w:tblGrid>
      <w:tr w:rsidR="00725E50" w:rsidRPr="00075DC8" w14:paraId="2E4968EB" w14:textId="77777777" w:rsidTr="00C50AE5">
        <w:trPr>
          <w:jc w:val="center"/>
        </w:trPr>
        <w:tc>
          <w:tcPr>
            <w:tcW w:w="31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87D442" w14:textId="77777777" w:rsidR="00725E50" w:rsidRPr="00075DC8" w:rsidRDefault="00725E50" w:rsidP="00C50AE5">
            <w:pPr>
              <w:pStyle w:val="Tablehead"/>
              <w:rPr>
                <w:sz w:val="18"/>
                <w:szCs w:val="18"/>
                <w:lang w:val="fr-FR"/>
              </w:rPr>
            </w:pPr>
            <w:r w:rsidRPr="00075DC8">
              <w:rPr>
                <w:sz w:val="18"/>
                <w:szCs w:val="18"/>
                <w:lang w:val="fr-FR"/>
              </w:rPr>
              <w:t>Gamme de fréquences</w:t>
            </w:r>
            <w:r w:rsidRPr="00075DC8">
              <w:rPr>
                <w:sz w:val="18"/>
                <w:szCs w:val="18"/>
                <w:lang w:val="fr-FR"/>
              </w:rPr>
              <w:br/>
              <w:t>(GHz)</w:t>
            </w:r>
          </w:p>
        </w:tc>
        <w:tc>
          <w:tcPr>
            <w:tcW w:w="2018" w:type="dxa"/>
            <w:gridSpan w:val="2"/>
            <w:tcBorders>
              <w:top w:val="single" w:sz="4" w:space="0" w:color="auto"/>
              <w:left w:val="single" w:sz="4" w:space="0" w:color="auto"/>
              <w:bottom w:val="single" w:sz="4" w:space="0" w:color="auto"/>
              <w:right w:val="single" w:sz="4" w:space="0" w:color="auto"/>
            </w:tcBorders>
            <w:vAlign w:val="center"/>
            <w:hideMark/>
          </w:tcPr>
          <w:p w14:paraId="6DE6C795" w14:textId="77777777" w:rsidR="00725E50" w:rsidRPr="00075DC8" w:rsidRDefault="00725E50" w:rsidP="00C50AE5">
            <w:pPr>
              <w:pStyle w:val="Tablehead"/>
              <w:rPr>
                <w:sz w:val="18"/>
                <w:szCs w:val="18"/>
                <w:lang w:val="fr-FR" w:eastAsia="ja-JP"/>
              </w:rPr>
            </w:pPr>
            <w:r w:rsidRPr="00075DC8">
              <w:rPr>
                <w:sz w:val="18"/>
                <w:szCs w:val="18"/>
                <w:lang w:val="fr-FR" w:eastAsia="ja-JP"/>
              </w:rPr>
              <w:t>0,4061-0,450</w:t>
            </w:r>
          </w:p>
        </w:tc>
        <w:tc>
          <w:tcPr>
            <w:tcW w:w="1379" w:type="dxa"/>
            <w:tcBorders>
              <w:top w:val="single" w:sz="4" w:space="0" w:color="auto"/>
              <w:left w:val="single" w:sz="4" w:space="0" w:color="auto"/>
              <w:bottom w:val="single" w:sz="4" w:space="0" w:color="auto"/>
              <w:right w:val="single" w:sz="4" w:space="0" w:color="auto"/>
            </w:tcBorders>
            <w:vAlign w:val="center"/>
            <w:hideMark/>
          </w:tcPr>
          <w:p w14:paraId="498396A4" w14:textId="77777777" w:rsidR="00725E50" w:rsidRPr="00075DC8" w:rsidRDefault="00725E50" w:rsidP="00C50AE5">
            <w:pPr>
              <w:pStyle w:val="Tablehead"/>
              <w:rPr>
                <w:sz w:val="18"/>
                <w:szCs w:val="18"/>
                <w:lang w:val="fr-FR" w:eastAsia="ja-JP"/>
              </w:rPr>
            </w:pPr>
            <w:r w:rsidRPr="00075DC8">
              <w:rPr>
                <w:sz w:val="18"/>
                <w:szCs w:val="18"/>
                <w:lang w:val="fr-FR" w:eastAsia="ja-JP"/>
              </w:rPr>
              <w:t>0,457-0,464</w:t>
            </w:r>
          </w:p>
        </w:tc>
        <w:tc>
          <w:tcPr>
            <w:tcW w:w="1900" w:type="dxa"/>
            <w:gridSpan w:val="2"/>
            <w:tcBorders>
              <w:top w:val="single" w:sz="4" w:space="0" w:color="auto"/>
              <w:left w:val="single" w:sz="4" w:space="0" w:color="auto"/>
              <w:bottom w:val="single" w:sz="4" w:space="0" w:color="auto"/>
              <w:right w:val="single" w:sz="4" w:space="0" w:color="auto"/>
            </w:tcBorders>
            <w:vAlign w:val="center"/>
            <w:hideMark/>
          </w:tcPr>
          <w:p w14:paraId="5836E0A0" w14:textId="77777777" w:rsidR="00725E50" w:rsidRPr="00075DC8" w:rsidRDefault="00725E50" w:rsidP="00C50AE5">
            <w:pPr>
              <w:pStyle w:val="Tablehead"/>
              <w:rPr>
                <w:sz w:val="18"/>
                <w:szCs w:val="18"/>
                <w:lang w:val="fr-FR" w:eastAsia="ja-JP"/>
              </w:rPr>
            </w:pPr>
            <w:r w:rsidRPr="00075DC8">
              <w:rPr>
                <w:sz w:val="18"/>
                <w:szCs w:val="18"/>
                <w:lang w:val="fr-FR" w:eastAsia="ja-JP"/>
              </w:rPr>
              <w:t>1,350-1,530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C544C2A" w14:textId="77777777" w:rsidR="00725E50" w:rsidRPr="00075DC8" w:rsidRDefault="00725E50" w:rsidP="00C50AE5">
            <w:pPr>
              <w:pStyle w:val="Tablehead"/>
              <w:rPr>
                <w:sz w:val="18"/>
                <w:szCs w:val="18"/>
                <w:lang w:val="fr-FR" w:eastAsia="ja-JP"/>
              </w:rPr>
            </w:pPr>
            <w:r w:rsidRPr="00075DC8">
              <w:rPr>
                <w:sz w:val="18"/>
                <w:szCs w:val="18"/>
                <w:lang w:val="fr-FR" w:eastAsia="ja-JP"/>
              </w:rPr>
              <w:t>1,700-2,100</w:t>
            </w:r>
            <w:r w:rsidRPr="00075DC8">
              <w:rPr>
                <w:sz w:val="18"/>
                <w:szCs w:val="18"/>
                <w:lang w:val="fr-FR" w:eastAsia="ja-JP"/>
              </w:rPr>
              <w:br/>
              <w:t>1,900-2,300</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14:paraId="58FAD2A1" w14:textId="77777777" w:rsidR="00725E50" w:rsidRPr="00075DC8" w:rsidRDefault="00725E50" w:rsidP="00C50AE5">
            <w:pPr>
              <w:pStyle w:val="Tablehead"/>
              <w:rPr>
                <w:sz w:val="18"/>
                <w:szCs w:val="18"/>
                <w:lang w:val="fr-FR" w:eastAsia="ja-JP"/>
              </w:rPr>
            </w:pPr>
            <w:r w:rsidRPr="00075DC8">
              <w:rPr>
                <w:sz w:val="18"/>
                <w:szCs w:val="18"/>
                <w:lang w:val="fr-FR" w:eastAsia="ja-JP"/>
              </w:rPr>
              <w:t>1,900-2,300</w:t>
            </w:r>
          </w:p>
        </w:tc>
        <w:tc>
          <w:tcPr>
            <w:tcW w:w="1428" w:type="dxa"/>
            <w:tcBorders>
              <w:top w:val="single" w:sz="4" w:space="0" w:color="auto"/>
              <w:left w:val="single" w:sz="4" w:space="0" w:color="auto"/>
              <w:bottom w:val="single" w:sz="4" w:space="0" w:color="auto"/>
              <w:right w:val="single" w:sz="4" w:space="0" w:color="auto"/>
            </w:tcBorders>
            <w:vAlign w:val="center"/>
            <w:hideMark/>
          </w:tcPr>
          <w:p w14:paraId="296F4F7E" w14:textId="77777777" w:rsidR="00725E50" w:rsidRPr="00075DC8" w:rsidRDefault="00725E50" w:rsidP="00C50AE5">
            <w:pPr>
              <w:pStyle w:val="Tablehead"/>
              <w:rPr>
                <w:sz w:val="18"/>
                <w:szCs w:val="18"/>
                <w:lang w:val="fr-FR" w:eastAsia="ja-JP"/>
              </w:rPr>
            </w:pPr>
            <w:r w:rsidRPr="00075DC8">
              <w:rPr>
                <w:sz w:val="18"/>
                <w:szCs w:val="18"/>
                <w:lang w:val="fr-FR" w:eastAsia="ja-JP"/>
              </w:rPr>
              <w:t>2,290-2,670</w:t>
            </w:r>
          </w:p>
        </w:tc>
      </w:tr>
      <w:tr w:rsidR="00725E50" w:rsidRPr="00075DC8" w14:paraId="3B8E9487" w14:textId="77777777" w:rsidTr="00ED4837">
        <w:trPr>
          <w:jc w:val="center"/>
        </w:trPr>
        <w:tc>
          <w:tcPr>
            <w:tcW w:w="31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4AD889" w14:textId="77777777" w:rsidR="00725E50" w:rsidRPr="00075DC8" w:rsidRDefault="00725E50" w:rsidP="00C50AE5">
            <w:pPr>
              <w:pStyle w:val="Tabletext"/>
              <w:jc w:val="left"/>
              <w:rPr>
                <w:sz w:val="18"/>
                <w:szCs w:val="18"/>
                <w:lang w:val="fr-FR" w:eastAsia="ja-JP"/>
              </w:rPr>
            </w:pPr>
            <w:r w:rsidRPr="00075DC8">
              <w:rPr>
                <w:sz w:val="18"/>
                <w:szCs w:val="18"/>
                <w:lang w:val="fr-FR" w:eastAsia="ja-JP"/>
              </w:rPr>
              <w:t>Recommandation UIT-R de référence</w:t>
            </w:r>
          </w:p>
        </w:tc>
        <w:tc>
          <w:tcPr>
            <w:tcW w:w="2018" w:type="dxa"/>
            <w:gridSpan w:val="2"/>
            <w:tcBorders>
              <w:top w:val="single" w:sz="4" w:space="0" w:color="auto"/>
              <w:left w:val="single" w:sz="4" w:space="0" w:color="auto"/>
              <w:bottom w:val="single" w:sz="4" w:space="0" w:color="auto"/>
              <w:right w:val="single" w:sz="4" w:space="0" w:color="auto"/>
            </w:tcBorders>
            <w:hideMark/>
          </w:tcPr>
          <w:p w14:paraId="3F61DF74" w14:textId="77777777" w:rsidR="00725E50" w:rsidRPr="00075DC8" w:rsidRDefault="00725E50" w:rsidP="00C50AE5">
            <w:pPr>
              <w:pStyle w:val="Tabletext"/>
              <w:jc w:val="center"/>
              <w:rPr>
                <w:sz w:val="18"/>
                <w:szCs w:val="18"/>
                <w:lang w:val="fr-FR" w:eastAsia="ja-JP"/>
              </w:rPr>
            </w:pPr>
            <w:r w:rsidRPr="00075DC8">
              <w:rPr>
                <w:sz w:val="18"/>
                <w:szCs w:val="18"/>
                <w:lang w:val="fr-FR"/>
              </w:rPr>
              <w:t>F.</w:t>
            </w:r>
            <w:r w:rsidRPr="00075DC8">
              <w:rPr>
                <w:sz w:val="18"/>
                <w:szCs w:val="18"/>
                <w:lang w:val="fr-FR" w:eastAsia="ja-JP"/>
              </w:rPr>
              <w:t>1567</w:t>
            </w:r>
          </w:p>
        </w:tc>
        <w:tc>
          <w:tcPr>
            <w:tcW w:w="1379" w:type="dxa"/>
            <w:tcBorders>
              <w:top w:val="single" w:sz="4" w:space="0" w:color="auto"/>
              <w:left w:val="single" w:sz="4" w:space="0" w:color="auto"/>
              <w:bottom w:val="single" w:sz="4" w:space="0" w:color="auto"/>
              <w:right w:val="single" w:sz="4" w:space="0" w:color="auto"/>
            </w:tcBorders>
          </w:tcPr>
          <w:p w14:paraId="28C63D42" w14:textId="77777777" w:rsidR="00725E50" w:rsidRPr="00075DC8" w:rsidRDefault="00725E50" w:rsidP="00C50AE5">
            <w:pPr>
              <w:pStyle w:val="Tabletext"/>
              <w:jc w:val="center"/>
              <w:rPr>
                <w:sz w:val="18"/>
                <w:szCs w:val="18"/>
                <w:lang w:val="fr-FR"/>
              </w:rPr>
            </w:pPr>
          </w:p>
        </w:tc>
        <w:tc>
          <w:tcPr>
            <w:tcW w:w="1900" w:type="dxa"/>
            <w:gridSpan w:val="2"/>
            <w:tcBorders>
              <w:top w:val="single" w:sz="4" w:space="0" w:color="auto"/>
              <w:left w:val="single" w:sz="4" w:space="0" w:color="auto"/>
              <w:bottom w:val="single" w:sz="4" w:space="0" w:color="auto"/>
              <w:right w:val="single" w:sz="4" w:space="0" w:color="auto"/>
            </w:tcBorders>
            <w:hideMark/>
          </w:tcPr>
          <w:p w14:paraId="5828D7D4" w14:textId="77777777" w:rsidR="00725E50" w:rsidRPr="00075DC8" w:rsidRDefault="00725E50" w:rsidP="00C50AE5">
            <w:pPr>
              <w:pStyle w:val="Tabletext"/>
              <w:jc w:val="center"/>
              <w:rPr>
                <w:sz w:val="18"/>
                <w:szCs w:val="18"/>
                <w:lang w:val="fr-FR" w:eastAsia="ja-JP"/>
              </w:rPr>
            </w:pPr>
            <w:r w:rsidRPr="00075DC8">
              <w:rPr>
                <w:sz w:val="18"/>
                <w:szCs w:val="18"/>
                <w:lang w:val="fr-FR"/>
              </w:rPr>
              <w:t>F.</w:t>
            </w:r>
            <w:r w:rsidRPr="00075DC8">
              <w:rPr>
                <w:sz w:val="18"/>
                <w:szCs w:val="18"/>
                <w:lang w:val="fr-FR" w:eastAsia="ja-JP"/>
              </w:rPr>
              <w:t>1242</w:t>
            </w:r>
          </w:p>
        </w:tc>
        <w:tc>
          <w:tcPr>
            <w:tcW w:w="2268" w:type="dxa"/>
            <w:gridSpan w:val="2"/>
            <w:tcBorders>
              <w:top w:val="single" w:sz="4" w:space="0" w:color="auto"/>
              <w:left w:val="single" w:sz="4" w:space="0" w:color="auto"/>
              <w:bottom w:val="single" w:sz="4" w:space="0" w:color="auto"/>
              <w:right w:val="single" w:sz="4" w:space="0" w:color="auto"/>
            </w:tcBorders>
            <w:hideMark/>
          </w:tcPr>
          <w:p w14:paraId="31ECCB77" w14:textId="77777777" w:rsidR="00725E50" w:rsidRPr="00075DC8" w:rsidRDefault="00725E50" w:rsidP="00C50AE5">
            <w:pPr>
              <w:pStyle w:val="Tabletext"/>
              <w:jc w:val="center"/>
              <w:rPr>
                <w:sz w:val="18"/>
                <w:szCs w:val="18"/>
                <w:lang w:val="fr-FR" w:eastAsia="ja-JP"/>
              </w:rPr>
            </w:pPr>
            <w:r w:rsidRPr="00075DC8">
              <w:rPr>
                <w:sz w:val="18"/>
                <w:szCs w:val="18"/>
                <w:lang w:val="fr-FR"/>
              </w:rPr>
              <w:t>F.</w:t>
            </w:r>
            <w:r w:rsidRPr="00075DC8">
              <w:rPr>
                <w:sz w:val="18"/>
                <w:szCs w:val="18"/>
                <w:lang w:val="fr-FR" w:eastAsia="ja-JP"/>
              </w:rPr>
              <w:t>382</w:t>
            </w:r>
          </w:p>
        </w:tc>
        <w:tc>
          <w:tcPr>
            <w:tcW w:w="2267" w:type="dxa"/>
            <w:gridSpan w:val="2"/>
            <w:tcBorders>
              <w:top w:val="single" w:sz="4" w:space="0" w:color="auto"/>
              <w:left w:val="single" w:sz="4" w:space="0" w:color="auto"/>
              <w:bottom w:val="single" w:sz="4" w:space="0" w:color="auto"/>
              <w:right w:val="single" w:sz="4" w:space="0" w:color="auto"/>
            </w:tcBorders>
            <w:hideMark/>
          </w:tcPr>
          <w:p w14:paraId="644659D6" w14:textId="77777777" w:rsidR="00725E50" w:rsidRPr="00075DC8" w:rsidRDefault="00725E50" w:rsidP="00C50AE5">
            <w:pPr>
              <w:pStyle w:val="Tabletext"/>
              <w:jc w:val="center"/>
              <w:rPr>
                <w:sz w:val="18"/>
                <w:szCs w:val="18"/>
                <w:lang w:val="fr-FR" w:eastAsia="ja-JP"/>
              </w:rPr>
            </w:pPr>
            <w:r w:rsidRPr="00075DC8">
              <w:rPr>
                <w:sz w:val="18"/>
                <w:szCs w:val="18"/>
                <w:lang w:val="fr-FR"/>
              </w:rPr>
              <w:t>F.</w:t>
            </w:r>
            <w:r w:rsidRPr="00075DC8">
              <w:rPr>
                <w:sz w:val="18"/>
                <w:szCs w:val="18"/>
                <w:lang w:val="fr-FR" w:eastAsia="ja-JP"/>
              </w:rPr>
              <w:t>1098</w:t>
            </w:r>
          </w:p>
        </w:tc>
        <w:tc>
          <w:tcPr>
            <w:tcW w:w="1428" w:type="dxa"/>
            <w:tcBorders>
              <w:top w:val="single" w:sz="4" w:space="0" w:color="auto"/>
              <w:left w:val="single" w:sz="4" w:space="0" w:color="auto"/>
              <w:bottom w:val="single" w:sz="4" w:space="0" w:color="auto"/>
              <w:right w:val="single" w:sz="4" w:space="0" w:color="auto"/>
            </w:tcBorders>
            <w:hideMark/>
          </w:tcPr>
          <w:p w14:paraId="79F15D20" w14:textId="77777777" w:rsidR="00725E50" w:rsidRPr="00075DC8" w:rsidRDefault="00725E50" w:rsidP="00C50AE5">
            <w:pPr>
              <w:pStyle w:val="Tabletext"/>
              <w:jc w:val="center"/>
              <w:rPr>
                <w:sz w:val="18"/>
                <w:szCs w:val="18"/>
                <w:lang w:val="fr-FR" w:eastAsia="ja-JP"/>
              </w:rPr>
            </w:pPr>
            <w:r w:rsidRPr="00075DC8">
              <w:rPr>
                <w:sz w:val="18"/>
                <w:szCs w:val="18"/>
                <w:lang w:val="fr-FR"/>
              </w:rPr>
              <w:t>F.</w:t>
            </w:r>
            <w:r w:rsidRPr="00075DC8">
              <w:rPr>
                <w:sz w:val="18"/>
                <w:szCs w:val="18"/>
                <w:lang w:val="fr-FR" w:eastAsia="ja-JP"/>
              </w:rPr>
              <w:t>1243</w:t>
            </w:r>
          </w:p>
        </w:tc>
      </w:tr>
      <w:tr w:rsidR="00725E50" w:rsidRPr="00075DC8" w14:paraId="0BD23EFF" w14:textId="77777777" w:rsidTr="00ED4837">
        <w:trPr>
          <w:jc w:val="center"/>
        </w:trPr>
        <w:tc>
          <w:tcPr>
            <w:tcW w:w="31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E4DB47" w14:textId="77777777" w:rsidR="00725E50" w:rsidRPr="00075DC8" w:rsidRDefault="00725E50" w:rsidP="00C50AE5">
            <w:pPr>
              <w:pStyle w:val="Tabletext"/>
              <w:jc w:val="left"/>
              <w:rPr>
                <w:sz w:val="18"/>
                <w:szCs w:val="18"/>
                <w:lang w:val="fr-FR" w:eastAsia="ja-JP"/>
              </w:rPr>
            </w:pPr>
            <w:r w:rsidRPr="00075DC8">
              <w:rPr>
                <w:sz w:val="18"/>
                <w:szCs w:val="18"/>
                <w:lang w:val="fr-FR" w:eastAsia="ja-JP"/>
              </w:rPr>
              <w:t>Modulation</w:t>
            </w:r>
          </w:p>
        </w:tc>
        <w:tc>
          <w:tcPr>
            <w:tcW w:w="1009" w:type="dxa"/>
            <w:tcBorders>
              <w:top w:val="single" w:sz="4" w:space="0" w:color="auto"/>
              <w:left w:val="single" w:sz="4" w:space="0" w:color="auto"/>
              <w:bottom w:val="single" w:sz="4" w:space="0" w:color="auto"/>
              <w:right w:val="single" w:sz="4" w:space="0" w:color="auto"/>
            </w:tcBorders>
            <w:hideMark/>
          </w:tcPr>
          <w:p w14:paraId="51BD23A2" w14:textId="77777777" w:rsidR="00725E50" w:rsidRPr="00075DC8" w:rsidRDefault="00725E50" w:rsidP="00C50AE5">
            <w:pPr>
              <w:pStyle w:val="Tabletext"/>
              <w:jc w:val="center"/>
              <w:rPr>
                <w:sz w:val="18"/>
                <w:szCs w:val="18"/>
                <w:lang w:val="fr-FR"/>
              </w:rPr>
            </w:pPr>
            <w:r w:rsidRPr="00075DC8">
              <w:rPr>
                <w:sz w:val="18"/>
                <w:szCs w:val="18"/>
                <w:lang w:val="fr-FR"/>
              </w:rPr>
              <w:t>…….</w:t>
            </w:r>
          </w:p>
        </w:tc>
        <w:tc>
          <w:tcPr>
            <w:tcW w:w="1009" w:type="dxa"/>
            <w:tcBorders>
              <w:top w:val="single" w:sz="4" w:space="0" w:color="auto"/>
              <w:left w:val="single" w:sz="4" w:space="0" w:color="auto"/>
              <w:bottom w:val="single" w:sz="4" w:space="0" w:color="auto"/>
              <w:right w:val="single" w:sz="4" w:space="0" w:color="auto"/>
            </w:tcBorders>
            <w:hideMark/>
          </w:tcPr>
          <w:p w14:paraId="600CECD2"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w:t>
            </w:r>
          </w:p>
        </w:tc>
        <w:tc>
          <w:tcPr>
            <w:tcW w:w="1379" w:type="dxa"/>
            <w:tcBorders>
              <w:top w:val="single" w:sz="4" w:space="0" w:color="auto"/>
              <w:left w:val="single" w:sz="4" w:space="0" w:color="auto"/>
              <w:bottom w:val="single" w:sz="4" w:space="0" w:color="auto"/>
              <w:right w:val="single" w:sz="4" w:space="0" w:color="auto"/>
            </w:tcBorders>
            <w:hideMark/>
          </w:tcPr>
          <w:p w14:paraId="6AE60E80" w14:textId="77777777" w:rsidR="00725E50" w:rsidRPr="00075DC8" w:rsidRDefault="00725E50" w:rsidP="00C50AE5">
            <w:pPr>
              <w:pStyle w:val="Tabletext"/>
              <w:jc w:val="center"/>
              <w:rPr>
                <w:sz w:val="18"/>
                <w:szCs w:val="18"/>
                <w:lang w:val="fr-FR"/>
              </w:rPr>
            </w:pPr>
            <w:r w:rsidRPr="00075DC8">
              <w:rPr>
                <w:sz w:val="18"/>
                <w:szCs w:val="18"/>
                <w:lang w:val="fr-FR"/>
              </w:rPr>
              <w:t>MDF-4, MDPQ</w:t>
            </w:r>
          </w:p>
        </w:tc>
        <w:tc>
          <w:tcPr>
            <w:tcW w:w="950" w:type="dxa"/>
            <w:tcBorders>
              <w:top w:val="single" w:sz="4" w:space="0" w:color="auto"/>
              <w:left w:val="single" w:sz="4" w:space="0" w:color="auto"/>
              <w:bottom w:val="single" w:sz="4" w:space="0" w:color="auto"/>
              <w:right w:val="single" w:sz="4" w:space="0" w:color="auto"/>
            </w:tcBorders>
            <w:hideMark/>
          </w:tcPr>
          <w:p w14:paraId="16C73904" w14:textId="77777777" w:rsidR="00725E50" w:rsidRPr="00075DC8" w:rsidRDefault="00725E50" w:rsidP="00C50AE5">
            <w:pPr>
              <w:pStyle w:val="Tabletext"/>
              <w:jc w:val="center"/>
              <w:rPr>
                <w:sz w:val="18"/>
                <w:szCs w:val="18"/>
                <w:lang w:val="fr-FR"/>
              </w:rPr>
            </w:pPr>
            <w:r w:rsidRPr="00075DC8">
              <w:rPr>
                <w:sz w:val="18"/>
                <w:szCs w:val="18"/>
                <w:lang w:val="fr-FR"/>
              </w:rPr>
              <w:t>…….</w:t>
            </w:r>
          </w:p>
        </w:tc>
        <w:tc>
          <w:tcPr>
            <w:tcW w:w="950" w:type="dxa"/>
            <w:tcBorders>
              <w:top w:val="single" w:sz="4" w:space="0" w:color="auto"/>
              <w:left w:val="single" w:sz="4" w:space="0" w:color="auto"/>
              <w:bottom w:val="single" w:sz="4" w:space="0" w:color="auto"/>
              <w:right w:val="single" w:sz="4" w:space="0" w:color="auto"/>
            </w:tcBorders>
            <w:hideMark/>
          </w:tcPr>
          <w:p w14:paraId="73E3134F"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w:t>
            </w:r>
          </w:p>
        </w:tc>
        <w:tc>
          <w:tcPr>
            <w:tcW w:w="1134" w:type="dxa"/>
            <w:tcBorders>
              <w:top w:val="single" w:sz="4" w:space="0" w:color="auto"/>
              <w:left w:val="single" w:sz="4" w:space="0" w:color="auto"/>
              <w:bottom w:val="single" w:sz="4" w:space="0" w:color="auto"/>
              <w:right w:val="single" w:sz="4" w:space="0" w:color="auto"/>
            </w:tcBorders>
            <w:hideMark/>
          </w:tcPr>
          <w:p w14:paraId="6968BB21" w14:textId="77777777" w:rsidR="00725E50" w:rsidRPr="00075DC8" w:rsidRDefault="00725E50" w:rsidP="00C50AE5">
            <w:pPr>
              <w:pStyle w:val="Tabletext"/>
              <w:jc w:val="center"/>
              <w:rPr>
                <w:sz w:val="18"/>
                <w:szCs w:val="18"/>
                <w:lang w:val="fr-FR"/>
              </w:rPr>
            </w:pPr>
            <w:r w:rsidRPr="00075DC8">
              <w:rPr>
                <w:sz w:val="18"/>
                <w:szCs w:val="18"/>
                <w:lang w:val="fr-FR"/>
              </w:rPr>
              <w:t>…….</w:t>
            </w:r>
          </w:p>
        </w:tc>
        <w:tc>
          <w:tcPr>
            <w:tcW w:w="1134" w:type="dxa"/>
            <w:tcBorders>
              <w:top w:val="single" w:sz="4" w:space="0" w:color="auto"/>
              <w:left w:val="single" w:sz="4" w:space="0" w:color="auto"/>
              <w:bottom w:val="single" w:sz="4" w:space="0" w:color="auto"/>
              <w:right w:val="single" w:sz="4" w:space="0" w:color="auto"/>
            </w:tcBorders>
            <w:hideMark/>
          </w:tcPr>
          <w:p w14:paraId="71DFBD86"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w:t>
            </w:r>
          </w:p>
        </w:tc>
        <w:tc>
          <w:tcPr>
            <w:tcW w:w="1133" w:type="dxa"/>
            <w:tcBorders>
              <w:top w:val="single" w:sz="4" w:space="0" w:color="auto"/>
              <w:left w:val="single" w:sz="4" w:space="0" w:color="auto"/>
              <w:bottom w:val="single" w:sz="4" w:space="0" w:color="auto"/>
              <w:right w:val="single" w:sz="4" w:space="0" w:color="auto"/>
            </w:tcBorders>
            <w:hideMark/>
          </w:tcPr>
          <w:p w14:paraId="2F76A408" w14:textId="77777777" w:rsidR="00725E50" w:rsidRPr="00075DC8" w:rsidRDefault="00725E50" w:rsidP="00C50AE5">
            <w:pPr>
              <w:pStyle w:val="Tabletext"/>
              <w:jc w:val="center"/>
              <w:rPr>
                <w:sz w:val="18"/>
                <w:szCs w:val="18"/>
                <w:lang w:val="fr-FR"/>
              </w:rPr>
            </w:pPr>
            <w:r w:rsidRPr="00075DC8">
              <w:rPr>
                <w:sz w:val="18"/>
                <w:szCs w:val="18"/>
                <w:lang w:val="fr-FR"/>
              </w:rPr>
              <w:t>…….</w:t>
            </w:r>
          </w:p>
        </w:tc>
        <w:tc>
          <w:tcPr>
            <w:tcW w:w="1134" w:type="dxa"/>
            <w:tcBorders>
              <w:top w:val="single" w:sz="4" w:space="0" w:color="auto"/>
              <w:left w:val="single" w:sz="4" w:space="0" w:color="auto"/>
              <w:bottom w:val="single" w:sz="4" w:space="0" w:color="auto"/>
              <w:right w:val="single" w:sz="4" w:space="0" w:color="auto"/>
            </w:tcBorders>
            <w:hideMark/>
          </w:tcPr>
          <w:p w14:paraId="757FA58A"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w:t>
            </w:r>
          </w:p>
        </w:tc>
        <w:tc>
          <w:tcPr>
            <w:tcW w:w="1428" w:type="dxa"/>
            <w:tcBorders>
              <w:top w:val="single" w:sz="4" w:space="0" w:color="auto"/>
              <w:left w:val="single" w:sz="4" w:space="0" w:color="auto"/>
              <w:bottom w:val="single" w:sz="4" w:space="0" w:color="auto"/>
              <w:right w:val="single" w:sz="4" w:space="0" w:color="auto"/>
            </w:tcBorders>
            <w:hideMark/>
          </w:tcPr>
          <w:p w14:paraId="3CFE88C8" w14:textId="77777777" w:rsidR="00725E50" w:rsidRPr="00075DC8" w:rsidRDefault="00725E50" w:rsidP="00C50AE5">
            <w:pPr>
              <w:pStyle w:val="Tabletext"/>
              <w:jc w:val="center"/>
              <w:rPr>
                <w:sz w:val="18"/>
                <w:szCs w:val="18"/>
                <w:lang w:val="fr-FR" w:eastAsia="ja-JP"/>
              </w:rPr>
            </w:pPr>
            <w:r w:rsidRPr="00075DC8">
              <w:rPr>
                <w:sz w:val="18"/>
                <w:szCs w:val="18"/>
                <w:lang w:val="fr-FR"/>
              </w:rPr>
              <w:t>…….</w:t>
            </w:r>
          </w:p>
        </w:tc>
      </w:tr>
      <w:tr w:rsidR="00725E50" w:rsidRPr="00075DC8" w14:paraId="746FFA76" w14:textId="77777777" w:rsidTr="00ED4837">
        <w:trPr>
          <w:jc w:val="center"/>
        </w:trPr>
        <w:tc>
          <w:tcPr>
            <w:tcW w:w="31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BC7640D" w14:textId="77777777" w:rsidR="00725E50" w:rsidRPr="00075DC8" w:rsidRDefault="00725E50" w:rsidP="00C50AE5">
            <w:pPr>
              <w:pStyle w:val="Tabletext"/>
              <w:jc w:val="left"/>
              <w:rPr>
                <w:sz w:val="18"/>
                <w:szCs w:val="18"/>
                <w:lang w:val="fr-FR" w:eastAsia="ja-JP"/>
              </w:rPr>
            </w:pPr>
            <w:r w:rsidRPr="00075DC8">
              <w:rPr>
                <w:sz w:val="18"/>
                <w:szCs w:val="18"/>
                <w:lang w:val="fr-FR" w:eastAsia="ja-JP"/>
              </w:rPr>
              <w:t xml:space="preserve">Espacement des canaux et largeur de bande de bruit du récepteur (MHz) </w:t>
            </w:r>
          </w:p>
        </w:tc>
        <w:tc>
          <w:tcPr>
            <w:tcW w:w="1009" w:type="dxa"/>
            <w:tcBorders>
              <w:top w:val="single" w:sz="4" w:space="0" w:color="auto"/>
              <w:left w:val="single" w:sz="4" w:space="0" w:color="auto"/>
              <w:bottom w:val="single" w:sz="4" w:space="0" w:color="auto"/>
              <w:right w:val="single" w:sz="4" w:space="0" w:color="auto"/>
            </w:tcBorders>
            <w:hideMark/>
          </w:tcPr>
          <w:p w14:paraId="4B560F07"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0</w:t>
            </w:r>
            <w:r w:rsidRPr="00075DC8">
              <w:rPr>
                <w:sz w:val="18"/>
                <w:szCs w:val="18"/>
                <w:lang w:val="fr-FR"/>
              </w:rPr>
              <w:t>,</w:t>
            </w:r>
            <w:r w:rsidRPr="00075DC8">
              <w:rPr>
                <w:sz w:val="18"/>
                <w:szCs w:val="18"/>
                <w:lang w:val="fr-FR" w:eastAsia="ja-JP"/>
              </w:rPr>
              <w:t>0</w:t>
            </w:r>
            <w:r w:rsidRPr="00075DC8">
              <w:rPr>
                <w:sz w:val="18"/>
                <w:szCs w:val="18"/>
                <w:lang w:val="fr-FR"/>
              </w:rPr>
              <w:t>5</w:t>
            </w:r>
            <w:r w:rsidRPr="00075DC8">
              <w:rPr>
                <w:sz w:val="18"/>
                <w:szCs w:val="18"/>
                <w:lang w:val="fr-FR" w:eastAsia="ja-JP"/>
              </w:rPr>
              <w:t>; 0,1; 0,15; 0,2; 0,25; 0,3; 0,5; 0,6; 0,75; 1; 1,75; 3,5</w:t>
            </w:r>
          </w:p>
        </w:tc>
        <w:tc>
          <w:tcPr>
            <w:tcW w:w="1009" w:type="dxa"/>
            <w:tcBorders>
              <w:top w:val="single" w:sz="4" w:space="0" w:color="auto"/>
              <w:left w:val="single" w:sz="4" w:space="0" w:color="auto"/>
              <w:bottom w:val="single" w:sz="4" w:space="0" w:color="auto"/>
              <w:right w:val="single" w:sz="4" w:space="0" w:color="auto"/>
            </w:tcBorders>
            <w:hideMark/>
          </w:tcPr>
          <w:p w14:paraId="3F8B643F" w14:textId="77777777" w:rsidR="00725E50" w:rsidRPr="00075DC8" w:rsidRDefault="00725E50" w:rsidP="00C50AE5">
            <w:pPr>
              <w:pStyle w:val="Tabletext"/>
              <w:jc w:val="center"/>
              <w:rPr>
                <w:sz w:val="18"/>
                <w:szCs w:val="18"/>
                <w:lang w:val="fr-FR"/>
              </w:rPr>
            </w:pPr>
            <w:r w:rsidRPr="00075DC8">
              <w:rPr>
                <w:sz w:val="18"/>
                <w:szCs w:val="18"/>
                <w:lang w:val="fr-FR" w:eastAsia="ja-JP"/>
              </w:rPr>
              <w:t>0</w:t>
            </w:r>
            <w:r w:rsidRPr="00075DC8">
              <w:rPr>
                <w:sz w:val="18"/>
                <w:szCs w:val="18"/>
                <w:lang w:val="fr-FR"/>
              </w:rPr>
              <w:t>,</w:t>
            </w:r>
            <w:r w:rsidRPr="00075DC8">
              <w:rPr>
                <w:sz w:val="18"/>
                <w:szCs w:val="18"/>
                <w:lang w:val="fr-FR" w:eastAsia="ja-JP"/>
              </w:rPr>
              <w:t>0</w:t>
            </w:r>
            <w:r w:rsidRPr="00075DC8">
              <w:rPr>
                <w:sz w:val="18"/>
                <w:szCs w:val="18"/>
                <w:lang w:val="fr-FR"/>
              </w:rPr>
              <w:t>5</w:t>
            </w:r>
            <w:r w:rsidRPr="00075DC8">
              <w:rPr>
                <w:sz w:val="18"/>
                <w:szCs w:val="18"/>
                <w:lang w:val="fr-FR" w:eastAsia="ja-JP"/>
              </w:rPr>
              <w:t>; 0,1; 0,15; 0,2; 0,25; 0,3; 0,5; 0,6; 0,75; 1; 1,75; 3,5</w:t>
            </w:r>
          </w:p>
        </w:tc>
        <w:tc>
          <w:tcPr>
            <w:tcW w:w="1379" w:type="dxa"/>
            <w:tcBorders>
              <w:top w:val="single" w:sz="4" w:space="0" w:color="auto"/>
              <w:left w:val="single" w:sz="4" w:space="0" w:color="auto"/>
              <w:bottom w:val="single" w:sz="4" w:space="0" w:color="auto"/>
              <w:right w:val="single" w:sz="4" w:space="0" w:color="auto"/>
            </w:tcBorders>
            <w:hideMark/>
          </w:tcPr>
          <w:p w14:paraId="6191A385" w14:textId="77777777" w:rsidR="00725E50" w:rsidRPr="00075DC8" w:rsidRDefault="00725E50" w:rsidP="00C50AE5">
            <w:pPr>
              <w:pStyle w:val="Tabletext"/>
              <w:jc w:val="center"/>
              <w:rPr>
                <w:caps/>
                <w:sz w:val="18"/>
                <w:szCs w:val="18"/>
                <w:lang w:val="fr-FR" w:eastAsia="ja-JP"/>
              </w:rPr>
            </w:pPr>
            <w:r w:rsidRPr="00075DC8">
              <w:rPr>
                <w:caps/>
                <w:sz w:val="18"/>
                <w:szCs w:val="18"/>
                <w:lang w:val="fr-FR" w:eastAsia="ja-JP"/>
              </w:rPr>
              <w:t>0,0125</w:t>
            </w:r>
          </w:p>
        </w:tc>
        <w:tc>
          <w:tcPr>
            <w:tcW w:w="950" w:type="dxa"/>
            <w:tcBorders>
              <w:top w:val="single" w:sz="4" w:space="0" w:color="auto"/>
              <w:left w:val="single" w:sz="4" w:space="0" w:color="auto"/>
              <w:bottom w:val="single" w:sz="4" w:space="0" w:color="auto"/>
              <w:right w:val="single" w:sz="4" w:space="0" w:color="auto"/>
            </w:tcBorders>
            <w:hideMark/>
          </w:tcPr>
          <w:p w14:paraId="2B3B0EF8" w14:textId="77777777" w:rsidR="00725E50" w:rsidRPr="00075DC8" w:rsidRDefault="00725E50" w:rsidP="00C50AE5">
            <w:pPr>
              <w:pStyle w:val="Tabletext"/>
              <w:jc w:val="center"/>
              <w:rPr>
                <w:sz w:val="18"/>
                <w:szCs w:val="18"/>
                <w:lang w:val="fr-FR"/>
              </w:rPr>
            </w:pPr>
            <w:r w:rsidRPr="00075DC8">
              <w:rPr>
                <w:caps/>
                <w:sz w:val="18"/>
                <w:szCs w:val="18"/>
                <w:lang w:val="fr-FR" w:eastAsia="ja-JP"/>
              </w:rPr>
              <w:t>0,25; 0,5; 1; 2; 3,5</w:t>
            </w:r>
          </w:p>
        </w:tc>
        <w:tc>
          <w:tcPr>
            <w:tcW w:w="950" w:type="dxa"/>
            <w:tcBorders>
              <w:top w:val="single" w:sz="4" w:space="0" w:color="auto"/>
              <w:left w:val="single" w:sz="4" w:space="0" w:color="auto"/>
              <w:bottom w:val="single" w:sz="4" w:space="0" w:color="auto"/>
              <w:right w:val="single" w:sz="4" w:space="0" w:color="auto"/>
            </w:tcBorders>
            <w:hideMark/>
          </w:tcPr>
          <w:p w14:paraId="13B9F7EB" w14:textId="77777777" w:rsidR="00725E50" w:rsidRPr="00075DC8" w:rsidRDefault="00725E50" w:rsidP="00C50AE5">
            <w:pPr>
              <w:pStyle w:val="Tabletext"/>
              <w:jc w:val="center"/>
              <w:rPr>
                <w:sz w:val="18"/>
                <w:szCs w:val="18"/>
                <w:lang w:val="fr-FR" w:eastAsia="ja-JP"/>
              </w:rPr>
            </w:pPr>
            <w:r w:rsidRPr="00075DC8">
              <w:rPr>
                <w:caps/>
                <w:sz w:val="18"/>
                <w:szCs w:val="18"/>
                <w:lang w:val="fr-FR" w:eastAsia="ja-JP"/>
              </w:rPr>
              <w:t>0,25; 0,5; 1; 2; 3,5</w:t>
            </w:r>
          </w:p>
        </w:tc>
        <w:tc>
          <w:tcPr>
            <w:tcW w:w="1134" w:type="dxa"/>
            <w:tcBorders>
              <w:top w:val="single" w:sz="4" w:space="0" w:color="auto"/>
              <w:left w:val="single" w:sz="4" w:space="0" w:color="auto"/>
              <w:bottom w:val="single" w:sz="4" w:space="0" w:color="auto"/>
              <w:right w:val="single" w:sz="4" w:space="0" w:color="auto"/>
            </w:tcBorders>
            <w:hideMark/>
          </w:tcPr>
          <w:p w14:paraId="6068B235"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29</w:t>
            </w:r>
          </w:p>
        </w:tc>
        <w:tc>
          <w:tcPr>
            <w:tcW w:w="1134" w:type="dxa"/>
            <w:tcBorders>
              <w:top w:val="single" w:sz="4" w:space="0" w:color="auto"/>
              <w:left w:val="single" w:sz="4" w:space="0" w:color="auto"/>
              <w:bottom w:val="single" w:sz="4" w:space="0" w:color="auto"/>
              <w:right w:val="single" w:sz="4" w:space="0" w:color="auto"/>
            </w:tcBorders>
            <w:hideMark/>
          </w:tcPr>
          <w:p w14:paraId="2B89922B"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0,05; 0,1; 0,15; 0,2; 0,25; 0,3; 0,5; 0,6; 0,75; 1; 1,75; 3,5</w:t>
            </w:r>
          </w:p>
        </w:tc>
        <w:tc>
          <w:tcPr>
            <w:tcW w:w="1133" w:type="dxa"/>
            <w:tcBorders>
              <w:top w:val="single" w:sz="4" w:space="0" w:color="auto"/>
              <w:left w:val="single" w:sz="4" w:space="0" w:color="auto"/>
              <w:bottom w:val="single" w:sz="4" w:space="0" w:color="auto"/>
              <w:right w:val="single" w:sz="4" w:space="0" w:color="auto"/>
            </w:tcBorders>
            <w:hideMark/>
          </w:tcPr>
          <w:p w14:paraId="57B93936" w14:textId="77777777" w:rsidR="00725E50" w:rsidRPr="00075DC8" w:rsidRDefault="00725E50" w:rsidP="00C50AE5">
            <w:pPr>
              <w:pStyle w:val="Tabletext"/>
              <w:jc w:val="center"/>
              <w:rPr>
                <w:sz w:val="18"/>
                <w:szCs w:val="18"/>
                <w:lang w:val="fr-FR"/>
              </w:rPr>
            </w:pPr>
            <w:r w:rsidRPr="00075DC8">
              <w:rPr>
                <w:sz w:val="18"/>
                <w:szCs w:val="18"/>
                <w:lang w:val="fr-FR" w:eastAsia="ja-JP"/>
              </w:rPr>
              <w:t>0,05; 0,1; 0,15; 0,2; 0,25; 0,3; 0,5; 0,6; 0,75; 1; 1,75; 3,5</w:t>
            </w:r>
          </w:p>
        </w:tc>
        <w:tc>
          <w:tcPr>
            <w:tcW w:w="1134" w:type="dxa"/>
            <w:tcBorders>
              <w:top w:val="single" w:sz="4" w:space="0" w:color="auto"/>
              <w:left w:val="single" w:sz="4" w:space="0" w:color="auto"/>
              <w:bottom w:val="single" w:sz="4" w:space="0" w:color="auto"/>
              <w:right w:val="single" w:sz="4" w:space="0" w:color="auto"/>
            </w:tcBorders>
            <w:hideMark/>
          </w:tcPr>
          <w:p w14:paraId="77D4B24B" w14:textId="77777777" w:rsidR="00725E50" w:rsidRPr="00075DC8" w:rsidRDefault="00725E50" w:rsidP="00C50AE5">
            <w:pPr>
              <w:pStyle w:val="Tabletext"/>
              <w:jc w:val="center"/>
              <w:rPr>
                <w:sz w:val="18"/>
                <w:szCs w:val="18"/>
                <w:lang w:val="fr-FR"/>
              </w:rPr>
            </w:pPr>
            <w:r w:rsidRPr="00075DC8">
              <w:rPr>
                <w:sz w:val="18"/>
                <w:szCs w:val="18"/>
                <w:lang w:val="fr-FR" w:eastAsia="ja-JP"/>
              </w:rPr>
              <w:t>0,25; 0,5; 1; 2; 3,5</w:t>
            </w:r>
          </w:p>
        </w:tc>
        <w:tc>
          <w:tcPr>
            <w:tcW w:w="1428" w:type="dxa"/>
            <w:tcBorders>
              <w:top w:val="single" w:sz="4" w:space="0" w:color="auto"/>
              <w:left w:val="single" w:sz="4" w:space="0" w:color="auto"/>
              <w:bottom w:val="single" w:sz="4" w:space="0" w:color="auto"/>
              <w:right w:val="single" w:sz="4" w:space="0" w:color="auto"/>
            </w:tcBorders>
            <w:hideMark/>
          </w:tcPr>
          <w:p w14:paraId="35C8D3BE"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0,25; 0,5; 1; 2; 3,5</w:t>
            </w:r>
          </w:p>
        </w:tc>
      </w:tr>
      <w:tr w:rsidR="00725E50" w:rsidRPr="00075DC8" w14:paraId="219E7BBC" w14:textId="77777777" w:rsidTr="00ED4837">
        <w:trPr>
          <w:jc w:val="center"/>
        </w:trPr>
        <w:tc>
          <w:tcPr>
            <w:tcW w:w="31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E863ED" w14:textId="66D3EA82" w:rsidR="00725E50" w:rsidRPr="00075DC8" w:rsidRDefault="00725E50" w:rsidP="00C50AE5">
            <w:pPr>
              <w:pStyle w:val="Tabletext"/>
              <w:jc w:val="left"/>
              <w:rPr>
                <w:sz w:val="18"/>
                <w:szCs w:val="18"/>
                <w:lang w:val="fr-FR" w:eastAsia="ja-JP"/>
              </w:rPr>
            </w:pPr>
            <w:r w:rsidRPr="00075DC8">
              <w:rPr>
                <w:sz w:val="18"/>
                <w:szCs w:val="18"/>
                <w:lang w:val="fr-FR" w:eastAsia="ja-JP"/>
              </w:rPr>
              <w:t>Plage des puissances de sortie au niveau de l</w:t>
            </w:r>
            <w:r w:rsidR="001F6A0D" w:rsidRPr="00075DC8">
              <w:rPr>
                <w:sz w:val="18"/>
                <w:szCs w:val="18"/>
                <w:lang w:val="fr-FR" w:eastAsia="ja-JP"/>
              </w:rPr>
              <w:t>'</w:t>
            </w:r>
            <w:r w:rsidRPr="00075DC8">
              <w:rPr>
                <w:sz w:val="18"/>
                <w:szCs w:val="18"/>
                <w:lang w:val="fr-FR" w:eastAsia="ja-JP"/>
              </w:rPr>
              <w:t>émetteur (dBW)</w:t>
            </w:r>
          </w:p>
        </w:tc>
        <w:tc>
          <w:tcPr>
            <w:tcW w:w="1009" w:type="dxa"/>
            <w:vMerge w:val="restart"/>
            <w:tcBorders>
              <w:top w:val="single" w:sz="4" w:space="0" w:color="auto"/>
              <w:left w:val="single" w:sz="4" w:space="0" w:color="auto"/>
              <w:bottom w:val="single" w:sz="4" w:space="0" w:color="auto"/>
              <w:right w:val="single" w:sz="4" w:space="0" w:color="auto"/>
            </w:tcBorders>
            <w:hideMark/>
          </w:tcPr>
          <w:p w14:paraId="1C4E33AC"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NOTE</w:t>
            </w:r>
          </w:p>
        </w:tc>
        <w:tc>
          <w:tcPr>
            <w:tcW w:w="1009" w:type="dxa"/>
            <w:vMerge w:val="restart"/>
            <w:tcBorders>
              <w:top w:val="single" w:sz="4" w:space="0" w:color="auto"/>
              <w:left w:val="single" w:sz="4" w:space="0" w:color="auto"/>
              <w:bottom w:val="single" w:sz="4" w:space="0" w:color="auto"/>
              <w:right w:val="single" w:sz="4" w:space="0" w:color="auto"/>
            </w:tcBorders>
            <w:hideMark/>
          </w:tcPr>
          <w:p w14:paraId="7F210647"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NOTE</w:t>
            </w:r>
          </w:p>
        </w:tc>
        <w:tc>
          <w:tcPr>
            <w:tcW w:w="1379" w:type="dxa"/>
            <w:tcBorders>
              <w:top w:val="single" w:sz="4" w:space="0" w:color="auto"/>
              <w:left w:val="single" w:sz="4" w:space="0" w:color="auto"/>
              <w:bottom w:val="single" w:sz="4" w:space="0" w:color="auto"/>
              <w:right w:val="single" w:sz="4" w:space="0" w:color="auto"/>
            </w:tcBorders>
            <w:hideMark/>
          </w:tcPr>
          <w:p w14:paraId="30FAC5DC"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1…10</w:t>
            </w:r>
          </w:p>
        </w:tc>
        <w:tc>
          <w:tcPr>
            <w:tcW w:w="950" w:type="dxa"/>
            <w:vMerge w:val="restart"/>
            <w:tcBorders>
              <w:top w:val="single" w:sz="4" w:space="0" w:color="auto"/>
              <w:left w:val="single" w:sz="4" w:space="0" w:color="auto"/>
              <w:bottom w:val="single" w:sz="4" w:space="0" w:color="auto"/>
              <w:right w:val="single" w:sz="4" w:space="0" w:color="auto"/>
            </w:tcBorders>
            <w:hideMark/>
          </w:tcPr>
          <w:p w14:paraId="1F854A56"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NOTE</w:t>
            </w:r>
          </w:p>
        </w:tc>
        <w:tc>
          <w:tcPr>
            <w:tcW w:w="950" w:type="dxa"/>
            <w:vMerge w:val="restart"/>
            <w:tcBorders>
              <w:top w:val="single" w:sz="4" w:space="0" w:color="auto"/>
              <w:left w:val="single" w:sz="4" w:space="0" w:color="auto"/>
              <w:bottom w:val="single" w:sz="4" w:space="0" w:color="auto"/>
              <w:right w:val="single" w:sz="4" w:space="0" w:color="auto"/>
            </w:tcBorders>
            <w:hideMark/>
          </w:tcPr>
          <w:p w14:paraId="57818EAC"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NOTE</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4B36A0"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NOTE</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7B5F50"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NOTE</w:t>
            </w:r>
          </w:p>
        </w:tc>
        <w:tc>
          <w:tcPr>
            <w:tcW w:w="1133" w:type="dxa"/>
            <w:vMerge w:val="restart"/>
            <w:tcBorders>
              <w:top w:val="single" w:sz="4" w:space="0" w:color="auto"/>
              <w:left w:val="single" w:sz="4" w:space="0" w:color="auto"/>
              <w:bottom w:val="single" w:sz="4" w:space="0" w:color="auto"/>
              <w:right w:val="single" w:sz="4" w:space="0" w:color="auto"/>
            </w:tcBorders>
            <w:hideMark/>
          </w:tcPr>
          <w:p w14:paraId="1804229B"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NOTE</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1B06408"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NOTE</w:t>
            </w:r>
          </w:p>
        </w:tc>
        <w:tc>
          <w:tcPr>
            <w:tcW w:w="1428" w:type="dxa"/>
            <w:vMerge w:val="restart"/>
            <w:tcBorders>
              <w:top w:val="single" w:sz="4" w:space="0" w:color="auto"/>
              <w:left w:val="single" w:sz="4" w:space="0" w:color="auto"/>
              <w:bottom w:val="single" w:sz="4" w:space="0" w:color="auto"/>
              <w:right w:val="single" w:sz="4" w:space="0" w:color="auto"/>
            </w:tcBorders>
            <w:hideMark/>
          </w:tcPr>
          <w:p w14:paraId="16FA7671"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NOTE</w:t>
            </w:r>
          </w:p>
        </w:tc>
      </w:tr>
      <w:tr w:rsidR="00725E50" w:rsidRPr="00075DC8" w14:paraId="3DB52835" w14:textId="77777777" w:rsidTr="00ED4837">
        <w:trPr>
          <w:jc w:val="center"/>
        </w:trPr>
        <w:tc>
          <w:tcPr>
            <w:tcW w:w="31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FD94FE" w14:textId="08EA14D8" w:rsidR="00725E50" w:rsidRPr="00075DC8" w:rsidRDefault="00725E50" w:rsidP="00C50AE5">
            <w:pPr>
              <w:pStyle w:val="Tabletext"/>
              <w:jc w:val="left"/>
              <w:rPr>
                <w:sz w:val="18"/>
                <w:szCs w:val="18"/>
                <w:lang w:val="fr-FR" w:eastAsia="ja-JP"/>
              </w:rPr>
            </w:pPr>
            <w:r w:rsidRPr="00075DC8">
              <w:rPr>
                <w:sz w:val="18"/>
                <w:szCs w:val="18"/>
                <w:lang w:val="fr-FR" w:eastAsia="ja-JP"/>
              </w:rPr>
              <w:t>Plage des densités de puissance de sortie au niveau de l</w:t>
            </w:r>
            <w:r w:rsidR="001F6A0D" w:rsidRPr="00075DC8">
              <w:rPr>
                <w:sz w:val="18"/>
                <w:szCs w:val="18"/>
                <w:lang w:val="fr-FR" w:eastAsia="ja-JP"/>
              </w:rPr>
              <w:t>'</w:t>
            </w:r>
            <w:r w:rsidRPr="00075DC8">
              <w:rPr>
                <w:sz w:val="18"/>
                <w:szCs w:val="18"/>
                <w:lang w:val="fr-FR" w:eastAsia="ja-JP"/>
              </w:rPr>
              <w:t>émetteur (dBW/MHz)</w:t>
            </w: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3649A8DE"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42E02943"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379" w:type="dxa"/>
            <w:tcBorders>
              <w:top w:val="single" w:sz="4" w:space="0" w:color="auto"/>
              <w:left w:val="single" w:sz="4" w:space="0" w:color="auto"/>
              <w:bottom w:val="single" w:sz="4" w:space="0" w:color="auto"/>
              <w:right w:val="single" w:sz="4" w:space="0" w:color="auto"/>
            </w:tcBorders>
            <w:hideMark/>
          </w:tcPr>
          <w:p w14:paraId="2C9BB64C" w14:textId="77777777" w:rsidR="00725E50" w:rsidRPr="00075DC8" w:rsidRDefault="00725E50" w:rsidP="00C50AE5">
            <w:pPr>
              <w:pStyle w:val="Tabletext"/>
              <w:jc w:val="center"/>
              <w:rPr>
                <w:sz w:val="18"/>
                <w:szCs w:val="18"/>
                <w:lang w:val="fr-FR"/>
              </w:rPr>
            </w:pPr>
            <w:r w:rsidRPr="00075DC8">
              <w:rPr>
                <w:sz w:val="18"/>
                <w:szCs w:val="18"/>
                <w:lang w:val="fr-FR"/>
              </w:rPr>
              <w:t>20…29</w:t>
            </w: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6CAD5BF8"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51AE3B8B"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2F267A"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E3EE23"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6338A0F"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443705"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2DFF7EED"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r>
      <w:tr w:rsidR="00725E50" w:rsidRPr="00075DC8" w14:paraId="35C68396" w14:textId="77777777" w:rsidTr="00ED4837">
        <w:trPr>
          <w:jc w:val="center"/>
        </w:trPr>
        <w:tc>
          <w:tcPr>
            <w:tcW w:w="31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D4587C" w14:textId="65AFCD16" w:rsidR="00725E50" w:rsidRPr="00075DC8" w:rsidRDefault="00725E50" w:rsidP="00C50AE5">
            <w:pPr>
              <w:pStyle w:val="Tabletext"/>
              <w:jc w:val="left"/>
              <w:rPr>
                <w:sz w:val="18"/>
                <w:szCs w:val="18"/>
                <w:lang w:val="fr-FR" w:eastAsia="ja-JP"/>
              </w:rPr>
            </w:pPr>
            <w:r w:rsidRPr="00075DC8">
              <w:rPr>
                <w:sz w:val="18"/>
                <w:szCs w:val="18"/>
                <w:lang w:val="fr-FR" w:eastAsia="ja-JP"/>
              </w:rPr>
              <w:t>Plage des pertes dues à la ligne d</w:t>
            </w:r>
            <w:r w:rsidR="001F6A0D" w:rsidRPr="00075DC8">
              <w:rPr>
                <w:sz w:val="18"/>
                <w:szCs w:val="18"/>
                <w:lang w:val="fr-FR" w:eastAsia="ja-JP"/>
              </w:rPr>
              <w:t>'</w:t>
            </w:r>
            <w:r w:rsidRPr="00075DC8">
              <w:rPr>
                <w:sz w:val="18"/>
                <w:szCs w:val="18"/>
                <w:lang w:val="fr-FR" w:eastAsia="ja-JP"/>
              </w:rPr>
              <w:t xml:space="preserve">alimentation ou au multiplexeur (dB) </w:t>
            </w: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12538815"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29984AD9"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379" w:type="dxa"/>
            <w:tcBorders>
              <w:top w:val="single" w:sz="4" w:space="0" w:color="auto"/>
              <w:left w:val="single" w:sz="4" w:space="0" w:color="auto"/>
              <w:bottom w:val="single" w:sz="4" w:space="0" w:color="auto"/>
              <w:right w:val="single" w:sz="4" w:space="0" w:color="auto"/>
            </w:tcBorders>
            <w:hideMark/>
          </w:tcPr>
          <w:p w14:paraId="527C29AB" w14:textId="77777777" w:rsidR="00725E50" w:rsidRPr="00075DC8" w:rsidRDefault="00725E50" w:rsidP="00C50AE5">
            <w:pPr>
              <w:pStyle w:val="Tabletext"/>
              <w:jc w:val="center"/>
              <w:rPr>
                <w:color w:val="000000"/>
                <w:sz w:val="18"/>
                <w:szCs w:val="18"/>
                <w:lang w:val="fr-FR" w:eastAsia="ja-JP"/>
              </w:rPr>
            </w:pPr>
            <w:r w:rsidRPr="00075DC8">
              <w:rPr>
                <w:color w:val="000000"/>
                <w:sz w:val="18"/>
                <w:szCs w:val="18"/>
                <w:lang w:val="fr-FR" w:eastAsia="ja-JP"/>
              </w:rPr>
              <w:t>0…4</w:t>
            </w: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00575FDD"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3305537D"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60B0B6"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68173A"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A4FCF21"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CA14A1"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4D86570E"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r>
      <w:tr w:rsidR="00725E50" w:rsidRPr="00075DC8" w14:paraId="48FCA835" w14:textId="77777777" w:rsidTr="00ED4837">
        <w:trPr>
          <w:jc w:val="center"/>
        </w:trPr>
        <w:tc>
          <w:tcPr>
            <w:tcW w:w="31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B2E09E" w14:textId="6DD1760B" w:rsidR="00725E50" w:rsidRPr="00075DC8" w:rsidRDefault="00725E50" w:rsidP="00C50AE5">
            <w:pPr>
              <w:pStyle w:val="Tabletext"/>
              <w:jc w:val="left"/>
              <w:rPr>
                <w:sz w:val="18"/>
                <w:szCs w:val="18"/>
                <w:lang w:val="fr-FR" w:eastAsia="ja-JP"/>
              </w:rPr>
            </w:pPr>
            <w:r w:rsidRPr="00075DC8">
              <w:rPr>
                <w:sz w:val="18"/>
                <w:szCs w:val="18"/>
                <w:lang w:val="fr-FR" w:eastAsia="ja-JP"/>
              </w:rPr>
              <w:t>Plage des gains d</w:t>
            </w:r>
            <w:r w:rsidR="001F6A0D" w:rsidRPr="00075DC8">
              <w:rPr>
                <w:sz w:val="18"/>
                <w:szCs w:val="18"/>
                <w:lang w:val="fr-FR" w:eastAsia="ja-JP"/>
              </w:rPr>
              <w:t>'</w:t>
            </w:r>
            <w:r w:rsidRPr="00075DC8">
              <w:rPr>
                <w:sz w:val="18"/>
                <w:szCs w:val="18"/>
                <w:lang w:val="fr-FR" w:eastAsia="ja-JP"/>
              </w:rPr>
              <w:t>antenne (dBi)</w:t>
            </w: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385FE00C"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5122ED3F"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379" w:type="dxa"/>
            <w:tcBorders>
              <w:top w:val="single" w:sz="4" w:space="0" w:color="auto"/>
              <w:left w:val="single" w:sz="4" w:space="0" w:color="auto"/>
              <w:bottom w:val="single" w:sz="4" w:space="0" w:color="auto"/>
              <w:right w:val="single" w:sz="4" w:space="0" w:color="auto"/>
            </w:tcBorders>
            <w:hideMark/>
          </w:tcPr>
          <w:p w14:paraId="43F46F44" w14:textId="77777777" w:rsidR="00725E50" w:rsidRPr="00075DC8" w:rsidRDefault="00725E50" w:rsidP="00C50AE5">
            <w:pPr>
              <w:pStyle w:val="Tabletext"/>
              <w:jc w:val="center"/>
              <w:rPr>
                <w:color w:val="000000"/>
                <w:sz w:val="18"/>
                <w:szCs w:val="18"/>
                <w:lang w:val="fr-FR"/>
              </w:rPr>
            </w:pPr>
            <w:r w:rsidRPr="00075DC8">
              <w:rPr>
                <w:color w:val="000000"/>
                <w:sz w:val="18"/>
                <w:szCs w:val="18"/>
                <w:lang w:val="fr-FR" w:eastAsia="ja-JP"/>
              </w:rPr>
              <w:t>11…17 (yagi)</w:t>
            </w: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135D5454"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7E78DF12"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12BD75"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FB1E87"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FCEDF9C"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6530D9"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1B0FD21F"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r>
      <w:tr w:rsidR="00725E50" w:rsidRPr="00075DC8" w14:paraId="0D293D70" w14:textId="77777777" w:rsidTr="00ED4837">
        <w:trPr>
          <w:jc w:val="center"/>
        </w:trPr>
        <w:tc>
          <w:tcPr>
            <w:tcW w:w="31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FCDD4E5" w14:textId="77777777" w:rsidR="00725E50" w:rsidRPr="00075DC8" w:rsidRDefault="00725E50" w:rsidP="00C50AE5">
            <w:pPr>
              <w:pStyle w:val="Tabletext"/>
              <w:jc w:val="left"/>
              <w:rPr>
                <w:sz w:val="18"/>
                <w:szCs w:val="18"/>
                <w:lang w:val="fr-FR" w:eastAsia="ja-JP"/>
              </w:rPr>
            </w:pPr>
            <w:r w:rsidRPr="00075DC8">
              <w:rPr>
                <w:sz w:val="18"/>
                <w:szCs w:val="18"/>
                <w:lang w:val="fr-FR" w:eastAsia="ja-JP"/>
              </w:rPr>
              <w:t>Plage des p.i.r.e. (dBW)</w:t>
            </w:r>
            <w:r w:rsidRPr="00075DC8">
              <w:rPr>
                <w:sz w:val="18"/>
                <w:szCs w:val="18"/>
                <w:vertAlign w:val="superscript"/>
                <w:lang w:val="fr-FR" w:eastAsia="ja-JP"/>
              </w:rPr>
              <w:t xml:space="preserve"> </w:t>
            </w: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366D0E4A"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10C9F019"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379" w:type="dxa"/>
            <w:tcBorders>
              <w:top w:val="single" w:sz="4" w:space="0" w:color="auto"/>
              <w:left w:val="single" w:sz="4" w:space="0" w:color="auto"/>
              <w:bottom w:val="single" w:sz="4" w:space="0" w:color="auto"/>
              <w:right w:val="single" w:sz="4" w:space="0" w:color="auto"/>
            </w:tcBorders>
            <w:hideMark/>
          </w:tcPr>
          <w:p w14:paraId="2E0C9FF0" w14:textId="77777777" w:rsidR="00725E50" w:rsidRPr="00075DC8" w:rsidRDefault="00725E50" w:rsidP="00C50AE5">
            <w:pPr>
              <w:pStyle w:val="Tabletext"/>
              <w:jc w:val="center"/>
              <w:rPr>
                <w:color w:val="000000"/>
                <w:sz w:val="18"/>
                <w:szCs w:val="18"/>
                <w:lang w:val="fr-FR"/>
              </w:rPr>
            </w:pPr>
            <w:r w:rsidRPr="00075DC8">
              <w:rPr>
                <w:color w:val="000000"/>
                <w:sz w:val="18"/>
                <w:szCs w:val="18"/>
                <w:lang w:val="fr-FR" w:eastAsia="ja-JP"/>
              </w:rPr>
              <w:t>14…20</w:t>
            </w: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35607E26"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51D447FA"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DA294C"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6F1C87"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CA651AB"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97D2CF"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727EFFD3"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r>
      <w:tr w:rsidR="00725E50" w:rsidRPr="00075DC8" w14:paraId="1CC433C7" w14:textId="77777777" w:rsidTr="00ED4837">
        <w:trPr>
          <w:jc w:val="center"/>
        </w:trPr>
        <w:tc>
          <w:tcPr>
            <w:tcW w:w="31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26A7DD" w14:textId="77777777" w:rsidR="00725E50" w:rsidRPr="00075DC8" w:rsidRDefault="00725E50" w:rsidP="00C50AE5">
            <w:pPr>
              <w:pStyle w:val="Tabletext"/>
              <w:jc w:val="left"/>
              <w:rPr>
                <w:sz w:val="18"/>
                <w:szCs w:val="18"/>
                <w:lang w:val="fr-FR" w:eastAsia="ja-JP"/>
              </w:rPr>
            </w:pPr>
            <w:r w:rsidRPr="00075DC8">
              <w:rPr>
                <w:sz w:val="18"/>
                <w:szCs w:val="18"/>
                <w:lang w:val="fr-FR" w:eastAsia="ja-JP"/>
              </w:rPr>
              <w:t>Plage des densités de p.i.r.e. (dBW/MHz)</w:t>
            </w: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20028947"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1C5920EB"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379" w:type="dxa"/>
            <w:tcBorders>
              <w:top w:val="single" w:sz="4" w:space="0" w:color="auto"/>
              <w:left w:val="single" w:sz="4" w:space="0" w:color="auto"/>
              <w:bottom w:val="single" w:sz="4" w:space="0" w:color="auto"/>
              <w:right w:val="single" w:sz="4" w:space="0" w:color="auto"/>
            </w:tcBorders>
            <w:hideMark/>
          </w:tcPr>
          <w:p w14:paraId="2250A3BA" w14:textId="77777777" w:rsidR="00725E50" w:rsidRPr="00075DC8" w:rsidRDefault="00725E50" w:rsidP="00C50AE5">
            <w:pPr>
              <w:pStyle w:val="Tabletext"/>
              <w:jc w:val="center"/>
              <w:rPr>
                <w:color w:val="000000"/>
                <w:sz w:val="18"/>
                <w:szCs w:val="18"/>
                <w:lang w:val="fr-FR" w:eastAsia="ja-JP"/>
              </w:rPr>
            </w:pPr>
            <w:r w:rsidRPr="00075DC8">
              <w:rPr>
                <w:color w:val="000000"/>
                <w:sz w:val="18"/>
                <w:szCs w:val="18"/>
                <w:lang w:val="fr-FR" w:eastAsia="ja-JP"/>
              </w:rPr>
              <w:t>33…39</w:t>
            </w: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0AA5CD92"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15CC19F5"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0C7D28"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2A475D"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500A0D7"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271AB8"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0B38CAAE"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r>
      <w:tr w:rsidR="00725E50" w:rsidRPr="00075DC8" w14:paraId="7AE9AEA5" w14:textId="77777777" w:rsidTr="00ED4837">
        <w:trPr>
          <w:jc w:val="center"/>
        </w:trPr>
        <w:tc>
          <w:tcPr>
            <w:tcW w:w="31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032678" w14:textId="77777777" w:rsidR="00725E50" w:rsidRPr="00075DC8" w:rsidRDefault="00725E50" w:rsidP="00C50AE5">
            <w:pPr>
              <w:pStyle w:val="Tabletext"/>
              <w:jc w:val="left"/>
              <w:rPr>
                <w:sz w:val="18"/>
                <w:szCs w:val="18"/>
                <w:lang w:val="fr-FR" w:eastAsia="ja-JP"/>
              </w:rPr>
            </w:pPr>
            <w:r w:rsidRPr="00075DC8">
              <w:rPr>
                <w:sz w:val="18"/>
                <w:szCs w:val="18"/>
                <w:lang w:val="fr-FR" w:eastAsia="ja-JP"/>
              </w:rPr>
              <w:t xml:space="preserve">Facteur de bruit type du récepteur (dB) </w:t>
            </w: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49E7A6E1"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56F9E50C"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379" w:type="dxa"/>
            <w:tcBorders>
              <w:top w:val="single" w:sz="4" w:space="0" w:color="auto"/>
              <w:left w:val="single" w:sz="4" w:space="0" w:color="auto"/>
              <w:bottom w:val="single" w:sz="4" w:space="0" w:color="auto"/>
              <w:right w:val="single" w:sz="4" w:space="0" w:color="auto"/>
            </w:tcBorders>
            <w:hideMark/>
          </w:tcPr>
          <w:p w14:paraId="4BD4D8FF" w14:textId="77777777" w:rsidR="00725E50" w:rsidRPr="00075DC8" w:rsidRDefault="00725E50" w:rsidP="00C50AE5">
            <w:pPr>
              <w:pStyle w:val="Tabletext"/>
              <w:jc w:val="center"/>
              <w:rPr>
                <w:color w:val="000000"/>
                <w:sz w:val="18"/>
                <w:szCs w:val="18"/>
                <w:lang w:val="fr-FR" w:eastAsia="ja-JP"/>
              </w:rPr>
            </w:pPr>
            <w:r w:rsidRPr="00075DC8">
              <w:rPr>
                <w:color w:val="000000"/>
                <w:sz w:val="18"/>
                <w:szCs w:val="18"/>
                <w:lang w:val="fr-FR" w:eastAsia="ja-JP"/>
              </w:rPr>
              <w:t>4</w:t>
            </w: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3F958E19"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6779184A"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A5CC77"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A1B532"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0B0E8F9"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E67FEE"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0EC6C7BF"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r>
      <w:tr w:rsidR="00725E50" w:rsidRPr="00075DC8" w14:paraId="3E92431A" w14:textId="77777777" w:rsidTr="00ED4837">
        <w:trPr>
          <w:jc w:val="center"/>
        </w:trPr>
        <w:tc>
          <w:tcPr>
            <w:tcW w:w="31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1DDDBFC" w14:textId="77777777" w:rsidR="00725E50" w:rsidRPr="00075DC8" w:rsidRDefault="00725E50" w:rsidP="00C50AE5">
            <w:pPr>
              <w:pStyle w:val="Tabletext"/>
              <w:jc w:val="left"/>
              <w:rPr>
                <w:sz w:val="18"/>
                <w:szCs w:val="18"/>
                <w:lang w:val="fr-FR" w:eastAsia="ja-JP"/>
              </w:rPr>
            </w:pPr>
            <w:r w:rsidRPr="00075DC8">
              <w:rPr>
                <w:sz w:val="18"/>
                <w:szCs w:val="18"/>
                <w:lang w:val="fr-FR" w:eastAsia="ja-JP"/>
              </w:rPr>
              <w:t>Densité type de puissance de bruit du récepteur (=</w:t>
            </w:r>
            <w:r w:rsidRPr="00075DC8">
              <w:rPr>
                <w:i/>
                <w:iCs/>
                <w:sz w:val="18"/>
                <w:szCs w:val="18"/>
                <w:lang w:val="fr-FR" w:eastAsia="ja-JP"/>
              </w:rPr>
              <w:t>N</w:t>
            </w:r>
            <w:r w:rsidRPr="00075DC8">
              <w:rPr>
                <w:i/>
                <w:iCs/>
                <w:sz w:val="18"/>
                <w:szCs w:val="18"/>
                <w:vertAlign w:val="subscript"/>
                <w:lang w:val="fr-FR" w:eastAsia="ja-JP"/>
              </w:rPr>
              <w:t>RX</w:t>
            </w:r>
            <w:r w:rsidRPr="00075DC8">
              <w:rPr>
                <w:sz w:val="18"/>
                <w:szCs w:val="18"/>
                <w:lang w:val="fr-FR" w:eastAsia="ja-JP"/>
              </w:rPr>
              <w:t>) (dBW/MHz)</w:t>
            </w: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674D500D"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1C04E628"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379" w:type="dxa"/>
            <w:tcBorders>
              <w:top w:val="single" w:sz="4" w:space="0" w:color="auto"/>
              <w:left w:val="single" w:sz="4" w:space="0" w:color="auto"/>
              <w:bottom w:val="single" w:sz="4" w:space="0" w:color="auto"/>
              <w:right w:val="single" w:sz="4" w:space="0" w:color="auto"/>
            </w:tcBorders>
            <w:hideMark/>
          </w:tcPr>
          <w:p w14:paraId="02FE416F" w14:textId="2D3605A5" w:rsidR="00725E50" w:rsidRPr="00075DC8" w:rsidRDefault="003E7546" w:rsidP="00C50AE5">
            <w:pPr>
              <w:pStyle w:val="Tabletext"/>
              <w:jc w:val="center"/>
              <w:rPr>
                <w:color w:val="000000"/>
                <w:sz w:val="18"/>
                <w:szCs w:val="18"/>
                <w:lang w:val="fr-FR" w:eastAsia="ja-JP"/>
              </w:rPr>
            </w:pPr>
            <w:r w:rsidRPr="00075DC8">
              <w:rPr>
                <w:sz w:val="18"/>
                <w:szCs w:val="18"/>
                <w:lang w:val="fr-FR" w:eastAsia="ja-JP"/>
              </w:rPr>
              <w:t>−</w:t>
            </w:r>
            <w:r w:rsidR="00725E50" w:rsidRPr="00075DC8">
              <w:rPr>
                <w:sz w:val="18"/>
                <w:szCs w:val="18"/>
                <w:lang w:val="fr-FR" w:eastAsia="ja-JP"/>
              </w:rPr>
              <w:t>140</w:t>
            </w:r>
            <w:r w:rsidR="00725E50" w:rsidRPr="00075DC8">
              <w:rPr>
                <w:sz w:val="18"/>
                <w:szCs w:val="18"/>
                <w:vertAlign w:val="superscript"/>
                <w:lang w:val="fr-FR"/>
              </w:rPr>
              <w:t>(1)</w:t>
            </w: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6F20FBF0"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5F6E245E"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61692"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4CB283"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9690C67"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0DA9D3"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6D38FEC2"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r>
      <w:tr w:rsidR="00725E50" w:rsidRPr="00075DC8" w14:paraId="126BF17C" w14:textId="77777777" w:rsidTr="00ED4837">
        <w:trPr>
          <w:jc w:val="center"/>
        </w:trPr>
        <w:tc>
          <w:tcPr>
            <w:tcW w:w="31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250235" w14:textId="0159C467" w:rsidR="00725E50" w:rsidRPr="00075DC8" w:rsidRDefault="00725E50" w:rsidP="00C50AE5">
            <w:pPr>
              <w:pStyle w:val="Tabletext"/>
              <w:jc w:val="left"/>
              <w:rPr>
                <w:sz w:val="18"/>
                <w:szCs w:val="18"/>
                <w:lang w:val="fr-FR" w:eastAsia="ja-JP"/>
              </w:rPr>
            </w:pPr>
            <w:r w:rsidRPr="00075DC8">
              <w:rPr>
                <w:sz w:val="18"/>
                <w:szCs w:val="18"/>
                <w:lang w:val="fr-FR" w:eastAsia="ja-JP"/>
              </w:rPr>
              <w:t>Niveau normalisé à l</w:t>
            </w:r>
            <w:r w:rsidR="001F6A0D" w:rsidRPr="00075DC8">
              <w:rPr>
                <w:sz w:val="18"/>
                <w:szCs w:val="18"/>
                <w:lang w:val="fr-FR" w:eastAsia="ja-JP"/>
              </w:rPr>
              <w:t>'</w:t>
            </w:r>
            <w:r w:rsidRPr="00075DC8">
              <w:rPr>
                <w:sz w:val="18"/>
                <w:szCs w:val="18"/>
                <w:lang w:val="fr-FR" w:eastAsia="ja-JP"/>
              </w:rPr>
              <w:t>entrée du récepteur pour un taux BER de 1 × 10</w:t>
            </w:r>
            <w:r w:rsidR="00E077D3" w:rsidRPr="00075DC8">
              <w:rPr>
                <w:sz w:val="18"/>
                <w:szCs w:val="18"/>
                <w:vertAlign w:val="superscript"/>
                <w:lang w:val="fr-FR" w:eastAsia="ja-JP"/>
              </w:rPr>
              <w:t>−</w:t>
            </w:r>
            <w:r w:rsidRPr="00075DC8">
              <w:rPr>
                <w:sz w:val="18"/>
                <w:szCs w:val="18"/>
                <w:vertAlign w:val="superscript"/>
                <w:lang w:val="fr-FR" w:eastAsia="ja-JP"/>
              </w:rPr>
              <w:t>6</w:t>
            </w:r>
            <w:r w:rsidRPr="00075DC8">
              <w:rPr>
                <w:sz w:val="18"/>
                <w:szCs w:val="18"/>
                <w:lang w:val="fr-FR" w:eastAsia="ja-JP"/>
              </w:rPr>
              <w:t xml:space="preserve"> (dBW/MHz) </w:t>
            </w: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02D262DB"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5C27167E"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379" w:type="dxa"/>
            <w:tcBorders>
              <w:top w:val="single" w:sz="4" w:space="0" w:color="auto"/>
              <w:left w:val="single" w:sz="4" w:space="0" w:color="auto"/>
              <w:bottom w:val="single" w:sz="4" w:space="0" w:color="auto"/>
              <w:right w:val="single" w:sz="4" w:space="0" w:color="auto"/>
            </w:tcBorders>
            <w:hideMark/>
          </w:tcPr>
          <w:p w14:paraId="6296BCAF" w14:textId="0C835101" w:rsidR="00725E50" w:rsidRPr="00075DC8" w:rsidRDefault="003E7546" w:rsidP="00C50AE5">
            <w:pPr>
              <w:pStyle w:val="Tabletext"/>
              <w:jc w:val="center"/>
              <w:rPr>
                <w:color w:val="000000"/>
                <w:sz w:val="18"/>
                <w:szCs w:val="18"/>
                <w:lang w:val="fr-FR" w:eastAsia="ja-JP"/>
              </w:rPr>
            </w:pPr>
            <w:r w:rsidRPr="00075DC8">
              <w:rPr>
                <w:sz w:val="18"/>
                <w:szCs w:val="18"/>
                <w:lang w:val="fr-FR" w:eastAsia="ja-JP"/>
              </w:rPr>
              <w:t>−</w:t>
            </w:r>
            <w:r w:rsidR="00725E50" w:rsidRPr="00075DC8">
              <w:rPr>
                <w:sz w:val="18"/>
                <w:szCs w:val="18"/>
                <w:lang w:val="fr-FR" w:eastAsia="ja-JP"/>
              </w:rPr>
              <w:t>121</w:t>
            </w:r>
            <w:r w:rsidR="00725E50" w:rsidRPr="00075DC8">
              <w:rPr>
                <w:sz w:val="18"/>
                <w:szCs w:val="18"/>
                <w:vertAlign w:val="superscript"/>
                <w:lang w:val="fr-FR"/>
              </w:rPr>
              <w:t>(</w:t>
            </w:r>
            <w:r w:rsidR="00725E50" w:rsidRPr="00075DC8">
              <w:rPr>
                <w:sz w:val="18"/>
                <w:szCs w:val="18"/>
                <w:vertAlign w:val="superscript"/>
                <w:lang w:val="fr-FR" w:eastAsia="ja-JP"/>
              </w:rPr>
              <w:t>2</w:t>
            </w:r>
            <w:r w:rsidR="00725E50" w:rsidRPr="00075DC8">
              <w:rPr>
                <w:sz w:val="18"/>
                <w:szCs w:val="18"/>
                <w:vertAlign w:val="superscript"/>
                <w:lang w:val="fr-FR"/>
              </w:rPr>
              <w:t>)</w:t>
            </w: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4BD17F68"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3F119FF5"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32586A"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76AF42"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42E14CC"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E0BB30"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067A0705" w14:textId="77777777" w:rsidR="00725E50" w:rsidRPr="00075DC8" w:rsidRDefault="00725E50" w:rsidP="00C50AE5">
            <w:pPr>
              <w:tabs>
                <w:tab w:val="clear" w:pos="794"/>
                <w:tab w:val="clear" w:pos="1191"/>
                <w:tab w:val="clear" w:pos="1588"/>
                <w:tab w:val="clear" w:pos="1985"/>
              </w:tabs>
              <w:overflowPunct/>
              <w:autoSpaceDE/>
              <w:autoSpaceDN/>
              <w:adjustRightInd/>
              <w:spacing w:before="40" w:after="40"/>
              <w:jc w:val="left"/>
              <w:rPr>
                <w:sz w:val="18"/>
                <w:szCs w:val="18"/>
                <w:lang w:val="fr-FR" w:eastAsia="ja-JP"/>
              </w:rPr>
            </w:pPr>
          </w:p>
        </w:tc>
      </w:tr>
      <w:tr w:rsidR="00725E50" w:rsidRPr="00075DC8" w14:paraId="4301C94D" w14:textId="77777777" w:rsidTr="00ED4837">
        <w:trPr>
          <w:jc w:val="center"/>
        </w:trPr>
        <w:tc>
          <w:tcPr>
            <w:tcW w:w="31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1BCB08" w14:textId="77777777" w:rsidR="00725E50" w:rsidRPr="00075DC8" w:rsidRDefault="00725E50" w:rsidP="00C50AE5">
            <w:pPr>
              <w:pStyle w:val="Tabletext"/>
              <w:jc w:val="left"/>
              <w:rPr>
                <w:b/>
                <w:sz w:val="18"/>
                <w:szCs w:val="18"/>
                <w:lang w:val="fr-FR" w:eastAsia="ja-JP"/>
              </w:rPr>
            </w:pPr>
            <w:r w:rsidRPr="00075DC8">
              <w:rPr>
                <w:sz w:val="18"/>
                <w:szCs w:val="18"/>
                <w:lang w:val="fr-FR" w:eastAsia="ja-JP"/>
              </w:rPr>
              <w:t>Densité nominale de puissance de brouillage de longue durée</w:t>
            </w:r>
            <w:r w:rsidRPr="00075DC8">
              <w:rPr>
                <w:sz w:val="18"/>
                <w:szCs w:val="18"/>
                <w:lang w:val="fr-FR"/>
              </w:rPr>
              <w:t xml:space="preserve"> (dBW/MHz)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F48D976" w14:textId="77777777" w:rsidR="00725E50" w:rsidRPr="00075DC8" w:rsidRDefault="00725E50" w:rsidP="00C50AE5">
            <w:pPr>
              <w:pStyle w:val="Tabletext"/>
              <w:jc w:val="center"/>
              <w:rPr>
                <w:sz w:val="18"/>
                <w:szCs w:val="18"/>
                <w:lang w:val="fr-FR" w:eastAsia="ja-JP"/>
              </w:rPr>
            </w:pPr>
            <w:r w:rsidRPr="00075DC8">
              <w:rPr>
                <w:i/>
                <w:iCs/>
                <w:sz w:val="18"/>
                <w:szCs w:val="18"/>
                <w:lang w:val="fr-FR" w:eastAsia="ja-JP"/>
              </w:rPr>
              <w:t>N</w:t>
            </w:r>
            <w:r w:rsidRPr="00075DC8">
              <w:rPr>
                <w:i/>
                <w:iCs/>
                <w:sz w:val="18"/>
                <w:szCs w:val="18"/>
                <w:vertAlign w:val="subscript"/>
                <w:lang w:val="fr-FR"/>
              </w:rPr>
              <w:t>RX</w:t>
            </w:r>
            <w:r w:rsidRPr="00075DC8">
              <w:rPr>
                <w:sz w:val="18"/>
                <w:szCs w:val="18"/>
                <w:lang w:val="fr-FR"/>
              </w:rPr>
              <w:t xml:space="preserve"> +</w:t>
            </w:r>
            <w:r w:rsidRPr="00075DC8">
              <w:rPr>
                <w:i/>
                <w:sz w:val="18"/>
                <w:szCs w:val="18"/>
                <w:lang w:val="fr-FR"/>
              </w:rPr>
              <w:t xml:space="preserve"> I</w:t>
            </w:r>
            <w:r w:rsidRPr="00075DC8">
              <w:rPr>
                <w:iCs/>
                <w:sz w:val="18"/>
                <w:szCs w:val="18"/>
                <w:lang w:val="fr-FR"/>
              </w:rPr>
              <w:t>/</w:t>
            </w:r>
            <w:r w:rsidRPr="00075DC8">
              <w:rPr>
                <w:i/>
                <w:sz w:val="18"/>
                <w:szCs w:val="18"/>
                <w:lang w:val="fr-FR"/>
              </w:rPr>
              <w:t>N</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8CB3864" w14:textId="77777777" w:rsidR="00725E50" w:rsidRPr="00075DC8" w:rsidRDefault="00725E50" w:rsidP="00C50AE5">
            <w:pPr>
              <w:pStyle w:val="Tabletext"/>
              <w:jc w:val="center"/>
              <w:rPr>
                <w:sz w:val="18"/>
                <w:szCs w:val="18"/>
                <w:lang w:val="fr-FR" w:eastAsia="ja-JP"/>
              </w:rPr>
            </w:pPr>
            <w:r w:rsidRPr="00075DC8">
              <w:rPr>
                <w:i/>
                <w:iCs/>
                <w:sz w:val="18"/>
                <w:szCs w:val="18"/>
                <w:lang w:val="fr-FR" w:eastAsia="ja-JP"/>
              </w:rPr>
              <w:t>N</w:t>
            </w:r>
            <w:r w:rsidRPr="00075DC8">
              <w:rPr>
                <w:i/>
                <w:iCs/>
                <w:sz w:val="18"/>
                <w:szCs w:val="18"/>
                <w:vertAlign w:val="subscript"/>
                <w:lang w:val="fr-FR"/>
              </w:rPr>
              <w:t>RX</w:t>
            </w:r>
            <w:r w:rsidRPr="00075DC8">
              <w:rPr>
                <w:sz w:val="18"/>
                <w:szCs w:val="18"/>
                <w:lang w:val="fr-FR"/>
              </w:rPr>
              <w:t xml:space="preserve"> +</w:t>
            </w:r>
            <w:r w:rsidRPr="00075DC8">
              <w:rPr>
                <w:i/>
                <w:sz w:val="18"/>
                <w:szCs w:val="18"/>
                <w:lang w:val="fr-FR"/>
              </w:rPr>
              <w:t xml:space="preserve"> I</w:t>
            </w:r>
            <w:r w:rsidRPr="00075DC8">
              <w:rPr>
                <w:iCs/>
                <w:sz w:val="18"/>
                <w:szCs w:val="18"/>
                <w:lang w:val="fr-FR"/>
              </w:rPr>
              <w:t>/</w:t>
            </w:r>
            <w:r w:rsidRPr="00075DC8">
              <w:rPr>
                <w:i/>
                <w:sz w:val="18"/>
                <w:szCs w:val="18"/>
                <w:lang w:val="fr-FR"/>
              </w:rPr>
              <w:t>N</w:t>
            </w:r>
          </w:p>
        </w:tc>
        <w:tc>
          <w:tcPr>
            <w:tcW w:w="1379" w:type="dxa"/>
            <w:tcBorders>
              <w:top w:val="single" w:sz="4" w:space="0" w:color="auto"/>
              <w:left w:val="single" w:sz="4" w:space="0" w:color="auto"/>
              <w:bottom w:val="single" w:sz="4" w:space="0" w:color="auto"/>
              <w:right w:val="single" w:sz="4" w:space="0" w:color="auto"/>
            </w:tcBorders>
            <w:vAlign w:val="center"/>
            <w:hideMark/>
          </w:tcPr>
          <w:p w14:paraId="273F3AD5" w14:textId="164D6401" w:rsidR="00725E50" w:rsidRPr="00075DC8" w:rsidRDefault="003E7546" w:rsidP="00C50AE5">
            <w:pPr>
              <w:pStyle w:val="Tabletext"/>
              <w:jc w:val="center"/>
              <w:rPr>
                <w:color w:val="000000"/>
                <w:sz w:val="18"/>
                <w:szCs w:val="18"/>
                <w:lang w:val="fr-FR" w:eastAsia="ja-JP"/>
              </w:rPr>
            </w:pPr>
            <w:r w:rsidRPr="00075DC8">
              <w:rPr>
                <w:sz w:val="18"/>
                <w:szCs w:val="18"/>
                <w:lang w:val="fr-FR" w:eastAsia="ja-JP"/>
              </w:rPr>
              <w:t>−</w:t>
            </w:r>
            <w:r w:rsidR="00725E50" w:rsidRPr="00075DC8">
              <w:rPr>
                <w:sz w:val="18"/>
                <w:szCs w:val="18"/>
                <w:lang w:val="fr-FR" w:eastAsia="ja-JP"/>
              </w:rPr>
              <w:t xml:space="preserve">140 </w:t>
            </w:r>
            <w:r w:rsidR="00725E50" w:rsidRPr="00075DC8">
              <w:rPr>
                <w:color w:val="000000"/>
                <w:sz w:val="18"/>
                <w:szCs w:val="18"/>
                <w:lang w:val="fr-FR" w:eastAsia="ja-JP"/>
              </w:rPr>
              <w:t xml:space="preserve">+ </w:t>
            </w:r>
            <w:r w:rsidR="00725E50" w:rsidRPr="00075DC8">
              <w:rPr>
                <w:i/>
                <w:iCs/>
                <w:color w:val="000000"/>
                <w:sz w:val="18"/>
                <w:szCs w:val="18"/>
                <w:lang w:val="fr-FR" w:eastAsia="ja-JP"/>
              </w:rPr>
              <w:t>I</w:t>
            </w:r>
            <w:r w:rsidR="00725E50" w:rsidRPr="00075DC8">
              <w:rPr>
                <w:iCs/>
                <w:color w:val="000000"/>
                <w:sz w:val="18"/>
                <w:szCs w:val="18"/>
                <w:lang w:val="fr-FR" w:eastAsia="ja-JP"/>
              </w:rPr>
              <w:t>/</w:t>
            </w:r>
            <w:r w:rsidR="00725E50" w:rsidRPr="00075DC8">
              <w:rPr>
                <w:i/>
                <w:iCs/>
                <w:color w:val="000000"/>
                <w:sz w:val="18"/>
                <w:szCs w:val="18"/>
                <w:lang w:val="fr-FR" w:eastAsia="ja-JP"/>
              </w:rPr>
              <w:t>N</w:t>
            </w:r>
            <w:r w:rsidR="00725E50" w:rsidRPr="00075DC8">
              <w:rPr>
                <w:sz w:val="18"/>
                <w:szCs w:val="18"/>
                <w:vertAlign w:val="superscript"/>
                <w:lang w:val="fr-FR"/>
              </w:rPr>
              <w:t>(</w:t>
            </w:r>
            <w:r w:rsidR="00725E50" w:rsidRPr="00075DC8">
              <w:rPr>
                <w:sz w:val="18"/>
                <w:szCs w:val="18"/>
                <w:vertAlign w:val="superscript"/>
                <w:lang w:val="fr-FR" w:eastAsia="ja-JP"/>
              </w:rPr>
              <w:t>3</w:t>
            </w:r>
            <w:r w:rsidR="00725E50" w:rsidRPr="00075DC8">
              <w:rPr>
                <w:sz w:val="18"/>
                <w:szCs w:val="18"/>
                <w:vertAlign w:val="superscript"/>
                <w:lang w:val="fr-FR"/>
              </w:rPr>
              <w:t>)</w:t>
            </w:r>
          </w:p>
        </w:tc>
        <w:tc>
          <w:tcPr>
            <w:tcW w:w="950" w:type="dxa"/>
            <w:tcBorders>
              <w:top w:val="single" w:sz="4" w:space="0" w:color="auto"/>
              <w:left w:val="single" w:sz="4" w:space="0" w:color="auto"/>
              <w:bottom w:val="single" w:sz="4" w:space="0" w:color="auto"/>
              <w:right w:val="single" w:sz="4" w:space="0" w:color="auto"/>
            </w:tcBorders>
            <w:vAlign w:val="center"/>
            <w:hideMark/>
          </w:tcPr>
          <w:p w14:paraId="3FC0C370" w14:textId="77777777" w:rsidR="00725E50" w:rsidRPr="00075DC8" w:rsidRDefault="00725E50" w:rsidP="00C50AE5">
            <w:pPr>
              <w:pStyle w:val="Tabletext"/>
              <w:jc w:val="center"/>
              <w:rPr>
                <w:sz w:val="18"/>
                <w:szCs w:val="18"/>
                <w:lang w:val="fr-FR" w:eastAsia="ja-JP"/>
              </w:rPr>
            </w:pPr>
            <w:r w:rsidRPr="00075DC8">
              <w:rPr>
                <w:i/>
                <w:iCs/>
                <w:sz w:val="18"/>
                <w:szCs w:val="18"/>
                <w:lang w:val="fr-FR" w:eastAsia="ja-JP"/>
              </w:rPr>
              <w:t>N</w:t>
            </w:r>
            <w:r w:rsidRPr="00075DC8">
              <w:rPr>
                <w:i/>
                <w:iCs/>
                <w:sz w:val="18"/>
                <w:szCs w:val="18"/>
                <w:vertAlign w:val="subscript"/>
                <w:lang w:val="fr-FR"/>
              </w:rPr>
              <w:t>RX</w:t>
            </w:r>
            <w:r w:rsidRPr="00075DC8">
              <w:rPr>
                <w:sz w:val="18"/>
                <w:szCs w:val="18"/>
                <w:lang w:val="fr-FR"/>
              </w:rPr>
              <w:t xml:space="preserve"> +</w:t>
            </w:r>
            <w:r w:rsidRPr="00075DC8">
              <w:rPr>
                <w:i/>
                <w:sz w:val="18"/>
                <w:szCs w:val="18"/>
                <w:lang w:val="fr-FR"/>
              </w:rPr>
              <w:t xml:space="preserve"> I</w:t>
            </w:r>
            <w:r w:rsidRPr="00075DC8">
              <w:rPr>
                <w:iCs/>
                <w:sz w:val="18"/>
                <w:szCs w:val="18"/>
                <w:lang w:val="fr-FR"/>
              </w:rPr>
              <w:t>/</w:t>
            </w:r>
            <w:r w:rsidRPr="00075DC8">
              <w:rPr>
                <w:i/>
                <w:sz w:val="18"/>
                <w:szCs w:val="18"/>
                <w:lang w:val="fr-FR"/>
              </w:rPr>
              <w:t>N</w:t>
            </w:r>
          </w:p>
        </w:tc>
        <w:tc>
          <w:tcPr>
            <w:tcW w:w="950" w:type="dxa"/>
            <w:tcBorders>
              <w:top w:val="single" w:sz="4" w:space="0" w:color="auto"/>
              <w:left w:val="single" w:sz="4" w:space="0" w:color="auto"/>
              <w:bottom w:val="single" w:sz="4" w:space="0" w:color="auto"/>
              <w:right w:val="single" w:sz="4" w:space="0" w:color="auto"/>
            </w:tcBorders>
            <w:vAlign w:val="center"/>
            <w:hideMark/>
          </w:tcPr>
          <w:p w14:paraId="61167328" w14:textId="77777777" w:rsidR="00725E50" w:rsidRPr="00075DC8" w:rsidRDefault="00725E50" w:rsidP="00C50AE5">
            <w:pPr>
              <w:pStyle w:val="Tabletext"/>
              <w:jc w:val="center"/>
              <w:rPr>
                <w:sz w:val="18"/>
                <w:szCs w:val="18"/>
                <w:lang w:val="fr-FR" w:eastAsia="ja-JP"/>
              </w:rPr>
            </w:pPr>
            <w:r w:rsidRPr="00075DC8">
              <w:rPr>
                <w:i/>
                <w:iCs/>
                <w:sz w:val="18"/>
                <w:szCs w:val="18"/>
                <w:lang w:val="fr-FR" w:eastAsia="ja-JP"/>
              </w:rPr>
              <w:t>N</w:t>
            </w:r>
            <w:r w:rsidRPr="00075DC8">
              <w:rPr>
                <w:i/>
                <w:iCs/>
                <w:sz w:val="18"/>
                <w:szCs w:val="18"/>
                <w:vertAlign w:val="subscript"/>
                <w:lang w:val="fr-FR"/>
              </w:rPr>
              <w:t>RX</w:t>
            </w:r>
            <w:r w:rsidRPr="00075DC8">
              <w:rPr>
                <w:sz w:val="18"/>
                <w:szCs w:val="18"/>
                <w:lang w:val="fr-FR"/>
              </w:rPr>
              <w:t xml:space="preserve"> +</w:t>
            </w:r>
            <w:r w:rsidRPr="00075DC8">
              <w:rPr>
                <w:i/>
                <w:sz w:val="18"/>
                <w:szCs w:val="18"/>
                <w:lang w:val="fr-FR"/>
              </w:rPr>
              <w:t xml:space="preserve"> I</w:t>
            </w:r>
            <w:r w:rsidRPr="00075DC8">
              <w:rPr>
                <w:iCs/>
                <w:sz w:val="18"/>
                <w:szCs w:val="18"/>
                <w:lang w:val="fr-FR"/>
              </w:rPr>
              <w:t>/</w:t>
            </w:r>
            <w:r w:rsidRPr="00075DC8">
              <w:rPr>
                <w:i/>
                <w:sz w:val="18"/>
                <w:szCs w:val="18"/>
                <w:lang w:val="fr-FR"/>
              </w:rPr>
              <w:t>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4CACB5" w14:textId="77777777" w:rsidR="00725E50" w:rsidRPr="00075DC8" w:rsidRDefault="00725E50" w:rsidP="00C50AE5">
            <w:pPr>
              <w:pStyle w:val="Tabletext"/>
              <w:jc w:val="center"/>
              <w:rPr>
                <w:sz w:val="18"/>
                <w:szCs w:val="18"/>
                <w:lang w:val="fr-FR" w:eastAsia="ja-JP"/>
              </w:rPr>
            </w:pPr>
            <w:r w:rsidRPr="00075DC8">
              <w:rPr>
                <w:i/>
                <w:iCs/>
                <w:sz w:val="18"/>
                <w:szCs w:val="18"/>
                <w:lang w:val="fr-FR" w:eastAsia="ja-JP"/>
              </w:rPr>
              <w:t>N</w:t>
            </w:r>
            <w:r w:rsidRPr="00075DC8">
              <w:rPr>
                <w:i/>
                <w:iCs/>
                <w:sz w:val="18"/>
                <w:szCs w:val="18"/>
                <w:vertAlign w:val="subscript"/>
                <w:lang w:val="fr-FR"/>
              </w:rPr>
              <w:t>RX</w:t>
            </w:r>
            <w:r w:rsidRPr="00075DC8">
              <w:rPr>
                <w:sz w:val="18"/>
                <w:szCs w:val="18"/>
                <w:lang w:val="fr-FR"/>
              </w:rPr>
              <w:t xml:space="preserve"> +</w:t>
            </w:r>
            <w:r w:rsidRPr="00075DC8">
              <w:rPr>
                <w:i/>
                <w:sz w:val="18"/>
                <w:szCs w:val="18"/>
                <w:lang w:val="fr-FR"/>
              </w:rPr>
              <w:t xml:space="preserve"> I</w:t>
            </w:r>
            <w:r w:rsidRPr="00075DC8">
              <w:rPr>
                <w:iCs/>
                <w:sz w:val="18"/>
                <w:szCs w:val="18"/>
                <w:lang w:val="fr-FR"/>
              </w:rPr>
              <w:t>/</w:t>
            </w:r>
            <w:r w:rsidRPr="00075DC8">
              <w:rPr>
                <w:i/>
                <w:sz w:val="18"/>
                <w:szCs w:val="18"/>
                <w:lang w:val="fr-FR"/>
              </w:rPr>
              <w:t>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8A7A2A" w14:textId="77777777" w:rsidR="00725E50" w:rsidRPr="00075DC8" w:rsidRDefault="00725E50" w:rsidP="00C50AE5">
            <w:pPr>
              <w:pStyle w:val="Tabletext"/>
              <w:jc w:val="center"/>
              <w:rPr>
                <w:sz w:val="18"/>
                <w:szCs w:val="18"/>
                <w:lang w:val="fr-FR" w:eastAsia="ja-JP"/>
              </w:rPr>
            </w:pPr>
            <w:r w:rsidRPr="00075DC8">
              <w:rPr>
                <w:i/>
                <w:iCs/>
                <w:sz w:val="18"/>
                <w:szCs w:val="18"/>
                <w:lang w:val="fr-FR" w:eastAsia="ja-JP"/>
              </w:rPr>
              <w:t>N</w:t>
            </w:r>
            <w:r w:rsidRPr="00075DC8">
              <w:rPr>
                <w:i/>
                <w:iCs/>
                <w:sz w:val="18"/>
                <w:szCs w:val="18"/>
                <w:vertAlign w:val="subscript"/>
                <w:lang w:val="fr-FR"/>
              </w:rPr>
              <w:t>RX</w:t>
            </w:r>
            <w:r w:rsidRPr="00075DC8">
              <w:rPr>
                <w:sz w:val="18"/>
                <w:szCs w:val="18"/>
                <w:lang w:val="fr-FR"/>
              </w:rPr>
              <w:t xml:space="preserve"> +</w:t>
            </w:r>
            <w:r w:rsidRPr="00075DC8">
              <w:rPr>
                <w:i/>
                <w:sz w:val="18"/>
                <w:szCs w:val="18"/>
                <w:lang w:val="fr-FR"/>
              </w:rPr>
              <w:t xml:space="preserve"> I</w:t>
            </w:r>
            <w:r w:rsidRPr="00075DC8">
              <w:rPr>
                <w:iCs/>
                <w:sz w:val="18"/>
                <w:szCs w:val="18"/>
                <w:lang w:val="fr-FR"/>
              </w:rPr>
              <w:t>/</w:t>
            </w:r>
            <w:r w:rsidRPr="00075DC8">
              <w:rPr>
                <w:i/>
                <w:sz w:val="18"/>
                <w:szCs w:val="18"/>
                <w:lang w:val="fr-FR"/>
              </w:rPr>
              <w:t>N</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07D7201" w14:textId="77777777" w:rsidR="00725E50" w:rsidRPr="00075DC8" w:rsidRDefault="00725E50" w:rsidP="00C50AE5">
            <w:pPr>
              <w:pStyle w:val="Tabletext"/>
              <w:jc w:val="center"/>
              <w:rPr>
                <w:sz w:val="18"/>
                <w:szCs w:val="18"/>
                <w:lang w:val="fr-FR" w:eastAsia="ja-JP"/>
              </w:rPr>
            </w:pPr>
            <w:r w:rsidRPr="00075DC8">
              <w:rPr>
                <w:i/>
                <w:iCs/>
                <w:sz w:val="18"/>
                <w:szCs w:val="18"/>
                <w:lang w:val="fr-FR" w:eastAsia="ja-JP"/>
              </w:rPr>
              <w:t>N</w:t>
            </w:r>
            <w:r w:rsidRPr="00075DC8">
              <w:rPr>
                <w:i/>
                <w:iCs/>
                <w:sz w:val="18"/>
                <w:szCs w:val="18"/>
                <w:vertAlign w:val="subscript"/>
                <w:lang w:val="fr-FR"/>
              </w:rPr>
              <w:t>RX</w:t>
            </w:r>
            <w:r w:rsidRPr="00075DC8">
              <w:rPr>
                <w:sz w:val="18"/>
                <w:szCs w:val="18"/>
                <w:lang w:val="fr-FR"/>
              </w:rPr>
              <w:t xml:space="preserve"> +</w:t>
            </w:r>
            <w:r w:rsidRPr="00075DC8">
              <w:rPr>
                <w:i/>
                <w:sz w:val="18"/>
                <w:szCs w:val="18"/>
                <w:lang w:val="fr-FR"/>
              </w:rPr>
              <w:t xml:space="preserve"> I</w:t>
            </w:r>
            <w:r w:rsidRPr="00075DC8">
              <w:rPr>
                <w:iCs/>
                <w:sz w:val="18"/>
                <w:szCs w:val="18"/>
                <w:lang w:val="fr-FR"/>
              </w:rPr>
              <w:t>/</w:t>
            </w:r>
            <w:r w:rsidRPr="00075DC8">
              <w:rPr>
                <w:i/>
                <w:sz w:val="18"/>
                <w:szCs w:val="18"/>
                <w:lang w:val="fr-FR"/>
              </w:rPr>
              <w:t>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8B548C" w14:textId="77777777" w:rsidR="00725E50" w:rsidRPr="00075DC8" w:rsidRDefault="00725E50" w:rsidP="00C50AE5">
            <w:pPr>
              <w:pStyle w:val="Tabletext"/>
              <w:jc w:val="center"/>
              <w:rPr>
                <w:sz w:val="18"/>
                <w:szCs w:val="18"/>
                <w:lang w:val="fr-FR" w:eastAsia="ja-JP"/>
              </w:rPr>
            </w:pPr>
            <w:r w:rsidRPr="00075DC8">
              <w:rPr>
                <w:i/>
                <w:iCs/>
                <w:sz w:val="18"/>
                <w:szCs w:val="18"/>
                <w:lang w:val="fr-FR" w:eastAsia="ja-JP"/>
              </w:rPr>
              <w:t>N</w:t>
            </w:r>
            <w:r w:rsidRPr="00075DC8">
              <w:rPr>
                <w:i/>
                <w:iCs/>
                <w:sz w:val="18"/>
                <w:szCs w:val="18"/>
                <w:vertAlign w:val="subscript"/>
                <w:lang w:val="fr-FR"/>
              </w:rPr>
              <w:t>RX</w:t>
            </w:r>
            <w:r w:rsidRPr="00075DC8">
              <w:rPr>
                <w:sz w:val="18"/>
                <w:szCs w:val="18"/>
                <w:lang w:val="fr-FR"/>
              </w:rPr>
              <w:t xml:space="preserve"> +</w:t>
            </w:r>
            <w:r w:rsidRPr="00075DC8">
              <w:rPr>
                <w:i/>
                <w:sz w:val="18"/>
                <w:szCs w:val="18"/>
                <w:lang w:val="fr-FR"/>
              </w:rPr>
              <w:t xml:space="preserve"> I</w:t>
            </w:r>
            <w:r w:rsidRPr="00075DC8">
              <w:rPr>
                <w:iCs/>
                <w:sz w:val="18"/>
                <w:szCs w:val="18"/>
                <w:lang w:val="fr-FR"/>
              </w:rPr>
              <w:t>/</w:t>
            </w:r>
            <w:r w:rsidRPr="00075DC8">
              <w:rPr>
                <w:i/>
                <w:sz w:val="18"/>
                <w:szCs w:val="18"/>
                <w:lang w:val="fr-FR"/>
              </w:rPr>
              <w:t>N</w:t>
            </w:r>
          </w:p>
        </w:tc>
        <w:tc>
          <w:tcPr>
            <w:tcW w:w="1428" w:type="dxa"/>
            <w:tcBorders>
              <w:top w:val="single" w:sz="4" w:space="0" w:color="auto"/>
              <w:left w:val="single" w:sz="4" w:space="0" w:color="auto"/>
              <w:bottom w:val="single" w:sz="4" w:space="0" w:color="auto"/>
              <w:right w:val="single" w:sz="4" w:space="0" w:color="auto"/>
            </w:tcBorders>
            <w:vAlign w:val="center"/>
            <w:hideMark/>
          </w:tcPr>
          <w:p w14:paraId="173763F1" w14:textId="77777777" w:rsidR="00725E50" w:rsidRPr="00075DC8" w:rsidRDefault="00725E50" w:rsidP="00C50AE5">
            <w:pPr>
              <w:pStyle w:val="Tabletext"/>
              <w:jc w:val="center"/>
              <w:rPr>
                <w:sz w:val="18"/>
                <w:szCs w:val="18"/>
                <w:lang w:val="fr-FR" w:eastAsia="ja-JP"/>
              </w:rPr>
            </w:pPr>
            <w:r w:rsidRPr="00075DC8">
              <w:rPr>
                <w:i/>
                <w:iCs/>
                <w:sz w:val="18"/>
                <w:szCs w:val="18"/>
                <w:lang w:val="fr-FR" w:eastAsia="ja-JP"/>
              </w:rPr>
              <w:t>N</w:t>
            </w:r>
            <w:r w:rsidRPr="00075DC8">
              <w:rPr>
                <w:i/>
                <w:iCs/>
                <w:sz w:val="18"/>
                <w:szCs w:val="18"/>
                <w:vertAlign w:val="subscript"/>
                <w:lang w:val="fr-FR"/>
              </w:rPr>
              <w:t>RX</w:t>
            </w:r>
            <w:r w:rsidRPr="00075DC8">
              <w:rPr>
                <w:sz w:val="18"/>
                <w:szCs w:val="18"/>
                <w:lang w:val="fr-FR"/>
              </w:rPr>
              <w:t xml:space="preserve"> +</w:t>
            </w:r>
            <w:r w:rsidRPr="00075DC8">
              <w:rPr>
                <w:i/>
                <w:sz w:val="18"/>
                <w:szCs w:val="18"/>
                <w:lang w:val="fr-FR"/>
              </w:rPr>
              <w:t xml:space="preserve"> I</w:t>
            </w:r>
            <w:r w:rsidRPr="00075DC8">
              <w:rPr>
                <w:iCs/>
                <w:sz w:val="18"/>
                <w:szCs w:val="18"/>
                <w:lang w:val="fr-FR"/>
              </w:rPr>
              <w:t>/</w:t>
            </w:r>
            <w:r w:rsidRPr="00075DC8">
              <w:rPr>
                <w:i/>
                <w:sz w:val="18"/>
                <w:szCs w:val="18"/>
                <w:lang w:val="fr-FR"/>
              </w:rPr>
              <w:t>N</w:t>
            </w:r>
          </w:p>
        </w:tc>
      </w:tr>
      <w:tr w:rsidR="00725E50" w:rsidRPr="00075DC8" w14:paraId="3F7698D7" w14:textId="77777777" w:rsidTr="00ED4837">
        <w:trPr>
          <w:jc w:val="center"/>
        </w:trPr>
        <w:tc>
          <w:tcPr>
            <w:tcW w:w="14459" w:type="dxa"/>
            <w:gridSpan w:val="11"/>
            <w:tcBorders>
              <w:top w:val="single" w:sz="4" w:space="0" w:color="auto"/>
              <w:left w:val="nil"/>
              <w:bottom w:val="nil"/>
              <w:right w:val="nil"/>
            </w:tcBorders>
            <w:hideMark/>
          </w:tcPr>
          <w:p w14:paraId="36946404" w14:textId="6E239FB4" w:rsidR="00725E50" w:rsidRPr="00075DC8" w:rsidRDefault="00725E50" w:rsidP="003E7546">
            <w:pPr>
              <w:pStyle w:val="Tabletext"/>
              <w:rPr>
                <w:b/>
                <w:sz w:val="18"/>
                <w:szCs w:val="18"/>
                <w:lang w:val="fr-FR" w:eastAsia="ja-JP"/>
              </w:rPr>
            </w:pPr>
            <w:r w:rsidRPr="00075DC8">
              <w:rPr>
                <w:sz w:val="18"/>
                <w:szCs w:val="18"/>
                <w:lang w:val="fr-FR" w:eastAsia="ja-JP"/>
              </w:rPr>
              <w:t>NOTE – L</w:t>
            </w:r>
            <w:r w:rsidR="001F6A0D" w:rsidRPr="00075DC8">
              <w:rPr>
                <w:sz w:val="18"/>
                <w:szCs w:val="18"/>
                <w:lang w:val="fr-FR" w:eastAsia="ja-JP"/>
              </w:rPr>
              <w:t>'</w:t>
            </w:r>
            <w:r w:rsidRPr="00075DC8">
              <w:rPr>
                <w:sz w:val="18"/>
                <w:szCs w:val="18"/>
                <w:lang w:val="fr-FR" w:eastAsia="ja-JP"/>
              </w:rPr>
              <w:t>ensemble prévu des paramètres, pour deux systèmes de référence pour les études de partage ou de compatibilité, est à l</w:t>
            </w:r>
            <w:r w:rsidR="001F6A0D" w:rsidRPr="00075DC8">
              <w:rPr>
                <w:sz w:val="18"/>
                <w:szCs w:val="18"/>
                <w:lang w:val="fr-FR" w:eastAsia="ja-JP"/>
              </w:rPr>
              <w:t>'</w:t>
            </w:r>
            <w:r w:rsidRPr="00075DC8">
              <w:rPr>
                <w:sz w:val="18"/>
                <w:szCs w:val="18"/>
                <w:lang w:val="fr-FR" w:eastAsia="ja-JP"/>
              </w:rPr>
              <w:t>heure actuelle partiellement ou totalement indisponible. Provisoirement, les paramètres indiqués à l</w:t>
            </w:r>
            <w:r w:rsidR="001F6A0D" w:rsidRPr="00075DC8">
              <w:rPr>
                <w:sz w:val="18"/>
                <w:szCs w:val="18"/>
                <w:lang w:val="fr-FR" w:eastAsia="ja-JP"/>
              </w:rPr>
              <w:t>'</w:t>
            </w:r>
            <w:r w:rsidRPr="00075DC8">
              <w:rPr>
                <w:sz w:val="18"/>
                <w:szCs w:val="18"/>
                <w:lang w:val="fr-FR" w:eastAsia="ja-JP"/>
              </w:rPr>
              <w:t>Annexe 3 pour les mêmes bandes peuvent être employés.</w:t>
            </w:r>
          </w:p>
          <w:p w14:paraId="75CDCD82" w14:textId="0C521458" w:rsidR="00725E50" w:rsidRPr="00075DC8" w:rsidRDefault="00725E50" w:rsidP="003E7546">
            <w:pPr>
              <w:pStyle w:val="Tabletext"/>
              <w:rPr>
                <w:sz w:val="18"/>
                <w:szCs w:val="18"/>
                <w:lang w:val="fr-FR"/>
              </w:rPr>
            </w:pPr>
            <w:r w:rsidRPr="00075DC8">
              <w:rPr>
                <w:sz w:val="18"/>
                <w:szCs w:val="18"/>
                <w:vertAlign w:val="superscript"/>
                <w:lang w:val="fr-FR"/>
              </w:rPr>
              <w:t>(1)</w:t>
            </w:r>
            <w:r w:rsidRPr="00075DC8">
              <w:rPr>
                <w:sz w:val="18"/>
                <w:szCs w:val="18"/>
                <w:lang w:val="fr-FR"/>
              </w:rPr>
              <w:tab/>
              <w:t xml:space="preserve">La densité de puissance de bruit du récepteur dans le canal sera de </w:t>
            </w:r>
            <w:r w:rsidR="003E7546" w:rsidRPr="00075DC8">
              <w:rPr>
                <w:sz w:val="18"/>
                <w:szCs w:val="18"/>
                <w:lang w:val="fr-FR"/>
              </w:rPr>
              <w:t>−</w:t>
            </w:r>
            <w:r w:rsidRPr="00075DC8">
              <w:rPr>
                <w:sz w:val="18"/>
                <w:szCs w:val="18"/>
                <w:lang w:val="fr-FR"/>
              </w:rPr>
              <w:t>159 dBW/12,5 kHz.</w:t>
            </w:r>
          </w:p>
          <w:p w14:paraId="7351EF2E" w14:textId="4D2839EA" w:rsidR="00725E50" w:rsidRPr="00075DC8" w:rsidRDefault="00725E50" w:rsidP="003E7546">
            <w:pPr>
              <w:pStyle w:val="Tabletext"/>
              <w:rPr>
                <w:sz w:val="18"/>
                <w:szCs w:val="18"/>
                <w:lang w:val="fr-FR"/>
              </w:rPr>
            </w:pPr>
            <w:r w:rsidRPr="00075DC8">
              <w:rPr>
                <w:sz w:val="18"/>
                <w:szCs w:val="18"/>
                <w:vertAlign w:val="superscript"/>
                <w:lang w:val="fr-FR"/>
              </w:rPr>
              <w:t>(2)</w:t>
            </w:r>
            <w:r w:rsidRPr="00075DC8">
              <w:rPr>
                <w:sz w:val="18"/>
                <w:szCs w:val="18"/>
                <w:lang w:val="fr-FR"/>
              </w:rPr>
              <w:tab/>
              <w:t xml:space="preserve">Le </w:t>
            </w:r>
            <w:r w:rsidRPr="00075DC8">
              <w:rPr>
                <w:sz w:val="18"/>
                <w:szCs w:val="18"/>
                <w:lang w:val="fr-FR" w:eastAsia="ja-JP"/>
              </w:rPr>
              <w:t>niveau normalisé à l</w:t>
            </w:r>
            <w:r w:rsidR="001F6A0D" w:rsidRPr="00075DC8">
              <w:rPr>
                <w:sz w:val="18"/>
                <w:szCs w:val="18"/>
                <w:lang w:val="fr-FR" w:eastAsia="ja-JP"/>
              </w:rPr>
              <w:t>'</w:t>
            </w:r>
            <w:r w:rsidRPr="00075DC8">
              <w:rPr>
                <w:sz w:val="18"/>
                <w:szCs w:val="18"/>
                <w:lang w:val="fr-FR" w:eastAsia="ja-JP"/>
              </w:rPr>
              <w:t>entrée du récepteur pour un taux BER de 1 × 10</w:t>
            </w:r>
            <w:r w:rsidR="00E077D3" w:rsidRPr="00075DC8">
              <w:rPr>
                <w:sz w:val="18"/>
                <w:szCs w:val="18"/>
                <w:vertAlign w:val="superscript"/>
                <w:lang w:val="fr-FR" w:eastAsia="ja-JP"/>
              </w:rPr>
              <w:t>−</w:t>
            </w:r>
            <w:r w:rsidRPr="00075DC8">
              <w:rPr>
                <w:sz w:val="18"/>
                <w:szCs w:val="18"/>
                <w:vertAlign w:val="superscript"/>
                <w:lang w:val="fr-FR" w:eastAsia="ja-JP"/>
              </w:rPr>
              <w:t>6</w:t>
            </w:r>
            <w:r w:rsidRPr="00075DC8">
              <w:rPr>
                <w:sz w:val="18"/>
                <w:szCs w:val="18"/>
                <w:lang w:val="fr-FR" w:eastAsia="ja-JP"/>
              </w:rPr>
              <w:t xml:space="preserve"> dans le canal </w:t>
            </w:r>
            <w:r w:rsidRPr="00075DC8">
              <w:rPr>
                <w:sz w:val="18"/>
                <w:szCs w:val="18"/>
                <w:lang w:val="fr-FR"/>
              </w:rPr>
              <w:t xml:space="preserve">sera de </w:t>
            </w:r>
            <w:r w:rsidR="003E7546" w:rsidRPr="00075DC8">
              <w:rPr>
                <w:sz w:val="18"/>
                <w:szCs w:val="18"/>
                <w:lang w:val="fr-FR"/>
              </w:rPr>
              <w:t>−</w:t>
            </w:r>
            <w:r w:rsidRPr="00075DC8">
              <w:rPr>
                <w:sz w:val="18"/>
                <w:szCs w:val="18"/>
                <w:lang w:val="fr-FR"/>
              </w:rPr>
              <w:t>140 dBW/12,5 kHz.</w:t>
            </w:r>
          </w:p>
          <w:p w14:paraId="2951BAC3" w14:textId="36BF19C9" w:rsidR="00725E50" w:rsidRPr="00075DC8" w:rsidRDefault="00725E50" w:rsidP="003E7546">
            <w:pPr>
              <w:pStyle w:val="Tabletext"/>
              <w:rPr>
                <w:lang w:val="fr-FR" w:eastAsia="ja-JP"/>
              </w:rPr>
            </w:pPr>
            <w:r w:rsidRPr="00075DC8">
              <w:rPr>
                <w:sz w:val="18"/>
                <w:szCs w:val="18"/>
                <w:vertAlign w:val="superscript"/>
                <w:lang w:val="fr-FR"/>
              </w:rPr>
              <w:t>(3)</w:t>
            </w:r>
            <w:r w:rsidRPr="00075DC8">
              <w:rPr>
                <w:sz w:val="18"/>
                <w:szCs w:val="18"/>
                <w:lang w:val="fr-FR"/>
              </w:rPr>
              <w:tab/>
            </w:r>
            <w:r w:rsidRPr="00075DC8">
              <w:rPr>
                <w:sz w:val="18"/>
                <w:szCs w:val="18"/>
                <w:lang w:val="fr-FR" w:eastAsia="ja-JP"/>
              </w:rPr>
              <w:t xml:space="preserve">La densité nominale de puissance de brouillage de longue durée dans le canal sera de </w:t>
            </w:r>
            <w:r w:rsidR="003E7546" w:rsidRPr="00075DC8">
              <w:rPr>
                <w:sz w:val="18"/>
                <w:szCs w:val="18"/>
                <w:lang w:val="fr-FR"/>
              </w:rPr>
              <w:t>−</w:t>
            </w:r>
            <w:r w:rsidRPr="00075DC8">
              <w:rPr>
                <w:sz w:val="18"/>
                <w:szCs w:val="18"/>
                <w:lang w:val="fr-FR"/>
              </w:rPr>
              <w:t>159</w:t>
            </w:r>
            <w:r w:rsidR="00FB2A75" w:rsidRPr="00075DC8">
              <w:rPr>
                <w:sz w:val="18"/>
                <w:szCs w:val="18"/>
                <w:lang w:val="fr-FR"/>
              </w:rPr>
              <w:t xml:space="preserve"> </w:t>
            </w:r>
            <w:r w:rsidRPr="00075DC8">
              <w:rPr>
                <w:sz w:val="18"/>
                <w:szCs w:val="18"/>
                <w:lang w:val="fr-FR"/>
              </w:rPr>
              <w:t>+</w:t>
            </w:r>
            <w:r w:rsidR="00FB2A75" w:rsidRPr="00075DC8">
              <w:rPr>
                <w:sz w:val="18"/>
                <w:szCs w:val="18"/>
                <w:lang w:val="fr-FR"/>
              </w:rPr>
              <w:t xml:space="preserve"> </w:t>
            </w:r>
            <w:r w:rsidRPr="00075DC8">
              <w:rPr>
                <w:i/>
                <w:iCs/>
                <w:sz w:val="18"/>
                <w:szCs w:val="18"/>
                <w:lang w:val="fr-FR"/>
              </w:rPr>
              <w:t>I</w:t>
            </w:r>
            <w:r w:rsidRPr="00075DC8">
              <w:rPr>
                <w:sz w:val="18"/>
                <w:szCs w:val="18"/>
                <w:lang w:val="fr-FR"/>
              </w:rPr>
              <w:t>/</w:t>
            </w:r>
            <w:r w:rsidRPr="00075DC8">
              <w:rPr>
                <w:i/>
                <w:iCs/>
                <w:sz w:val="18"/>
                <w:szCs w:val="18"/>
                <w:lang w:val="fr-FR"/>
              </w:rPr>
              <w:t>N</w:t>
            </w:r>
            <w:r w:rsidRPr="00075DC8">
              <w:rPr>
                <w:sz w:val="18"/>
                <w:szCs w:val="18"/>
                <w:lang w:val="fr-FR"/>
              </w:rPr>
              <w:t xml:space="preserve"> dBW/12,5 kHz.</w:t>
            </w:r>
          </w:p>
        </w:tc>
      </w:tr>
    </w:tbl>
    <w:p w14:paraId="43FB479C" w14:textId="77777777" w:rsidR="009718CE" w:rsidRPr="00075DC8" w:rsidRDefault="009718CE" w:rsidP="009718CE">
      <w:pPr>
        <w:pStyle w:val="Tablefin"/>
        <w:rPr>
          <w:lang w:val="fr-FR"/>
        </w:rPr>
      </w:pPr>
    </w:p>
    <w:p w14:paraId="75ECF4C3" w14:textId="77446A03" w:rsidR="00725E50" w:rsidRPr="00075DC8" w:rsidRDefault="00725E50" w:rsidP="00725E50">
      <w:pPr>
        <w:pStyle w:val="TableNo"/>
        <w:rPr>
          <w:lang w:val="fr-FR" w:eastAsia="ja-JP"/>
        </w:rPr>
      </w:pPr>
      <w:r w:rsidRPr="00075DC8">
        <w:rPr>
          <w:lang w:val="fr-FR"/>
        </w:rPr>
        <w:lastRenderedPageBreak/>
        <w:t>TABLEAU 8</w:t>
      </w:r>
    </w:p>
    <w:p w14:paraId="1E76E2F7" w14:textId="77777777" w:rsidR="00725E50" w:rsidRPr="00075DC8" w:rsidRDefault="00725E50" w:rsidP="00725E50">
      <w:pPr>
        <w:pStyle w:val="Tabletitle"/>
        <w:rPr>
          <w:lang w:val="fr-FR" w:eastAsia="ja-JP"/>
        </w:rPr>
      </w:pPr>
      <w:r w:rsidRPr="00075DC8">
        <w:rPr>
          <w:lang w:val="fr-FR" w:eastAsia="ja-JP"/>
        </w:rPr>
        <w:t>Paramètres des systèmes du service fixe de point à point dans les bandes attribuées comprises entre 3 et 7,2 GHz</w:t>
      </w:r>
    </w:p>
    <w:tbl>
      <w:tblPr>
        <w:tblW w:w="14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857"/>
        <w:gridCol w:w="857"/>
        <w:gridCol w:w="1189"/>
        <w:gridCol w:w="1189"/>
        <w:gridCol w:w="1324"/>
        <w:gridCol w:w="1325"/>
        <w:gridCol w:w="1213"/>
        <w:gridCol w:w="1215"/>
        <w:gridCol w:w="1162"/>
        <w:gridCol w:w="1163"/>
      </w:tblGrid>
      <w:tr w:rsidR="00725E50" w:rsidRPr="00075DC8" w14:paraId="7066918A" w14:textId="77777777" w:rsidTr="00C50AE5">
        <w:trPr>
          <w:jc w:val="center"/>
        </w:trPr>
        <w:tc>
          <w:tcPr>
            <w:tcW w:w="2968" w:type="dxa"/>
            <w:tcMar>
              <w:left w:w="57" w:type="dxa"/>
              <w:right w:w="57" w:type="dxa"/>
            </w:tcMar>
            <w:vAlign w:val="center"/>
          </w:tcPr>
          <w:p w14:paraId="51EDD69A" w14:textId="77777777" w:rsidR="00725E50" w:rsidRPr="00075DC8" w:rsidRDefault="00725E50" w:rsidP="00C50AE5">
            <w:pPr>
              <w:pStyle w:val="Tablehead"/>
              <w:rPr>
                <w:sz w:val="18"/>
                <w:szCs w:val="18"/>
                <w:lang w:val="fr-FR"/>
              </w:rPr>
            </w:pPr>
            <w:r w:rsidRPr="00075DC8">
              <w:rPr>
                <w:sz w:val="18"/>
                <w:szCs w:val="18"/>
                <w:lang w:val="fr-FR"/>
              </w:rPr>
              <w:t>Gamme de fréquences</w:t>
            </w:r>
            <w:r w:rsidRPr="00075DC8">
              <w:rPr>
                <w:sz w:val="18"/>
                <w:szCs w:val="18"/>
                <w:lang w:val="fr-FR"/>
              </w:rPr>
              <w:br/>
              <w:t>(GHz)</w:t>
            </w:r>
          </w:p>
        </w:tc>
        <w:tc>
          <w:tcPr>
            <w:tcW w:w="1712" w:type="dxa"/>
            <w:gridSpan w:val="2"/>
            <w:vAlign w:val="center"/>
          </w:tcPr>
          <w:p w14:paraId="2C4EA69E" w14:textId="77777777" w:rsidR="00725E50" w:rsidRPr="00075DC8" w:rsidRDefault="00725E50" w:rsidP="00C50AE5">
            <w:pPr>
              <w:pStyle w:val="Tablehead"/>
              <w:rPr>
                <w:sz w:val="18"/>
                <w:szCs w:val="18"/>
                <w:lang w:val="fr-FR"/>
              </w:rPr>
            </w:pPr>
            <w:r w:rsidRPr="00075DC8">
              <w:rPr>
                <w:sz w:val="18"/>
                <w:szCs w:val="18"/>
                <w:lang w:val="fr-FR"/>
              </w:rPr>
              <w:t>3,600-4,200</w:t>
            </w:r>
          </w:p>
        </w:tc>
        <w:tc>
          <w:tcPr>
            <w:tcW w:w="2377" w:type="dxa"/>
            <w:gridSpan w:val="2"/>
            <w:vAlign w:val="center"/>
          </w:tcPr>
          <w:p w14:paraId="605AB89D" w14:textId="77777777" w:rsidR="00725E50" w:rsidRPr="00075DC8" w:rsidRDefault="00725E50" w:rsidP="00C50AE5">
            <w:pPr>
              <w:pStyle w:val="Tablehead"/>
              <w:rPr>
                <w:sz w:val="18"/>
                <w:szCs w:val="18"/>
                <w:lang w:val="fr-FR"/>
              </w:rPr>
            </w:pPr>
            <w:r w:rsidRPr="00075DC8">
              <w:rPr>
                <w:sz w:val="18"/>
                <w:szCs w:val="18"/>
                <w:lang w:val="fr-FR"/>
              </w:rPr>
              <w:t>3,700-4,200</w:t>
            </w:r>
          </w:p>
        </w:tc>
        <w:tc>
          <w:tcPr>
            <w:tcW w:w="2649" w:type="dxa"/>
            <w:gridSpan w:val="2"/>
            <w:vAlign w:val="center"/>
          </w:tcPr>
          <w:p w14:paraId="1369483D" w14:textId="77777777" w:rsidR="00725E50" w:rsidRPr="00075DC8" w:rsidRDefault="00725E50" w:rsidP="00C50AE5">
            <w:pPr>
              <w:pStyle w:val="Tablehead"/>
              <w:rPr>
                <w:sz w:val="18"/>
                <w:szCs w:val="18"/>
                <w:lang w:val="fr-FR"/>
              </w:rPr>
            </w:pPr>
            <w:r w:rsidRPr="00075DC8">
              <w:rPr>
                <w:sz w:val="18"/>
                <w:szCs w:val="18"/>
                <w:lang w:val="fr-FR"/>
              </w:rPr>
              <w:t>4,400-5,000</w:t>
            </w:r>
          </w:p>
        </w:tc>
        <w:tc>
          <w:tcPr>
            <w:tcW w:w="2428" w:type="dxa"/>
            <w:gridSpan w:val="2"/>
            <w:vAlign w:val="center"/>
          </w:tcPr>
          <w:p w14:paraId="49050089" w14:textId="77777777" w:rsidR="00725E50" w:rsidRPr="00075DC8" w:rsidRDefault="00725E50" w:rsidP="00C50AE5">
            <w:pPr>
              <w:pStyle w:val="Tablehead"/>
              <w:rPr>
                <w:sz w:val="18"/>
                <w:szCs w:val="18"/>
                <w:lang w:val="fr-FR"/>
              </w:rPr>
            </w:pPr>
            <w:r w:rsidRPr="00075DC8">
              <w:rPr>
                <w:sz w:val="18"/>
                <w:szCs w:val="18"/>
                <w:lang w:val="fr-FR"/>
              </w:rPr>
              <w:t>5,925-6,425</w:t>
            </w:r>
          </w:p>
        </w:tc>
        <w:tc>
          <w:tcPr>
            <w:tcW w:w="2325" w:type="dxa"/>
            <w:gridSpan w:val="2"/>
            <w:vAlign w:val="center"/>
          </w:tcPr>
          <w:p w14:paraId="5FF26055" w14:textId="77777777" w:rsidR="00725E50" w:rsidRPr="00075DC8" w:rsidRDefault="00725E50" w:rsidP="00C50AE5">
            <w:pPr>
              <w:pStyle w:val="Tablehead"/>
              <w:rPr>
                <w:sz w:val="18"/>
                <w:szCs w:val="18"/>
                <w:lang w:val="fr-FR"/>
              </w:rPr>
            </w:pPr>
            <w:r w:rsidRPr="00075DC8">
              <w:rPr>
                <w:sz w:val="18"/>
                <w:szCs w:val="18"/>
                <w:lang w:val="fr-FR"/>
              </w:rPr>
              <w:t>6,425-7,125</w:t>
            </w:r>
          </w:p>
        </w:tc>
      </w:tr>
      <w:tr w:rsidR="00725E50" w:rsidRPr="00075DC8" w14:paraId="7CE684F8" w14:textId="77777777" w:rsidTr="00C50AE5">
        <w:trPr>
          <w:jc w:val="center"/>
        </w:trPr>
        <w:tc>
          <w:tcPr>
            <w:tcW w:w="2968" w:type="dxa"/>
            <w:tcMar>
              <w:left w:w="57" w:type="dxa"/>
              <w:right w:w="57" w:type="dxa"/>
            </w:tcMar>
          </w:tcPr>
          <w:p w14:paraId="29EA5438" w14:textId="77777777" w:rsidR="00725E50" w:rsidRPr="00075DC8" w:rsidRDefault="00725E50" w:rsidP="00C50AE5">
            <w:pPr>
              <w:pStyle w:val="Tabletext"/>
              <w:jc w:val="left"/>
              <w:rPr>
                <w:sz w:val="18"/>
                <w:szCs w:val="18"/>
                <w:lang w:val="fr-FR"/>
              </w:rPr>
            </w:pPr>
            <w:r w:rsidRPr="00075DC8">
              <w:rPr>
                <w:sz w:val="18"/>
                <w:szCs w:val="18"/>
                <w:lang w:val="fr-FR" w:eastAsia="ja-JP"/>
              </w:rPr>
              <w:t>Recommandation UIT-R de référence</w:t>
            </w:r>
          </w:p>
        </w:tc>
        <w:tc>
          <w:tcPr>
            <w:tcW w:w="1712" w:type="dxa"/>
            <w:gridSpan w:val="2"/>
          </w:tcPr>
          <w:p w14:paraId="1DADB034" w14:textId="77777777" w:rsidR="00725E50" w:rsidRPr="00075DC8" w:rsidRDefault="00725E50" w:rsidP="00C50AE5">
            <w:pPr>
              <w:pStyle w:val="Tabletext"/>
              <w:jc w:val="center"/>
              <w:rPr>
                <w:sz w:val="18"/>
                <w:szCs w:val="18"/>
                <w:lang w:val="fr-FR" w:eastAsia="ja-JP"/>
              </w:rPr>
            </w:pPr>
            <w:r w:rsidRPr="00075DC8">
              <w:rPr>
                <w:sz w:val="18"/>
                <w:szCs w:val="18"/>
                <w:lang w:val="fr-FR"/>
              </w:rPr>
              <w:t>F.</w:t>
            </w:r>
            <w:r w:rsidRPr="00075DC8">
              <w:rPr>
                <w:sz w:val="18"/>
                <w:szCs w:val="18"/>
                <w:lang w:val="fr-FR" w:eastAsia="ja-JP"/>
              </w:rPr>
              <w:t>635</w:t>
            </w:r>
          </w:p>
        </w:tc>
        <w:tc>
          <w:tcPr>
            <w:tcW w:w="2377" w:type="dxa"/>
            <w:gridSpan w:val="2"/>
          </w:tcPr>
          <w:p w14:paraId="2B4D75C9" w14:textId="77777777" w:rsidR="00725E50" w:rsidRPr="00075DC8" w:rsidRDefault="00725E50" w:rsidP="00C50AE5">
            <w:pPr>
              <w:pStyle w:val="Tabletext"/>
              <w:jc w:val="center"/>
              <w:rPr>
                <w:sz w:val="18"/>
                <w:szCs w:val="18"/>
                <w:lang w:val="fr-FR" w:eastAsia="ja-JP"/>
              </w:rPr>
            </w:pPr>
            <w:r w:rsidRPr="00075DC8">
              <w:rPr>
                <w:sz w:val="18"/>
                <w:szCs w:val="18"/>
                <w:lang w:val="fr-FR"/>
              </w:rPr>
              <w:t>F.</w:t>
            </w:r>
            <w:r w:rsidRPr="00075DC8">
              <w:rPr>
                <w:sz w:val="18"/>
                <w:szCs w:val="18"/>
                <w:lang w:val="fr-FR" w:eastAsia="ja-JP"/>
              </w:rPr>
              <w:t>382</w:t>
            </w:r>
          </w:p>
        </w:tc>
        <w:tc>
          <w:tcPr>
            <w:tcW w:w="2649" w:type="dxa"/>
            <w:gridSpan w:val="2"/>
          </w:tcPr>
          <w:p w14:paraId="55AC7104" w14:textId="77777777" w:rsidR="00725E50" w:rsidRPr="00075DC8" w:rsidRDefault="00725E50" w:rsidP="00C50AE5">
            <w:pPr>
              <w:pStyle w:val="Tabletext"/>
              <w:jc w:val="center"/>
              <w:rPr>
                <w:sz w:val="18"/>
                <w:szCs w:val="18"/>
                <w:lang w:val="fr-FR" w:eastAsia="ja-JP"/>
              </w:rPr>
            </w:pPr>
            <w:r w:rsidRPr="00075DC8">
              <w:rPr>
                <w:sz w:val="18"/>
                <w:szCs w:val="18"/>
                <w:lang w:val="fr-FR"/>
              </w:rPr>
              <w:t>F.</w:t>
            </w:r>
            <w:r w:rsidRPr="00075DC8">
              <w:rPr>
                <w:sz w:val="18"/>
                <w:szCs w:val="18"/>
                <w:lang w:val="fr-FR" w:eastAsia="ja-JP"/>
              </w:rPr>
              <w:t>1099</w:t>
            </w:r>
          </w:p>
        </w:tc>
        <w:tc>
          <w:tcPr>
            <w:tcW w:w="2428" w:type="dxa"/>
            <w:gridSpan w:val="2"/>
          </w:tcPr>
          <w:p w14:paraId="53788DDA" w14:textId="77777777" w:rsidR="00725E50" w:rsidRPr="00075DC8" w:rsidRDefault="00725E50" w:rsidP="00C50AE5">
            <w:pPr>
              <w:pStyle w:val="Tabletext"/>
              <w:jc w:val="center"/>
              <w:rPr>
                <w:sz w:val="18"/>
                <w:szCs w:val="18"/>
                <w:lang w:val="fr-FR" w:eastAsia="ja-JP"/>
              </w:rPr>
            </w:pPr>
            <w:r w:rsidRPr="00075DC8">
              <w:rPr>
                <w:sz w:val="18"/>
                <w:szCs w:val="18"/>
                <w:lang w:val="fr-FR"/>
              </w:rPr>
              <w:t>F.</w:t>
            </w:r>
            <w:r w:rsidRPr="00075DC8">
              <w:rPr>
                <w:sz w:val="18"/>
                <w:szCs w:val="18"/>
                <w:lang w:val="fr-FR" w:eastAsia="ja-JP"/>
              </w:rPr>
              <w:t>383</w:t>
            </w:r>
          </w:p>
        </w:tc>
        <w:tc>
          <w:tcPr>
            <w:tcW w:w="2325" w:type="dxa"/>
            <w:gridSpan w:val="2"/>
          </w:tcPr>
          <w:p w14:paraId="52E6D782" w14:textId="77777777" w:rsidR="00725E50" w:rsidRPr="00075DC8" w:rsidRDefault="00725E50" w:rsidP="00C50AE5">
            <w:pPr>
              <w:pStyle w:val="Tabletext"/>
              <w:jc w:val="center"/>
              <w:rPr>
                <w:sz w:val="18"/>
                <w:szCs w:val="18"/>
                <w:lang w:val="fr-FR" w:eastAsia="ja-JP"/>
              </w:rPr>
            </w:pPr>
            <w:r w:rsidRPr="00075DC8">
              <w:rPr>
                <w:sz w:val="18"/>
                <w:szCs w:val="18"/>
                <w:lang w:val="fr-FR"/>
              </w:rPr>
              <w:t>F.</w:t>
            </w:r>
            <w:r w:rsidRPr="00075DC8">
              <w:rPr>
                <w:sz w:val="18"/>
                <w:szCs w:val="18"/>
                <w:lang w:val="fr-FR" w:eastAsia="ja-JP"/>
              </w:rPr>
              <w:t>384</w:t>
            </w:r>
          </w:p>
        </w:tc>
      </w:tr>
      <w:tr w:rsidR="00725E50" w:rsidRPr="00075DC8" w14:paraId="5CF4D331" w14:textId="77777777" w:rsidTr="00C50AE5">
        <w:trPr>
          <w:jc w:val="center"/>
        </w:trPr>
        <w:tc>
          <w:tcPr>
            <w:tcW w:w="2968" w:type="dxa"/>
            <w:tcMar>
              <w:left w:w="57" w:type="dxa"/>
              <w:right w:w="57" w:type="dxa"/>
            </w:tcMar>
          </w:tcPr>
          <w:p w14:paraId="328809C4" w14:textId="77777777" w:rsidR="00725E50" w:rsidRPr="00075DC8" w:rsidRDefault="00725E50" w:rsidP="00C50AE5">
            <w:pPr>
              <w:pStyle w:val="Tabletext"/>
              <w:jc w:val="left"/>
              <w:rPr>
                <w:sz w:val="18"/>
                <w:szCs w:val="18"/>
                <w:lang w:val="fr-FR"/>
              </w:rPr>
            </w:pPr>
            <w:r w:rsidRPr="00075DC8">
              <w:rPr>
                <w:sz w:val="18"/>
                <w:szCs w:val="18"/>
                <w:lang w:val="fr-FR" w:eastAsia="ja-JP"/>
              </w:rPr>
              <w:t>Modulation</w:t>
            </w:r>
          </w:p>
        </w:tc>
        <w:tc>
          <w:tcPr>
            <w:tcW w:w="856" w:type="dxa"/>
            <w:vAlign w:val="center"/>
          </w:tcPr>
          <w:p w14:paraId="27EB7ECB" w14:textId="77777777" w:rsidR="00725E50" w:rsidRPr="00075DC8" w:rsidRDefault="00725E50" w:rsidP="00C50AE5">
            <w:pPr>
              <w:pStyle w:val="Tabletext"/>
              <w:ind w:left="-57" w:right="-57"/>
              <w:jc w:val="center"/>
              <w:rPr>
                <w:color w:val="000000"/>
                <w:sz w:val="18"/>
                <w:szCs w:val="18"/>
                <w:lang w:val="fr-FR" w:eastAsia="ja-JP"/>
              </w:rPr>
            </w:pPr>
            <w:r w:rsidRPr="00075DC8">
              <w:rPr>
                <w:color w:val="000000"/>
                <w:sz w:val="18"/>
                <w:szCs w:val="18"/>
                <w:lang w:val="fr-FR" w:eastAsia="ja-JP"/>
              </w:rPr>
              <w:t>MAQ-64</w:t>
            </w:r>
          </w:p>
        </w:tc>
        <w:tc>
          <w:tcPr>
            <w:tcW w:w="856" w:type="dxa"/>
            <w:vAlign w:val="center"/>
          </w:tcPr>
          <w:p w14:paraId="106BFC61" w14:textId="77777777" w:rsidR="00725E50" w:rsidRPr="00075DC8" w:rsidRDefault="00725E50" w:rsidP="00C50AE5">
            <w:pPr>
              <w:pStyle w:val="Tabletext"/>
              <w:ind w:left="-57" w:right="-57"/>
              <w:jc w:val="center"/>
              <w:rPr>
                <w:color w:val="000000"/>
                <w:sz w:val="18"/>
                <w:szCs w:val="18"/>
                <w:lang w:val="fr-FR" w:eastAsia="ja-JP"/>
              </w:rPr>
            </w:pPr>
            <w:r w:rsidRPr="00075DC8">
              <w:rPr>
                <w:color w:val="000000"/>
                <w:sz w:val="18"/>
                <w:szCs w:val="18"/>
                <w:lang w:val="fr-FR" w:eastAsia="ja-JP"/>
              </w:rPr>
              <w:t>MAQ-512</w:t>
            </w:r>
          </w:p>
        </w:tc>
        <w:tc>
          <w:tcPr>
            <w:tcW w:w="1188" w:type="dxa"/>
            <w:vAlign w:val="center"/>
          </w:tcPr>
          <w:p w14:paraId="19BDC56B" w14:textId="77777777" w:rsidR="00725E50" w:rsidRPr="00075DC8" w:rsidRDefault="00725E50" w:rsidP="00C50AE5">
            <w:pPr>
              <w:pStyle w:val="Tabletext"/>
              <w:ind w:left="-57" w:right="-57"/>
              <w:jc w:val="center"/>
              <w:rPr>
                <w:sz w:val="18"/>
                <w:szCs w:val="18"/>
                <w:lang w:val="fr-FR" w:eastAsia="ja-JP"/>
              </w:rPr>
            </w:pPr>
            <w:r w:rsidRPr="00075DC8">
              <w:rPr>
                <w:sz w:val="18"/>
                <w:szCs w:val="18"/>
                <w:lang w:val="fr-FR" w:eastAsia="ja-JP"/>
              </w:rPr>
              <w:t>MAQ-64</w:t>
            </w:r>
          </w:p>
        </w:tc>
        <w:tc>
          <w:tcPr>
            <w:tcW w:w="1189" w:type="dxa"/>
            <w:vAlign w:val="center"/>
          </w:tcPr>
          <w:p w14:paraId="204B6BD8" w14:textId="77777777" w:rsidR="00725E50" w:rsidRPr="00075DC8" w:rsidRDefault="00725E50" w:rsidP="00C50AE5">
            <w:pPr>
              <w:pStyle w:val="Tabletext"/>
              <w:ind w:left="-57" w:right="-57"/>
              <w:jc w:val="center"/>
              <w:rPr>
                <w:sz w:val="18"/>
                <w:szCs w:val="18"/>
                <w:lang w:val="fr-FR" w:eastAsia="ja-JP"/>
              </w:rPr>
            </w:pPr>
            <w:r w:rsidRPr="00075DC8">
              <w:rPr>
                <w:sz w:val="18"/>
                <w:szCs w:val="18"/>
                <w:lang w:val="fr-FR" w:eastAsia="ja-JP"/>
              </w:rPr>
              <w:t>MAQ-256</w:t>
            </w:r>
          </w:p>
        </w:tc>
        <w:tc>
          <w:tcPr>
            <w:tcW w:w="1324" w:type="dxa"/>
          </w:tcPr>
          <w:p w14:paraId="08750C5F" w14:textId="77777777" w:rsidR="00725E50" w:rsidRPr="00075DC8" w:rsidRDefault="00725E50" w:rsidP="00C50AE5">
            <w:pPr>
              <w:pStyle w:val="Tabletext"/>
              <w:jc w:val="center"/>
              <w:rPr>
                <w:sz w:val="18"/>
                <w:szCs w:val="18"/>
                <w:lang w:val="fr-FR"/>
              </w:rPr>
            </w:pPr>
            <w:r w:rsidRPr="00075DC8">
              <w:rPr>
                <w:sz w:val="18"/>
                <w:szCs w:val="18"/>
                <w:lang w:val="fr-FR"/>
              </w:rPr>
              <w:t>MAQ-16</w:t>
            </w:r>
          </w:p>
        </w:tc>
        <w:tc>
          <w:tcPr>
            <w:tcW w:w="1325" w:type="dxa"/>
          </w:tcPr>
          <w:p w14:paraId="0D685642"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MAQ-256</w:t>
            </w:r>
          </w:p>
        </w:tc>
        <w:tc>
          <w:tcPr>
            <w:tcW w:w="1213" w:type="dxa"/>
          </w:tcPr>
          <w:p w14:paraId="76C1C8DD"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MAQ-64</w:t>
            </w:r>
          </w:p>
        </w:tc>
        <w:tc>
          <w:tcPr>
            <w:tcW w:w="1215" w:type="dxa"/>
          </w:tcPr>
          <w:p w14:paraId="0343AA8B"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MAQ-128</w:t>
            </w:r>
          </w:p>
        </w:tc>
        <w:tc>
          <w:tcPr>
            <w:tcW w:w="1162" w:type="dxa"/>
          </w:tcPr>
          <w:p w14:paraId="55F24B78" w14:textId="77777777" w:rsidR="00725E50" w:rsidRPr="00075DC8" w:rsidRDefault="00725E50" w:rsidP="00C50AE5">
            <w:pPr>
              <w:pStyle w:val="Tabletext"/>
              <w:jc w:val="center"/>
              <w:rPr>
                <w:sz w:val="18"/>
                <w:szCs w:val="18"/>
                <w:lang w:val="fr-FR"/>
              </w:rPr>
            </w:pPr>
            <w:r w:rsidRPr="00075DC8">
              <w:rPr>
                <w:sz w:val="18"/>
                <w:szCs w:val="18"/>
                <w:lang w:val="fr-FR" w:eastAsia="ja-JP"/>
              </w:rPr>
              <w:t>MDPQ</w:t>
            </w:r>
          </w:p>
        </w:tc>
        <w:tc>
          <w:tcPr>
            <w:tcW w:w="1163" w:type="dxa"/>
          </w:tcPr>
          <w:p w14:paraId="4B46248B" w14:textId="77777777" w:rsidR="00725E50" w:rsidRPr="00075DC8" w:rsidRDefault="00725E50" w:rsidP="00C50AE5">
            <w:pPr>
              <w:pStyle w:val="Tabletext"/>
              <w:jc w:val="center"/>
              <w:rPr>
                <w:sz w:val="18"/>
                <w:szCs w:val="18"/>
                <w:lang w:val="fr-FR"/>
              </w:rPr>
            </w:pPr>
            <w:r w:rsidRPr="00075DC8">
              <w:rPr>
                <w:sz w:val="18"/>
                <w:szCs w:val="18"/>
                <w:lang w:val="fr-FR" w:eastAsia="ja-JP"/>
              </w:rPr>
              <w:t>MAQ-64</w:t>
            </w:r>
          </w:p>
        </w:tc>
      </w:tr>
      <w:tr w:rsidR="00725E50" w:rsidRPr="00075DC8" w14:paraId="6068C9A8" w14:textId="77777777" w:rsidTr="00C50AE5">
        <w:trPr>
          <w:jc w:val="center"/>
        </w:trPr>
        <w:tc>
          <w:tcPr>
            <w:tcW w:w="2968" w:type="dxa"/>
            <w:tcMar>
              <w:left w:w="57" w:type="dxa"/>
              <w:right w:w="57" w:type="dxa"/>
            </w:tcMar>
          </w:tcPr>
          <w:p w14:paraId="3756F1D1" w14:textId="77777777" w:rsidR="00725E50" w:rsidRPr="00075DC8" w:rsidRDefault="00725E50" w:rsidP="00C50AE5">
            <w:pPr>
              <w:pStyle w:val="Tabletext"/>
              <w:jc w:val="left"/>
              <w:rPr>
                <w:sz w:val="18"/>
                <w:szCs w:val="18"/>
                <w:lang w:val="fr-FR"/>
              </w:rPr>
            </w:pPr>
            <w:bookmarkStart w:id="88" w:name="OLE_LINK1"/>
            <w:bookmarkStart w:id="89" w:name="OLE_LINK2"/>
            <w:r w:rsidRPr="00075DC8">
              <w:rPr>
                <w:sz w:val="18"/>
                <w:szCs w:val="18"/>
                <w:lang w:val="fr-FR" w:eastAsia="ja-JP"/>
              </w:rPr>
              <w:t>Espacement des canaux et largeur de bande de bruit du récepteur</w:t>
            </w:r>
            <w:r w:rsidRPr="00075DC8">
              <w:rPr>
                <w:sz w:val="18"/>
                <w:szCs w:val="18"/>
                <w:lang w:val="fr-FR"/>
              </w:rPr>
              <w:t xml:space="preserve"> (MHz) </w:t>
            </w:r>
            <w:bookmarkEnd w:id="88"/>
            <w:bookmarkEnd w:id="89"/>
          </w:p>
        </w:tc>
        <w:tc>
          <w:tcPr>
            <w:tcW w:w="856" w:type="dxa"/>
          </w:tcPr>
          <w:p w14:paraId="1D87B1CD" w14:textId="77777777" w:rsidR="00725E50" w:rsidRPr="00075DC8" w:rsidRDefault="00725E50" w:rsidP="00C50AE5">
            <w:pPr>
              <w:pStyle w:val="Tabletext"/>
              <w:jc w:val="center"/>
              <w:rPr>
                <w:sz w:val="18"/>
                <w:szCs w:val="18"/>
                <w:lang w:val="fr-FR" w:eastAsia="ja-JP"/>
              </w:rPr>
            </w:pPr>
            <w:r w:rsidRPr="00075DC8">
              <w:rPr>
                <w:b/>
                <w:bCs/>
                <w:caps/>
                <w:sz w:val="18"/>
                <w:szCs w:val="18"/>
                <w:lang w:val="fr-FR" w:eastAsia="ja-JP"/>
              </w:rPr>
              <w:t>10</w:t>
            </w:r>
            <w:r w:rsidRPr="00075DC8">
              <w:rPr>
                <w:caps/>
                <w:sz w:val="18"/>
                <w:szCs w:val="18"/>
                <w:lang w:val="fr-FR" w:eastAsia="ja-JP"/>
              </w:rPr>
              <w:t xml:space="preserve">; </w:t>
            </w:r>
            <w:r w:rsidRPr="00075DC8">
              <w:rPr>
                <w:b/>
                <w:bCs/>
                <w:caps/>
                <w:sz w:val="18"/>
                <w:szCs w:val="18"/>
                <w:lang w:val="fr-FR" w:eastAsia="ja-JP"/>
              </w:rPr>
              <w:t>30</w:t>
            </w:r>
            <w:r w:rsidRPr="00075DC8">
              <w:rPr>
                <w:caps/>
                <w:sz w:val="18"/>
                <w:szCs w:val="18"/>
                <w:lang w:val="fr-FR" w:eastAsia="ja-JP"/>
              </w:rPr>
              <w:t>; 40; 60; 80; 90</w:t>
            </w:r>
          </w:p>
        </w:tc>
        <w:tc>
          <w:tcPr>
            <w:tcW w:w="856" w:type="dxa"/>
          </w:tcPr>
          <w:p w14:paraId="79BCB4E6" w14:textId="77777777" w:rsidR="00725E50" w:rsidRPr="00075DC8" w:rsidRDefault="00725E50" w:rsidP="00C50AE5">
            <w:pPr>
              <w:pStyle w:val="Tabletext"/>
              <w:jc w:val="center"/>
              <w:rPr>
                <w:sz w:val="18"/>
                <w:szCs w:val="18"/>
                <w:lang w:val="fr-FR"/>
              </w:rPr>
            </w:pPr>
            <w:r w:rsidRPr="00075DC8">
              <w:rPr>
                <w:caps/>
                <w:sz w:val="18"/>
                <w:szCs w:val="18"/>
                <w:lang w:val="fr-FR" w:eastAsia="ja-JP"/>
              </w:rPr>
              <w:t xml:space="preserve">10; 30; </w:t>
            </w:r>
            <w:r w:rsidRPr="00075DC8">
              <w:rPr>
                <w:b/>
                <w:bCs/>
                <w:caps/>
                <w:sz w:val="18"/>
                <w:szCs w:val="18"/>
                <w:lang w:val="fr-FR" w:eastAsia="ja-JP"/>
              </w:rPr>
              <w:t>40</w:t>
            </w:r>
            <w:r w:rsidRPr="00075DC8">
              <w:rPr>
                <w:caps/>
                <w:sz w:val="18"/>
                <w:szCs w:val="18"/>
                <w:lang w:val="fr-FR" w:eastAsia="ja-JP"/>
              </w:rPr>
              <w:t>; 60; 80; 90</w:t>
            </w:r>
          </w:p>
        </w:tc>
        <w:tc>
          <w:tcPr>
            <w:tcW w:w="1188" w:type="dxa"/>
          </w:tcPr>
          <w:p w14:paraId="5774DAEF" w14:textId="77777777" w:rsidR="00725E50" w:rsidRPr="00075DC8" w:rsidRDefault="00725E50" w:rsidP="00C50AE5">
            <w:pPr>
              <w:pStyle w:val="Tabletext"/>
              <w:jc w:val="center"/>
              <w:rPr>
                <w:sz w:val="18"/>
                <w:szCs w:val="18"/>
                <w:lang w:val="fr-FR" w:eastAsia="ja-JP"/>
              </w:rPr>
            </w:pPr>
            <w:r w:rsidRPr="00075DC8">
              <w:rPr>
                <w:caps/>
                <w:sz w:val="18"/>
                <w:szCs w:val="18"/>
                <w:lang w:val="fr-FR" w:eastAsia="ja-JP"/>
              </w:rPr>
              <w:t>9</w:t>
            </w:r>
            <w:r w:rsidRPr="00075DC8">
              <w:rPr>
                <w:caps/>
                <w:sz w:val="18"/>
                <w:szCs w:val="18"/>
                <w:vertAlign w:val="superscript"/>
                <w:lang w:val="fr-FR" w:eastAsia="ja-JP"/>
              </w:rPr>
              <w:t>(3)</w:t>
            </w:r>
            <w:r w:rsidRPr="00075DC8">
              <w:rPr>
                <w:caps/>
                <w:sz w:val="18"/>
                <w:szCs w:val="18"/>
                <w:lang w:val="fr-FR" w:eastAsia="ja-JP"/>
              </w:rPr>
              <w:t>, 10, 13</w:t>
            </w:r>
            <w:r w:rsidRPr="00075DC8">
              <w:rPr>
                <w:caps/>
                <w:sz w:val="18"/>
                <w:szCs w:val="18"/>
                <w:vertAlign w:val="superscript"/>
                <w:lang w:val="fr-FR" w:eastAsia="ja-JP"/>
              </w:rPr>
              <w:t>(3)</w:t>
            </w:r>
            <w:r w:rsidRPr="00075DC8">
              <w:rPr>
                <w:caps/>
                <w:sz w:val="18"/>
                <w:szCs w:val="18"/>
                <w:lang w:val="fr-FR" w:eastAsia="ja-JP"/>
              </w:rPr>
              <w:t xml:space="preserve">, 20, </w:t>
            </w:r>
            <w:r w:rsidRPr="00075DC8">
              <w:rPr>
                <w:b/>
                <w:caps/>
                <w:sz w:val="18"/>
                <w:szCs w:val="18"/>
                <w:lang w:val="fr-FR" w:eastAsia="ja-JP"/>
              </w:rPr>
              <w:t>28</w:t>
            </w:r>
            <w:r w:rsidRPr="00075DC8">
              <w:rPr>
                <w:caps/>
                <w:sz w:val="18"/>
                <w:szCs w:val="18"/>
                <w:lang w:val="fr-FR" w:eastAsia="ja-JP"/>
              </w:rPr>
              <w:t>, 29, 40, 60, 80</w:t>
            </w:r>
          </w:p>
        </w:tc>
        <w:tc>
          <w:tcPr>
            <w:tcW w:w="1189" w:type="dxa"/>
          </w:tcPr>
          <w:p w14:paraId="38FFD492" w14:textId="77777777" w:rsidR="00725E50" w:rsidRPr="00075DC8" w:rsidRDefault="00725E50" w:rsidP="00C50AE5">
            <w:pPr>
              <w:pStyle w:val="Tabletext"/>
              <w:jc w:val="center"/>
              <w:rPr>
                <w:sz w:val="18"/>
                <w:szCs w:val="18"/>
                <w:lang w:val="fr-FR" w:eastAsia="ja-JP"/>
              </w:rPr>
            </w:pPr>
            <w:r w:rsidRPr="00075DC8">
              <w:rPr>
                <w:caps/>
                <w:sz w:val="18"/>
                <w:szCs w:val="18"/>
                <w:lang w:val="fr-FR" w:eastAsia="ja-JP"/>
              </w:rPr>
              <w:t>9</w:t>
            </w:r>
            <w:r w:rsidRPr="00075DC8">
              <w:rPr>
                <w:caps/>
                <w:sz w:val="18"/>
                <w:szCs w:val="18"/>
                <w:vertAlign w:val="superscript"/>
                <w:lang w:val="fr-FR" w:eastAsia="ja-JP"/>
              </w:rPr>
              <w:t>(3)</w:t>
            </w:r>
            <w:r w:rsidRPr="00075DC8">
              <w:rPr>
                <w:caps/>
                <w:sz w:val="18"/>
                <w:szCs w:val="18"/>
                <w:lang w:val="fr-FR" w:eastAsia="ja-JP"/>
              </w:rPr>
              <w:t>, 10, 13</w:t>
            </w:r>
            <w:r w:rsidRPr="00075DC8">
              <w:rPr>
                <w:caps/>
                <w:sz w:val="18"/>
                <w:szCs w:val="18"/>
                <w:vertAlign w:val="superscript"/>
                <w:lang w:val="fr-FR" w:eastAsia="ja-JP"/>
              </w:rPr>
              <w:t>(3)</w:t>
            </w:r>
            <w:r w:rsidRPr="00075DC8">
              <w:rPr>
                <w:caps/>
                <w:sz w:val="18"/>
                <w:szCs w:val="18"/>
                <w:lang w:val="fr-FR" w:eastAsia="ja-JP"/>
              </w:rPr>
              <w:t xml:space="preserve">, 20, </w:t>
            </w:r>
            <w:r w:rsidRPr="00075DC8">
              <w:rPr>
                <w:b/>
                <w:caps/>
                <w:sz w:val="18"/>
                <w:szCs w:val="18"/>
                <w:lang w:val="fr-FR" w:eastAsia="ja-JP"/>
              </w:rPr>
              <w:t>28</w:t>
            </w:r>
            <w:r w:rsidRPr="00075DC8">
              <w:rPr>
                <w:bCs/>
                <w:caps/>
                <w:sz w:val="18"/>
                <w:szCs w:val="18"/>
                <w:lang w:val="fr-FR" w:eastAsia="ja-JP"/>
              </w:rPr>
              <w:t>,</w:t>
            </w:r>
            <w:r w:rsidRPr="00075DC8">
              <w:rPr>
                <w:caps/>
                <w:sz w:val="18"/>
                <w:szCs w:val="18"/>
                <w:lang w:val="fr-FR" w:eastAsia="ja-JP"/>
              </w:rPr>
              <w:t xml:space="preserve"> 29, 40, 60, 80</w:t>
            </w:r>
          </w:p>
        </w:tc>
        <w:tc>
          <w:tcPr>
            <w:tcW w:w="1324" w:type="dxa"/>
          </w:tcPr>
          <w:p w14:paraId="498AC566" w14:textId="77777777" w:rsidR="00725E50" w:rsidRPr="00075DC8" w:rsidRDefault="00725E50" w:rsidP="00C50AE5">
            <w:pPr>
              <w:pStyle w:val="Tabletext"/>
              <w:jc w:val="center"/>
              <w:rPr>
                <w:sz w:val="18"/>
                <w:szCs w:val="18"/>
                <w:lang w:val="fr-FR" w:eastAsia="ja-JP"/>
              </w:rPr>
            </w:pPr>
            <w:r w:rsidRPr="00075DC8">
              <w:rPr>
                <w:caps/>
                <w:sz w:val="18"/>
                <w:szCs w:val="18"/>
                <w:lang w:val="fr-FR" w:eastAsia="ja-JP"/>
              </w:rPr>
              <w:t>8</w:t>
            </w:r>
            <w:r w:rsidRPr="00075DC8">
              <w:rPr>
                <w:caps/>
                <w:sz w:val="18"/>
                <w:szCs w:val="18"/>
                <w:vertAlign w:val="superscript"/>
                <w:lang w:val="fr-FR" w:eastAsia="ja-JP"/>
              </w:rPr>
              <w:t>(3)</w:t>
            </w:r>
            <w:r w:rsidRPr="00075DC8">
              <w:rPr>
                <w:caps/>
                <w:sz w:val="18"/>
                <w:szCs w:val="18"/>
                <w:lang w:val="fr-FR" w:eastAsia="ja-JP"/>
              </w:rPr>
              <w:t>; 9</w:t>
            </w:r>
            <w:r w:rsidRPr="00075DC8">
              <w:rPr>
                <w:caps/>
                <w:sz w:val="18"/>
                <w:szCs w:val="18"/>
                <w:vertAlign w:val="superscript"/>
                <w:lang w:val="fr-FR" w:eastAsia="ja-JP"/>
              </w:rPr>
              <w:t>(3)</w:t>
            </w:r>
            <w:r w:rsidRPr="00075DC8">
              <w:rPr>
                <w:caps/>
                <w:sz w:val="18"/>
                <w:szCs w:val="18"/>
                <w:lang w:val="fr-FR" w:eastAsia="ja-JP"/>
              </w:rPr>
              <w:t>; 10; 13</w:t>
            </w:r>
            <w:r w:rsidRPr="00075DC8">
              <w:rPr>
                <w:caps/>
                <w:sz w:val="18"/>
                <w:szCs w:val="18"/>
                <w:vertAlign w:val="superscript"/>
                <w:lang w:val="fr-FR" w:eastAsia="ja-JP"/>
              </w:rPr>
              <w:t>(3)</w:t>
            </w:r>
            <w:r w:rsidRPr="00075DC8">
              <w:rPr>
                <w:caps/>
                <w:sz w:val="18"/>
                <w:szCs w:val="18"/>
                <w:lang w:val="fr-FR" w:eastAsia="ja-JP"/>
              </w:rPr>
              <w:t>; 16,6</w:t>
            </w:r>
            <w:r w:rsidRPr="00075DC8">
              <w:rPr>
                <w:caps/>
                <w:sz w:val="18"/>
                <w:szCs w:val="18"/>
                <w:vertAlign w:val="superscript"/>
                <w:lang w:val="fr-FR" w:eastAsia="ja-JP"/>
              </w:rPr>
              <w:t>(3)</w:t>
            </w:r>
            <w:r w:rsidRPr="00075DC8">
              <w:rPr>
                <w:caps/>
                <w:sz w:val="18"/>
                <w:szCs w:val="18"/>
                <w:lang w:val="fr-FR" w:eastAsia="ja-JP"/>
              </w:rPr>
              <w:t xml:space="preserve">; 20; </w:t>
            </w:r>
            <w:r w:rsidRPr="00075DC8">
              <w:rPr>
                <w:b/>
                <w:caps/>
                <w:sz w:val="18"/>
                <w:szCs w:val="18"/>
                <w:lang w:val="fr-FR" w:eastAsia="ja-JP"/>
              </w:rPr>
              <w:t>28</w:t>
            </w:r>
            <w:r w:rsidRPr="00075DC8">
              <w:rPr>
                <w:caps/>
                <w:sz w:val="18"/>
                <w:szCs w:val="18"/>
                <w:lang w:val="fr-FR" w:eastAsia="ja-JP"/>
              </w:rPr>
              <w:t>; 33,2</w:t>
            </w:r>
            <w:r w:rsidRPr="00075DC8">
              <w:rPr>
                <w:caps/>
                <w:sz w:val="18"/>
                <w:szCs w:val="18"/>
                <w:vertAlign w:val="superscript"/>
                <w:lang w:val="fr-FR" w:eastAsia="ja-JP"/>
              </w:rPr>
              <w:t>(3)</w:t>
            </w:r>
            <w:r w:rsidRPr="00075DC8">
              <w:rPr>
                <w:caps/>
                <w:sz w:val="18"/>
                <w:szCs w:val="18"/>
                <w:lang w:val="fr-FR" w:eastAsia="ja-JP"/>
              </w:rPr>
              <w:t>; 40; 60; 80</w:t>
            </w:r>
          </w:p>
        </w:tc>
        <w:tc>
          <w:tcPr>
            <w:tcW w:w="1325" w:type="dxa"/>
          </w:tcPr>
          <w:p w14:paraId="6BC3A428" w14:textId="77777777" w:rsidR="00725E50" w:rsidRPr="00075DC8" w:rsidRDefault="00725E50" w:rsidP="00C50AE5">
            <w:pPr>
              <w:pStyle w:val="Tabletext"/>
              <w:jc w:val="center"/>
              <w:rPr>
                <w:sz w:val="18"/>
                <w:szCs w:val="18"/>
                <w:lang w:val="fr-FR" w:eastAsia="ja-JP"/>
              </w:rPr>
            </w:pPr>
            <w:r w:rsidRPr="00075DC8">
              <w:rPr>
                <w:caps/>
                <w:sz w:val="18"/>
                <w:szCs w:val="18"/>
                <w:lang w:val="fr-FR" w:eastAsia="ja-JP"/>
              </w:rPr>
              <w:t>9</w:t>
            </w:r>
            <w:r w:rsidRPr="00075DC8">
              <w:rPr>
                <w:caps/>
                <w:sz w:val="18"/>
                <w:szCs w:val="18"/>
                <w:vertAlign w:val="superscript"/>
                <w:lang w:val="fr-FR" w:eastAsia="ja-JP"/>
              </w:rPr>
              <w:t>(3)</w:t>
            </w:r>
            <w:r w:rsidRPr="00075DC8">
              <w:rPr>
                <w:caps/>
                <w:sz w:val="18"/>
                <w:szCs w:val="18"/>
                <w:lang w:val="fr-FR" w:eastAsia="ja-JP"/>
              </w:rPr>
              <w:t>; 10; 13</w:t>
            </w:r>
            <w:r w:rsidRPr="00075DC8">
              <w:rPr>
                <w:caps/>
                <w:sz w:val="18"/>
                <w:szCs w:val="18"/>
                <w:vertAlign w:val="superscript"/>
                <w:lang w:val="fr-FR" w:eastAsia="ja-JP"/>
              </w:rPr>
              <w:t>(3)</w:t>
            </w:r>
            <w:r w:rsidRPr="00075DC8">
              <w:rPr>
                <w:caps/>
                <w:sz w:val="18"/>
                <w:szCs w:val="18"/>
                <w:lang w:val="fr-FR" w:eastAsia="ja-JP"/>
              </w:rPr>
              <w:t xml:space="preserve">; 20; </w:t>
            </w:r>
            <w:r w:rsidRPr="00075DC8">
              <w:rPr>
                <w:b/>
                <w:caps/>
                <w:sz w:val="18"/>
                <w:szCs w:val="18"/>
                <w:lang w:val="fr-FR" w:eastAsia="ja-JP"/>
              </w:rPr>
              <w:t>28</w:t>
            </w:r>
            <w:r w:rsidRPr="00075DC8">
              <w:rPr>
                <w:caps/>
                <w:sz w:val="18"/>
                <w:szCs w:val="18"/>
                <w:lang w:val="fr-FR" w:eastAsia="ja-JP"/>
              </w:rPr>
              <w:t>; 40; 60; 80</w:t>
            </w:r>
          </w:p>
        </w:tc>
        <w:tc>
          <w:tcPr>
            <w:tcW w:w="1213" w:type="dxa"/>
          </w:tcPr>
          <w:p w14:paraId="4B7D8505" w14:textId="77777777" w:rsidR="00725E50" w:rsidRPr="00075DC8" w:rsidRDefault="00725E50" w:rsidP="00C50AE5">
            <w:pPr>
              <w:pStyle w:val="Tabletext"/>
              <w:jc w:val="center"/>
              <w:rPr>
                <w:sz w:val="18"/>
                <w:szCs w:val="18"/>
                <w:lang w:val="fr-FR" w:eastAsia="ja-JP"/>
              </w:rPr>
            </w:pPr>
            <w:r w:rsidRPr="00075DC8">
              <w:rPr>
                <w:sz w:val="18"/>
                <w:szCs w:val="18"/>
                <w:lang w:val="fr-FR"/>
              </w:rPr>
              <w:t>5</w:t>
            </w:r>
            <w:r w:rsidRPr="00075DC8">
              <w:rPr>
                <w:sz w:val="18"/>
                <w:szCs w:val="18"/>
                <w:lang w:val="fr-FR" w:eastAsia="ja-JP"/>
              </w:rPr>
              <w:t xml:space="preserve">; 10; 20; 28; 29,65; </w:t>
            </w:r>
            <w:r w:rsidRPr="00075DC8">
              <w:rPr>
                <w:b/>
                <w:sz w:val="18"/>
                <w:szCs w:val="18"/>
                <w:lang w:val="fr-FR" w:eastAsia="ja-JP"/>
              </w:rPr>
              <w:t>40</w:t>
            </w:r>
            <w:r w:rsidRPr="00075DC8">
              <w:rPr>
                <w:sz w:val="18"/>
                <w:szCs w:val="18"/>
                <w:lang w:val="fr-FR" w:eastAsia="ja-JP"/>
              </w:rPr>
              <w:t>; 60; 90</w:t>
            </w:r>
          </w:p>
        </w:tc>
        <w:tc>
          <w:tcPr>
            <w:tcW w:w="1215" w:type="dxa"/>
          </w:tcPr>
          <w:p w14:paraId="2964FFA3" w14:textId="77777777" w:rsidR="00725E50" w:rsidRPr="00075DC8" w:rsidRDefault="00725E50" w:rsidP="00C50AE5">
            <w:pPr>
              <w:pStyle w:val="Tabletext"/>
              <w:jc w:val="center"/>
              <w:rPr>
                <w:sz w:val="18"/>
                <w:szCs w:val="18"/>
                <w:lang w:val="fr-FR"/>
              </w:rPr>
            </w:pPr>
            <w:r w:rsidRPr="00075DC8">
              <w:rPr>
                <w:sz w:val="18"/>
                <w:szCs w:val="18"/>
                <w:lang w:val="fr-FR"/>
              </w:rPr>
              <w:t>5</w:t>
            </w:r>
            <w:r w:rsidRPr="00075DC8">
              <w:rPr>
                <w:sz w:val="18"/>
                <w:szCs w:val="18"/>
                <w:lang w:val="fr-FR" w:eastAsia="ja-JP"/>
              </w:rPr>
              <w:t xml:space="preserve">; 10; 20; 28; </w:t>
            </w:r>
            <w:r w:rsidRPr="00075DC8">
              <w:rPr>
                <w:b/>
                <w:sz w:val="18"/>
                <w:szCs w:val="18"/>
                <w:lang w:val="fr-FR" w:eastAsia="ja-JP"/>
              </w:rPr>
              <w:t>29,65</w:t>
            </w:r>
            <w:r w:rsidRPr="00075DC8">
              <w:rPr>
                <w:sz w:val="18"/>
                <w:szCs w:val="18"/>
                <w:lang w:val="fr-FR" w:eastAsia="ja-JP"/>
              </w:rPr>
              <w:t>; 40; 60; 90</w:t>
            </w:r>
          </w:p>
        </w:tc>
        <w:tc>
          <w:tcPr>
            <w:tcW w:w="1162" w:type="dxa"/>
          </w:tcPr>
          <w:p w14:paraId="22AFDC7E"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 xml:space="preserve">3,5; 5; 7; 10; 14; </w:t>
            </w:r>
            <w:r w:rsidRPr="00075DC8">
              <w:rPr>
                <w:b/>
                <w:sz w:val="18"/>
                <w:szCs w:val="18"/>
                <w:lang w:val="fr-FR" w:eastAsia="ja-JP"/>
              </w:rPr>
              <w:t>20</w:t>
            </w:r>
            <w:r w:rsidRPr="00075DC8">
              <w:rPr>
                <w:sz w:val="18"/>
                <w:szCs w:val="18"/>
                <w:lang w:val="fr-FR" w:eastAsia="ja-JP"/>
              </w:rPr>
              <w:t>; 30; 40; 60; 80</w:t>
            </w:r>
          </w:p>
        </w:tc>
        <w:tc>
          <w:tcPr>
            <w:tcW w:w="1163" w:type="dxa"/>
          </w:tcPr>
          <w:p w14:paraId="4FAAA42A"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 xml:space="preserve">3,5; 5; 7; 10; 14; 20; 30; </w:t>
            </w:r>
            <w:r w:rsidRPr="00075DC8">
              <w:rPr>
                <w:b/>
                <w:sz w:val="18"/>
                <w:szCs w:val="18"/>
                <w:lang w:val="fr-FR" w:eastAsia="ja-JP"/>
              </w:rPr>
              <w:t>40</w:t>
            </w:r>
            <w:r w:rsidRPr="00075DC8">
              <w:rPr>
                <w:sz w:val="18"/>
                <w:szCs w:val="18"/>
                <w:lang w:val="fr-FR" w:eastAsia="ja-JP"/>
              </w:rPr>
              <w:t>; 60; 80</w:t>
            </w:r>
          </w:p>
        </w:tc>
      </w:tr>
      <w:tr w:rsidR="00725E50" w:rsidRPr="00075DC8" w14:paraId="7F66B83B" w14:textId="77777777" w:rsidTr="00C50AE5">
        <w:trPr>
          <w:jc w:val="center"/>
        </w:trPr>
        <w:tc>
          <w:tcPr>
            <w:tcW w:w="2968" w:type="dxa"/>
            <w:tcMar>
              <w:left w:w="57" w:type="dxa"/>
              <w:right w:w="57" w:type="dxa"/>
            </w:tcMar>
          </w:tcPr>
          <w:p w14:paraId="2F0D092D" w14:textId="6945539C" w:rsidR="00725E50" w:rsidRPr="00075DC8" w:rsidRDefault="00725E50" w:rsidP="00C50AE5">
            <w:pPr>
              <w:pStyle w:val="Tabletext"/>
              <w:jc w:val="left"/>
              <w:rPr>
                <w:sz w:val="18"/>
                <w:szCs w:val="18"/>
                <w:lang w:val="fr-FR"/>
              </w:rPr>
            </w:pPr>
            <w:r w:rsidRPr="00075DC8">
              <w:rPr>
                <w:sz w:val="18"/>
                <w:szCs w:val="18"/>
                <w:lang w:val="fr-FR" w:eastAsia="ja-JP"/>
              </w:rPr>
              <w:t>Plage des puissances de sortie au niveau de l</w:t>
            </w:r>
            <w:r w:rsidR="001F6A0D" w:rsidRPr="00075DC8">
              <w:rPr>
                <w:sz w:val="18"/>
                <w:szCs w:val="18"/>
                <w:lang w:val="fr-FR" w:eastAsia="ja-JP"/>
              </w:rPr>
              <w:t>'</w:t>
            </w:r>
            <w:r w:rsidRPr="00075DC8">
              <w:rPr>
                <w:sz w:val="18"/>
                <w:szCs w:val="18"/>
                <w:lang w:val="fr-FR" w:eastAsia="ja-JP"/>
              </w:rPr>
              <w:t>émetteur</w:t>
            </w:r>
            <w:r w:rsidRPr="00075DC8">
              <w:rPr>
                <w:sz w:val="18"/>
                <w:szCs w:val="18"/>
                <w:lang w:val="fr-FR"/>
              </w:rPr>
              <w:t xml:space="preserve"> (dBW) </w:t>
            </w:r>
          </w:p>
        </w:tc>
        <w:tc>
          <w:tcPr>
            <w:tcW w:w="856" w:type="dxa"/>
            <w:vMerge w:val="restart"/>
          </w:tcPr>
          <w:p w14:paraId="2225C057"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NOTE</w:t>
            </w:r>
          </w:p>
        </w:tc>
        <w:tc>
          <w:tcPr>
            <w:tcW w:w="856" w:type="dxa"/>
            <w:vMerge w:val="restart"/>
          </w:tcPr>
          <w:p w14:paraId="1D509DE7"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NOTE</w:t>
            </w:r>
          </w:p>
        </w:tc>
        <w:tc>
          <w:tcPr>
            <w:tcW w:w="1188" w:type="dxa"/>
            <w:vMerge w:val="restart"/>
          </w:tcPr>
          <w:p w14:paraId="38C667A8"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NOTE</w:t>
            </w:r>
          </w:p>
        </w:tc>
        <w:tc>
          <w:tcPr>
            <w:tcW w:w="1189" w:type="dxa"/>
          </w:tcPr>
          <w:p w14:paraId="2E836F79" w14:textId="5D4A8DC2" w:rsidR="00725E50" w:rsidRPr="00075DC8" w:rsidRDefault="00725E50" w:rsidP="00C50AE5">
            <w:pPr>
              <w:pStyle w:val="Tabletext"/>
              <w:jc w:val="center"/>
              <w:rPr>
                <w:sz w:val="18"/>
                <w:szCs w:val="18"/>
                <w:lang w:val="fr-FR" w:eastAsia="ja-JP"/>
              </w:rPr>
            </w:pPr>
            <w:r w:rsidRPr="00075DC8">
              <w:rPr>
                <w:sz w:val="18"/>
                <w:szCs w:val="18"/>
                <w:lang w:val="fr-FR" w:eastAsia="ja-JP"/>
              </w:rPr>
              <w:t>−5</w:t>
            </w:r>
          </w:p>
        </w:tc>
        <w:tc>
          <w:tcPr>
            <w:tcW w:w="1324" w:type="dxa"/>
          </w:tcPr>
          <w:p w14:paraId="03584DD3" w14:textId="77777777" w:rsidR="00725E50" w:rsidRPr="00075DC8" w:rsidRDefault="00725E50" w:rsidP="00C50AE5">
            <w:pPr>
              <w:pStyle w:val="Tabletext"/>
              <w:jc w:val="center"/>
              <w:rPr>
                <w:sz w:val="18"/>
                <w:szCs w:val="18"/>
                <w:lang w:val="fr-FR" w:eastAsia="ja-JP"/>
              </w:rPr>
            </w:pPr>
            <w:r w:rsidRPr="00075DC8">
              <w:rPr>
                <w:sz w:val="18"/>
                <w:szCs w:val="18"/>
                <w:lang w:val="fr-FR"/>
              </w:rPr>
              <w:t>−</w:t>
            </w:r>
            <w:r w:rsidRPr="00075DC8">
              <w:rPr>
                <w:sz w:val="18"/>
                <w:szCs w:val="18"/>
                <w:lang w:val="fr-FR" w:eastAsia="ja-JP"/>
              </w:rPr>
              <w:t>5…</w:t>
            </w:r>
            <w:r w:rsidRPr="00075DC8">
              <w:rPr>
                <w:sz w:val="18"/>
                <w:szCs w:val="18"/>
                <w:lang w:val="fr-FR"/>
              </w:rPr>
              <w:t>−</w:t>
            </w:r>
            <w:r w:rsidRPr="00075DC8">
              <w:rPr>
                <w:sz w:val="18"/>
                <w:szCs w:val="18"/>
                <w:lang w:val="fr-FR" w:eastAsia="ja-JP"/>
              </w:rPr>
              <w:t>10</w:t>
            </w:r>
          </w:p>
        </w:tc>
        <w:tc>
          <w:tcPr>
            <w:tcW w:w="1325" w:type="dxa"/>
          </w:tcPr>
          <w:p w14:paraId="6DAE5B76" w14:textId="77777777" w:rsidR="00725E50" w:rsidRPr="00075DC8" w:rsidRDefault="00725E50" w:rsidP="00C50AE5">
            <w:pPr>
              <w:pStyle w:val="Tabletext"/>
              <w:jc w:val="center"/>
              <w:rPr>
                <w:sz w:val="18"/>
                <w:szCs w:val="18"/>
                <w:lang w:val="fr-FR" w:eastAsia="ja-JP"/>
              </w:rPr>
            </w:pPr>
            <w:r w:rsidRPr="00075DC8">
              <w:rPr>
                <w:sz w:val="18"/>
                <w:szCs w:val="18"/>
                <w:lang w:val="fr-FR"/>
              </w:rPr>
              <w:t>−</w:t>
            </w:r>
            <w:r w:rsidRPr="00075DC8">
              <w:rPr>
                <w:sz w:val="18"/>
                <w:szCs w:val="18"/>
                <w:lang w:val="fr-FR" w:eastAsia="ja-JP"/>
              </w:rPr>
              <w:t>5</w:t>
            </w:r>
          </w:p>
        </w:tc>
        <w:tc>
          <w:tcPr>
            <w:tcW w:w="1213" w:type="dxa"/>
          </w:tcPr>
          <w:p w14:paraId="54F7A677" w14:textId="77777777" w:rsidR="00725E50" w:rsidRPr="00075DC8" w:rsidRDefault="00725E50" w:rsidP="00C50AE5">
            <w:pPr>
              <w:pStyle w:val="Tabletext"/>
              <w:jc w:val="center"/>
              <w:rPr>
                <w:sz w:val="18"/>
                <w:szCs w:val="18"/>
                <w:lang w:val="fr-FR" w:eastAsia="ja-JP"/>
              </w:rPr>
            </w:pPr>
            <w:r w:rsidRPr="00075DC8">
              <w:rPr>
                <w:sz w:val="18"/>
                <w:szCs w:val="18"/>
                <w:lang w:val="fr-FR"/>
              </w:rPr>
              <w:t>−8…</w:t>
            </w:r>
            <w:r w:rsidRPr="00075DC8">
              <w:rPr>
                <w:sz w:val="18"/>
                <w:szCs w:val="18"/>
                <w:lang w:val="fr-FR" w:eastAsia="ja-JP"/>
              </w:rPr>
              <w:t>2,0</w:t>
            </w:r>
          </w:p>
        </w:tc>
        <w:tc>
          <w:tcPr>
            <w:tcW w:w="1215" w:type="dxa"/>
          </w:tcPr>
          <w:p w14:paraId="3BBA12F3"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−11</w:t>
            </w:r>
            <w:r w:rsidRPr="00075DC8">
              <w:rPr>
                <w:sz w:val="18"/>
                <w:szCs w:val="18"/>
                <w:lang w:val="fr-FR"/>
              </w:rPr>
              <w:t>…2</w:t>
            </w:r>
          </w:p>
        </w:tc>
        <w:tc>
          <w:tcPr>
            <w:tcW w:w="1162" w:type="dxa"/>
          </w:tcPr>
          <w:p w14:paraId="6C75C772" w14:textId="77777777" w:rsidR="00725E50" w:rsidRPr="00075DC8" w:rsidRDefault="00725E50" w:rsidP="00C50AE5">
            <w:pPr>
              <w:pStyle w:val="Tabletext"/>
              <w:jc w:val="center"/>
              <w:rPr>
                <w:sz w:val="18"/>
                <w:szCs w:val="18"/>
                <w:lang w:val="fr-FR" w:eastAsia="ja-JP"/>
              </w:rPr>
            </w:pPr>
            <w:r w:rsidRPr="00075DC8">
              <w:rPr>
                <w:sz w:val="18"/>
                <w:szCs w:val="18"/>
                <w:lang w:val="fr-FR"/>
              </w:rPr>
              <w:t>−13…4</w:t>
            </w:r>
          </w:p>
        </w:tc>
        <w:tc>
          <w:tcPr>
            <w:tcW w:w="1163" w:type="dxa"/>
          </w:tcPr>
          <w:p w14:paraId="7D715214" w14:textId="77777777" w:rsidR="00725E50" w:rsidRPr="00075DC8" w:rsidRDefault="00725E50" w:rsidP="00C50AE5">
            <w:pPr>
              <w:pStyle w:val="Tabletext"/>
              <w:jc w:val="center"/>
              <w:rPr>
                <w:sz w:val="18"/>
                <w:szCs w:val="18"/>
                <w:lang w:val="fr-FR" w:eastAsia="ja-JP"/>
              </w:rPr>
            </w:pPr>
            <w:r w:rsidRPr="00075DC8">
              <w:rPr>
                <w:sz w:val="18"/>
                <w:szCs w:val="18"/>
                <w:lang w:val="fr-FR"/>
              </w:rPr>
              <w:t>−</w:t>
            </w:r>
            <w:r w:rsidRPr="00075DC8">
              <w:rPr>
                <w:sz w:val="18"/>
                <w:szCs w:val="18"/>
                <w:lang w:val="fr-FR" w:eastAsia="ja-JP"/>
              </w:rPr>
              <w:t>15</w:t>
            </w:r>
            <w:r w:rsidRPr="00075DC8">
              <w:rPr>
                <w:sz w:val="18"/>
                <w:szCs w:val="18"/>
                <w:lang w:val="fr-FR"/>
              </w:rPr>
              <w:t>…</w:t>
            </w:r>
            <w:r w:rsidRPr="00075DC8">
              <w:rPr>
                <w:sz w:val="18"/>
                <w:szCs w:val="18"/>
                <w:lang w:val="fr-FR" w:eastAsia="ja-JP"/>
              </w:rPr>
              <w:t>3</w:t>
            </w:r>
          </w:p>
        </w:tc>
      </w:tr>
      <w:tr w:rsidR="00725E50" w:rsidRPr="00075DC8" w14:paraId="0DABDFD3" w14:textId="77777777" w:rsidTr="00C50AE5">
        <w:trPr>
          <w:jc w:val="center"/>
        </w:trPr>
        <w:tc>
          <w:tcPr>
            <w:tcW w:w="2968" w:type="dxa"/>
            <w:tcMar>
              <w:left w:w="57" w:type="dxa"/>
              <w:right w:w="57" w:type="dxa"/>
            </w:tcMar>
          </w:tcPr>
          <w:p w14:paraId="22B6B016" w14:textId="1D8EAE40" w:rsidR="00725E50" w:rsidRPr="00075DC8" w:rsidRDefault="00725E50" w:rsidP="00C50AE5">
            <w:pPr>
              <w:pStyle w:val="Tabletext"/>
              <w:jc w:val="left"/>
              <w:rPr>
                <w:sz w:val="18"/>
                <w:szCs w:val="18"/>
                <w:lang w:val="fr-FR" w:eastAsia="ja-JP"/>
              </w:rPr>
            </w:pPr>
            <w:r w:rsidRPr="00075DC8">
              <w:rPr>
                <w:sz w:val="18"/>
                <w:szCs w:val="18"/>
                <w:lang w:val="fr-FR" w:eastAsia="ja-JP"/>
              </w:rPr>
              <w:t>Plage des densités de puissance de sortie au niveau de l</w:t>
            </w:r>
            <w:r w:rsidR="001F6A0D" w:rsidRPr="00075DC8">
              <w:rPr>
                <w:sz w:val="18"/>
                <w:szCs w:val="18"/>
                <w:lang w:val="fr-FR" w:eastAsia="ja-JP"/>
              </w:rPr>
              <w:t>'</w:t>
            </w:r>
            <w:r w:rsidRPr="00075DC8">
              <w:rPr>
                <w:sz w:val="18"/>
                <w:szCs w:val="18"/>
                <w:lang w:val="fr-FR" w:eastAsia="ja-JP"/>
              </w:rPr>
              <w:t>émetteur</w:t>
            </w:r>
            <w:r w:rsidRPr="00075DC8">
              <w:rPr>
                <w:sz w:val="18"/>
                <w:szCs w:val="18"/>
                <w:lang w:val="fr-FR"/>
              </w:rPr>
              <w:t xml:space="preserve"> (dBW/MHz)</w:t>
            </w:r>
            <w:r w:rsidRPr="00075DC8">
              <w:rPr>
                <w:sz w:val="18"/>
                <w:szCs w:val="18"/>
                <w:vertAlign w:val="superscript"/>
                <w:lang w:val="fr-FR" w:eastAsia="ja-JP"/>
              </w:rPr>
              <w:t>(1)</w:t>
            </w:r>
          </w:p>
        </w:tc>
        <w:tc>
          <w:tcPr>
            <w:tcW w:w="856" w:type="dxa"/>
            <w:vMerge/>
          </w:tcPr>
          <w:p w14:paraId="558E112F" w14:textId="77777777" w:rsidR="00725E50" w:rsidRPr="00075DC8" w:rsidRDefault="00725E50" w:rsidP="00C50AE5">
            <w:pPr>
              <w:pStyle w:val="Tabletext"/>
              <w:jc w:val="center"/>
              <w:rPr>
                <w:sz w:val="18"/>
                <w:szCs w:val="18"/>
                <w:lang w:val="fr-FR"/>
              </w:rPr>
            </w:pPr>
          </w:p>
        </w:tc>
        <w:tc>
          <w:tcPr>
            <w:tcW w:w="856" w:type="dxa"/>
            <w:vMerge/>
          </w:tcPr>
          <w:p w14:paraId="46362612" w14:textId="77777777" w:rsidR="00725E50" w:rsidRPr="00075DC8" w:rsidRDefault="00725E50" w:rsidP="00C50AE5">
            <w:pPr>
              <w:pStyle w:val="Tabletext"/>
              <w:jc w:val="center"/>
              <w:rPr>
                <w:sz w:val="18"/>
                <w:szCs w:val="18"/>
                <w:lang w:val="fr-FR"/>
              </w:rPr>
            </w:pPr>
          </w:p>
        </w:tc>
        <w:tc>
          <w:tcPr>
            <w:tcW w:w="1188" w:type="dxa"/>
            <w:vMerge/>
          </w:tcPr>
          <w:p w14:paraId="265F4CE5" w14:textId="77777777" w:rsidR="00725E50" w:rsidRPr="00075DC8" w:rsidRDefault="00725E50" w:rsidP="00C50AE5">
            <w:pPr>
              <w:pStyle w:val="Tabletext"/>
              <w:jc w:val="center"/>
              <w:rPr>
                <w:sz w:val="18"/>
                <w:szCs w:val="18"/>
                <w:lang w:val="fr-FR"/>
              </w:rPr>
            </w:pPr>
          </w:p>
        </w:tc>
        <w:tc>
          <w:tcPr>
            <w:tcW w:w="1189" w:type="dxa"/>
          </w:tcPr>
          <w:p w14:paraId="3115A431" w14:textId="77777777" w:rsidR="00725E50" w:rsidRPr="00075DC8" w:rsidRDefault="00725E50" w:rsidP="00C50AE5">
            <w:pPr>
              <w:pStyle w:val="Tabletext"/>
              <w:jc w:val="center"/>
              <w:rPr>
                <w:sz w:val="18"/>
                <w:szCs w:val="18"/>
                <w:lang w:val="fr-FR"/>
              </w:rPr>
            </w:pPr>
            <w:r w:rsidRPr="00075DC8">
              <w:rPr>
                <w:sz w:val="18"/>
                <w:szCs w:val="18"/>
                <w:lang w:val="fr-FR"/>
              </w:rPr>
              <w:t>−19,5…, −14,5</w:t>
            </w:r>
          </w:p>
        </w:tc>
        <w:tc>
          <w:tcPr>
            <w:tcW w:w="1324" w:type="dxa"/>
          </w:tcPr>
          <w:p w14:paraId="2648ABB7" w14:textId="0034A0F9" w:rsidR="00725E50" w:rsidRPr="00075DC8" w:rsidRDefault="00725E50" w:rsidP="00C50AE5">
            <w:pPr>
              <w:pStyle w:val="Tabletext"/>
              <w:jc w:val="center"/>
              <w:rPr>
                <w:sz w:val="18"/>
                <w:szCs w:val="18"/>
                <w:lang w:val="fr-FR"/>
              </w:rPr>
            </w:pPr>
            <w:r w:rsidRPr="00075DC8">
              <w:rPr>
                <w:sz w:val="18"/>
                <w:szCs w:val="18"/>
                <w:lang w:val="fr-FR"/>
              </w:rPr>
              <w:t>−25,</w:t>
            </w:r>
            <w:r w:rsidRPr="00075DC8">
              <w:rPr>
                <w:sz w:val="18"/>
                <w:szCs w:val="18"/>
                <w:lang w:val="fr-FR" w:eastAsia="ja-JP"/>
              </w:rPr>
              <w:t>2…</w:t>
            </w:r>
            <w:r w:rsidR="009718CE" w:rsidRPr="00075DC8">
              <w:rPr>
                <w:sz w:val="18"/>
                <w:szCs w:val="18"/>
                <w:lang w:val="fr-FR"/>
              </w:rPr>
              <w:t>−</w:t>
            </w:r>
            <w:r w:rsidRPr="00075DC8">
              <w:rPr>
                <w:sz w:val="18"/>
                <w:szCs w:val="18"/>
                <w:lang w:val="fr-FR" w:eastAsia="ja-JP"/>
              </w:rPr>
              <w:t>14,5</w:t>
            </w:r>
          </w:p>
        </w:tc>
        <w:tc>
          <w:tcPr>
            <w:tcW w:w="1325" w:type="dxa"/>
          </w:tcPr>
          <w:p w14:paraId="4CF062FF" w14:textId="77777777" w:rsidR="00725E50" w:rsidRPr="00075DC8" w:rsidRDefault="00725E50" w:rsidP="00C50AE5">
            <w:pPr>
              <w:pStyle w:val="Tabletext"/>
              <w:jc w:val="center"/>
              <w:rPr>
                <w:sz w:val="18"/>
                <w:szCs w:val="18"/>
                <w:lang w:val="fr-FR"/>
              </w:rPr>
            </w:pPr>
            <w:r w:rsidRPr="00075DC8">
              <w:rPr>
                <w:sz w:val="18"/>
                <w:szCs w:val="18"/>
                <w:lang w:val="fr-FR"/>
              </w:rPr>
              <w:t>−19,5</w:t>
            </w:r>
            <w:r w:rsidRPr="00075DC8">
              <w:rPr>
                <w:sz w:val="18"/>
                <w:szCs w:val="18"/>
                <w:lang w:val="fr-FR" w:eastAsia="ja-JP"/>
              </w:rPr>
              <w:t>…</w:t>
            </w:r>
            <w:r w:rsidRPr="00075DC8">
              <w:rPr>
                <w:sz w:val="18"/>
                <w:szCs w:val="18"/>
                <w:lang w:val="fr-FR"/>
              </w:rPr>
              <w:t>, −14,5</w:t>
            </w:r>
          </w:p>
        </w:tc>
        <w:tc>
          <w:tcPr>
            <w:tcW w:w="1213" w:type="dxa"/>
          </w:tcPr>
          <w:p w14:paraId="3D12B078" w14:textId="4F584ED2" w:rsidR="00725E50" w:rsidRPr="00075DC8" w:rsidRDefault="00725E50" w:rsidP="00C50AE5">
            <w:pPr>
              <w:pStyle w:val="Tabletext"/>
              <w:jc w:val="center"/>
              <w:rPr>
                <w:sz w:val="18"/>
                <w:szCs w:val="18"/>
                <w:lang w:val="fr-FR" w:eastAsia="ja-JP"/>
              </w:rPr>
            </w:pPr>
            <w:r w:rsidRPr="00075DC8">
              <w:rPr>
                <w:sz w:val="18"/>
                <w:szCs w:val="18"/>
                <w:lang w:val="fr-FR"/>
              </w:rPr>
              <w:t>−24</w:t>
            </w:r>
            <w:r w:rsidRPr="00075DC8">
              <w:rPr>
                <w:sz w:val="18"/>
                <w:szCs w:val="18"/>
                <w:lang w:val="fr-FR" w:eastAsia="ja-JP"/>
              </w:rPr>
              <w:t>…</w:t>
            </w:r>
            <w:r w:rsidR="009718CE" w:rsidRPr="00075DC8">
              <w:rPr>
                <w:sz w:val="18"/>
                <w:szCs w:val="18"/>
                <w:lang w:val="fr-FR"/>
              </w:rPr>
              <w:t>−</w:t>
            </w:r>
            <w:r w:rsidRPr="00075DC8">
              <w:rPr>
                <w:sz w:val="18"/>
                <w:szCs w:val="18"/>
                <w:lang w:val="fr-FR" w:eastAsia="ja-JP"/>
              </w:rPr>
              <w:t>14,0</w:t>
            </w:r>
          </w:p>
        </w:tc>
        <w:tc>
          <w:tcPr>
            <w:tcW w:w="1215" w:type="dxa"/>
          </w:tcPr>
          <w:p w14:paraId="1108D1A6" w14:textId="77777777" w:rsidR="00725E50" w:rsidRPr="00075DC8" w:rsidRDefault="00725E50" w:rsidP="00C50AE5">
            <w:pPr>
              <w:pStyle w:val="Tabletext"/>
              <w:jc w:val="center"/>
              <w:rPr>
                <w:sz w:val="18"/>
                <w:szCs w:val="18"/>
                <w:lang w:val="fr-FR" w:eastAsia="ja-JP"/>
              </w:rPr>
            </w:pPr>
            <w:r w:rsidRPr="00075DC8">
              <w:rPr>
                <w:sz w:val="18"/>
                <w:szCs w:val="18"/>
                <w:lang w:val="fr-FR"/>
              </w:rPr>
              <w:t>−</w:t>
            </w:r>
            <w:r w:rsidRPr="00075DC8">
              <w:rPr>
                <w:sz w:val="18"/>
                <w:szCs w:val="18"/>
                <w:lang w:val="fr-FR" w:eastAsia="ja-JP"/>
              </w:rPr>
              <w:t>25,7…</w:t>
            </w:r>
            <w:r w:rsidRPr="00075DC8">
              <w:rPr>
                <w:sz w:val="18"/>
                <w:szCs w:val="18"/>
                <w:lang w:val="fr-FR"/>
              </w:rPr>
              <w:t>−</w:t>
            </w:r>
            <w:r w:rsidRPr="00075DC8">
              <w:rPr>
                <w:sz w:val="18"/>
                <w:szCs w:val="18"/>
                <w:lang w:val="fr-FR" w:eastAsia="ja-JP"/>
              </w:rPr>
              <w:t>9,7</w:t>
            </w:r>
          </w:p>
        </w:tc>
        <w:tc>
          <w:tcPr>
            <w:tcW w:w="1162" w:type="dxa"/>
          </w:tcPr>
          <w:p w14:paraId="1A5F8FEB" w14:textId="77777777" w:rsidR="00725E50" w:rsidRPr="00075DC8" w:rsidRDefault="00725E50" w:rsidP="00C50AE5">
            <w:pPr>
              <w:pStyle w:val="Tabletext"/>
              <w:jc w:val="center"/>
              <w:rPr>
                <w:sz w:val="18"/>
                <w:szCs w:val="18"/>
                <w:lang w:val="fr-FR" w:eastAsia="ja-JP"/>
              </w:rPr>
            </w:pPr>
            <w:r w:rsidRPr="00075DC8">
              <w:rPr>
                <w:sz w:val="18"/>
                <w:szCs w:val="18"/>
                <w:lang w:val="fr-FR"/>
              </w:rPr>
              <w:t>−26…−9</w:t>
            </w:r>
          </w:p>
        </w:tc>
        <w:tc>
          <w:tcPr>
            <w:tcW w:w="1163" w:type="dxa"/>
          </w:tcPr>
          <w:p w14:paraId="5F20F034" w14:textId="4CFBE5EB" w:rsidR="00725E50" w:rsidRPr="00075DC8" w:rsidRDefault="00725E50" w:rsidP="00C50AE5">
            <w:pPr>
              <w:pStyle w:val="Tabletext"/>
              <w:jc w:val="center"/>
              <w:rPr>
                <w:sz w:val="18"/>
                <w:szCs w:val="18"/>
                <w:lang w:val="fr-FR" w:eastAsia="ja-JP"/>
              </w:rPr>
            </w:pPr>
            <w:r w:rsidRPr="00075DC8">
              <w:rPr>
                <w:sz w:val="18"/>
                <w:szCs w:val="18"/>
                <w:lang w:val="fr-FR" w:eastAsia="ja-JP"/>
              </w:rPr>
              <w:t>−31…</w:t>
            </w:r>
            <w:r w:rsidR="009718CE" w:rsidRPr="00075DC8">
              <w:rPr>
                <w:sz w:val="18"/>
                <w:szCs w:val="18"/>
                <w:lang w:val="fr-FR"/>
              </w:rPr>
              <w:t>−</w:t>
            </w:r>
            <w:r w:rsidRPr="00075DC8">
              <w:rPr>
                <w:sz w:val="18"/>
                <w:szCs w:val="18"/>
                <w:lang w:val="fr-FR" w:eastAsia="ja-JP"/>
              </w:rPr>
              <w:t>13,0</w:t>
            </w:r>
          </w:p>
        </w:tc>
      </w:tr>
      <w:tr w:rsidR="00725E50" w:rsidRPr="00075DC8" w14:paraId="4E84755F" w14:textId="77777777" w:rsidTr="00C50AE5">
        <w:trPr>
          <w:jc w:val="center"/>
        </w:trPr>
        <w:tc>
          <w:tcPr>
            <w:tcW w:w="2968" w:type="dxa"/>
            <w:tcMar>
              <w:left w:w="57" w:type="dxa"/>
              <w:right w:w="57" w:type="dxa"/>
            </w:tcMar>
          </w:tcPr>
          <w:p w14:paraId="15B64878" w14:textId="22F5E07D" w:rsidR="00725E50" w:rsidRPr="00075DC8" w:rsidRDefault="00725E50" w:rsidP="00C50AE5">
            <w:pPr>
              <w:pStyle w:val="Tabletext"/>
              <w:jc w:val="left"/>
              <w:rPr>
                <w:sz w:val="18"/>
                <w:szCs w:val="18"/>
                <w:lang w:val="fr-FR"/>
              </w:rPr>
            </w:pPr>
            <w:r w:rsidRPr="00075DC8">
              <w:rPr>
                <w:sz w:val="18"/>
                <w:szCs w:val="18"/>
                <w:lang w:val="fr-FR" w:eastAsia="ja-JP"/>
              </w:rPr>
              <w:t>Plage des pertes dues à la ligne d</w:t>
            </w:r>
            <w:r w:rsidR="001F6A0D" w:rsidRPr="00075DC8">
              <w:rPr>
                <w:sz w:val="18"/>
                <w:szCs w:val="18"/>
                <w:lang w:val="fr-FR" w:eastAsia="ja-JP"/>
              </w:rPr>
              <w:t>'</w:t>
            </w:r>
            <w:r w:rsidRPr="00075DC8">
              <w:rPr>
                <w:sz w:val="18"/>
                <w:szCs w:val="18"/>
                <w:lang w:val="fr-FR" w:eastAsia="ja-JP"/>
              </w:rPr>
              <w:t>alimentation ou au multiplexeur</w:t>
            </w:r>
            <w:r w:rsidRPr="00075DC8">
              <w:rPr>
                <w:sz w:val="18"/>
                <w:szCs w:val="18"/>
                <w:lang w:val="fr-FR"/>
              </w:rPr>
              <w:t xml:space="preserve"> (dB)</w:t>
            </w:r>
          </w:p>
        </w:tc>
        <w:tc>
          <w:tcPr>
            <w:tcW w:w="856" w:type="dxa"/>
            <w:vMerge/>
          </w:tcPr>
          <w:p w14:paraId="0D06DA85" w14:textId="77777777" w:rsidR="00725E50" w:rsidRPr="00075DC8" w:rsidRDefault="00725E50" w:rsidP="00C50AE5">
            <w:pPr>
              <w:pStyle w:val="Tabletext"/>
              <w:jc w:val="center"/>
              <w:rPr>
                <w:sz w:val="18"/>
                <w:szCs w:val="18"/>
                <w:lang w:val="fr-FR" w:eastAsia="ja-JP"/>
              </w:rPr>
            </w:pPr>
          </w:p>
        </w:tc>
        <w:tc>
          <w:tcPr>
            <w:tcW w:w="856" w:type="dxa"/>
            <w:vMerge/>
          </w:tcPr>
          <w:p w14:paraId="5AF9D943" w14:textId="77777777" w:rsidR="00725E50" w:rsidRPr="00075DC8" w:rsidRDefault="00725E50" w:rsidP="00C50AE5">
            <w:pPr>
              <w:pStyle w:val="Tabletext"/>
              <w:jc w:val="center"/>
              <w:rPr>
                <w:sz w:val="18"/>
                <w:szCs w:val="18"/>
                <w:lang w:val="fr-FR" w:eastAsia="ja-JP"/>
              </w:rPr>
            </w:pPr>
          </w:p>
        </w:tc>
        <w:tc>
          <w:tcPr>
            <w:tcW w:w="1188" w:type="dxa"/>
            <w:vMerge/>
          </w:tcPr>
          <w:p w14:paraId="3E10BAFA" w14:textId="77777777" w:rsidR="00725E50" w:rsidRPr="00075DC8" w:rsidRDefault="00725E50" w:rsidP="00C50AE5">
            <w:pPr>
              <w:pStyle w:val="Tabletext"/>
              <w:jc w:val="center"/>
              <w:rPr>
                <w:sz w:val="18"/>
                <w:szCs w:val="18"/>
                <w:lang w:val="fr-FR" w:eastAsia="ja-JP"/>
              </w:rPr>
            </w:pPr>
          </w:p>
        </w:tc>
        <w:tc>
          <w:tcPr>
            <w:tcW w:w="1189" w:type="dxa"/>
          </w:tcPr>
          <w:p w14:paraId="22E1E848"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3</w:t>
            </w:r>
          </w:p>
        </w:tc>
        <w:tc>
          <w:tcPr>
            <w:tcW w:w="1324" w:type="dxa"/>
          </w:tcPr>
          <w:p w14:paraId="4F98D55E"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0</w:t>
            </w:r>
          </w:p>
        </w:tc>
        <w:tc>
          <w:tcPr>
            <w:tcW w:w="1325" w:type="dxa"/>
          </w:tcPr>
          <w:p w14:paraId="353E4E5E" w14:textId="77777777" w:rsidR="00725E50" w:rsidRPr="00075DC8" w:rsidRDefault="00725E50" w:rsidP="00C50AE5">
            <w:pPr>
              <w:pStyle w:val="Tabletext"/>
              <w:jc w:val="center"/>
              <w:rPr>
                <w:sz w:val="18"/>
                <w:szCs w:val="18"/>
                <w:lang w:val="fr-FR"/>
              </w:rPr>
            </w:pPr>
            <w:r w:rsidRPr="00075DC8">
              <w:rPr>
                <w:sz w:val="18"/>
                <w:szCs w:val="18"/>
                <w:lang w:val="fr-FR"/>
              </w:rPr>
              <w:t>3</w:t>
            </w:r>
          </w:p>
        </w:tc>
        <w:tc>
          <w:tcPr>
            <w:tcW w:w="1213" w:type="dxa"/>
          </w:tcPr>
          <w:p w14:paraId="3251301C" w14:textId="77777777" w:rsidR="00725E50" w:rsidRPr="00075DC8" w:rsidRDefault="00725E50" w:rsidP="00C50AE5">
            <w:pPr>
              <w:pStyle w:val="Tabletext"/>
              <w:jc w:val="center"/>
              <w:rPr>
                <w:sz w:val="18"/>
                <w:szCs w:val="18"/>
                <w:lang w:val="fr-FR" w:eastAsia="ja-JP"/>
              </w:rPr>
            </w:pPr>
            <w:r w:rsidRPr="00075DC8">
              <w:rPr>
                <w:sz w:val="18"/>
                <w:szCs w:val="18"/>
                <w:lang w:val="fr-FR"/>
              </w:rPr>
              <w:t>2,5…5,6</w:t>
            </w:r>
          </w:p>
        </w:tc>
        <w:tc>
          <w:tcPr>
            <w:tcW w:w="1215" w:type="dxa"/>
          </w:tcPr>
          <w:p w14:paraId="6FAF7258" w14:textId="77777777" w:rsidR="00725E50" w:rsidRPr="00075DC8" w:rsidRDefault="00725E50" w:rsidP="00C50AE5">
            <w:pPr>
              <w:pStyle w:val="Tabletext"/>
              <w:jc w:val="center"/>
              <w:rPr>
                <w:sz w:val="18"/>
                <w:szCs w:val="18"/>
                <w:lang w:val="fr-FR"/>
              </w:rPr>
            </w:pPr>
            <w:r w:rsidRPr="00075DC8">
              <w:rPr>
                <w:sz w:val="18"/>
                <w:szCs w:val="18"/>
                <w:lang w:val="fr-FR"/>
              </w:rPr>
              <w:t>1,1…3</w:t>
            </w:r>
          </w:p>
        </w:tc>
        <w:tc>
          <w:tcPr>
            <w:tcW w:w="1162" w:type="dxa"/>
          </w:tcPr>
          <w:p w14:paraId="38C28172" w14:textId="77777777" w:rsidR="00725E50" w:rsidRPr="00075DC8" w:rsidRDefault="00725E50" w:rsidP="00C50AE5">
            <w:pPr>
              <w:pStyle w:val="Tabletext"/>
              <w:jc w:val="center"/>
              <w:rPr>
                <w:sz w:val="18"/>
                <w:szCs w:val="18"/>
                <w:lang w:val="fr-FR" w:eastAsia="ja-JP"/>
              </w:rPr>
            </w:pPr>
            <w:r w:rsidRPr="00075DC8">
              <w:rPr>
                <w:sz w:val="18"/>
                <w:szCs w:val="18"/>
                <w:lang w:val="fr-FR"/>
              </w:rPr>
              <w:t>0…6,3</w:t>
            </w:r>
          </w:p>
        </w:tc>
        <w:tc>
          <w:tcPr>
            <w:tcW w:w="1163" w:type="dxa"/>
          </w:tcPr>
          <w:p w14:paraId="18ECC669" w14:textId="77777777" w:rsidR="00725E50" w:rsidRPr="00075DC8" w:rsidRDefault="00725E50" w:rsidP="00C50AE5">
            <w:pPr>
              <w:pStyle w:val="Tabletext"/>
              <w:jc w:val="center"/>
              <w:rPr>
                <w:rFonts w:eastAsia="MS PGothic"/>
                <w:sz w:val="18"/>
                <w:szCs w:val="18"/>
                <w:lang w:val="fr-FR"/>
              </w:rPr>
            </w:pPr>
            <w:r w:rsidRPr="00075DC8">
              <w:rPr>
                <w:sz w:val="18"/>
                <w:szCs w:val="18"/>
                <w:lang w:val="fr-FR"/>
              </w:rPr>
              <w:t>0…6,3</w:t>
            </w:r>
          </w:p>
        </w:tc>
      </w:tr>
      <w:tr w:rsidR="00725E50" w:rsidRPr="00075DC8" w14:paraId="47BAE30C" w14:textId="77777777" w:rsidTr="00C50AE5">
        <w:trPr>
          <w:trHeight w:val="314"/>
          <w:jc w:val="center"/>
        </w:trPr>
        <w:tc>
          <w:tcPr>
            <w:tcW w:w="2968" w:type="dxa"/>
            <w:tcMar>
              <w:left w:w="57" w:type="dxa"/>
              <w:right w:w="57" w:type="dxa"/>
            </w:tcMar>
          </w:tcPr>
          <w:p w14:paraId="4A97A570" w14:textId="3C2C2BAD" w:rsidR="00725E50" w:rsidRPr="00075DC8" w:rsidRDefault="00725E50" w:rsidP="00C50AE5">
            <w:pPr>
              <w:pStyle w:val="Tabletext"/>
              <w:jc w:val="left"/>
              <w:rPr>
                <w:sz w:val="18"/>
                <w:szCs w:val="18"/>
                <w:lang w:val="fr-FR"/>
              </w:rPr>
            </w:pPr>
            <w:r w:rsidRPr="00075DC8">
              <w:rPr>
                <w:sz w:val="18"/>
                <w:szCs w:val="18"/>
                <w:lang w:val="fr-FR" w:eastAsia="ja-JP"/>
              </w:rPr>
              <w:t>Plage des gains d</w:t>
            </w:r>
            <w:r w:rsidR="001F6A0D" w:rsidRPr="00075DC8">
              <w:rPr>
                <w:sz w:val="18"/>
                <w:szCs w:val="18"/>
                <w:lang w:val="fr-FR" w:eastAsia="ja-JP"/>
              </w:rPr>
              <w:t>'</w:t>
            </w:r>
            <w:r w:rsidRPr="00075DC8">
              <w:rPr>
                <w:sz w:val="18"/>
                <w:szCs w:val="18"/>
                <w:lang w:val="fr-FR" w:eastAsia="ja-JP"/>
              </w:rPr>
              <w:t>antenne</w:t>
            </w:r>
            <w:r w:rsidRPr="00075DC8">
              <w:rPr>
                <w:sz w:val="18"/>
                <w:szCs w:val="18"/>
                <w:lang w:val="fr-FR"/>
              </w:rPr>
              <w:t xml:space="preserve"> (dBi)</w:t>
            </w:r>
          </w:p>
        </w:tc>
        <w:tc>
          <w:tcPr>
            <w:tcW w:w="856" w:type="dxa"/>
            <w:vMerge/>
          </w:tcPr>
          <w:p w14:paraId="36B2910E" w14:textId="77777777" w:rsidR="00725E50" w:rsidRPr="00075DC8" w:rsidRDefault="00725E50" w:rsidP="00C50AE5">
            <w:pPr>
              <w:pStyle w:val="Tabletext"/>
              <w:jc w:val="center"/>
              <w:rPr>
                <w:sz w:val="18"/>
                <w:szCs w:val="18"/>
                <w:lang w:val="fr-FR"/>
              </w:rPr>
            </w:pPr>
          </w:p>
        </w:tc>
        <w:tc>
          <w:tcPr>
            <w:tcW w:w="856" w:type="dxa"/>
            <w:vMerge/>
          </w:tcPr>
          <w:p w14:paraId="7B7397FB" w14:textId="77777777" w:rsidR="00725E50" w:rsidRPr="00075DC8" w:rsidRDefault="00725E50" w:rsidP="00C50AE5">
            <w:pPr>
              <w:pStyle w:val="Tabletext"/>
              <w:jc w:val="center"/>
              <w:rPr>
                <w:sz w:val="18"/>
                <w:szCs w:val="18"/>
                <w:lang w:val="fr-FR"/>
              </w:rPr>
            </w:pPr>
          </w:p>
        </w:tc>
        <w:tc>
          <w:tcPr>
            <w:tcW w:w="1188" w:type="dxa"/>
            <w:vMerge/>
          </w:tcPr>
          <w:p w14:paraId="1C9A667B" w14:textId="77777777" w:rsidR="00725E50" w:rsidRPr="00075DC8" w:rsidRDefault="00725E50" w:rsidP="00C50AE5">
            <w:pPr>
              <w:pStyle w:val="Tabletext"/>
              <w:jc w:val="center"/>
              <w:rPr>
                <w:sz w:val="18"/>
                <w:szCs w:val="18"/>
                <w:lang w:val="fr-FR" w:eastAsia="ja-JP"/>
              </w:rPr>
            </w:pPr>
          </w:p>
        </w:tc>
        <w:tc>
          <w:tcPr>
            <w:tcW w:w="1189" w:type="dxa"/>
          </w:tcPr>
          <w:p w14:paraId="6A5A3E8B" w14:textId="77777777" w:rsidR="00725E50" w:rsidRPr="00075DC8" w:rsidRDefault="00725E50" w:rsidP="00C50AE5">
            <w:pPr>
              <w:pStyle w:val="Tabletext"/>
              <w:jc w:val="center"/>
              <w:rPr>
                <w:sz w:val="18"/>
                <w:szCs w:val="18"/>
                <w:lang w:val="fr-FR" w:eastAsia="ja-JP"/>
              </w:rPr>
            </w:pPr>
            <w:r w:rsidRPr="00075DC8">
              <w:rPr>
                <w:sz w:val="18"/>
                <w:szCs w:val="18"/>
                <w:lang w:val="fr-FR"/>
              </w:rPr>
              <w:t>22,5</w:t>
            </w:r>
          </w:p>
        </w:tc>
        <w:tc>
          <w:tcPr>
            <w:tcW w:w="1324" w:type="dxa"/>
          </w:tcPr>
          <w:p w14:paraId="231E4DBD" w14:textId="77777777" w:rsidR="00725E50" w:rsidRPr="00075DC8" w:rsidRDefault="00725E50" w:rsidP="00C50AE5">
            <w:pPr>
              <w:pStyle w:val="Tabletext"/>
              <w:jc w:val="center"/>
              <w:rPr>
                <w:sz w:val="18"/>
                <w:szCs w:val="18"/>
                <w:lang w:val="fr-FR" w:eastAsia="ja-JP"/>
              </w:rPr>
            </w:pPr>
            <w:r w:rsidRPr="00075DC8">
              <w:rPr>
                <w:sz w:val="18"/>
                <w:szCs w:val="18"/>
                <w:lang w:val="fr-FR"/>
              </w:rPr>
              <w:t>21,5</w:t>
            </w:r>
            <w:r w:rsidRPr="00075DC8">
              <w:rPr>
                <w:sz w:val="18"/>
                <w:szCs w:val="18"/>
                <w:lang w:val="fr-FR" w:eastAsia="ja-JP"/>
              </w:rPr>
              <w:t>…22,5</w:t>
            </w:r>
          </w:p>
        </w:tc>
        <w:tc>
          <w:tcPr>
            <w:tcW w:w="1325" w:type="dxa"/>
          </w:tcPr>
          <w:p w14:paraId="5C990D12" w14:textId="77777777" w:rsidR="00725E50" w:rsidRPr="00075DC8" w:rsidRDefault="00725E50" w:rsidP="00C50AE5">
            <w:pPr>
              <w:pStyle w:val="Tabletext"/>
              <w:jc w:val="center"/>
              <w:rPr>
                <w:sz w:val="18"/>
                <w:szCs w:val="18"/>
                <w:lang w:val="fr-FR"/>
              </w:rPr>
            </w:pPr>
            <w:r w:rsidRPr="00075DC8">
              <w:rPr>
                <w:sz w:val="18"/>
                <w:szCs w:val="18"/>
                <w:lang w:val="fr-FR"/>
              </w:rPr>
              <w:t>22,5</w:t>
            </w:r>
          </w:p>
        </w:tc>
        <w:tc>
          <w:tcPr>
            <w:tcW w:w="1213" w:type="dxa"/>
          </w:tcPr>
          <w:p w14:paraId="76975B54" w14:textId="77777777" w:rsidR="00725E50" w:rsidRPr="00075DC8" w:rsidRDefault="00725E50" w:rsidP="00C50AE5">
            <w:pPr>
              <w:pStyle w:val="Tabletext"/>
              <w:jc w:val="center"/>
              <w:rPr>
                <w:sz w:val="18"/>
                <w:szCs w:val="18"/>
                <w:lang w:val="fr-FR"/>
              </w:rPr>
            </w:pPr>
            <w:r w:rsidRPr="00075DC8">
              <w:rPr>
                <w:sz w:val="18"/>
                <w:szCs w:val="18"/>
                <w:lang w:val="fr-FR"/>
              </w:rPr>
              <w:t>38,1…</w:t>
            </w:r>
            <w:r w:rsidRPr="00075DC8">
              <w:rPr>
                <w:sz w:val="18"/>
                <w:szCs w:val="18"/>
                <w:lang w:val="fr-FR" w:eastAsia="ja-JP"/>
              </w:rPr>
              <w:t>45,0</w:t>
            </w:r>
          </w:p>
        </w:tc>
        <w:tc>
          <w:tcPr>
            <w:tcW w:w="1215" w:type="dxa"/>
          </w:tcPr>
          <w:p w14:paraId="2797A605" w14:textId="77777777" w:rsidR="00725E50" w:rsidRPr="00075DC8" w:rsidRDefault="00725E50" w:rsidP="00C50AE5">
            <w:pPr>
              <w:pStyle w:val="Tabletext"/>
              <w:jc w:val="center"/>
              <w:rPr>
                <w:sz w:val="18"/>
                <w:szCs w:val="18"/>
                <w:lang w:val="fr-FR" w:eastAsia="ja-JP"/>
              </w:rPr>
            </w:pPr>
            <w:r w:rsidRPr="00075DC8">
              <w:rPr>
                <w:sz w:val="18"/>
                <w:szCs w:val="18"/>
                <w:lang w:val="fr-FR"/>
              </w:rPr>
              <w:t>3</w:t>
            </w:r>
            <w:r w:rsidRPr="00075DC8">
              <w:rPr>
                <w:sz w:val="18"/>
                <w:szCs w:val="18"/>
                <w:lang w:val="fr-FR" w:eastAsia="ja-JP"/>
              </w:rPr>
              <w:t>8,7…46,6</w:t>
            </w:r>
          </w:p>
        </w:tc>
        <w:tc>
          <w:tcPr>
            <w:tcW w:w="1162" w:type="dxa"/>
          </w:tcPr>
          <w:p w14:paraId="7FC8D512" w14:textId="77777777" w:rsidR="00725E50" w:rsidRPr="00075DC8" w:rsidRDefault="00725E50" w:rsidP="00C50AE5">
            <w:pPr>
              <w:pStyle w:val="Tabletext"/>
              <w:jc w:val="center"/>
              <w:rPr>
                <w:sz w:val="18"/>
                <w:szCs w:val="18"/>
                <w:lang w:val="fr-FR" w:eastAsia="ja-JP"/>
              </w:rPr>
            </w:pPr>
            <w:r w:rsidRPr="00075DC8">
              <w:rPr>
                <w:sz w:val="18"/>
                <w:szCs w:val="18"/>
                <w:lang w:val="fr-FR"/>
              </w:rPr>
              <w:t>32,6…47,4</w:t>
            </w:r>
          </w:p>
        </w:tc>
        <w:tc>
          <w:tcPr>
            <w:tcW w:w="1163" w:type="dxa"/>
          </w:tcPr>
          <w:p w14:paraId="56A309C6" w14:textId="77777777" w:rsidR="00725E50" w:rsidRPr="00075DC8" w:rsidRDefault="00725E50" w:rsidP="00C50AE5">
            <w:pPr>
              <w:pStyle w:val="Tabletext"/>
              <w:jc w:val="center"/>
              <w:rPr>
                <w:rFonts w:eastAsia="MS PGothic"/>
                <w:sz w:val="18"/>
                <w:szCs w:val="18"/>
                <w:lang w:val="fr-FR"/>
              </w:rPr>
            </w:pPr>
            <w:r w:rsidRPr="00075DC8">
              <w:rPr>
                <w:sz w:val="18"/>
                <w:szCs w:val="18"/>
                <w:lang w:val="fr-FR"/>
              </w:rPr>
              <w:t>3</w:t>
            </w:r>
            <w:r w:rsidRPr="00075DC8">
              <w:rPr>
                <w:sz w:val="18"/>
                <w:szCs w:val="18"/>
                <w:lang w:val="fr-FR" w:eastAsia="ja-JP"/>
              </w:rPr>
              <w:t>2,6</w:t>
            </w:r>
            <w:r w:rsidRPr="00075DC8">
              <w:rPr>
                <w:sz w:val="18"/>
                <w:szCs w:val="18"/>
                <w:lang w:val="fr-FR"/>
              </w:rPr>
              <w:t>…47,4</w:t>
            </w:r>
          </w:p>
        </w:tc>
      </w:tr>
      <w:tr w:rsidR="00725E50" w:rsidRPr="00075DC8" w14:paraId="6331217C" w14:textId="77777777" w:rsidTr="00C50AE5">
        <w:trPr>
          <w:jc w:val="center"/>
        </w:trPr>
        <w:tc>
          <w:tcPr>
            <w:tcW w:w="2968" w:type="dxa"/>
            <w:tcMar>
              <w:left w:w="57" w:type="dxa"/>
              <w:right w:w="57" w:type="dxa"/>
            </w:tcMar>
          </w:tcPr>
          <w:p w14:paraId="67A50F56" w14:textId="77777777" w:rsidR="00725E50" w:rsidRPr="00075DC8" w:rsidRDefault="00725E50" w:rsidP="00C50AE5">
            <w:pPr>
              <w:pStyle w:val="Tabletext"/>
              <w:jc w:val="left"/>
              <w:rPr>
                <w:sz w:val="18"/>
                <w:szCs w:val="18"/>
                <w:lang w:val="fr-FR"/>
              </w:rPr>
            </w:pPr>
            <w:r w:rsidRPr="00075DC8">
              <w:rPr>
                <w:sz w:val="18"/>
                <w:szCs w:val="18"/>
                <w:lang w:val="fr-FR" w:eastAsia="ja-JP"/>
              </w:rPr>
              <w:t xml:space="preserve">Plage des </w:t>
            </w:r>
            <w:r w:rsidRPr="00075DC8">
              <w:rPr>
                <w:sz w:val="18"/>
                <w:szCs w:val="18"/>
                <w:lang w:val="fr-FR"/>
              </w:rPr>
              <w:t>p.i.r.e. (dBW)</w:t>
            </w:r>
          </w:p>
        </w:tc>
        <w:tc>
          <w:tcPr>
            <w:tcW w:w="856" w:type="dxa"/>
            <w:vMerge/>
          </w:tcPr>
          <w:p w14:paraId="424A3720" w14:textId="77777777" w:rsidR="00725E50" w:rsidRPr="00075DC8" w:rsidRDefault="00725E50" w:rsidP="00C50AE5">
            <w:pPr>
              <w:pStyle w:val="Tabletext"/>
              <w:jc w:val="center"/>
              <w:rPr>
                <w:sz w:val="18"/>
                <w:szCs w:val="18"/>
                <w:lang w:val="fr-FR"/>
              </w:rPr>
            </w:pPr>
          </w:p>
        </w:tc>
        <w:tc>
          <w:tcPr>
            <w:tcW w:w="856" w:type="dxa"/>
            <w:vMerge/>
          </w:tcPr>
          <w:p w14:paraId="34319B25" w14:textId="77777777" w:rsidR="00725E50" w:rsidRPr="00075DC8" w:rsidRDefault="00725E50" w:rsidP="00C50AE5">
            <w:pPr>
              <w:pStyle w:val="Tabletext"/>
              <w:jc w:val="center"/>
              <w:rPr>
                <w:sz w:val="18"/>
                <w:szCs w:val="18"/>
                <w:lang w:val="fr-FR"/>
              </w:rPr>
            </w:pPr>
          </w:p>
        </w:tc>
        <w:tc>
          <w:tcPr>
            <w:tcW w:w="1188" w:type="dxa"/>
            <w:vMerge/>
          </w:tcPr>
          <w:p w14:paraId="6E19B015" w14:textId="77777777" w:rsidR="00725E50" w:rsidRPr="00075DC8" w:rsidRDefault="00725E50" w:rsidP="00C50AE5">
            <w:pPr>
              <w:pStyle w:val="Tabletext"/>
              <w:jc w:val="center"/>
              <w:rPr>
                <w:sz w:val="18"/>
                <w:szCs w:val="18"/>
                <w:lang w:val="fr-FR" w:eastAsia="ja-JP"/>
              </w:rPr>
            </w:pPr>
          </w:p>
        </w:tc>
        <w:tc>
          <w:tcPr>
            <w:tcW w:w="1189" w:type="dxa"/>
          </w:tcPr>
          <w:p w14:paraId="6A850711" w14:textId="77777777" w:rsidR="00725E50" w:rsidRPr="00075DC8" w:rsidRDefault="00725E50" w:rsidP="00C50AE5">
            <w:pPr>
              <w:pStyle w:val="Tabletext"/>
              <w:jc w:val="center"/>
              <w:rPr>
                <w:sz w:val="18"/>
                <w:szCs w:val="18"/>
                <w:lang w:val="fr-FR"/>
              </w:rPr>
            </w:pPr>
            <w:r w:rsidRPr="00075DC8">
              <w:rPr>
                <w:sz w:val="18"/>
                <w:szCs w:val="18"/>
                <w:lang w:val="fr-FR" w:eastAsia="ja-JP"/>
              </w:rPr>
              <w:t>14,5</w:t>
            </w:r>
          </w:p>
        </w:tc>
        <w:tc>
          <w:tcPr>
            <w:tcW w:w="1324" w:type="dxa"/>
          </w:tcPr>
          <w:p w14:paraId="0C6D17AE" w14:textId="77777777" w:rsidR="00725E50" w:rsidRPr="00075DC8" w:rsidRDefault="00725E50" w:rsidP="00C50AE5">
            <w:pPr>
              <w:pStyle w:val="Tabletext"/>
              <w:jc w:val="center"/>
              <w:rPr>
                <w:sz w:val="18"/>
                <w:szCs w:val="18"/>
                <w:lang w:val="fr-FR" w:eastAsia="ja-JP"/>
              </w:rPr>
            </w:pPr>
            <w:r w:rsidRPr="00075DC8">
              <w:rPr>
                <w:sz w:val="18"/>
                <w:szCs w:val="18"/>
                <w:lang w:val="fr-FR"/>
              </w:rPr>
              <w:t>11,5</w:t>
            </w:r>
            <w:r w:rsidRPr="00075DC8">
              <w:rPr>
                <w:sz w:val="18"/>
                <w:szCs w:val="18"/>
                <w:lang w:val="fr-FR" w:eastAsia="ja-JP"/>
              </w:rPr>
              <w:t>…14,5</w:t>
            </w:r>
          </w:p>
        </w:tc>
        <w:tc>
          <w:tcPr>
            <w:tcW w:w="1325" w:type="dxa"/>
          </w:tcPr>
          <w:p w14:paraId="50323564" w14:textId="77777777" w:rsidR="00725E50" w:rsidRPr="00075DC8" w:rsidRDefault="00725E50" w:rsidP="00C50AE5">
            <w:pPr>
              <w:pStyle w:val="Tabletext"/>
              <w:jc w:val="center"/>
              <w:rPr>
                <w:sz w:val="18"/>
                <w:szCs w:val="18"/>
                <w:lang w:val="fr-FR"/>
              </w:rPr>
            </w:pPr>
            <w:r w:rsidRPr="00075DC8">
              <w:rPr>
                <w:sz w:val="18"/>
                <w:szCs w:val="18"/>
                <w:lang w:val="fr-FR" w:eastAsia="ja-JP"/>
              </w:rPr>
              <w:t>14,5</w:t>
            </w:r>
          </w:p>
        </w:tc>
        <w:tc>
          <w:tcPr>
            <w:tcW w:w="1213" w:type="dxa"/>
          </w:tcPr>
          <w:p w14:paraId="31372C99" w14:textId="77777777" w:rsidR="00725E50" w:rsidRPr="00075DC8" w:rsidRDefault="00725E50" w:rsidP="00C50AE5">
            <w:pPr>
              <w:pStyle w:val="Tabletext"/>
              <w:jc w:val="center"/>
              <w:rPr>
                <w:sz w:val="18"/>
                <w:szCs w:val="18"/>
                <w:lang w:val="fr-FR"/>
              </w:rPr>
            </w:pPr>
            <w:r w:rsidRPr="00075DC8">
              <w:rPr>
                <w:sz w:val="18"/>
                <w:szCs w:val="18"/>
                <w:lang w:val="fr-FR"/>
              </w:rPr>
              <w:t>20,6</w:t>
            </w:r>
            <w:r w:rsidRPr="00075DC8">
              <w:rPr>
                <w:sz w:val="18"/>
                <w:szCs w:val="18"/>
                <w:lang w:val="fr-FR" w:eastAsia="ja-JP"/>
              </w:rPr>
              <w:t>…</w:t>
            </w:r>
            <w:r w:rsidRPr="00075DC8">
              <w:rPr>
                <w:sz w:val="18"/>
                <w:szCs w:val="18"/>
                <w:lang w:val="fr-FR"/>
              </w:rPr>
              <w:t>37,5</w:t>
            </w:r>
          </w:p>
        </w:tc>
        <w:tc>
          <w:tcPr>
            <w:tcW w:w="1215" w:type="dxa"/>
          </w:tcPr>
          <w:p w14:paraId="2CB6B94F" w14:textId="77777777" w:rsidR="00725E50" w:rsidRPr="00075DC8" w:rsidRDefault="00725E50" w:rsidP="00C50AE5">
            <w:pPr>
              <w:pStyle w:val="Tabletext"/>
              <w:jc w:val="center"/>
              <w:rPr>
                <w:sz w:val="18"/>
                <w:szCs w:val="18"/>
                <w:lang w:val="fr-FR"/>
              </w:rPr>
            </w:pPr>
            <w:r w:rsidRPr="00075DC8">
              <w:rPr>
                <w:sz w:val="18"/>
                <w:szCs w:val="18"/>
                <w:lang w:val="fr-FR"/>
              </w:rPr>
              <w:t>25,7…45,9</w:t>
            </w:r>
          </w:p>
        </w:tc>
        <w:tc>
          <w:tcPr>
            <w:tcW w:w="1162" w:type="dxa"/>
          </w:tcPr>
          <w:p w14:paraId="78EFC95D" w14:textId="77777777" w:rsidR="00725E50" w:rsidRPr="00075DC8" w:rsidRDefault="00725E50" w:rsidP="00C50AE5">
            <w:pPr>
              <w:pStyle w:val="Tabletext"/>
              <w:jc w:val="center"/>
              <w:rPr>
                <w:sz w:val="18"/>
                <w:szCs w:val="18"/>
                <w:lang w:val="fr-FR" w:eastAsia="ja-JP"/>
              </w:rPr>
            </w:pPr>
            <w:r w:rsidRPr="00075DC8">
              <w:rPr>
                <w:sz w:val="18"/>
                <w:szCs w:val="18"/>
                <w:lang w:val="fr-FR"/>
              </w:rPr>
              <w:t>27,1…42,2</w:t>
            </w:r>
          </w:p>
        </w:tc>
        <w:tc>
          <w:tcPr>
            <w:tcW w:w="1163" w:type="dxa"/>
          </w:tcPr>
          <w:p w14:paraId="220CE16F" w14:textId="77777777" w:rsidR="00725E50" w:rsidRPr="00075DC8" w:rsidRDefault="00725E50" w:rsidP="00C50AE5">
            <w:pPr>
              <w:pStyle w:val="Tabletext"/>
              <w:jc w:val="center"/>
              <w:rPr>
                <w:sz w:val="18"/>
                <w:szCs w:val="18"/>
                <w:lang w:val="fr-FR" w:eastAsia="ja-JP"/>
              </w:rPr>
            </w:pPr>
            <w:r w:rsidRPr="00075DC8">
              <w:rPr>
                <w:sz w:val="18"/>
                <w:szCs w:val="18"/>
                <w:lang w:val="fr-FR"/>
              </w:rPr>
              <w:t>15,8…48,8</w:t>
            </w:r>
          </w:p>
        </w:tc>
      </w:tr>
      <w:tr w:rsidR="00725E50" w:rsidRPr="00075DC8" w14:paraId="0552AD01" w14:textId="77777777" w:rsidTr="00C50AE5">
        <w:trPr>
          <w:jc w:val="center"/>
        </w:trPr>
        <w:tc>
          <w:tcPr>
            <w:tcW w:w="2968" w:type="dxa"/>
            <w:tcMar>
              <w:left w:w="57" w:type="dxa"/>
              <w:right w:w="57" w:type="dxa"/>
            </w:tcMar>
          </w:tcPr>
          <w:p w14:paraId="6EDE7ACB" w14:textId="77777777" w:rsidR="00725E50" w:rsidRPr="00075DC8" w:rsidRDefault="00725E50" w:rsidP="00C50AE5">
            <w:pPr>
              <w:pStyle w:val="Tabletext"/>
              <w:jc w:val="left"/>
              <w:rPr>
                <w:sz w:val="18"/>
                <w:szCs w:val="18"/>
                <w:lang w:val="fr-FR"/>
              </w:rPr>
            </w:pPr>
            <w:r w:rsidRPr="00075DC8">
              <w:rPr>
                <w:sz w:val="18"/>
                <w:szCs w:val="18"/>
                <w:lang w:val="fr-FR" w:eastAsia="ja-JP"/>
              </w:rPr>
              <w:t>Plage des densités de</w:t>
            </w:r>
            <w:r w:rsidRPr="00075DC8">
              <w:rPr>
                <w:sz w:val="18"/>
                <w:szCs w:val="18"/>
                <w:lang w:val="fr-FR"/>
              </w:rPr>
              <w:t xml:space="preserve"> p.i.r.e. (dBW/MHz)</w:t>
            </w:r>
            <w:r w:rsidRPr="00075DC8">
              <w:rPr>
                <w:sz w:val="18"/>
                <w:szCs w:val="18"/>
                <w:vertAlign w:val="superscript"/>
                <w:lang w:val="fr-FR" w:eastAsia="ja-JP"/>
              </w:rPr>
              <w:t>(1)</w:t>
            </w:r>
          </w:p>
        </w:tc>
        <w:tc>
          <w:tcPr>
            <w:tcW w:w="856" w:type="dxa"/>
            <w:vMerge/>
          </w:tcPr>
          <w:p w14:paraId="6819BB66" w14:textId="77777777" w:rsidR="00725E50" w:rsidRPr="00075DC8" w:rsidRDefault="00725E50" w:rsidP="00C50AE5">
            <w:pPr>
              <w:pStyle w:val="Tabletext"/>
              <w:jc w:val="center"/>
              <w:rPr>
                <w:sz w:val="18"/>
                <w:szCs w:val="18"/>
                <w:lang w:val="fr-FR"/>
              </w:rPr>
            </w:pPr>
          </w:p>
        </w:tc>
        <w:tc>
          <w:tcPr>
            <w:tcW w:w="856" w:type="dxa"/>
            <w:vMerge/>
          </w:tcPr>
          <w:p w14:paraId="3E37296C" w14:textId="77777777" w:rsidR="00725E50" w:rsidRPr="00075DC8" w:rsidRDefault="00725E50" w:rsidP="00C50AE5">
            <w:pPr>
              <w:pStyle w:val="Tabletext"/>
              <w:jc w:val="center"/>
              <w:rPr>
                <w:sz w:val="18"/>
                <w:szCs w:val="18"/>
                <w:lang w:val="fr-FR"/>
              </w:rPr>
            </w:pPr>
          </w:p>
        </w:tc>
        <w:tc>
          <w:tcPr>
            <w:tcW w:w="1188" w:type="dxa"/>
            <w:vMerge/>
          </w:tcPr>
          <w:p w14:paraId="653CE741" w14:textId="77777777" w:rsidR="00725E50" w:rsidRPr="00075DC8" w:rsidRDefault="00725E50" w:rsidP="00C50AE5">
            <w:pPr>
              <w:pStyle w:val="Tabletext"/>
              <w:jc w:val="center"/>
              <w:rPr>
                <w:sz w:val="18"/>
                <w:szCs w:val="18"/>
                <w:lang w:val="fr-FR"/>
              </w:rPr>
            </w:pPr>
          </w:p>
        </w:tc>
        <w:tc>
          <w:tcPr>
            <w:tcW w:w="1189" w:type="dxa"/>
          </w:tcPr>
          <w:p w14:paraId="6C808C57"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0,0…5,0</w:t>
            </w:r>
          </w:p>
        </w:tc>
        <w:tc>
          <w:tcPr>
            <w:tcW w:w="1324" w:type="dxa"/>
          </w:tcPr>
          <w:p w14:paraId="1A94DCBE" w14:textId="77777777" w:rsidR="00725E50" w:rsidRPr="00075DC8" w:rsidRDefault="00725E50" w:rsidP="00C50AE5">
            <w:pPr>
              <w:pStyle w:val="Tabletext"/>
              <w:jc w:val="center"/>
              <w:rPr>
                <w:sz w:val="18"/>
                <w:szCs w:val="18"/>
                <w:lang w:val="fr-FR"/>
              </w:rPr>
            </w:pPr>
            <w:r w:rsidRPr="00075DC8">
              <w:rPr>
                <w:sz w:val="18"/>
                <w:szCs w:val="18"/>
                <w:lang w:val="fr-FR"/>
              </w:rPr>
              <w:t>−</w:t>
            </w:r>
            <w:r w:rsidRPr="00075DC8">
              <w:rPr>
                <w:sz w:val="18"/>
                <w:szCs w:val="18"/>
                <w:lang w:val="fr-FR" w:eastAsia="ja-JP"/>
              </w:rPr>
              <w:t>3,7…5,0</w:t>
            </w:r>
          </w:p>
        </w:tc>
        <w:tc>
          <w:tcPr>
            <w:tcW w:w="1325" w:type="dxa"/>
          </w:tcPr>
          <w:p w14:paraId="5BE537AB" w14:textId="77777777" w:rsidR="00725E50" w:rsidRPr="00075DC8" w:rsidRDefault="00725E50" w:rsidP="00C50AE5">
            <w:pPr>
              <w:pStyle w:val="Tabletext"/>
              <w:jc w:val="center"/>
              <w:rPr>
                <w:sz w:val="18"/>
                <w:szCs w:val="18"/>
                <w:lang w:val="fr-FR"/>
              </w:rPr>
            </w:pPr>
            <w:r w:rsidRPr="00075DC8">
              <w:rPr>
                <w:sz w:val="18"/>
                <w:szCs w:val="18"/>
                <w:lang w:val="fr-FR" w:eastAsia="ja-JP"/>
              </w:rPr>
              <w:t>0,0…5,0</w:t>
            </w:r>
          </w:p>
        </w:tc>
        <w:tc>
          <w:tcPr>
            <w:tcW w:w="1213" w:type="dxa"/>
          </w:tcPr>
          <w:p w14:paraId="03958260" w14:textId="77777777" w:rsidR="00725E50" w:rsidRPr="00075DC8" w:rsidRDefault="00725E50" w:rsidP="00C50AE5">
            <w:pPr>
              <w:pStyle w:val="Tabletext"/>
              <w:jc w:val="center"/>
              <w:rPr>
                <w:sz w:val="18"/>
                <w:szCs w:val="18"/>
                <w:lang w:val="fr-FR" w:eastAsia="ja-JP"/>
              </w:rPr>
            </w:pPr>
            <w:r w:rsidRPr="00075DC8">
              <w:rPr>
                <w:sz w:val="18"/>
                <w:szCs w:val="18"/>
                <w:lang w:val="fr-FR"/>
              </w:rPr>
              <w:t>4,6</w:t>
            </w:r>
            <w:r w:rsidRPr="00075DC8">
              <w:rPr>
                <w:sz w:val="18"/>
                <w:szCs w:val="18"/>
                <w:lang w:val="fr-FR" w:eastAsia="ja-JP"/>
              </w:rPr>
              <w:t>…</w:t>
            </w:r>
            <w:r w:rsidRPr="00075DC8">
              <w:rPr>
                <w:sz w:val="18"/>
                <w:szCs w:val="18"/>
                <w:lang w:val="fr-FR"/>
              </w:rPr>
              <w:t>21,5</w:t>
            </w:r>
          </w:p>
          <w:p w14:paraId="19B75BE4" w14:textId="77777777" w:rsidR="00725E50" w:rsidRPr="00075DC8" w:rsidRDefault="00725E50" w:rsidP="00C50AE5">
            <w:pPr>
              <w:pStyle w:val="Tabletext"/>
              <w:jc w:val="center"/>
              <w:rPr>
                <w:b/>
                <w:sz w:val="18"/>
                <w:szCs w:val="18"/>
                <w:lang w:val="fr-FR" w:eastAsia="ja-JP"/>
              </w:rPr>
            </w:pPr>
            <w:r w:rsidRPr="00075DC8">
              <w:rPr>
                <w:sz w:val="18"/>
                <w:szCs w:val="18"/>
                <w:lang w:val="fr-FR" w:eastAsia="ja-JP"/>
              </w:rPr>
              <w:t>(Mode 14,3)</w:t>
            </w:r>
          </w:p>
        </w:tc>
        <w:tc>
          <w:tcPr>
            <w:tcW w:w="1215" w:type="dxa"/>
          </w:tcPr>
          <w:p w14:paraId="2A4D0A74" w14:textId="77777777" w:rsidR="00725E50" w:rsidRPr="00075DC8" w:rsidRDefault="00725E50" w:rsidP="00C50AE5">
            <w:pPr>
              <w:pStyle w:val="Tabletext"/>
              <w:jc w:val="center"/>
              <w:rPr>
                <w:b/>
                <w:sz w:val="18"/>
                <w:szCs w:val="18"/>
                <w:lang w:val="fr-FR" w:eastAsia="ja-JP"/>
              </w:rPr>
            </w:pPr>
            <w:r w:rsidRPr="00075DC8">
              <w:rPr>
                <w:sz w:val="18"/>
                <w:szCs w:val="18"/>
                <w:lang w:val="fr-FR" w:eastAsia="ja-JP"/>
              </w:rPr>
              <w:t>10,9…31,1</w:t>
            </w:r>
            <w:r w:rsidRPr="00075DC8">
              <w:rPr>
                <w:sz w:val="18"/>
                <w:szCs w:val="18"/>
                <w:lang w:val="fr-FR" w:eastAsia="ja-JP"/>
              </w:rPr>
              <w:br/>
              <w:t>(Mode 26,9)</w:t>
            </w:r>
          </w:p>
        </w:tc>
        <w:tc>
          <w:tcPr>
            <w:tcW w:w="1162" w:type="dxa"/>
          </w:tcPr>
          <w:p w14:paraId="6896C8B3" w14:textId="77777777" w:rsidR="00725E50" w:rsidRPr="00075DC8" w:rsidRDefault="00725E50" w:rsidP="00C50AE5">
            <w:pPr>
              <w:pStyle w:val="Tabletext"/>
              <w:jc w:val="center"/>
              <w:rPr>
                <w:b/>
                <w:sz w:val="18"/>
                <w:szCs w:val="18"/>
                <w:lang w:val="fr-FR" w:eastAsia="ja-JP"/>
              </w:rPr>
            </w:pPr>
            <w:r w:rsidRPr="00075DC8">
              <w:rPr>
                <w:sz w:val="18"/>
                <w:szCs w:val="18"/>
                <w:lang w:val="fr-FR"/>
              </w:rPr>
              <w:t>14,1…29,1 (Mode 21,7)</w:t>
            </w:r>
          </w:p>
        </w:tc>
        <w:tc>
          <w:tcPr>
            <w:tcW w:w="1163" w:type="dxa"/>
          </w:tcPr>
          <w:p w14:paraId="7B9E5C95" w14:textId="77777777" w:rsidR="00725E50" w:rsidRPr="00075DC8" w:rsidRDefault="00725E50" w:rsidP="00C50AE5">
            <w:pPr>
              <w:pStyle w:val="Tabletext"/>
              <w:jc w:val="center"/>
              <w:rPr>
                <w:b/>
                <w:sz w:val="18"/>
                <w:szCs w:val="18"/>
                <w:lang w:val="fr-FR" w:eastAsia="ja-JP"/>
              </w:rPr>
            </w:pPr>
            <w:r w:rsidRPr="00075DC8">
              <w:rPr>
                <w:sz w:val="18"/>
                <w:szCs w:val="18"/>
                <w:lang w:val="fr-FR"/>
              </w:rPr>
              <w:t>−0,2…32,7</w:t>
            </w:r>
            <w:r w:rsidRPr="00075DC8">
              <w:rPr>
                <w:sz w:val="18"/>
                <w:szCs w:val="18"/>
                <w:lang w:val="fr-FR"/>
              </w:rPr>
              <w:br/>
              <w:t>(Mode </w:t>
            </w:r>
            <w:r w:rsidRPr="00075DC8">
              <w:rPr>
                <w:sz w:val="18"/>
                <w:szCs w:val="18"/>
                <w:lang w:val="fr-FR" w:eastAsia="ja-JP"/>
              </w:rPr>
              <w:t>8,2…</w:t>
            </w:r>
            <w:r w:rsidRPr="00075DC8">
              <w:rPr>
                <w:sz w:val="18"/>
                <w:szCs w:val="18"/>
                <w:lang w:val="fr-FR"/>
              </w:rPr>
              <w:t>24,2)</w:t>
            </w:r>
          </w:p>
        </w:tc>
      </w:tr>
      <w:tr w:rsidR="00725E50" w:rsidRPr="00075DC8" w14:paraId="0155A9AB" w14:textId="77777777" w:rsidTr="00C50AE5">
        <w:trPr>
          <w:jc w:val="center"/>
        </w:trPr>
        <w:tc>
          <w:tcPr>
            <w:tcW w:w="2968" w:type="dxa"/>
            <w:tcMar>
              <w:left w:w="57" w:type="dxa"/>
              <w:right w:w="57" w:type="dxa"/>
            </w:tcMar>
          </w:tcPr>
          <w:p w14:paraId="4FC3AFFE" w14:textId="77777777" w:rsidR="00725E50" w:rsidRPr="00075DC8" w:rsidRDefault="00725E50" w:rsidP="00C50AE5">
            <w:pPr>
              <w:pStyle w:val="Tabletext"/>
              <w:jc w:val="left"/>
              <w:rPr>
                <w:sz w:val="18"/>
                <w:szCs w:val="18"/>
                <w:lang w:val="fr-FR"/>
              </w:rPr>
            </w:pPr>
            <w:r w:rsidRPr="00075DC8">
              <w:rPr>
                <w:sz w:val="18"/>
                <w:szCs w:val="18"/>
                <w:lang w:val="fr-FR" w:eastAsia="ja-JP"/>
              </w:rPr>
              <w:t xml:space="preserve">Facteur de bruit type du récepteur </w:t>
            </w:r>
            <w:r w:rsidRPr="00075DC8">
              <w:rPr>
                <w:sz w:val="18"/>
                <w:szCs w:val="18"/>
                <w:lang w:val="fr-FR"/>
              </w:rPr>
              <w:t>(dB)</w:t>
            </w:r>
          </w:p>
        </w:tc>
        <w:tc>
          <w:tcPr>
            <w:tcW w:w="856" w:type="dxa"/>
            <w:vMerge/>
          </w:tcPr>
          <w:p w14:paraId="214378B2" w14:textId="77777777" w:rsidR="00725E50" w:rsidRPr="00075DC8" w:rsidRDefault="00725E50" w:rsidP="00C50AE5">
            <w:pPr>
              <w:pStyle w:val="Tabletext"/>
              <w:jc w:val="center"/>
              <w:rPr>
                <w:sz w:val="18"/>
                <w:szCs w:val="18"/>
                <w:lang w:val="fr-FR"/>
              </w:rPr>
            </w:pPr>
          </w:p>
        </w:tc>
        <w:tc>
          <w:tcPr>
            <w:tcW w:w="856" w:type="dxa"/>
            <w:vMerge/>
          </w:tcPr>
          <w:p w14:paraId="3479FAD7" w14:textId="77777777" w:rsidR="00725E50" w:rsidRPr="00075DC8" w:rsidRDefault="00725E50" w:rsidP="00C50AE5">
            <w:pPr>
              <w:pStyle w:val="Tabletext"/>
              <w:jc w:val="center"/>
              <w:rPr>
                <w:sz w:val="18"/>
                <w:szCs w:val="18"/>
                <w:lang w:val="fr-FR"/>
              </w:rPr>
            </w:pPr>
          </w:p>
        </w:tc>
        <w:tc>
          <w:tcPr>
            <w:tcW w:w="1188" w:type="dxa"/>
            <w:vMerge/>
          </w:tcPr>
          <w:p w14:paraId="4698CA18" w14:textId="77777777" w:rsidR="00725E50" w:rsidRPr="00075DC8" w:rsidRDefault="00725E50" w:rsidP="00C50AE5">
            <w:pPr>
              <w:pStyle w:val="Tabletext"/>
              <w:jc w:val="center"/>
              <w:rPr>
                <w:sz w:val="18"/>
                <w:szCs w:val="18"/>
                <w:lang w:val="fr-FR" w:eastAsia="ja-JP"/>
              </w:rPr>
            </w:pPr>
          </w:p>
        </w:tc>
        <w:tc>
          <w:tcPr>
            <w:tcW w:w="1189" w:type="dxa"/>
          </w:tcPr>
          <w:p w14:paraId="6E8DD933" w14:textId="77777777" w:rsidR="00725E50" w:rsidRPr="00075DC8" w:rsidRDefault="00725E50" w:rsidP="00C50AE5">
            <w:pPr>
              <w:pStyle w:val="Tabletext"/>
              <w:jc w:val="center"/>
              <w:rPr>
                <w:sz w:val="18"/>
                <w:szCs w:val="18"/>
                <w:lang w:val="fr-FR"/>
              </w:rPr>
            </w:pPr>
            <w:r w:rsidRPr="00075DC8">
              <w:rPr>
                <w:sz w:val="18"/>
                <w:szCs w:val="18"/>
                <w:lang w:val="fr-FR"/>
              </w:rPr>
              <w:t>6,5</w:t>
            </w:r>
          </w:p>
        </w:tc>
        <w:tc>
          <w:tcPr>
            <w:tcW w:w="1324" w:type="dxa"/>
          </w:tcPr>
          <w:p w14:paraId="52D27B9A" w14:textId="77777777" w:rsidR="00725E50" w:rsidRPr="00075DC8" w:rsidRDefault="00725E50" w:rsidP="00C50AE5">
            <w:pPr>
              <w:pStyle w:val="Tabletext"/>
              <w:jc w:val="center"/>
              <w:rPr>
                <w:sz w:val="18"/>
                <w:szCs w:val="18"/>
                <w:lang w:val="fr-FR"/>
              </w:rPr>
            </w:pPr>
            <w:r w:rsidRPr="00075DC8">
              <w:rPr>
                <w:sz w:val="18"/>
                <w:szCs w:val="18"/>
                <w:lang w:val="fr-FR" w:eastAsia="ja-JP"/>
              </w:rPr>
              <w:t>6,5…</w:t>
            </w:r>
            <w:r w:rsidRPr="00075DC8">
              <w:rPr>
                <w:sz w:val="18"/>
                <w:szCs w:val="18"/>
                <w:lang w:val="fr-FR"/>
              </w:rPr>
              <w:t>7</w:t>
            </w:r>
          </w:p>
        </w:tc>
        <w:tc>
          <w:tcPr>
            <w:tcW w:w="1325" w:type="dxa"/>
          </w:tcPr>
          <w:p w14:paraId="6FDCA95F" w14:textId="77777777" w:rsidR="00725E50" w:rsidRPr="00075DC8" w:rsidRDefault="00725E50" w:rsidP="00C50AE5">
            <w:pPr>
              <w:pStyle w:val="Tabletext"/>
              <w:jc w:val="center"/>
              <w:rPr>
                <w:sz w:val="18"/>
                <w:szCs w:val="18"/>
                <w:lang w:val="fr-FR"/>
              </w:rPr>
            </w:pPr>
            <w:r w:rsidRPr="00075DC8">
              <w:rPr>
                <w:sz w:val="18"/>
                <w:szCs w:val="18"/>
                <w:lang w:val="fr-FR"/>
              </w:rPr>
              <w:t>6,5</w:t>
            </w:r>
          </w:p>
        </w:tc>
        <w:tc>
          <w:tcPr>
            <w:tcW w:w="1213" w:type="dxa"/>
          </w:tcPr>
          <w:p w14:paraId="7F5A86F6"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5</w:t>
            </w:r>
          </w:p>
        </w:tc>
        <w:tc>
          <w:tcPr>
            <w:tcW w:w="1215" w:type="dxa"/>
          </w:tcPr>
          <w:p w14:paraId="4EF88979"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4,0</w:t>
            </w:r>
          </w:p>
        </w:tc>
        <w:tc>
          <w:tcPr>
            <w:tcW w:w="1162" w:type="dxa"/>
          </w:tcPr>
          <w:p w14:paraId="2FBEB569"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3,5</w:t>
            </w:r>
          </w:p>
        </w:tc>
        <w:tc>
          <w:tcPr>
            <w:tcW w:w="1163" w:type="dxa"/>
          </w:tcPr>
          <w:p w14:paraId="42423770"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3,5</w:t>
            </w:r>
          </w:p>
        </w:tc>
      </w:tr>
      <w:tr w:rsidR="00725E50" w:rsidRPr="00075DC8" w14:paraId="3167B8BA" w14:textId="77777777" w:rsidTr="00C50AE5">
        <w:trPr>
          <w:jc w:val="center"/>
        </w:trPr>
        <w:tc>
          <w:tcPr>
            <w:tcW w:w="2968" w:type="dxa"/>
            <w:tcMar>
              <w:left w:w="57" w:type="dxa"/>
              <w:right w:w="57" w:type="dxa"/>
            </w:tcMar>
          </w:tcPr>
          <w:p w14:paraId="4E5AC0C3" w14:textId="77777777" w:rsidR="00725E50" w:rsidRPr="00075DC8" w:rsidRDefault="00725E50" w:rsidP="00C50AE5">
            <w:pPr>
              <w:pStyle w:val="Tabletext"/>
              <w:jc w:val="left"/>
              <w:rPr>
                <w:sz w:val="18"/>
                <w:szCs w:val="18"/>
                <w:lang w:val="fr-FR"/>
              </w:rPr>
            </w:pPr>
            <w:r w:rsidRPr="00075DC8">
              <w:rPr>
                <w:sz w:val="18"/>
                <w:szCs w:val="18"/>
                <w:lang w:val="fr-FR" w:eastAsia="ja-JP"/>
              </w:rPr>
              <w:t>Densité type de puissance du bruit du récepteur</w:t>
            </w:r>
            <w:r w:rsidRPr="00075DC8">
              <w:rPr>
                <w:sz w:val="18"/>
                <w:szCs w:val="18"/>
                <w:lang w:val="fr-FR"/>
              </w:rPr>
              <w:t xml:space="preserve"> </w:t>
            </w:r>
            <w:r w:rsidRPr="00075DC8">
              <w:rPr>
                <w:sz w:val="18"/>
                <w:szCs w:val="18"/>
                <w:lang w:val="fr-FR" w:eastAsia="ja-JP"/>
              </w:rPr>
              <w:t>(=</w:t>
            </w:r>
            <w:r w:rsidRPr="00075DC8">
              <w:rPr>
                <w:i/>
                <w:iCs/>
                <w:sz w:val="18"/>
                <w:szCs w:val="18"/>
                <w:lang w:val="fr-FR" w:eastAsia="ja-JP"/>
              </w:rPr>
              <w:t>N</w:t>
            </w:r>
            <w:r w:rsidRPr="00075DC8">
              <w:rPr>
                <w:i/>
                <w:iCs/>
                <w:sz w:val="18"/>
                <w:szCs w:val="18"/>
                <w:vertAlign w:val="subscript"/>
                <w:lang w:val="fr-FR"/>
              </w:rPr>
              <w:t>RX</w:t>
            </w:r>
            <w:r w:rsidRPr="00075DC8">
              <w:rPr>
                <w:sz w:val="18"/>
                <w:szCs w:val="18"/>
                <w:lang w:val="fr-FR" w:eastAsia="ja-JP"/>
              </w:rPr>
              <w:t>)</w:t>
            </w:r>
            <w:r w:rsidRPr="00075DC8">
              <w:rPr>
                <w:sz w:val="18"/>
                <w:szCs w:val="18"/>
                <w:lang w:val="fr-FR"/>
              </w:rPr>
              <w:t xml:space="preserve"> (dBW/MHz)</w:t>
            </w:r>
          </w:p>
        </w:tc>
        <w:tc>
          <w:tcPr>
            <w:tcW w:w="856" w:type="dxa"/>
            <w:vMerge/>
          </w:tcPr>
          <w:p w14:paraId="0AA1E929" w14:textId="77777777" w:rsidR="00725E50" w:rsidRPr="00075DC8" w:rsidRDefault="00725E50" w:rsidP="00C50AE5">
            <w:pPr>
              <w:pStyle w:val="Tabletext"/>
              <w:jc w:val="center"/>
              <w:rPr>
                <w:sz w:val="18"/>
                <w:szCs w:val="18"/>
                <w:lang w:val="fr-FR"/>
              </w:rPr>
            </w:pPr>
          </w:p>
        </w:tc>
        <w:tc>
          <w:tcPr>
            <w:tcW w:w="856" w:type="dxa"/>
            <w:vMerge/>
          </w:tcPr>
          <w:p w14:paraId="007A938E" w14:textId="77777777" w:rsidR="00725E50" w:rsidRPr="00075DC8" w:rsidRDefault="00725E50" w:rsidP="00C50AE5">
            <w:pPr>
              <w:pStyle w:val="Tabletext"/>
              <w:jc w:val="center"/>
              <w:rPr>
                <w:sz w:val="18"/>
                <w:szCs w:val="18"/>
                <w:lang w:val="fr-FR"/>
              </w:rPr>
            </w:pPr>
          </w:p>
        </w:tc>
        <w:tc>
          <w:tcPr>
            <w:tcW w:w="1188" w:type="dxa"/>
            <w:vMerge/>
          </w:tcPr>
          <w:p w14:paraId="797B50E6" w14:textId="77777777" w:rsidR="00725E50" w:rsidRPr="00075DC8" w:rsidRDefault="00725E50" w:rsidP="00C50AE5">
            <w:pPr>
              <w:pStyle w:val="Tabletext"/>
              <w:jc w:val="center"/>
              <w:rPr>
                <w:sz w:val="18"/>
                <w:szCs w:val="18"/>
                <w:lang w:val="fr-FR" w:eastAsia="ja-JP"/>
              </w:rPr>
            </w:pPr>
          </w:p>
        </w:tc>
        <w:tc>
          <w:tcPr>
            <w:tcW w:w="1189" w:type="dxa"/>
          </w:tcPr>
          <w:p w14:paraId="0ADB8F1B" w14:textId="77777777" w:rsidR="00725E50" w:rsidRPr="00075DC8" w:rsidRDefault="00725E50" w:rsidP="00C50AE5">
            <w:pPr>
              <w:pStyle w:val="Tabletext"/>
              <w:jc w:val="center"/>
              <w:rPr>
                <w:sz w:val="18"/>
                <w:szCs w:val="18"/>
                <w:lang w:val="fr-FR" w:eastAsia="ja-JP"/>
              </w:rPr>
            </w:pPr>
            <w:r w:rsidRPr="00075DC8">
              <w:rPr>
                <w:sz w:val="18"/>
                <w:szCs w:val="18"/>
                <w:lang w:val="fr-FR"/>
              </w:rPr>
              <w:t>−137,5</w:t>
            </w:r>
          </w:p>
        </w:tc>
        <w:tc>
          <w:tcPr>
            <w:tcW w:w="1324" w:type="dxa"/>
          </w:tcPr>
          <w:p w14:paraId="240DAE17" w14:textId="77777777" w:rsidR="00725E50" w:rsidRPr="00075DC8" w:rsidRDefault="00725E50" w:rsidP="00C50AE5">
            <w:pPr>
              <w:pStyle w:val="Tabletext"/>
              <w:jc w:val="center"/>
              <w:rPr>
                <w:sz w:val="18"/>
                <w:szCs w:val="18"/>
                <w:lang w:val="fr-FR" w:eastAsia="ja-JP"/>
              </w:rPr>
            </w:pPr>
            <w:r w:rsidRPr="00075DC8">
              <w:rPr>
                <w:sz w:val="18"/>
                <w:szCs w:val="18"/>
                <w:lang w:val="fr-FR"/>
              </w:rPr>
              <w:t>−</w:t>
            </w:r>
            <w:r w:rsidRPr="00075DC8">
              <w:rPr>
                <w:sz w:val="18"/>
                <w:szCs w:val="18"/>
                <w:lang w:val="fr-FR" w:eastAsia="ja-JP"/>
              </w:rPr>
              <w:t>137,5…</w:t>
            </w:r>
            <w:r w:rsidRPr="00075DC8">
              <w:rPr>
                <w:sz w:val="18"/>
                <w:szCs w:val="18"/>
                <w:lang w:val="fr-FR"/>
              </w:rPr>
              <w:t>−137</w:t>
            </w:r>
          </w:p>
        </w:tc>
        <w:tc>
          <w:tcPr>
            <w:tcW w:w="1325" w:type="dxa"/>
          </w:tcPr>
          <w:p w14:paraId="3BDC736F" w14:textId="77777777" w:rsidR="00725E50" w:rsidRPr="00075DC8" w:rsidRDefault="00725E50" w:rsidP="00C50AE5">
            <w:pPr>
              <w:pStyle w:val="Tabletext"/>
              <w:jc w:val="center"/>
              <w:rPr>
                <w:sz w:val="18"/>
                <w:szCs w:val="18"/>
                <w:lang w:val="fr-FR"/>
              </w:rPr>
            </w:pPr>
            <w:r w:rsidRPr="00075DC8">
              <w:rPr>
                <w:sz w:val="18"/>
                <w:szCs w:val="18"/>
                <w:lang w:val="fr-FR"/>
              </w:rPr>
              <w:t>−137,5</w:t>
            </w:r>
          </w:p>
        </w:tc>
        <w:tc>
          <w:tcPr>
            <w:tcW w:w="1213" w:type="dxa"/>
          </w:tcPr>
          <w:p w14:paraId="13454351"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−139</w:t>
            </w:r>
          </w:p>
        </w:tc>
        <w:tc>
          <w:tcPr>
            <w:tcW w:w="1215" w:type="dxa"/>
          </w:tcPr>
          <w:p w14:paraId="633433AB"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−140</w:t>
            </w:r>
          </w:p>
        </w:tc>
        <w:tc>
          <w:tcPr>
            <w:tcW w:w="1162" w:type="dxa"/>
          </w:tcPr>
          <w:p w14:paraId="64AF1EA1" w14:textId="77777777" w:rsidR="00725E50" w:rsidRPr="00075DC8" w:rsidRDefault="00725E50" w:rsidP="00C50AE5">
            <w:pPr>
              <w:pStyle w:val="Tabletext"/>
              <w:jc w:val="center"/>
              <w:rPr>
                <w:sz w:val="18"/>
                <w:szCs w:val="18"/>
                <w:lang w:val="fr-FR" w:eastAsia="ja-JP"/>
              </w:rPr>
            </w:pPr>
            <w:r w:rsidRPr="00075DC8">
              <w:rPr>
                <w:sz w:val="18"/>
                <w:szCs w:val="18"/>
                <w:lang w:val="fr-FR"/>
              </w:rPr>
              <w:t>−</w:t>
            </w:r>
            <w:r w:rsidRPr="00075DC8">
              <w:rPr>
                <w:sz w:val="18"/>
                <w:szCs w:val="18"/>
                <w:lang w:val="fr-FR" w:eastAsia="ja-JP"/>
              </w:rPr>
              <w:t>140,5</w:t>
            </w:r>
          </w:p>
        </w:tc>
        <w:tc>
          <w:tcPr>
            <w:tcW w:w="1163" w:type="dxa"/>
          </w:tcPr>
          <w:p w14:paraId="2D36FBD4"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−140,5</w:t>
            </w:r>
          </w:p>
        </w:tc>
      </w:tr>
      <w:tr w:rsidR="00725E50" w:rsidRPr="00075DC8" w14:paraId="479E4940" w14:textId="77777777" w:rsidTr="00C50AE5">
        <w:trPr>
          <w:jc w:val="center"/>
        </w:trPr>
        <w:tc>
          <w:tcPr>
            <w:tcW w:w="2968" w:type="dxa"/>
            <w:tcMar>
              <w:left w:w="57" w:type="dxa"/>
              <w:right w:w="57" w:type="dxa"/>
            </w:tcMar>
          </w:tcPr>
          <w:p w14:paraId="732680B3" w14:textId="293340EE" w:rsidR="00725E50" w:rsidRPr="00075DC8" w:rsidRDefault="00725E50" w:rsidP="00C50AE5">
            <w:pPr>
              <w:pStyle w:val="Tabletext"/>
              <w:jc w:val="left"/>
              <w:rPr>
                <w:sz w:val="18"/>
                <w:szCs w:val="18"/>
                <w:lang w:val="fr-FR"/>
              </w:rPr>
            </w:pPr>
            <w:r w:rsidRPr="00075DC8">
              <w:rPr>
                <w:sz w:val="18"/>
                <w:szCs w:val="18"/>
                <w:lang w:val="fr-FR" w:eastAsia="ja-JP"/>
              </w:rPr>
              <w:t>Niveau normalisé à l</w:t>
            </w:r>
            <w:r w:rsidR="001F6A0D" w:rsidRPr="00075DC8">
              <w:rPr>
                <w:sz w:val="18"/>
                <w:szCs w:val="18"/>
                <w:lang w:val="fr-FR" w:eastAsia="ja-JP"/>
              </w:rPr>
              <w:t>'</w:t>
            </w:r>
            <w:r w:rsidRPr="00075DC8">
              <w:rPr>
                <w:sz w:val="18"/>
                <w:szCs w:val="18"/>
                <w:lang w:val="fr-FR" w:eastAsia="ja-JP"/>
              </w:rPr>
              <w:t xml:space="preserve">entrée du récepteur pour un taux BER </w:t>
            </w:r>
            <w:r w:rsidRPr="00075DC8">
              <w:rPr>
                <w:sz w:val="18"/>
                <w:szCs w:val="18"/>
                <w:lang w:val="fr-FR"/>
              </w:rPr>
              <w:t>de 1 × 10</w:t>
            </w:r>
            <w:r w:rsidRPr="00075DC8">
              <w:rPr>
                <w:sz w:val="18"/>
                <w:szCs w:val="18"/>
                <w:vertAlign w:val="superscript"/>
                <w:lang w:val="fr-FR"/>
              </w:rPr>
              <w:t>−6</w:t>
            </w:r>
            <w:r w:rsidRPr="00075DC8">
              <w:rPr>
                <w:sz w:val="18"/>
                <w:szCs w:val="18"/>
                <w:lang w:val="fr-FR"/>
              </w:rPr>
              <w:t xml:space="preserve"> (dBW/MHz) </w:t>
            </w:r>
          </w:p>
        </w:tc>
        <w:tc>
          <w:tcPr>
            <w:tcW w:w="856" w:type="dxa"/>
            <w:vMerge/>
          </w:tcPr>
          <w:p w14:paraId="272437A8" w14:textId="77777777" w:rsidR="00725E50" w:rsidRPr="00075DC8" w:rsidRDefault="00725E50" w:rsidP="00C50AE5">
            <w:pPr>
              <w:pStyle w:val="Tabletext"/>
              <w:jc w:val="center"/>
              <w:rPr>
                <w:sz w:val="18"/>
                <w:szCs w:val="18"/>
                <w:lang w:val="fr-FR"/>
              </w:rPr>
            </w:pPr>
          </w:p>
        </w:tc>
        <w:tc>
          <w:tcPr>
            <w:tcW w:w="856" w:type="dxa"/>
            <w:vMerge/>
          </w:tcPr>
          <w:p w14:paraId="3377FFC6" w14:textId="77777777" w:rsidR="00725E50" w:rsidRPr="00075DC8" w:rsidRDefault="00725E50" w:rsidP="00C50AE5">
            <w:pPr>
              <w:pStyle w:val="Tabletext"/>
              <w:jc w:val="center"/>
              <w:rPr>
                <w:sz w:val="18"/>
                <w:szCs w:val="18"/>
                <w:lang w:val="fr-FR"/>
              </w:rPr>
            </w:pPr>
          </w:p>
        </w:tc>
        <w:tc>
          <w:tcPr>
            <w:tcW w:w="1188" w:type="dxa"/>
            <w:vMerge/>
          </w:tcPr>
          <w:p w14:paraId="1D9C1D4F" w14:textId="77777777" w:rsidR="00725E50" w:rsidRPr="00075DC8" w:rsidRDefault="00725E50" w:rsidP="00C50AE5">
            <w:pPr>
              <w:pStyle w:val="Tabletext"/>
              <w:jc w:val="center"/>
              <w:rPr>
                <w:sz w:val="18"/>
                <w:szCs w:val="18"/>
                <w:lang w:val="fr-FR" w:eastAsia="ja-JP"/>
              </w:rPr>
            </w:pPr>
          </w:p>
        </w:tc>
        <w:tc>
          <w:tcPr>
            <w:tcW w:w="1189" w:type="dxa"/>
          </w:tcPr>
          <w:p w14:paraId="091D1307" w14:textId="77777777" w:rsidR="00725E50" w:rsidRPr="00075DC8" w:rsidRDefault="00725E50" w:rsidP="00C50AE5">
            <w:pPr>
              <w:pStyle w:val="Tabletext"/>
              <w:jc w:val="center"/>
              <w:rPr>
                <w:sz w:val="18"/>
                <w:szCs w:val="18"/>
                <w:lang w:val="fr-FR"/>
              </w:rPr>
            </w:pPr>
            <w:r w:rsidRPr="00075DC8">
              <w:rPr>
                <w:sz w:val="18"/>
                <w:szCs w:val="18"/>
                <w:lang w:val="fr-FR"/>
              </w:rPr>
              <w:t>−</w:t>
            </w:r>
            <w:r w:rsidRPr="00075DC8">
              <w:rPr>
                <w:sz w:val="18"/>
                <w:szCs w:val="18"/>
                <w:lang w:val="fr-FR" w:eastAsia="ja-JP"/>
              </w:rPr>
              <w:t>104,9</w:t>
            </w:r>
          </w:p>
        </w:tc>
        <w:tc>
          <w:tcPr>
            <w:tcW w:w="1324" w:type="dxa"/>
          </w:tcPr>
          <w:p w14:paraId="3B6FB747" w14:textId="77777777" w:rsidR="00725E50" w:rsidRPr="00075DC8" w:rsidRDefault="00725E50" w:rsidP="00C50AE5">
            <w:pPr>
              <w:pStyle w:val="Tabletext"/>
              <w:jc w:val="center"/>
              <w:rPr>
                <w:sz w:val="18"/>
                <w:szCs w:val="18"/>
                <w:lang w:val="fr-FR"/>
              </w:rPr>
            </w:pPr>
            <w:r w:rsidRPr="00075DC8">
              <w:rPr>
                <w:sz w:val="18"/>
                <w:szCs w:val="18"/>
                <w:lang w:val="fr-FR"/>
              </w:rPr>
              <w:t>−</w:t>
            </w:r>
            <w:r w:rsidRPr="00075DC8">
              <w:rPr>
                <w:sz w:val="18"/>
                <w:szCs w:val="18"/>
                <w:lang w:val="fr-FR" w:eastAsia="ja-JP"/>
              </w:rPr>
              <w:t>117,0…</w:t>
            </w:r>
            <w:r w:rsidRPr="00075DC8">
              <w:rPr>
                <w:sz w:val="18"/>
                <w:szCs w:val="18"/>
                <w:lang w:val="fr-FR" w:eastAsia="ja-JP"/>
              </w:rPr>
              <w:br/>
            </w:r>
            <w:r w:rsidRPr="00075DC8">
              <w:rPr>
                <w:sz w:val="18"/>
                <w:szCs w:val="18"/>
                <w:lang w:val="fr-FR"/>
              </w:rPr>
              <w:t>−</w:t>
            </w:r>
            <w:r w:rsidRPr="00075DC8">
              <w:rPr>
                <w:sz w:val="18"/>
                <w:szCs w:val="18"/>
                <w:lang w:val="fr-FR" w:eastAsia="ja-JP"/>
              </w:rPr>
              <w:t>116,5</w:t>
            </w:r>
          </w:p>
        </w:tc>
        <w:tc>
          <w:tcPr>
            <w:tcW w:w="1325" w:type="dxa"/>
          </w:tcPr>
          <w:p w14:paraId="47D7006D" w14:textId="77777777" w:rsidR="00725E50" w:rsidRPr="00075DC8" w:rsidRDefault="00725E50" w:rsidP="00C50AE5">
            <w:pPr>
              <w:pStyle w:val="Tabletext"/>
              <w:jc w:val="center"/>
              <w:rPr>
                <w:sz w:val="18"/>
                <w:szCs w:val="18"/>
                <w:lang w:val="fr-FR" w:eastAsia="ja-JP"/>
              </w:rPr>
            </w:pPr>
            <w:r w:rsidRPr="00075DC8">
              <w:rPr>
                <w:sz w:val="18"/>
                <w:szCs w:val="18"/>
                <w:lang w:val="fr-FR"/>
              </w:rPr>
              <w:t>−</w:t>
            </w:r>
            <w:r w:rsidRPr="00075DC8">
              <w:rPr>
                <w:sz w:val="18"/>
                <w:szCs w:val="18"/>
                <w:lang w:val="fr-FR" w:eastAsia="ja-JP"/>
              </w:rPr>
              <w:t>104,9</w:t>
            </w:r>
          </w:p>
        </w:tc>
        <w:tc>
          <w:tcPr>
            <w:tcW w:w="1213" w:type="dxa"/>
          </w:tcPr>
          <w:p w14:paraId="1E382313"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−112,5</w:t>
            </w:r>
          </w:p>
        </w:tc>
        <w:tc>
          <w:tcPr>
            <w:tcW w:w="1215" w:type="dxa"/>
          </w:tcPr>
          <w:p w14:paraId="6AA662B2"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−110,5</w:t>
            </w:r>
          </w:p>
        </w:tc>
        <w:tc>
          <w:tcPr>
            <w:tcW w:w="1162" w:type="dxa"/>
          </w:tcPr>
          <w:p w14:paraId="0C253BDB" w14:textId="77777777" w:rsidR="00725E50" w:rsidRPr="00075DC8" w:rsidRDefault="00725E50" w:rsidP="00C50AE5">
            <w:pPr>
              <w:pStyle w:val="Tabletext"/>
              <w:jc w:val="center"/>
              <w:rPr>
                <w:sz w:val="18"/>
                <w:szCs w:val="18"/>
                <w:lang w:val="fr-FR" w:eastAsia="ja-JP"/>
              </w:rPr>
            </w:pPr>
            <w:r w:rsidRPr="00075DC8">
              <w:rPr>
                <w:sz w:val="18"/>
                <w:szCs w:val="18"/>
                <w:lang w:val="fr-FR"/>
              </w:rPr>
              <w:t>−127</w:t>
            </w:r>
          </w:p>
        </w:tc>
        <w:tc>
          <w:tcPr>
            <w:tcW w:w="1163" w:type="dxa"/>
          </w:tcPr>
          <w:p w14:paraId="0B75F756"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−114</w:t>
            </w:r>
          </w:p>
        </w:tc>
      </w:tr>
      <w:tr w:rsidR="00725E50" w:rsidRPr="00075DC8" w14:paraId="24341409" w14:textId="77777777" w:rsidTr="00C50AE5">
        <w:trPr>
          <w:jc w:val="center"/>
        </w:trPr>
        <w:tc>
          <w:tcPr>
            <w:tcW w:w="2968" w:type="dxa"/>
            <w:tcBorders>
              <w:bottom w:val="single" w:sz="4" w:space="0" w:color="auto"/>
            </w:tcBorders>
            <w:tcMar>
              <w:left w:w="57" w:type="dxa"/>
              <w:right w:w="57" w:type="dxa"/>
            </w:tcMar>
          </w:tcPr>
          <w:p w14:paraId="1E6D0022" w14:textId="77777777" w:rsidR="00725E50" w:rsidRPr="00075DC8" w:rsidRDefault="00725E50" w:rsidP="00C50AE5">
            <w:pPr>
              <w:pStyle w:val="Tabletext"/>
              <w:jc w:val="left"/>
              <w:rPr>
                <w:sz w:val="18"/>
                <w:szCs w:val="18"/>
                <w:lang w:val="fr-FR" w:eastAsia="ja-JP"/>
              </w:rPr>
            </w:pPr>
            <w:r w:rsidRPr="00075DC8">
              <w:rPr>
                <w:sz w:val="18"/>
                <w:szCs w:val="18"/>
                <w:lang w:val="fr-FR" w:eastAsia="ja-JP"/>
              </w:rPr>
              <w:t>Densité nominale de puissance de brouillage de longue durée</w:t>
            </w:r>
            <w:r w:rsidRPr="00075DC8">
              <w:rPr>
                <w:sz w:val="18"/>
                <w:szCs w:val="18"/>
                <w:lang w:val="fr-FR"/>
              </w:rPr>
              <w:t xml:space="preserve"> (dBW/MHz)</w:t>
            </w:r>
            <w:r w:rsidRPr="00075DC8">
              <w:rPr>
                <w:sz w:val="18"/>
                <w:szCs w:val="18"/>
                <w:vertAlign w:val="superscript"/>
                <w:lang w:val="fr-FR" w:eastAsia="ja-JP"/>
              </w:rPr>
              <w:t>(2)</w:t>
            </w:r>
          </w:p>
        </w:tc>
        <w:tc>
          <w:tcPr>
            <w:tcW w:w="856" w:type="dxa"/>
            <w:tcBorders>
              <w:bottom w:val="single" w:sz="4" w:space="0" w:color="auto"/>
            </w:tcBorders>
          </w:tcPr>
          <w:p w14:paraId="56AAD0B2" w14:textId="77777777" w:rsidR="00725E50" w:rsidRPr="00075DC8" w:rsidRDefault="00725E50" w:rsidP="00C50AE5">
            <w:pPr>
              <w:pStyle w:val="Tabletext"/>
              <w:jc w:val="center"/>
              <w:rPr>
                <w:sz w:val="18"/>
                <w:szCs w:val="18"/>
                <w:lang w:val="fr-FR" w:eastAsia="ja-JP"/>
              </w:rPr>
            </w:pPr>
            <w:r w:rsidRPr="00075DC8">
              <w:rPr>
                <w:i/>
                <w:iCs/>
                <w:sz w:val="18"/>
                <w:szCs w:val="18"/>
                <w:lang w:val="fr-FR" w:eastAsia="ja-JP"/>
              </w:rPr>
              <w:t>N</w:t>
            </w:r>
            <w:r w:rsidRPr="00075DC8">
              <w:rPr>
                <w:i/>
                <w:iCs/>
                <w:sz w:val="18"/>
                <w:szCs w:val="18"/>
                <w:vertAlign w:val="subscript"/>
                <w:lang w:val="fr-FR"/>
              </w:rPr>
              <w:t>RX</w:t>
            </w:r>
            <w:r w:rsidRPr="00075DC8">
              <w:rPr>
                <w:sz w:val="18"/>
                <w:szCs w:val="18"/>
                <w:lang w:val="fr-FR"/>
              </w:rPr>
              <w:t xml:space="preserve"> +</w:t>
            </w:r>
            <w:r w:rsidRPr="00075DC8">
              <w:rPr>
                <w:i/>
                <w:sz w:val="18"/>
                <w:szCs w:val="18"/>
                <w:lang w:val="fr-FR"/>
              </w:rPr>
              <w:t xml:space="preserve"> I</w:t>
            </w:r>
            <w:r w:rsidRPr="00075DC8">
              <w:rPr>
                <w:iCs/>
                <w:sz w:val="18"/>
                <w:szCs w:val="18"/>
                <w:lang w:val="fr-FR"/>
              </w:rPr>
              <w:t>/</w:t>
            </w:r>
            <w:r w:rsidRPr="00075DC8">
              <w:rPr>
                <w:i/>
                <w:sz w:val="18"/>
                <w:szCs w:val="18"/>
                <w:lang w:val="fr-FR"/>
              </w:rPr>
              <w:t>N</w:t>
            </w:r>
          </w:p>
        </w:tc>
        <w:tc>
          <w:tcPr>
            <w:tcW w:w="856" w:type="dxa"/>
            <w:tcBorders>
              <w:bottom w:val="single" w:sz="4" w:space="0" w:color="auto"/>
            </w:tcBorders>
          </w:tcPr>
          <w:p w14:paraId="72152D47" w14:textId="77777777" w:rsidR="00725E50" w:rsidRPr="00075DC8" w:rsidRDefault="00725E50" w:rsidP="00C50AE5">
            <w:pPr>
              <w:pStyle w:val="Tabletext"/>
              <w:jc w:val="center"/>
              <w:rPr>
                <w:sz w:val="18"/>
                <w:szCs w:val="18"/>
                <w:lang w:val="fr-FR" w:eastAsia="ja-JP"/>
              </w:rPr>
            </w:pPr>
            <w:r w:rsidRPr="00075DC8">
              <w:rPr>
                <w:i/>
                <w:iCs/>
                <w:sz w:val="18"/>
                <w:szCs w:val="18"/>
                <w:lang w:val="fr-FR" w:eastAsia="ja-JP"/>
              </w:rPr>
              <w:t>N</w:t>
            </w:r>
            <w:r w:rsidRPr="00075DC8">
              <w:rPr>
                <w:i/>
                <w:iCs/>
                <w:sz w:val="18"/>
                <w:szCs w:val="18"/>
                <w:vertAlign w:val="subscript"/>
                <w:lang w:val="fr-FR"/>
              </w:rPr>
              <w:t>RX</w:t>
            </w:r>
            <w:r w:rsidRPr="00075DC8">
              <w:rPr>
                <w:sz w:val="18"/>
                <w:szCs w:val="18"/>
                <w:lang w:val="fr-FR"/>
              </w:rPr>
              <w:t xml:space="preserve"> +</w:t>
            </w:r>
            <w:r w:rsidRPr="00075DC8">
              <w:rPr>
                <w:i/>
                <w:sz w:val="18"/>
                <w:szCs w:val="18"/>
                <w:lang w:val="fr-FR"/>
              </w:rPr>
              <w:t xml:space="preserve"> I</w:t>
            </w:r>
            <w:r w:rsidRPr="00075DC8">
              <w:rPr>
                <w:iCs/>
                <w:sz w:val="18"/>
                <w:szCs w:val="18"/>
                <w:lang w:val="fr-FR"/>
              </w:rPr>
              <w:t>/</w:t>
            </w:r>
            <w:r w:rsidRPr="00075DC8">
              <w:rPr>
                <w:i/>
                <w:sz w:val="18"/>
                <w:szCs w:val="18"/>
                <w:lang w:val="fr-FR"/>
              </w:rPr>
              <w:t>N</w:t>
            </w:r>
          </w:p>
        </w:tc>
        <w:tc>
          <w:tcPr>
            <w:tcW w:w="1188" w:type="dxa"/>
            <w:tcBorders>
              <w:bottom w:val="single" w:sz="4" w:space="0" w:color="auto"/>
            </w:tcBorders>
          </w:tcPr>
          <w:p w14:paraId="3176FD39" w14:textId="77777777" w:rsidR="00725E50" w:rsidRPr="00075DC8" w:rsidRDefault="00725E50" w:rsidP="00C50AE5">
            <w:pPr>
              <w:pStyle w:val="Tabletext"/>
              <w:jc w:val="center"/>
              <w:rPr>
                <w:sz w:val="18"/>
                <w:szCs w:val="18"/>
                <w:lang w:val="fr-FR" w:eastAsia="ja-JP"/>
              </w:rPr>
            </w:pPr>
            <w:r w:rsidRPr="00075DC8">
              <w:rPr>
                <w:i/>
                <w:iCs/>
                <w:sz w:val="18"/>
                <w:szCs w:val="18"/>
                <w:lang w:val="fr-FR" w:eastAsia="ja-JP"/>
              </w:rPr>
              <w:t>N</w:t>
            </w:r>
            <w:r w:rsidRPr="00075DC8">
              <w:rPr>
                <w:i/>
                <w:iCs/>
                <w:sz w:val="18"/>
                <w:szCs w:val="18"/>
                <w:vertAlign w:val="subscript"/>
                <w:lang w:val="fr-FR"/>
              </w:rPr>
              <w:t>RX</w:t>
            </w:r>
            <w:r w:rsidRPr="00075DC8">
              <w:rPr>
                <w:sz w:val="18"/>
                <w:szCs w:val="18"/>
                <w:lang w:val="fr-FR"/>
              </w:rPr>
              <w:t xml:space="preserve"> +</w:t>
            </w:r>
            <w:r w:rsidRPr="00075DC8">
              <w:rPr>
                <w:i/>
                <w:sz w:val="18"/>
                <w:szCs w:val="18"/>
                <w:lang w:val="fr-FR"/>
              </w:rPr>
              <w:t xml:space="preserve"> I</w:t>
            </w:r>
            <w:r w:rsidRPr="00075DC8">
              <w:rPr>
                <w:iCs/>
                <w:sz w:val="18"/>
                <w:szCs w:val="18"/>
                <w:lang w:val="fr-FR"/>
              </w:rPr>
              <w:t>/</w:t>
            </w:r>
            <w:r w:rsidRPr="00075DC8">
              <w:rPr>
                <w:i/>
                <w:sz w:val="18"/>
                <w:szCs w:val="18"/>
                <w:lang w:val="fr-FR"/>
              </w:rPr>
              <w:t>N</w:t>
            </w:r>
          </w:p>
        </w:tc>
        <w:tc>
          <w:tcPr>
            <w:tcW w:w="1189" w:type="dxa"/>
            <w:tcBorders>
              <w:bottom w:val="single" w:sz="4" w:space="0" w:color="auto"/>
            </w:tcBorders>
          </w:tcPr>
          <w:p w14:paraId="3CDD3412"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−137,5</w:t>
            </w:r>
            <w:r w:rsidRPr="00075DC8">
              <w:rPr>
                <w:i/>
                <w:iCs/>
                <w:sz w:val="18"/>
                <w:szCs w:val="18"/>
                <w:lang w:val="fr-FR" w:eastAsia="ja-JP"/>
              </w:rPr>
              <w:t xml:space="preserve"> + I</w:t>
            </w:r>
            <w:r w:rsidRPr="00075DC8">
              <w:rPr>
                <w:sz w:val="18"/>
                <w:szCs w:val="18"/>
                <w:lang w:val="fr-FR" w:eastAsia="ja-JP"/>
              </w:rPr>
              <w:t>/</w:t>
            </w:r>
            <w:r w:rsidRPr="00075DC8">
              <w:rPr>
                <w:i/>
                <w:iCs/>
                <w:sz w:val="18"/>
                <w:szCs w:val="18"/>
                <w:lang w:val="fr-FR" w:eastAsia="ja-JP"/>
              </w:rPr>
              <w:t>N</w:t>
            </w:r>
          </w:p>
        </w:tc>
        <w:tc>
          <w:tcPr>
            <w:tcW w:w="1324" w:type="dxa"/>
            <w:tcBorders>
              <w:bottom w:val="single" w:sz="4" w:space="0" w:color="auto"/>
            </w:tcBorders>
          </w:tcPr>
          <w:p w14:paraId="0D237181" w14:textId="77777777" w:rsidR="00725E50" w:rsidRPr="00075DC8" w:rsidRDefault="00725E50" w:rsidP="00C50AE5">
            <w:pPr>
              <w:pStyle w:val="Tabletext"/>
              <w:jc w:val="center"/>
              <w:rPr>
                <w:sz w:val="18"/>
                <w:szCs w:val="18"/>
                <w:lang w:val="fr-FR" w:eastAsia="ja-JP"/>
              </w:rPr>
            </w:pPr>
            <w:r w:rsidRPr="00075DC8">
              <w:rPr>
                <w:sz w:val="18"/>
                <w:szCs w:val="18"/>
                <w:lang w:val="fr-FR"/>
              </w:rPr>
              <w:t>−</w:t>
            </w:r>
            <w:r w:rsidRPr="00075DC8">
              <w:rPr>
                <w:sz w:val="18"/>
                <w:szCs w:val="18"/>
                <w:lang w:val="fr-FR" w:eastAsia="ja-JP"/>
              </w:rPr>
              <w:t>137,5…</w:t>
            </w:r>
            <w:r w:rsidRPr="00075DC8">
              <w:rPr>
                <w:sz w:val="18"/>
                <w:szCs w:val="18"/>
                <w:lang w:val="fr-FR" w:eastAsia="ja-JP"/>
              </w:rPr>
              <w:br/>
            </w:r>
            <w:r w:rsidRPr="00075DC8">
              <w:rPr>
                <w:sz w:val="18"/>
                <w:szCs w:val="18"/>
                <w:lang w:val="fr-FR"/>
              </w:rPr>
              <w:t>−137</w:t>
            </w:r>
            <w:r w:rsidRPr="00075DC8">
              <w:rPr>
                <w:sz w:val="18"/>
                <w:szCs w:val="18"/>
                <w:lang w:val="fr-FR" w:eastAsia="ja-JP"/>
              </w:rPr>
              <w:t xml:space="preserve"> </w:t>
            </w:r>
            <w:r w:rsidRPr="00075DC8">
              <w:rPr>
                <w:sz w:val="18"/>
                <w:szCs w:val="18"/>
                <w:lang w:val="fr-FR"/>
              </w:rPr>
              <w:t xml:space="preserve">+ </w:t>
            </w:r>
            <w:r w:rsidRPr="00075DC8">
              <w:rPr>
                <w:i/>
                <w:sz w:val="18"/>
                <w:szCs w:val="18"/>
                <w:lang w:val="fr-FR"/>
              </w:rPr>
              <w:t>I</w:t>
            </w:r>
            <w:r w:rsidRPr="00075DC8">
              <w:rPr>
                <w:iCs/>
                <w:sz w:val="18"/>
                <w:szCs w:val="18"/>
                <w:lang w:val="fr-FR"/>
              </w:rPr>
              <w:t>/</w:t>
            </w:r>
            <w:r w:rsidRPr="00075DC8">
              <w:rPr>
                <w:i/>
                <w:sz w:val="18"/>
                <w:szCs w:val="18"/>
                <w:lang w:val="fr-FR"/>
              </w:rPr>
              <w:t>N</w:t>
            </w:r>
          </w:p>
        </w:tc>
        <w:tc>
          <w:tcPr>
            <w:tcW w:w="1325" w:type="dxa"/>
            <w:tcBorders>
              <w:bottom w:val="single" w:sz="4" w:space="0" w:color="auto"/>
            </w:tcBorders>
          </w:tcPr>
          <w:p w14:paraId="23C628F9" w14:textId="4214CD57" w:rsidR="00725E50" w:rsidRPr="00075DC8" w:rsidRDefault="00725E50" w:rsidP="00C50AE5">
            <w:pPr>
              <w:pStyle w:val="Tabletext"/>
              <w:jc w:val="center"/>
              <w:rPr>
                <w:sz w:val="18"/>
                <w:szCs w:val="18"/>
                <w:lang w:val="fr-FR" w:eastAsia="ja-JP"/>
              </w:rPr>
            </w:pPr>
            <w:r w:rsidRPr="00075DC8">
              <w:rPr>
                <w:sz w:val="18"/>
                <w:szCs w:val="18"/>
                <w:lang w:val="fr-FR"/>
              </w:rPr>
              <w:t>−137,5</w:t>
            </w:r>
            <w:r w:rsidRPr="00075DC8">
              <w:rPr>
                <w:sz w:val="18"/>
                <w:szCs w:val="18"/>
                <w:lang w:val="fr-FR" w:eastAsia="ja-JP"/>
              </w:rPr>
              <w:t xml:space="preserve"> </w:t>
            </w:r>
            <w:r w:rsidRPr="00075DC8">
              <w:rPr>
                <w:sz w:val="18"/>
                <w:szCs w:val="18"/>
                <w:lang w:val="fr-FR"/>
              </w:rPr>
              <w:t xml:space="preserve">+ </w:t>
            </w:r>
            <w:r w:rsidRPr="00075DC8">
              <w:rPr>
                <w:i/>
                <w:sz w:val="18"/>
                <w:szCs w:val="18"/>
                <w:lang w:val="fr-FR"/>
              </w:rPr>
              <w:t>I</w:t>
            </w:r>
            <w:r w:rsidRPr="00075DC8">
              <w:rPr>
                <w:iCs/>
                <w:sz w:val="18"/>
                <w:szCs w:val="18"/>
                <w:lang w:val="fr-FR"/>
              </w:rPr>
              <w:t>/</w:t>
            </w:r>
            <w:r w:rsidRPr="00075DC8">
              <w:rPr>
                <w:i/>
                <w:sz w:val="18"/>
                <w:szCs w:val="18"/>
                <w:lang w:val="fr-FR"/>
              </w:rPr>
              <w:t>N</w:t>
            </w:r>
          </w:p>
        </w:tc>
        <w:tc>
          <w:tcPr>
            <w:tcW w:w="1213" w:type="dxa"/>
            <w:tcBorders>
              <w:bottom w:val="single" w:sz="4" w:space="0" w:color="auto"/>
            </w:tcBorders>
          </w:tcPr>
          <w:p w14:paraId="041E9A66"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−139</w:t>
            </w:r>
            <w:r w:rsidRPr="00075DC8">
              <w:rPr>
                <w:sz w:val="18"/>
                <w:szCs w:val="18"/>
                <w:lang w:val="fr-FR"/>
              </w:rPr>
              <w:t xml:space="preserve"> +</w:t>
            </w:r>
            <w:r w:rsidRPr="00075DC8">
              <w:rPr>
                <w:i/>
                <w:sz w:val="18"/>
                <w:szCs w:val="18"/>
                <w:lang w:val="fr-FR"/>
              </w:rPr>
              <w:t xml:space="preserve"> I</w:t>
            </w:r>
            <w:r w:rsidRPr="00075DC8">
              <w:rPr>
                <w:iCs/>
                <w:sz w:val="18"/>
                <w:szCs w:val="18"/>
                <w:lang w:val="fr-FR"/>
              </w:rPr>
              <w:t>/</w:t>
            </w:r>
            <w:r w:rsidRPr="00075DC8">
              <w:rPr>
                <w:i/>
                <w:sz w:val="18"/>
                <w:szCs w:val="18"/>
                <w:lang w:val="fr-FR"/>
              </w:rPr>
              <w:t>N</w:t>
            </w:r>
          </w:p>
        </w:tc>
        <w:tc>
          <w:tcPr>
            <w:tcW w:w="1215" w:type="dxa"/>
            <w:tcBorders>
              <w:bottom w:val="single" w:sz="4" w:space="0" w:color="auto"/>
            </w:tcBorders>
          </w:tcPr>
          <w:p w14:paraId="2515E88A"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−140</w:t>
            </w:r>
            <w:r w:rsidRPr="00075DC8">
              <w:rPr>
                <w:sz w:val="18"/>
                <w:szCs w:val="18"/>
                <w:lang w:val="fr-FR"/>
              </w:rPr>
              <w:t xml:space="preserve"> +</w:t>
            </w:r>
            <w:r w:rsidRPr="00075DC8">
              <w:rPr>
                <w:i/>
                <w:sz w:val="18"/>
                <w:szCs w:val="18"/>
                <w:lang w:val="fr-FR"/>
              </w:rPr>
              <w:t xml:space="preserve"> I</w:t>
            </w:r>
            <w:r w:rsidRPr="00075DC8">
              <w:rPr>
                <w:iCs/>
                <w:sz w:val="18"/>
                <w:szCs w:val="18"/>
                <w:lang w:val="fr-FR"/>
              </w:rPr>
              <w:t>/</w:t>
            </w:r>
            <w:r w:rsidRPr="00075DC8">
              <w:rPr>
                <w:i/>
                <w:sz w:val="18"/>
                <w:szCs w:val="18"/>
                <w:lang w:val="fr-FR"/>
              </w:rPr>
              <w:t>N</w:t>
            </w:r>
          </w:p>
        </w:tc>
        <w:tc>
          <w:tcPr>
            <w:tcW w:w="1162" w:type="dxa"/>
            <w:tcBorders>
              <w:bottom w:val="single" w:sz="4" w:space="0" w:color="auto"/>
            </w:tcBorders>
          </w:tcPr>
          <w:p w14:paraId="5486B36C" w14:textId="77777777" w:rsidR="00725E50" w:rsidRPr="00075DC8" w:rsidRDefault="00725E50" w:rsidP="00C50AE5">
            <w:pPr>
              <w:pStyle w:val="Tabletext"/>
              <w:jc w:val="center"/>
              <w:rPr>
                <w:sz w:val="18"/>
                <w:szCs w:val="18"/>
                <w:lang w:val="fr-FR" w:eastAsia="ja-JP"/>
              </w:rPr>
            </w:pPr>
            <w:r w:rsidRPr="00075DC8">
              <w:rPr>
                <w:sz w:val="18"/>
                <w:szCs w:val="18"/>
                <w:lang w:val="fr-FR"/>
              </w:rPr>
              <w:t>−</w:t>
            </w:r>
            <w:r w:rsidRPr="00075DC8">
              <w:rPr>
                <w:sz w:val="18"/>
                <w:szCs w:val="18"/>
                <w:lang w:val="fr-FR" w:eastAsia="ja-JP"/>
              </w:rPr>
              <w:t>140,5</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c>
          <w:tcPr>
            <w:tcW w:w="1163" w:type="dxa"/>
            <w:tcBorders>
              <w:bottom w:val="single" w:sz="4" w:space="0" w:color="auto"/>
            </w:tcBorders>
          </w:tcPr>
          <w:p w14:paraId="4E9E2667" w14:textId="77777777" w:rsidR="00725E50" w:rsidRPr="00075DC8" w:rsidRDefault="00725E50" w:rsidP="00C50AE5">
            <w:pPr>
              <w:pStyle w:val="Tabletext"/>
              <w:jc w:val="center"/>
              <w:rPr>
                <w:sz w:val="18"/>
                <w:szCs w:val="18"/>
                <w:lang w:val="fr-FR" w:eastAsia="ja-JP"/>
              </w:rPr>
            </w:pPr>
            <w:r w:rsidRPr="00075DC8">
              <w:rPr>
                <w:sz w:val="18"/>
                <w:szCs w:val="18"/>
                <w:lang w:val="fr-FR" w:eastAsia="ja-JP"/>
              </w:rPr>
              <w:t xml:space="preserve">−140,5 </w:t>
            </w:r>
            <w:r w:rsidRPr="00075DC8">
              <w:rPr>
                <w:sz w:val="18"/>
                <w:szCs w:val="18"/>
                <w:lang w:val="fr-FR"/>
              </w:rPr>
              <w:t>+</w:t>
            </w:r>
            <w:r w:rsidRPr="00075DC8">
              <w:rPr>
                <w:i/>
                <w:sz w:val="18"/>
                <w:szCs w:val="18"/>
                <w:lang w:val="fr-FR"/>
              </w:rPr>
              <w:t xml:space="preserve"> I</w:t>
            </w:r>
            <w:r w:rsidRPr="00075DC8">
              <w:rPr>
                <w:iCs/>
                <w:sz w:val="18"/>
                <w:szCs w:val="18"/>
                <w:lang w:val="fr-FR"/>
              </w:rPr>
              <w:t>/</w:t>
            </w:r>
            <w:r w:rsidRPr="00075DC8">
              <w:rPr>
                <w:i/>
                <w:sz w:val="18"/>
                <w:szCs w:val="18"/>
                <w:lang w:val="fr-FR"/>
              </w:rPr>
              <w:t>N</w:t>
            </w:r>
          </w:p>
        </w:tc>
      </w:tr>
      <w:tr w:rsidR="00C50AE5" w:rsidRPr="00075DC8" w14:paraId="5552236B" w14:textId="77777777" w:rsidTr="00C50AE5">
        <w:trPr>
          <w:jc w:val="center"/>
        </w:trPr>
        <w:tc>
          <w:tcPr>
            <w:tcW w:w="14459" w:type="dxa"/>
            <w:gridSpan w:val="11"/>
            <w:tcBorders>
              <w:left w:val="nil"/>
              <w:bottom w:val="nil"/>
              <w:right w:val="nil"/>
            </w:tcBorders>
            <w:tcMar>
              <w:left w:w="57" w:type="dxa"/>
              <w:right w:w="57" w:type="dxa"/>
            </w:tcMar>
          </w:tcPr>
          <w:p w14:paraId="2D2E6305" w14:textId="77777777" w:rsidR="00C50AE5" w:rsidRPr="00075DC8" w:rsidRDefault="00C50AE5" w:rsidP="00C50AE5">
            <w:pPr>
              <w:pStyle w:val="Tabletext"/>
              <w:rPr>
                <w:sz w:val="18"/>
                <w:szCs w:val="18"/>
                <w:lang w:val="fr-FR" w:eastAsia="ja-JP"/>
              </w:rPr>
            </w:pPr>
            <w:r w:rsidRPr="00075DC8">
              <w:rPr>
                <w:sz w:val="18"/>
                <w:szCs w:val="18"/>
                <w:lang w:val="fr-FR" w:eastAsia="ja-JP"/>
              </w:rPr>
              <w:t>NOTE – L'ensemble prévu des paramètres, pour deux systèmes de référence pour les études de partage ou de compatibilité, est à l'heure actuelle partiellement ou totalement indisponible. Provisoirement, les paramètres indiqués à l'Annexe 3 pour les mêmes bandes peuvent être employés.</w:t>
            </w:r>
          </w:p>
          <w:p w14:paraId="41542D14" w14:textId="5024DA6B" w:rsidR="00587B4E" w:rsidRPr="00075DC8" w:rsidRDefault="00C50AE5" w:rsidP="00C50AE5">
            <w:pPr>
              <w:pStyle w:val="Tabletext"/>
              <w:ind w:left="284" w:hanging="284"/>
              <w:rPr>
                <w:sz w:val="18"/>
                <w:szCs w:val="18"/>
                <w:lang w:val="fr-FR"/>
              </w:rPr>
            </w:pPr>
            <w:r w:rsidRPr="00075DC8">
              <w:rPr>
                <w:sz w:val="18"/>
                <w:szCs w:val="18"/>
                <w:vertAlign w:val="superscript"/>
                <w:lang w:val="fr-FR"/>
              </w:rPr>
              <w:t>(1)</w:t>
            </w:r>
            <w:r w:rsidRPr="00075DC8">
              <w:rPr>
                <w:sz w:val="18"/>
                <w:szCs w:val="18"/>
                <w:lang w:val="fr-FR"/>
              </w:rPr>
              <w:tab/>
            </w:r>
            <w:r w:rsidRPr="00075DC8">
              <w:rPr>
                <w:sz w:val="18"/>
                <w:szCs w:val="18"/>
                <w:lang w:val="fr-FR" w:eastAsia="ja-JP"/>
              </w:rPr>
              <w:t xml:space="preserve">Pour calculer les valeurs des densités de puissance au niveau de l'émetteur ou des densités de p.i.r.e., il est nécessaire de définir l'espacement des canaux/la largeur de bande. Dans ces tableaux, l'espacement des canaux est indiqué en </w:t>
            </w:r>
            <w:r w:rsidRPr="00075DC8">
              <w:rPr>
                <w:b/>
                <w:bCs/>
                <w:sz w:val="18"/>
                <w:szCs w:val="18"/>
                <w:lang w:val="fr-FR" w:eastAsia="ja-JP"/>
              </w:rPr>
              <w:t>caractères gras</w:t>
            </w:r>
            <w:r w:rsidRPr="00075DC8">
              <w:rPr>
                <w:sz w:val="18"/>
                <w:szCs w:val="18"/>
                <w:lang w:val="fr-FR" w:eastAsia="ja-JP"/>
              </w:rPr>
              <w:t xml:space="preserve">. Lorsqu'une valeur modale (mode) est fournie, elle doit être considérée à titre indicatif dans </w:t>
            </w:r>
            <w:r w:rsidRPr="00075DC8">
              <w:rPr>
                <w:sz w:val="18"/>
                <w:szCs w:val="18"/>
                <w:lang w:val="fr-FR"/>
              </w:rPr>
              <w:t>la plage spécifiée et, par la suite, il pourra être nécessaire d'effectuer une analyse de la sensibilité, selon le cas, pour évaluer un potentiel de brouillage donné dû aux variations dans la plage spécifiée.</w:t>
            </w:r>
          </w:p>
        </w:tc>
      </w:tr>
      <w:tr w:rsidR="00725E50" w:rsidRPr="00075DC8" w14:paraId="66E58C0F" w14:textId="77777777" w:rsidTr="00C50AE5">
        <w:trPr>
          <w:jc w:val="center"/>
        </w:trPr>
        <w:tc>
          <w:tcPr>
            <w:tcW w:w="14459" w:type="dxa"/>
            <w:gridSpan w:val="11"/>
            <w:tcBorders>
              <w:top w:val="nil"/>
              <w:left w:val="nil"/>
              <w:bottom w:val="nil"/>
              <w:right w:val="nil"/>
            </w:tcBorders>
            <w:tcMar>
              <w:left w:w="57" w:type="dxa"/>
              <w:right w:w="57" w:type="dxa"/>
            </w:tcMar>
            <w:vAlign w:val="center"/>
          </w:tcPr>
          <w:p w14:paraId="39FE3ED5" w14:textId="77777777" w:rsidR="00C50AE5" w:rsidRPr="00075DC8" w:rsidRDefault="00C50AE5" w:rsidP="00C50AE5">
            <w:pPr>
              <w:pStyle w:val="Tabletext"/>
              <w:keepNext/>
              <w:keepLines/>
              <w:rPr>
                <w:i/>
                <w:iCs/>
                <w:sz w:val="18"/>
                <w:szCs w:val="18"/>
                <w:lang w:val="fr-FR"/>
              </w:rPr>
            </w:pPr>
            <w:r w:rsidRPr="00075DC8">
              <w:rPr>
                <w:i/>
                <w:iCs/>
                <w:sz w:val="18"/>
                <w:szCs w:val="18"/>
                <w:lang w:val="fr-FR"/>
              </w:rPr>
              <w:lastRenderedPageBreak/>
              <w:t>Notes relatives au Tableau 8 (fin):</w:t>
            </w:r>
          </w:p>
          <w:p w14:paraId="72F1C751" w14:textId="7E2A145E" w:rsidR="00725E50" w:rsidRPr="00075DC8" w:rsidRDefault="00725E50" w:rsidP="00C50AE5">
            <w:pPr>
              <w:pStyle w:val="Tabletext"/>
              <w:keepNext/>
              <w:keepLines/>
              <w:ind w:left="284" w:hanging="284"/>
              <w:rPr>
                <w:sz w:val="18"/>
                <w:szCs w:val="18"/>
                <w:lang w:val="fr-FR" w:eastAsia="ja-JP"/>
              </w:rPr>
            </w:pPr>
            <w:r w:rsidRPr="00075DC8">
              <w:rPr>
                <w:sz w:val="18"/>
                <w:szCs w:val="18"/>
                <w:vertAlign w:val="superscript"/>
                <w:lang w:val="fr-FR" w:eastAsia="ja-JP"/>
              </w:rPr>
              <w:t>(2)</w:t>
            </w:r>
            <w:r w:rsidRPr="00075DC8">
              <w:rPr>
                <w:sz w:val="18"/>
                <w:szCs w:val="18"/>
                <w:lang w:val="fr-FR" w:eastAsia="ja-JP"/>
              </w:rPr>
              <w:tab/>
              <w:t>La densité nominale de puissance de brouillage de longue durée est définie par la «densité de puissance de bruit du récepteur + (</w:t>
            </w:r>
            <w:r w:rsidRPr="00075DC8">
              <w:rPr>
                <w:i/>
                <w:sz w:val="18"/>
                <w:szCs w:val="18"/>
                <w:lang w:val="fr-FR" w:eastAsia="ja-JP"/>
              </w:rPr>
              <w:t>I</w:t>
            </w:r>
            <w:r w:rsidRPr="00075DC8">
              <w:rPr>
                <w:sz w:val="18"/>
                <w:szCs w:val="18"/>
                <w:lang w:val="fr-FR" w:eastAsia="ja-JP"/>
              </w:rPr>
              <w:t>/</w:t>
            </w:r>
            <w:r w:rsidRPr="00075DC8">
              <w:rPr>
                <w:i/>
                <w:sz w:val="18"/>
                <w:szCs w:val="18"/>
                <w:lang w:val="fr-FR" w:eastAsia="ja-JP"/>
              </w:rPr>
              <w:t>N</w:t>
            </w:r>
            <w:r w:rsidRPr="00075DC8">
              <w:rPr>
                <w:iCs/>
                <w:sz w:val="18"/>
                <w:szCs w:val="18"/>
                <w:lang w:val="fr-FR" w:eastAsia="ja-JP"/>
              </w:rPr>
              <w:t xml:space="preserve"> requis</w:t>
            </w:r>
            <w:r w:rsidRPr="00075DC8">
              <w:rPr>
                <w:sz w:val="18"/>
                <w:szCs w:val="18"/>
                <w:lang w:val="fr-FR" w:eastAsia="ja-JP"/>
              </w:rPr>
              <w:t xml:space="preserve">)» comme décrit au </w:t>
            </w:r>
            <w:r w:rsidR="008B1840" w:rsidRPr="00075DC8">
              <w:rPr>
                <w:sz w:val="18"/>
                <w:szCs w:val="18"/>
                <w:lang w:val="fr-FR" w:eastAsia="ja-JP"/>
              </w:rPr>
              <w:t>§ </w:t>
            </w:r>
            <w:r w:rsidRPr="00075DC8">
              <w:rPr>
                <w:sz w:val="18"/>
                <w:szCs w:val="18"/>
                <w:lang w:val="fr-FR" w:eastAsia="ja-JP"/>
              </w:rPr>
              <w:t>4.13 de l</w:t>
            </w:r>
            <w:r w:rsidR="001F6A0D" w:rsidRPr="00075DC8">
              <w:rPr>
                <w:sz w:val="18"/>
                <w:szCs w:val="18"/>
                <w:lang w:val="fr-FR" w:eastAsia="ja-JP"/>
              </w:rPr>
              <w:t>'</w:t>
            </w:r>
            <w:r w:rsidRPr="00075DC8">
              <w:rPr>
                <w:sz w:val="18"/>
                <w:szCs w:val="18"/>
                <w:lang w:val="fr-FR" w:eastAsia="ja-JP"/>
              </w:rPr>
              <w:t>Annexe 2 (voir aussi le </w:t>
            </w:r>
            <w:r w:rsidR="008B1840" w:rsidRPr="00075DC8">
              <w:rPr>
                <w:sz w:val="18"/>
                <w:szCs w:val="18"/>
                <w:lang w:val="fr-FR" w:eastAsia="ja-JP"/>
              </w:rPr>
              <w:t>§ </w:t>
            </w:r>
            <w:r w:rsidRPr="00075DC8">
              <w:rPr>
                <w:sz w:val="18"/>
                <w:szCs w:val="18"/>
                <w:lang w:val="fr-FR" w:eastAsia="ja-JP"/>
              </w:rPr>
              <w:t>4.1 de l</w:t>
            </w:r>
            <w:r w:rsidR="001F6A0D" w:rsidRPr="00075DC8">
              <w:rPr>
                <w:sz w:val="18"/>
                <w:szCs w:val="18"/>
                <w:lang w:val="fr-FR" w:eastAsia="ja-JP"/>
              </w:rPr>
              <w:t>'</w:t>
            </w:r>
            <w:r w:rsidRPr="00075DC8">
              <w:rPr>
                <w:sz w:val="18"/>
                <w:szCs w:val="18"/>
                <w:lang w:val="fr-FR" w:eastAsia="ja-JP"/>
              </w:rPr>
              <w:t>Annexe 1).</w:t>
            </w:r>
          </w:p>
          <w:p w14:paraId="40786C75" w14:textId="078763EF" w:rsidR="00725E50" w:rsidRPr="00075DC8" w:rsidRDefault="00725E50" w:rsidP="009718CE">
            <w:pPr>
              <w:pStyle w:val="Tabletext"/>
              <w:rPr>
                <w:lang w:val="fr-FR"/>
              </w:rPr>
            </w:pPr>
            <w:r w:rsidRPr="00075DC8">
              <w:rPr>
                <w:sz w:val="18"/>
                <w:szCs w:val="18"/>
                <w:vertAlign w:val="superscript"/>
                <w:lang w:val="fr-FR" w:eastAsia="ja-JP"/>
              </w:rPr>
              <w:t>(3)</w:t>
            </w:r>
            <w:r w:rsidRPr="00075DC8">
              <w:rPr>
                <w:sz w:val="18"/>
                <w:szCs w:val="18"/>
                <w:lang w:val="fr-FR" w:eastAsia="ja-JP"/>
              </w:rPr>
              <w:tab/>
              <w:t>Cette valeur d</w:t>
            </w:r>
            <w:r w:rsidR="001F6A0D" w:rsidRPr="00075DC8">
              <w:rPr>
                <w:sz w:val="18"/>
                <w:szCs w:val="18"/>
                <w:lang w:val="fr-FR" w:eastAsia="ja-JP"/>
              </w:rPr>
              <w:t>'</w:t>
            </w:r>
            <w:r w:rsidRPr="00075DC8">
              <w:rPr>
                <w:sz w:val="18"/>
                <w:szCs w:val="18"/>
                <w:lang w:val="fr-FR" w:eastAsia="ja-JP"/>
              </w:rPr>
              <w:t>espacement des canaux n</w:t>
            </w:r>
            <w:r w:rsidR="001F6A0D" w:rsidRPr="00075DC8">
              <w:rPr>
                <w:sz w:val="18"/>
                <w:szCs w:val="18"/>
                <w:lang w:val="fr-FR" w:eastAsia="ja-JP"/>
              </w:rPr>
              <w:t>'</w:t>
            </w:r>
            <w:r w:rsidRPr="00075DC8">
              <w:rPr>
                <w:sz w:val="18"/>
                <w:szCs w:val="18"/>
                <w:lang w:val="fr-FR" w:eastAsia="ja-JP"/>
              </w:rPr>
              <w:t>est pas spécifiée dans la Recommandation de référence.</w:t>
            </w:r>
          </w:p>
        </w:tc>
      </w:tr>
    </w:tbl>
    <w:p w14:paraId="05DFA67A" w14:textId="77777777" w:rsidR="00203F60" w:rsidRDefault="00203F60" w:rsidP="00203F60">
      <w:pPr>
        <w:pStyle w:val="Tablefin"/>
        <w:rPr>
          <w:lang w:val="fr-FR"/>
        </w:rPr>
      </w:pPr>
    </w:p>
    <w:p w14:paraId="0F3B0733" w14:textId="1144578E" w:rsidR="00725E50" w:rsidRPr="00075DC8" w:rsidRDefault="00725E50" w:rsidP="009718CE">
      <w:pPr>
        <w:pStyle w:val="TableNo"/>
        <w:rPr>
          <w:lang w:val="fr-FR"/>
        </w:rPr>
      </w:pPr>
      <w:r w:rsidRPr="00075DC8">
        <w:rPr>
          <w:lang w:val="fr-FR"/>
        </w:rPr>
        <w:t>TABLEAU 9</w:t>
      </w:r>
    </w:p>
    <w:p w14:paraId="668FEAA5" w14:textId="77777777" w:rsidR="00725E50" w:rsidRPr="00075DC8" w:rsidRDefault="00725E50" w:rsidP="00725E50">
      <w:pPr>
        <w:pStyle w:val="Tabletitle"/>
        <w:keepLines/>
        <w:rPr>
          <w:lang w:val="fr-FR" w:eastAsia="ja-JP"/>
        </w:rPr>
      </w:pPr>
      <w:r w:rsidRPr="00075DC8">
        <w:rPr>
          <w:lang w:val="fr-FR" w:eastAsia="ja-JP"/>
        </w:rPr>
        <w:t>Paramètres des systèmes du service fixe de point à point dans les bandes attribuées comprises entre 7,1 et 14 GHz</w:t>
      </w:r>
    </w:p>
    <w:tbl>
      <w:tblPr>
        <w:tblW w:w="144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65"/>
        <w:gridCol w:w="993"/>
        <w:gridCol w:w="1134"/>
        <w:gridCol w:w="1134"/>
        <w:gridCol w:w="1134"/>
        <w:gridCol w:w="992"/>
        <w:gridCol w:w="850"/>
        <w:gridCol w:w="851"/>
        <w:gridCol w:w="992"/>
        <w:gridCol w:w="1134"/>
        <w:gridCol w:w="1134"/>
        <w:gridCol w:w="992"/>
        <w:gridCol w:w="864"/>
      </w:tblGrid>
      <w:tr w:rsidR="00587B4E" w:rsidRPr="00075DC8" w14:paraId="156DEF6F" w14:textId="77777777" w:rsidTr="00587B4E">
        <w:trPr>
          <w:jc w:val="center"/>
        </w:trPr>
        <w:tc>
          <w:tcPr>
            <w:tcW w:w="2265" w:type="dxa"/>
            <w:tcMar>
              <w:left w:w="57" w:type="dxa"/>
              <w:right w:w="57" w:type="dxa"/>
            </w:tcMar>
            <w:vAlign w:val="center"/>
          </w:tcPr>
          <w:p w14:paraId="3A29A1D8" w14:textId="77777777" w:rsidR="00725E50" w:rsidRPr="00075DC8" w:rsidRDefault="00725E50" w:rsidP="009718CE">
            <w:pPr>
              <w:pStyle w:val="Tablehead"/>
              <w:rPr>
                <w:sz w:val="18"/>
                <w:szCs w:val="18"/>
                <w:lang w:val="fr-FR"/>
              </w:rPr>
            </w:pPr>
            <w:r w:rsidRPr="00075DC8">
              <w:rPr>
                <w:sz w:val="18"/>
                <w:szCs w:val="18"/>
                <w:lang w:val="fr-FR"/>
              </w:rPr>
              <w:t>Gamme de fréquences</w:t>
            </w:r>
            <w:r w:rsidRPr="00075DC8">
              <w:rPr>
                <w:sz w:val="18"/>
                <w:szCs w:val="18"/>
                <w:lang w:val="fr-FR"/>
              </w:rPr>
              <w:br/>
              <w:t>(GHz)</w:t>
            </w:r>
          </w:p>
        </w:tc>
        <w:tc>
          <w:tcPr>
            <w:tcW w:w="2127" w:type="dxa"/>
            <w:gridSpan w:val="2"/>
            <w:vAlign w:val="center"/>
          </w:tcPr>
          <w:p w14:paraId="6A32B681" w14:textId="77777777" w:rsidR="00725E50" w:rsidRPr="00075DC8" w:rsidRDefault="00725E50" w:rsidP="009718CE">
            <w:pPr>
              <w:pStyle w:val="Tablehead"/>
              <w:rPr>
                <w:sz w:val="18"/>
                <w:szCs w:val="18"/>
                <w:lang w:val="fr-FR"/>
              </w:rPr>
            </w:pPr>
            <w:r w:rsidRPr="00075DC8">
              <w:rPr>
                <w:sz w:val="18"/>
                <w:szCs w:val="18"/>
                <w:lang w:val="fr-FR"/>
              </w:rPr>
              <w:t>7,110-7,900</w:t>
            </w:r>
          </w:p>
        </w:tc>
        <w:tc>
          <w:tcPr>
            <w:tcW w:w="2268" w:type="dxa"/>
            <w:gridSpan w:val="2"/>
            <w:vAlign w:val="center"/>
          </w:tcPr>
          <w:p w14:paraId="3690674E" w14:textId="77777777" w:rsidR="00725E50" w:rsidRPr="00075DC8" w:rsidRDefault="00725E50" w:rsidP="009718CE">
            <w:pPr>
              <w:pStyle w:val="Tablehead"/>
              <w:rPr>
                <w:sz w:val="18"/>
                <w:szCs w:val="18"/>
                <w:lang w:val="fr-FR"/>
              </w:rPr>
            </w:pPr>
            <w:r w:rsidRPr="00075DC8">
              <w:rPr>
                <w:sz w:val="18"/>
                <w:szCs w:val="18"/>
                <w:lang w:val="fr-FR"/>
              </w:rPr>
              <w:t>7,725-8,500</w:t>
            </w:r>
          </w:p>
        </w:tc>
        <w:tc>
          <w:tcPr>
            <w:tcW w:w="1842" w:type="dxa"/>
            <w:gridSpan w:val="2"/>
            <w:vAlign w:val="center"/>
          </w:tcPr>
          <w:p w14:paraId="5CD7D926" w14:textId="77777777" w:rsidR="00725E50" w:rsidRPr="00075DC8" w:rsidRDefault="00725E50" w:rsidP="009718CE">
            <w:pPr>
              <w:pStyle w:val="Tablehead"/>
              <w:rPr>
                <w:sz w:val="18"/>
                <w:szCs w:val="18"/>
                <w:lang w:val="fr-FR"/>
              </w:rPr>
            </w:pPr>
            <w:r w:rsidRPr="00075DC8">
              <w:rPr>
                <w:sz w:val="18"/>
                <w:szCs w:val="18"/>
                <w:lang w:val="fr-FR"/>
              </w:rPr>
              <w:t>10-10,5</w:t>
            </w:r>
          </w:p>
        </w:tc>
        <w:tc>
          <w:tcPr>
            <w:tcW w:w="1843" w:type="dxa"/>
            <w:gridSpan w:val="2"/>
            <w:vAlign w:val="center"/>
          </w:tcPr>
          <w:p w14:paraId="5FB28163" w14:textId="77777777" w:rsidR="00725E50" w:rsidRPr="00075DC8" w:rsidRDefault="00725E50" w:rsidP="009718CE">
            <w:pPr>
              <w:pStyle w:val="Tablehead"/>
              <w:rPr>
                <w:sz w:val="18"/>
                <w:szCs w:val="18"/>
                <w:lang w:val="fr-FR"/>
              </w:rPr>
            </w:pPr>
            <w:r w:rsidRPr="00075DC8">
              <w:rPr>
                <w:sz w:val="18"/>
                <w:szCs w:val="18"/>
                <w:lang w:val="fr-FR"/>
              </w:rPr>
              <w:t>10,5-10,68</w:t>
            </w:r>
          </w:p>
        </w:tc>
        <w:tc>
          <w:tcPr>
            <w:tcW w:w="2268" w:type="dxa"/>
            <w:gridSpan w:val="2"/>
            <w:vAlign w:val="center"/>
          </w:tcPr>
          <w:p w14:paraId="5E1A9319" w14:textId="77777777" w:rsidR="00725E50" w:rsidRPr="00075DC8" w:rsidRDefault="00725E50" w:rsidP="009718CE">
            <w:pPr>
              <w:pStyle w:val="Tablehead"/>
              <w:rPr>
                <w:sz w:val="18"/>
                <w:szCs w:val="18"/>
                <w:lang w:val="fr-FR"/>
              </w:rPr>
            </w:pPr>
            <w:r w:rsidRPr="00075DC8">
              <w:rPr>
                <w:sz w:val="18"/>
                <w:szCs w:val="18"/>
                <w:lang w:val="fr-FR"/>
              </w:rPr>
              <w:t>10,7-11,7</w:t>
            </w:r>
          </w:p>
        </w:tc>
        <w:tc>
          <w:tcPr>
            <w:tcW w:w="1856" w:type="dxa"/>
            <w:gridSpan w:val="2"/>
            <w:vAlign w:val="center"/>
          </w:tcPr>
          <w:p w14:paraId="3C8A01A5" w14:textId="77777777" w:rsidR="00725E50" w:rsidRPr="00075DC8" w:rsidRDefault="00725E50" w:rsidP="009718CE">
            <w:pPr>
              <w:pStyle w:val="Tablehead"/>
              <w:rPr>
                <w:sz w:val="18"/>
                <w:szCs w:val="18"/>
                <w:lang w:val="fr-FR"/>
              </w:rPr>
            </w:pPr>
            <w:r w:rsidRPr="00075DC8">
              <w:rPr>
                <w:sz w:val="18"/>
                <w:szCs w:val="18"/>
                <w:lang w:val="fr-FR"/>
              </w:rPr>
              <w:t>12,75-13,25</w:t>
            </w:r>
          </w:p>
        </w:tc>
      </w:tr>
      <w:tr w:rsidR="00587B4E" w:rsidRPr="00075DC8" w14:paraId="6257C9D8" w14:textId="77777777" w:rsidTr="00587B4E">
        <w:trPr>
          <w:jc w:val="center"/>
        </w:trPr>
        <w:tc>
          <w:tcPr>
            <w:tcW w:w="2265" w:type="dxa"/>
            <w:tcMar>
              <w:left w:w="57" w:type="dxa"/>
              <w:right w:w="57" w:type="dxa"/>
            </w:tcMar>
          </w:tcPr>
          <w:p w14:paraId="35873CA8" w14:textId="77777777" w:rsidR="00725E50" w:rsidRPr="00075DC8" w:rsidRDefault="00725E50" w:rsidP="008B65A6">
            <w:pPr>
              <w:pStyle w:val="Tabletext"/>
              <w:jc w:val="left"/>
              <w:rPr>
                <w:sz w:val="18"/>
                <w:szCs w:val="18"/>
                <w:lang w:val="fr-FR" w:eastAsia="ja-JP"/>
              </w:rPr>
            </w:pPr>
            <w:r w:rsidRPr="00075DC8">
              <w:rPr>
                <w:sz w:val="18"/>
                <w:szCs w:val="18"/>
                <w:lang w:val="fr-FR" w:eastAsia="ja-JP"/>
              </w:rPr>
              <w:t>Recommandation UIT-R de référence</w:t>
            </w:r>
          </w:p>
        </w:tc>
        <w:tc>
          <w:tcPr>
            <w:tcW w:w="2127" w:type="dxa"/>
            <w:gridSpan w:val="2"/>
          </w:tcPr>
          <w:p w14:paraId="202ECFE0" w14:textId="77777777" w:rsidR="00725E50" w:rsidRPr="00075DC8" w:rsidRDefault="00725E50" w:rsidP="008B65A6">
            <w:pPr>
              <w:pStyle w:val="Tabletext"/>
              <w:jc w:val="center"/>
              <w:rPr>
                <w:sz w:val="18"/>
                <w:szCs w:val="18"/>
                <w:lang w:val="fr-FR" w:eastAsia="ja-JP"/>
              </w:rPr>
            </w:pPr>
            <w:r w:rsidRPr="00075DC8">
              <w:rPr>
                <w:sz w:val="18"/>
                <w:szCs w:val="18"/>
                <w:lang w:val="fr-FR"/>
              </w:rPr>
              <w:t>F.</w:t>
            </w:r>
            <w:r w:rsidRPr="00075DC8">
              <w:rPr>
                <w:sz w:val="18"/>
                <w:szCs w:val="18"/>
                <w:lang w:val="fr-FR" w:eastAsia="ja-JP"/>
              </w:rPr>
              <w:t>385</w:t>
            </w:r>
          </w:p>
        </w:tc>
        <w:tc>
          <w:tcPr>
            <w:tcW w:w="2268" w:type="dxa"/>
            <w:gridSpan w:val="2"/>
          </w:tcPr>
          <w:p w14:paraId="3EE98BDB" w14:textId="77777777" w:rsidR="00725E50" w:rsidRPr="00075DC8" w:rsidRDefault="00725E50" w:rsidP="008B65A6">
            <w:pPr>
              <w:pStyle w:val="Tabletext"/>
              <w:jc w:val="center"/>
              <w:rPr>
                <w:sz w:val="18"/>
                <w:szCs w:val="18"/>
                <w:lang w:val="fr-FR" w:eastAsia="ja-JP"/>
              </w:rPr>
            </w:pPr>
            <w:r w:rsidRPr="00075DC8">
              <w:rPr>
                <w:sz w:val="18"/>
                <w:szCs w:val="18"/>
                <w:lang w:val="fr-FR"/>
              </w:rPr>
              <w:t>F.</w:t>
            </w:r>
            <w:r w:rsidRPr="00075DC8">
              <w:rPr>
                <w:sz w:val="18"/>
                <w:szCs w:val="18"/>
                <w:lang w:val="fr-FR" w:eastAsia="ja-JP"/>
              </w:rPr>
              <w:t>386</w:t>
            </w:r>
          </w:p>
        </w:tc>
        <w:tc>
          <w:tcPr>
            <w:tcW w:w="1842" w:type="dxa"/>
            <w:gridSpan w:val="2"/>
          </w:tcPr>
          <w:p w14:paraId="20A73557" w14:textId="77777777" w:rsidR="00725E50" w:rsidRPr="00075DC8" w:rsidRDefault="00725E50" w:rsidP="008B65A6">
            <w:pPr>
              <w:pStyle w:val="Tabletext"/>
              <w:jc w:val="center"/>
              <w:rPr>
                <w:sz w:val="18"/>
                <w:szCs w:val="18"/>
                <w:lang w:val="fr-FR"/>
              </w:rPr>
            </w:pPr>
            <w:r w:rsidRPr="00075DC8">
              <w:rPr>
                <w:sz w:val="18"/>
                <w:szCs w:val="18"/>
                <w:lang w:val="fr-FR"/>
              </w:rPr>
              <w:t>F.747</w:t>
            </w:r>
          </w:p>
        </w:tc>
        <w:tc>
          <w:tcPr>
            <w:tcW w:w="1843" w:type="dxa"/>
            <w:gridSpan w:val="2"/>
          </w:tcPr>
          <w:p w14:paraId="49B609D8" w14:textId="77777777" w:rsidR="00725E50" w:rsidRPr="00075DC8" w:rsidRDefault="00725E50" w:rsidP="008B65A6">
            <w:pPr>
              <w:pStyle w:val="Tabletext"/>
              <w:jc w:val="center"/>
              <w:rPr>
                <w:sz w:val="18"/>
                <w:szCs w:val="18"/>
                <w:lang w:val="fr-FR" w:eastAsia="ja-JP"/>
              </w:rPr>
            </w:pPr>
            <w:r w:rsidRPr="00075DC8">
              <w:rPr>
                <w:sz w:val="18"/>
                <w:szCs w:val="18"/>
                <w:lang w:val="fr-FR"/>
              </w:rPr>
              <w:t>F</w:t>
            </w:r>
            <w:r w:rsidRPr="00075DC8">
              <w:rPr>
                <w:sz w:val="18"/>
                <w:szCs w:val="18"/>
                <w:lang w:val="fr-FR" w:eastAsia="ja-JP"/>
              </w:rPr>
              <w:t>.747</w:t>
            </w:r>
          </w:p>
        </w:tc>
        <w:tc>
          <w:tcPr>
            <w:tcW w:w="2268" w:type="dxa"/>
            <w:gridSpan w:val="2"/>
          </w:tcPr>
          <w:p w14:paraId="67A488FF" w14:textId="77777777" w:rsidR="00725E50" w:rsidRPr="00075DC8" w:rsidRDefault="00725E50" w:rsidP="008B65A6">
            <w:pPr>
              <w:pStyle w:val="Tabletext"/>
              <w:jc w:val="center"/>
              <w:rPr>
                <w:sz w:val="18"/>
                <w:szCs w:val="18"/>
                <w:lang w:val="fr-FR" w:eastAsia="ja-JP"/>
              </w:rPr>
            </w:pPr>
            <w:r w:rsidRPr="00075DC8">
              <w:rPr>
                <w:sz w:val="18"/>
                <w:szCs w:val="18"/>
                <w:lang w:val="fr-FR"/>
              </w:rPr>
              <w:t>F.</w:t>
            </w:r>
            <w:r w:rsidRPr="00075DC8">
              <w:rPr>
                <w:sz w:val="18"/>
                <w:szCs w:val="18"/>
                <w:lang w:val="fr-FR" w:eastAsia="ja-JP"/>
              </w:rPr>
              <w:t>387</w:t>
            </w:r>
          </w:p>
        </w:tc>
        <w:tc>
          <w:tcPr>
            <w:tcW w:w="1856" w:type="dxa"/>
            <w:gridSpan w:val="2"/>
          </w:tcPr>
          <w:p w14:paraId="2E287D33" w14:textId="77777777" w:rsidR="00725E50" w:rsidRPr="00075DC8" w:rsidRDefault="00725E50" w:rsidP="008B65A6">
            <w:pPr>
              <w:pStyle w:val="Tabletext"/>
              <w:jc w:val="center"/>
              <w:rPr>
                <w:sz w:val="18"/>
                <w:szCs w:val="18"/>
                <w:lang w:val="fr-FR" w:eastAsia="ja-JP"/>
              </w:rPr>
            </w:pPr>
            <w:r w:rsidRPr="00075DC8">
              <w:rPr>
                <w:sz w:val="18"/>
                <w:szCs w:val="18"/>
                <w:lang w:val="fr-FR"/>
              </w:rPr>
              <w:t>F.</w:t>
            </w:r>
            <w:r w:rsidRPr="00075DC8">
              <w:rPr>
                <w:sz w:val="18"/>
                <w:szCs w:val="18"/>
                <w:lang w:val="fr-FR" w:eastAsia="ja-JP"/>
              </w:rPr>
              <w:t>497</w:t>
            </w:r>
          </w:p>
        </w:tc>
      </w:tr>
      <w:tr w:rsidR="00587B4E" w:rsidRPr="00075DC8" w14:paraId="7FAC6CE6" w14:textId="77777777" w:rsidTr="00587B4E">
        <w:trPr>
          <w:jc w:val="center"/>
        </w:trPr>
        <w:tc>
          <w:tcPr>
            <w:tcW w:w="2265" w:type="dxa"/>
            <w:tcMar>
              <w:left w:w="57" w:type="dxa"/>
              <w:right w:w="57" w:type="dxa"/>
            </w:tcMar>
          </w:tcPr>
          <w:p w14:paraId="5CE745C6" w14:textId="77777777" w:rsidR="00725E50" w:rsidRPr="00075DC8" w:rsidRDefault="00725E50" w:rsidP="008B65A6">
            <w:pPr>
              <w:pStyle w:val="Tabletext"/>
              <w:jc w:val="left"/>
              <w:rPr>
                <w:sz w:val="18"/>
                <w:szCs w:val="18"/>
                <w:lang w:val="fr-FR" w:eastAsia="ja-JP"/>
              </w:rPr>
            </w:pPr>
            <w:r w:rsidRPr="00075DC8">
              <w:rPr>
                <w:sz w:val="18"/>
                <w:szCs w:val="18"/>
                <w:lang w:val="fr-FR" w:eastAsia="ja-JP"/>
              </w:rPr>
              <w:t>Modulation</w:t>
            </w:r>
          </w:p>
        </w:tc>
        <w:tc>
          <w:tcPr>
            <w:tcW w:w="993" w:type="dxa"/>
          </w:tcPr>
          <w:p w14:paraId="2F6CA2C2"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MAQ-16</w:t>
            </w:r>
          </w:p>
        </w:tc>
        <w:tc>
          <w:tcPr>
            <w:tcW w:w="1134" w:type="dxa"/>
          </w:tcPr>
          <w:p w14:paraId="75ACC08B"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MAQ-128</w:t>
            </w:r>
          </w:p>
        </w:tc>
        <w:tc>
          <w:tcPr>
            <w:tcW w:w="1134" w:type="dxa"/>
          </w:tcPr>
          <w:p w14:paraId="7F638D0D"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MAQ-16</w:t>
            </w:r>
          </w:p>
        </w:tc>
        <w:tc>
          <w:tcPr>
            <w:tcW w:w="1134" w:type="dxa"/>
          </w:tcPr>
          <w:p w14:paraId="292735F8"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MAQ-128</w:t>
            </w:r>
          </w:p>
        </w:tc>
        <w:tc>
          <w:tcPr>
            <w:tcW w:w="992" w:type="dxa"/>
          </w:tcPr>
          <w:p w14:paraId="604E2383" w14:textId="77777777" w:rsidR="00725E50" w:rsidRPr="00075DC8" w:rsidRDefault="00725E50" w:rsidP="008B65A6">
            <w:pPr>
              <w:pStyle w:val="Tabletext"/>
              <w:ind w:left="-57" w:right="-113"/>
              <w:jc w:val="center"/>
              <w:rPr>
                <w:color w:val="000000"/>
                <w:sz w:val="18"/>
                <w:szCs w:val="18"/>
                <w:lang w:val="fr-FR"/>
              </w:rPr>
            </w:pPr>
            <w:r w:rsidRPr="00075DC8">
              <w:rPr>
                <w:color w:val="000000"/>
                <w:sz w:val="18"/>
                <w:szCs w:val="18"/>
                <w:lang w:val="fr-FR"/>
              </w:rPr>
              <w:t>MDPQ</w:t>
            </w:r>
          </w:p>
        </w:tc>
        <w:tc>
          <w:tcPr>
            <w:tcW w:w="850" w:type="dxa"/>
          </w:tcPr>
          <w:p w14:paraId="30B5502D" w14:textId="77777777" w:rsidR="00725E50" w:rsidRPr="00075DC8" w:rsidRDefault="00725E50" w:rsidP="008B65A6">
            <w:pPr>
              <w:pStyle w:val="Tabletext"/>
              <w:ind w:left="-57" w:right="-113"/>
              <w:jc w:val="center"/>
              <w:rPr>
                <w:color w:val="000000"/>
                <w:sz w:val="18"/>
                <w:szCs w:val="18"/>
                <w:lang w:val="fr-FR"/>
              </w:rPr>
            </w:pPr>
            <w:r w:rsidRPr="00075DC8">
              <w:rPr>
                <w:color w:val="000000"/>
                <w:sz w:val="18"/>
                <w:szCs w:val="18"/>
                <w:lang w:val="fr-FR"/>
              </w:rPr>
              <w:t>MAQ-128</w:t>
            </w:r>
          </w:p>
        </w:tc>
        <w:tc>
          <w:tcPr>
            <w:tcW w:w="851" w:type="dxa"/>
          </w:tcPr>
          <w:p w14:paraId="36D1A44B" w14:textId="77777777" w:rsidR="00725E50" w:rsidRPr="00075DC8" w:rsidRDefault="00725E50" w:rsidP="008B65A6">
            <w:pPr>
              <w:pStyle w:val="Tabletext"/>
              <w:ind w:left="-57" w:right="-113"/>
              <w:jc w:val="center"/>
              <w:rPr>
                <w:color w:val="000000"/>
                <w:sz w:val="18"/>
                <w:szCs w:val="18"/>
                <w:lang w:val="fr-FR"/>
              </w:rPr>
            </w:pPr>
            <w:r w:rsidRPr="00075DC8">
              <w:rPr>
                <w:color w:val="000000"/>
                <w:sz w:val="18"/>
                <w:szCs w:val="18"/>
                <w:lang w:val="fr-FR"/>
              </w:rPr>
              <w:t>MDPQ</w:t>
            </w:r>
          </w:p>
        </w:tc>
        <w:tc>
          <w:tcPr>
            <w:tcW w:w="992" w:type="dxa"/>
          </w:tcPr>
          <w:p w14:paraId="239891D6" w14:textId="77777777" w:rsidR="00725E50" w:rsidRPr="00075DC8" w:rsidRDefault="00725E50" w:rsidP="008B65A6">
            <w:pPr>
              <w:pStyle w:val="Tabletext"/>
              <w:ind w:left="-57" w:right="-113"/>
              <w:jc w:val="center"/>
              <w:rPr>
                <w:color w:val="000000"/>
                <w:sz w:val="18"/>
                <w:szCs w:val="18"/>
                <w:lang w:val="fr-FR"/>
              </w:rPr>
            </w:pPr>
            <w:r w:rsidRPr="00075DC8">
              <w:rPr>
                <w:color w:val="000000"/>
                <w:sz w:val="18"/>
                <w:szCs w:val="18"/>
                <w:lang w:val="fr-FR"/>
              </w:rPr>
              <w:t>MAQ-128</w:t>
            </w:r>
          </w:p>
        </w:tc>
        <w:tc>
          <w:tcPr>
            <w:tcW w:w="1134" w:type="dxa"/>
          </w:tcPr>
          <w:p w14:paraId="2F1F8840"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MAQ-16</w:t>
            </w:r>
          </w:p>
        </w:tc>
        <w:tc>
          <w:tcPr>
            <w:tcW w:w="1134" w:type="dxa"/>
          </w:tcPr>
          <w:p w14:paraId="67BAB9FE"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MAQ-64</w:t>
            </w:r>
          </w:p>
        </w:tc>
        <w:tc>
          <w:tcPr>
            <w:tcW w:w="992" w:type="dxa"/>
          </w:tcPr>
          <w:p w14:paraId="017E2EB4" w14:textId="77777777" w:rsidR="00725E50" w:rsidRPr="00075DC8" w:rsidRDefault="00725E50" w:rsidP="008B65A6">
            <w:pPr>
              <w:pStyle w:val="Tabletext"/>
              <w:ind w:left="-57" w:right="-57"/>
              <w:jc w:val="center"/>
              <w:rPr>
                <w:color w:val="000000"/>
                <w:sz w:val="18"/>
                <w:szCs w:val="18"/>
                <w:lang w:val="fr-FR"/>
              </w:rPr>
            </w:pPr>
            <w:r w:rsidRPr="00075DC8">
              <w:rPr>
                <w:color w:val="000000"/>
                <w:sz w:val="18"/>
                <w:szCs w:val="18"/>
                <w:lang w:val="fr-FR"/>
              </w:rPr>
              <w:t>MDPQ</w:t>
            </w:r>
          </w:p>
        </w:tc>
        <w:tc>
          <w:tcPr>
            <w:tcW w:w="864" w:type="dxa"/>
          </w:tcPr>
          <w:p w14:paraId="60D2524E" w14:textId="77777777" w:rsidR="00725E50" w:rsidRPr="00075DC8" w:rsidRDefault="00725E50" w:rsidP="008B65A6">
            <w:pPr>
              <w:pStyle w:val="Tabletext"/>
              <w:ind w:left="-57" w:right="-57"/>
              <w:jc w:val="center"/>
              <w:rPr>
                <w:color w:val="000000"/>
                <w:sz w:val="18"/>
                <w:szCs w:val="18"/>
                <w:lang w:val="fr-FR"/>
              </w:rPr>
            </w:pPr>
            <w:r w:rsidRPr="00075DC8">
              <w:rPr>
                <w:color w:val="000000"/>
                <w:sz w:val="18"/>
                <w:szCs w:val="18"/>
                <w:lang w:val="fr-FR"/>
              </w:rPr>
              <w:t>MAQ-128</w:t>
            </w:r>
          </w:p>
        </w:tc>
      </w:tr>
      <w:tr w:rsidR="00587B4E" w:rsidRPr="00075DC8" w14:paraId="6ADDEA8E" w14:textId="77777777" w:rsidTr="00587B4E">
        <w:trPr>
          <w:jc w:val="center"/>
        </w:trPr>
        <w:tc>
          <w:tcPr>
            <w:tcW w:w="2265" w:type="dxa"/>
            <w:tcMar>
              <w:left w:w="57" w:type="dxa"/>
              <w:right w:w="57" w:type="dxa"/>
            </w:tcMar>
          </w:tcPr>
          <w:p w14:paraId="14DAB4CF" w14:textId="77777777" w:rsidR="00725E50" w:rsidRPr="00075DC8" w:rsidRDefault="00725E50" w:rsidP="008B65A6">
            <w:pPr>
              <w:pStyle w:val="Tabletext"/>
              <w:jc w:val="left"/>
              <w:rPr>
                <w:sz w:val="18"/>
                <w:szCs w:val="18"/>
                <w:lang w:val="fr-FR" w:eastAsia="ja-JP"/>
              </w:rPr>
            </w:pPr>
            <w:bookmarkStart w:id="90" w:name="_Hlk198649060"/>
            <w:r w:rsidRPr="00075DC8">
              <w:rPr>
                <w:sz w:val="18"/>
                <w:szCs w:val="18"/>
                <w:lang w:val="fr-FR" w:eastAsia="ja-JP"/>
              </w:rPr>
              <w:t>Espacement des canaux et largeur de bande de bruit du récepteur (MHz)</w:t>
            </w:r>
          </w:p>
        </w:tc>
        <w:tc>
          <w:tcPr>
            <w:tcW w:w="993" w:type="dxa"/>
          </w:tcPr>
          <w:p w14:paraId="2557296A"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3,</w:t>
            </w:r>
            <w:r w:rsidRPr="00075DC8">
              <w:rPr>
                <w:sz w:val="18"/>
                <w:szCs w:val="18"/>
                <w:lang w:val="fr-FR"/>
              </w:rPr>
              <w:t>5</w:t>
            </w:r>
            <w:r w:rsidRPr="00075DC8">
              <w:rPr>
                <w:sz w:val="18"/>
                <w:szCs w:val="18"/>
                <w:lang w:val="fr-FR" w:eastAsia="ja-JP"/>
              </w:rPr>
              <w:t xml:space="preserve">; 5; 7; </w:t>
            </w:r>
            <w:r w:rsidRPr="00075DC8">
              <w:rPr>
                <w:b/>
                <w:sz w:val="18"/>
                <w:szCs w:val="18"/>
                <w:lang w:val="fr-FR" w:eastAsia="ja-JP"/>
              </w:rPr>
              <w:t>10</w:t>
            </w:r>
            <w:r w:rsidRPr="00075DC8">
              <w:rPr>
                <w:sz w:val="18"/>
                <w:szCs w:val="18"/>
                <w:lang w:val="fr-FR" w:eastAsia="ja-JP"/>
              </w:rPr>
              <w:t xml:space="preserve">; 14; </w:t>
            </w:r>
            <w:r w:rsidRPr="00075DC8">
              <w:rPr>
                <w:b/>
                <w:sz w:val="18"/>
                <w:szCs w:val="18"/>
                <w:lang w:val="fr-FR" w:eastAsia="ja-JP"/>
              </w:rPr>
              <w:t>20</w:t>
            </w:r>
            <w:r w:rsidRPr="00075DC8">
              <w:rPr>
                <w:sz w:val="18"/>
                <w:szCs w:val="18"/>
                <w:lang w:val="fr-FR" w:eastAsia="ja-JP"/>
              </w:rPr>
              <w:t xml:space="preserve">; </w:t>
            </w:r>
            <w:r w:rsidRPr="00075DC8">
              <w:rPr>
                <w:b/>
                <w:sz w:val="18"/>
                <w:szCs w:val="18"/>
                <w:lang w:val="fr-FR" w:eastAsia="ja-JP"/>
              </w:rPr>
              <w:t>28</w:t>
            </w:r>
            <w:r w:rsidRPr="00075DC8">
              <w:rPr>
                <w:sz w:val="18"/>
                <w:szCs w:val="18"/>
                <w:lang w:val="fr-FR" w:eastAsia="ja-JP"/>
              </w:rPr>
              <w:t xml:space="preserve">; </w:t>
            </w:r>
            <w:r w:rsidRPr="00075DC8">
              <w:rPr>
                <w:b/>
                <w:sz w:val="18"/>
                <w:szCs w:val="18"/>
                <w:lang w:val="fr-FR" w:eastAsia="ja-JP"/>
              </w:rPr>
              <w:t>30</w:t>
            </w:r>
            <w:r w:rsidRPr="00075DC8">
              <w:rPr>
                <w:caps/>
                <w:sz w:val="18"/>
                <w:szCs w:val="18"/>
                <w:vertAlign w:val="superscript"/>
                <w:lang w:val="fr-FR" w:eastAsia="ja-JP"/>
              </w:rPr>
              <w:t>(3)</w:t>
            </w:r>
            <w:r w:rsidRPr="00075DC8">
              <w:rPr>
                <w:sz w:val="18"/>
                <w:szCs w:val="18"/>
                <w:lang w:val="fr-FR" w:eastAsia="ja-JP"/>
              </w:rPr>
              <w:t>;</w:t>
            </w:r>
            <w:r w:rsidRPr="00075DC8">
              <w:rPr>
                <w:bCs/>
                <w:sz w:val="18"/>
                <w:szCs w:val="18"/>
                <w:lang w:val="fr-FR" w:eastAsia="ja-JP"/>
              </w:rPr>
              <w:t xml:space="preserve"> </w:t>
            </w:r>
            <w:r w:rsidRPr="00075DC8">
              <w:rPr>
                <w:b/>
                <w:sz w:val="18"/>
                <w:szCs w:val="18"/>
                <w:lang w:val="fr-FR" w:eastAsia="ja-JP"/>
              </w:rPr>
              <w:t>40</w:t>
            </w:r>
            <w:r w:rsidRPr="00075DC8">
              <w:rPr>
                <w:caps/>
                <w:sz w:val="18"/>
                <w:szCs w:val="18"/>
                <w:vertAlign w:val="superscript"/>
                <w:lang w:val="fr-FR" w:eastAsia="ja-JP"/>
              </w:rPr>
              <w:t>(3)</w:t>
            </w:r>
            <w:r w:rsidRPr="00075DC8">
              <w:rPr>
                <w:sz w:val="18"/>
                <w:szCs w:val="18"/>
                <w:lang w:val="fr-FR" w:eastAsia="ja-JP"/>
              </w:rPr>
              <w:t>;</w:t>
            </w:r>
            <w:r w:rsidRPr="00075DC8">
              <w:rPr>
                <w:bCs/>
                <w:sz w:val="18"/>
                <w:szCs w:val="18"/>
                <w:lang w:val="fr-FR" w:eastAsia="ja-JP"/>
              </w:rPr>
              <w:t xml:space="preserve"> </w:t>
            </w:r>
            <w:r w:rsidRPr="00075DC8">
              <w:rPr>
                <w:b/>
                <w:sz w:val="18"/>
                <w:szCs w:val="18"/>
                <w:lang w:val="fr-FR" w:eastAsia="ja-JP"/>
              </w:rPr>
              <w:t>60</w:t>
            </w:r>
            <w:r w:rsidRPr="00075DC8">
              <w:rPr>
                <w:caps/>
                <w:sz w:val="18"/>
                <w:szCs w:val="18"/>
                <w:vertAlign w:val="superscript"/>
                <w:lang w:val="fr-FR" w:eastAsia="ja-JP"/>
              </w:rPr>
              <w:t>(3)</w:t>
            </w:r>
            <w:r w:rsidRPr="00075DC8">
              <w:rPr>
                <w:sz w:val="18"/>
                <w:szCs w:val="18"/>
                <w:lang w:val="fr-FR" w:eastAsia="ja-JP"/>
              </w:rPr>
              <w:t>;</w:t>
            </w:r>
            <w:r w:rsidRPr="00075DC8">
              <w:rPr>
                <w:bCs/>
                <w:sz w:val="18"/>
                <w:szCs w:val="18"/>
                <w:lang w:val="fr-FR" w:eastAsia="ja-JP"/>
              </w:rPr>
              <w:t xml:space="preserve"> </w:t>
            </w:r>
            <w:r w:rsidRPr="00075DC8">
              <w:rPr>
                <w:b/>
                <w:sz w:val="18"/>
                <w:szCs w:val="18"/>
                <w:lang w:val="fr-FR" w:eastAsia="ja-JP"/>
              </w:rPr>
              <w:t>80</w:t>
            </w:r>
            <w:r w:rsidRPr="00075DC8">
              <w:rPr>
                <w:caps/>
                <w:sz w:val="18"/>
                <w:szCs w:val="18"/>
                <w:vertAlign w:val="superscript"/>
                <w:lang w:val="fr-FR" w:eastAsia="ja-JP"/>
              </w:rPr>
              <w:t>(3)</w:t>
            </w:r>
          </w:p>
        </w:tc>
        <w:tc>
          <w:tcPr>
            <w:tcW w:w="1134" w:type="dxa"/>
          </w:tcPr>
          <w:p w14:paraId="1BDC9489" w14:textId="77777777" w:rsidR="00725E50" w:rsidRPr="00075DC8" w:rsidRDefault="00725E50" w:rsidP="008B65A6">
            <w:pPr>
              <w:pStyle w:val="Tabletext"/>
              <w:jc w:val="center"/>
              <w:rPr>
                <w:sz w:val="18"/>
                <w:szCs w:val="18"/>
                <w:lang w:val="fr-FR"/>
              </w:rPr>
            </w:pPr>
            <w:r w:rsidRPr="00075DC8">
              <w:rPr>
                <w:sz w:val="18"/>
                <w:szCs w:val="18"/>
                <w:lang w:val="fr-FR" w:eastAsia="ja-JP"/>
              </w:rPr>
              <w:t>3,</w:t>
            </w:r>
            <w:r w:rsidRPr="00075DC8">
              <w:rPr>
                <w:sz w:val="18"/>
                <w:szCs w:val="18"/>
                <w:lang w:val="fr-FR"/>
              </w:rPr>
              <w:t>5</w:t>
            </w:r>
            <w:r w:rsidRPr="00075DC8">
              <w:rPr>
                <w:sz w:val="18"/>
                <w:szCs w:val="18"/>
                <w:lang w:val="fr-FR" w:eastAsia="ja-JP"/>
              </w:rPr>
              <w:t xml:space="preserve">; 5; 7; </w:t>
            </w:r>
            <w:r w:rsidRPr="00075DC8">
              <w:rPr>
                <w:b/>
                <w:sz w:val="18"/>
                <w:szCs w:val="18"/>
                <w:lang w:val="fr-FR" w:eastAsia="ja-JP"/>
              </w:rPr>
              <w:t>10</w:t>
            </w:r>
            <w:r w:rsidRPr="00075DC8">
              <w:rPr>
                <w:sz w:val="18"/>
                <w:szCs w:val="18"/>
                <w:lang w:val="fr-FR" w:eastAsia="ja-JP"/>
              </w:rPr>
              <w:t xml:space="preserve">; 14; </w:t>
            </w:r>
            <w:r w:rsidRPr="00075DC8">
              <w:rPr>
                <w:b/>
                <w:sz w:val="18"/>
                <w:szCs w:val="18"/>
                <w:lang w:val="fr-FR" w:eastAsia="ja-JP"/>
              </w:rPr>
              <w:t>20</w:t>
            </w:r>
            <w:r w:rsidRPr="00075DC8">
              <w:rPr>
                <w:sz w:val="18"/>
                <w:szCs w:val="18"/>
                <w:lang w:val="fr-FR" w:eastAsia="ja-JP"/>
              </w:rPr>
              <w:t xml:space="preserve">; </w:t>
            </w:r>
            <w:r w:rsidRPr="00075DC8">
              <w:rPr>
                <w:b/>
                <w:sz w:val="18"/>
                <w:szCs w:val="18"/>
                <w:lang w:val="fr-FR" w:eastAsia="ja-JP"/>
              </w:rPr>
              <w:t>28</w:t>
            </w:r>
            <w:r w:rsidRPr="00075DC8">
              <w:rPr>
                <w:sz w:val="18"/>
                <w:szCs w:val="18"/>
                <w:lang w:val="fr-FR" w:eastAsia="ja-JP"/>
              </w:rPr>
              <w:t xml:space="preserve">; </w:t>
            </w:r>
            <w:r w:rsidRPr="00075DC8">
              <w:rPr>
                <w:b/>
                <w:sz w:val="18"/>
                <w:szCs w:val="18"/>
                <w:lang w:val="fr-FR" w:eastAsia="ja-JP"/>
              </w:rPr>
              <w:t>30</w:t>
            </w:r>
            <w:r w:rsidRPr="00075DC8">
              <w:rPr>
                <w:caps/>
                <w:sz w:val="18"/>
                <w:szCs w:val="18"/>
                <w:vertAlign w:val="superscript"/>
                <w:lang w:val="fr-FR" w:eastAsia="ja-JP"/>
              </w:rPr>
              <w:t>(3)</w:t>
            </w:r>
            <w:r w:rsidRPr="00075DC8">
              <w:rPr>
                <w:sz w:val="18"/>
                <w:szCs w:val="18"/>
                <w:lang w:val="fr-FR" w:eastAsia="ja-JP"/>
              </w:rPr>
              <w:t xml:space="preserve">; </w:t>
            </w:r>
            <w:r w:rsidRPr="00075DC8">
              <w:rPr>
                <w:b/>
                <w:sz w:val="18"/>
                <w:szCs w:val="18"/>
                <w:lang w:val="fr-FR" w:eastAsia="ja-JP"/>
              </w:rPr>
              <w:t>40</w:t>
            </w:r>
            <w:r w:rsidRPr="00075DC8">
              <w:rPr>
                <w:caps/>
                <w:sz w:val="18"/>
                <w:szCs w:val="18"/>
                <w:vertAlign w:val="superscript"/>
                <w:lang w:val="fr-FR" w:eastAsia="ja-JP"/>
              </w:rPr>
              <w:t>(3)</w:t>
            </w:r>
            <w:r w:rsidRPr="00075DC8">
              <w:rPr>
                <w:sz w:val="18"/>
                <w:szCs w:val="18"/>
                <w:lang w:val="fr-FR" w:eastAsia="ja-JP"/>
              </w:rPr>
              <w:t>;</w:t>
            </w:r>
            <w:r w:rsidRPr="00075DC8">
              <w:rPr>
                <w:bCs/>
                <w:sz w:val="18"/>
                <w:szCs w:val="18"/>
                <w:lang w:val="fr-FR" w:eastAsia="ja-JP"/>
              </w:rPr>
              <w:t xml:space="preserve"> </w:t>
            </w:r>
            <w:r w:rsidRPr="00075DC8">
              <w:rPr>
                <w:b/>
                <w:sz w:val="18"/>
                <w:szCs w:val="18"/>
                <w:lang w:val="fr-FR" w:eastAsia="ja-JP"/>
              </w:rPr>
              <w:t>60</w:t>
            </w:r>
            <w:r w:rsidRPr="00075DC8">
              <w:rPr>
                <w:caps/>
                <w:sz w:val="18"/>
                <w:szCs w:val="18"/>
                <w:vertAlign w:val="superscript"/>
                <w:lang w:val="fr-FR" w:eastAsia="ja-JP"/>
              </w:rPr>
              <w:t>(3)</w:t>
            </w:r>
            <w:r w:rsidRPr="00075DC8">
              <w:rPr>
                <w:sz w:val="18"/>
                <w:szCs w:val="18"/>
                <w:lang w:val="fr-FR" w:eastAsia="ja-JP"/>
              </w:rPr>
              <w:t>;</w:t>
            </w:r>
            <w:r w:rsidRPr="00075DC8">
              <w:rPr>
                <w:b/>
                <w:sz w:val="18"/>
                <w:szCs w:val="18"/>
                <w:lang w:val="fr-FR" w:eastAsia="ja-JP"/>
              </w:rPr>
              <w:t xml:space="preserve"> 80</w:t>
            </w:r>
            <w:r w:rsidRPr="00075DC8">
              <w:rPr>
                <w:caps/>
                <w:sz w:val="18"/>
                <w:szCs w:val="18"/>
                <w:vertAlign w:val="superscript"/>
                <w:lang w:val="fr-FR" w:eastAsia="ja-JP"/>
              </w:rPr>
              <w:t>(3)</w:t>
            </w:r>
          </w:p>
        </w:tc>
        <w:tc>
          <w:tcPr>
            <w:tcW w:w="1134" w:type="dxa"/>
          </w:tcPr>
          <w:p w14:paraId="783B1B1E" w14:textId="77777777" w:rsidR="00725E50" w:rsidRPr="00075DC8" w:rsidRDefault="00725E50" w:rsidP="008B65A6">
            <w:pPr>
              <w:pStyle w:val="Tabletext"/>
              <w:jc w:val="center"/>
              <w:rPr>
                <w:sz w:val="18"/>
                <w:szCs w:val="18"/>
                <w:lang w:val="fr-FR"/>
              </w:rPr>
            </w:pPr>
            <w:r w:rsidRPr="00075DC8">
              <w:rPr>
                <w:caps/>
                <w:sz w:val="18"/>
                <w:szCs w:val="18"/>
                <w:lang w:val="fr-FR" w:eastAsia="ja-JP"/>
              </w:rPr>
              <w:t xml:space="preserve">1,25; 2,5; 5; 7; </w:t>
            </w:r>
            <w:r w:rsidRPr="00075DC8">
              <w:rPr>
                <w:b/>
                <w:caps/>
                <w:sz w:val="18"/>
                <w:szCs w:val="18"/>
                <w:lang w:val="fr-FR" w:eastAsia="ja-JP"/>
              </w:rPr>
              <w:t>10</w:t>
            </w:r>
            <w:r w:rsidRPr="00075DC8">
              <w:rPr>
                <w:caps/>
                <w:sz w:val="18"/>
                <w:szCs w:val="18"/>
                <w:lang w:val="fr-FR" w:eastAsia="ja-JP"/>
              </w:rPr>
              <w:t xml:space="preserve">; 11,662; 14; </w:t>
            </w:r>
            <w:r w:rsidRPr="00075DC8">
              <w:rPr>
                <w:b/>
                <w:caps/>
                <w:sz w:val="18"/>
                <w:szCs w:val="18"/>
                <w:lang w:val="fr-FR" w:eastAsia="ja-JP"/>
              </w:rPr>
              <w:t>20</w:t>
            </w:r>
            <w:r w:rsidRPr="00075DC8">
              <w:rPr>
                <w:caps/>
                <w:sz w:val="18"/>
                <w:szCs w:val="18"/>
                <w:lang w:val="fr-FR" w:eastAsia="ja-JP"/>
              </w:rPr>
              <w:t>;</w:t>
            </w:r>
            <w:r w:rsidRPr="00075DC8">
              <w:rPr>
                <w:b/>
                <w:caps/>
                <w:sz w:val="18"/>
                <w:szCs w:val="18"/>
                <w:lang w:val="fr-FR" w:eastAsia="ja-JP"/>
              </w:rPr>
              <w:t xml:space="preserve"> 28</w:t>
            </w:r>
            <w:r w:rsidRPr="00075DC8">
              <w:rPr>
                <w:caps/>
                <w:sz w:val="18"/>
                <w:szCs w:val="18"/>
                <w:lang w:val="fr-FR" w:eastAsia="ja-JP"/>
              </w:rPr>
              <w:t xml:space="preserve">; 29,65; </w:t>
            </w:r>
            <w:r w:rsidRPr="00075DC8">
              <w:rPr>
                <w:b/>
                <w:caps/>
                <w:sz w:val="18"/>
                <w:szCs w:val="18"/>
                <w:lang w:val="fr-FR" w:eastAsia="ja-JP"/>
              </w:rPr>
              <w:t>30</w:t>
            </w:r>
            <w:r w:rsidRPr="00075DC8">
              <w:rPr>
                <w:caps/>
                <w:sz w:val="18"/>
                <w:szCs w:val="18"/>
                <w:lang w:val="fr-FR" w:eastAsia="ja-JP"/>
              </w:rPr>
              <w:t xml:space="preserve">; </w:t>
            </w:r>
            <w:r w:rsidRPr="00075DC8">
              <w:rPr>
                <w:b/>
                <w:caps/>
                <w:sz w:val="18"/>
                <w:szCs w:val="18"/>
                <w:lang w:val="fr-FR" w:eastAsia="ja-JP"/>
              </w:rPr>
              <w:t>40</w:t>
            </w:r>
            <w:r w:rsidRPr="00075DC8">
              <w:rPr>
                <w:caps/>
                <w:sz w:val="18"/>
                <w:szCs w:val="18"/>
                <w:lang w:val="fr-FR" w:eastAsia="ja-JP"/>
              </w:rPr>
              <w:t>;</w:t>
            </w:r>
            <w:r w:rsidRPr="00075DC8">
              <w:rPr>
                <w:b/>
                <w:sz w:val="18"/>
                <w:szCs w:val="18"/>
                <w:lang w:val="fr-FR" w:eastAsia="ja-JP"/>
              </w:rPr>
              <w:t xml:space="preserve"> 60</w:t>
            </w:r>
            <w:r w:rsidRPr="00075DC8">
              <w:rPr>
                <w:caps/>
                <w:sz w:val="18"/>
                <w:szCs w:val="18"/>
                <w:vertAlign w:val="superscript"/>
                <w:lang w:val="fr-FR" w:eastAsia="ja-JP"/>
              </w:rPr>
              <w:t>(3)</w:t>
            </w:r>
            <w:r w:rsidRPr="00075DC8">
              <w:rPr>
                <w:sz w:val="18"/>
                <w:szCs w:val="18"/>
                <w:lang w:val="fr-FR" w:eastAsia="ja-JP"/>
              </w:rPr>
              <w:t xml:space="preserve">; </w:t>
            </w:r>
            <w:r w:rsidRPr="00075DC8">
              <w:rPr>
                <w:b/>
                <w:sz w:val="18"/>
                <w:szCs w:val="18"/>
                <w:lang w:val="fr-FR" w:eastAsia="ja-JP"/>
              </w:rPr>
              <w:t>80</w:t>
            </w:r>
            <w:r w:rsidRPr="00075DC8">
              <w:rPr>
                <w:caps/>
                <w:sz w:val="18"/>
                <w:szCs w:val="18"/>
                <w:vertAlign w:val="superscript"/>
                <w:lang w:val="fr-FR" w:eastAsia="ja-JP"/>
              </w:rPr>
              <w:t>(3)</w:t>
            </w:r>
          </w:p>
        </w:tc>
        <w:tc>
          <w:tcPr>
            <w:tcW w:w="1134" w:type="dxa"/>
          </w:tcPr>
          <w:p w14:paraId="0E8C3574" w14:textId="77777777" w:rsidR="00725E50" w:rsidRPr="00075DC8" w:rsidRDefault="00725E50" w:rsidP="008B65A6">
            <w:pPr>
              <w:pStyle w:val="Tabletext"/>
              <w:jc w:val="center"/>
              <w:rPr>
                <w:sz w:val="18"/>
                <w:szCs w:val="18"/>
                <w:lang w:val="fr-FR" w:eastAsia="ja-JP"/>
              </w:rPr>
            </w:pPr>
            <w:r w:rsidRPr="00075DC8">
              <w:rPr>
                <w:caps/>
                <w:sz w:val="18"/>
                <w:szCs w:val="18"/>
                <w:lang w:val="fr-FR" w:eastAsia="ja-JP"/>
              </w:rPr>
              <w:t xml:space="preserve">1,25; 2,5; 5; 7; </w:t>
            </w:r>
            <w:r w:rsidRPr="00075DC8">
              <w:rPr>
                <w:b/>
                <w:caps/>
                <w:sz w:val="18"/>
                <w:szCs w:val="18"/>
                <w:lang w:val="fr-FR" w:eastAsia="ja-JP"/>
              </w:rPr>
              <w:t>10</w:t>
            </w:r>
            <w:r w:rsidRPr="00075DC8">
              <w:rPr>
                <w:caps/>
                <w:sz w:val="18"/>
                <w:szCs w:val="18"/>
                <w:lang w:val="fr-FR" w:eastAsia="ja-JP"/>
              </w:rPr>
              <w:t xml:space="preserve">; 11,662; 14; </w:t>
            </w:r>
            <w:r w:rsidRPr="00075DC8">
              <w:rPr>
                <w:b/>
                <w:caps/>
                <w:sz w:val="18"/>
                <w:szCs w:val="18"/>
                <w:lang w:val="fr-FR" w:eastAsia="ja-JP"/>
              </w:rPr>
              <w:t>20</w:t>
            </w:r>
            <w:r w:rsidRPr="00075DC8">
              <w:rPr>
                <w:caps/>
                <w:sz w:val="18"/>
                <w:szCs w:val="18"/>
                <w:lang w:val="fr-FR" w:eastAsia="ja-JP"/>
              </w:rPr>
              <w:t xml:space="preserve">; </w:t>
            </w:r>
            <w:r w:rsidRPr="00075DC8">
              <w:rPr>
                <w:b/>
                <w:caps/>
                <w:sz w:val="18"/>
                <w:szCs w:val="18"/>
                <w:lang w:val="fr-FR" w:eastAsia="ja-JP"/>
              </w:rPr>
              <w:t>28</w:t>
            </w:r>
            <w:r w:rsidRPr="00075DC8">
              <w:rPr>
                <w:caps/>
                <w:sz w:val="18"/>
                <w:szCs w:val="18"/>
                <w:lang w:val="fr-FR" w:eastAsia="ja-JP"/>
              </w:rPr>
              <w:t xml:space="preserve">; 29,65; </w:t>
            </w:r>
            <w:r w:rsidRPr="00075DC8">
              <w:rPr>
                <w:b/>
                <w:caps/>
                <w:sz w:val="18"/>
                <w:szCs w:val="18"/>
                <w:lang w:val="fr-FR" w:eastAsia="ja-JP"/>
              </w:rPr>
              <w:t>30</w:t>
            </w:r>
            <w:r w:rsidRPr="00075DC8">
              <w:rPr>
                <w:caps/>
                <w:sz w:val="18"/>
                <w:szCs w:val="18"/>
                <w:lang w:val="fr-FR" w:eastAsia="ja-JP"/>
              </w:rPr>
              <w:t xml:space="preserve">; </w:t>
            </w:r>
            <w:r w:rsidRPr="00075DC8">
              <w:rPr>
                <w:b/>
                <w:caps/>
                <w:sz w:val="18"/>
                <w:szCs w:val="18"/>
                <w:lang w:val="fr-FR" w:eastAsia="ja-JP"/>
              </w:rPr>
              <w:t>40</w:t>
            </w:r>
            <w:r w:rsidRPr="00075DC8">
              <w:rPr>
                <w:caps/>
                <w:sz w:val="18"/>
                <w:szCs w:val="18"/>
                <w:lang w:val="fr-FR" w:eastAsia="ja-JP"/>
              </w:rPr>
              <w:t>;</w:t>
            </w:r>
            <w:r w:rsidRPr="00075DC8">
              <w:rPr>
                <w:b/>
                <w:sz w:val="18"/>
                <w:szCs w:val="18"/>
                <w:lang w:val="fr-FR" w:eastAsia="ja-JP"/>
              </w:rPr>
              <w:t xml:space="preserve"> 60</w:t>
            </w:r>
            <w:r w:rsidRPr="00075DC8">
              <w:rPr>
                <w:caps/>
                <w:sz w:val="18"/>
                <w:szCs w:val="18"/>
                <w:vertAlign w:val="superscript"/>
                <w:lang w:val="fr-FR" w:eastAsia="ja-JP"/>
              </w:rPr>
              <w:t>(3)</w:t>
            </w:r>
            <w:r w:rsidRPr="00075DC8">
              <w:rPr>
                <w:sz w:val="18"/>
                <w:szCs w:val="18"/>
                <w:lang w:val="fr-FR" w:eastAsia="ja-JP"/>
              </w:rPr>
              <w:t>;</w:t>
            </w:r>
            <w:r w:rsidRPr="00075DC8">
              <w:rPr>
                <w:b/>
                <w:sz w:val="18"/>
                <w:szCs w:val="18"/>
                <w:lang w:val="fr-FR" w:eastAsia="ja-JP"/>
              </w:rPr>
              <w:t xml:space="preserve"> 80</w:t>
            </w:r>
            <w:r w:rsidRPr="00075DC8">
              <w:rPr>
                <w:caps/>
                <w:sz w:val="18"/>
                <w:szCs w:val="18"/>
                <w:vertAlign w:val="superscript"/>
                <w:lang w:val="fr-FR" w:eastAsia="ja-JP"/>
              </w:rPr>
              <w:t>(3)</w:t>
            </w:r>
          </w:p>
        </w:tc>
        <w:tc>
          <w:tcPr>
            <w:tcW w:w="992" w:type="dxa"/>
          </w:tcPr>
          <w:p w14:paraId="33EB57D1" w14:textId="77777777" w:rsidR="00725E50" w:rsidRPr="00075DC8" w:rsidRDefault="00725E50" w:rsidP="008B65A6">
            <w:pPr>
              <w:pStyle w:val="Tabletext"/>
              <w:jc w:val="center"/>
              <w:rPr>
                <w:caps/>
                <w:sz w:val="18"/>
                <w:szCs w:val="18"/>
                <w:lang w:val="fr-FR" w:eastAsia="ja-JP"/>
              </w:rPr>
            </w:pPr>
            <w:r w:rsidRPr="00075DC8">
              <w:rPr>
                <w:sz w:val="18"/>
                <w:szCs w:val="18"/>
                <w:lang w:val="fr-FR" w:eastAsia="zh-CN"/>
              </w:rPr>
              <w:t xml:space="preserve">1,25, 2,5, 3,5, 7, </w:t>
            </w:r>
            <w:r w:rsidRPr="00075DC8">
              <w:rPr>
                <w:b/>
                <w:sz w:val="18"/>
                <w:szCs w:val="18"/>
                <w:lang w:val="fr-FR" w:eastAsia="zh-CN"/>
              </w:rPr>
              <w:t>14</w:t>
            </w:r>
            <w:r w:rsidRPr="00075DC8">
              <w:rPr>
                <w:sz w:val="18"/>
                <w:szCs w:val="18"/>
                <w:lang w:val="fr-FR" w:eastAsia="zh-CN"/>
              </w:rPr>
              <w:t>, 28, 56</w:t>
            </w:r>
          </w:p>
        </w:tc>
        <w:tc>
          <w:tcPr>
            <w:tcW w:w="850" w:type="dxa"/>
          </w:tcPr>
          <w:p w14:paraId="6694BB00" w14:textId="77777777" w:rsidR="00725E50" w:rsidRPr="00075DC8" w:rsidRDefault="00725E50" w:rsidP="008B65A6">
            <w:pPr>
              <w:pStyle w:val="Tabletext"/>
              <w:jc w:val="center"/>
              <w:rPr>
                <w:caps/>
                <w:sz w:val="18"/>
                <w:szCs w:val="18"/>
                <w:lang w:val="fr-FR" w:eastAsia="ja-JP"/>
              </w:rPr>
            </w:pPr>
            <w:r w:rsidRPr="00075DC8">
              <w:rPr>
                <w:sz w:val="18"/>
                <w:szCs w:val="18"/>
                <w:lang w:val="fr-FR" w:eastAsia="zh-CN"/>
              </w:rPr>
              <w:t xml:space="preserve">1,25, 2,5, 3.5, 7, </w:t>
            </w:r>
            <w:r w:rsidRPr="00075DC8">
              <w:rPr>
                <w:b/>
                <w:sz w:val="18"/>
                <w:szCs w:val="18"/>
                <w:lang w:val="fr-FR" w:eastAsia="zh-CN"/>
              </w:rPr>
              <w:t>14</w:t>
            </w:r>
            <w:r w:rsidRPr="00075DC8">
              <w:rPr>
                <w:sz w:val="18"/>
                <w:szCs w:val="18"/>
                <w:lang w:val="fr-FR" w:eastAsia="zh-CN"/>
              </w:rPr>
              <w:t>, 28, 56</w:t>
            </w:r>
          </w:p>
        </w:tc>
        <w:tc>
          <w:tcPr>
            <w:tcW w:w="851" w:type="dxa"/>
          </w:tcPr>
          <w:p w14:paraId="72D6D32D" w14:textId="77777777" w:rsidR="00725E50" w:rsidRPr="00075DC8" w:rsidRDefault="00725E50" w:rsidP="008B65A6">
            <w:pPr>
              <w:pStyle w:val="Tabletext"/>
              <w:jc w:val="center"/>
              <w:rPr>
                <w:sz w:val="18"/>
                <w:szCs w:val="18"/>
                <w:lang w:val="fr-FR" w:eastAsia="ja-JP"/>
              </w:rPr>
            </w:pPr>
            <w:r w:rsidRPr="00075DC8">
              <w:rPr>
                <w:caps/>
                <w:sz w:val="18"/>
                <w:szCs w:val="18"/>
                <w:lang w:val="fr-FR" w:eastAsia="ja-JP"/>
              </w:rPr>
              <w:t xml:space="preserve">1,25; 2,5; 3,5; </w:t>
            </w:r>
            <w:r w:rsidRPr="00075DC8">
              <w:rPr>
                <w:b/>
                <w:bCs/>
                <w:caps/>
                <w:sz w:val="18"/>
                <w:szCs w:val="18"/>
                <w:lang w:val="fr-FR" w:eastAsia="ja-JP"/>
              </w:rPr>
              <w:t>7</w:t>
            </w:r>
          </w:p>
        </w:tc>
        <w:tc>
          <w:tcPr>
            <w:tcW w:w="992" w:type="dxa"/>
          </w:tcPr>
          <w:p w14:paraId="36705FEE" w14:textId="77777777" w:rsidR="00725E50" w:rsidRPr="00075DC8" w:rsidRDefault="00725E50" w:rsidP="008B65A6">
            <w:pPr>
              <w:pStyle w:val="Tabletext"/>
              <w:jc w:val="center"/>
              <w:rPr>
                <w:sz w:val="18"/>
                <w:szCs w:val="18"/>
                <w:lang w:val="fr-FR" w:eastAsia="ja-JP"/>
              </w:rPr>
            </w:pPr>
            <w:r w:rsidRPr="00075DC8">
              <w:rPr>
                <w:caps/>
                <w:sz w:val="18"/>
                <w:szCs w:val="18"/>
                <w:lang w:val="fr-FR" w:eastAsia="ja-JP"/>
              </w:rPr>
              <w:t xml:space="preserve">1,25; </w:t>
            </w:r>
            <w:r w:rsidRPr="00075DC8">
              <w:rPr>
                <w:b/>
                <w:bCs/>
                <w:caps/>
                <w:sz w:val="18"/>
                <w:szCs w:val="18"/>
                <w:lang w:val="fr-FR" w:eastAsia="ja-JP"/>
              </w:rPr>
              <w:t>2,5</w:t>
            </w:r>
            <w:r w:rsidRPr="00075DC8">
              <w:rPr>
                <w:caps/>
                <w:sz w:val="18"/>
                <w:szCs w:val="18"/>
                <w:lang w:val="fr-FR" w:eastAsia="ja-JP"/>
              </w:rPr>
              <w:t>; 3,5; 7</w:t>
            </w:r>
          </w:p>
        </w:tc>
        <w:tc>
          <w:tcPr>
            <w:tcW w:w="1134" w:type="dxa"/>
          </w:tcPr>
          <w:p w14:paraId="101D0D99" w14:textId="77777777" w:rsidR="00725E50" w:rsidRPr="00075DC8" w:rsidRDefault="00725E50" w:rsidP="008B65A6">
            <w:pPr>
              <w:pStyle w:val="Tabletext"/>
              <w:jc w:val="center"/>
              <w:rPr>
                <w:sz w:val="18"/>
                <w:szCs w:val="18"/>
                <w:lang w:val="fr-FR" w:eastAsia="ja-JP"/>
              </w:rPr>
            </w:pPr>
            <w:r w:rsidRPr="00075DC8">
              <w:rPr>
                <w:sz w:val="18"/>
                <w:szCs w:val="18"/>
                <w:lang w:val="fr-FR"/>
              </w:rPr>
              <w:t>5</w:t>
            </w:r>
            <w:r w:rsidRPr="00075DC8">
              <w:rPr>
                <w:sz w:val="18"/>
                <w:szCs w:val="18"/>
                <w:lang w:val="fr-FR" w:eastAsia="ja-JP"/>
              </w:rPr>
              <w:t xml:space="preserve">; 10; 20; 40; </w:t>
            </w:r>
            <w:r w:rsidRPr="00075DC8">
              <w:rPr>
                <w:b/>
                <w:sz w:val="18"/>
                <w:szCs w:val="18"/>
                <w:lang w:val="fr-FR" w:eastAsia="ja-JP"/>
              </w:rPr>
              <w:t>60</w:t>
            </w:r>
            <w:r w:rsidRPr="00075DC8">
              <w:rPr>
                <w:sz w:val="18"/>
                <w:szCs w:val="18"/>
                <w:lang w:val="fr-FR" w:eastAsia="ja-JP"/>
              </w:rPr>
              <w:t>; 67; 80; 56; 112</w:t>
            </w:r>
          </w:p>
        </w:tc>
        <w:tc>
          <w:tcPr>
            <w:tcW w:w="1134" w:type="dxa"/>
          </w:tcPr>
          <w:p w14:paraId="459F5BC8" w14:textId="77777777" w:rsidR="00725E50" w:rsidRPr="00075DC8" w:rsidRDefault="00725E50" w:rsidP="008B65A6">
            <w:pPr>
              <w:pStyle w:val="Tabletext"/>
              <w:jc w:val="center"/>
              <w:rPr>
                <w:sz w:val="18"/>
                <w:szCs w:val="18"/>
                <w:lang w:val="fr-FR"/>
              </w:rPr>
            </w:pPr>
            <w:r w:rsidRPr="00075DC8">
              <w:rPr>
                <w:sz w:val="18"/>
                <w:szCs w:val="18"/>
                <w:lang w:val="fr-FR"/>
              </w:rPr>
              <w:t>5</w:t>
            </w:r>
            <w:r w:rsidRPr="00075DC8">
              <w:rPr>
                <w:sz w:val="18"/>
                <w:szCs w:val="18"/>
                <w:lang w:val="fr-FR" w:eastAsia="ja-JP"/>
              </w:rPr>
              <w:t xml:space="preserve">; 10; 20; </w:t>
            </w:r>
            <w:r w:rsidRPr="00075DC8">
              <w:rPr>
                <w:b/>
                <w:sz w:val="18"/>
                <w:szCs w:val="18"/>
                <w:lang w:val="fr-FR" w:eastAsia="ja-JP"/>
              </w:rPr>
              <w:t>40</w:t>
            </w:r>
            <w:r w:rsidRPr="00075DC8">
              <w:rPr>
                <w:sz w:val="18"/>
                <w:szCs w:val="18"/>
                <w:lang w:val="fr-FR" w:eastAsia="ja-JP"/>
              </w:rPr>
              <w:t>; 60; 67; 80; 56; 112</w:t>
            </w:r>
          </w:p>
        </w:tc>
        <w:tc>
          <w:tcPr>
            <w:tcW w:w="992" w:type="dxa"/>
          </w:tcPr>
          <w:p w14:paraId="0D90E026" w14:textId="77777777" w:rsidR="00725E50" w:rsidRPr="00075DC8" w:rsidRDefault="00725E50" w:rsidP="008B65A6">
            <w:pPr>
              <w:pStyle w:val="Tabletext"/>
              <w:jc w:val="center"/>
              <w:rPr>
                <w:sz w:val="18"/>
                <w:szCs w:val="18"/>
                <w:lang w:val="fr-FR" w:eastAsia="ja-JP"/>
              </w:rPr>
            </w:pPr>
            <w:r w:rsidRPr="00075DC8">
              <w:rPr>
                <w:b/>
                <w:bCs/>
                <w:sz w:val="18"/>
                <w:szCs w:val="18"/>
                <w:lang w:val="fr-FR" w:eastAsia="ja-JP"/>
              </w:rPr>
              <w:t>3,5</w:t>
            </w:r>
            <w:r w:rsidRPr="00075DC8">
              <w:rPr>
                <w:sz w:val="18"/>
                <w:szCs w:val="18"/>
                <w:lang w:val="fr-FR" w:eastAsia="ja-JP"/>
              </w:rPr>
              <w:t>; 7; 14; 28; 56</w:t>
            </w:r>
          </w:p>
        </w:tc>
        <w:tc>
          <w:tcPr>
            <w:tcW w:w="864" w:type="dxa"/>
          </w:tcPr>
          <w:p w14:paraId="09F3D924"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 xml:space="preserve">3,5; 7; 14; </w:t>
            </w:r>
            <w:r w:rsidRPr="00075DC8">
              <w:rPr>
                <w:b/>
                <w:bCs/>
                <w:sz w:val="18"/>
                <w:szCs w:val="18"/>
                <w:lang w:val="fr-FR" w:eastAsia="ja-JP"/>
              </w:rPr>
              <w:t>28</w:t>
            </w:r>
            <w:r w:rsidRPr="00075DC8">
              <w:rPr>
                <w:sz w:val="18"/>
                <w:szCs w:val="18"/>
                <w:lang w:val="fr-FR" w:eastAsia="ja-JP"/>
              </w:rPr>
              <w:t>; 56</w:t>
            </w:r>
          </w:p>
        </w:tc>
      </w:tr>
      <w:bookmarkEnd w:id="90"/>
      <w:tr w:rsidR="00587B4E" w:rsidRPr="00075DC8" w14:paraId="500D2CDD" w14:textId="77777777" w:rsidTr="00587B4E">
        <w:trPr>
          <w:jc w:val="center"/>
        </w:trPr>
        <w:tc>
          <w:tcPr>
            <w:tcW w:w="2265" w:type="dxa"/>
            <w:tcMar>
              <w:left w:w="57" w:type="dxa"/>
              <w:right w:w="57" w:type="dxa"/>
            </w:tcMar>
          </w:tcPr>
          <w:p w14:paraId="5E7C376E" w14:textId="6763E549" w:rsidR="00725E50" w:rsidRPr="00075DC8" w:rsidRDefault="00725E50" w:rsidP="008B65A6">
            <w:pPr>
              <w:pStyle w:val="Tabletext"/>
              <w:jc w:val="left"/>
              <w:rPr>
                <w:sz w:val="18"/>
                <w:szCs w:val="18"/>
                <w:lang w:val="fr-FR" w:eastAsia="ja-JP"/>
              </w:rPr>
            </w:pPr>
            <w:r w:rsidRPr="00075DC8">
              <w:rPr>
                <w:sz w:val="18"/>
                <w:szCs w:val="18"/>
                <w:lang w:val="fr-FR" w:eastAsia="ja-JP"/>
              </w:rPr>
              <w:t>Plage des puissances de sortie au niveau de l</w:t>
            </w:r>
            <w:r w:rsidR="001F6A0D" w:rsidRPr="00075DC8">
              <w:rPr>
                <w:sz w:val="18"/>
                <w:szCs w:val="18"/>
                <w:lang w:val="fr-FR" w:eastAsia="ja-JP"/>
              </w:rPr>
              <w:t>'</w:t>
            </w:r>
            <w:r w:rsidRPr="00075DC8">
              <w:rPr>
                <w:sz w:val="18"/>
                <w:szCs w:val="18"/>
                <w:lang w:val="fr-FR" w:eastAsia="ja-JP"/>
              </w:rPr>
              <w:t>émetteur (dBW)</w:t>
            </w:r>
          </w:p>
        </w:tc>
        <w:tc>
          <w:tcPr>
            <w:tcW w:w="993" w:type="dxa"/>
          </w:tcPr>
          <w:p w14:paraId="5E675BE3" w14:textId="77777777" w:rsidR="00725E50" w:rsidRPr="00075DC8" w:rsidRDefault="00725E50" w:rsidP="008B65A6">
            <w:pPr>
              <w:pStyle w:val="Tabletext"/>
              <w:jc w:val="center"/>
              <w:rPr>
                <w:sz w:val="18"/>
                <w:szCs w:val="18"/>
                <w:lang w:val="fr-FR" w:eastAsia="ja-JP"/>
              </w:rPr>
            </w:pPr>
            <w:r w:rsidRPr="00075DC8">
              <w:rPr>
                <w:sz w:val="18"/>
                <w:szCs w:val="18"/>
                <w:lang w:val="fr-FR"/>
              </w:rPr>
              <w:t>−6,5…13</w:t>
            </w:r>
          </w:p>
        </w:tc>
        <w:tc>
          <w:tcPr>
            <w:tcW w:w="1134" w:type="dxa"/>
          </w:tcPr>
          <w:p w14:paraId="3E3D0701" w14:textId="77777777" w:rsidR="00725E50" w:rsidRPr="00075DC8" w:rsidRDefault="00725E50" w:rsidP="008B65A6">
            <w:pPr>
              <w:pStyle w:val="Tabletext"/>
              <w:jc w:val="center"/>
              <w:rPr>
                <w:sz w:val="18"/>
                <w:szCs w:val="18"/>
                <w:lang w:val="fr-FR" w:eastAsia="ja-JP"/>
              </w:rPr>
            </w:pPr>
            <w:r w:rsidRPr="00075DC8">
              <w:rPr>
                <w:sz w:val="18"/>
                <w:szCs w:val="18"/>
                <w:lang w:val="fr-FR"/>
              </w:rPr>
              <w:t>−6,5…13</w:t>
            </w:r>
          </w:p>
        </w:tc>
        <w:tc>
          <w:tcPr>
            <w:tcW w:w="1134" w:type="dxa"/>
          </w:tcPr>
          <w:p w14:paraId="46428EA6" w14:textId="77777777" w:rsidR="00725E50" w:rsidRPr="00075DC8" w:rsidRDefault="00725E50" w:rsidP="008B65A6">
            <w:pPr>
              <w:pStyle w:val="Tabletext"/>
              <w:jc w:val="center"/>
              <w:rPr>
                <w:sz w:val="18"/>
                <w:szCs w:val="18"/>
                <w:lang w:val="fr-FR" w:eastAsia="ja-JP"/>
              </w:rPr>
            </w:pPr>
            <w:r w:rsidRPr="00075DC8">
              <w:rPr>
                <w:sz w:val="18"/>
                <w:szCs w:val="18"/>
                <w:lang w:val="fr-FR"/>
              </w:rPr>
              <w:t>−6,5…13</w:t>
            </w:r>
          </w:p>
        </w:tc>
        <w:tc>
          <w:tcPr>
            <w:tcW w:w="1134" w:type="dxa"/>
          </w:tcPr>
          <w:p w14:paraId="0267559E" w14:textId="77777777" w:rsidR="00725E50" w:rsidRPr="00075DC8" w:rsidRDefault="00725E50" w:rsidP="008B65A6">
            <w:pPr>
              <w:pStyle w:val="Tabletext"/>
              <w:jc w:val="center"/>
              <w:rPr>
                <w:sz w:val="18"/>
                <w:szCs w:val="18"/>
                <w:lang w:val="fr-FR" w:eastAsia="ja-JP"/>
              </w:rPr>
            </w:pPr>
            <w:r w:rsidRPr="00075DC8">
              <w:rPr>
                <w:sz w:val="18"/>
                <w:szCs w:val="18"/>
                <w:lang w:val="fr-FR"/>
              </w:rPr>
              <w:t>−6,5…13</w:t>
            </w:r>
          </w:p>
        </w:tc>
        <w:tc>
          <w:tcPr>
            <w:tcW w:w="992" w:type="dxa"/>
          </w:tcPr>
          <w:p w14:paraId="514C43AC" w14:textId="77777777" w:rsidR="00725E50" w:rsidRPr="00075DC8" w:rsidRDefault="00725E50" w:rsidP="008B65A6">
            <w:pPr>
              <w:pStyle w:val="Tabletext"/>
              <w:jc w:val="center"/>
              <w:rPr>
                <w:sz w:val="18"/>
                <w:szCs w:val="18"/>
                <w:lang w:val="fr-FR" w:eastAsia="ja-JP"/>
              </w:rPr>
            </w:pPr>
            <w:r w:rsidRPr="00075DC8">
              <w:rPr>
                <w:sz w:val="18"/>
                <w:szCs w:val="18"/>
                <w:lang w:val="fr-FR" w:eastAsia="zh-CN"/>
              </w:rPr>
              <w:t>0</w:t>
            </w:r>
          </w:p>
        </w:tc>
        <w:tc>
          <w:tcPr>
            <w:tcW w:w="850" w:type="dxa"/>
          </w:tcPr>
          <w:p w14:paraId="75CCFCF1" w14:textId="77777777" w:rsidR="00725E50" w:rsidRPr="00075DC8" w:rsidRDefault="00725E50" w:rsidP="008B65A6">
            <w:pPr>
              <w:pStyle w:val="Tabletext"/>
              <w:jc w:val="center"/>
              <w:rPr>
                <w:sz w:val="18"/>
                <w:szCs w:val="18"/>
                <w:lang w:val="fr-FR" w:eastAsia="ja-JP"/>
              </w:rPr>
            </w:pPr>
            <w:r w:rsidRPr="00075DC8">
              <w:rPr>
                <w:sz w:val="18"/>
                <w:szCs w:val="18"/>
                <w:lang w:val="fr-FR" w:eastAsia="zh-CN"/>
              </w:rPr>
              <w:t>0</w:t>
            </w:r>
          </w:p>
        </w:tc>
        <w:tc>
          <w:tcPr>
            <w:tcW w:w="851" w:type="dxa"/>
            <w:vMerge w:val="restart"/>
          </w:tcPr>
          <w:p w14:paraId="5410AA20"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NOTE</w:t>
            </w:r>
          </w:p>
        </w:tc>
        <w:tc>
          <w:tcPr>
            <w:tcW w:w="992" w:type="dxa"/>
          </w:tcPr>
          <w:p w14:paraId="1E5B8224" w14:textId="6D688ADF" w:rsidR="00725E50" w:rsidRPr="00075DC8" w:rsidRDefault="00725E50" w:rsidP="008B65A6">
            <w:pPr>
              <w:pStyle w:val="Tabletext"/>
              <w:jc w:val="center"/>
              <w:rPr>
                <w:sz w:val="18"/>
                <w:szCs w:val="18"/>
                <w:lang w:val="fr-FR" w:eastAsia="ja-JP"/>
              </w:rPr>
            </w:pPr>
            <w:r w:rsidRPr="00075DC8">
              <w:rPr>
                <w:sz w:val="18"/>
                <w:szCs w:val="18"/>
                <w:lang w:val="fr-FR"/>
              </w:rPr>
              <w:t>−</w:t>
            </w:r>
            <w:r w:rsidRPr="00075DC8">
              <w:rPr>
                <w:color w:val="000000"/>
                <w:sz w:val="18"/>
                <w:szCs w:val="18"/>
                <w:lang w:val="fr-FR" w:eastAsia="ja-JP"/>
              </w:rPr>
              <w:t>15,0…</w:t>
            </w:r>
            <w:r w:rsidR="006D0688" w:rsidRPr="00075DC8">
              <w:rPr>
                <w:color w:val="000000"/>
                <w:sz w:val="18"/>
                <w:szCs w:val="18"/>
                <w:lang w:val="fr-FR" w:eastAsia="ja-JP"/>
              </w:rPr>
              <w:br/>
            </w:r>
            <w:r w:rsidRPr="00075DC8">
              <w:rPr>
                <w:color w:val="000000"/>
                <w:sz w:val="18"/>
                <w:szCs w:val="18"/>
                <w:lang w:val="fr-FR" w:eastAsia="ja-JP"/>
              </w:rPr>
              <w:t>1,0</w:t>
            </w:r>
          </w:p>
        </w:tc>
        <w:tc>
          <w:tcPr>
            <w:tcW w:w="1134" w:type="dxa"/>
          </w:tcPr>
          <w:p w14:paraId="379C63DD" w14:textId="77777777" w:rsidR="00725E50" w:rsidRPr="00075DC8" w:rsidRDefault="00725E50" w:rsidP="008B65A6">
            <w:pPr>
              <w:pStyle w:val="Tabletext"/>
              <w:jc w:val="center"/>
              <w:rPr>
                <w:sz w:val="18"/>
                <w:szCs w:val="18"/>
                <w:lang w:val="fr-FR" w:eastAsia="ja-JP"/>
              </w:rPr>
            </w:pPr>
            <w:r w:rsidRPr="00075DC8">
              <w:rPr>
                <w:sz w:val="18"/>
                <w:szCs w:val="18"/>
                <w:lang w:val="fr-FR"/>
              </w:rPr>
              <w:t>3…</w:t>
            </w:r>
            <w:r w:rsidRPr="00075DC8">
              <w:rPr>
                <w:sz w:val="18"/>
                <w:szCs w:val="18"/>
                <w:lang w:val="fr-FR" w:eastAsia="ja-JP"/>
              </w:rPr>
              <w:t>5,0</w:t>
            </w:r>
          </w:p>
        </w:tc>
        <w:tc>
          <w:tcPr>
            <w:tcW w:w="1134" w:type="dxa"/>
          </w:tcPr>
          <w:p w14:paraId="05AFE563"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0,0</w:t>
            </w:r>
          </w:p>
        </w:tc>
        <w:tc>
          <w:tcPr>
            <w:tcW w:w="992" w:type="dxa"/>
          </w:tcPr>
          <w:p w14:paraId="47FFC11C" w14:textId="77777777" w:rsidR="00725E50" w:rsidRPr="00075DC8" w:rsidRDefault="00725E50" w:rsidP="008B65A6">
            <w:pPr>
              <w:pStyle w:val="Tabletext"/>
              <w:jc w:val="center"/>
              <w:rPr>
                <w:sz w:val="18"/>
                <w:szCs w:val="18"/>
                <w:lang w:val="fr-FR" w:eastAsia="ja-JP"/>
              </w:rPr>
            </w:pPr>
            <w:r w:rsidRPr="00075DC8">
              <w:rPr>
                <w:sz w:val="18"/>
                <w:szCs w:val="18"/>
                <w:lang w:val="fr-FR" w:eastAsia="zh-CN"/>
              </w:rPr>
              <w:t>0</w:t>
            </w:r>
          </w:p>
        </w:tc>
        <w:tc>
          <w:tcPr>
            <w:tcW w:w="864" w:type="dxa"/>
          </w:tcPr>
          <w:p w14:paraId="39A02737" w14:textId="77777777" w:rsidR="00725E50" w:rsidRPr="00075DC8" w:rsidRDefault="00725E50" w:rsidP="008B65A6">
            <w:pPr>
              <w:pStyle w:val="Tabletext"/>
              <w:jc w:val="center"/>
              <w:rPr>
                <w:sz w:val="18"/>
                <w:szCs w:val="18"/>
                <w:lang w:val="fr-FR" w:eastAsia="ja-JP"/>
              </w:rPr>
            </w:pPr>
            <w:r w:rsidRPr="00075DC8">
              <w:rPr>
                <w:sz w:val="18"/>
                <w:szCs w:val="18"/>
                <w:lang w:val="fr-FR"/>
              </w:rPr>
              <w:t>−15,6…−3,0</w:t>
            </w:r>
          </w:p>
        </w:tc>
      </w:tr>
      <w:tr w:rsidR="00587B4E" w:rsidRPr="00075DC8" w14:paraId="2CC960B0" w14:textId="77777777" w:rsidTr="00587B4E">
        <w:trPr>
          <w:jc w:val="center"/>
        </w:trPr>
        <w:tc>
          <w:tcPr>
            <w:tcW w:w="2265" w:type="dxa"/>
            <w:tcMar>
              <w:left w:w="57" w:type="dxa"/>
              <w:right w:w="57" w:type="dxa"/>
            </w:tcMar>
          </w:tcPr>
          <w:p w14:paraId="247F09DB" w14:textId="43E74256" w:rsidR="00725E50" w:rsidRPr="00075DC8" w:rsidRDefault="00725E50" w:rsidP="008B65A6">
            <w:pPr>
              <w:pStyle w:val="Tabletext"/>
              <w:jc w:val="left"/>
              <w:rPr>
                <w:sz w:val="18"/>
                <w:szCs w:val="18"/>
                <w:lang w:val="fr-FR"/>
              </w:rPr>
            </w:pPr>
            <w:r w:rsidRPr="00075DC8">
              <w:rPr>
                <w:sz w:val="18"/>
                <w:szCs w:val="18"/>
                <w:lang w:val="fr-FR" w:eastAsia="ja-JP"/>
              </w:rPr>
              <w:t>Plage des densités de puissance de sortie au niveau de l</w:t>
            </w:r>
            <w:r w:rsidR="001F6A0D" w:rsidRPr="00075DC8">
              <w:rPr>
                <w:sz w:val="18"/>
                <w:szCs w:val="18"/>
                <w:lang w:val="fr-FR" w:eastAsia="ja-JP"/>
              </w:rPr>
              <w:t>'</w:t>
            </w:r>
            <w:r w:rsidRPr="00075DC8">
              <w:rPr>
                <w:sz w:val="18"/>
                <w:szCs w:val="18"/>
                <w:lang w:val="fr-FR" w:eastAsia="ja-JP"/>
              </w:rPr>
              <w:t xml:space="preserve">émetteur </w:t>
            </w:r>
            <w:r w:rsidRPr="00075DC8">
              <w:rPr>
                <w:sz w:val="18"/>
                <w:szCs w:val="18"/>
                <w:lang w:val="fr-FR"/>
              </w:rPr>
              <w:t>(dBW/MHz)</w:t>
            </w:r>
            <w:r w:rsidRPr="00075DC8">
              <w:rPr>
                <w:sz w:val="18"/>
                <w:szCs w:val="18"/>
                <w:vertAlign w:val="superscript"/>
                <w:lang w:val="fr-FR" w:eastAsia="ja-JP"/>
              </w:rPr>
              <w:t>(1)</w:t>
            </w:r>
          </w:p>
        </w:tc>
        <w:tc>
          <w:tcPr>
            <w:tcW w:w="993" w:type="dxa"/>
          </w:tcPr>
          <w:p w14:paraId="38A9DBCB" w14:textId="77777777" w:rsidR="00725E50" w:rsidRPr="00075DC8" w:rsidRDefault="00725E50" w:rsidP="008B65A6">
            <w:pPr>
              <w:pStyle w:val="Tabletext"/>
              <w:jc w:val="center"/>
              <w:rPr>
                <w:sz w:val="18"/>
                <w:szCs w:val="18"/>
                <w:lang w:val="fr-FR"/>
              </w:rPr>
            </w:pPr>
            <w:r w:rsidRPr="00075DC8">
              <w:rPr>
                <w:sz w:val="18"/>
                <w:szCs w:val="18"/>
                <w:lang w:val="fr-FR"/>
              </w:rPr>
              <w:t>−</w:t>
            </w:r>
            <w:r w:rsidRPr="00075DC8">
              <w:rPr>
                <w:sz w:val="18"/>
                <w:szCs w:val="18"/>
                <w:lang w:val="fr-FR" w:eastAsia="ja-JP"/>
              </w:rPr>
              <w:t>25,5…3</w:t>
            </w:r>
          </w:p>
        </w:tc>
        <w:tc>
          <w:tcPr>
            <w:tcW w:w="1134" w:type="dxa"/>
          </w:tcPr>
          <w:p w14:paraId="6761CE4A" w14:textId="77777777" w:rsidR="00725E50" w:rsidRPr="00075DC8" w:rsidRDefault="00725E50" w:rsidP="008B65A6">
            <w:pPr>
              <w:pStyle w:val="Tabletext"/>
              <w:jc w:val="center"/>
              <w:rPr>
                <w:sz w:val="18"/>
                <w:szCs w:val="18"/>
                <w:lang w:val="fr-FR" w:eastAsia="ja-JP"/>
              </w:rPr>
            </w:pPr>
            <w:r w:rsidRPr="00075DC8">
              <w:rPr>
                <w:sz w:val="18"/>
                <w:szCs w:val="18"/>
                <w:lang w:val="fr-FR"/>
              </w:rPr>
              <w:t>−</w:t>
            </w:r>
            <w:r w:rsidRPr="00075DC8">
              <w:rPr>
                <w:sz w:val="18"/>
                <w:szCs w:val="18"/>
                <w:lang w:val="fr-FR" w:eastAsia="ja-JP"/>
              </w:rPr>
              <w:t>25,5…3</w:t>
            </w:r>
          </w:p>
        </w:tc>
        <w:tc>
          <w:tcPr>
            <w:tcW w:w="1134" w:type="dxa"/>
          </w:tcPr>
          <w:p w14:paraId="2E33DB07" w14:textId="77777777" w:rsidR="00725E50" w:rsidRPr="00075DC8" w:rsidRDefault="00725E50" w:rsidP="008B65A6">
            <w:pPr>
              <w:pStyle w:val="Tabletext"/>
              <w:jc w:val="center"/>
              <w:rPr>
                <w:sz w:val="18"/>
                <w:szCs w:val="18"/>
                <w:lang w:val="fr-FR"/>
              </w:rPr>
            </w:pPr>
            <w:r w:rsidRPr="00075DC8">
              <w:rPr>
                <w:sz w:val="18"/>
                <w:szCs w:val="18"/>
                <w:lang w:val="fr-FR"/>
              </w:rPr>
              <w:t>−</w:t>
            </w:r>
            <w:r w:rsidRPr="00075DC8">
              <w:rPr>
                <w:sz w:val="18"/>
                <w:szCs w:val="18"/>
                <w:lang w:val="fr-FR" w:eastAsia="ja-JP"/>
              </w:rPr>
              <w:t>25,5…3</w:t>
            </w:r>
          </w:p>
        </w:tc>
        <w:tc>
          <w:tcPr>
            <w:tcW w:w="1134" w:type="dxa"/>
          </w:tcPr>
          <w:p w14:paraId="166675D6" w14:textId="77777777" w:rsidR="00725E50" w:rsidRPr="00075DC8" w:rsidRDefault="00725E50" w:rsidP="008B65A6">
            <w:pPr>
              <w:pStyle w:val="Tabletext"/>
              <w:jc w:val="center"/>
              <w:rPr>
                <w:sz w:val="18"/>
                <w:szCs w:val="18"/>
                <w:lang w:val="fr-FR" w:eastAsia="ja-JP"/>
              </w:rPr>
            </w:pPr>
            <w:r w:rsidRPr="00075DC8">
              <w:rPr>
                <w:sz w:val="18"/>
                <w:szCs w:val="18"/>
                <w:lang w:val="fr-FR"/>
              </w:rPr>
              <w:t>−</w:t>
            </w:r>
            <w:r w:rsidRPr="00075DC8">
              <w:rPr>
                <w:sz w:val="18"/>
                <w:szCs w:val="18"/>
                <w:lang w:val="fr-FR" w:eastAsia="ja-JP"/>
              </w:rPr>
              <w:t>25,5…3</w:t>
            </w:r>
          </w:p>
        </w:tc>
        <w:tc>
          <w:tcPr>
            <w:tcW w:w="992" w:type="dxa"/>
          </w:tcPr>
          <w:p w14:paraId="73C3417F" w14:textId="77777777" w:rsidR="00725E50" w:rsidRPr="00075DC8" w:rsidRDefault="00725E50" w:rsidP="008B65A6">
            <w:pPr>
              <w:pStyle w:val="Tabletext"/>
              <w:jc w:val="center"/>
              <w:rPr>
                <w:sz w:val="18"/>
                <w:szCs w:val="18"/>
                <w:lang w:val="fr-FR"/>
              </w:rPr>
            </w:pPr>
            <w:r w:rsidRPr="00075DC8">
              <w:rPr>
                <w:sz w:val="18"/>
                <w:szCs w:val="18"/>
                <w:lang w:val="fr-FR"/>
              </w:rPr>
              <w:t>−</w:t>
            </w:r>
            <w:r w:rsidRPr="00075DC8">
              <w:rPr>
                <w:color w:val="000000"/>
                <w:sz w:val="18"/>
                <w:szCs w:val="18"/>
                <w:lang w:val="fr-FR" w:eastAsia="ja-JP"/>
              </w:rPr>
              <w:t>11,5</w:t>
            </w:r>
          </w:p>
        </w:tc>
        <w:tc>
          <w:tcPr>
            <w:tcW w:w="850" w:type="dxa"/>
          </w:tcPr>
          <w:p w14:paraId="24B48C2A" w14:textId="77777777" w:rsidR="00725E50" w:rsidRPr="00075DC8" w:rsidRDefault="00725E50" w:rsidP="008B65A6">
            <w:pPr>
              <w:pStyle w:val="Tabletext"/>
              <w:jc w:val="center"/>
              <w:rPr>
                <w:sz w:val="18"/>
                <w:szCs w:val="18"/>
                <w:lang w:val="fr-FR"/>
              </w:rPr>
            </w:pPr>
            <w:r w:rsidRPr="00075DC8">
              <w:rPr>
                <w:sz w:val="18"/>
                <w:szCs w:val="18"/>
                <w:lang w:val="fr-FR"/>
              </w:rPr>
              <w:t>−</w:t>
            </w:r>
            <w:r w:rsidRPr="00075DC8">
              <w:rPr>
                <w:color w:val="000000"/>
                <w:sz w:val="18"/>
                <w:szCs w:val="18"/>
                <w:lang w:val="fr-FR" w:eastAsia="ja-JP"/>
              </w:rPr>
              <w:t>11,5</w:t>
            </w:r>
          </w:p>
        </w:tc>
        <w:tc>
          <w:tcPr>
            <w:tcW w:w="851" w:type="dxa"/>
            <w:vMerge/>
          </w:tcPr>
          <w:p w14:paraId="3D71F7CE" w14:textId="77777777" w:rsidR="00725E50" w:rsidRPr="00075DC8" w:rsidRDefault="00725E50" w:rsidP="008B65A6">
            <w:pPr>
              <w:pStyle w:val="Tabletext"/>
              <w:jc w:val="center"/>
              <w:rPr>
                <w:sz w:val="18"/>
                <w:szCs w:val="18"/>
                <w:lang w:val="fr-FR"/>
              </w:rPr>
            </w:pPr>
          </w:p>
        </w:tc>
        <w:tc>
          <w:tcPr>
            <w:tcW w:w="992" w:type="dxa"/>
          </w:tcPr>
          <w:p w14:paraId="583C7DCA" w14:textId="5FE0757A" w:rsidR="00725E50" w:rsidRPr="00075DC8" w:rsidRDefault="00725E50" w:rsidP="008B65A6">
            <w:pPr>
              <w:pStyle w:val="Tabletext"/>
              <w:jc w:val="center"/>
              <w:rPr>
                <w:sz w:val="18"/>
                <w:szCs w:val="18"/>
                <w:lang w:val="fr-FR"/>
              </w:rPr>
            </w:pPr>
            <w:r w:rsidRPr="00075DC8">
              <w:rPr>
                <w:sz w:val="18"/>
                <w:szCs w:val="18"/>
                <w:lang w:val="fr-FR"/>
              </w:rPr>
              <w:t>−19,0…</w:t>
            </w:r>
            <w:r w:rsidR="006D0688" w:rsidRPr="00075DC8">
              <w:rPr>
                <w:sz w:val="18"/>
                <w:szCs w:val="18"/>
                <w:lang w:val="fr-FR"/>
              </w:rPr>
              <w:br/>
            </w:r>
            <w:r w:rsidRPr="00075DC8">
              <w:rPr>
                <w:sz w:val="18"/>
                <w:szCs w:val="18"/>
                <w:lang w:val="fr-FR"/>
              </w:rPr>
              <w:t>−3,0</w:t>
            </w:r>
          </w:p>
        </w:tc>
        <w:tc>
          <w:tcPr>
            <w:tcW w:w="1134" w:type="dxa"/>
          </w:tcPr>
          <w:p w14:paraId="23B29410" w14:textId="617D6D55" w:rsidR="00725E50" w:rsidRPr="00075DC8" w:rsidRDefault="00725E50" w:rsidP="008B65A6">
            <w:pPr>
              <w:pStyle w:val="Tabletext"/>
              <w:jc w:val="center"/>
              <w:rPr>
                <w:sz w:val="18"/>
                <w:szCs w:val="18"/>
                <w:lang w:val="fr-FR" w:eastAsia="ja-JP"/>
              </w:rPr>
            </w:pPr>
            <w:r w:rsidRPr="00075DC8">
              <w:rPr>
                <w:sz w:val="18"/>
                <w:szCs w:val="18"/>
                <w:lang w:val="fr-FR"/>
              </w:rPr>
              <w:t>−</w:t>
            </w:r>
            <w:r w:rsidRPr="00075DC8">
              <w:rPr>
                <w:sz w:val="18"/>
                <w:szCs w:val="18"/>
                <w:lang w:val="fr-FR" w:eastAsia="ja-JP"/>
              </w:rPr>
              <w:t>14,8…</w:t>
            </w:r>
            <w:r w:rsidR="006D0688" w:rsidRPr="00075DC8">
              <w:rPr>
                <w:sz w:val="18"/>
                <w:szCs w:val="18"/>
                <w:lang w:val="fr-FR" w:eastAsia="ja-JP"/>
              </w:rPr>
              <w:br/>
            </w:r>
            <w:r w:rsidRPr="00075DC8">
              <w:rPr>
                <w:sz w:val="18"/>
                <w:szCs w:val="18"/>
                <w:lang w:val="fr-FR"/>
              </w:rPr>
              <w:t>−</w:t>
            </w:r>
            <w:r w:rsidRPr="00075DC8">
              <w:rPr>
                <w:sz w:val="18"/>
                <w:szCs w:val="18"/>
                <w:lang w:val="fr-FR" w:eastAsia="ja-JP"/>
              </w:rPr>
              <w:t>12,8</w:t>
            </w:r>
          </w:p>
        </w:tc>
        <w:tc>
          <w:tcPr>
            <w:tcW w:w="1134" w:type="dxa"/>
          </w:tcPr>
          <w:p w14:paraId="14E6EFF3"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−16,0</w:t>
            </w:r>
          </w:p>
        </w:tc>
        <w:tc>
          <w:tcPr>
            <w:tcW w:w="992" w:type="dxa"/>
          </w:tcPr>
          <w:p w14:paraId="7A8FF159" w14:textId="77777777" w:rsidR="00725E50" w:rsidRPr="00075DC8" w:rsidRDefault="00725E50" w:rsidP="008B65A6">
            <w:pPr>
              <w:pStyle w:val="Tabletext"/>
              <w:jc w:val="center"/>
              <w:rPr>
                <w:sz w:val="18"/>
                <w:szCs w:val="18"/>
                <w:lang w:val="fr-FR"/>
              </w:rPr>
            </w:pPr>
            <w:r w:rsidRPr="00075DC8">
              <w:rPr>
                <w:sz w:val="18"/>
                <w:szCs w:val="18"/>
                <w:lang w:val="fr-FR"/>
              </w:rPr>
              <w:t>−</w:t>
            </w:r>
            <w:r w:rsidRPr="00075DC8">
              <w:rPr>
                <w:color w:val="000000"/>
                <w:sz w:val="18"/>
                <w:szCs w:val="18"/>
                <w:lang w:val="fr-FR" w:eastAsia="ja-JP"/>
              </w:rPr>
              <w:t>5,4</w:t>
            </w:r>
          </w:p>
        </w:tc>
        <w:tc>
          <w:tcPr>
            <w:tcW w:w="864" w:type="dxa"/>
          </w:tcPr>
          <w:p w14:paraId="7F2AECBF" w14:textId="77777777" w:rsidR="00725E50" w:rsidRPr="00075DC8" w:rsidRDefault="00725E50" w:rsidP="008B65A6">
            <w:pPr>
              <w:pStyle w:val="Tabletext"/>
              <w:jc w:val="center"/>
              <w:rPr>
                <w:sz w:val="18"/>
                <w:szCs w:val="18"/>
                <w:lang w:val="fr-FR"/>
              </w:rPr>
            </w:pPr>
            <w:r w:rsidRPr="00075DC8">
              <w:rPr>
                <w:sz w:val="18"/>
                <w:szCs w:val="18"/>
                <w:lang w:val="fr-FR"/>
              </w:rPr>
              <w:t>−30,1…</w:t>
            </w:r>
            <w:r w:rsidRPr="00075DC8">
              <w:rPr>
                <w:sz w:val="18"/>
                <w:szCs w:val="18"/>
                <w:lang w:val="fr-FR"/>
              </w:rPr>
              <w:br/>
              <w:t>−17,5</w:t>
            </w:r>
          </w:p>
        </w:tc>
      </w:tr>
      <w:tr w:rsidR="00587B4E" w:rsidRPr="00075DC8" w14:paraId="6B343ECE" w14:textId="77777777" w:rsidTr="00587B4E">
        <w:trPr>
          <w:jc w:val="center"/>
        </w:trPr>
        <w:tc>
          <w:tcPr>
            <w:tcW w:w="2265" w:type="dxa"/>
            <w:tcMar>
              <w:left w:w="57" w:type="dxa"/>
              <w:right w:w="57" w:type="dxa"/>
            </w:tcMar>
          </w:tcPr>
          <w:p w14:paraId="448EF8CF" w14:textId="0D29904F" w:rsidR="00725E50" w:rsidRPr="00075DC8" w:rsidRDefault="00725E50" w:rsidP="008B65A6">
            <w:pPr>
              <w:pStyle w:val="Tabletext"/>
              <w:jc w:val="left"/>
              <w:rPr>
                <w:sz w:val="18"/>
                <w:szCs w:val="18"/>
                <w:lang w:val="fr-FR"/>
              </w:rPr>
            </w:pPr>
            <w:r w:rsidRPr="00075DC8">
              <w:rPr>
                <w:sz w:val="18"/>
                <w:szCs w:val="18"/>
                <w:lang w:val="fr-FR" w:eastAsia="ja-JP"/>
              </w:rPr>
              <w:t>Plage des pertes dues à la ligne d</w:t>
            </w:r>
            <w:r w:rsidR="001F6A0D" w:rsidRPr="00075DC8">
              <w:rPr>
                <w:sz w:val="18"/>
                <w:szCs w:val="18"/>
                <w:lang w:val="fr-FR" w:eastAsia="ja-JP"/>
              </w:rPr>
              <w:t>'</w:t>
            </w:r>
            <w:r w:rsidRPr="00075DC8">
              <w:rPr>
                <w:sz w:val="18"/>
                <w:szCs w:val="18"/>
                <w:lang w:val="fr-FR" w:eastAsia="ja-JP"/>
              </w:rPr>
              <w:t xml:space="preserve">alimentation ou au multiplexeur </w:t>
            </w:r>
            <w:r w:rsidRPr="00075DC8">
              <w:rPr>
                <w:sz w:val="18"/>
                <w:szCs w:val="18"/>
                <w:lang w:val="fr-FR"/>
              </w:rPr>
              <w:t>(dB)</w:t>
            </w:r>
          </w:p>
        </w:tc>
        <w:tc>
          <w:tcPr>
            <w:tcW w:w="993" w:type="dxa"/>
          </w:tcPr>
          <w:p w14:paraId="3BEBF1DE"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0…3,0</w:t>
            </w:r>
          </w:p>
        </w:tc>
        <w:tc>
          <w:tcPr>
            <w:tcW w:w="1134" w:type="dxa"/>
          </w:tcPr>
          <w:p w14:paraId="65AAB53A"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0…3,0</w:t>
            </w:r>
          </w:p>
        </w:tc>
        <w:tc>
          <w:tcPr>
            <w:tcW w:w="1134" w:type="dxa"/>
          </w:tcPr>
          <w:p w14:paraId="60F75B45"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0…3,0</w:t>
            </w:r>
          </w:p>
        </w:tc>
        <w:tc>
          <w:tcPr>
            <w:tcW w:w="1134" w:type="dxa"/>
          </w:tcPr>
          <w:p w14:paraId="0C7540CF"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0…3,0</w:t>
            </w:r>
          </w:p>
        </w:tc>
        <w:tc>
          <w:tcPr>
            <w:tcW w:w="992" w:type="dxa"/>
          </w:tcPr>
          <w:p w14:paraId="0943F768" w14:textId="77777777" w:rsidR="00725E50" w:rsidRPr="00075DC8" w:rsidRDefault="00725E50" w:rsidP="008B65A6">
            <w:pPr>
              <w:pStyle w:val="Tabletext"/>
              <w:jc w:val="center"/>
              <w:rPr>
                <w:sz w:val="18"/>
                <w:szCs w:val="18"/>
                <w:lang w:val="fr-FR"/>
              </w:rPr>
            </w:pPr>
            <w:r w:rsidRPr="00075DC8">
              <w:rPr>
                <w:sz w:val="18"/>
                <w:szCs w:val="18"/>
                <w:lang w:val="fr-FR" w:eastAsia="zh-CN"/>
              </w:rPr>
              <w:t>0…6,3</w:t>
            </w:r>
          </w:p>
        </w:tc>
        <w:tc>
          <w:tcPr>
            <w:tcW w:w="850" w:type="dxa"/>
          </w:tcPr>
          <w:p w14:paraId="0F76F8B9" w14:textId="77777777" w:rsidR="00725E50" w:rsidRPr="00075DC8" w:rsidRDefault="00725E50" w:rsidP="008B65A6">
            <w:pPr>
              <w:pStyle w:val="Tabletext"/>
              <w:jc w:val="center"/>
              <w:rPr>
                <w:sz w:val="18"/>
                <w:szCs w:val="18"/>
                <w:lang w:val="fr-FR"/>
              </w:rPr>
            </w:pPr>
            <w:r w:rsidRPr="00075DC8">
              <w:rPr>
                <w:sz w:val="18"/>
                <w:szCs w:val="18"/>
                <w:lang w:val="fr-FR" w:eastAsia="zh-CN"/>
              </w:rPr>
              <w:t>0…6,3</w:t>
            </w:r>
          </w:p>
        </w:tc>
        <w:tc>
          <w:tcPr>
            <w:tcW w:w="851" w:type="dxa"/>
            <w:vMerge/>
          </w:tcPr>
          <w:p w14:paraId="62307D90" w14:textId="77777777" w:rsidR="00725E50" w:rsidRPr="00075DC8" w:rsidRDefault="00725E50" w:rsidP="008B65A6">
            <w:pPr>
              <w:pStyle w:val="Tabletext"/>
              <w:jc w:val="center"/>
              <w:rPr>
                <w:sz w:val="18"/>
                <w:szCs w:val="18"/>
                <w:lang w:val="fr-FR"/>
              </w:rPr>
            </w:pPr>
          </w:p>
        </w:tc>
        <w:tc>
          <w:tcPr>
            <w:tcW w:w="992" w:type="dxa"/>
          </w:tcPr>
          <w:p w14:paraId="794DEB87" w14:textId="77777777" w:rsidR="00725E50" w:rsidRPr="00075DC8" w:rsidRDefault="00725E50" w:rsidP="008B65A6">
            <w:pPr>
              <w:pStyle w:val="Tabletext"/>
              <w:jc w:val="center"/>
              <w:rPr>
                <w:sz w:val="18"/>
                <w:szCs w:val="18"/>
                <w:lang w:val="fr-FR"/>
              </w:rPr>
            </w:pPr>
            <w:r w:rsidRPr="00075DC8">
              <w:rPr>
                <w:color w:val="000000"/>
                <w:sz w:val="18"/>
                <w:szCs w:val="18"/>
                <w:lang w:val="fr-FR"/>
              </w:rPr>
              <w:t>2,1…</w:t>
            </w:r>
            <w:r w:rsidRPr="00075DC8">
              <w:rPr>
                <w:color w:val="000000"/>
                <w:sz w:val="18"/>
                <w:szCs w:val="18"/>
                <w:lang w:val="fr-FR"/>
              </w:rPr>
              <w:br/>
              <w:t>10,0</w:t>
            </w:r>
          </w:p>
        </w:tc>
        <w:tc>
          <w:tcPr>
            <w:tcW w:w="1134" w:type="dxa"/>
          </w:tcPr>
          <w:p w14:paraId="3D51A1AA"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0</w:t>
            </w:r>
            <w:r w:rsidRPr="00075DC8">
              <w:rPr>
                <w:sz w:val="18"/>
                <w:szCs w:val="18"/>
                <w:lang w:val="fr-FR"/>
              </w:rPr>
              <w:t>…9,5</w:t>
            </w:r>
          </w:p>
        </w:tc>
        <w:tc>
          <w:tcPr>
            <w:tcW w:w="1134" w:type="dxa"/>
          </w:tcPr>
          <w:p w14:paraId="7FB3C7E7"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0</w:t>
            </w:r>
            <w:r w:rsidRPr="00075DC8">
              <w:rPr>
                <w:sz w:val="18"/>
                <w:szCs w:val="18"/>
                <w:lang w:val="fr-FR"/>
              </w:rPr>
              <w:t>…7,6</w:t>
            </w:r>
          </w:p>
        </w:tc>
        <w:tc>
          <w:tcPr>
            <w:tcW w:w="992" w:type="dxa"/>
          </w:tcPr>
          <w:p w14:paraId="2F08DE42" w14:textId="77777777" w:rsidR="00725E50" w:rsidRPr="00075DC8" w:rsidRDefault="00725E50" w:rsidP="008B65A6">
            <w:pPr>
              <w:pStyle w:val="Tabletext"/>
              <w:ind w:left="-57"/>
              <w:jc w:val="center"/>
              <w:rPr>
                <w:sz w:val="18"/>
                <w:szCs w:val="18"/>
                <w:lang w:val="fr-FR"/>
              </w:rPr>
            </w:pPr>
            <w:r w:rsidRPr="00075DC8">
              <w:rPr>
                <w:sz w:val="18"/>
                <w:szCs w:val="18"/>
                <w:lang w:val="fr-FR"/>
              </w:rPr>
              <w:t>0…9,5</w:t>
            </w:r>
          </w:p>
        </w:tc>
        <w:tc>
          <w:tcPr>
            <w:tcW w:w="864" w:type="dxa"/>
          </w:tcPr>
          <w:p w14:paraId="02434ED7" w14:textId="77777777" w:rsidR="00725E50" w:rsidRPr="00075DC8" w:rsidRDefault="00725E50" w:rsidP="008B65A6">
            <w:pPr>
              <w:pStyle w:val="Tabletext"/>
              <w:jc w:val="center"/>
              <w:rPr>
                <w:sz w:val="18"/>
                <w:szCs w:val="18"/>
                <w:lang w:val="fr-FR"/>
              </w:rPr>
            </w:pPr>
            <w:r w:rsidRPr="00075DC8">
              <w:rPr>
                <w:sz w:val="18"/>
                <w:szCs w:val="18"/>
                <w:lang w:val="fr-FR"/>
              </w:rPr>
              <w:t>0…7,6</w:t>
            </w:r>
          </w:p>
        </w:tc>
      </w:tr>
      <w:tr w:rsidR="00587B4E" w:rsidRPr="00075DC8" w14:paraId="1B622960" w14:textId="77777777" w:rsidTr="00587B4E">
        <w:trPr>
          <w:jc w:val="center"/>
        </w:trPr>
        <w:tc>
          <w:tcPr>
            <w:tcW w:w="2265" w:type="dxa"/>
            <w:tcMar>
              <w:left w:w="57" w:type="dxa"/>
              <w:right w:w="57" w:type="dxa"/>
            </w:tcMar>
          </w:tcPr>
          <w:p w14:paraId="4E5A6796" w14:textId="0BE787F9" w:rsidR="00725E50" w:rsidRPr="00075DC8" w:rsidRDefault="00725E50" w:rsidP="008B65A6">
            <w:pPr>
              <w:pStyle w:val="Tabletext"/>
              <w:jc w:val="left"/>
              <w:rPr>
                <w:sz w:val="18"/>
                <w:szCs w:val="18"/>
                <w:lang w:val="fr-FR"/>
              </w:rPr>
            </w:pPr>
            <w:r w:rsidRPr="00075DC8">
              <w:rPr>
                <w:sz w:val="18"/>
                <w:szCs w:val="18"/>
                <w:lang w:val="fr-FR" w:eastAsia="ja-JP"/>
              </w:rPr>
              <w:t>Plage des gains d</w:t>
            </w:r>
            <w:r w:rsidR="001F6A0D" w:rsidRPr="00075DC8">
              <w:rPr>
                <w:sz w:val="18"/>
                <w:szCs w:val="18"/>
                <w:lang w:val="fr-FR" w:eastAsia="ja-JP"/>
              </w:rPr>
              <w:t>'</w:t>
            </w:r>
            <w:r w:rsidRPr="00075DC8">
              <w:rPr>
                <w:sz w:val="18"/>
                <w:szCs w:val="18"/>
                <w:lang w:val="fr-FR" w:eastAsia="ja-JP"/>
              </w:rPr>
              <w:t xml:space="preserve">antenne </w:t>
            </w:r>
            <w:r w:rsidRPr="00075DC8">
              <w:rPr>
                <w:sz w:val="18"/>
                <w:szCs w:val="18"/>
                <w:lang w:val="fr-FR"/>
              </w:rPr>
              <w:t>(dBi)</w:t>
            </w:r>
          </w:p>
        </w:tc>
        <w:tc>
          <w:tcPr>
            <w:tcW w:w="993" w:type="dxa"/>
          </w:tcPr>
          <w:p w14:paraId="7D44D4E8" w14:textId="77777777" w:rsidR="00725E50" w:rsidRPr="00075DC8" w:rsidRDefault="00725E50" w:rsidP="008B65A6">
            <w:pPr>
              <w:pStyle w:val="Tabletext"/>
              <w:jc w:val="center"/>
              <w:rPr>
                <w:sz w:val="18"/>
                <w:szCs w:val="18"/>
                <w:lang w:val="fr-FR"/>
              </w:rPr>
            </w:pPr>
            <w:r w:rsidRPr="00075DC8">
              <w:rPr>
                <w:sz w:val="18"/>
                <w:szCs w:val="18"/>
                <w:lang w:val="fr-FR"/>
              </w:rPr>
              <w:t>12…48,6</w:t>
            </w:r>
          </w:p>
        </w:tc>
        <w:tc>
          <w:tcPr>
            <w:tcW w:w="1134" w:type="dxa"/>
          </w:tcPr>
          <w:p w14:paraId="54A8CC4E" w14:textId="77777777" w:rsidR="00725E50" w:rsidRPr="00075DC8" w:rsidRDefault="00725E50" w:rsidP="008B65A6">
            <w:pPr>
              <w:pStyle w:val="Tabletext"/>
              <w:jc w:val="center"/>
              <w:rPr>
                <w:sz w:val="18"/>
                <w:szCs w:val="18"/>
                <w:lang w:val="fr-FR" w:eastAsia="ja-JP"/>
              </w:rPr>
            </w:pPr>
            <w:r w:rsidRPr="00075DC8">
              <w:rPr>
                <w:sz w:val="18"/>
                <w:szCs w:val="18"/>
                <w:lang w:val="fr-FR"/>
              </w:rPr>
              <w:t>12…48,6</w:t>
            </w:r>
          </w:p>
        </w:tc>
        <w:tc>
          <w:tcPr>
            <w:tcW w:w="1134" w:type="dxa"/>
          </w:tcPr>
          <w:p w14:paraId="6AB2A845" w14:textId="77777777" w:rsidR="00725E50" w:rsidRPr="00075DC8" w:rsidRDefault="00725E50" w:rsidP="008B65A6">
            <w:pPr>
              <w:pStyle w:val="Tabletext"/>
              <w:jc w:val="center"/>
              <w:rPr>
                <w:sz w:val="18"/>
                <w:szCs w:val="18"/>
                <w:lang w:val="fr-FR" w:eastAsia="ja-JP"/>
              </w:rPr>
            </w:pPr>
            <w:r w:rsidRPr="00075DC8">
              <w:rPr>
                <w:sz w:val="18"/>
                <w:szCs w:val="18"/>
                <w:lang w:val="fr-FR"/>
              </w:rPr>
              <w:t>12…48,6</w:t>
            </w:r>
          </w:p>
        </w:tc>
        <w:tc>
          <w:tcPr>
            <w:tcW w:w="1134" w:type="dxa"/>
          </w:tcPr>
          <w:p w14:paraId="62EE5A66" w14:textId="77777777" w:rsidR="00725E50" w:rsidRPr="00075DC8" w:rsidRDefault="00725E50" w:rsidP="008B65A6">
            <w:pPr>
              <w:pStyle w:val="Tabletext"/>
              <w:jc w:val="center"/>
              <w:rPr>
                <w:sz w:val="18"/>
                <w:szCs w:val="18"/>
                <w:lang w:val="fr-FR"/>
              </w:rPr>
            </w:pPr>
            <w:r w:rsidRPr="00075DC8">
              <w:rPr>
                <w:sz w:val="18"/>
                <w:szCs w:val="18"/>
                <w:lang w:val="fr-FR"/>
              </w:rPr>
              <w:t>12…48,6</w:t>
            </w:r>
          </w:p>
        </w:tc>
        <w:tc>
          <w:tcPr>
            <w:tcW w:w="992" w:type="dxa"/>
          </w:tcPr>
          <w:p w14:paraId="6D0ED424" w14:textId="77777777" w:rsidR="00725E50" w:rsidRPr="00075DC8" w:rsidRDefault="00725E50" w:rsidP="008B65A6">
            <w:pPr>
              <w:pStyle w:val="Tabletext"/>
              <w:jc w:val="center"/>
              <w:rPr>
                <w:sz w:val="18"/>
                <w:szCs w:val="18"/>
                <w:lang w:val="fr-FR"/>
              </w:rPr>
            </w:pPr>
            <w:r w:rsidRPr="00075DC8">
              <w:rPr>
                <w:sz w:val="18"/>
                <w:szCs w:val="18"/>
                <w:lang w:val="fr-FR" w:eastAsia="zh-CN"/>
              </w:rPr>
              <w:t>33,7…</w:t>
            </w:r>
            <w:r w:rsidRPr="00075DC8">
              <w:rPr>
                <w:sz w:val="18"/>
                <w:szCs w:val="18"/>
                <w:lang w:val="fr-FR" w:eastAsia="zh-CN"/>
              </w:rPr>
              <w:br/>
              <w:t>48,6</w:t>
            </w:r>
          </w:p>
        </w:tc>
        <w:tc>
          <w:tcPr>
            <w:tcW w:w="850" w:type="dxa"/>
          </w:tcPr>
          <w:p w14:paraId="6CED6827" w14:textId="77777777" w:rsidR="00725E50" w:rsidRPr="00075DC8" w:rsidRDefault="00725E50" w:rsidP="008B65A6">
            <w:pPr>
              <w:pStyle w:val="Tabletext"/>
              <w:jc w:val="center"/>
              <w:rPr>
                <w:sz w:val="18"/>
                <w:szCs w:val="18"/>
                <w:lang w:val="fr-FR"/>
              </w:rPr>
            </w:pPr>
            <w:r w:rsidRPr="00075DC8">
              <w:rPr>
                <w:sz w:val="18"/>
                <w:szCs w:val="18"/>
                <w:lang w:val="fr-FR" w:eastAsia="zh-CN"/>
              </w:rPr>
              <w:t>33,7…</w:t>
            </w:r>
            <w:r w:rsidRPr="00075DC8">
              <w:rPr>
                <w:sz w:val="18"/>
                <w:szCs w:val="18"/>
                <w:lang w:val="fr-FR" w:eastAsia="zh-CN"/>
              </w:rPr>
              <w:br/>
              <w:t>48,6</w:t>
            </w:r>
          </w:p>
        </w:tc>
        <w:tc>
          <w:tcPr>
            <w:tcW w:w="851" w:type="dxa"/>
            <w:vMerge/>
          </w:tcPr>
          <w:p w14:paraId="6AC1A2C4" w14:textId="77777777" w:rsidR="00725E50" w:rsidRPr="00075DC8" w:rsidRDefault="00725E50" w:rsidP="008B65A6">
            <w:pPr>
              <w:pStyle w:val="Tabletext"/>
              <w:jc w:val="center"/>
              <w:rPr>
                <w:sz w:val="18"/>
                <w:szCs w:val="18"/>
                <w:lang w:val="fr-FR"/>
              </w:rPr>
            </w:pPr>
          </w:p>
        </w:tc>
        <w:tc>
          <w:tcPr>
            <w:tcW w:w="992" w:type="dxa"/>
          </w:tcPr>
          <w:p w14:paraId="218E2A1F" w14:textId="77777777" w:rsidR="00725E50" w:rsidRPr="00075DC8" w:rsidRDefault="00725E50" w:rsidP="008B65A6">
            <w:pPr>
              <w:pStyle w:val="Tabletext"/>
              <w:jc w:val="center"/>
              <w:rPr>
                <w:sz w:val="18"/>
                <w:szCs w:val="18"/>
                <w:lang w:val="fr-FR"/>
              </w:rPr>
            </w:pPr>
            <w:r w:rsidRPr="00075DC8">
              <w:rPr>
                <w:color w:val="000000"/>
                <w:sz w:val="18"/>
                <w:szCs w:val="18"/>
                <w:lang w:val="fr-FR"/>
              </w:rPr>
              <w:t>37,1…</w:t>
            </w:r>
            <w:r w:rsidRPr="00075DC8">
              <w:rPr>
                <w:color w:val="000000"/>
                <w:sz w:val="18"/>
                <w:szCs w:val="18"/>
                <w:lang w:val="fr-FR"/>
              </w:rPr>
              <w:br/>
              <w:t>45,9</w:t>
            </w:r>
          </w:p>
        </w:tc>
        <w:tc>
          <w:tcPr>
            <w:tcW w:w="1134" w:type="dxa"/>
          </w:tcPr>
          <w:p w14:paraId="65F2B6D5" w14:textId="77777777" w:rsidR="00725E50" w:rsidRPr="00075DC8" w:rsidRDefault="00725E50" w:rsidP="008B65A6">
            <w:pPr>
              <w:pStyle w:val="Tabletext"/>
              <w:jc w:val="center"/>
              <w:rPr>
                <w:sz w:val="18"/>
                <w:szCs w:val="18"/>
                <w:lang w:val="fr-FR" w:eastAsia="ja-JP"/>
              </w:rPr>
            </w:pPr>
            <w:r w:rsidRPr="00075DC8">
              <w:rPr>
                <w:sz w:val="18"/>
                <w:szCs w:val="18"/>
                <w:lang w:val="fr-FR"/>
              </w:rPr>
              <w:t>44…51</w:t>
            </w:r>
          </w:p>
        </w:tc>
        <w:tc>
          <w:tcPr>
            <w:tcW w:w="1134" w:type="dxa"/>
          </w:tcPr>
          <w:p w14:paraId="2B5D05D6"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36</w:t>
            </w:r>
            <w:r w:rsidRPr="00075DC8">
              <w:rPr>
                <w:sz w:val="18"/>
                <w:szCs w:val="18"/>
                <w:lang w:val="fr-FR"/>
              </w:rPr>
              <w:t>…</w:t>
            </w:r>
            <w:r w:rsidRPr="00075DC8">
              <w:rPr>
                <w:sz w:val="18"/>
                <w:szCs w:val="18"/>
                <w:lang w:val="fr-FR" w:eastAsia="ja-JP"/>
              </w:rPr>
              <w:t>48,0</w:t>
            </w:r>
          </w:p>
        </w:tc>
        <w:tc>
          <w:tcPr>
            <w:tcW w:w="992" w:type="dxa"/>
          </w:tcPr>
          <w:p w14:paraId="2AB5B145" w14:textId="77777777" w:rsidR="00725E50" w:rsidRPr="00075DC8" w:rsidRDefault="00725E50" w:rsidP="008B65A6">
            <w:pPr>
              <w:pStyle w:val="Tabletext"/>
              <w:jc w:val="center"/>
              <w:rPr>
                <w:sz w:val="18"/>
                <w:szCs w:val="18"/>
                <w:lang w:val="fr-FR"/>
              </w:rPr>
            </w:pPr>
            <w:r w:rsidRPr="00075DC8">
              <w:rPr>
                <w:sz w:val="18"/>
                <w:szCs w:val="18"/>
                <w:lang w:val="fr-FR"/>
              </w:rPr>
              <w:t>29</w:t>
            </w:r>
            <w:r w:rsidRPr="00075DC8" w:rsidDel="0029516C">
              <w:rPr>
                <w:sz w:val="18"/>
                <w:szCs w:val="18"/>
                <w:lang w:val="fr-FR"/>
              </w:rPr>
              <w:t>…</w:t>
            </w:r>
            <w:r w:rsidRPr="00075DC8">
              <w:rPr>
                <w:sz w:val="18"/>
                <w:szCs w:val="18"/>
                <w:lang w:val="fr-FR"/>
              </w:rPr>
              <w:br/>
            </w:r>
            <w:r w:rsidRPr="00075DC8">
              <w:rPr>
                <w:sz w:val="18"/>
                <w:szCs w:val="18"/>
                <w:lang w:val="fr-FR" w:eastAsia="zh-CN"/>
              </w:rPr>
              <w:t>49,5</w:t>
            </w:r>
          </w:p>
        </w:tc>
        <w:tc>
          <w:tcPr>
            <w:tcW w:w="864" w:type="dxa"/>
          </w:tcPr>
          <w:p w14:paraId="175E6555" w14:textId="77777777" w:rsidR="00725E50" w:rsidRPr="00075DC8" w:rsidRDefault="00725E50" w:rsidP="008B65A6">
            <w:pPr>
              <w:pStyle w:val="Tabletext"/>
              <w:jc w:val="center"/>
              <w:rPr>
                <w:sz w:val="18"/>
                <w:szCs w:val="18"/>
                <w:lang w:val="fr-FR"/>
              </w:rPr>
            </w:pPr>
            <w:r w:rsidRPr="00075DC8">
              <w:rPr>
                <w:sz w:val="18"/>
                <w:szCs w:val="18"/>
                <w:lang w:val="fr-FR"/>
              </w:rPr>
              <w:t>30…</w:t>
            </w:r>
            <w:r w:rsidRPr="00075DC8">
              <w:rPr>
                <w:sz w:val="18"/>
                <w:szCs w:val="18"/>
                <w:lang w:val="fr-FR"/>
              </w:rPr>
              <w:br/>
              <w:t>47,6</w:t>
            </w:r>
          </w:p>
        </w:tc>
      </w:tr>
      <w:tr w:rsidR="00587B4E" w:rsidRPr="00075DC8" w14:paraId="71AD72A0" w14:textId="77777777" w:rsidTr="00587B4E">
        <w:trPr>
          <w:jc w:val="center"/>
        </w:trPr>
        <w:tc>
          <w:tcPr>
            <w:tcW w:w="2265" w:type="dxa"/>
            <w:tcMar>
              <w:left w:w="57" w:type="dxa"/>
              <w:right w:w="57" w:type="dxa"/>
            </w:tcMar>
          </w:tcPr>
          <w:p w14:paraId="1FDA03E5" w14:textId="77777777" w:rsidR="00725E50" w:rsidRPr="00075DC8" w:rsidRDefault="00725E50" w:rsidP="008B65A6">
            <w:pPr>
              <w:pStyle w:val="Tabletext"/>
              <w:jc w:val="left"/>
              <w:rPr>
                <w:sz w:val="18"/>
                <w:szCs w:val="18"/>
                <w:lang w:val="fr-FR"/>
              </w:rPr>
            </w:pPr>
            <w:r w:rsidRPr="00075DC8">
              <w:rPr>
                <w:sz w:val="18"/>
                <w:szCs w:val="18"/>
                <w:lang w:val="fr-FR" w:eastAsia="ja-JP"/>
              </w:rPr>
              <w:t xml:space="preserve">Plage des </w:t>
            </w:r>
            <w:r w:rsidRPr="00075DC8">
              <w:rPr>
                <w:sz w:val="18"/>
                <w:szCs w:val="18"/>
                <w:lang w:val="fr-FR"/>
              </w:rPr>
              <w:t>p.i.r.e. (dBW)</w:t>
            </w:r>
          </w:p>
        </w:tc>
        <w:tc>
          <w:tcPr>
            <w:tcW w:w="993" w:type="dxa"/>
          </w:tcPr>
          <w:p w14:paraId="09D42EA1" w14:textId="77777777" w:rsidR="00725E50" w:rsidRPr="00075DC8" w:rsidRDefault="00725E50" w:rsidP="008B65A6">
            <w:pPr>
              <w:pStyle w:val="Tabletext"/>
              <w:jc w:val="center"/>
              <w:rPr>
                <w:sz w:val="18"/>
                <w:szCs w:val="18"/>
                <w:lang w:val="fr-FR"/>
              </w:rPr>
            </w:pPr>
            <w:r w:rsidRPr="00075DC8">
              <w:rPr>
                <w:sz w:val="18"/>
                <w:szCs w:val="18"/>
                <w:lang w:val="fr-FR"/>
              </w:rPr>
              <w:t>5,5…55</w:t>
            </w:r>
          </w:p>
        </w:tc>
        <w:tc>
          <w:tcPr>
            <w:tcW w:w="1134" w:type="dxa"/>
          </w:tcPr>
          <w:p w14:paraId="2C0D8013" w14:textId="77777777" w:rsidR="00725E50" w:rsidRPr="00075DC8" w:rsidRDefault="00725E50" w:rsidP="008B65A6">
            <w:pPr>
              <w:pStyle w:val="Tabletext"/>
              <w:jc w:val="center"/>
              <w:rPr>
                <w:sz w:val="18"/>
                <w:szCs w:val="18"/>
                <w:lang w:val="fr-FR" w:eastAsia="ja-JP"/>
              </w:rPr>
            </w:pPr>
            <w:r w:rsidRPr="00075DC8">
              <w:rPr>
                <w:sz w:val="18"/>
                <w:szCs w:val="18"/>
                <w:lang w:val="fr-FR"/>
              </w:rPr>
              <w:t>5,5…55</w:t>
            </w:r>
          </w:p>
        </w:tc>
        <w:tc>
          <w:tcPr>
            <w:tcW w:w="1134" w:type="dxa"/>
          </w:tcPr>
          <w:p w14:paraId="1CF72B7A"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5,5…55</w:t>
            </w:r>
          </w:p>
        </w:tc>
        <w:tc>
          <w:tcPr>
            <w:tcW w:w="1134" w:type="dxa"/>
          </w:tcPr>
          <w:p w14:paraId="514BA13D" w14:textId="77777777" w:rsidR="00725E50" w:rsidRPr="00075DC8" w:rsidRDefault="00725E50" w:rsidP="008B65A6">
            <w:pPr>
              <w:pStyle w:val="Tabletext"/>
              <w:jc w:val="center"/>
              <w:rPr>
                <w:sz w:val="18"/>
                <w:szCs w:val="18"/>
                <w:lang w:val="fr-FR"/>
              </w:rPr>
            </w:pPr>
            <w:r w:rsidRPr="00075DC8">
              <w:rPr>
                <w:sz w:val="18"/>
                <w:szCs w:val="18"/>
                <w:lang w:val="fr-FR" w:eastAsia="ja-JP"/>
              </w:rPr>
              <w:t>5,5…55</w:t>
            </w:r>
          </w:p>
        </w:tc>
        <w:tc>
          <w:tcPr>
            <w:tcW w:w="992" w:type="dxa"/>
          </w:tcPr>
          <w:p w14:paraId="5D758AA8" w14:textId="23CCE4E6" w:rsidR="00725E50" w:rsidRPr="00075DC8" w:rsidRDefault="00725E50" w:rsidP="008B65A6">
            <w:pPr>
              <w:pStyle w:val="Tabletext"/>
              <w:jc w:val="center"/>
              <w:rPr>
                <w:sz w:val="18"/>
                <w:szCs w:val="18"/>
                <w:lang w:val="fr-FR"/>
              </w:rPr>
            </w:pPr>
            <w:r w:rsidRPr="00075DC8">
              <w:rPr>
                <w:color w:val="000000"/>
                <w:sz w:val="18"/>
                <w:szCs w:val="18"/>
                <w:lang w:val="fr-FR" w:eastAsia="ja-JP"/>
              </w:rPr>
              <w:t>27,4…</w:t>
            </w:r>
            <w:r w:rsidRPr="00075DC8">
              <w:rPr>
                <w:color w:val="000000"/>
                <w:sz w:val="18"/>
                <w:szCs w:val="18"/>
                <w:lang w:val="fr-FR" w:eastAsia="ja-JP"/>
              </w:rPr>
              <w:br/>
              <w:t>48,6</w:t>
            </w:r>
          </w:p>
        </w:tc>
        <w:tc>
          <w:tcPr>
            <w:tcW w:w="850" w:type="dxa"/>
          </w:tcPr>
          <w:p w14:paraId="015545A6" w14:textId="06761729" w:rsidR="00725E50" w:rsidRPr="00075DC8" w:rsidRDefault="00725E50" w:rsidP="008B65A6">
            <w:pPr>
              <w:pStyle w:val="Tabletext"/>
              <w:jc w:val="center"/>
              <w:rPr>
                <w:sz w:val="18"/>
                <w:szCs w:val="18"/>
                <w:lang w:val="fr-FR"/>
              </w:rPr>
            </w:pPr>
            <w:r w:rsidRPr="00075DC8">
              <w:rPr>
                <w:color w:val="000000"/>
                <w:sz w:val="18"/>
                <w:szCs w:val="18"/>
                <w:lang w:val="fr-FR" w:eastAsia="ja-JP"/>
              </w:rPr>
              <w:t>27,4…</w:t>
            </w:r>
            <w:r w:rsidRPr="00075DC8">
              <w:rPr>
                <w:color w:val="000000"/>
                <w:sz w:val="18"/>
                <w:szCs w:val="18"/>
                <w:lang w:val="fr-FR" w:eastAsia="ja-JP"/>
              </w:rPr>
              <w:br/>
              <w:t>48,6</w:t>
            </w:r>
          </w:p>
        </w:tc>
        <w:tc>
          <w:tcPr>
            <w:tcW w:w="851" w:type="dxa"/>
            <w:vMerge/>
          </w:tcPr>
          <w:p w14:paraId="3F5D9306" w14:textId="77777777" w:rsidR="00725E50" w:rsidRPr="00075DC8" w:rsidRDefault="00725E50" w:rsidP="008B65A6">
            <w:pPr>
              <w:pStyle w:val="Tabletext"/>
              <w:jc w:val="center"/>
              <w:rPr>
                <w:sz w:val="18"/>
                <w:szCs w:val="18"/>
                <w:lang w:val="fr-FR"/>
              </w:rPr>
            </w:pPr>
          </w:p>
        </w:tc>
        <w:tc>
          <w:tcPr>
            <w:tcW w:w="992" w:type="dxa"/>
          </w:tcPr>
          <w:p w14:paraId="03DE1CFC" w14:textId="77777777" w:rsidR="00725E50" w:rsidRPr="00075DC8" w:rsidRDefault="00725E50" w:rsidP="008B65A6">
            <w:pPr>
              <w:pStyle w:val="Tabletext"/>
              <w:jc w:val="center"/>
              <w:rPr>
                <w:sz w:val="18"/>
                <w:szCs w:val="18"/>
                <w:lang w:val="fr-FR"/>
              </w:rPr>
            </w:pPr>
            <w:r w:rsidRPr="00075DC8">
              <w:rPr>
                <w:color w:val="000000"/>
                <w:sz w:val="18"/>
                <w:szCs w:val="18"/>
                <w:lang w:val="fr-FR"/>
              </w:rPr>
              <w:t>20,5…</w:t>
            </w:r>
            <w:r w:rsidRPr="00075DC8">
              <w:rPr>
                <w:color w:val="000000"/>
                <w:sz w:val="18"/>
                <w:szCs w:val="18"/>
                <w:lang w:val="fr-FR"/>
              </w:rPr>
              <w:br/>
              <w:t>36,4</w:t>
            </w:r>
          </w:p>
        </w:tc>
        <w:tc>
          <w:tcPr>
            <w:tcW w:w="1134" w:type="dxa"/>
          </w:tcPr>
          <w:p w14:paraId="7B0A9947" w14:textId="77777777" w:rsidR="00725E50" w:rsidRPr="00075DC8" w:rsidRDefault="00725E50" w:rsidP="008B65A6">
            <w:pPr>
              <w:pStyle w:val="Tabletext"/>
              <w:jc w:val="center"/>
              <w:rPr>
                <w:sz w:val="18"/>
                <w:szCs w:val="18"/>
                <w:lang w:val="fr-FR" w:eastAsia="ja-JP"/>
              </w:rPr>
            </w:pPr>
            <w:r w:rsidRPr="00075DC8">
              <w:rPr>
                <w:sz w:val="18"/>
                <w:szCs w:val="18"/>
                <w:lang w:val="fr-FR"/>
              </w:rPr>
              <w:t>33,1</w:t>
            </w:r>
            <w:r w:rsidRPr="00075DC8">
              <w:rPr>
                <w:sz w:val="18"/>
                <w:szCs w:val="18"/>
                <w:lang w:val="fr-FR" w:eastAsia="ja-JP"/>
              </w:rPr>
              <w:t>…</w:t>
            </w:r>
            <w:r w:rsidRPr="00075DC8">
              <w:rPr>
                <w:sz w:val="18"/>
                <w:szCs w:val="18"/>
                <w:lang w:val="fr-FR" w:eastAsia="ja-JP"/>
              </w:rPr>
              <w:br/>
            </w:r>
            <w:r w:rsidRPr="00075DC8">
              <w:rPr>
                <w:sz w:val="18"/>
                <w:szCs w:val="18"/>
                <w:lang w:val="fr-FR"/>
              </w:rPr>
              <w:t>51,2</w:t>
            </w:r>
          </w:p>
        </w:tc>
        <w:tc>
          <w:tcPr>
            <w:tcW w:w="1134" w:type="dxa"/>
          </w:tcPr>
          <w:p w14:paraId="60A73FAA" w14:textId="77777777" w:rsidR="00725E50" w:rsidRPr="00075DC8" w:rsidRDefault="00725E50" w:rsidP="008B65A6">
            <w:pPr>
              <w:pStyle w:val="Tabletext"/>
              <w:ind w:left="-57" w:right="-57"/>
              <w:jc w:val="center"/>
              <w:rPr>
                <w:sz w:val="18"/>
                <w:szCs w:val="18"/>
                <w:lang w:val="fr-FR" w:eastAsia="ja-JP"/>
              </w:rPr>
            </w:pPr>
            <w:r w:rsidRPr="00075DC8">
              <w:rPr>
                <w:sz w:val="18"/>
                <w:szCs w:val="18"/>
                <w:lang w:val="fr-FR" w:eastAsia="ja-JP"/>
              </w:rPr>
              <w:t>13,3</w:t>
            </w:r>
            <w:r w:rsidRPr="00075DC8">
              <w:rPr>
                <w:sz w:val="18"/>
                <w:szCs w:val="18"/>
                <w:lang w:val="fr-FR"/>
              </w:rPr>
              <w:t>…</w:t>
            </w:r>
            <w:r w:rsidRPr="00075DC8">
              <w:rPr>
                <w:sz w:val="18"/>
                <w:szCs w:val="18"/>
                <w:lang w:val="fr-FR" w:eastAsia="ja-JP"/>
              </w:rPr>
              <w:t>43,0</w:t>
            </w:r>
          </w:p>
        </w:tc>
        <w:tc>
          <w:tcPr>
            <w:tcW w:w="992" w:type="dxa"/>
          </w:tcPr>
          <w:p w14:paraId="0B4234CD" w14:textId="77777777" w:rsidR="00725E50" w:rsidRPr="00075DC8" w:rsidRDefault="00725E50" w:rsidP="008B65A6">
            <w:pPr>
              <w:pStyle w:val="Tabletext"/>
              <w:ind w:left="-57" w:right="-57"/>
              <w:jc w:val="center"/>
              <w:rPr>
                <w:sz w:val="18"/>
                <w:szCs w:val="18"/>
                <w:lang w:val="fr-FR"/>
              </w:rPr>
            </w:pPr>
            <w:r w:rsidRPr="00075DC8">
              <w:rPr>
                <w:color w:val="000000"/>
                <w:sz w:val="18"/>
                <w:szCs w:val="18"/>
                <w:lang w:val="fr-FR" w:eastAsia="ja-JP"/>
              </w:rPr>
              <w:t>19,5…</w:t>
            </w:r>
            <w:r w:rsidRPr="00075DC8">
              <w:rPr>
                <w:color w:val="000000"/>
                <w:sz w:val="18"/>
                <w:szCs w:val="18"/>
                <w:lang w:val="fr-FR" w:eastAsia="ja-JP"/>
              </w:rPr>
              <w:br/>
              <w:t>49,5</w:t>
            </w:r>
          </w:p>
        </w:tc>
        <w:tc>
          <w:tcPr>
            <w:tcW w:w="864" w:type="dxa"/>
          </w:tcPr>
          <w:p w14:paraId="05F0605D" w14:textId="77777777" w:rsidR="00725E50" w:rsidRPr="00075DC8" w:rsidRDefault="00725E50" w:rsidP="008B65A6">
            <w:pPr>
              <w:pStyle w:val="Tabletext"/>
              <w:jc w:val="center"/>
              <w:rPr>
                <w:sz w:val="18"/>
                <w:szCs w:val="18"/>
                <w:lang w:val="fr-FR"/>
              </w:rPr>
            </w:pPr>
            <w:r w:rsidRPr="00075DC8">
              <w:rPr>
                <w:color w:val="000000"/>
                <w:sz w:val="18"/>
                <w:szCs w:val="18"/>
                <w:lang w:val="fr-FR"/>
              </w:rPr>
              <w:t>23,5…</w:t>
            </w:r>
            <w:r w:rsidRPr="00075DC8">
              <w:rPr>
                <w:color w:val="000000"/>
                <w:sz w:val="18"/>
                <w:szCs w:val="18"/>
                <w:lang w:val="fr-FR"/>
              </w:rPr>
              <w:br/>
              <w:t>38,9</w:t>
            </w:r>
          </w:p>
        </w:tc>
      </w:tr>
      <w:tr w:rsidR="00587B4E" w:rsidRPr="00075DC8" w14:paraId="2FE55743" w14:textId="77777777" w:rsidTr="00587B4E">
        <w:trPr>
          <w:jc w:val="center"/>
        </w:trPr>
        <w:tc>
          <w:tcPr>
            <w:tcW w:w="2265" w:type="dxa"/>
            <w:tcMar>
              <w:left w:w="57" w:type="dxa"/>
              <w:right w:w="57" w:type="dxa"/>
            </w:tcMar>
          </w:tcPr>
          <w:p w14:paraId="26134FB9" w14:textId="77777777" w:rsidR="00725E50" w:rsidRPr="00075DC8" w:rsidRDefault="00725E50" w:rsidP="008B65A6">
            <w:pPr>
              <w:pStyle w:val="Tabletext"/>
              <w:jc w:val="left"/>
              <w:rPr>
                <w:sz w:val="18"/>
                <w:szCs w:val="18"/>
                <w:lang w:val="fr-FR"/>
              </w:rPr>
            </w:pPr>
            <w:r w:rsidRPr="00075DC8">
              <w:rPr>
                <w:sz w:val="18"/>
                <w:szCs w:val="18"/>
                <w:lang w:val="fr-FR" w:eastAsia="ja-JP"/>
              </w:rPr>
              <w:t xml:space="preserve">Plage des densités </w:t>
            </w:r>
            <w:r w:rsidRPr="00075DC8">
              <w:rPr>
                <w:sz w:val="18"/>
                <w:szCs w:val="18"/>
                <w:lang w:val="fr-FR"/>
              </w:rPr>
              <w:t>de p.i.r.e. (dBW/MHz)</w:t>
            </w:r>
            <w:r w:rsidRPr="00075DC8">
              <w:rPr>
                <w:sz w:val="18"/>
                <w:szCs w:val="18"/>
                <w:vertAlign w:val="superscript"/>
                <w:lang w:val="fr-FR" w:eastAsia="ja-JP"/>
              </w:rPr>
              <w:t>(1)</w:t>
            </w:r>
          </w:p>
        </w:tc>
        <w:tc>
          <w:tcPr>
            <w:tcW w:w="993" w:type="dxa"/>
          </w:tcPr>
          <w:p w14:paraId="4DE63FC0" w14:textId="5A7F35DB" w:rsidR="00725E50" w:rsidRPr="00075DC8" w:rsidRDefault="00725E50" w:rsidP="008B65A6">
            <w:pPr>
              <w:pStyle w:val="Tabletext"/>
              <w:jc w:val="center"/>
              <w:rPr>
                <w:sz w:val="18"/>
                <w:szCs w:val="18"/>
                <w:lang w:val="fr-FR"/>
              </w:rPr>
            </w:pPr>
            <w:r w:rsidRPr="00075DC8">
              <w:rPr>
                <w:sz w:val="18"/>
                <w:szCs w:val="18"/>
                <w:lang w:val="fr-FR"/>
              </w:rPr>
              <w:t>−</w:t>
            </w:r>
            <w:r w:rsidRPr="00075DC8">
              <w:rPr>
                <w:sz w:val="18"/>
                <w:szCs w:val="18"/>
                <w:lang w:val="fr-FR" w:eastAsia="ja-JP"/>
              </w:rPr>
              <w:t>13,5…45</w:t>
            </w:r>
          </w:p>
        </w:tc>
        <w:tc>
          <w:tcPr>
            <w:tcW w:w="1134" w:type="dxa"/>
          </w:tcPr>
          <w:p w14:paraId="152896E6" w14:textId="75C7F249" w:rsidR="00725E50" w:rsidRPr="00075DC8" w:rsidRDefault="00725E50" w:rsidP="008B65A6">
            <w:pPr>
              <w:pStyle w:val="Tabletext"/>
              <w:jc w:val="center"/>
              <w:rPr>
                <w:sz w:val="18"/>
                <w:szCs w:val="18"/>
                <w:lang w:val="fr-FR" w:eastAsia="ja-JP"/>
              </w:rPr>
            </w:pPr>
            <w:r w:rsidRPr="00075DC8">
              <w:rPr>
                <w:sz w:val="18"/>
                <w:szCs w:val="18"/>
                <w:lang w:val="fr-FR"/>
              </w:rPr>
              <w:t>−</w:t>
            </w:r>
            <w:r w:rsidRPr="00075DC8">
              <w:rPr>
                <w:sz w:val="18"/>
                <w:szCs w:val="18"/>
                <w:lang w:val="fr-FR" w:eastAsia="ja-JP"/>
              </w:rPr>
              <w:t>13,5…45</w:t>
            </w:r>
          </w:p>
        </w:tc>
        <w:tc>
          <w:tcPr>
            <w:tcW w:w="1134" w:type="dxa"/>
          </w:tcPr>
          <w:p w14:paraId="5131A97B" w14:textId="77777777" w:rsidR="00725E50" w:rsidRPr="00075DC8" w:rsidRDefault="00725E50" w:rsidP="008B65A6">
            <w:pPr>
              <w:pStyle w:val="Tabletext"/>
              <w:jc w:val="center"/>
              <w:rPr>
                <w:sz w:val="18"/>
                <w:szCs w:val="18"/>
                <w:lang w:val="fr-FR"/>
              </w:rPr>
            </w:pPr>
            <w:r w:rsidRPr="00075DC8">
              <w:rPr>
                <w:sz w:val="18"/>
                <w:szCs w:val="18"/>
                <w:lang w:val="fr-FR"/>
              </w:rPr>
              <w:t>−</w:t>
            </w:r>
            <w:r w:rsidRPr="00075DC8">
              <w:rPr>
                <w:sz w:val="18"/>
                <w:szCs w:val="18"/>
                <w:lang w:val="fr-FR" w:eastAsia="ja-JP"/>
              </w:rPr>
              <w:t>13,5…45</w:t>
            </w:r>
          </w:p>
        </w:tc>
        <w:tc>
          <w:tcPr>
            <w:tcW w:w="1134" w:type="dxa"/>
          </w:tcPr>
          <w:p w14:paraId="793FA8CD" w14:textId="77777777" w:rsidR="00725E50" w:rsidRPr="00075DC8" w:rsidRDefault="00725E50" w:rsidP="008B65A6">
            <w:pPr>
              <w:pStyle w:val="Tabletext"/>
              <w:jc w:val="center"/>
              <w:rPr>
                <w:sz w:val="18"/>
                <w:szCs w:val="18"/>
                <w:lang w:val="fr-FR" w:eastAsia="ja-JP"/>
              </w:rPr>
            </w:pPr>
            <w:r w:rsidRPr="00075DC8">
              <w:rPr>
                <w:sz w:val="18"/>
                <w:szCs w:val="18"/>
                <w:lang w:val="fr-FR"/>
              </w:rPr>
              <w:t>−</w:t>
            </w:r>
            <w:r w:rsidRPr="00075DC8">
              <w:rPr>
                <w:sz w:val="18"/>
                <w:szCs w:val="18"/>
                <w:lang w:val="fr-FR" w:eastAsia="ja-JP"/>
              </w:rPr>
              <w:t>13,5…45</w:t>
            </w:r>
          </w:p>
        </w:tc>
        <w:tc>
          <w:tcPr>
            <w:tcW w:w="992" w:type="dxa"/>
          </w:tcPr>
          <w:p w14:paraId="1A3BA780" w14:textId="77777777" w:rsidR="00725E50" w:rsidRPr="00075DC8" w:rsidRDefault="00725E50" w:rsidP="008B65A6">
            <w:pPr>
              <w:pStyle w:val="Tabletext"/>
              <w:jc w:val="center"/>
              <w:rPr>
                <w:sz w:val="18"/>
                <w:szCs w:val="18"/>
                <w:lang w:val="fr-FR"/>
              </w:rPr>
            </w:pPr>
            <w:r w:rsidRPr="00075DC8">
              <w:rPr>
                <w:color w:val="000000"/>
                <w:sz w:val="18"/>
                <w:szCs w:val="18"/>
                <w:lang w:val="fr-FR" w:eastAsia="ja-JP"/>
              </w:rPr>
              <w:t>15,9…</w:t>
            </w:r>
            <w:r w:rsidRPr="00075DC8">
              <w:rPr>
                <w:color w:val="000000"/>
                <w:sz w:val="18"/>
                <w:szCs w:val="18"/>
                <w:lang w:val="fr-FR" w:eastAsia="ja-JP"/>
              </w:rPr>
              <w:br/>
              <w:t>37,1</w:t>
            </w:r>
          </w:p>
        </w:tc>
        <w:tc>
          <w:tcPr>
            <w:tcW w:w="850" w:type="dxa"/>
          </w:tcPr>
          <w:p w14:paraId="7D95AA0B" w14:textId="77777777" w:rsidR="00725E50" w:rsidRPr="00075DC8" w:rsidRDefault="00725E50" w:rsidP="008B65A6">
            <w:pPr>
              <w:pStyle w:val="Tabletext"/>
              <w:jc w:val="center"/>
              <w:rPr>
                <w:sz w:val="18"/>
                <w:szCs w:val="18"/>
                <w:lang w:val="fr-FR"/>
              </w:rPr>
            </w:pPr>
            <w:r w:rsidRPr="00075DC8">
              <w:rPr>
                <w:color w:val="000000"/>
                <w:sz w:val="18"/>
                <w:szCs w:val="18"/>
                <w:lang w:val="fr-FR" w:eastAsia="ja-JP"/>
              </w:rPr>
              <w:t>15,9…</w:t>
            </w:r>
            <w:r w:rsidRPr="00075DC8">
              <w:rPr>
                <w:color w:val="000000"/>
                <w:sz w:val="18"/>
                <w:szCs w:val="18"/>
                <w:lang w:val="fr-FR" w:eastAsia="ja-JP"/>
              </w:rPr>
              <w:br/>
              <w:t>37,1</w:t>
            </w:r>
          </w:p>
        </w:tc>
        <w:tc>
          <w:tcPr>
            <w:tcW w:w="851" w:type="dxa"/>
            <w:vMerge/>
          </w:tcPr>
          <w:p w14:paraId="71A97250" w14:textId="77777777" w:rsidR="00725E50" w:rsidRPr="00075DC8" w:rsidRDefault="00725E50" w:rsidP="008B65A6">
            <w:pPr>
              <w:pStyle w:val="Tabletext"/>
              <w:jc w:val="center"/>
              <w:rPr>
                <w:sz w:val="18"/>
                <w:szCs w:val="18"/>
                <w:lang w:val="fr-FR"/>
              </w:rPr>
            </w:pPr>
          </w:p>
        </w:tc>
        <w:tc>
          <w:tcPr>
            <w:tcW w:w="992" w:type="dxa"/>
          </w:tcPr>
          <w:p w14:paraId="0C934CE5" w14:textId="77777777" w:rsidR="00725E50" w:rsidRPr="00075DC8" w:rsidRDefault="00725E50" w:rsidP="008B65A6">
            <w:pPr>
              <w:pStyle w:val="Tabletext"/>
              <w:jc w:val="center"/>
              <w:rPr>
                <w:sz w:val="18"/>
                <w:szCs w:val="18"/>
                <w:lang w:val="fr-FR"/>
              </w:rPr>
            </w:pPr>
            <w:r w:rsidRPr="00075DC8">
              <w:rPr>
                <w:color w:val="000000"/>
                <w:sz w:val="18"/>
                <w:szCs w:val="18"/>
                <w:lang w:val="fr-FR" w:eastAsia="ja-JP"/>
              </w:rPr>
              <w:t>16,5…</w:t>
            </w:r>
            <w:r w:rsidRPr="00075DC8">
              <w:rPr>
                <w:color w:val="000000"/>
                <w:sz w:val="18"/>
                <w:szCs w:val="18"/>
                <w:lang w:val="fr-FR" w:eastAsia="ja-JP"/>
              </w:rPr>
              <w:br/>
              <w:t>32,4</w:t>
            </w:r>
          </w:p>
        </w:tc>
        <w:tc>
          <w:tcPr>
            <w:tcW w:w="1134" w:type="dxa"/>
          </w:tcPr>
          <w:p w14:paraId="09F99AFA" w14:textId="180151F9" w:rsidR="00725E50" w:rsidRPr="00075DC8" w:rsidRDefault="00725E50" w:rsidP="008B65A6">
            <w:pPr>
              <w:pStyle w:val="Tabletext"/>
              <w:ind w:left="-57" w:right="-57"/>
              <w:jc w:val="center"/>
              <w:rPr>
                <w:b/>
                <w:sz w:val="18"/>
                <w:szCs w:val="18"/>
                <w:lang w:val="fr-FR" w:eastAsia="ja-JP"/>
              </w:rPr>
            </w:pPr>
            <w:r w:rsidRPr="00075DC8">
              <w:rPr>
                <w:sz w:val="18"/>
                <w:szCs w:val="18"/>
                <w:lang w:val="fr-FR"/>
              </w:rPr>
              <w:t>15,3</w:t>
            </w:r>
            <w:r w:rsidRPr="00075DC8">
              <w:rPr>
                <w:sz w:val="18"/>
                <w:szCs w:val="18"/>
                <w:lang w:val="fr-FR" w:eastAsia="ja-JP"/>
              </w:rPr>
              <w:t>…</w:t>
            </w:r>
            <w:r w:rsidRPr="00075DC8">
              <w:rPr>
                <w:sz w:val="18"/>
                <w:szCs w:val="18"/>
                <w:lang w:val="fr-FR"/>
              </w:rPr>
              <w:t>33,4</w:t>
            </w:r>
            <w:r w:rsidRPr="00075DC8">
              <w:rPr>
                <w:sz w:val="18"/>
                <w:szCs w:val="18"/>
                <w:lang w:val="fr-FR" w:eastAsia="ja-JP"/>
              </w:rPr>
              <w:br/>
              <w:t>(Mode</w:t>
            </w:r>
            <w:r w:rsidR="00687589" w:rsidRPr="00075DC8">
              <w:rPr>
                <w:sz w:val="18"/>
                <w:szCs w:val="18"/>
                <w:lang w:val="fr-FR" w:eastAsia="ja-JP"/>
              </w:rPr>
              <w:t> </w:t>
            </w:r>
            <w:r w:rsidRPr="00075DC8">
              <w:rPr>
                <w:sz w:val="18"/>
                <w:szCs w:val="18"/>
                <w:lang w:val="fr-FR" w:eastAsia="ja-JP"/>
              </w:rPr>
              <w:t>28,5)</w:t>
            </w:r>
          </w:p>
        </w:tc>
        <w:tc>
          <w:tcPr>
            <w:tcW w:w="1134" w:type="dxa"/>
          </w:tcPr>
          <w:p w14:paraId="47BB1B9F" w14:textId="77777777" w:rsidR="00725E50" w:rsidRPr="00075DC8" w:rsidRDefault="00725E50" w:rsidP="008B65A6">
            <w:pPr>
              <w:pStyle w:val="Tabletext"/>
              <w:ind w:left="-57" w:right="-57"/>
              <w:jc w:val="center"/>
              <w:rPr>
                <w:b/>
                <w:sz w:val="18"/>
                <w:szCs w:val="18"/>
                <w:lang w:val="fr-FR" w:eastAsia="ja-JP"/>
              </w:rPr>
            </w:pPr>
            <w:r w:rsidRPr="00075DC8">
              <w:rPr>
                <w:sz w:val="18"/>
                <w:szCs w:val="18"/>
                <w:lang w:val="fr-FR" w:eastAsia="ja-JP"/>
              </w:rPr>
              <w:t>−2,7…27,0</w:t>
            </w:r>
            <w:r w:rsidRPr="00075DC8">
              <w:rPr>
                <w:sz w:val="18"/>
                <w:szCs w:val="18"/>
                <w:lang w:val="fr-FR" w:eastAsia="ja-JP"/>
              </w:rPr>
              <w:br/>
              <w:t>(Mode 15,9)</w:t>
            </w:r>
          </w:p>
        </w:tc>
        <w:tc>
          <w:tcPr>
            <w:tcW w:w="992" w:type="dxa"/>
          </w:tcPr>
          <w:p w14:paraId="701F8271" w14:textId="77777777" w:rsidR="00725E50" w:rsidRPr="00075DC8" w:rsidRDefault="00725E50" w:rsidP="008B65A6">
            <w:pPr>
              <w:pStyle w:val="Tabletext"/>
              <w:ind w:left="-57" w:right="-57"/>
              <w:jc w:val="center"/>
              <w:rPr>
                <w:color w:val="000000"/>
                <w:sz w:val="18"/>
                <w:szCs w:val="18"/>
                <w:lang w:val="fr-FR" w:eastAsia="ja-JP"/>
              </w:rPr>
            </w:pPr>
            <w:r w:rsidRPr="00075DC8">
              <w:rPr>
                <w:color w:val="000000"/>
                <w:sz w:val="18"/>
                <w:szCs w:val="18"/>
                <w:lang w:val="fr-FR" w:eastAsia="ja-JP"/>
              </w:rPr>
              <w:t>14,1…</w:t>
            </w:r>
            <w:r w:rsidRPr="00075DC8">
              <w:rPr>
                <w:color w:val="000000"/>
                <w:sz w:val="18"/>
                <w:szCs w:val="18"/>
                <w:lang w:val="fr-FR" w:eastAsia="ja-JP"/>
              </w:rPr>
              <w:br/>
              <w:t>44,1</w:t>
            </w:r>
          </w:p>
        </w:tc>
        <w:tc>
          <w:tcPr>
            <w:tcW w:w="864" w:type="dxa"/>
          </w:tcPr>
          <w:p w14:paraId="03DC2789" w14:textId="77777777" w:rsidR="00725E50" w:rsidRPr="00075DC8" w:rsidRDefault="00725E50" w:rsidP="008B65A6">
            <w:pPr>
              <w:pStyle w:val="Tabletext"/>
              <w:jc w:val="center"/>
              <w:rPr>
                <w:sz w:val="18"/>
                <w:szCs w:val="18"/>
                <w:lang w:val="fr-FR"/>
              </w:rPr>
            </w:pPr>
            <w:r w:rsidRPr="00075DC8">
              <w:rPr>
                <w:color w:val="000000"/>
                <w:sz w:val="18"/>
                <w:szCs w:val="18"/>
                <w:lang w:val="fr-FR" w:eastAsia="ja-JP"/>
              </w:rPr>
              <w:t>9.0…</w:t>
            </w:r>
            <w:r w:rsidRPr="00075DC8">
              <w:rPr>
                <w:color w:val="000000"/>
                <w:sz w:val="18"/>
                <w:szCs w:val="18"/>
                <w:lang w:val="fr-FR" w:eastAsia="ja-JP"/>
              </w:rPr>
              <w:br/>
              <w:t>24,4</w:t>
            </w:r>
          </w:p>
        </w:tc>
      </w:tr>
      <w:tr w:rsidR="00587B4E" w:rsidRPr="00075DC8" w14:paraId="38776643" w14:textId="77777777" w:rsidTr="00587B4E">
        <w:trPr>
          <w:jc w:val="center"/>
        </w:trPr>
        <w:tc>
          <w:tcPr>
            <w:tcW w:w="2265" w:type="dxa"/>
            <w:tcMar>
              <w:left w:w="57" w:type="dxa"/>
              <w:right w:w="57" w:type="dxa"/>
            </w:tcMar>
          </w:tcPr>
          <w:p w14:paraId="0C516A6D" w14:textId="77777777" w:rsidR="00725E50" w:rsidRPr="00075DC8" w:rsidRDefault="00725E50" w:rsidP="008B65A6">
            <w:pPr>
              <w:pStyle w:val="Tabletext"/>
              <w:jc w:val="left"/>
              <w:rPr>
                <w:sz w:val="18"/>
                <w:szCs w:val="18"/>
                <w:lang w:val="fr-FR"/>
              </w:rPr>
            </w:pPr>
            <w:r w:rsidRPr="00075DC8">
              <w:rPr>
                <w:sz w:val="18"/>
                <w:szCs w:val="18"/>
                <w:lang w:val="fr-FR" w:eastAsia="ja-JP"/>
              </w:rPr>
              <w:t>Facteur de bruit type du récepteur</w:t>
            </w:r>
            <w:r w:rsidRPr="00075DC8">
              <w:rPr>
                <w:sz w:val="18"/>
                <w:szCs w:val="18"/>
                <w:lang w:val="fr-FR"/>
              </w:rPr>
              <w:t xml:space="preserve"> (dB)</w:t>
            </w:r>
          </w:p>
        </w:tc>
        <w:tc>
          <w:tcPr>
            <w:tcW w:w="993" w:type="dxa"/>
          </w:tcPr>
          <w:p w14:paraId="2A6C9D35" w14:textId="77777777" w:rsidR="00725E50" w:rsidRPr="00075DC8" w:rsidRDefault="00725E50" w:rsidP="008B65A6">
            <w:pPr>
              <w:pStyle w:val="Tabletext"/>
              <w:jc w:val="center"/>
              <w:rPr>
                <w:sz w:val="18"/>
                <w:szCs w:val="18"/>
                <w:lang w:val="fr-FR"/>
              </w:rPr>
            </w:pPr>
            <w:r w:rsidRPr="00075DC8">
              <w:rPr>
                <w:sz w:val="18"/>
                <w:szCs w:val="18"/>
                <w:lang w:val="fr-FR"/>
              </w:rPr>
              <w:t>2,5…6</w:t>
            </w:r>
          </w:p>
        </w:tc>
        <w:tc>
          <w:tcPr>
            <w:tcW w:w="1134" w:type="dxa"/>
          </w:tcPr>
          <w:p w14:paraId="23D7CA48" w14:textId="77777777" w:rsidR="00725E50" w:rsidRPr="00075DC8" w:rsidRDefault="00725E50" w:rsidP="008B65A6">
            <w:pPr>
              <w:pStyle w:val="Tabletext"/>
              <w:jc w:val="center"/>
              <w:rPr>
                <w:sz w:val="18"/>
                <w:szCs w:val="18"/>
                <w:lang w:val="fr-FR" w:eastAsia="ja-JP"/>
              </w:rPr>
            </w:pPr>
            <w:r w:rsidRPr="00075DC8">
              <w:rPr>
                <w:sz w:val="18"/>
                <w:szCs w:val="18"/>
                <w:lang w:val="fr-FR"/>
              </w:rPr>
              <w:t>2,5…6</w:t>
            </w:r>
          </w:p>
        </w:tc>
        <w:tc>
          <w:tcPr>
            <w:tcW w:w="1134" w:type="dxa"/>
          </w:tcPr>
          <w:p w14:paraId="2877DF56"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2,5…6</w:t>
            </w:r>
          </w:p>
        </w:tc>
        <w:tc>
          <w:tcPr>
            <w:tcW w:w="1134" w:type="dxa"/>
          </w:tcPr>
          <w:p w14:paraId="19BF9C0B"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2,5…8</w:t>
            </w:r>
          </w:p>
        </w:tc>
        <w:tc>
          <w:tcPr>
            <w:tcW w:w="992" w:type="dxa"/>
          </w:tcPr>
          <w:p w14:paraId="66D21581" w14:textId="77777777" w:rsidR="00725E50" w:rsidRPr="00075DC8" w:rsidRDefault="00725E50" w:rsidP="008B65A6">
            <w:pPr>
              <w:pStyle w:val="Tabletext"/>
              <w:jc w:val="center"/>
              <w:rPr>
                <w:sz w:val="18"/>
                <w:szCs w:val="18"/>
                <w:lang w:val="fr-FR"/>
              </w:rPr>
            </w:pPr>
            <w:r w:rsidRPr="00075DC8">
              <w:rPr>
                <w:sz w:val="18"/>
                <w:szCs w:val="18"/>
                <w:lang w:val="fr-FR" w:eastAsia="zh-CN"/>
              </w:rPr>
              <w:t>4</w:t>
            </w:r>
          </w:p>
        </w:tc>
        <w:tc>
          <w:tcPr>
            <w:tcW w:w="850" w:type="dxa"/>
          </w:tcPr>
          <w:p w14:paraId="248FE8F5" w14:textId="77777777" w:rsidR="00725E50" w:rsidRPr="00075DC8" w:rsidRDefault="00725E50" w:rsidP="008B65A6">
            <w:pPr>
              <w:pStyle w:val="Tabletext"/>
              <w:jc w:val="center"/>
              <w:rPr>
                <w:sz w:val="18"/>
                <w:szCs w:val="18"/>
                <w:lang w:val="fr-FR"/>
              </w:rPr>
            </w:pPr>
            <w:r w:rsidRPr="00075DC8">
              <w:rPr>
                <w:sz w:val="18"/>
                <w:szCs w:val="18"/>
                <w:lang w:val="fr-FR" w:eastAsia="zh-CN"/>
              </w:rPr>
              <w:t>4</w:t>
            </w:r>
          </w:p>
        </w:tc>
        <w:tc>
          <w:tcPr>
            <w:tcW w:w="851" w:type="dxa"/>
            <w:vMerge/>
          </w:tcPr>
          <w:p w14:paraId="3FE8B27B" w14:textId="77777777" w:rsidR="00725E50" w:rsidRPr="00075DC8" w:rsidRDefault="00725E50" w:rsidP="008B65A6">
            <w:pPr>
              <w:pStyle w:val="Tabletext"/>
              <w:jc w:val="center"/>
              <w:rPr>
                <w:sz w:val="18"/>
                <w:szCs w:val="18"/>
                <w:lang w:val="fr-FR"/>
              </w:rPr>
            </w:pPr>
          </w:p>
        </w:tc>
        <w:tc>
          <w:tcPr>
            <w:tcW w:w="992" w:type="dxa"/>
          </w:tcPr>
          <w:p w14:paraId="5D13EA5B" w14:textId="77777777" w:rsidR="00725E50" w:rsidRPr="00075DC8" w:rsidRDefault="00725E50" w:rsidP="008B65A6">
            <w:pPr>
              <w:pStyle w:val="Tabletext"/>
              <w:jc w:val="center"/>
              <w:rPr>
                <w:sz w:val="18"/>
                <w:szCs w:val="18"/>
                <w:lang w:val="fr-FR"/>
              </w:rPr>
            </w:pPr>
            <w:r w:rsidRPr="00075DC8">
              <w:rPr>
                <w:color w:val="000000"/>
                <w:sz w:val="18"/>
                <w:szCs w:val="18"/>
                <w:lang w:val="fr-FR" w:eastAsia="ja-JP"/>
              </w:rPr>
              <w:t>4</w:t>
            </w:r>
          </w:p>
        </w:tc>
        <w:tc>
          <w:tcPr>
            <w:tcW w:w="1134" w:type="dxa"/>
          </w:tcPr>
          <w:p w14:paraId="60127E72"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5</w:t>
            </w:r>
          </w:p>
        </w:tc>
        <w:tc>
          <w:tcPr>
            <w:tcW w:w="1134" w:type="dxa"/>
          </w:tcPr>
          <w:p w14:paraId="4089D001"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5</w:t>
            </w:r>
          </w:p>
        </w:tc>
        <w:tc>
          <w:tcPr>
            <w:tcW w:w="992" w:type="dxa"/>
          </w:tcPr>
          <w:p w14:paraId="01FD821F" w14:textId="7B633DEF" w:rsidR="00725E50" w:rsidRPr="00075DC8" w:rsidRDefault="00725E50" w:rsidP="008B65A6">
            <w:pPr>
              <w:pStyle w:val="Tabletext"/>
              <w:jc w:val="center"/>
              <w:rPr>
                <w:sz w:val="18"/>
                <w:szCs w:val="18"/>
                <w:lang w:val="fr-FR"/>
              </w:rPr>
            </w:pPr>
            <w:r w:rsidRPr="00075DC8">
              <w:rPr>
                <w:sz w:val="18"/>
                <w:szCs w:val="18"/>
                <w:lang w:val="fr-FR" w:eastAsia="zh-CN"/>
              </w:rPr>
              <w:t>4,5…5</w:t>
            </w:r>
          </w:p>
        </w:tc>
        <w:tc>
          <w:tcPr>
            <w:tcW w:w="864" w:type="dxa"/>
          </w:tcPr>
          <w:p w14:paraId="757584DF" w14:textId="77777777" w:rsidR="00725E50" w:rsidRPr="00075DC8" w:rsidRDefault="00725E50" w:rsidP="008B65A6">
            <w:pPr>
              <w:pStyle w:val="Tabletext"/>
              <w:jc w:val="center"/>
              <w:rPr>
                <w:sz w:val="18"/>
                <w:szCs w:val="18"/>
                <w:lang w:val="fr-FR"/>
              </w:rPr>
            </w:pPr>
            <w:r w:rsidRPr="00075DC8">
              <w:rPr>
                <w:sz w:val="18"/>
                <w:szCs w:val="18"/>
                <w:lang w:val="fr-FR" w:eastAsia="zh-CN"/>
              </w:rPr>
              <w:t>4</w:t>
            </w:r>
          </w:p>
        </w:tc>
      </w:tr>
      <w:tr w:rsidR="006801F0" w:rsidRPr="00075DC8" w14:paraId="204EED5A" w14:textId="77777777" w:rsidTr="00587B4E">
        <w:trPr>
          <w:jc w:val="center"/>
        </w:trPr>
        <w:tc>
          <w:tcPr>
            <w:tcW w:w="14469" w:type="dxa"/>
            <w:gridSpan w:val="13"/>
            <w:tcBorders>
              <w:top w:val="nil"/>
              <w:left w:val="nil"/>
              <w:right w:val="nil"/>
            </w:tcBorders>
            <w:tcMar>
              <w:left w:w="57" w:type="dxa"/>
              <w:right w:w="57" w:type="dxa"/>
            </w:tcMar>
            <w:vAlign w:val="center"/>
          </w:tcPr>
          <w:p w14:paraId="0F252D7E" w14:textId="2FBBE9E5" w:rsidR="006801F0" w:rsidRPr="00075DC8" w:rsidRDefault="006801F0" w:rsidP="006801F0">
            <w:pPr>
              <w:pStyle w:val="TableNo"/>
              <w:rPr>
                <w:lang w:val="fr-FR"/>
              </w:rPr>
            </w:pPr>
            <w:r w:rsidRPr="00075DC8">
              <w:rPr>
                <w:lang w:val="fr-FR"/>
              </w:rPr>
              <w:lastRenderedPageBreak/>
              <w:t>TABLEAU 9 (</w:t>
            </w:r>
            <w:r w:rsidRPr="00075DC8">
              <w:rPr>
                <w:i/>
                <w:iCs/>
                <w:lang w:val="fr-FR"/>
              </w:rPr>
              <w:t>fin</w:t>
            </w:r>
            <w:r w:rsidRPr="00075DC8">
              <w:rPr>
                <w:lang w:val="fr-FR"/>
              </w:rPr>
              <w:t>)</w:t>
            </w:r>
          </w:p>
        </w:tc>
      </w:tr>
      <w:tr w:rsidR="006801F0" w:rsidRPr="00075DC8" w14:paraId="2B96C4B4" w14:textId="77777777" w:rsidTr="00587B4E">
        <w:trPr>
          <w:jc w:val="center"/>
        </w:trPr>
        <w:tc>
          <w:tcPr>
            <w:tcW w:w="2265" w:type="dxa"/>
            <w:tcMar>
              <w:left w:w="57" w:type="dxa"/>
              <w:right w:w="57" w:type="dxa"/>
            </w:tcMar>
            <w:vAlign w:val="center"/>
          </w:tcPr>
          <w:p w14:paraId="5C0B8E46" w14:textId="77777777" w:rsidR="006801F0" w:rsidRPr="00075DC8" w:rsidRDefault="006801F0" w:rsidP="00754C3F">
            <w:pPr>
              <w:pStyle w:val="Tablehead"/>
              <w:rPr>
                <w:sz w:val="18"/>
                <w:szCs w:val="18"/>
                <w:lang w:val="fr-FR"/>
              </w:rPr>
            </w:pPr>
            <w:r w:rsidRPr="00075DC8">
              <w:rPr>
                <w:sz w:val="18"/>
                <w:szCs w:val="18"/>
                <w:lang w:val="fr-FR"/>
              </w:rPr>
              <w:t>Gamme de fréquences</w:t>
            </w:r>
            <w:r w:rsidRPr="00075DC8">
              <w:rPr>
                <w:sz w:val="18"/>
                <w:szCs w:val="18"/>
                <w:lang w:val="fr-FR"/>
              </w:rPr>
              <w:br/>
              <w:t>(GHz)</w:t>
            </w:r>
          </w:p>
        </w:tc>
        <w:tc>
          <w:tcPr>
            <w:tcW w:w="2127" w:type="dxa"/>
            <w:gridSpan w:val="2"/>
            <w:vAlign w:val="center"/>
          </w:tcPr>
          <w:p w14:paraId="425E0CAA" w14:textId="77777777" w:rsidR="006801F0" w:rsidRPr="00075DC8" w:rsidRDefault="006801F0" w:rsidP="00754C3F">
            <w:pPr>
              <w:pStyle w:val="Tablehead"/>
              <w:rPr>
                <w:sz w:val="18"/>
                <w:szCs w:val="18"/>
                <w:lang w:val="fr-FR"/>
              </w:rPr>
            </w:pPr>
            <w:r w:rsidRPr="00075DC8">
              <w:rPr>
                <w:sz w:val="18"/>
                <w:szCs w:val="18"/>
                <w:lang w:val="fr-FR"/>
              </w:rPr>
              <w:t>7,110-7,900</w:t>
            </w:r>
          </w:p>
        </w:tc>
        <w:tc>
          <w:tcPr>
            <w:tcW w:w="2268" w:type="dxa"/>
            <w:gridSpan w:val="2"/>
            <w:vAlign w:val="center"/>
          </w:tcPr>
          <w:p w14:paraId="2D18AB8D" w14:textId="77777777" w:rsidR="006801F0" w:rsidRPr="00075DC8" w:rsidRDefault="006801F0" w:rsidP="00754C3F">
            <w:pPr>
              <w:pStyle w:val="Tablehead"/>
              <w:rPr>
                <w:sz w:val="18"/>
                <w:szCs w:val="18"/>
                <w:lang w:val="fr-FR"/>
              </w:rPr>
            </w:pPr>
            <w:r w:rsidRPr="00075DC8">
              <w:rPr>
                <w:sz w:val="18"/>
                <w:szCs w:val="18"/>
                <w:lang w:val="fr-FR"/>
              </w:rPr>
              <w:t>7,725-8,500</w:t>
            </w:r>
          </w:p>
        </w:tc>
        <w:tc>
          <w:tcPr>
            <w:tcW w:w="1842" w:type="dxa"/>
            <w:gridSpan w:val="2"/>
            <w:vAlign w:val="center"/>
          </w:tcPr>
          <w:p w14:paraId="267A193D" w14:textId="77777777" w:rsidR="006801F0" w:rsidRPr="00075DC8" w:rsidRDefault="006801F0" w:rsidP="00754C3F">
            <w:pPr>
              <w:pStyle w:val="Tablehead"/>
              <w:rPr>
                <w:sz w:val="18"/>
                <w:szCs w:val="18"/>
                <w:lang w:val="fr-FR"/>
              </w:rPr>
            </w:pPr>
            <w:r w:rsidRPr="00075DC8">
              <w:rPr>
                <w:sz w:val="18"/>
                <w:szCs w:val="18"/>
                <w:lang w:val="fr-FR"/>
              </w:rPr>
              <w:t>10-10,5</w:t>
            </w:r>
          </w:p>
        </w:tc>
        <w:tc>
          <w:tcPr>
            <w:tcW w:w="1843" w:type="dxa"/>
            <w:gridSpan w:val="2"/>
            <w:vAlign w:val="center"/>
          </w:tcPr>
          <w:p w14:paraId="35270AE8" w14:textId="77777777" w:rsidR="006801F0" w:rsidRPr="00075DC8" w:rsidRDefault="006801F0" w:rsidP="00754C3F">
            <w:pPr>
              <w:pStyle w:val="Tablehead"/>
              <w:rPr>
                <w:sz w:val="18"/>
                <w:szCs w:val="18"/>
                <w:lang w:val="fr-FR"/>
              </w:rPr>
            </w:pPr>
            <w:r w:rsidRPr="00075DC8">
              <w:rPr>
                <w:sz w:val="18"/>
                <w:szCs w:val="18"/>
                <w:lang w:val="fr-FR"/>
              </w:rPr>
              <w:t>10,5-10,68</w:t>
            </w:r>
          </w:p>
        </w:tc>
        <w:tc>
          <w:tcPr>
            <w:tcW w:w="2268" w:type="dxa"/>
            <w:gridSpan w:val="2"/>
            <w:vAlign w:val="center"/>
          </w:tcPr>
          <w:p w14:paraId="35DA46A4" w14:textId="77777777" w:rsidR="006801F0" w:rsidRPr="00075DC8" w:rsidRDefault="006801F0" w:rsidP="00754C3F">
            <w:pPr>
              <w:pStyle w:val="Tablehead"/>
              <w:rPr>
                <w:sz w:val="18"/>
                <w:szCs w:val="18"/>
                <w:lang w:val="fr-FR"/>
              </w:rPr>
            </w:pPr>
            <w:r w:rsidRPr="00075DC8">
              <w:rPr>
                <w:sz w:val="18"/>
                <w:szCs w:val="18"/>
                <w:lang w:val="fr-FR"/>
              </w:rPr>
              <w:t>10,7-11,7</w:t>
            </w:r>
          </w:p>
        </w:tc>
        <w:tc>
          <w:tcPr>
            <w:tcW w:w="1856" w:type="dxa"/>
            <w:gridSpan w:val="2"/>
            <w:vAlign w:val="center"/>
          </w:tcPr>
          <w:p w14:paraId="11D4CBAF" w14:textId="77777777" w:rsidR="006801F0" w:rsidRPr="00075DC8" w:rsidRDefault="006801F0" w:rsidP="00754C3F">
            <w:pPr>
              <w:pStyle w:val="Tablehead"/>
              <w:rPr>
                <w:sz w:val="18"/>
                <w:szCs w:val="18"/>
                <w:lang w:val="fr-FR"/>
              </w:rPr>
            </w:pPr>
            <w:r w:rsidRPr="00075DC8">
              <w:rPr>
                <w:sz w:val="18"/>
                <w:szCs w:val="18"/>
                <w:lang w:val="fr-FR"/>
              </w:rPr>
              <w:t>12,75-13,25</w:t>
            </w:r>
          </w:p>
        </w:tc>
      </w:tr>
      <w:tr w:rsidR="006801F0" w:rsidRPr="00075DC8" w14:paraId="2BE04416" w14:textId="77777777" w:rsidTr="00587B4E">
        <w:trPr>
          <w:jc w:val="center"/>
        </w:trPr>
        <w:tc>
          <w:tcPr>
            <w:tcW w:w="2265" w:type="dxa"/>
            <w:tcMar>
              <w:left w:w="57" w:type="dxa"/>
              <w:right w:w="57" w:type="dxa"/>
            </w:tcMar>
          </w:tcPr>
          <w:p w14:paraId="5204F5D8" w14:textId="77777777" w:rsidR="006801F0" w:rsidRPr="00075DC8" w:rsidRDefault="006801F0" w:rsidP="00754C3F">
            <w:pPr>
              <w:pStyle w:val="Tabletext"/>
              <w:jc w:val="left"/>
              <w:rPr>
                <w:sz w:val="18"/>
                <w:szCs w:val="18"/>
                <w:lang w:val="fr-FR" w:eastAsia="ja-JP"/>
              </w:rPr>
            </w:pPr>
            <w:r w:rsidRPr="00075DC8">
              <w:rPr>
                <w:sz w:val="18"/>
                <w:szCs w:val="18"/>
                <w:lang w:val="fr-FR" w:eastAsia="ja-JP"/>
              </w:rPr>
              <w:t>Recommandation UIT-R de référence</w:t>
            </w:r>
          </w:p>
        </w:tc>
        <w:tc>
          <w:tcPr>
            <w:tcW w:w="2127" w:type="dxa"/>
            <w:gridSpan w:val="2"/>
          </w:tcPr>
          <w:p w14:paraId="2358521C" w14:textId="77777777" w:rsidR="006801F0" w:rsidRPr="00075DC8" w:rsidRDefault="006801F0" w:rsidP="00754C3F">
            <w:pPr>
              <w:pStyle w:val="Tabletext"/>
              <w:jc w:val="center"/>
              <w:rPr>
                <w:sz w:val="18"/>
                <w:szCs w:val="18"/>
                <w:lang w:val="fr-FR" w:eastAsia="ja-JP"/>
              </w:rPr>
            </w:pPr>
            <w:r w:rsidRPr="00075DC8">
              <w:rPr>
                <w:sz w:val="18"/>
                <w:szCs w:val="18"/>
                <w:lang w:val="fr-FR"/>
              </w:rPr>
              <w:t>F.</w:t>
            </w:r>
            <w:r w:rsidRPr="00075DC8">
              <w:rPr>
                <w:sz w:val="18"/>
                <w:szCs w:val="18"/>
                <w:lang w:val="fr-FR" w:eastAsia="ja-JP"/>
              </w:rPr>
              <w:t>385</w:t>
            </w:r>
          </w:p>
        </w:tc>
        <w:tc>
          <w:tcPr>
            <w:tcW w:w="2268" w:type="dxa"/>
            <w:gridSpan w:val="2"/>
          </w:tcPr>
          <w:p w14:paraId="0E52D291" w14:textId="77777777" w:rsidR="006801F0" w:rsidRPr="00075DC8" w:rsidRDefault="006801F0" w:rsidP="00754C3F">
            <w:pPr>
              <w:pStyle w:val="Tabletext"/>
              <w:jc w:val="center"/>
              <w:rPr>
                <w:sz w:val="18"/>
                <w:szCs w:val="18"/>
                <w:lang w:val="fr-FR" w:eastAsia="ja-JP"/>
              </w:rPr>
            </w:pPr>
            <w:r w:rsidRPr="00075DC8">
              <w:rPr>
                <w:sz w:val="18"/>
                <w:szCs w:val="18"/>
                <w:lang w:val="fr-FR"/>
              </w:rPr>
              <w:t>F.</w:t>
            </w:r>
            <w:r w:rsidRPr="00075DC8">
              <w:rPr>
                <w:sz w:val="18"/>
                <w:szCs w:val="18"/>
                <w:lang w:val="fr-FR" w:eastAsia="ja-JP"/>
              </w:rPr>
              <w:t>386</w:t>
            </w:r>
          </w:p>
        </w:tc>
        <w:tc>
          <w:tcPr>
            <w:tcW w:w="1842" w:type="dxa"/>
            <w:gridSpan w:val="2"/>
          </w:tcPr>
          <w:p w14:paraId="1A64C8B7" w14:textId="77777777" w:rsidR="006801F0" w:rsidRPr="00075DC8" w:rsidRDefault="006801F0" w:rsidP="00754C3F">
            <w:pPr>
              <w:pStyle w:val="Tabletext"/>
              <w:jc w:val="center"/>
              <w:rPr>
                <w:sz w:val="18"/>
                <w:szCs w:val="18"/>
                <w:lang w:val="fr-FR"/>
              </w:rPr>
            </w:pPr>
            <w:r w:rsidRPr="00075DC8">
              <w:rPr>
                <w:sz w:val="18"/>
                <w:szCs w:val="18"/>
                <w:lang w:val="fr-FR"/>
              </w:rPr>
              <w:t>F.747</w:t>
            </w:r>
          </w:p>
        </w:tc>
        <w:tc>
          <w:tcPr>
            <w:tcW w:w="1843" w:type="dxa"/>
            <w:gridSpan w:val="2"/>
          </w:tcPr>
          <w:p w14:paraId="2774C543" w14:textId="77777777" w:rsidR="006801F0" w:rsidRPr="00075DC8" w:rsidRDefault="006801F0" w:rsidP="00754C3F">
            <w:pPr>
              <w:pStyle w:val="Tabletext"/>
              <w:jc w:val="center"/>
              <w:rPr>
                <w:sz w:val="18"/>
                <w:szCs w:val="18"/>
                <w:lang w:val="fr-FR" w:eastAsia="ja-JP"/>
              </w:rPr>
            </w:pPr>
            <w:r w:rsidRPr="00075DC8">
              <w:rPr>
                <w:sz w:val="18"/>
                <w:szCs w:val="18"/>
                <w:lang w:val="fr-FR"/>
              </w:rPr>
              <w:t>F</w:t>
            </w:r>
            <w:r w:rsidRPr="00075DC8">
              <w:rPr>
                <w:sz w:val="18"/>
                <w:szCs w:val="18"/>
                <w:lang w:val="fr-FR" w:eastAsia="ja-JP"/>
              </w:rPr>
              <w:t>.747</w:t>
            </w:r>
          </w:p>
        </w:tc>
        <w:tc>
          <w:tcPr>
            <w:tcW w:w="2268" w:type="dxa"/>
            <w:gridSpan w:val="2"/>
          </w:tcPr>
          <w:p w14:paraId="45C05855" w14:textId="77777777" w:rsidR="006801F0" w:rsidRPr="00075DC8" w:rsidRDefault="006801F0" w:rsidP="00754C3F">
            <w:pPr>
              <w:pStyle w:val="Tabletext"/>
              <w:jc w:val="center"/>
              <w:rPr>
                <w:sz w:val="18"/>
                <w:szCs w:val="18"/>
                <w:lang w:val="fr-FR" w:eastAsia="ja-JP"/>
              </w:rPr>
            </w:pPr>
            <w:r w:rsidRPr="00075DC8">
              <w:rPr>
                <w:sz w:val="18"/>
                <w:szCs w:val="18"/>
                <w:lang w:val="fr-FR"/>
              </w:rPr>
              <w:t>F.</w:t>
            </w:r>
            <w:r w:rsidRPr="00075DC8">
              <w:rPr>
                <w:sz w:val="18"/>
                <w:szCs w:val="18"/>
                <w:lang w:val="fr-FR" w:eastAsia="ja-JP"/>
              </w:rPr>
              <w:t>387</w:t>
            </w:r>
          </w:p>
        </w:tc>
        <w:tc>
          <w:tcPr>
            <w:tcW w:w="1856" w:type="dxa"/>
            <w:gridSpan w:val="2"/>
          </w:tcPr>
          <w:p w14:paraId="7F09892B" w14:textId="77777777" w:rsidR="006801F0" w:rsidRPr="00075DC8" w:rsidRDefault="006801F0" w:rsidP="00754C3F">
            <w:pPr>
              <w:pStyle w:val="Tabletext"/>
              <w:jc w:val="center"/>
              <w:rPr>
                <w:sz w:val="18"/>
                <w:szCs w:val="18"/>
                <w:lang w:val="fr-FR" w:eastAsia="ja-JP"/>
              </w:rPr>
            </w:pPr>
            <w:r w:rsidRPr="00075DC8">
              <w:rPr>
                <w:sz w:val="18"/>
                <w:szCs w:val="18"/>
                <w:lang w:val="fr-FR"/>
              </w:rPr>
              <w:t>F.</w:t>
            </w:r>
            <w:r w:rsidRPr="00075DC8">
              <w:rPr>
                <w:sz w:val="18"/>
                <w:szCs w:val="18"/>
                <w:lang w:val="fr-FR" w:eastAsia="ja-JP"/>
              </w:rPr>
              <w:t>497</w:t>
            </w:r>
          </w:p>
        </w:tc>
      </w:tr>
      <w:tr w:rsidR="00587B4E" w:rsidRPr="00075DC8" w14:paraId="56CDCD8E" w14:textId="77777777" w:rsidTr="00587B4E">
        <w:trPr>
          <w:jc w:val="center"/>
        </w:trPr>
        <w:tc>
          <w:tcPr>
            <w:tcW w:w="2265" w:type="dxa"/>
            <w:tcMar>
              <w:left w:w="57" w:type="dxa"/>
              <w:right w:w="57" w:type="dxa"/>
            </w:tcMar>
          </w:tcPr>
          <w:p w14:paraId="579ADD7F" w14:textId="74B718B3" w:rsidR="00725E50" w:rsidRPr="00075DC8" w:rsidRDefault="00725E50" w:rsidP="008B65A6">
            <w:pPr>
              <w:pStyle w:val="Tabletext"/>
              <w:jc w:val="left"/>
              <w:rPr>
                <w:sz w:val="18"/>
                <w:szCs w:val="18"/>
                <w:lang w:val="fr-FR"/>
              </w:rPr>
            </w:pPr>
            <w:r w:rsidRPr="00075DC8">
              <w:rPr>
                <w:sz w:val="18"/>
                <w:szCs w:val="18"/>
                <w:lang w:val="fr-FR" w:eastAsia="ja-JP"/>
              </w:rPr>
              <w:t>Densité type de puissance de bruit du récepteur (=</w:t>
            </w:r>
            <w:r w:rsidRPr="00075DC8">
              <w:rPr>
                <w:i/>
                <w:iCs/>
                <w:sz w:val="18"/>
                <w:szCs w:val="18"/>
                <w:lang w:val="fr-FR"/>
              </w:rPr>
              <w:t>N</w:t>
            </w:r>
            <w:r w:rsidRPr="00075DC8">
              <w:rPr>
                <w:i/>
                <w:iCs/>
                <w:sz w:val="18"/>
                <w:szCs w:val="18"/>
                <w:vertAlign w:val="subscript"/>
                <w:lang w:val="fr-FR"/>
              </w:rPr>
              <w:t>RX</w:t>
            </w:r>
            <w:r w:rsidRPr="00075DC8">
              <w:rPr>
                <w:sz w:val="18"/>
                <w:szCs w:val="18"/>
                <w:lang w:val="fr-FR" w:eastAsia="ja-JP"/>
              </w:rPr>
              <w:t>)</w:t>
            </w:r>
            <w:r w:rsidRPr="00075DC8">
              <w:rPr>
                <w:sz w:val="18"/>
                <w:szCs w:val="18"/>
                <w:lang w:val="fr-FR"/>
              </w:rPr>
              <w:t xml:space="preserve"> (dBW/MHz)</w:t>
            </w:r>
          </w:p>
        </w:tc>
        <w:tc>
          <w:tcPr>
            <w:tcW w:w="993" w:type="dxa"/>
          </w:tcPr>
          <w:p w14:paraId="6B304413" w14:textId="77777777" w:rsidR="00725E50" w:rsidRPr="00075DC8" w:rsidRDefault="00725E50" w:rsidP="008B65A6">
            <w:pPr>
              <w:pStyle w:val="Tabletext"/>
              <w:jc w:val="center"/>
              <w:rPr>
                <w:sz w:val="18"/>
                <w:szCs w:val="18"/>
                <w:lang w:val="fr-FR"/>
              </w:rPr>
            </w:pPr>
            <w:r w:rsidRPr="00075DC8">
              <w:rPr>
                <w:sz w:val="18"/>
                <w:szCs w:val="18"/>
                <w:lang w:val="fr-FR"/>
              </w:rPr>
              <w:t>−141,5…</w:t>
            </w:r>
            <w:r w:rsidRPr="00075DC8">
              <w:rPr>
                <w:sz w:val="18"/>
                <w:szCs w:val="18"/>
                <w:lang w:val="fr-FR"/>
              </w:rPr>
              <w:br/>
              <w:t>−138,0</w:t>
            </w:r>
          </w:p>
        </w:tc>
        <w:tc>
          <w:tcPr>
            <w:tcW w:w="1134" w:type="dxa"/>
          </w:tcPr>
          <w:p w14:paraId="35B07F2B" w14:textId="77777777" w:rsidR="00725E50" w:rsidRPr="00075DC8" w:rsidRDefault="00725E50" w:rsidP="008B65A6">
            <w:pPr>
              <w:pStyle w:val="Tabletext"/>
              <w:jc w:val="center"/>
              <w:rPr>
                <w:sz w:val="18"/>
                <w:szCs w:val="18"/>
                <w:lang w:val="fr-FR" w:eastAsia="ja-JP"/>
              </w:rPr>
            </w:pPr>
            <w:r w:rsidRPr="00075DC8">
              <w:rPr>
                <w:sz w:val="18"/>
                <w:szCs w:val="18"/>
                <w:lang w:val="fr-FR"/>
              </w:rPr>
              <w:t>−141,5…</w:t>
            </w:r>
            <w:r w:rsidRPr="00075DC8">
              <w:rPr>
                <w:sz w:val="18"/>
                <w:szCs w:val="18"/>
                <w:lang w:val="fr-FR"/>
              </w:rPr>
              <w:br/>
              <w:t>−138,0</w:t>
            </w:r>
          </w:p>
        </w:tc>
        <w:tc>
          <w:tcPr>
            <w:tcW w:w="1134" w:type="dxa"/>
          </w:tcPr>
          <w:p w14:paraId="4F0B6E9C" w14:textId="77777777" w:rsidR="00725E50" w:rsidRPr="00075DC8" w:rsidRDefault="00725E50" w:rsidP="008B65A6">
            <w:pPr>
              <w:pStyle w:val="Tabletext"/>
              <w:ind w:left="-57" w:right="-57"/>
              <w:jc w:val="center"/>
              <w:rPr>
                <w:sz w:val="18"/>
                <w:szCs w:val="18"/>
                <w:lang w:val="fr-FR" w:eastAsia="ja-JP"/>
              </w:rPr>
            </w:pPr>
            <w:r w:rsidRPr="00075DC8">
              <w:rPr>
                <w:sz w:val="18"/>
                <w:szCs w:val="18"/>
                <w:lang w:val="fr-FR" w:eastAsia="ja-JP"/>
              </w:rPr>
              <w:t>−141,5…</w:t>
            </w:r>
            <w:r w:rsidRPr="00075DC8">
              <w:rPr>
                <w:sz w:val="18"/>
                <w:szCs w:val="18"/>
                <w:lang w:val="fr-FR" w:eastAsia="ja-JP"/>
              </w:rPr>
              <w:br/>
            </w:r>
            <w:r w:rsidRPr="00075DC8">
              <w:rPr>
                <w:sz w:val="18"/>
                <w:szCs w:val="18"/>
                <w:lang w:val="fr-FR"/>
              </w:rPr>
              <w:t>−</w:t>
            </w:r>
            <w:r w:rsidRPr="00075DC8">
              <w:rPr>
                <w:sz w:val="18"/>
                <w:szCs w:val="18"/>
                <w:lang w:val="fr-FR" w:eastAsia="ja-JP"/>
              </w:rPr>
              <w:t>138,0</w:t>
            </w:r>
          </w:p>
        </w:tc>
        <w:tc>
          <w:tcPr>
            <w:tcW w:w="1134" w:type="dxa"/>
          </w:tcPr>
          <w:p w14:paraId="049F3649"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−141,5…</w:t>
            </w:r>
            <w:r w:rsidRPr="00075DC8">
              <w:rPr>
                <w:sz w:val="18"/>
                <w:szCs w:val="18"/>
                <w:lang w:val="fr-FR" w:eastAsia="ja-JP"/>
              </w:rPr>
              <w:br/>
              <w:t>−136</w:t>
            </w:r>
          </w:p>
        </w:tc>
        <w:tc>
          <w:tcPr>
            <w:tcW w:w="992" w:type="dxa"/>
          </w:tcPr>
          <w:p w14:paraId="6AF2394D" w14:textId="77777777" w:rsidR="00725E50" w:rsidRPr="00075DC8" w:rsidRDefault="00725E50" w:rsidP="008B65A6">
            <w:pPr>
              <w:pStyle w:val="Tabletext"/>
              <w:jc w:val="center"/>
              <w:rPr>
                <w:sz w:val="18"/>
                <w:szCs w:val="18"/>
                <w:lang w:val="fr-FR"/>
              </w:rPr>
            </w:pPr>
            <w:r w:rsidRPr="00075DC8">
              <w:rPr>
                <w:sz w:val="18"/>
                <w:szCs w:val="18"/>
                <w:lang w:val="fr-FR"/>
              </w:rPr>
              <w:t>−</w:t>
            </w:r>
            <w:r w:rsidRPr="00075DC8">
              <w:rPr>
                <w:color w:val="000000"/>
                <w:sz w:val="18"/>
                <w:szCs w:val="18"/>
                <w:lang w:val="fr-FR" w:eastAsia="ja-JP"/>
              </w:rPr>
              <w:t>140</w:t>
            </w:r>
          </w:p>
        </w:tc>
        <w:tc>
          <w:tcPr>
            <w:tcW w:w="850" w:type="dxa"/>
          </w:tcPr>
          <w:p w14:paraId="698D344F" w14:textId="77777777" w:rsidR="00725E50" w:rsidRPr="00075DC8" w:rsidRDefault="00725E50" w:rsidP="008B65A6">
            <w:pPr>
              <w:pStyle w:val="Tabletext"/>
              <w:jc w:val="center"/>
              <w:rPr>
                <w:sz w:val="18"/>
                <w:szCs w:val="18"/>
                <w:lang w:val="fr-FR"/>
              </w:rPr>
            </w:pPr>
            <w:r w:rsidRPr="00075DC8">
              <w:rPr>
                <w:sz w:val="18"/>
                <w:szCs w:val="18"/>
                <w:lang w:val="fr-FR"/>
              </w:rPr>
              <w:t>−</w:t>
            </w:r>
            <w:r w:rsidRPr="00075DC8">
              <w:rPr>
                <w:color w:val="000000"/>
                <w:sz w:val="18"/>
                <w:szCs w:val="18"/>
                <w:lang w:val="fr-FR" w:eastAsia="ja-JP"/>
              </w:rPr>
              <w:t>140</w:t>
            </w:r>
          </w:p>
        </w:tc>
        <w:tc>
          <w:tcPr>
            <w:tcW w:w="851" w:type="dxa"/>
            <w:vMerge w:val="restart"/>
          </w:tcPr>
          <w:p w14:paraId="691CA5EB" w14:textId="666D1199" w:rsidR="00725E50" w:rsidRPr="00075DC8" w:rsidRDefault="00587B4E" w:rsidP="008B65A6">
            <w:pPr>
              <w:pStyle w:val="Tabletext"/>
              <w:jc w:val="center"/>
              <w:rPr>
                <w:sz w:val="18"/>
                <w:szCs w:val="18"/>
                <w:lang w:val="fr-FR"/>
              </w:rPr>
            </w:pPr>
            <w:r w:rsidRPr="00075DC8">
              <w:rPr>
                <w:sz w:val="18"/>
                <w:szCs w:val="18"/>
                <w:lang w:val="fr-FR" w:eastAsia="ja-JP"/>
              </w:rPr>
              <w:t>NOTE</w:t>
            </w:r>
          </w:p>
        </w:tc>
        <w:tc>
          <w:tcPr>
            <w:tcW w:w="992" w:type="dxa"/>
          </w:tcPr>
          <w:p w14:paraId="0B1625CE" w14:textId="77777777" w:rsidR="00725E50" w:rsidRPr="00075DC8" w:rsidRDefault="00725E50" w:rsidP="008B65A6">
            <w:pPr>
              <w:pStyle w:val="Tabletext"/>
              <w:jc w:val="center"/>
              <w:rPr>
                <w:sz w:val="18"/>
                <w:szCs w:val="18"/>
                <w:lang w:val="fr-FR"/>
              </w:rPr>
            </w:pPr>
            <w:r w:rsidRPr="00075DC8">
              <w:rPr>
                <w:sz w:val="18"/>
                <w:szCs w:val="18"/>
                <w:lang w:val="fr-FR"/>
              </w:rPr>
              <w:t>−</w:t>
            </w:r>
            <w:r w:rsidRPr="00075DC8">
              <w:rPr>
                <w:color w:val="000000"/>
                <w:sz w:val="18"/>
                <w:szCs w:val="18"/>
                <w:lang w:val="fr-FR" w:eastAsia="ja-JP"/>
              </w:rPr>
              <w:t>140</w:t>
            </w:r>
          </w:p>
        </w:tc>
        <w:tc>
          <w:tcPr>
            <w:tcW w:w="1134" w:type="dxa"/>
          </w:tcPr>
          <w:p w14:paraId="6BB505DB"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−139</w:t>
            </w:r>
          </w:p>
        </w:tc>
        <w:tc>
          <w:tcPr>
            <w:tcW w:w="1134" w:type="dxa"/>
          </w:tcPr>
          <w:p w14:paraId="1AAEA157"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−139</w:t>
            </w:r>
          </w:p>
        </w:tc>
        <w:tc>
          <w:tcPr>
            <w:tcW w:w="992" w:type="dxa"/>
          </w:tcPr>
          <w:p w14:paraId="387046F8" w14:textId="07D18B29" w:rsidR="00725E50" w:rsidRPr="00075DC8" w:rsidRDefault="00725E50" w:rsidP="008B65A6">
            <w:pPr>
              <w:pStyle w:val="Tabletext"/>
              <w:ind w:left="-57" w:right="-57"/>
              <w:jc w:val="center"/>
              <w:rPr>
                <w:sz w:val="18"/>
                <w:szCs w:val="18"/>
                <w:lang w:val="fr-FR"/>
              </w:rPr>
            </w:pPr>
            <w:r w:rsidRPr="00075DC8">
              <w:rPr>
                <w:sz w:val="18"/>
                <w:szCs w:val="18"/>
                <w:lang w:val="fr-FR"/>
              </w:rPr>
              <w:t>−139,5…</w:t>
            </w:r>
            <w:r w:rsidR="00587B4E" w:rsidRPr="00075DC8">
              <w:rPr>
                <w:sz w:val="18"/>
                <w:szCs w:val="18"/>
                <w:lang w:val="fr-FR"/>
              </w:rPr>
              <w:br/>
            </w:r>
            <w:r w:rsidRPr="00075DC8">
              <w:rPr>
                <w:sz w:val="18"/>
                <w:szCs w:val="18"/>
                <w:lang w:val="fr-FR"/>
              </w:rPr>
              <w:t>−139</w:t>
            </w:r>
          </w:p>
        </w:tc>
        <w:tc>
          <w:tcPr>
            <w:tcW w:w="864" w:type="dxa"/>
          </w:tcPr>
          <w:p w14:paraId="465F730E" w14:textId="77777777" w:rsidR="00725E50" w:rsidRPr="00075DC8" w:rsidRDefault="00725E50" w:rsidP="008B65A6">
            <w:pPr>
              <w:pStyle w:val="Tabletext"/>
              <w:jc w:val="center"/>
              <w:rPr>
                <w:sz w:val="18"/>
                <w:szCs w:val="18"/>
                <w:lang w:val="fr-FR"/>
              </w:rPr>
            </w:pPr>
            <w:r w:rsidRPr="00075DC8">
              <w:rPr>
                <w:sz w:val="18"/>
                <w:szCs w:val="18"/>
                <w:lang w:val="fr-FR"/>
              </w:rPr>
              <w:t>−</w:t>
            </w:r>
            <w:r w:rsidRPr="00075DC8">
              <w:rPr>
                <w:color w:val="000000"/>
                <w:sz w:val="18"/>
                <w:szCs w:val="18"/>
                <w:lang w:val="fr-FR" w:eastAsia="ja-JP"/>
              </w:rPr>
              <w:t>140</w:t>
            </w:r>
          </w:p>
        </w:tc>
      </w:tr>
      <w:tr w:rsidR="00587B4E" w:rsidRPr="00075DC8" w14:paraId="0A89DAD2" w14:textId="77777777" w:rsidTr="00587B4E">
        <w:trPr>
          <w:jc w:val="center"/>
        </w:trPr>
        <w:tc>
          <w:tcPr>
            <w:tcW w:w="2265" w:type="dxa"/>
            <w:tcMar>
              <w:left w:w="57" w:type="dxa"/>
              <w:right w:w="57" w:type="dxa"/>
            </w:tcMar>
          </w:tcPr>
          <w:p w14:paraId="3053A8E3" w14:textId="68DA3D26" w:rsidR="00725E50" w:rsidRPr="00075DC8" w:rsidRDefault="00725E50" w:rsidP="008B65A6">
            <w:pPr>
              <w:pStyle w:val="Tabletext"/>
              <w:jc w:val="left"/>
              <w:rPr>
                <w:sz w:val="18"/>
                <w:szCs w:val="18"/>
                <w:lang w:val="fr-FR"/>
              </w:rPr>
            </w:pPr>
            <w:r w:rsidRPr="00075DC8">
              <w:rPr>
                <w:sz w:val="18"/>
                <w:szCs w:val="18"/>
                <w:lang w:val="fr-FR" w:eastAsia="ja-JP"/>
              </w:rPr>
              <w:t>Niveau normalisé à l</w:t>
            </w:r>
            <w:r w:rsidR="001F6A0D" w:rsidRPr="00075DC8">
              <w:rPr>
                <w:sz w:val="18"/>
                <w:szCs w:val="18"/>
                <w:lang w:val="fr-FR" w:eastAsia="ja-JP"/>
              </w:rPr>
              <w:t>'</w:t>
            </w:r>
            <w:r w:rsidRPr="00075DC8">
              <w:rPr>
                <w:sz w:val="18"/>
                <w:szCs w:val="18"/>
                <w:lang w:val="fr-FR" w:eastAsia="ja-JP"/>
              </w:rPr>
              <w:t>entrée du récepteur pour un taux BER de</w:t>
            </w:r>
            <w:r w:rsidRPr="00075DC8">
              <w:rPr>
                <w:sz w:val="18"/>
                <w:szCs w:val="18"/>
                <w:lang w:val="fr-FR"/>
              </w:rPr>
              <w:t xml:space="preserve"> 1 × 10</w:t>
            </w:r>
            <w:r w:rsidRPr="00075DC8">
              <w:rPr>
                <w:sz w:val="18"/>
                <w:szCs w:val="18"/>
                <w:vertAlign w:val="superscript"/>
                <w:lang w:val="fr-FR"/>
              </w:rPr>
              <w:t>−6</w:t>
            </w:r>
            <w:r w:rsidRPr="00075DC8">
              <w:rPr>
                <w:sz w:val="18"/>
                <w:szCs w:val="18"/>
                <w:lang w:val="fr-FR"/>
              </w:rPr>
              <w:t xml:space="preserve"> (dBW/MHz)</w:t>
            </w:r>
          </w:p>
        </w:tc>
        <w:tc>
          <w:tcPr>
            <w:tcW w:w="993" w:type="dxa"/>
          </w:tcPr>
          <w:p w14:paraId="1482E050" w14:textId="77777777" w:rsidR="00725E50" w:rsidRPr="00075DC8" w:rsidRDefault="00725E50" w:rsidP="008B65A6">
            <w:pPr>
              <w:pStyle w:val="Tabletext"/>
              <w:jc w:val="center"/>
              <w:rPr>
                <w:sz w:val="18"/>
                <w:szCs w:val="18"/>
                <w:lang w:val="fr-FR"/>
              </w:rPr>
            </w:pPr>
            <w:r w:rsidRPr="00075DC8">
              <w:rPr>
                <w:sz w:val="18"/>
                <w:szCs w:val="18"/>
                <w:lang w:val="fr-FR"/>
              </w:rPr>
              <w:t>−</w:t>
            </w:r>
            <w:r w:rsidRPr="00075DC8">
              <w:rPr>
                <w:sz w:val="18"/>
                <w:szCs w:val="18"/>
                <w:lang w:val="fr-FR" w:eastAsia="ja-JP"/>
              </w:rPr>
              <w:t>121,0…</w:t>
            </w:r>
            <w:r w:rsidRPr="00075DC8">
              <w:rPr>
                <w:sz w:val="18"/>
                <w:szCs w:val="18"/>
                <w:lang w:val="fr-FR" w:eastAsia="ja-JP"/>
              </w:rPr>
              <w:br/>
            </w:r>
            <w:r w:rsidRPr="00075DC8">
              <w:rPr>
                <w:sz w:val="18"/>
                <w:szCs w:val="18"/>
                <w:lang w:val="fr-FR"/>
              </w:rPr>
              <w:t>−</w:t>
            </w:r>
            <w:r w:rsidRPr="00075DC8">
              <w:rPr>
                <w:sz w:val="18"/>
                <w:szCs w:val="18"/>
                <w:lang w:val="fr-FR" w:eastAsia="ja-JP"/>
              </w:rPr>
              <w:t>117,5</w:t>
            </w:r>
          </w:p>
        </w:tc>
        <w:tc>
          <w:tcPr>
            <w:tcW w:w="1134" w:type="dxa"/>
          </w:tcPr>
          <w:p w14:paraId="7BE41A5A"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−112,5…</w:t>
            </w:r>
            <w:r w:rsidRPr="00075DC8">
              <w:rPr>
                <w:sz w:val="18"/>
                <w:szCs w:val="18"/>
                <w:lang w:val="fr-FR" w:eastAsia="ja-JP"/>
              </w:rPr>
              <w:br/>
            </w:r>
            <w:r w:rsidRPr="00075DC8">
              <w:rPr>
                <w:sz w:val="18"/>
                <w:szCs w:val="18"/>
                <w:lang w:val="fr-FR"/>
              </w:rPr>
              <w:t>−</w:t>
            </w:r>
            <w:r w:rsidRPr="00075DC8">
              <w:rPr>
                <w:sz w:val="18"/>
                <w:szCs w:val="18"/>
                <w:lang w:val="fr-FR" w:eastAsia="ja-JP"/>
              </w:rPr>
              <w:t>115,0</w:t>
            </w:r>
          </w:p>
        </w:tc>
        <w:tc>
          <w:tcPr>
            <w:tcW w:w="1134" w:type="dxa"/>
          </w:tcPr>
          <w:p w14:paraId="78D3DEDC" w14:textId="77777777" w:rsidR="00725E50" w:rsidRPr="00075DC8" w:rsidRDefault="00725E50" w:rsidP="008B65A6">
            <w:pPr>
              <w:pStyle w:val="Tabletext"/>
              <w:ind w:left="-57" w:right="-57"/>
              <w:jc w:val="center"/>
              <w:rPr>
                <w:sz w:val="18"/>
                <w:szCs w:val="18"/>
                <w:lang w:val="fr-FR" w:eastAsia="ja-JP"/>
              </w:rPr>
            </w:pPr>
            <w:r w:rsidRPr="00075DC8">
              <w:rPr>
                <w:sz w:val="18"/>
                <w:szCs w:val="18"/>
                <w:lang w:val="fr-FR"/>
              </w:rPr>
              <w:t>−</w:t>
            </w:r>
            <w:r w:rsidRPr="00075DC8">
              <w:rPr>
                <w:sz w:val="18"/>
                <w:szCs w:val="18"/>
                <w:lang w:val="fr-FR" w:eastAsia="ja-JP"/>
              </w:rPr>
              <w:t>121,0…</w:t>
            </w:r>
            <w:r w:rsidRPr="00075DC8">
              <w:rPr>
                <w:sz w:val="18"/>
                <w:szCs w:val="18"/>
                <w:lang w:val="fr-FR" w:eastAsia="ja-JP"/>
              </w:rPr>
              <w:br/>
            </w:r>
            <w:r w:rsidRPr="00075DC8">
              <w:rPr>
                <w:sz w:val="18"/>
                <w:szCs w:val="18"/>
                <w:lang w:val="fr-FR"/>
              </w:rPr>
              <w:t>−</w:t>
            </w:r>
            <w:r w:rsidRPr="00075DC8">
              <w:rPr>
                <w:sz w:val="18"/>
                <w:szCs w:val="18"/>
                <w:lang w:val="fr-FR" w:eastAsia="ja-JP"/>
              </w:rPr>
              <w:t>117,5</w:t>
            </w:r>
          </w:p>
        </w:tc>
        <w:tc>
          <w:tcPr>
            <w:tcW w:w="1134" w:type="dxa"/>
          </w:tcPr>
          <w:p w14:paraId="73199AF9"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−111,3…</w:t>
            </w:r>
            <w:r w:rsidRPr="00075DC8">
              <w:rPr>
                <w:sz w:val="18"/>
                <w:szCs w:val="18"/>
                <w:lang w:val="fr-FR" w:eastAsia="ja-JP"/>
              </w:rPr>
              <w:br/>
              <w:t>−106,5</w:t>
            </w:r>
          </w:p>
        </w:tc>
        <w:tc>
          <w:tcPr>
            <w:tcW w:w="992" w:type="dxa"/>
          </w:tcPr>
          <w:p w14:paraId="385B48CE" w14:textId="77777777" w:rsidR="00725E50" w:rsidRPr="00075DC8" w:rsidRDefault="00725E50" w:rsidP="008B65A6">
            <w:pPr>
              <w:pStyle w:val="Tabletext"/>
              <w:jc w:val="center"/>
              <w:rPr>
                <w:sz w:val="18"/>
                <w:szCs w:val="18"/>
                <w:lang w:val="fr-FR"/>
              </w:rPr>
            </w:pPr>
            <w:r w:rsidRPr="00075DC8">
              <w:rPr>
                <w:sz w:val="18"/>
                <w:szCs w:val="18"/>
                <w:lang w:val="fr-FR"/>
              </w:rPr>
              <w:t>−</w:t>
            </w:r>
            <w:r w:rsidRPr="00075DC8">
              <w:rPr>
                <w:color w:val="000000"/>
                <w:sz w:val="18"/>
                <w:szCs w:val="18"/>
                <w:lang w:val="fr-FR" w:eastAsia="ja-JP"/>
              </w:rPr>
              <w:t>126,5</w:t>
            </w:r>
          </w:p>
        </w:tc>
        <w:tc>
          <w:tcPr>
            <w:tcW w:w="850" w:type="dxa"/>
          </w:tcPr>
          <w:p w14:paraId="2104D48A" w14:textId="77777777" w:rsidR="00725E50" w:rsidRPr="00075DC8" w:rsidRDefault="00725E50" w:rsidP="008B65A6">
            <w:pPr>
              <w:pStyle w:val="Tabletext"/>
              <w:jc w:val="center"/>
              <w:rPr>
                <w:sz w:val="18"/>
                <w:szCs w:val="18"/>
                <w:lang w:val="fr-FR"/>
              </w:rPr>
            </w:pPr>
            <w:r w:rsidRPr="00075DC8">
              <w:rPr>
                <w:sz w:val="18"/>
                <w:szCs w:val="18"/>
                <w:lang w:val="fr-FR"/>
              </w:rPr>
              <w:t>−</w:t>
            </w:r>
            <w:r w:rsidRPr="00075DC8">
              <w:rPr>
                <w:color w:val="000000"/>
                <w:sz w:val="18"/>
                <w:szCs w:val="18"/>
                <w:lang w:val="fr-FR" w:eastAsia="ja-JP"/>
              </w:rPr>
              <w:t>110,5</w:t>
            </w:r>
          </w:p>
        </w:tc>
        <w:tc>
          <w:tcPr>
            <w:tcW w:w="851" w:type="dxa"/>
            <w:vMerge/>
          </w:tcPr>
          <w:p w14:paraId="515A7378" w14:textId="77777777" w:rsidR="00725E50" w:rsidRPr="00075DC8" w:rsidRDefault="00725E50" w:rsidP="008B65A6">
            <w:pPr>
              <w:pStyle w:val="Tabletext"/>
              <w:jc w:val="center"/>
              <w:rPr>
                <w:sz w:val="18"/>
                <w:szCs w:val="18"/>
                <w:lang w:val="fr-FR"/>
              </w:rPr>
            </w:pPr>
          </w:p>
        </w:tc>
        <w:tc>
          <w:tcPr>
            <w:tcW w:w="992" w:type="dxa"/>
          </w:tcPr>
          <w:p w14:paraId="160CAB6C" w14:textId="77777777" w:rsidR="00725E50" w:rsidRPr="00075DC8" w:rsidRDefault="00725E50" w:rsidP="008B65A6">
            <w:pPr>
              <w:pStyle w:val="Tabletext"/>
              <w:jc w:val="center"/>
              <w:rPr>
                <w:sz w:val="18"/>
                <w:szCs w:val="18"/>
                <w:lang w:val="fr-FR" w:eastAsia="ja-JP"/>
              </w:rPr>
            </w:pPr>
            <w:r w:rsidRPr="00075DC8">
              <w:rPr>
                <w:sz w:val="18"/>
                <w:szCs w:val="18"/>
                <w:lang w:val="fr-FR"/>
              </w:rPr>
              <w:t>−</w:t>
            </w:r>
            <w:r w:rsidRPr="00075DC8">
              <w:rPr>
                <w:color w:val="000000"/>
                <w:sz w:val="18"/>
                <w:szCs w:val="18"/>
                <w:lang w:val="fr-FR" w:eastAsia="ja-JP"/>
              </w:rPr>
              <w:t>117</w:t>
            </w:r>
          </w:p>
        </w:tc>
        <w:tc>
          <w:tcPr>
            <w:tcW w:w="1134" w:type="dxa"/>
          </w:tcPr>
          <w:p w14:paraId="7F190621"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−118,5</w:t>
            </w:r>
          </w:p>
        </w:tc>
        <w:tc>
          <w:tcPr>
            <w:tcW w:w="1134" w:type="dxa"/>
          </w:tcPr>
          <w:p w14:paraId="7E0D0D28" w14:textId="77777777" w:rsidR="00725E50" w:rsidRPr="00075DC8" w:rsidRDefault="00725E50" w:rsidP="008B65A6">
            <w:pPr>
              <w:pStyle w:val="Tabletext"/>
              <w:jc w:val="center"/>
              <w:rPr>
                <w:sz w:val="18"/>
                <w:szCs w:val="18"/>
                <w:lang w:val="fr-FR" w:eastAsia="ja-JP"/>
              </w:rPr>
            </w:pPr>
            <w:r w:rsidRPr="00075DC8">
              <w:rPr>
                <w:sz w:val="18"/>
                <w:szCs w:val="18"/>
                <w:lang w:val="fr-FR" w:eastAsia="ja-JP"/>
              </w:rPr>
              <w:t>−112,5</w:t>
            </w:r>
          </w:p>
        </w:tc>
        <w:tc>
          <w:tcPr>
            <w:tcW w:w="992" w:type="dxa"/>
          </w:tcPr>
          <w:p w14:paraId="55BEAA65" w14:textId="0CB66EBE" w:rsidR="00725E50" w:rsidRPr="00075DC8" w:rsidRDefault="00725E50" w:rsidP="008048C0">
            <w:pPr>
              <w:pStyle w:val="Tabletext"/>
              <w:tabs>
                <w:tab w:val="clear" w:pos="851"/>
                <w:tab w:val="left" w:pos="631"/>
              </w:tabs>
              <w:ind w:left="-57" w:right="-57"/>
              <w:jc w:val="center"/>
              <w:rPr>
                <w:sz w:val="18"/>
                <w:szCs w:val="18"/>
                <w:lang w:val="fr-FR"/>
              </w:rPr>
            </w:pPr>
            <w:r w:rsidRPr="00075DC8">
              <w:rPr>
                <w:sz w:val="18"/>
                <w:szCs w:val="18"/>
                <w:lang w:val="fr-FR"/>
              </w:rPr>
              <w:t>−</w:t>
            </w:r>
            <w:r w:rsidRPr="00075DC8">
              <w:rPr>
                <w:color w:val="000000"/>
                <w:sz w:val="18"/>
                <w:szCs w:val="18"/>
                <w:lang w:val="fr-FR" w:eastAsia="ja-JP"/>
              </w:rPr>
              <w:t>126…</w:t>
            </w:r>
            <w:r w:rsidR="008048C0" w:rsidRPr="00075DC8">
              <w:rPr>
                <w:color w:val="000000"/>
                <w:sz w:val="18"/>
                <w:szCs w:val="18"/>
                <w:lang w:val="fr-FR" w:eastAsia="ja-JP"/>
              </w:rPr>
              <w:br/>
            </w:r>
            <w:r w:rsidRPr="00075DC8">
              <w:rPr>
                <w:sz w:val="18"/>
                <w:szCs w:val="18"/>
                <w:lang w:val="fr-FR"/>
              </w:rPr>
              <w:t>−</w:t>
            </w:r>
            <w:r w:rsidRPr="00075DC8">
              <w:rPr>
                <w:color w:val="000000"/>
                <w:sz w:val="18"/>
                <w:szCs w:val="18"/>
                <w:lang w:val="fr-FR" w:eastAsia="ja-JP"/>
              </w:rPr>
              <w:t>125,5</w:t>
            </w:r>
          </w:p>
        </w:tc>
        <w:tc>
          <w:tcPr>
            <w:tcW w:w="864" w:type="dxa"/>
          </w:tcPr>
          <w:p w14:paraId="0E9BD011" w14:textId="77777777" w:rsidR="00725E50" w:rsidRPr="00075DC8" w:rsidRDefault="00725E50" w:rsidP="008B65A6">
            <w:pPr>
              <w:pStyle w:val="Tabletext"/>
              <w:jc w:val="center"/>
              <w:rPr>
                <w:sz w:val="18"/>
                <w:szCs w:val="18"/>
                <w:lang w:val="fr-FR" w:eastAsia="ja-JP"/>
              </w:rPr>
            </w:pPr>
            <w:r w:rsidRPr="00075DC8">
              <w:rPr>
                <w:sz w:val="18"/>
                <w:szCs w:val="18"/>
                <w:lang w:val="fr-FR"/>
              </w:rPr>
              <w:t>−</w:t>
            </w:r>
            <w:r w:rsidRPr="00075DC8">
              <w:rPr>
                <w:color w:val="000000"/>
                <w:sz w:val="18"/>
                <w:szCs w:val="18"/>
                <w:lang w:val="fr-FR" w:eastAsia="ja-JP"/>
              </w:rPr>
              <w:t>117</w:t>
            </w:r>
          </w:p>
        </w:tc>
      </w:tr>
      <w:tr w:rsidR="00587B4E" w:rsidRPr="00075DC8" w14:paraId="5FA41BFA" w14:textId="77777777" w:rsidTr="00587B4E">
        <w:trPr>
          <w:jc w:val="center"/>
        </w:trPr>
        <w:tc>
          <w:tcPr>
            <w:tcW w:w="2265" w:type="dxa"/>
            <w:tcBorders>
              <w:bottom w:val="single" w:sz="4" w:space="0" w:color="auto"/>
            </w:tcBorders>
            <w:tcMar>
              <w:left w:w="57" w:type="dxa"/>
              <w:right w:w="57" w:type="dxa"/>
            </w:tcMar>
          </w:tcPr>
          <w:p w14:paraId="539A4940" w14:textId="035555D6" w:rsidR="008048C0" w:rsidRPr="00075DC8" w:rsidRDefault="008048C0" w:rsidP="008048C0">
            <w:pPr>
              <w:pStyle w:val="Tabletext"/>
              <w:jc w:val="left"/>
              <w:rPr>
                <w:sz w:val="18"/>
                <w:szCs w:val="18"/>
                <w:lang w:val="fr-FR" w:eastAsia="ja-JP"/>
              </w:rPr>
            </w:pPr>
            <w:r w:rsidRPr="00075DC8">
              <w:rPr>
                <w:sz w:val="18"/>
                <w:szCs w:val="18"/>
                <w:lang w:val="fr-FR" w:eastAsia="ja-JP"/>
              </w:rPr>
              <w:t xml:space="preserve">Densité nominale de puissance de brouillage de longue durée </w:t>
            </w:r>
            <w:r w:rsidRPr="00075DC8">
              <w:rPr>
                <w:sz w:val="18"/>
                <w:szCs w:val="18"/>
                <w:lang w:val="fr-FR"/>
              </w:rPr>
              <w:t>(dBW/MHz)</w:t>
            </w:r>
            <w:r w:rsidRPr="00075DC8">
              <w:rPr>
                <w:sz w:val="18"/>
                <w:szCs w:val="18"/>
                <w:vertAlign w:val="superscript"/>
                <w:lang w:val="fr-FR" w:eastAsia="ja-JP"/>
              </w:rPr>
              <w:t>(2)</w:t>
            </w:r>
          </w:p>
        </w:tc>
        <w:tc>
          <w:tcPr>
            <w:tcW w:w="993" w:type="dxa"/>
            <w:tcBorders>
              <w:bottom w:val="single" w:sz="4" w:space="0" w:color="auto"/>
            </w:tcBorders>
          </w:tcPr>
          <w:p w14:paraId="60F8EED2" w14:textId="638D5A4B" w:rsidR="008048C0" w:rsidRPr="00075DC8" w:rsidRDefault="008048C0" w:rsidP="008048C0">
            <w:pPr>
              <w:pStyle w:val="Tabletext"/>
              <w:jc w:val="center"/>
              <w:rPr>
                <w:sz w:val="18"/>
                <w:szCs w:val="18"/>
                <w:lang w:val="fr-FR"/>
              </w:rPr>
            </w:pPr>
            <w:r w:rsidRPr="00075DC8">
              <w:rPr>
                <w:sz w:val="18"/>
                <w:szCs w:val="18"/>
                <w:lang w:val="fr-FR"/>
              </w:rPr>
              <w:t>−141,5…</w:t>
            </w:r>
            <w:r w:rsidRPr="00075DC8">
              <w:rPr>
                <w:sz w:val="18"/>
                <w:szCs w:val="18"/>
                <w:lang w:val="fr-FR"/>
              </w:rPr>
              <w:br/>
              <w:t xml:space="preserve">−138,0 </w:t>
            </w:r>
            <w:r w:rsidR="006801F0" w:rsidRPr="00075DC8">
              <w:rPr>
                <w:sz w:val="18"/>
                <w:szCs w:val="18"/>
                <w:lang w:val="fr-FR"/>
              </w:rPr>
              <w:br/>
            </w:r>
            <w:r w:rsidRPr="00075DC8">
              <w:rPr>
                <w:sz w:val="18"/>
                <w:szCs w:val="18"/>
                <w:lang w:val="fr-FR"/>
              </w:rPr>
              <w:t>+</w:t>
            </w:r>
            <w:r w:rsidRPr="00075DC8">
              <w:rPr>
                <w:i/>
                <w:sz w:val="18"/>
                <w:szCs w:val="18"/>
                <w:lang w:val="fr-FR"/>
              </w:rPr>
              <w:t xml:space="preserve"> I</w:t>
            </w:r>
            <w:r w:rsidRPr="00075DC8">
              <w:rPr>
                <w:iCs/>
                <w:sz w:val="18"/>
                <w:szCs w:val="18"/>
                <w:lang w:val="fr-FR"/>
              </w:rPr>
              <w:t>/</w:t>
            </w:r>
            <w:r w:rsidRPr="00075DC8">
              <w:rPr>
                <w:i/>
                <w:sz w:val="18"/>
                <w:szCs w:val="18"/>
                <w:lang w:val="fr-FR"/>
              </w:rPr>
              <w:t>N</w:t>
            </w:r>
          </w:p>
        </w:tc>
        <w:tc>
          <w:tcPr>
            <w:tcW w:w="1134" w:type="dxa"/>
            <w:tcBorders>
              <w:bottom w:val="single" w:sz="4" w:space="0" w:color="auto"/>
            </w:tcBorders>
          </w:tcPr>
          <w:p w14:paraId="48EECE92" w14:textId="2893E14E" w:rsidR="008048C0" w:rsidRPr="00075DC8" w:rsidRDefault="008048C0" w:rsidP="008048C0">
            <w:pPr>
              <w:pStyle w:val="Tabletext"/>
              <w:jc w:val="center"/>
              <w:rPr>
                <w:sz w:val="18"/>
                <w:szCs w:val="18"/>
                <w:lang w:val="fr-FR" w:eastAsia="ja-JP"/>
              </w:rPr>
            </w:pPr>
            <w:r w:rsidRPr="00075DC8">
              <w:rPr>
                <w:sz w:val="18"/>
                <w:szCs w:val="18"/>
                <w:lang w:val="fr-FR"/>
              </w:rPr>
              <w:t>138,0 +</w:t>
            </w:r>
            <w:r w:rsidRPr="00075DC8">
              <w:rPr>
                <w:i/>
                <w:sz w:val="18"/>
                <w:szCs w:val="18"/>
                <w:lang w:val="fr-FR"/>
              </w:rPr>
              <w:t xml:space="preserve"> I</w:t>
            </w:r>
            <w:r w:rsidRPr="00075DC8">
              <w:rPr>
                <w:iCs/>
                <w:sz w:val="18"/>
                <w:szCs w:val="18"/>
                <w:lang w:val="fr-FR"/>
              </w:rPr>
              <w:t>/</w:t>
            </w:r>
            <w:r w:rsidRPr="00075DC8">
              <w:rPr>
                <w:i/>
                <w:sz w:val="18"/>
                <w:szCs w:val="18"/>
                <w:lang w:val="fr-FR"/>
              </w:rPr>
              <w:t>N</w:t>
            </w:r>
          </w:p>
        </w:tc>
        <w:tc>
          <w:tcPr>
            <w:tcW w:w="1134" w:type="dxa"/>
            <w:tcBorders>
              <w:bottom w:val="single" w:sz="4" w:space="0" w:color="auto"/>
            </w:tcBorders>
          </w:tcPr>
          <w:p w14:paraId="0C77A08B" w14:textId="4C372D8D" w:rsidR="008048C0" w:rsidRPr="00075DC8" w:rsidRDefault="008048C0" w:rsidP="008048C0">
            <w:pPr>
              <w:pStyle w:val="Tabletext"/>
              <w:ind w:left="-57" w:right="-57"/>
              <w:jc w:val="center"/>
              <w:rPr>
                <w:sz w:val="18"/>
                <w:szCs w:val="18"/>
                <w:lang w:val="fr-FR"/>
              </w:rPr>
            </w:pPr>
            <w:r w:rsidRPr="00075DC8">
              <w:rPr>
                <w:sz w:val="18"/>
                <w:szCs w:val="18"/>
                <w:lang w:val="fr-FR"/>
              </w:rPr>
              <w:t>−141,5…</w:t>
            </w:r>
            <w:r w:rsidRPr="00075DC8">
              <w:rPr>
                <w:sz w:val="18"/>
                <w:szCs w:val="18"/>
                <w:lang w:val="fr-FR"/>
              </w:rPr>
              <w:br/>
              <w:t xml:space="preserve">−138,0 + </w:t>
            </w:r>
            <w:r w:rsidRPr="00075DC8">
              <w:rPr>
                <w:i/>
                <w:sz w:val="18"/>
                <w:szCs w:val="18"/>
                <w:lang w:val="fr-FR"/>
              </w:rPr>
              <w:t>I/N</w:t>
            </w:r>
          </w:p>
        </w:tc>
        <w:tc>
          <w:tcPr>
            <w:tcW w:w="1134" w:type="dxa"/>
            <w:tcBorders>
              <w:bottom w:val="single" w:sz="4" w:space="0" w:color="auto"/>
            </w:tcBorders>
          </w:tcPr>
          <w:p w14:paraId="64569E61" w14:textId="7BDB473F" w:rsidR="008048C0" w:rsidRPr="00075DC8" w:rsidRDefault="008048C0" w:rsidP="008048C0">
            <w:pPr>
              <w:pStyle w:val="Tabletext"/>
              <w:jc w:val="center"/>
              <w:rPr>
                <w:sz w:val="18"/>
                <w:szCs w:val="18"/>
                <w:lang w:val="fr-FR" w:eastAsia="ja-JP"/>
              </w:rPr>
            </w:pPr>
            <w:r w:rsidRPr="00075DC8">
              <w:rPr>
                <w:sz w:val="18"/>
                <w:szCs w:val="18"/>
                <w:lang w:val="fr-FR" w:eastAsia="ja-JP"/>
              </w:rPr>
              <w:t>−141,5…</w:t>
            </w:r>
            <w:r w:rsidRPr="00075DC8">
              <w:rPr>
                <w:sz w:val="18"/>
                <w:szCs w:val="18"/>
                <w:lang w:val="fr-FR" w:eastAsia="ja-JP"/>
              </w:rPr>
              <w:br/>
              <w:t>−136</w:t>
            </w:r>
            <w:r w:rsidRPr="00075DC8">
              <w:rPr>
                <w:sz w:val="18"/>
                <w:szCs w:val="18"/>
                <w:lang w:val="fr-FR"/>
              </w:rPr>
              <w:t>+</w:t>
            </w:r>
            <w:r w:rsidRPr="00075DC8">
              <w:rPr>
                <w:i/>
                <w:sz w:val="18"/>
                <w:szCs w:val="18"/>
                <w:lang w:val="fr-FR"/>
              </w:rPr>
              <w:t xml:space="preserve"> I</w:t>
            </w:r>
            <w:r w:rsidRPr="00075DC8">
              <w:rPr>
                <w:iCs/>
                <w:sz w:val="18"/>
                <w:szCs w:val="18"/>
                <w:lang w:val="fr-FR"/>
              </w:rPr>
              <w:t>/</w:t>
            </w:r>
            <w:r w:rsidRPr="00075DC8">
              <w:rPr>
                <w:i/>
                <w:sz w:val="18"/>
                <w:szCs w:val="18"/>
                <w:lang w:val="fr-FR"/>
              </w:rPr>
              <w:t>N</w:t>
            </w:r>
          </w:p>
        </w:tc>
        <w:tc>
          <w:tcPr>
            <w:tcW w:w="992" w:type="dxa"/>
            <w:tcBorders>
              <w:bottom w:val="single" w:sz="4" w:space="0" w:color="auto"/>
            </w:tcBorders>
          </w:tcPr>
          <w:p w14:paraId="6A06DDAE" w14:textId="2649319A" w:rsidR="008048C0" w:rsidRPr="00075DC8" w:rsidRDefault="008048C0" w:rsidP="008048C0">
            <w:pPr>
              <w:pStyle w:val="Tabletext"/>
              <w:jc w:val="center"/>
              <w:rPr>
                <w:sz w:val="18"/>
                <w:szCs w:val="18"/>
                <w:lang w:val="fr-FR"/>
              </w:rPr>
            </w:pPr>
            <w:r w:rsidRPr="00075DC8">
              <w:rPr>
                <w:sz w:val="18"/>
                <w:szCs w:val="18"/>
                <w:lang w:val="fr-FR" w:eastAsia="ja-JP"/>
              </w:rPr>
              <w:t xml:space="preserve">−140 </w:t>
            </w:r>
            <w:r w:rsidRPr="00075DC8">
              <w:rPr>
                <w:sz w:val="18"/>
                <w:szCs w:val="18"/>
                <w:lang w:val="fr-FR"/>
              </w:rPr>
              <w:t>+</w:t>
            </w:r>
            <w:r w:rsidRPr="00075DC8">
              <w:rPr>
                <w:i/>
                <w:sz w:val="18"/>
                <w:szCs w:val="18"/>
                <w:lang w:val="fr-FR"/>
              </w:rPr>
              <w:t xml:space="preserve"> I</w:t>
            </w:r>
            <w:r w:rsidRPr="00075DC8">
              <w:rPr>
                <w:sz w:val="18"/>
                <w:szCs w:val="18"/>
                <w:lang w:val="fr-FR"/>
              </w:rPr>
              <w:t>/</w:t>
            </w:r>
            <w:r w:rsidRPr="00075DC8">
              <w:rPr>
                <w:i/>
                <w:sz w:val="18"/>
                <w:szCs w:val="18"/>
                <w:lang w:val="fr-FR"/>
              </w:rPr>
              <w:t>N</w:t>
            </w:r>
          </w:p>
        </w:tc>
        <w:tc>
          <w:tcPr>
            <w:tcW w:w="850" w:type="dxa"/>
            <w:tcBorders>
              <w:bottom w:val="single" w:sz="4" w:space="0" w:color="auto"/>
            </w:tcBorders>
          </w:tcPr>
          <w:p w14:paraId="24735260" w14:textId="6100A235" w:rsidR="008048C0" w:rsidRPr="00075DC8" w:rsidRDefault="008048C0" w:rsidP="008048C0">
            <w:pPr>
              <w:pStyle w:val="Tabletext"/>
              <w:jc w:val="center"/>
              <w:rPr>
                <w:sz w:val="18"/>
                <w:szCs w:val="18"/>
                <w:lang w:val="fr-FR"/>
              </w:rPr>
            </w:pPr>
            <w:r w:rsidRPr="00075DC8">
              <w:rPr>
                <w:sz w:val="18"/>
                <w:szCs w:val="18"/>
                <w:lang w:val="fr-FR" w:eastAsia="ja-JP"/>
              </w:rPr>
              <w:t xml:space="preserve">−140 </w:t>
            </w:r>
            <w:r w:rsidRPr="00075DC8">
              <w:rPr>
                <w:sz w:val="18"/>
                <w:szCs w:val="18"/>
                <w:lang w:val="fr-FR"/>
              </w:rPr>
              <w:t>+</w:t>
            </w:r>
            <w:r w:rsidRPr="00075DC8">
              <w:rPr>
                <w:i/>
                <w:sz w:val="18"/>
                <w:szCs w:val="18"/>
                <w:lang w:val="fr-FR"/>
              </w:rPr>
              <w:t xml:space="preserve"> I</w:t>
            </w:r>
            <w:r w:rsidRPr="00075DC8">
              <w:rPr>
                <w:sz w:val="18"/>
                <w:szCs w:val="18"/>
                <w:lang w:val="fr-FR"/>
              </w:rPr>
              <w:t>/</w:t>
            </w:r>
            <w:r w:rsidRPr="00075DC8">
              <w:rPr>
                <w:i/>
                <w:sz w:val="18"/>
                <w:szCs w:val="18"/>
                <w:lang w:val="fr-FR"/>
              </w:rPr>
              <w:t>N</w:t>
            </w:r>
          </w:p>
        </w:tc>
        <w:tc>
          <w:tcPr>
            <w:tcW w:w="851" w:type="dxa"/>
            <w:tcBorders>
              <w:bottom w:val="single" w:sz="4" w:space="0" w:color="auto"/>
            </w:tcBorders>
          </w:tcPr>
          <w:p w14:paraId="772BF182" w14:textId="705BAD1C" w:rsidR="008048C0" w:rsidRPr="00075DC8" w:rsidRDefault="008048C0" w:rsidP="008048C0">
            <w:pPr>
              <w:pStyle w:val="Tabletext"/>
              <w:jc w:val="center"/>
              <w:rPr>
                <w:sz w:val="18"/>
                <w:szCs w:val="18"/>
                <w:lang w:val="fr-FR"/>
              </w:rPr>
            </w:pPr>
            <w:r w:rsidRPr="00075DC8">
              <w:rPr>
                <w:i/>
                <w:iCs/>
                <w:sz w:val="18"/>
                <w:szCs w:val="18"/>
                <w:lang w:val="fr-FR"/>
              </w:rPr>
              <w:t>N</w:t>
            </w:r>
            <w:r w:rsidRPr="00075DC8">
              <w:rPr>
                <w:i/>
                <w:iCs/>
                <w:sz w:val="18"/>
                <w:szCs w:val="18"/>
                <w:vertAlign w:val="subscript"/>
                <w:lang w:val="fr-FR"/>
              </w:rPr>
              <w:t>RX</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c>
          <w:tcPr>
            <w:tcW w:w="992" w:type="dxa"/>
            <w:tcBorders>
              <w:bottom w:val="single" w:sz="4" w:space="0" w:color="auto"/>
            </w:tcBorders>
          </w:tcPr>
          <w:p w14:paraId="6BDCF0C0" w14:textId="080CED8E" w:rsidR="008048C0" w:rsidRPr="00075DC8" w:rsidRDefault="008048C0" w:rsidP="008048C0">
            <w:pPr>
              <w:pStyle w:val="Tabletext"/>
              <w:jc w:val="center"/>
              <w:rPr>
                <w:sz w:val="18"/>
                <w:szCs w:val="18"/>
                <w:lang w:val="fr-FR"/>
              </w:rPr>
            </w:pPr>
            <w:r w:rsidRPr="00075DC8">
              <w:rPr>
                <w:i/>
                <w:iCs/>
                <w:sz w:val="18"/>
                <w:szCs w:val="18"/>
                <w:lang w:val="fr-FR"/>
              </w:rPr>
              <w:t>N</w:t>
            </w:r>
            <w:r w:rsidRPr="00075DC8">
              <w:rPr>
                <w:i/>
                <w:iCs/>
                <w:sz w:val="18"/>
                <w:szCs w:val="18"/>
                <w:vertAlign w:val="subscript"/>
                <w:lang w:val="fr-FR"/>
              </w:rPr>
              <w:t>RX</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c>
          <w:tcPr>
            <w:tcW w:w="1134" w:type="dxa"/>
            <w:tcBorders>
              <w:bottom w:val="single" w:sz="4" w:space="0" w:color="auto"/>
            </w:tcBorders>
          </w:tcPr>
          <w:p w14:paraId="160CDE94" w14:textId="73022717" w:rsidR="008048C0" w:rsidRPr="00075DC8" w:rsidRDefault="008048C0" w:rsidP="008048C0">
            <w:pPr>
              <w:pStyle w:val="Tabletext"/>
              <w:jc w:val="center"/>
              <w:rPr>
                <w:sz w:val="18"/>
                <w:szCs w:val="18"/>
                <w:lang w:val="fr-FR" w:eastAsia="ja-JP"/>
              </w:rPr>
            </w:pPr>
            <w:r w:rsidRPr="00075DC8">
              <w:rPr>
                <w:sz w:val="18"/>
                <w:szCs w:val="18"/>
                <w:lang w:val="fr-FR" w:eastAsia="ja-JP"/>
              </w:rPr>
              <w:t xml:space="preserve">−139 </w:t>
            </w:r>
            <w:r w:rsidRPr="00075DC8">
              <w:rPr>
                <w:sz w:val="18"/>
                <w:szCs w:val="18"/>
                <w:lang w:val="fr-FR"/>
              </w:rPr>
              <w:t>+</w:t>
            </w:r>
            <w:r w:rsidRPr="00075DC8">
              <w:rPr>
                <w:i/>
                <w:sz w:val="18"/>
                <w:szCs w:val="18"/>
                <w:lang w:val="fr-FR"/>
              </w:rPr>
              <w:t xml:space="preserve"> I</w:t>
            </w:r>
            <w:r w:rsidRPr="00075DC8">
              <w:rPr>
                <w:iCs/>
                <w:sz w:val="18"/>
                <w:szCs w:val="18"/>
                <w:lang w:val="fr-FR"/>
              </w:rPr>
              <w:t>/</w:t>
            </w:r>
            <w:r w:rsidRPr="00075DC8">
              <w:rPr>
                <w:i/>
                <w:sz w:val="18"/>
                <w:szCs w:val="18"/>
                <w:lang w:val="fr-FR"/>
              </w:rPr>
              <w:t>N</w:t>
            </w:r>
          </w:p>
        </w:tc>
        <w:tc>
          <w:tcPr>
            <w:tcW w:w="1134" w:type="dxa"/>
            <w:tcBorders>
              <w:bottom w:val="single" w:sz="4" w:space="0" w:color="auto"/>
            </w:tcBorders>
          </w:tcPr>
          <w:p w14:paraId="06C38BBE" w14:textId="34A29AA3" w:rsidR="008048C0" w:rsidRPr="00075DC8" w:rsidRDefault="008048C0" w:rsidP="008048C0">
            <w:pPr>
              <w:pStyle w:val="Tabletext"/>
              <w:jc w:val="center"/>
              <w:rPr>
                <w:sz w:val="18"/>
                <w:szCs w:val="18"/>
                <w:lang w:val="fr-FR" w:eastAsia="ja-JP"/>
              </w:rPr>
            </w:pPr>
            <w:r w:rsidRPr="00075DC8">
              <w:rPr>
                <w:sz w:val="18"/>
                <w:szCs w:val="18"/>
                <w:lang w:val="fr-FR" w:eastAsia="ja-JP"/>
              </w:rPr>
              <w:t>−139</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c>
          <w:tcPr>
            <w:tcW w:w="992" w:type="dxa"/>
            <w:tcBorders>
              <w:bottom w:val="single" w:sz="4" w:space="0" w:color="auto"/>
            </w:tcBorders>
          </w:tcPr>
          <w:p w14:paraId="16D49F70" w14:textId="4CD1473B" w:rsidR="008048C0" w:rsidRPr="00075DC8" w:rsidRDefault="008048C0" w:rsidP="008048C0">
            <w:pPr>
              <w:pStyle w:val="Tabletext"/>
              <w:tabs>
                <w:tab w:val="clear" w:pos="851"/>
                <w:tab w:val="left" w:pos="631"/>
              </w:tabs>
              <w:ind w:left="-57" w:right="-57"/>
              <w:jc w:val="center"/>
              <w:rPr>
                <w:sz w:val="18"/>
                <w:szCs w:val="18"/>
                <w:lang w:val="fr-FR"/>
              </w:rPr>
            </w:pPr>
            <w:r w:rsidRPr="00075DC8">
              <w:rPr>
                <w:sz w:val="18"/>
                <w:szCs w:val="18"/>
                <w:lang w:val="fr-FR"/>
              </w:rPr>
              <w:t>−139,5…</w:t>
            </w:r>
            <w:r w:rsidR="00587B4E" w:rsidRPr="00075DC8">
              <w:rPr>
                <w:sz w:val="18"/>
                <w:szCs w:val="18"/>
                <w:lang w:val="fr-FR"/>
              </w:rPr>
              <w:br/>
            </w:r>
            <w:r w:rsidRPr="00075DC8">
              <w:rPr>
                <w:sz w:val="18"/>
                <w:szCs w:val="18"/>
                <w:lang w:val="fr-FR"/>
              </w:rPr>
              <w:t xml:space="preserve">−139 + </w:t>
            </w:r>
            <w:r w:rsidRPr="00075DC8">
              <w:rPr>
                <w:i/>
                <w:iCs/>
                <w:sz w:val="18"/>
                <w:szCs w:val="18"/>
                <w:lang w:val="fr-FR"/>
              </w:rPr>
              <w:t>I</w:t>
            </w:r>
            <w:r w:rsidRPr="00075DC8">
              <w:rPr>
                <w:sz w:val="18"/>
                <w:szCs w:val="18"/>
                <w:lang w:val="fr-FR"/>
              </w:rPr>
              <w:t>/</w:t>
            </w:r>
            <w:r w:rsidRPr="00075DC8">
              <w:rPr>
                <w:i/>
                <w:iCs/>
                <w:sz w:val="18"/>
                <w:szCs w:val="18"/>
                <w:lang w:val="fr-FR"/>
              </w:rPr>
              <w:t>N</w:t>
            </w:r>
          </w:p>
        </w:tc>
        <w:tc>
          <w:tcPr>
            <w:tcW w:w="864" w:type="dxa"/>
            <w:tcBorders>
              <w:bottom w:val="single" w:sz="4" w:space="0" w:color="auto"/>
            </w:tcBorders>
          </w:tcPr>
          <w:p w14:paraId="75F553FE" w14:textId="1F15357E" w:rsidR="008048C0" w:rsidRPr="00075DC8" w:rsidRDefault="008048C0" w:rsidP="008048C0">
            <w:pPr>
              <w:pStyle w:val="Tabletext"/>
              <w:jc w:val="center"/>
              <w:rPr>
                <w:sz w:val="18"/>
                <w:szCs w:val="18"/>
                <w:lang w:val="fr-FR"/>
              </w:rPr>
            </w:pPr>
            <w:r w:rsidRPr="00075DC8">
              <w:rPr>
                <w:sz w:val="18"/>
                <w:szCs w:val="18"/>
                <w:lang w:val="fr-FR"/>
              </w:rPr>
              <w:t xml:space="preserve">−140 </w:t>
            </w:r>
            <w:r w:rsidR="00587B4E" w:rsidRPr="00075DC8">
              <w:rPr>
                <w:sz w:val="18"/>
                <w:szCs w:val="18"/>
                <w:lang w:val="fr-FR"/>
              </w:rPr>
              <w:br/>
            </w:r>
            <w:r w:rsidRPr="00075DC8">
              <w:rPr>
                <w:sz w:val="18"/>
                <w:szCs w:val="18"/>
                <w:lang w:val="fr-FR"/>
              </w:rPr>
              <w:t xml:space="preserve">+ </w:t>
            </w:r>
            <w:r w:rsidRPr="00075DC8">
              <w:rPr>
                <w:i/>
                <w:iCs/>
                <w:sz w:val="18"/>
                <w:szCs w:val="18"/>
                <w:lang w:val="fr-FR"/>
              </w:rPr>
              <w:t>I</w:t>
            </w:r>
            <w:r w:rsidRPr="00075DC8">
              <w:rPr>
                <w:sz w:val="18"/>
                <w:szCs w:val="18"/>
                <w:lang w:val="fr-FR"/>
              </w:rPr>
              <w:t>/</w:t>
            </w:r>
            <w:r w:rsidRPr="00075DC8">
              <w:rPr>
                <w:i/>
                <w:iCs/>
                <w:sz w:val="18"/>
                <w:szCs w:val="18"/>
                <w:lang w:val="fr-FR"/>
              </w:rPr>
              <w:t>N</w:t>
            </w:r>
          </w:p>
        </w:tc>
      </w:tr>
      <w:tr w:rsidR="00587B4E" w:rsidRPr="00075DC8" w14:paraId="5004CFC6" w14:textId="77777777" w:rsidTr="00587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6"/>
          <w:jc w:val="center"/>
        </w:trPr>
        <w:tc>
          <w:tcPr>
            <w:tcW w:w="14469" w:type="dxa"/>
            <w:gridSpan w:val="13"/>
            <w:tcBorders>
              <w:left w:val="nil"/>
              <w:bottom w:val="nil"/>
              <w:right w:val="nil"/>
            </w:tcBorders>
            <w:tcMar>
              <w:left w:w="57" w:type="dxa"/>
              <w:right w:w="57" w:type="dxa"/>
            </w:tcMar>
          </w:tcPr>
          <w:p w14:paraId="62198279" w14:textId="77777777" w:rsidR="00587B4E" w:rsidRPr="00075DC8" w:rsidRDefault="00587B4E" w:rsidP="000550C7">
            <w:pPr>
              <w:pStyle w:val="Tabletext"/>
              <w:rPr>
                <w:sz w:val="18"/>
                <w:szCs w:val="18"/>
                <w:lang w:val="fr-FR"/>
              </w:rPr>
            </w:pPr>
            <w:r w:rsidRPr="00075DC8">
              <w:rPr>
                <w:sz w:val="18"/>
                <w:szCs w:val="18"/>
                <w:lang w:val="fr-FR" w:eastAsia="ja-JP"/>
              </w:rPr>
              <w:t>NOTE – L'ensemble prévu des paramètres, pour deux systèmes de référence pour les études de partage ou de compatibilité, est à l'heure actuelle partiellement ou totalement indisponible. Provisoirement, les paramètres indiqués à l'Annexe 3 pour les mêmes bandes peuvent être employés.</w:t>
            </w:r>
          </w:p>
          <w:p w14:paraId="07AF4396" w14:textId="77777777" w:rsidR="00587B4E" w:rsidRPr="00075DC8" w:rsidRDefault="00587B4E" w:rsidP="009718CE">
            <w:pPr>
              <w:pStyle w:val="Tabletext"/>
              <w:ind w:left="284" w:hanging="284"/>
              <w:rPr>
                <w:sz w:val="18"/>
                <w:szCs w:val="18"/>
                <w:lang w:val="fr-FR"/>
              </w:rPr>
            </w:pPr>
            <w:r w:rsidRPr="00075DC8">
              <w:rPr>
                <w:sz w:val="18"/>
                <w:szCs w:val="18"/>
                <w:vertAlign w:val="superscript"/>
                <w:lang w:val="fr-FR"/>
              </w:rPr>
              <w:t>(1)</w:t>
            </w:r>
            <w:r w:rsidRPr="00075DC8">
              <w:rPr>
                <w:sz w:val="18"/>
                <w:szCs w:val="18"/>
                <w:lang w:val="fr-FR"/>
              </w:rPr>
              <w:tab/>
              <w:t xml:space="preserve">Pour calculer les valeurs des densités de puissance au niveau de l'émetteur ou des densités de p.i.r.e., il est nécessaire de définir l'espacement des canaux/la largeur de bande. Dans ces tableaux, l'espacement des canaux est indiqué en </w:t>
            </w:r>
            <w:r w:rsidRPr="00075DC8">
              <w:rPr>
                <w:b/>
                <w:bCs/>
                <w:sz w:val="18"/>
                <w:szCs w:val="18"/>
                <w:lang w:val="fr-FR"/>
              </w:rPr>
              <w:t>caractères gras</w:t>
            </w:r>
            <w:r w:rsidRPr="00075DC8">
              <w:rPr>
                <w:sz w:val="18"/>
                <w:szCs w:val="18"/>
                <w:lang w:val="fr-FR"/>
              </w:rPr>
              <w:t>. Lorsqu'une valeur modale (mode) est fournie, elle doit être considérée à titre indicatif dans la plage spécifiée et, par la suite, il pourra être nécessaire d'effectuer une analyse de la sensibilité, selon le cas, pour évaluer un potentiel de brouillage donné dû aux variations dans la plage spécifiée.</w:t>
            </w:r>
          </w:p>
          <w:p w14:paraId="69C08CFC" w14:textId="0E35BEDB" w:rsidR="00587B4E" w:rsidRPr="00075DC8" w:rsidRDefault="00587B4E" w:rsidP="009718CE">
            <w:pPr>
              <w:pStyle w:val="Tabletext"/>
              <w:ind w:left="284" w:hanging="284"/>
              <w:rPr>
                <w:sz w:val="18"/>
                <w:szCs w:val="18"/>
                <w:lang w:val="fr-FR" w:eastAsia="ja-JP"/>
              </w:rPr>
            </w:pPr>
            <w:r w:rsidRPr="00075DC8">
              <w:rPr>
                <w:sz w:val="18"/>
                <w:szCs w:val="18"/>
                <w:vertAlign w:val="superscript"/>
                <w:lang w:val="fr-FR" w:eastAsia="ja-JP"/>
              </w:rPr>
              <w:t>(2)</w:t>
            </w:r>
            <w:r w:rsidRPr="00075DC8">
              <w:rPr>
                <w:sz w:val="18"/>
                <w:szCs w:val="18"/>
                <w:lang w:val="fr-FR" w:eastAsia="ja-JP"/>
              </w:rPr>
              <w:tab/>
              <w:t>La densité nominale de puissance de brouillage de longue durée est définie par la «densité de puissance de bruit du récepteur + (</w:t>
            </w:r>
            <w:r w:rsidRPr="00075DC8">
              <w:rPr>
                <w:i/>
                <w:sz w:val="18"/>
                <w:szCs w:val="18"/>
                <w:lang w:val="fr-FR" w:eastAsia="ja-JP"/>
              </w:rPr>
              <w:t>I</w:t>
            </w:r>
            <w:r w:rsidRPr="00075DC8">
              <w:rPr>
                <w:sz w:val="18"/>
                <w:szCs w:val="18"/>
                <w:lang w:val="fr-FR" w:eastAsia="ja-JP"/>
              </w:rPr>
              <w:t>/</w:t>
            </w:r>
            <w:r w:rsidRPr="00075DC8">
              <w:rPr>
                <w:i/>
                <w:sz w:val="18"/>
                <w:szCs w:val="18"/>
                <w:lang w:val="fr-FR" w:eastAsia="ja-JP"/>
              </w:rPr>
              <w:t>N</w:t>
            </w:r>
            <w:r w:rsidRPr="00075DC8">
              <w:rPr>
                <w:iCs/>
                <w:sz w:val="18"/>
                <w:szCs w:val="18"/>
                <w:lang w:val="fr-FR" w:eastAsia="ja-JP"/>
              </w:rPr>
              <w:t xml:space="preserve"> requis</w:t>
            </w:r>
            <w:r w:rsidRPr="00075DC8">
              <w:rPr>
                <w:sz w:val="18"/>
                <w:szCs w:val="18"/>
                <w:lang w:val="fr-FR" w:eastAsia="ja-JP"/>
              </w:rPr>
              <w:t xml:space="preserve">)» comme décrit au </w:t>
            </w:r>
            <w:r w:rsidR="008B1840" w:rsidRPr="00075DC8">
              <w:rPr>
                <w:sz w:val="18"/>
                <w:szCs w:val="18"/>
                <w:lang w:val="fr-FR" w:eastAsia="ja-JP"/>
              </w:rPr>
              <w:t>§ </w:t>
            </w:r>
            <w:r w:rsidRPr="00075DC8">
              <w:rPr>
                <w:sz w:val="18"/>
                <w:szCs w:val="18"/>
                <w:lang w:val="fr-FR" w:eastAsia="ja-JP"/>
              </w:rPr>
              <w:t xml:space="preserve">4.13 de l'Annexe 2 (voir aussi le </w:t>
            </w:r>
            <w:r w:rsidR="008B1840" w:rsidRPr="00075DC8">
              <w:rPr>
                <w:sz w:val="18"/>
                <w:szCs w:val="18"/>
                <w:lang w:val="fr-FR" w:eastAsia="ja-JP"/>
              </w:rPr>
              <w:t>§ </w:t>
            </w:r>
            <w:r w:rsidRPr="00075DC8">
              <w:rPr>
                <w:sz w:val="18"/>
                <w:szCs w:val="18"/>
                <w:lang w:val="fr-FR" w:eastAsia="ja-JP"/>
              </w:rPr>
              <w:t>4.1 de l'Annexe 1).</w:t>
            </w:r>
          </w:p>
          <w:p w14:paraId="4B45CE36" w14:textId="1AED81EE" w:rsidR="00587B4E" w:rsidRPr="00075DC8" w:rsidRDefault="00587B4E" w:rsidP="009718CE">
            <w:pPr>
              <w:pStyle w:val="Tabletext"/>
              <w:rPr>
                <w:sz w:val="18"/>
                <w:szCs w:val="18"/>
                <w:lang w:val="fr-FR"/>
              </w:rPr>
            </w:pPr>
            <w:r w:rsidRPr="00075DC8">
              <w:rPr>
                <w:sz w:val="18"/>
                <w:szCs w:val="18"/>
                <w:vertAlign w:val="superscript"/>
                <w:lang w:val="fr-FR" w:eastAsia="ja-JP"/>
              </w:rPr>
              <w:t>(3)</w:t>
            </w:r>
            <w:r w:rsidRPr="00075DC8">
              <w:rPr>
                <w:sz w:val="18"/>
                <w:szCs w:val="18"/>
                <w:lang w:val="fr-FR" w:eastAsia="ja-JP"/>
              </w:rPr>
              <w:tab/>
              <w:t>Cette valeur d'espacement des canaux n'est pas spécifiée dans la Recommandation de référence.</w:t>
            </w:r>
          </w:p>
        </w:tc>
      </w:tr>
    </w:tbl>
    <w:p w14:paraId="193B6C0C" w14:textId="77777777" w:rsidR="009718CE" w:rsidRPr="00075DC8" w:rsidRDefault="009718CE" w:rsidP="009718CE">
      <w:pPr>
        <w:pStyle w:val="Tablefin"/>
        <w:rPr>
          <w:lang w:val="fr-FR"/>
        </w:rPr>
      </w:pPr>
    </w:p>
    <w:p w14:paraId="3E756051" w14:textId="1B70B515" w:rsidR="00725E50" w:rsidRPr="00075DC8" w:rsidRDefault="00725E50" w:rsidP="006801F0">
      <w:pPr>
        <w:pStyle w:val="TableNo"/>
        <w:keepLines/>
        <w:rPr>
          <w:lang w:val="fr-FR"/>
        </w:rPr>
      </w:pPr>
      <w:r w:rsidRPr="00075DC8">
        <w:rPr>
          <w:lang w:val="fr-FR"/>
        </w:rPr>
        <w:lastRenderedPageBreak/>
        <w:t>TABLEAU 10</w:t>
      </w:r>
    </w:p>
    <w:p w14:paraId="37FCDA91" w14:textId="77777777" w:rsidR="00725E50" w:rsidRPr="00075DC8" w:rsidRDefault="00725E50" w:rsidP="006801F0">
      <w:pPr>
        <w:pStyle w:val="Tabletitle"/>
        <w:keepLines/>
        <w:rPr>
          <w:lang w:val="fr-FR" w:eastAsia="ja-JP"/>
        </w:rPr>
      </w:pPr>
      <w:r w:rsidRPr="00075DC8">
        <w:rPr>
          <w:lang w:val="fr-FR" w:eastAsia="ja-JP"/>
        </w:rPr>
        <w:t>Paramètres des systèmes du service fixe de point à point dans les bandes attribuées comprises entre 14 et 34 GHz</w:t>
      </w:r>
    </w:p>
    <w:tbl>
      <w:tblPr>
        <w:tblW w:w="144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920"/>
        <w:gridCol w:w="1029"/>
        <w:gridCol w:w="1028"/>
        <w:gridCol w:w="1517"/>
        <w:gridCol w:w="1517"/>
        <w:gridCol w:w="1136"/>
        <w:gridCol w:w="1136"/>
        <w:gridCol w:w="1116"/>
        <w:gridCol w:w="1116"/>
        <w:gridCol w:w="969"/>
        <w:gridCol w:w="975"/>
        <w:gridCol w:w="9"/>
      </w:tblGrid>
      <w:tr w:rsidR="00725E50" w:rsidRPr="00075DC8" w14:paraId="7862D61E" w14:textId="77777777" w:rsidTr="006801F0">
        <w:trPr>
          <w:jc w:val="center"/>
        </w:trPr>
        <w:tc>
          <w:tcPr>
            <w:tcW w:w="2920" w:type="dxa"/>
            <w:tcMar>
              <w:left w:w="57" w:type="dxa"/>
              <w:right w:w="57" w:type="dxa"/>
            </w:tcMar>
            <w:vAlign w:val="center"/>
          </w:tcPr>
          <w:p w14:paraId="7A59D007" w14:textId="77777777" w:rsidR="00725E50" w:rsidRPr="00075DC8" w:rsidRDefault="00725E50" w:rsidP="006801F0">
            <w:pPr>
              <w:pStyle w:val="Tablehead"/>
              <w:keepLines/>
              <w:rPr>
                <w:sz w:val="18"/>
                <w:szCs w:val="18"/>
                <w:lang w:val="fr-FR"/>
              </w:rPr>
            </w:pPr>
            <w:r w:rsidRPr="00075DC8">
              <w:rPr>
                <w:sz w:val="18"/>
                <w:szCs w:val="18"/>
                <w:lang w:val="fr-FR" w:eastAsia="ja-JP"/>
              </w:rPr>
              <w:t>Gamme de fréquences</w:t>
            </w:r>
            <w:r w:rsidRPr="00075DC8">
              <w:rPr>
                <w:sz w:val="18"/>
                <w:szCs w:val="18"/>
                <w:lang w:val="fr-FR" w:eastAsia="ja-JP"/>
              </w:rPr>
              <w:br/>
              <w:t>(GHz)</w:t>
            </w:r>
          </w:p>
        </w:tc>
        <w:tc>
          <w:tcPr>
            <w:tcW w:w="2057" w:type="dxa"/>
            <w:gridSpan w:val="2"/>
            <w:vAlign w:val="center"/>
          </w:tcPr>
          <w:p w14:paraId="628E9733" w14:textId="77777777" w:rsidR="00725E50" w:rsidRPr="00075DC8" w:rsidRDefault="00725E50" w:rsidP="006801F0">
            <w:pPr>
              <w:pStyle w:val="Tablehead"/>
              <w:keepLines/>
              <w:rPr>
                <w:sz w:val="18"/>
                <w:szCs w:val="18"/>
                <w:lang w:val="fr-FR"/>
              </w:rPr>
            </w:pPr>
            <w:r w:rsidRPr="00075DC8">
              <w:rPr>
                <w:sz w:val="18"/>
                <w:szCs w:val="18"/>
                <w:lang w:val="fr-FR"/>
              </w:rPr>
              <w:t>14,4-15,35</w:t>
            </w:r>
          </w:p>
        </w:tc>
        <w:tc>
          <w:tcPr>
            <w:tcW w:w="3034" w:type="dxa"/>
            <w:gridSpan w:val="2"/>
            <w:vAlign w:val="center"/>
          </w:tcPr>
          <w:p w14:paraId="134B66B5" w14:textId="77777777" w:rsidR="00725E50" w:rsidRPr="00075DC8" w:rsidRDefault="00725E50" w:rsidP="006801F0">
            <w:pPr>
              <w:pStyle w:val="Tablehead"/>
              <w:keepLines/>
              <w:rPr>
                <w:sz w:val="18"/>
                <w:szCs w:val="18"/>
                <w:lang w:val="fr-FR"/>
              </w:rPr>
            </w:pPr>
            <w:r w:rsidRPr="00075DC8">
              <w:rPr>
                <w:sz w:val="18"/>
                <w:szCs w:val="18"/>
                <w:lang w:val="fr-FR"/>
              </w:rPr>
              <w:t>17,7-19,7</w:t>
            </w:r>
          </w:p>
        </w:tc>
        <w:tc>
          <w:tcPr>
            <w:tcW w:w="2272" w:type="dxa"/>
            <w:gridSpan w:val="2"/>
            <w:vAlign w:val="center"/>
          </w:tcPr>
          <w:p w14:paraId="4EAFE5CD" w14:textId="77777777" w:rsidR="00725E50" w:rsidRPr="00075DC8" w:rsidRDefault="00725E50" w:rsidP="006801F0">
            <w:pPr>
              <w:pStyle w:val="Tablehead"/>
              <w:keepLines/>
              <w:rPr>
                <w:sz w:val="18"/>
                <w:szCs w:val="18"/>
                <w:lang w:val="fr-FR"/>
              </w:rPr>
            </w:pPr>
            <w:r w:rsidRPr="00075DC8">
              <w:rPr>
                <w:sz w:val="18"/>
                <w:szCs w:val="18"/>
                <w:lang w:val="fr-FR"/>
              </w:rPr>
              <w:t>21,2-23,6</w:t>
            </w:r>
          </w:p>
        </w:tc>
        <w:tc>
          <w:tcPr>
            <w:tcW w:w="2232" w:type="dxa"/>
            <w:gridSpan w:val="2"/>
            <w:vAlign w:val="center"/>
          </w:tcPr>
          <w:p w14:paraId="4D0FBE37" w14:textId="77777777" w:rsidR="00725E50" w:rsidRPr="00075DC8" w:rsidRDefault="00725E50" w:rsidP="006801F0">
            <w:pPr>
              <w:pStyle w:val="Tablehead"/>
              <w:keepLines/>
              <w:rPr>
                <w:sz w:val="18"/>
                <w:szCs w:val="18"/>
                <w:lang w:val="fr-FR"/>
              </w:rPr>
            </w:pPr>
            <w:r w:rsidRPr="00075DC8">
              <w:rPr>
                <w:sz w:val="18"/>
                <w:szCs w:val="18"/>
                <w:lang w:val="fr-FR"/>
              </w:rPr>
              <w:t>24,25-29,50</w:t>
            </w:r>
          </w:p>
        </w:tc>
        <w:tc>
          <w:tcPr>
            <w:tcW w:w="1950" w:type="dxa"/>
            <w:gridSpan w:val="3"/>
            <w:vAlign w:val="center"/>
          </w:tcPr>
          <w:p w14:paraId="70012E87" w14:textId="77777777" w:rsidR="00725E50" w:rsidRPr="00075DC8" w:rsidRDefault="00725E50" w:rsidP="006801F0">
            <w:pPr>
              <w:pStyle w:val="Tablehead"/>
              <w:keepLines/>
              <w:rPr>
                <w:sz w:val="18"/>
                <w:szCs w:val="18"/>
                <w:lang w:val="fr-FR"/>
              </w:rPr>
            </w:pPr>
            <w:r w:rsidRPr="00075DC8">
              <w:rPr>
                <w:sz w:val="18"/>
                <w:szCs w:val="18"/>
                <w:lang w:val="fr-FR"/>
              </w:rPr>
              <w:t>31,8-33,4</w:t>
            </w:r>
          </w:p>
        </w:tc>
      </w:tr>
      <w:tr w:rsidR="00725E50" w:rsidRPr="00075DC8" w14:paraId="0CD7F398" w14:textId="77777777" w:rsidTr="006801F0">
        <w:trPr>
          <w:jc w:val="center"/>
        </w:trPr>
        <w:tc>
          <w:tcPr>
            <w:tcW w:w="2920" w:type="dxa"/>
            <w:tcMar>
              <w:left w:w="57" w:type="dxa"/>
              <w:right w:w="57" w:type="dxa"/>
            </w:tcMar>
          </w:tcPr>
          <w:p w14:paraId="02BD3E74" w14:textId="77777777" w:rsidR="00725E50" w:rsidRPr="00075DC8" w:rsidRDefault="00725E50" w:rsidP="006801F0">
            <w:pPr>
              <w:pStyle w:val="Tabletext"/>
              <w:keepNext/>
              <w:keepLines/>
              <w:jc w:val="left"/>
              <w:rPr>
                <w:sz w:val="18"/>
                <w:szCs w:val="18"/>
                <w:lang w:val="fr-FR"/>
              </w:rPr>
            </w:pPr>
            <w:r w:rsidRPr="00075DC8">
              <w:rPr>
                <w:sz w:val="18"/>
                <w:szCs w:val="18"/>
                <w:lang w:val="fr-FR"/>
              </w:rPr>
              <w:t>Recommandation UIT-R de référence</w:t>
            </w:r>
          </w:p>
        </w:tc>
        <w:tc>
          <w:tcPr>
            <w:tcW w:w="2057" w:type="dxa"/>
            <w:gridSpan w:val="2"/>
          </w:tcPr>
          <w:p w14:paraId="31119DDE" w14:textId="77777777" w:rsidR="00725E50" w:rsidRPr="00075DC8" w:rsidRDefault="00725E50" w:rsidP="006801F0">
            <w:pPr>
              <w:pStyle w:val="Tabletext"/>
              <w:keepNext/>
              <w:keepLines/>
              <w:jc w:val="center"/>
              <w:rPr>
                <w:sz w:val="18"/>
                <w:szCs w:val="18"/>
                <w:lang w:val="fr-FR"/>
              </w:rPr>
            </w:pPr>
            <w:r w:rsidRPr="00075DC8">
              <w:rPr>
                <w:sz w:val="18"/>
                <w:szCs w:val="18"/>
                <w:lang w:val="fr-FR"/>
              </w:rPr>
              <w:t>F.636</w:t>
            </w:r>
          </w:p>
        </w:tc>
        <w:tc>
          <w:tcPr>
            <w:tcW w:w="3034" w:type="dxa"/>
            <w:gridSpan w:val="2"/>
          </w:tcPr>
          <w:p w14:paraId="0BE20A32" w14:textId="77777777" w:rsidR="00725E50" w:rsidRPr="00075DC8" w:rsidRDefault="00725E50" w:rsidP="006801F0">
            <w:pPr>
              <w:pStyle w:val="Tabletext"/>
              <w:keepNext/>
              <w:keepLines/>
              <w:jc w:val="center"/>
              <w:rPr>
                <w:sz w:val="18"/>
                <w:szCs w:val="18"/>
                <w:lang w:val="fr-FR"/>
              </w:rPr>
            </w:pPr>
            <w:r w:rsidRPr="00075DC8">
              <w:rPr>
                <w:sz w:val="18"/>
                <w:szCs w:val="18"/>
                <w:lang w:val="fr-FR"/>
              </w:rPr>
              <w:t>F.595</w:t>
            </w:r>
          </w:p>
        </w:tc>
        <w:tc>
          <w:tcPr>
            <w:tcW w:w="2272" w:type="dxa"/>
            <w:gridSpan w:val="2"/>
          </w:tcPr>
          <w:p w14:paraId="79ADE1A6" w14:textId="77777777" w:rsidR="00725E50" w:rsidRPr="00075DC8" w:rsidRDefault="00725E50" w:rsidP="006801F0">
            <w:pPr>
              <w:pStyle w:val="Tabletext"/>
              <w:keepNext/>
              <w:keepLines/>
              <w:jc w:val="center"/>
              <w:rPr>
                <w:sz w:val="18"/>
                <w:szCs w:val="18"/>
                <w:lang w:val="fr-FR"/>
              </w:rPr>
            </w:pPr>
            <w:r w:rsidRPr="00075DC8">
              <w:rPr>
                <w:sz w:val="18"/>
                <w:szCs w:val="18"/>
                <w:lang w:val="fr-FR"/>
              </w:rPr>
              <w:t>F.637</w:t>
            </w:r>
          </w:p>
        </w:tc>
        <w:tc>
          <w:tcPr>
            <w:tcW w:w="2232" w:type="dxa"/>
            <w:gridSpan w:val="2"/>
          </w:tcPr>
          <w:p w14:paraId="1EB69412" w14:textId="77777777" w:rsidR="00725E50" w:rsidRPr="00075DC8" w:rsidRDefault="00725E50" w:rsidP="006801F0">
            <w:pPr>
              <w:pStyle w:val="Tabletext"/>
              <w:keepNext/>
              <w:keepLines/>
              <w:jc w:val="center"/>
              <w:rPr>
                <w:sz w:val="18"/>
                <w:szCs w:val="18"/>
                <w:lang w:val="fr-FR"/>
              </w:rPr>
            </w:pPr>
            <w:r w:rsidRPr="00075DC8">
              <w:rPr>
                <w:sz w:val="18"/>
                <w:szCs w:val="18"/>
                <w:lang w:val="fr-FR"/>
              </w:rPr>
              <w:t>F.748</w:t>
            </w:r>
          </w:p>
        </w:tc>
        <w:tc>
          <w:tcPr>
            <w:tcW w:w="1950" w:type="dxa"/>
            <w:gridSpan w:val="3"/>
          </w:tcPr>
          <w:p w14:paraId="5D5B2644" w14:textId="77777777" w:rsidR="00725E50" w:rsidRPr="00075DC8" w:rsidRDefault="00725E50" w:rsidP="006801F0">
            <w:pPr>
              <w:pStyle w:val="Tabletext"/>
              <w:keepNext/>
              <w:keepLines/>
              <w:jc w:val="center"/>
              <w:rPr>
                <w:sz w:val="18"/>
                <w:szCs w:val="18"/>
                <w:lang w:val="fr-FR"/>
              </w:rPr>
            </w:pPr>
            <w:r w:rsidRPr="00075DC8">
              <w:rPr>
                <w:sz w:val="18"/>
                <w:szCs w:val="18"/>
                <w:lang w:val="fr-FR"/>
              </w:rPr>
              <w:t>F.1520</w:t>
            </w:r>
          </w:p>
        </w:tc>
      </w:tr>
      <w:tr w:rsidR="00725E50" w:rsidRPr="00075DC8" w14:paraId="6A285A74" w14:textId="77777777" w:rsidTr="006801F0">
        <w:trPr>
          <w:gridAfter w:val="1"/>
          <w:wAfter w:w="6" w:type="dxa"/>
          <w:jc w:val="center"/>
        </w:trPr>
        <w:tc>
          <w:tcPr>
            <w:tcW w:w="2920" w:type="dxa"/>
            <w:tcMar>
              <w:left w:w="57" w:type="dxa"/>
              <w:right w:w="57" w:type="dxa"/>
            </w:tcMar>
          </w:tcPr>
          <w:p w14:paraId="53A8CF7B" w14:textId="77777777" w:rsidR="00725E50" w:rsidRPr="00075DC8" w:rsidRDefault="00725E50" w:rsidP="006801F0">
            <w:pPr>
              <w:pStyle w:val="Tabletext"/>
              <w:keepNext/>
              <w:keepLines/>
              <w:jc w:val="left"/>
              <w:rPr>
                <w:sz w:val="18"/>
                <w:szCs w:val="18"/>
                <w:lang w:val="fr-FR"/>
              </w:rPr>
            </w:pPr>
            <w:r w:rsidRPr="00075DC8">
              <w:rPr>
                <w:sz w:val="18"/>
                <w:szCs w:val="18"/>
                <w:lang w:val="fr-FR"/>
              </w:rPr>
              <w:t>Modulation</w:t>
            </w:r>
          </w:p>
        </w:tc>
        <w:tc>
          <w:tcPr>
            <w:tcW w:w="1029" w:type="dxa"/>
          </w:tcPr>
          <w:p w14:paraId="0E2C838B" w14:textId="77777777" w:rsidR="00725E50" w:rsidRPr="00075DC8" w:rsidRDefault="00725E50" w:rsidP="006801F0">
            <w:pPr>
              <w:pStyle w:val="Tabletext"/>
              <w:keepNext/>
              <w:keepLines/>
              <w:jc w:val="center"/>
              <w:rPr>
                <w:sz w:val="18"/>
                <w:szCs w:val="18"/>
                <w:lang w:val="fr-FR"/>
              </w:rPr>
            </w:pPr>
            <w:r w:rsidRPr="00075DC8">
              <w:rPr>
                <w:sz w:val="18"/>
                <w:szCs w:val="18"/>
                <w:lang w:val="fr-FR"/>
              </w:rPr>
              <w:t>MDPQ</w:t>
            </w:r>
          </w:p>
        </w:tc>
        <w:tc>
          <w:tcPr>
            <w:tcW w:w="1028" w:type="dxa"/>
          </w:tcPr>
          <w:p w14:paraId="5CBF2783" w14:textId="77777777" w:rsidR="00725E50" w:rsidRPr="00075DC8" w:rsidRDefault="00725E50" w:rsidP="006801F0">
            <w:pPr>
              <w:pStyle w:val="Tabletext"/>
              <w:keepNext/>
              <w:keepLines/>
              <w:jc w:val="center"/>
              <w:rPr>
                <w:sz w:val="18"/>
                <w:szCs w:val="18"/>
                <w:lang w:val="fr-FR"/>
              </w:rPr>
            </w:pPr>
            <w:r w:rsidRPr="00075DC8">
              <w:rPr>
                <w:sz w:val="18"/>
                <w:szCs w:val="18"/>
                <w:lang w:val="fr-FR"/>
              </w:rPr>
              <w:t>MAQ-128</w:t>
            </w:r>
          </w:p>
        </w:tc>
        <w:tc>
          <w:tcPr>
            <w:tcW w:w="1517" w:type="dxa"/>
          </w:tcPr>
          <w:p w14:paraId="2C5BB963" w14:textId="77777777" w:rsidR="00725E50" w:rsidRPr="00075DC8" w:rsidRDefault="00725E50" w:rsidP="006801F0">
            <w:pPr>
              <w:pStyle w:val="Tabletext"/>
              <w:keepNext/>
              <w:keepLines/>
              <w:jc w:val="center"/>
              <w:rPr>
                <w:sz w:val="18"/>
                <w:szCs w:val="18"/>
                <w:lang w:val="fr-FR"/>
              </w:rPr>
            </w:pPr>
            <w:r w:rsidRPr="00075DC8">
              <w:rPr>
                <w:sz w:val="18"/>
                <w:szCs w:val="18"/>
                <w:lang w:val="fr-FR"/>
              </w:rPr>
              <w:t>MDPQ</w:t>
            </w:r>
          </w:p>
        </w:tc>
        <w:tc>
          <w:tcPr>
            <w:tcW w:w="1517" w:type="dxa"/>
          </w:tcPr>
          <w:p w14:paraId="55E3DAEA" w14:textId="77777777" w:rsidR="00725E50" w:rsidRPr="00075DC8" w:rsidRDefault="00725E50" w:rsidP="006801F0">
            <w:pPr>
              <w:pStyle w:val="Tabletext"/>
              <w:keepNext/>
              <w:keepLines/>
              <w:jc w:val="center"/>
              <w:rPr>
                <w:sz w:val="18"/>
                <w:szCs w:val="18"/>
                <w:lang w:val="fr-FR"/>
              </w:rPr>
            </w:pPr>
            <w:r w:rsidRPr="00075DC8">
              <w:rPr>
                <w:sz w:val="18"/>
                <w:szCs w:val="18"/>
                <w:lang w:val="fr-FR"/>
              </w:rPr>
              <w:t>MAQ-64</w:t>
            </w:r>
          </w:p>
        </w:tc>
        <w:tc>
          <w:tcPr>
            <w:tcW w:w="1136" w:type="dxa"/>
          </w:tcPr>
          <w:p w14:paraId="21521595" w14:textId="77777777" w:rsidR="00725E50" w:rsidRPr="00075DC8" w:rsidRDefault="00725E50" w:rsidP="006801F0">
            <w:pPr>
              <w:pStyle w:val="Tabletext"/>
              <w:keepNext/>
              <w:keepLines/>
              <w:jc w:val="center"/>
              <w:rPr>
                <w:sz w:val="18"/>
                <w:szCs w:val="18"/>
                <w:lang w:val="fr-FR"/>
              </w:rPr>
            </w:pPr>
            <w:r w:rsidRPr="00075DC8">
              <w:rPr>
                <w:sz w:val="18"/>
                <w:szCs w:val="18"/>
                <w:lang w:val="fr-FR"/>
              </w:rPr>
              <w:t>MDPQ</w:t>
            </w:r>
          </w:p>
        </w:tc>
        <w:tc>
          <w:tcPr>
            <w:tcW w:w="1136" w:type="dxa"/>
          </w:tcPr>
          <w:p w14:paraId="6512AF0C" w14:textId="77777777" w:rsidR="00725E50" w:rsidRPr="00075DC8" w:rsidRDefault="00725E50" w:rsidP="006801F0">
            <w:pPr>
              <w:pStyle w:val="Tabletext"/>
              <w:keepNext/>
              <w:keepLines/>
              <w:jc w:val="center"/>
              <w:rPr>
                <w:sz w:val="18"/>
                <w:szCs w:val="18"/>
                <w:lang w:val="fr-FR"/>
              </w:rPr>
            </w:pPr>
            <w:r w:rsidRPr="00075DC8">
              <w:rPr>
                <w:sz w:val="18"/>
                <w:szCs w:val="18"/>
                <w:lang w:val="fr-FR"/>
              </w:rPr>
              <w:t>MAQ-128</w:t>
            </w:r>
          </w:p>
        </w:tc>
        <w:tc>
          <w:tcPr>
            <w:tcW w:w="1116" w:type="dxa"/>
          </w:tcPr>
          <w:p w14:paraId="18D248DC" w14:textId="77777777" w:rsidR="00725E50" w:rsidRPr="00075DC8" w:rsidRDefault="00725E50" w:rsidP="006801F0">
            <w:pPr>
              <w:pStyle w:val="Tabletext"/>
              <w:keepNext/>
              <w:keepLines/>
              <w:jc w:val="center"/>
              <w:rPr>
                <w:sz w:val="18"/>
                <w:szCs w:val="18"/>
                <w:lang w:val="fr-FR"/>
              </w:rPr>
            </w:pPr>
            <w:r w:rsidRPr="00075DC8">
              <w:rPr>
                <w:sz w:val="18"/>
                <w:szCs w:val="18"/>
                <w:lang w:val="fr-FR"/>
              </w:rPr>
              <w:t>MAQ-16</w:t>
            </w:r>
            <w:r w:rsidRPr="00075DC8">
              <w:rPr>
                <w:sz w:val="18"/>
                <w:szCs w:val="18"/>
                <w:vertAlign w:val="superscript"/>
                <w:lang w:val="fr-FR"/>
              </w:rPr>
              <w:t>(4)</w:t>
            </w:r>
          </w:p>
        </w:tc>
        <w:tc>
          <w:tcPr>
            <w:tcW w:w="1116" w:type="dxa"/>
          </w:tcPr>
          <w:p w14:paraId="5641F02B" w14:textId="77777777" w:rsidR="00725E50" w:rsidRPr="00075DC8" w:rsidRDefault="00725E50" w:rsidP="006801F0">
            <w:pPr>
              <w:pStyle w:val="Tabletext"/>
              <w:keepNext/>
              <w:keepLines/>
              <w:jc w:val="center"/>
              <w:rPr>
                <w:sz w:val="18"/>
                <w:szCs w:val="18"/>
                <w:lang w:val="fr-FR"/>
              </w:rPr>
            </w:pPr>
            <w:r w:rsidRPr="00075DC8">
              <w:rPr>
                <w:sz w:val="18"/>
                <w:szCs w:val="18"/>
                <w:lang w:val="fr-FR"/>
              </w:rPr>
              <w:t>MAQ-128</w:t>
            </w:r>
            <w:r w:rsidRPr="00075DC8">
              <w:rPr>
                <w:sz w:val="18"/>
                <w:szCs w:val="18"/>
                <w:vertAlign w:val="superscript"/>
                <w:lang w:val="fr-FR"/>
              </w:rPr>
              <w:t>(5)</w:t>
            </w:r>
          </w:p>
        </w:tc>
        <w:tc>
          <w:tcPr>
            <w:tcW w:w="969" w:type="dxa"/>
          </w:tcPr>
          <w:p w14:paraId="3AA79011" w14:textId="77777777" w:rsidR="00725E50" w:rsidRPr="00075DC8" w:rsidRDefault="00725E50" w:rsidP="006801F0">
            <w:pPr>
              <w:pStyle w:val="Tabletext"/>
              <w:keepNext/>
              <w:keepLines/>
              <w:jc w:val="center"/>
              <w:rPr>
                <w:sz w:val="18"/>
                <w:szCs w:val="18"/>
                <w:lang w:val="fr-FR"/>
              </w:rPr>
            </w:pPr>
            <w:r w:rsidRPr="00075DC8">
              <w:rPr>
                <w:sz w:val="18"/>
                <w:szCs w:val="18"/>
                <w:lang w:val="fr-FR"/>
              </w:rPr>
              <w:t>MDPQ</w:t>
            </w:r>
          </w:p>
        </w:tc>
        <w:tc>
          <w:tcPr>
            <w:tcW w:w="975" w:type="dxa"/>
          </w:tcPr>
          <w:p w14:paraId="494EABF9" w14:textId="77777777" w:rsidR="00725E50" w:rsidRPr="00075DC8" w:rsidRDefault="00725E50" w:rsidP="006801F0">
            <w:pPr>
              <w:pStyle w:val="Tabletext"/>
              <w:keepNext/>
              <w:keepLines/>
              <w:jc w:val="center"/>
              <w:rPr>
                <w:sz w:val="18"/>
                <w:szCs w:val="18"/>
                <w:lang w:val="fr-FR"/>
              </w:rPr>
            </w:pPr>
            <w:r w:rsidRPr="00075DC8">
              <w:rPr>
                <w:sz w:val="18"/>
                <w:szCs w:val="18"/>
                <w:lang w:val="fr-FR"/>
              </w:rPr>
              <w:t>MAQ-256</w:t>
            </w:r>
          </w:p>
        </w:tc>
      </w:tr>
      <w:tr w:rsidR="00725E50" w:rsidRPr="00075DC8" w14:paraId="6E7A6BCF" w14:textId="77777777" w:rsidTr="006801F0">
        <w:trPr>
          <w:gridAfter w:val="1"/>
          <w:wAfter w:w="6" w:type="dxa"/>
          <w:jc w:val="center"/>
        </w:trPr>
        <w:tc>
          <w:tcPr>
            <w:tcW w:w="2920" w:type="dxa"/>
            <w:tcMar>
              <w:left w:w="57" w:type="dxa"/>
              <w:right w:w="57" w:type="dxa"/>
            </w:tcMar>
          </w:tcPr>
          <w:p w14:paraId="2922FCAB" w14:textId="77777777" w:rsidR="00725E50" w:rsidRPr="00075DC8" w:rsidRDefault="00725E50" w:rsidP="006801F0">
            <w:pPr>
              <w:pStyle w:val="Tabletext"/>
              <w:keepNext/>
              <w:keepLines/>
              <w:jc w:val="left"/>
              <w:rPr>
                <w:sz w:val="18"/>
                <w:szCs w:val="18"/>
                <w:lang w:val="fr-FR"/>
              </w:rPr>
            </w:pPr>
            <w:r w:rsidRPr="00075DC8">
              <w:rPr>
                <w:sz w:val="18"/>
                <w:szCs w:val="18"/>
                <w:lang w:val="fr-FR"/>
              </w:rPr>
              <w:t>Espacement des canaux et largeur de bande de bruit du récepteur (MHz)</w:t>
            </w:r>
          </w:p>
        </w:tc>
        <w:tc>
          <w:tcPr>
            <w:tcW w:w="1029" w:type="dxa"/>
          </w:tcPr>
          <w:p w14:paraId="3E43EE82" w14:textId="77777777" w:rsidR="00725E50" w:rsidRPr="00075DC8" w:rsidRDefault="00725E50" w:rsidP="006801F0">
            <w:pPr>
              <w:pStyle w:val="Tabletext"/>
              <w:keepNext/>
              <w:keepLines/>
              <w:jc w:val="center"/>
              <w:rPr>
                <w:sz w:val="18"/>
                <w:szCs w:val="18"/>
                <w:lang w:val="fr-FR"/>
              </w:rPr>
            </w:pPr>
            <w:r w:rsidRPr="00075DC8">
              <w:rPr>
                <w:sz w:val="18"/>
                <w:szCs w:val="18"/>
                <w:lang w:val="fr-FR"/>
              </w:rPr>
              <w:t xml:space="preserve">2,5; </w:t>
            </w:r>
            <w:r w:rsidRPr="00075DC8">
              <w:rPr>
                <w:b/>
                <w:bCs/>
                <w:sz w:val="18"/>
                <w:szCs w:val="18"/>
                <w:lang w:val="fr-FR"/>
              </w:rPr>
              <w:t>3,5</w:t>
            </w:r>
            <w:r w:rsidRPr="00075DC8">
              <w:rPr>
                <w:sz w:val="18"/>
                <w:szCs w:val="18"/>
                <w:lang w:val="fr-FR"/>
              </w:rPr>
              <w:t>; 7; 14; 28; 40; 56; 112</w:t>
            </w:r>
          </w:p>
        </w:tc>
        <w:tc>
          <w:tcPr>
            <w:tcW w:w="1028" w:type="dxa"/>
          </w:tcPr>
          <w:p w14:paraId="4F21C884" w14:textId="77777777" w:rsidR="00725E50" w:rsidRPr="00075DC8" w:rsidRDefault="00725E50" w:rsidP="006801F0">
            <w:pPr>
              <w:pStyle w:val="Tabletext"/>
              <w:keepNext/>
              <w:keepLines/>
              <w:jc w:val="center"/>
              <w:rPr>
                <w:sz w:val="18"/>
                <w:szCs w:val="18"/>
                <w:lang w:val="fr-FR"/>
              </w:rPr>
            </w:pPr>
            <w:r w:rsidRPr="00075DC8">
              <w:rPr>
                <w:sz w:val="18"/>
                <w:szCs w:val="18"/>
                <w:lang w:val="fr-FR"/>
              </w:rPr>
              <w:t xml:space="preserve">2,5; 3,5; 7; 14; </w:t>
            </w:r>
            <w:r w:rsidRPr="00075DC8">
              <w:rPr>
                <w:b/>
                <w:bCs/>
                <w:sz w:val="18"/>
                <w:szCs w:val="18"/>
                <w:lang w:val="fr-FR"/>
              </w:rPr>
              <w:t>28</w:t>
            </w:r>
            <w:r w:rsidRPr="00075DC8">
              <w:rPr>
                <w:sz w:val="18"/>
                <w:szCs w:val="18"/>
                <w:lang w:val="fr-FR"/>
              </w:rPr>
              <w:t>; 40; 56; 112</w:t>
            </w:r>
          </w:p>
        </w:tc>
        <w:tc>
          <w:tcPr>
            <w:tcW w:w="1517" w:type="dxa"/>
          </w:tcPr>
          <w:p w14:paraId="5E16613E" w14:textId="77777777" w:rsidR="00725E50" w:rsidRPr="00075DC8" w:rsidRDefault="00725E50" w:rsidP="006801F0">
            <w:pPr>
              <w:pStyle w:val="Tabletext"/>
              <w:keepNext/>
              <w:keepLines/>
              <w:jc w:val="center"/>
              <w:rPr>
                <w:sz w:val="18"/>
                <w:szCs w:val="18"/>
                <w:lang w:val="fr-FR"/>
              </w:rPr>
            </w:pPr>
            <w:r w:rsidRPr="00075DC8">
              <w:rPr>
                <w:sz w:val="18"/>
                <w:szCs w:val="18"/>
                <w:lang w:val="fr-FR"/>
              </w:rPr>
              <w:t xml:space="preserve">1,25; 1,75; 2,5; 3,5; 5; </w:t>
            </w:r>
            <w:r w:rsidRPr="00075DC8">
              <w:rPr>
                <w:b/>
                <w:bCs/>
                <w:sz w:val="18"/>
                <w:szCs w:val="18"/>
                <w:lang w:val="fr-FR"/>
              </w:rPr>
              <w:t>7</w:t>
            </w:r>
            <w:r w:rsidRPr="00075DC8">
              <w:rPr>
                <w:sz w:val="18"/>
                <w:szCs w:val="18"/>
                <w:lang w:val="fr-FR"/>
              </w:rPr>
              <w:t xml:space="preserve">; 7,5; 10; 13,75; 20; </w:t>
            </w:r>
            <w:r w:rsidRPr="00075DC8">
              <w:rPr>
                <w:b/>
                <w:bCs/>
                <w:sz w:val="18"/>
                <w:szCs w:val="18"/>
                <w:lang w:val="fr-FR"/>
              </w:rPr>
              <w:t>27,5</w:t>
            </w:r>
            <w:r w:rsidRPr="00075DC8">
              <w:rPr>
                <w:sz w:val="18"/>
                <w:szCs w:val="18"/>
                <w:lang w:val="fr-FR"/>
              </w:rPr>
              <w:t xml:space="preserve">; 30; </w:t>
            </w:r>
            <w:r w:rsidRPr="00075DC8">
              <w:rPr>
                <w:b/>
                <w:bCs/>
                <w:sz w:val="18"/>
                <w:szCs w:val="18"/>
                <w:lang w:val="fr-FR"/>
              </w:rPr>
              <w:t>40</w:t>
            </w:r>
            <w:r w:rsidRPr="00075DC8">
              <w:rPr>
                <w:sz w:val="18"/>
                <w:szCs w:val="18"/>
                <w:lang w:val="fr-FR"/>
              </w:rPr>
              <w:t xml:space="preserve">; 50; </w:t>
            </w:r>
            <w:r w:rsidRPr="00075DC8">
              <w:rPr>
                <w:b/>
                <w:bCs/>
                <w:sz w:val="18"/>
                <w:szCs w:val="18"/>
                <w:lang w:val="fr-FR"/>
              </w:rPr>
              <w:t>55</w:t>
            </w:r>
            <w:r w:rsidRPr="00075DC8">
              <w:rPr>
                <w:sz w:val="18"/>
                <w:szCs w:val="18"/>
                <w:lang w:val="fr-FR"/>
              </w:rPr>
              <w:t>; 60</w:t>
            </w:r>
            <w:r w:rsidRPr="00075DC8">
              <w:rPr>
                <w:sz w:val="18"/>
                <w:szCs w:val="18"/>
                <w:vertAlign w:val="superscript"/>
                <w:lang w:val="fr-FR"/>
              </w:rPr>
              <w:t>(6)</w:t>
            </w:r>
            <w:r w:rsidRPr="00075DC8">
              <w:rPr>
                <w:sz w:val="18"/>
                <w:szCs w:val="18"/>
                <w:lang w:val="fr-FR"/>
              </w:rPr>
              <w:t xml:space="preserve">; </w:t>
            </w:r>
            <w:r w:rsidRPr="00075DC8">
              <w:rPr>
                <w:b/>
                <w:bCs/>
                <w:sz w:val="18"/>
                <w:szCs w:val="18"/>
                <w:lang w:val="fr-FR"/>
              </w:rPr>
              <w:t>110</w:t>
            </w:r>
            <w:r w:rsidRPr="00075DC8">
              <w:rPr>
                <w:sz w:val="18"/>
                <w:szCs w:val="18"/>
                <w:lang w:val="fr-FR"/>
              </w:rPr>
              <w:t>; 220</w:t>
            </w:r>
          </w:p>
        </w:tc>
        <w:tc>
          <w:tcPr>
            <w:tcW w:w="1517" w:type="dxa"/>
          </w:tcPr>
          <w:p w14:paraId="1B9D79F1" w14:textId="77777777" w:rsidR="00725E50" w:rsidRPr="00075DC8" w:rsidRDefault="00725E50" w:rsidP="006801F0">
            <w:pPr>
              <w:pStyle w:val="Tabletext"/>
              <w:keepNext/>
              <w:keepLines/>
              <w:jc w:val="center"/>
              <w:rPr>
                <w:sz w:val="18"/>
                <w:szCs w:val="18"/>
                <w:lang w:val="fr-FR"/>
              </w:rPr>
            </w:pPr>
            <w:r w:rsidRPr="00075DC8">
              <w:rPr>
                <w:sz w:val="18"/>
                <w:szCs w:val="18"/>
                <w:lang w:val="fr-FR"/>
              </w:rPr>
              <w:t xml:space="preserve">1,25; 1,75; 2,5; 3,5; 5; 7; 7,5; 10; 13,75; 20; 27,5; 30; </w:t>
            </w:r>
            <w:r w:rsidRPr="00075DC8">
              <w:rPr>
                <w:b/>
                <w:bCs/>
                <w:sz w:val="18"/>
                <w:szCs w:val="18"/>
                <w:lang w:val="fr-FR"/>
              </w:rPr>
              <w:t>40</w:t>
            </w:r>
            <w:r w:rsidRPr="00075DC8">
              <w:rPr>
                <w:sz w:val="18"/>
                <w:szCs w:val="18"/>
                <w:lang w:val="fr-FR"/>
              </w:rPr>
              <w:t>; 50; 55; 60</w:t>
            </w:r>
            <w:r w:rsidRPr="00075DC8">
              <w:rPr>
                <w:sz w:val="18"/>
                <w:szCs w:val="18"/>
                <w:vertAlign w:val="superscript"/>
                <w:lang w:val="fr-FR"/>
              </w:rPr>
              <w:t>(6)</w:t>
            </w:r>
            <w:r w:rsidRPr="00075DC8">
              <w:rPr>
                <w:sz w:val="18"/>
                <w:szCs w:val="18"/>
                <w:lang w:val="fr-FR"/>
              </w:rPr>
              <w:t>; 110; 220</w:t>
            </w:r>
          </w:p>
        </w:tc>
        <w:tc>
          <w:tcPr>
            <w:tcW w:w="1136" w:type="dxa"/>
          </w:tcPr>
          <w:p w14:paraId="035BD40B" w14:textId="77777777" w:rsidR="00725E50" w:rsidRPr="00075DC8" w:rsidRDefault="00725E50" w:rsidP="006801F0">
            <w:pPr>
              <w:pStyle w:val="Tabletext"/>
              <w:keepNext/>
              <w:keepLines/>
              <w:jc w:val="center"/>
              <w:rPr>
                <w:sz w:val="18"/>
                <w:szCs w:val="18"/>
                <w:lang w:val="fr-FR"/>
              </w:rPr>
            </w:pPr>
            <w:r w:rsidRPr="00075DC8">
              <w:rPr>
                <w:sz w:val="18"/>
                <w:szCs w:val="18"/>
                <w:lang w:val="fr-FR"/>
              </w:rPr>
              <w:t xml:space="preserve">2,5; 3,5; 7; 14; </w:t>
            </w:r>
            <w:r w:rsidRPr="00075DC8">
              <w:rPr>
                <w:b/>
                <w:bCs/>
                <w:sz w:val="18"/>
                <w:szCs w:val="18"/>
                <w:lang w:val="fr-FR"/>
              </w:rPr>
              <w:t>25</w:t>
            </w:r>
            <w:r w:rsidRPr="00075DC8">
              <w:rPr>
                <w:sz w:val="18"/>
                <w:szCs w:val="18"/>
                <w:vertAlign w:val="superscript"/>
                <w:lang w:val="fr-FR"/>
              </w:rPr>
              <w:t>(3)</w:t>
            </w:r>
            <w:r w:rsidRPr="00075DC8">
              <w:rPr>
                <w:sz w:val="18"/>
                <w:szCs w:val="18"/>
                <w:lang w:val="fr-FR"/>
              </w:rPr>
              <w:t>; 28; 30; 50; 56; 112; 224</w:t>
            </w:r>
          </w:p>
        </w:tc>
        <w:tc>
          <w:tcPr>
            <w:tcW w:w="1136" w:type="dxa"/>
          </w:tcPr>
          <w:p w14:paraId="74E25407" w14:textId="77777777" w:rsidR="00725E50" w:rsidRPr="00075DC8" w:rsidRDefault="00725E50" w:rsidP="006801F0">
            <w:pPr>
              <w:pStyle w:val="Tabletext"/>
              <w:keepNext/>
              <w:keepLines/>
              <w:jc w:val="center"/>
              <w:rPr>
                <w:sz w:val="18"/>
                <w:szCs w:val="18"/>
                <w:lang w:val="fr-FR"/>
              </w:rPr>
            </w:pPr>
            <w:r w:rsidRPr="00075DC8">
              <w:rPr>
                <w:sz w:val="18"/>
                <w:szCs w:val="18"/>
                <w:lang w:val="fr-FR"/>
              </w:rPr>
              <w:t xml:space="preserve">2,5; 3,5; 7; 14; 28; </w:t>
            </w:r>
            <w:r w:rsidRPr="00075DC8">
              <w:rPr>
                <w:b/>
                <w:bCs/>
                <w:sz w:val="18"/>
                <w:szCs w:val="18"/>
                <w:lang w:val="fr-FR"/>
              </w:rPr>
              <w:t>30</w:t>
            </w:r>
            <w:r w:rsidRPr="00075DC8">
              <w:rPr>
                <w:sz w:val="18"/>
                <w:szCs w:val="18"/>
                <w:vertAlign w:val="superscript"/>
                <w:lang w:val="fr-FR"/>
              </w:rPr>
              <w:t>(3)</w:t>
            </w:r>
            <w:r w:rsidRPr="00075DC8">
              <w:rPr>
                <w:sz w:val="18"/>
                <w:szCs w:val="18"/>
                <w:lang w:val="fr-FR"/>
              </w:rPr>
              <w:t>; 50; 56; 112; 224</w:t>
            </w:r>
          </w:p>
        </w:tc>
        <w:tc>
          <w:tcPr>
            <w:tcW w:w="1116" w:type="dxa"/>
          </w:tcPr>
          <w:p w14:paraId="29BE8CED" w14:textId="77777777" w:rsidR="00725E50" w:rsidRPr="00075DC8" w:rsidRDefault="00725E50" w:rsidP="006801F0">
            <w:pPr>
              <w:pStyle w:val="Tabletext"/>
              <w:keepNext/>
              <w:keepLines/>
              <w:jc w:val="center"/>
              <w:rPr>
                <w:sz w:val="18"/>
                <w:szCs w:val="18"/>
                <w:lang w:val="fr-FR"/>
              </w:rPr>
            </w:pPr>
            <w:r w:rsidRPr="00075DC8">
              <w:rPr>
                <w:sz w:val="18"/>
                <w:szCs w:val="18"/>
                <w:lang w:val="fr-FR"/>
              </w:rPr>
              <w:t>2,5; 3,5; 7; 14; 28; 30; 40</w:t>
            </w:r>
            <w:r w:rsidRPr="00075DC8">
              <w:rPr>
                <w:sz w:val="18"/>
                <w:szCs w:val="18"/>
                <w:vertAlign w:val="superscript"/>
                <w:lang w:val="fr-FR"/>
              </w:rPr>
              <w:t>(6)</w:t>
            </w:r>
            <w:r w:rsidRPr="00075DC8">
              <w:rPr>
                <w:sz w:val="18"/>
                <w:szCs w:val="18"/>
                <w:lang w:val="fr-FR"/>
              </w:rPr>
              <w:t xml:space="preserve">; 56; </w:t>
            </w:r>
            <w:r w:rsidRPr="00075DC8">
              <w:rPr>
                <w:b/>
                <w:bCs/>
                <w:sz w:val="18"/>
                <w:szCs w:val="18"/>
                <w:lang w:val="fr-FR"/>
              </w:rPr>
              <w:t>60</w:t>
            </w:r>
            <w:r w:rsidRPr="00075DC8">
              <w:rPr>
                <w:sz w:val="18"/>
                <w:szCs w:val="18"/>
                <w:vertAlign w:val="superscript"/>
                <w:lang w:val="fr-FR"/>
              </w:rPr>
              <w:t>(6)</w:t>
            </w:r>
            <w:r w:rsidRPr="00075DC8">
              <w:rPr>
                <w:sz w:val="18"/>
                <w:szCs w:val="18"/>
                <w:lang w:val="fr-FR"/>
              </w:rPr>
              <w:t>; 112</w:t>
            </w:r>
          </w:p>
        </w:tc>
        <w:tc>
          <w:tcPr>
            <w:tcW w:w="1116" w:type="dxa"/>
          </w:tcPr>
          <w:p w14:paraId="0E3127A8" w14:textId="77777777" w:rsidR="00725E50" w:rsidRPr="00075DC8" w:rsidRDefault="00725E50" w:rsidP="006801F0">
            <w:pPr>
              <w:pStyle w:val="Tabletext"/>
              <w:keepNext/>
              <w:keepLines/>
              <w:jc w:val="center"/>
              <w:rPr>
                <w:sz w:val="18"/>
                <w:szCs w:val="18"/>
                <w:lang w:val="fr-FR"/>
              </w:rPr>
            </w:pPr>
            <w:r w:rsidRPr="00075DC8">
              <w:rPr>
                <w:sz w:val="18"/>
                <w:szCs w:val="18"/>
                <w:lang w:val="fr-FR"/>
              </w:rPr>
              <w:t xml:space="preserve">2,5; 3,5; 7; 14; 28; </w:t>
            </w:r>
            <w:r w:rsidRPr="00075DC8">
              <w:rPr>
                <w:b/>
                <w:bCs/>
                <w:sz w:val="18"/>
                <w:szCs w:val="18"/>
                <w:lang w:val="fr-FR"/>
              </w:rPr>
              <w:t>30</w:t>
            </w:r>
            <w:r w:rsidRPr="00075DC8">
              <w:rPr>
                <w:sz w:val="18"/>
                <w:szCs w:val="18"/>
                <w:lang w:val="fr-FR"/>
              </w:rPr>
              <w:t>; 40</w:t>
            </w:r>
            <w:r w:rsidRPr="00075DC8">
              <w:rPr>
                <w:sz w:val="18"/>
                <w:szCs w:val="18"/>
                <w:vertAlign w:val="superscript"/>
                <w:lang w:val="fr-FR"/>
              </w:rPr>
              <w:t>(4)(6)</w:t>
            </w:r>
            <w:r w:rsidRPr="00075DC8">
              <w:rPr>
                <w:sz w:val="18"/>
                <w:szCs w:val="18"/>
                <w:lang w:val="fr-FR"/>
              </w:rPr>
              <w:t xml:space="preserve">; 56; </w:t>
            </w:r>
            <w:r w:rsidRPr="00075DC8">
              <w:rPr>
                <w:b/>
                <w:bCs/>
                <w:sz w:val="18"/>
                <w:szCs w:val="18"/>
                <w:lang w:val="fr-FR"/>
              </w:rPr>
              <w:t>60</w:t>
            </w:r>
            <w:r w:rsidRPr="00075DC8">
              <w:rPr>
                <w:sz w:val="18"/>
                <w:szCs w:val="18"/>
                <w:vertAlign w:val="superscript"/>
                <w:lang w:val="fr-FR"/>
              </w:rPr>
              <w:t>(4)(6)</w:t>
            </w:r>
            <w:r w:rsidRPr="00075DC8">
              <w:rPr>
                <w:sz w:val="18"/>
                <w:szCs w:val="18"/>
                <w:lang w:val="fr-FR"/>
              </w:rPr>
              <w:t xml:space="preserve">; </w:t>
            </w:r>
            <w:r w:rsidRPr="00075DC8">
              <w:rPr>
                <w:b/>
                <w:bCs/>
                <w:sz w:val="18"/>
                <w:szCs w:val="18"/>
                <w:lang w:val="fr-FR"/>
              </w:rPr>
              <w:t>112</w:t>
            </w:r>
          </w:p>
        </w:tc>
        <w:tc>
          <w:tcPr>
            <w:tcW w:w="969" w:type="dxa"/>
          </w:tcPr>
          <w:p w14:paraId="0ECB1D6B" w14:textId="77777777" w:rsidR="00725E50" w:rsidRPr="00075DC8" w:rsidRDefault="00725E50" w:rsidP="006801F0">
            <w:pPr>
              <w:pStyle w:val="Tabletext"/>
              <w:keepNext/>
              <w:keepLines/>
              <w:jc w:val="center"/>
              <w:rPr>
                <w:sz w:val="18"/>
                <w:szCs w:val="18"/>
                <w:lang w:val="fr-FR"/>
              </w:rPr>
            </w:pPr>
            <w:r w:rsidRPr="00075DC8">
              <w:rPr>
                <w:sz w:val="18"/>
                <w:szCs w:val="18"/>
                <w:lang w:val="fr-FR"/>
              </w:rPr>
              <w:t xml:space="preserve">3,5; </w:t>
            </w:r>
            <w:r w:rsidRPr="00075DC8">
              <w:rPr>
                <w:b/>
                <w:bCs/>
                <w:sz w:val="18"/>
                <w:szCs w:val="18"/>
                <w:lang w:val="fr-FR"/>
              </w:rPr>
              <w:t>7</w:t>
            </w:r>
            <w:r w:rsidRPr="00075DC8">
              <w:rPr>
                <w:sz w:val="18"/>
                <w:szCs w:val="18"/>
                <w:lang w:val="fr-FR"/>
              </w:rPr>
              <w:t>; 14; 28; 56</w:t>
            </w:r>
            <w:r w:rsidRPr="00075DC8">
              <w:rPr>
                <w:sz w:val="18"/>
                <w:szCs w:val="18"/>
                <w:vertAlign w:val="superscript"/>
                <w:lang w:val="fr-FR"/>
              </w:rPr>
              <w:t>(6)</w:t>
            </w:r>
            <w:r w:rsidRPr="00075DC8">
              <w:rPr>
                <w:sz w:val="18"/>
                <w:szCs w:val="18"/>
                <w:lang w:val="fr-FR"/>
              </w:rPr>
              <w:t>; 112</w:t>
            </w:r>
          </w:p>
        </w:tc>
        <w:tc>
          <w:tcPr>
            <w:tcW w:w="975" w:type="dxa"/>
          </w:tcPr>
          <w:p w14:paraId="21344CFE" w14:textId="77777777" w:rsidR="00725E50" w:rsidRPr="00075DC8" w:rsidRDefault="00725E50" w:rsidP="006801F0">
            <w:pPr>
              <w:pStyle w:val="Tabletext"/>
              <w:keepNext/>
              <w:keepLines/>
              <w:jc w:val="center"/>
              <w:rPr>
                <w:sz w:val="18"/>
                <w:szCs w:val="18"/>
                <w:lang w:val="fr-FR"/>
              </w:rPr>
            </w:pPr>
            <w:r w:rsidRPr="00075DC8">
              <w:rPr>
                <w:sz w:val="18"/>
                <w:szCs w:val="18"/>
                <w:lang w:val="fr-FR"/>
              </w:rPr>
              <w:t xml:space="preserve">3,5; 7; 14; </w:t>
            </w:r>
            <w:r w:rsidRPr="00075DC8">
              <w:rPr>
                <w:b/>
                <w:bCs/>
                <w:sz w:val="18"/>
                <w:szCs w:val="18"/>
                <w:lang w:val="fr-FR"/>
              </w:rPr>
              <w:t>28</w:t>
            </w:r>
            <w:r w:rsidRPr="00075DC8">
              <w:rPr>
                <w:sz w:val="18"/>
                <w:szCs w:val="18"/>
                <w:lang w:val="fr-FR"/>
              </w:rPr>
              <w:t>; 56</w:t>
            </w:r>
            <w:r w:rsidRPr="00075DC8">
              <w:rPr>
                <w:sz w:val="18"/>
                <w:szCs w:val="18"/>
                <w:vertAlign w:val="superscript"/>
                <w:lang w:val="fr-FR"/>
              </w:rPr>
              <w:t>(6)</w:t>
            </w:r>
            <w:r w:rsidRPr="00075DC8">
              <w:rPr>
                <w:sz w:val="18"/>
                <w:szCs w:val="18"/>
                <w:lang w:val="fr-FR"/>
              </w:rPr>
              <w:t>; 112</w:t>
            </w:r>
          </w:p>
        </w:tc>
      </w:tr>
      <w:tr w:rsidR="00725E50" w:rsidRPr="00075DC8" w14:paraId="20BD72F4" w14:textId="77777777" w:rsidTr="006801F0">
        <w:trPr>
          <w:gridAfter w:val="1"/>
          <w:wAfter w:w="6" w:type="dxa"/>
          <w:jc w:val="center"/>
        </w:trPr>
        <w:tc>
          <w:tcPr>
            <w:tcW w:w="2920" w:type="dxa"/>
            <w:tcMar>
              <w:left w:w="57" w:type="dxa"/>
              <w:right w:w="57" w:type="dxa"/>
            </w:tcMar>
          </w:tcPr>
          <w:p w14:paraId="6986E599" w14:textId="193F38EB" w:rsidR="00725E50" w:rsidRPr="00075DC8" w:rsidRDefault="00725E50" w:rsidP="006801F0">
            <w:pPr>
              <w:pStyle w:val="Tabletext"/>
              <w:jc w:val="left"/>
              <w:rPr>
                <w:sz w:val="18"/>
                <w:szCs w:val="18"/>
                <w:lang w:val="fr-FR"/>
              </w:rPr>
            </w:pPr>
            <w:r w:rsidRPr="00075DC8">
              <w:rPr>
                <w:sz w:val="18"/>
                <w:szCs w:val="18"/>
                <w:lang w:val="fr-FR"/>
              </w:rPr>
              <w:t>Plage des puissances de sortie au niveau de l</w:t>
            </w:r>
            <w:r w:rsidR="001F6A0D" w:rsidRPr="00075DC8">
              <w:rPr>
                <w:sz w:val="18"/>
                <w:szCs w:val="18"/>
                <w:lang w:val="fr-FR"/>
              </w:rPr>
              <w:t>'</w:t>
            </w:r>
            <w:r w:rsidRPr="00075DC8">
              <w:rPr>
                <w:sz w:val="18"/>
                <w:szCs w:val="18"/>
                <w:lang w:val="fr-FR"/>
              </w:rPr>
              <w:t>émetteur (dBW)</w:t>
            </w:r>
          </w:p>
        </w:tc>
        <w:tc>
          <w:tcPr>
            <w:tcW w:w="1029" w:type="dxa"/>
          </w:tcPr>
          <w:p w14:paraId="77231318" w14:textId="77777777" w:rsidR="00725E50" w:rsidRPr="00075DC8" w:rsidRDefault="00725E50" w:rsidP="006801F0">
            <w:pPr>
              <w:pStyle w:val="Tabletext"/>
              <w:jc w:val="center"/>
              <w:rPr>
                <w:sz w:val="18"/>
                <w:szCs w:val="18"/>
                <w:lang w:val="fr-FR"/>
              </w:rPr>
            </w:pPr>
            <w:r w:rsidRPr="00075DC8">
              <w:rPr>
                <w:sz w:val="18"/>
                <w:szCs w:val="18"/>
                <w:lang w:val="fr-FR"/>
              </w:rPr>
              <w:t>−21,0…</w:t>
            </w:r>
            <w:r w:rsidRPr="00075DC8">
              <w:rPr>
                <w:sz w:val="18"/>
                <w:szCs w:val="18"/>
                <w:lang w:val="fr-FR"/>
              </w:rPr>
              <w:br/>
              <w:t>−3,0</w:t>
            </w:r>
          </w:p>
        </w:tc>
        <w:tc>
          <w:tcPr>
            <w:tcW w:w="1028" w:type="dxa"/>
          </w:tcPr>
          <w:p w14:paraId="17A06ADE" w14:textId="77777777" w:rsidR="00725E50" w:rsidRPr="00075DC8" w:rsidRDefault="00725E50" w:rsidP="006801F0">
            <w:pPr>
              <w:pStyle w:val="Tabletext"/>
              <w:jc w:val="center"/>
              <w:rPr>
                <w:sz w:val="18"/>
                <w:szCs w:val="18"/>
                <w:lang w:val="fr-FR"/>
              </w:rPr>
            </w:pPr>
            <w:r w:rsidRPr="00075DC8">
              <w:rPr>
                <w:sz w:val="18"/>
                <w:szCs w:val="18"/>
                <w:lang w:val="fr-FR"/>
              </w:rPr>
              <w:t>−18,6…</w:t>
            </w:r>
            <w:r w:rsidRPr="00075DC8">
              <w:rPr>
                <w:sz w:val="18"/>
                <w:szCs w:val="18"/>
                <w:lang w:val="fr-FR"/>
              </w:rPr>
              <w:br/>
              <w:t>−4</w:t>
            </w:r>
          </w:p>
        </w:tc>
        <w:tc>
          <w:tcPr>
            <w:tcW w:w="1517" w:type="dxa"/>
          </w:tcPr>
          <w:p w14:paraId="003096E7" w14:textId="77777777" w:rsidR="00725E50" w:rsidRPr="00075DC8" w:rsidRDefault="00725E50" w:rsidP="006801F0">
            <w:pPr>
              <w:pStyle w:val="Tabletext"/>
              <w:jc w:val="center"/>
              <w:rPr>
                <w:sz w:val="18"/>
                <w:szCs w:val="18"/>
                <w:lang w:val="fr-FR"/>
              </w:rPr>
            </w:pPr>
            <w:r w:rsidRPr="00075DC8">
              <w:rPr>
                <w:sz w:val="18"/>
                <w:szCs w:val="18"/>
                <w:lang w:val="fr-FR"/>
              </w:rPr>
              <w:t>−37…−3,0</w:t>
            </w:r>
          </w:p>
        </w:tc>
        <w:tc>
          <w:tcPr>
            <w:tcW w:w="1517" w:type="dxa"/>
          </w:tcPr>
          <w:p w14:paraId="6319BDA2" w14:textId="77777777" w:rsidR="00725E50" w:rsidRPr="00075DC8" w:rsidRDefault="00725E50" w:rsidP="006801F0">
            <w:pPr>
              <w:pStyle w:val="Tabletext"/>
              <w:jc w:val="center"/>
              <w:rPr>
                <w:sz w:val="18"/>
                <w:szCs w:val="18"/>
                <w:lang w:val="fr-FR"/>
              </w:rPr>
            </w:pPr>
            <w:r w:rsidRPr="00075DC8">
              <w:rPr>
                <w:sz w:val="18"/>
                <w:szCs w:val="18"/>
                <w:lang w:val="fr-FR"/>
              </w:rPr>
              <w:t>−10...0</w:t>
            </w:r>
          </w:p>
        </w:tc>
        <w:tc>
          <w:tcPr>
            <w:tcW w:w="1136" w:type="dxa"/>
          </w:tcPr>
          <w:p w14:paraId="6D8CE603" w14:textId="77777777" w:rsidR="00725E50" w:rsidRPr="00075DC8" w:rsidRDefault="00725E50" w:rsidP="006801F0">
            <w:pPr>
              <w:pStyle w:val="Tabletext"/>
              <w:jc w:val="center"/>
              <w:rPr>
                <w:sz w:val="18"/>
                <w:szCs w:val="18"/>
                <w:lang w:val="fr-FR"/>
              </w:rPr>
            </w:pPr>
            <w:r w:rsidRPr="00075DC8">
              <w:rPr>
                <w:sz w:val="18"/>
                <w:szCs w:val="18"/>
                <w:lang w:val="fr-FR"/>
              </w:rPr>
              <w:t>−28,0…</w:t>
            </w:r>
            <w:r w:rsidRPr="00075DC8">
              <w:rPr>
                <w:sz w:val="18"/>
                <w:szCs w:val="18"/>
                <w:lang w:val="fr-FR"/>
              </w:rPr>
              <w:br/>
              <w:t>−3,0</w:t>
            </w:r>
          </w:p>
        </w:tc>
        <w:tc>
          <w:tcPr>
            <w:tcW w:w="1136" w:type="dxa"/>
          </w:tcPr>
          <w:p w14:paraId="5160FA79" w14:textId="77777777" w:rsidR="00725E50" w:rsidRPr="00075DC8" w:rsidRDefault="00725E50" w:rsidP="006801F0">
            <w:pPr>
              <w:pStyle w:val="Tabletext"/>
              <w:jc w:val="center"/>
              <w:rPr>
                <w:sz w:val="18"/>
                <w:szCs w:val="18"/>
                <w:lang w:val="fr-FR"/>
              </w:rPr>
            </w:pPr>
            <w:r w:rsidRPr="00075DC8">
              <w:rPr>
                <w:sz w:val="18"/>
                <w:szCs w:val="18"/>
                <w:lang w:val="fr-FR"/>
              </w:rPr>
              <w:t>−27,0…</w:t>
            </w:r>
            <w:r w:rsidRPr="00075DC8">
              <w:rPr>
                <w:sz w:val="18"/>
                <w:szCs w:val="18"/>
                <w:lang w:val="fr-FR"/>
              </w:rPr>
              <w:br/>
              <w:t>−10,0</w:t>
            </w:r>
          </w:p>
        </w:tc>
        <w:tc>
          <w:tcPr>
            <w:tcW w:w="1116" w:type="dxa"/>
          </w:tcPr>
          <w:p w14:paraId="1075D7B1" w14:textId="77777777" w:rsidR="00725E50" w:rsidRPr="00075DC8" w:rsidRDefault="00725E50" w:rsidP="006801F0">
            <w:pPr>
              <w:pStyle w:val="Tabletext"/>
              <w:jc w:val="center"/>
              <w:rPr>
                <w:sz w:val="18"/>
                <w:szCs w:val="18"/>
                <w:lang w:val="fr-FR"/>
              </w:rPr>
            </w:pPr>
            <w:r w:rsidRPr="00075DC8">
              <w:rPr>
                <w:sz w:val="18"/>
                <w:szCs w:val="18"/>
                <w:lang w:val="fr-FR"/>
              </w:rPr>
              <w:t>−39…−19</w:t>
            </w:r>
          </w:p>
        </w:tc>
        <w:tc>
          <w:tcPr>
            <w:tcW w:w="1116" w:type="dxa"/>
          </w:tcPr>
          <w:p w14:paraId="13E04BB7" w14:textId="6630BED6" w:rsidR="00725E50" w:rsidRPr="00075DC8" w:rsidRDefault="00E077D3" w:rsidP="006801F0">
            <w:pPr>
              <w:pStyle w:val="Tabletext"/>
              <w:jc w:val="center"/>
              <w:rPr>
                <w:sz w:val="18"/>
                <w:szCs w:val="18"/>
                <w:lang w:val="fr-FR"/>
              </w:rPr>
            </w:pPr>
            <w:r w:rsidRPr="00075DC8">
              <w:rPr>
                <w:sz w:val="18"/>
                <w:szCs w:val="18"/>
                <w:lang w:val="fr-FR"/>
              </w:rPr>
              <w:t>−</w:t>
            </w:r>
            <w:r w:rsidR="00725E50" w:rsidRPr="00075DC8">
              <w:rPr>
                <w:sz w:val="18"/>
                <w:szCs w:val="18"/>
                <w:lang w:val="fr-FR"/>
              </w:rPr>
              <w:t>10...0</w:t>
            </w:r>
          </w:p>
        </w:tc>
        <w:tc>
          <w:tcPr>
            <w:tcW w:w="969" w:type="dxa"/>
          </w:tcPr>
          <w:p w14:paraId="1EC5579E" w14:textId="77777777" w:rsidR="00725E50" w:rsidRPr="00075DC8" w:rsidRDefault="00725E50" w:rsidP="006801F0">
            <w:pPr>
              <w:pStyle w:val="Tabletext"/>
              <w:jc w:val="center"/>
              <w:rPr>
                <w:sz w:val="18"/>
                <w:szCs w:val="18"/>
                <w:lang w:val="fr-FR"/>
              </w:rPr>
            </w:pPr>
            <w:r w:rsidRPr="00075DC8">
              <w:rPr>
                <w:sz w:val="18"/>
                <w:szCs w:val="18"/>
                <w:lang w:val="fr-FR"/>
              </w:rPr>
              <w:t>−29…−9</w:t>
            </w:r>
          </w:p>
        </w:tc>
        <w:tc>
          <w:tcPr>
            <w:tcW w:w="975" w:type="dxa"/>
          </w:tcPr>
          <w:p w14:paraId="13BEFB5A" w14:textId="77777777" w:rsidR="00725E50" w:rsidRPr="00075DC8" w:rsidRDefault="00725E50" w:rsidP="006801F0">
            <w:pPr>
              <w:pStyle w:val="Tabletext"/>
              <w:jc w:val="center"/>
              <w:rPr>
                <w:sz w:val="18"/>
                <w:szCs w:val="18"/>
                <w:lang w:val="fr-FR"/>
              </w:rPr>
            </w:pPr>
            <w:r w:rsidRPr="00075DC8">
              <w:rPr>
                <w:sz w:val="18"/>
                <w:szCs w:val="18"/>
                <w:lang w:val="fr-FR"/>
              </w:rPr>
              <w:t>−29…</w:t>
            </w:r>
            <w:r w:rsidRPr="00075DC8">
              <w:rPr>
                <w:sz w:val="18"/>
                <w:szCs w:val="18"/>
                <w:lang w:val="fr-FR"/>
              </w:rPr>
              <w:br/>
              <w:t>−15</w:t>
            </w:r>
          </w:p>
        </w:tc>
      </w:tr>
      <w:tr w:rsidR="00725E50" w:rsidRPr="00075DC8" w14:paraId="3E34FB64" w14:textId="77777777" w:rsidTr="006801F0">
        <w:trPr>
          <w:gridAfter w:val="1"/>
          <w:wAfter w:w="6" w:type="dxa"/>
          <w:jc w:val="center"/>
        </w:trPr>
        <w:tc>
          <w:tcPr>
            <w:tcW w:w="2920" w:type="dxa"/>
            <w:tcMar>
              <w:left w:w="57" w:type="dxa"/>
              <w:right w:w="57" w:type="dxa"/>
            </w:tcMar>
          </w:tcPr>
          <w:p w14:paraId="1EEFCA84" w14:textId="62C76869" w:rsidR="00725E50" w:rsidRPr="00075DC8" w:rsidRDefault="00725E50" w:rsidP="006801F0">
            <w:pPr>
              <w:pStyle w:val="Tabletext"/>
              <w:jc w:val="left"/>
              <w:rPr>
                <w:sz w:val="18"/>
                <w:szCs w:val="18"/>
                <w:lang w:val="fr-FR"/>
              </w:rPr>
            </w:pPr>
            <w:r w:rsidRPr="00075DC8">
              <w:rPr>
                <w:sz w:val="18"/>
                <w:szCs w:val="18"/>
                <w:lang w:val="fr-FR"/>
              </w:rPr>
              <w:t>Plage des densités de puissance de sortie au niveau de l</w:t>
            </w:r>
            <w:r w:rsidR="001F6A0D" w:rsidRPr="00075DC8">
              <w:rPr>
                <w:sz w:val="18"/>
                <w:szCs w:val="18"/>
                <w:lang w:val="fr-FR"/>
              </w:rPr>
              <w:t>'</w:t>
            </w:r>
            <w:r w:rsidRPr="00075DC8">
              <w:rPr>
                <w:sz w:val="18"/>
                <w:szCs w:val="18"/>
                <w:lang w:val="fr-FR"/>
              </w:rPr>
              <w:t>émetteur (dBW/MHz)</w:t>
            </w:r>
            <w:r w:rsidRPr="00075DC8">
              <w:rPr>
                <w:sz w:val="18"/>
                <w:szCs w:val="18"/>
                <w:vertAlign w:val="superscript"/>
                <w:lang w:val="fr-FR"/>
              </w:rPr>
              <w:t>(1)</w:t>
            </w:r>
          </w:p>
        </w:tc>
        <w:tc>
          <w:tcPr>
            <w:tcW w:w="1029" w:type="dxa"/>
          </w:tcPr>
          <w:p w14:paraId="7038F58E" w14:textId="77777777" w:rsidR="00725E50" w:rsidRPr="00075DC8" w:rsidRDefault="00725E50" w:rsidP="006801F0">
            <w:pPr>
              <w:pStyle w:val="Tabletext"/>
              <w:jc w:val="center"/>
              <w:rPr>
                <w:sz w:val="18"/>
                <w:szCs w:val="18"/>
                <w:lang w:val="fr-FR"/>
              </w:rPr>
            </w:pPr>
            <w:r w:rsidRPr="00075DC8">
              <w:rPr>
                <w:sz w:val="18"/>
                <w:szCs w:val="18"/>
                <w:lang w:val="fr-FR"/>
              </w:rPr>
              <w:t>−26,4…</w:t>
            </w:r>
            <w:r w:rsidRPr="00075DC8">
              <w:rPr>
                <w:sz w:val="18"/>
                <w:szCs w:val="18"/>
                <w:lang w:val="fr-FR"/>
              </w:rPr>
              <w:br/>
              <w:t>−8,4</w:t>
            </w:r>
          </w:p>
        </w:tc>
        <w:tc>
          <w:tcPr>
            <w:tcW w:w="1028" w:type="dxa"/>
          </w:tcPr>
          <w:p w14:paraId="54312CFD" w14:textId="77777777" w:rsidR="00725E50" w:rsidRPr="00075DC8" w:rsidRDefault="00725E50" w:rsidP="006801F0">
            <w:pPr>
              <w:pStyle w:val="Tabletext"/>
              <w:jc w:val="center"/>
              <w:rPr>
                <w:sz w:val="18"/>
                <w:szCs w:val="18"/>
                <w:lang w:val="fr-FR"/>
              </w:rPr>
            </w:pPr>
            <w:r w:rsidRPr="00075DC8">
              <w:rPr>
                <w:sz w:val="18"/>
                <w:szCs w:val="18"/>
                <w:lang w:val="fr-FR"/>
              </w:rPr>
              <w:t>−33,1…</w:t>
            </w:r>
            <w:r w:rsidRPr="00075DC8">
              <w:rPr>
                <w:sz w:val="18"/>
                <w:szCs w:val="18"/>
                <w:lang w:val="fr-FR"/>
              </w:rPr>
              <w:br/>
              <w:t>−18,5</w:t>
            </w:r>
          </w:p>
        </w:tc>
        <w:tc>
          <w:tcPr>
            <w:tcW w:w="1517" w:type="dxa"/>
          </w:tcPr>
          <w:p w14:paraId="7D97CF08" w14:textId="77777777" w:rsidR="00725E50" w:rsidRPr="00075DC8" w:rsidRDefault="00725E50" w:rsidP="006801F0">
            <w:pPr>
              <w:pStyle w:val="Tabletext"/>
              <w:jc w:val="center"/>
              <w:rPr>
                <w:sz w:val="18"/>
                <w:szCs w:val="18"/>
                <w:lang w:val="fr-FR"/>
              </w:rPr>
            </w:pPr>
            <w:r w:rsidRPr="00075DC8">
              <w:rPr>
                <w:sz w:val="18"/>
                <w:szCs w:val="18"/>
                <w:lang w:val="fr-FR"/>
              </w:rPr>
              <w:t>−45,4…</w:t>
            </w:r>
            <w:r w:rsidRPr="00075DC8">
              <w:rPr>
                <w:sz w:val="18"/>
                <w:szCs w:val="18"/>
                <w:lang w:val="fr-FR"/>
              </w:rPr>
              <w:br/>
              <w:t>−19,0</w:t>
            </w:r>
          </w:p>
        </w:tc>
        <w:tc>
          <w:tcPr>
            <w:tcW w:w="1517" w:type="dxa"/>
          </w:tcPr>
          <w:p w14:paraId="43EE600A" w14:textId="77777777" w:rsidR="00725E50" w:rsidRPr="00075DC8" w:rsidRDefault="00725E50" w:rsidP="006801F0">
            <w:pPr>
              <w:pStyle w:val="Tabletext"/>
              <w:jc w:val="center"/>
              <w:rPr>
                <w:sz w:val="18"/>
                <w:szCs w:val="18"/>
                <w:lang w:val="fr-FR"/>
              </w:rPr>
            </w:pPr>
            <w:r w:rsidRPr="00075DC8">
              <w:rPr>
                <w:sz w:val="18"/>
                <w:szCs w:val="18"/>
                <w:lang w:val="fr-FR"/>
              </w:rPr>
              <w:t>−26</w:t>
            </w:r>
          </w:p>
        </w:tc>
        <w:tc>
          <w:tcPr>
            <w:tcW w:w="1136" w:type="dxa"/>
          </w:tcPr>
          <w:p w14:paraId="2AE73C78" w14:textId="77777777" w:rsidR="00725E50" w:rsidRPr="00075DC8" w:rsidRDefault="00725E50" w:rsidP="006801F0">
            <w:pPr>
              <w:pStyle w:val="Tabletext"/>
              <w:jc w:val="center"/>
              <w:rPr>
                <w:sz w:val="18"/>
                <w:szCs w:val="18"/>
                <w:lang w:val="fr-FR"/>
              </w:rPr>
            </w:pPr>
            <w:r w:rsidRPr="00075DC8">
              <w:rPr>
                <w:sz w:val="18"/>
                <w:szCs w:val="18"/>
                <w:lang w:val="fr-FR"/>
              </w:rPr>
              <w:t>−42,0…</w:t>
            </w:r>
            <w:r w:rsidRPr="00075DC8">
              <w:rPr>
                <w:sz w:val="18"/>
                <w:szCs w:val="18"/>
                <w:lang w:val="fr-FR"/>
              </w:rPr>
              <w:br/>
              <w:t>−17,0</w:t>
            </w:r>
          </w:p>
        </w:tc>
        <w:tc>
          <w:tcPr>
            <w:tcW w:w="1136" w:type="dxa"/>
          </w:tcPr>
          <w:p w14:paraId="0407A376" w14:textId="77777777" w:rsidR="00725E50" w:rsidRPr="00075DC8" w:rsidRDefault="00725E50" w:rsidP="006801F0">
            <w:pPr>
              <w:pStyle w:val="Tabletext"/>
              <w:jc w:val="center"/>
              <w:rPr>
                <w:sz w:val="18"/>
                <w:szCs w:val="18"/>
                <w:lang w:val="fr-FR"/>
              </w:rPr>
            </w:pPr>
            <w:r w:rsidRPr="00075DC8">
              <w:rPr>
                <w:sz w:val="18"/>
                <w:szCs w:val="18"/>
                <w:lang w:val="fr-FR"/>
              </w:rPr>
              <w:t>−41,8…</w:t>
            </w:r>
            <w:r w:rsidRPr="00075DC8">
              <w:rPr>
                <w:sz w:val="18"/>
                <w:szCs w:val="18"/>
                <w:lang w:val="fr-FR"/>
              </w:rPr>
              <w:br/>
              <w:t>−24,8</w:t>
            </w:r>
          </w:p>
        </w:tc>
        <w:tc>
          <w:tcPr>
            <w:tcW w:w="1116" w:type="dxa"/>
          </w:tcPr>
          <w:p w14:paraId="34168D81" w14:textId="77777777" w:rsidR="00725E50" w:rsidRPr="00075DC8" w:rsidRDefault="00725E50" w:rsidP="006801F0">
            <w:pPr>
              <w:pStyle w:val="Tabletext"/>
              <w:jc w:val="center"/>
              <w:rPr>
                <w:sz w:val="18"/>
                <w:szCs w:val="18"/>
                <w:lang w:val="fr-FR"/>
              </w:rPr>
            </w:pPr>
            <w:r w:rsidRPr="00075DC8">
              <w:rPr>
                <w:sz w:val="18"/>
                <w:szCs w:val="18"/>
                <w:lang w:val="fr-FR"/>
              </w:rPr>
              <w:t>−53,8…</w:t>
            </w:r>
            <w:r w:rsidRPr="00075DC8">
              <w:rPr>
                <w:sz w:val="18"/>
                <w:szCs w:val="18"/>
                <w:lang w:val="fr-FR"/>
              </w:rPr>
              <w:br/>
              <w:t>−33,8</w:t>
            </w:r>
            <w:r w:rsidRPr="00075DC8">
              <w:rPr>
                <w:sz w:val="18"/>
                <w:szCs w:val="18"/>
                <w:vertAlign w:val="superscript"/>
                <w:lang w:val="fr-FR"/>
              </w:rPr>
              <w:t>(7)</w:t>
            </w:r>
          </w:p>
        </w:tc>
        <w:tc>
          <w:tcPr>
            <w:tcW w:w="1116" w:type="dxa"/>
          </w:tcPr>
          <w:p w14:paraId="603F6B13" w14:textId="77777777" w:rsidR="00725E50" w:rsidRPr="00075DC8" w:rsidRDefault="00725E50" w:rsidP="006801F0">
            <w:pPr>
              <w:pStyle w:val="Tabletext"/>
              <w:jc w:val="center"/>
              <w:rPr>
                <w:sz w:val="18"/>
                <w:szCs w:val="18"/>
                <w:lang w:val="fr-FR"/>
              </w:rPr>
            </w:pPr>
            <w:r w:rsidRPr="00075DC8">
              <w:rPr>
                <w:sz w:val="18"/>
                <w:szCs w:val="18"/>
                <w:lang w:val="fr-FR"/>
              </w:rPr>
              <w:t>−24,8…</w:t>
            </w:r>
            <w:r w:rsidRPr="00075DC8">
              <w:rPr>
                <w:sz w:val="18"/>
                <w:szCs w:val="18"/>
                <w:lang w:val="fr-FR"/>
              </w:rPr>
              <w:br/>
              <w:t>−14,8</w:t>
            </w:r>
          </w:p>
        </w:tc>
        <w:tc>
          <w:tcPr>
            <w:tcW w:w="969" w:type="dxa"/>
          </w:tcPr>
          <w:p w14:paraId="7BFB903D" w14:textId="77777777" w:rsidR="00725E50" w:rsidRPr="00075DC8" w:rsidRDefault="00725E50" w:rsidP="006801F0">
            <w:pPr>
              <w:pStyle w:val="Tabletext"/>
              <w:jc w:val="center"/>
              <w:rPr>
                <w:sz w:val="18"/>
                <w:szCs w:val="18"/>
                <w:lang w:val="fr-FR"/>
              </w:rPr>
            </w:pPr>
            <w:r w:rsidRPr="00075DC8">
              <w:rPr>
                <w:sz w:val="18"/>
                <w:szCs w:val="18"/>
                <w:lang w:val="fr-FR"/>
              </w:rPr>
              <w:t>−37,5…</w:t>
            </w:r>
            <w:r w:rsidRPr="00075DC8">
              <w:rPr>
                <w:sz w:val="18"/>
                <w:szCs w:val="18"/>
                <w:lang w:val="fr-FR"/>
              </w:rPr>
              <w:br/>
              <w:t>−17,5</w:t>
            </w:r>
          </w:p>
        </w:tc>
        <w:tc>
          <w:tcPr>
            <w:tcW w:w="975" w:type="dxa"/>
          </w:tcPr>
          <w:p w14:paraId="7CD97A47" w14:textId="77777777" w:rsidR="00725E50" w:rsidRPr="00075DC8" w:rsidRDefault="00725E50" w:rsidP="006801F0">
            <w:pPr>
              <w:pStyle w:val="Tabletext"/>
              <w:jc w:val="center"/>
              <w:rPr>
                <w:sz w:val="18"/>
                <w:szCs w:val="18"/>
                <w:lang w:val="fr-FR"/>
              </w:rPr>
            </w:pPr>
            <w:r w:rsidRPr="00075DC8">
              <w:rPr>
                <w:sz w:val="18"/>
                <w:szCs w:val="18"/>
                <w:lang w:val="fr-FR"/>
              </w:rPr>
              <w:t>−43,5…</w:t>
            </w:r>
            <w:r w:rsidRPr="00075DC8">
              <w:rPr>
                <w:sz w:val="18"/>
                <w:szCs w:val="18"/>
                <w:lang w:val="fr-FR"/>
              </w:rPr>
              <w:br/>
              <w:t>−29,5</w:t>
            </w:r>
          </w:p>
        </w:tc>
      </w:tr>
      <w:tr w:rsidR="00725E50" w:rsidRPr="00075DC8" w14:paraId="714779FD" w14:textId="77777777" w:rsidTr="006801F0">
        <w:trPr>
          <w:gridAfter w:val="1"/>
          <w:wAfter w:w="6" w:type="dxa"/>
          <w:trHeight w:val="397"/>
          <w:jc w:val="center"/>
        </w:trPr>
        <w:tc>
          <w:tcPr>
            <w:tcW w:w="2920" w:type="dxa"/>
            <w:tcMar>
              <w:left w:w="57" w:type="dxa"/>
              <w:right w:w="57" w:type="dxa"/>
            </w:tcMar>
          </w:tcPr>
          <w:p w14:paraId="119D0013" w14:textId="14FF30B3" w:rsidR="00725E50" w:rsidRPr="00075DC8" w:rsidRDefault="00725E50" w:rsidP="006801F0">
            <w:pPr>
              <w:pStyle w:val="Tabletext"/>
              <w:jc w:val="left"/>
              <w:rPr>
                <w:sz w:val="18"/>
                <w:szCs w:val="18"/>
                <w:lang w:val="fr-FR"/>
              </w:rPr>
            </w:pPr>
            <w:r w:rsidRPr="00075DC8">
              <w:rPr>
                <w:sz w:val="18"/>
                <w:szCs w:val="18"/>
                <w:lang w:val="fr-FR"/>
              </w:rPr>
              <w:t>Plage des pertes dues à la ligne d</w:t>
            </w:r>
            <w:r w:rsidR="001F6A0D" w:rsidRPr="00075DC8">
              <w:rPr>
                <w:sz w:val="18"/>
                <w:szCs w:val="18"/>
                <w:lang w:val="fr-FR"/>
              </w:rPr>
              <w:t>'</w:t>
            </w:r>
            <w:r w:rsidRPr="00075DC8">
              <w:rPr>
                <w:sz w:val="18"/>
                <w:szCs w:val="18"/>
                <w:lang w:val="fr-FR"/>
              </w:rPr>
              <w:t>alimentation ou au multiplexeur (dB)</w:t>
            </w:r>
          </w:p>
        </w:tc>
        <w:tc>
          <w:tcPr>
            <w:tcW w:w="1029" w:type="dxa"/>
          </w:tcPr>
          <w:p w14:paraId="4F189D16" w14:textId="77777777" w:rsidR="00725E50" w:rsidRPr="00075DC8" w:rsidRDefault="00725E50" w:rsidP="006801F0">
            <w:pPr>
              <w:pStyle w:val="Tabletext"/>
              <w:jc w:val="center"/>
              <w:rPr>
                <w:sz w:val="18"/>
                <w:szCs w:val="18"/>
                <w:lang w:val="fr-FR"/>
              </w:rPr>
            </w:pPr>
            <w:r w:rsidRPr="00075DC8">
              <w:rPr>
                <w:sz w:val="18"/>
                <w:szCs w:val="18"/>
                <w:lang w:val="fr-FR"/>
              </w:rPr>
              <w:t>0...10,0</w:t>
            </w:r>
          </w:p>
        </w:tc>
        <w:tc>
          <w:tcPr>
            <w:tcW w:w="1028" w:type="dxa"/>
          </w:tcPr>
          <w:p w14:paraId="7E4F3A11" w14:textId="77777777" w:rsidR="00725E50" w:rsidRPr="00075DC8" w:rsidRDefault="00725E50" w:rsidP="006801F0">
            <w:pPr>
              <w:pStyle w:val="Tabletext"/>
              <w:jc w:val="center"/>
              <w:rPr>
                <w:sz w:val="18"/>
                <w:szCs w:val="18"/>
                <w:lang w:val="fr-FR"/>
              </w:rPr>
            </w:pPr>
            <w:r w:rsidRPr="00075DC8">
              <w:rPr>
                <w:sz w:val="18"/>
                <w:szCs w:val="18"/>
                <w:lang w:val="fr-FR"/>
              </w:rPr>
              <w:t>0…10,0</w:t>
            </w:r>
          </w:p>
        </w:tc>
        <w:tc>
          <w:tcPr>
            <w:tcW w:w="1517" w:type="dxa"/>
          </w:tcPr>
          <w:p w14:paraId="40739FA7" w14:textId="77777777" w:rsidR="00725E50" w:rsidRPr="00075DC8" w:rsidRDefault="00725E50" w:rsidP="006801F0">
            <w:pPr>
              <w:pStyle w:val="Tabletext"/>
              <w:jc w:val="center"/>
              <w:rPr>
                <w:sz w:val="18"/>
                <w:szCs w:val="18"/>
                <w:lang w:val="fr-FR"/>
              </w:rPr>
            </w:pPr>
            <w:r w:rsidRPr="00075DC8">
              <w:rPr>
                <w:sz w:val="18"/>
                <w:szCs w:val="18"/>
                <w:lang w:val="fr-FR"/>
              </w:rPr>
              <w:t>0,0…9,3</w:t>
            </w:r>
          </w:p>
        </w:tc>
        <w:tc>
          <w:tcPr>
            <w:tcW w:w="1517" w:type="dxa"/>
          </w:tcPr>
          <w:p w14:paraId="2EC09EB7" w14:textId="77777777" w:rsidR="00725E50" w:rsidRPr="00075DC8" w:rsidRDefault="00725E50" w:rsidP="006801F0">
            <w:pPr>
              <w:pStyle w:val="Tabletext"/>
              <w:jc w:val="center"/>
              <w:rPr>
                <w:sz w:val="18"/>
                <w:szCs w:val="18"/>
                <w:lang w:val="fr-FR"/>
              </w:rPr>
            </w:pPr>
            <w:r w:rsidRPr="00075DC8">
              <w:rPr>
                <w:sz w:val="18"/>
                <w:szCs w:val="18"/>
                <w:lang w:val="fr-FR"/>
              </w:rPr>
              <w:t>0…9,3</w:t>
            </w:r>
          </w:p>
        </w:tc>
        <w:tc>
          <w:tcPr>
            <w:tcW w:w="1136" w:type="dxa"/>
          </w:tcPr>
          <w:p w14:paraId="2E958C2D" w14:textId="77777777" w:rsidR="00725E50" w:rsidRPr="00075DC8" w:rsidRDefault="00725E50" w:rsidP="006801F0">
            <w:pPr>
              <w:pStyle w:val="Tabletext"/>
              <w:jc w:val="center"/>
              <w:rPr>
                <w:sz w:val="18"/>
                <w:szCs w:val="18"/>
                <w:lang w:val="fr-FR"/>
              </w:rPr>
            </w:pPr>
            <w:r w:rsidRPr="00075DC8">
              <w:rPr>
                <w:sz w:val="18"/>
                <w:szCs w:val="18"/>
                <w:lang w:val="fr-FR"/>
              </w:rPr>
              <w:t>0,0...6,3</w:t>
            </w:r>
          </w:p>
        </w:tc>
        <w:tc>
          <w:tcPr>
            <w:tcW w:w="1136" w:type="dxa"/>
          </w:tcPr>
          <w:p w14:paraId="3A2F6EF1" w14:textId="77777777" w:rsidR="00725E50" w:rsidRPr="00075DC8" w:rsidRDefault="00725E50" w:rsidP="006801F0">
            <w:pPr>
              <w:pStyle w:val="Tabletext"/>
              <w:jc w:val="center"/>
              <w:rPr>
                <w:sz w:val="18"/>
                <w:szCs w:val="18"/>
                <w:lang w:val="fr-FR"/>
              </w:rPr>
            </w:pPr>
            <w:r w:rsidRPr="00075DC8">
              <w:rPr>
                <w:sz w:val="18"/>
                <w:szCs w:val="18"/>
                <w:lang w:val="fr-FR"/>
              </w:rPr>
              <w:t>0…5,9</w:t>
            </w:r>
          </w:p>
        </w:tc>
        <w:tc>
          <w:tcPr>
            <w:tcW w:w="1116" w:type="dxa"/>
          </w:tcPr>
          <w:p w14:paraId="48BFF029" w14:textId="77777777" w:rsidR="00725E50" w:rsidRPr="00075DC8" w:rsidRDefault="00725E50" w:rsidP="006801F0">
            <w:pPr>
              <w:pStyle w:val="Tabletext"/>
              <w:jc w:val="center"/>
              <w:rPr>
                <w:sz w:val="18"/>
                <w:szCs w:val="18"/>
                <w:lang w:val="fr-FR"/>
              </w:rPr>
            </w:pPr>
            <w:r w:rsidRPr="00075DC8">
              <w:rPr>
                <w:sz w:val="18"/>
                <w:szCs w:val="18"/>
                <w:lang w:val="fr-FR"/>
              </w:rPr>
              <w:t>0,0...6,3</w:t>
            </w:r>
          </w:p>
        </w:tc>
        <w:tc>
          <w:tcPr>
            <w:tcW w:w="1116" w:type="dxa"/>
          </w:tcPr>
          <w:p w14:paraId="066D4238" w14:textId="77777777" w:rsidR="00725E50" w:rsidRPr="00075DC8" w:rsidRDefault="00725E50" w:rsidP="006801F0">
            <w:pPr>
              <w:pStyle w:val="Tabletext"/>
              <w:jc w:val="center"/>
              <w:rPr>
                <w:sz w:val="18"/>
                <w:szCs w:val="18"/>
                <w:lang w:val="fr-FR"/>
              </w:rPr>
            </w:pPr>
            <w:r w:rsidRPr="00075DC8">
              <w:rPr>
                <w:sz w:val="18"/>
                <w:szCs w:val="18"/>
                <w:lang w:val="fr-FR"/>
              </w:rPr>
              <w:t>0,0...6,3</w:t>
            </w:r>
          </w:p>
        </w:tc>
        <w:tc>
          <w:tcPr>
            <w:tcW w:w="969" w:type="dxa"/>
          </w:tcPr>
          <w:p w14:paraId="28921259" w14:textId="77777777" w:rsidR="00725E50" w:rsidRPr="00075DC8" w:rsidRDefault="00725E50" w:rsidP="006801F0">
            <w:pPr>
              <w:pStyle w:val="Tabletext"/>
              <w:jc w:val="center"/>
              <w:rPr>
                <w:sz w:val="18"/>
                <w:szCs w:val="18"/>
                <w:lang w:val="fr-FR"/>
              </w:rPr>
            </w:pPr>
            <w:r w:rsidRPr="00075DC8">
              <w:rPr>
                <w:sz w:val="18"/>
                <w:szCs w:val="18"/>
                <w:lang w:val="fr-FR"/>
              </w:rPr>
              <w:t>0…1,5</w:t>
            </w:r>
          </w:p>
        </w:tc>
        <w:tc>
          <w:tcPr>
            <w:tcW w:w="975" w:type="dxa"/>
          </w:tcPr>
          <w:p w14:paraId="06D6960F" w14:textId="77777777" w:rsidR="00725E50" w:rsidRPr="00075DC8" w:rsidRDefault="00725E50" w:rsidP="006801F0">
            <w:pPr>
              <w:pStyle w:val="Tabletext"/>
              <w:jc w:val="center"/>
              <w:rPr>
                <w:sz w:val="18"/>
                <w:szCs w:val="18"/>
                <w:lang w:val="fr-FR"/>
              </w:rPr>
            </w:pPr>
            <w:r w:rsidRPr="00075DC8">
              <w:rPr>
                <w:sz w:val="18"/>
                <w:szCs w:val="18"/>
                <w:lang w:val="fr-FR"/>
              </w:rPr>
              <w:t>0…1,5</w:t>
            </w:r>
          </w:p>
        </w:tc>
      </w:tr>
      <w:tr w:rsidR="00725E50" w:rsidRPr="00075DC8" w14:paraId="3DBE9278" w14:textId="77777777" w:rsidTr="006801F0">
        <w:trPr>
          <w:gridAfter w:val="1"/>
          <w:wAfter w:w="6" w:type="dxa"/>
          <w:jc w:val="center"/>
        </w:trPr>
        <w:tc>
          <w:tcPr>
            <w:tcW w:w="2920" w:type="dxa"/>
            <w:tcMar>
              <w:left w:w="57" w:type="dxa"/>
              <w:right w:w="57" w:type="dxa"/>
            </w:tcMar>
          </w:tcPr>
          <w:p w14:paraId="5E1FD61F" w14:textId="0A2F38E6" w:rsidR="00725E50" w:rsidRPr="00075DC8" w:rsidRDefault="00725E50" w:rsidP="006801F0">
            <w:pPr>
              <w:pStyle w:val="Tabletext"/>
              <w:jc w:val="left"/>
              <w:rPr>
                <w:sz w:val="18"/>
                <w:szCs w:val="18"/>
                <w:lang w:val="fr-FR"/>
              </w:rPr>
            </w:pPr>
            <w:r w:rsidRPr="00075DC8">
              <w:rPr>
                <w:sz w:val="18"/>
                <w:szCs w:val="18"/>
                <w:lang w:val="fr-FR"/>
              </w:rPr>
              <w:t>Plage des gains d</w:t>
            </w:r>
            <w:r w:rsidR="001F6A0D" w:rsidRPr="00075DC8">
              <w:rPr>
                <w:sz w:val="18"/>
                <w:szCs w:val="18"/>
                <w:lang w:val="fr-FR"/>
              </w:rPr>
              <w:t>'</w:t>
            </w:r>
            <w:r w:rsidRPr="00075DC8">
              <w:rPr>
                <w:sz w:val="18"/>
                <w:szCs w:val="18"/>
                <w:lang w:val="fr-FR"/>
              </w:rPr>
              <w:t xml:space="preserve">antenne (dBi) </w:t>
            </w:r>
          </w:p>
        </w:tc>
        <w:tc>
          <w:tcPr>
            <w:tcW w:w="1029" w:type="dxa"/>
          </w:tcPr>
          <w:p w14:paraId="06663CCE" w14:textId="77777777" w:rsidR="00725E50" w:rsidRPr="00075DC8" w:rsidRDefault="00725E50" w:rsidP="006801F0">
            <w:pPr>
              <w:pStyle w:val="Tabletext"/>
              <w:jc w:val="center"/>
              <w:rPr>
                <w:sz w:val="18"/>
                <w:szCs w:val="18"/>
                <w:lang w:val="fr-FR"/>
              </w:rPr>
            </w:pPr>
            <w:r w:rsidRPr="00075DC8">
              <w:rPr>
                <w:sz w:val="18"/>
                <w:szCs w:val="18"/>
                <w:lang w:val="fr-FR"/>
              </w:rPr>
              <w:t>31,9…</w:t>
            </w:r>
            <w:r w:rsidRPr="00075DC8">
              <w:rPr>
                <w:sz w:val="18"/>
                <w:szCs w:val="18"/>
                <w:lang w:val="fr-FR"/>
              </w:rPr>
              <w:br/>
              <w:t>49,0</w:t>
            </w:r>
          </w:p>
        </w:tc>
        <w:tc>
          <w:tcPr>
            <w:tcW w:w="1028" w:type="dxa"/>
          </w:tcPr>
          <w:p w14:paraId="1B3760A3" w14:textId="77777777" w:rsidR="00725E50" w:rsidRPr="00075DC8" w:rsidRDefault="00725E50" w:rsidP="006801F0">
            <w:pPr>
              <w:pStyle w:val="Tabletext"/>
              <w:jc w:val="center"/>
              <w:rPr>
                <w:sz w:val="18"/>
                <w:szCs w:val="18"/>
                <w:lang w:val="fr-FR"/>
              </w:rPr>
            </w:pPr>
            <w:r w:rsidRPr="00075DC8">
              <w:rPr>
                <w:sz w:val="18"/>
                <w:szCs w:val="18"/>
                <w:lang w:val="fr-FR"/>
              </w:rPr>
              <w:t>31,9…</w:t>
            </w:r>
            <w:r w:rsidRPr="00075DC8">
              <w:rPr>
                <w:sz w:val="18"/>
                <w:szCs w:val="18"/>
                <w:lang w:val="fr-FR"/>
              </w:rPr>
              <w:br/>
              <w:t>49,0</w:t>
            </w:r>
          </w:p>
        </w:tc>
        <w:tc>
          <w:tcPr>
            <w:tcW w:w="1517" w:type="dxa"/>
          </w:tcPr>
          <w:p w14:paraId="368310BA" w14:textId="77777777" w:rsidR="00725E50" w:rsidRPr="00075DC8" w:rsidRDefault="00725E50" w:rsidP="006801F0">
            <w:pPr>
              <w:pStyle w:val="Tabletext"/>
              <w:jc w:val="center"/>
              <w:rPr>
                <w:sz w:val="18"/>
                <w:szCs w:val="18"/>
                <w:lang w:val="fr-FR"/>
              </w:rPr>
            </w:pPr>
            <w:r w:rsidRPr="00075DC8">
              <w:rPr>
                <w:sz w:val="18"/>
                <w:szCs w:val="18"/>
                <w:lang w:val="fr-FR"/>
              </w:rPr>
              <w:t>21,7…48,3</w:t>
            </w:r>
          </w:p>
        </w:tc>
        <w:tc>
          <w:tcPr>
            <w:tcW w:w="1517" w:type="dxa"/>
          </w:tcPr>
          <w:p w14:paraId="5D257C4C" w14:textId="77777777" w:rsidR="00725E50" w:rsidRPr="00075DC8" w:rsidRDefault="00725E50" w:rsidP="006801F0">
            <w:pPr>
              <w:pStyle w:val="Tabletext"/>
              <w:jc w:val="center"/>
              <w:rPr>
                <w:sz w:val="18"/>
                <w:szCs w:val="18"/>
                <w:lang w:val="fr-FR"/>
              </w:rPr>
            </w:pPr>
            <w:r w:rsidRPr="00075DC8">
              <w:rPr>
                <w:sz w:val="18"/>
                <w:szCs w:val="18"/>
                <w:lang w:val="fr-FR"/>
              </w:rPr>
              <w:t>32…48</w:t>
            </w:r>
          </w:p>
        </w:tc>
        <w:tc>
          <w:tcPr>
            <w:tcW w:w="1136" w:type="dxa"/>
          </w:tcPr>
          <w:p w14:paraId="021E4974" w14:textId="77777777" w:rsidR="00725E50" w:rsidRPr="00075DC8" w:rsidRDefault="00725E50" w:rsidP="006801F0">
            <w:pPr>
              <w:pStyle w:val="Tabletext"/>
              <w:jc w:val="center"/>
              <w:rPr>
                <w:sz w:val="18"/>
                <w:szCs w:val="18"/>
                <w:lang w:val="fr-FR"/>
              </w:rPr>
            </w:pPr>
            <w:r w:rsidRPr="00075DC8">
              <w:rPr>
                <w:sz w:val="18"/>
                <w:szCs w:val="18"/>
                <w:lang w:val="fr-FR"/>
              </w:rPr>
              <w:t>32,3...49,7</w:t>
            </w:r>
          </w:p>
        </w:tc>
        <w:tc>
          <w:tcPr>
            <w:tcW w:w="1136" w:type="dxa"/>
          </w:tcPr>
          <w:p w14:paraId="5EF49273" w14:textId="77777777" w:rsidR="00725E50" w:rsidRPr="00075DC8" w:rsidRDefault="00725E50" w:rsidP="006801F0">
            <w:pPr>
              <w:pStyle w:val="Tabletext"/>
              <w:jc w:val="center"/>
              <w:rPr>
                <w:sz w:val="18"/>
                <w:szCs w:val="18"/>
                <w:lang w:val="fr-FR"/>
              </w:rPr>
            </w:pPr>
            <w:r w:rsidRPr="00075DC8">
              <w:rPr>
                <w:sz w:val="18"/>
                <w:szCs w:val="18"/>
                <w:lang w:val="fr-FR"/>
              </w:rPr>
              <w:t>32,3...49,7</w:t>
            </w:r>
          </w:p>
        </w:tc>
        <w:tc>
          <w:tcPr>
            <w:tcW w:w="1116" w:type="dxa"/>
          </w:tcPr>
          <w:p w14:paraId="67A31F2B" w14:textId="77777777" w:rsidR="00725E50" w:rsidRPr="00075DC8" w:rsidRDefault="00725E50" w:rsidP="006801F0">
            <w:pPr>
              <w:pStyle w:val="Tabletext"/>
              <w:jc w:val="center"/>
              <w:rPr>
                <w:sz w:val="18"/>
                <w:szCs w:val="18"/>
                <w:lang w:val="fr-FR"/>
              </w:rPr>
            </w:pPr>
            <w:r w:rsidRPr="00075DC8">
              <w:rPr>
                <w:sz w:val="18"/>
                <w:szCs w:val="18"/>
                <w:lang w:val="fr-FR"/>
              </w:rPr>
              <w:t>31,5...48</w:t>
            </w:r>
          </w:p>
        </w:tc>
        <w:tc>
          <w:tcPr>
            <w:tcW w:w="1116" w:type="dxa"/>
          </w:tcPr>
          <w:p w14:paraId="77EF99D9" w14:textId="77777777" w:rsidR="00725E50" w:rsidRPr="00075DC8" w:rsidRDefault="00725E50" w:rsidP="006801F0">
            <w:pPr>
              <w:pStyle w:val="Tabletext"/>
              <w:jc w:val="center"/>
              <w:rPr>
                <w:sz w:val="18"/>
                <w:szCs w:val="18"/>
                <w:lang w:val="fr-FR"/>
              </w:rPr>
            </w:pPr>
            <w:r w:rsidRPr="00075DC8">
              <w:rPr>
                <w:sz w:val="18"/>
                <w:szCs w:val="18"/>
                <w:lang w:val="fr-FR"/>
              </w:rPr>
              <w:t>31,5…48</w:t>
            </w:r>
          </w:p>
        </w:tc>
        <w:tc>
          <w:tcPr>
            <w:tcW w:w="969" w:type="dxa"/>
          </w:tcPr>
          <w:p w14:paraId="3DEE02E2" w14:textId="77777777" w:rsidR="00725E50" w:rsidRPr="00075DC8" w:rsidRDefault="00725E50" w:rsidP="006801F0">
            <w:pPr>
              <w:pStyle w:val="Tabletext"/>
              <w:jc w:val="center"/>
              <w:rPr>
                <w:sz w:val="18"/>
                <w:szCs w:val="18"/>
                <w:lang w:val="fr-FR"/>
              </w:rPr>
            </w:pPr>
            <w:r w:rsidRPr="00075DC8">
              <w:rPr>
                <w:sz w:val="18"/>
                <w:szCs w:val="18"/>
                <w:lang w:val="fr-FR"/>
              </w:rPr>
              <w:t>37,8…43</w:t>
            </w:r>
          </w:p>
        </w:tc>
        <w:tc>
          <w:tcPr>
            <w:tcW w:w="975" w:type="dxa"/>
          </w:tcPr>
          <w:p w14:paraId="6EF1650D" w14:textId="77777777" w:rsidR="00725E50" w:rsidRPr="00075DC8" w:rsidRDefault="00725E50" w:rsidP="006801F0">
            <w:pPr>
              <w:pStyle w:val="Tabletext"/>
              <w:jc w:val="center"/>
              <w:rPr>
                <w:sz w:val="18"/>
                <w:szCs w:val="18"/>
                <w:lang w:val="fr-FR"/>
              </w:rPr>
            </w:pPr>
            <w:r w:rsidRPr="00075DC8">
              <w:rPr>
                <w:sz w:val="18"/>
                <w:szCs w:val="18"/>
                <w:lang w:val="fr-FR"/>
              </w:rPr>
              <w:t>37,8…43</w:t>
            </w:r>
          </w:p>
        </w:tc>
      </w:tr>
      <w:tr w:rsidR="00725E50" w:rsidRPr="00075DC8" w14:paraId="7AB6052B" w14:textId="77777777" w:rsidTr="006801F0">
        <w:trPr>
          <w:gridAfter w:val="1"/>
          <w:wAfter w:w="6" w:type="dxa"/>
          <w:jc w:val="center"/>
        </w:trPr>
        <w:tc>
          <w:tcPr>
            <w:tcW w:w="2920" w:type="dxa"/>
            <w:tcMar>
              <w:left w:w="57" w:type="dxa"/>
              <w:right w:w="57" w:type="dxa"/>
            </w:tcMar>
          </w:tcPr>
          <w:p w14:paraId="5305CB0D" w14:textId="77777777" w:rsidR="00725E50" w:rsidRPr="00075DC8" w:rsidRDefault="00725E50" w:rsidP="006801F0">
            <w:pPr>
              <w:pStyle w:val="Tabletext"/>
              <w:jc w:val="left"/>
              <w:rPr>
                <w:sz w:val="18"/>
                <w:szCs w:val="18"/>
                <w:lang w:val="fr-FR"/>
              </w:rPr>
            </w:pPr>
            <w:r w:rsidRPr="00075DC8">
              <w:rPr>
                <w:sz w:val="18"/>
                <w:szCs w:val="18"/>
                <w:lang w:val="fr-FR"/>
              </w:rPr>
              <w:t>Plage des p.i.r.e. (dBW)</w:t>
            </w:r>
          </w:p>
        </w:tc>
        <w:tc>
          <w:tcPr>
            <w:tcW w:w="1029" w:type="dxa"/>
          </w:tcPr>
          <w:p w14:paraId="204B9A2D" w14:textId="77777777" w:rsidR="00725E50" w:rsidRPr="00075DC8" w:rsidRDefault="00725E50" w:rsidP="006801F0">
            <w:pPr>
              <w:pStyle w:val="Tabletext"/>
              <w:jc w:val="center"/>
              <w:rPr>
                <w:sz w:val="18"/>
                <w:szCs w:val="18"/>
                <w:lang w:val="fr-FR"/>
              </w:rPr>
            </w:pPr>
            <w:r w:rsidRPr="00075DC8">
              <w:rPr>
                <w:sz w:val="18"/>
                <w:szCs w:val="18"/>
                <w:lang w:val="fr-FR"/>
              </w:rPr>
              <w:t>16,9…37</w:t>
            </w:r>
          </w:p>
        </w:tc>
        <w:tc>
          <w:tcPr>
            <w:tcW w:w="1028" w:type="dxa"/>
          </w:tcPr>
          <w:p w14:paraId="0F666BC5" w14:textId="77777777" w:rsidR="00725E50" w:rsidRPr="00075DC8" w:rsidRDefault="00725E50" w:rsidP="006801F0">
            <w:pPr>
              <w:pStyle w:val="Tabletext"/>
              <w:jc w:val="center"/>
              <w:rPr>
                <w:sz w:val="18"/>
                <w:szCs w:val="18"/>
                <w:lang w:val="fr-FR"/>
              </w:rPr>
            </w:pPr>
            <w:r w:rsidRPr="00075DC8">
              <w:rPr>
                <w:sz w:val="18"/>
                <w:szCs w:val="18"/>
                <w:lang w:val="fr-FR"/>
              </w:rPr>
              <w:t>19,9…36</w:t>
            </w:r>
          </w:p>
        </w:tc>
        <w:tc>
          <w:tcPr>
            <w:tcW w:w="1517" w:type="dxa"/>
          </w:tcPr>
          <w:p w14:paraId="6741199D" w14:textId="77777777" w:rsidR="00725E50" w:rsidRPr="00075DC8" w:rsidRDefault="00725E50" w:rsidP="006801F0">
            <w:pPr>
              <w:pStyle w:val="Tabletext"/>
              <w:jc w:val="center"/>
              <w:rPr>
                <w:sz w:val="18"/>
                <w:szCs w:val="18"/>
                <w:lang w:val="fr-FR"/>
              </w:rPr>
            </w:pPr>
            <w:r w:rsidRPr="00075DC8">
              <w:rPr>
                <w:sz w:val="18"/>
                <w:szCs w:val="18"/>
                <w:lang w:val="fr-FR"/>
              </w:rPr>
              <w:t>−11,7…43</w:t>
            </w:r>
          </w:p>
        </w:tc>
        <w:tc>
          <w:tcPr>
            <w:tcW w:w="1517" w:type="dxa"/>
          </w:tcPr>
          <w:p w14:paraId="47808CF4" w14:textId="77777777" w:rsidR="00725E50" w:rsidRPr="00075DC8" w:rsidRDefault="00725E50" w:rsidP="006801F0">
            <w:pPr>
              <w:pStyle w:val="Tabletext"/>
              <w:jc w:val="center"/>
              <w:rPr>
                <w:sz w:val="18"/>
                <w:szCs w:val="18"/>
                <w:lang w:val="fr-FR"/>
              </w:rPr>
            </w:pPr>
            <w:r w:rsidRPr="00075DC8">
              <w:rPr>
                <w:sz w:val="18"/>
                <w:szCs w:val="18"/>
                <w:lang w:val="fr-FR"/>
              </w:rPr>
              <w:t>−1,1…36</w:t>
            </w:r>
          </w:p>
        </w:tc>
        <w:tc>
          <w:tcPr>
            <w:tcW w:w="1136" w:type="dxa"/>
          </w:tcPr>
          <w:p w14:paraId="29AC3C37" w14:textId="77777777" w:rsidR="00725E50" w:rsidRPr="00075DC8" w:rsidRDefault="00725E50" w:rsidP="006801F0">
            <w:pPr>
              <w:pStyle w:val="Tabletext"/>
              <w:jc w:val="center"/>
              <w:rPr>
                <w:sz w:val="18"/>
                <w:szCs w:val="18"/>
                <w:lang w:val="fr-FR"/>
              </w:rPr>
            </w:pPr>
            <w:r w:rsidRPr="00075DC8">
              <w:rPr>
                <w:sz w:val="18"/>
                <w:szCs w:val="18"/>
                <w:lang w:val="fr-FR"/>
              </w:rPr>
              <w:t>9,4…34,7</w:t>
            </w:r>
          </w:p>
        </w:tc>
        <w:tc>
          <w:tcPr>
            <w:tcW w:w="1136" w:type="dxa"/>
          </w:tcPr>
          <w:p w14:paraId="4F8EE013" w14:textId="77777777" w:rsidR="00725E50" w:rsidRPr="00075DC8" w:rsidRDefault="00725E50" w:rsidP="006801F0">
            <w:pPr>
              <w:pStyle w:val="Tabletext"/>
              <w:jc w:val="center"/>
              <w:rPr>
                <w:sz w:val="18"/>
                <w:szCs w:val="18"/>
                <w:lang w:val="fr-FR"/>
              </w:rPr>
            </w:pPr>
            <w:r w:rsidRPr="00075DC8">
              <w:rPr>
                <w:sz w:val="18"/>
                <w:szCs w:val="18"/>
                <w:lang w:val="fr-FR"/>
              </w:rPr>
              <w:t>12,8…29,6</w:t>
            </w:r>
          </w:p>
        </w:tc>
        <w:tc>
          <w:tcPr>
            <w:tcW w:w="1116" w:type="dxa"/>
          </w:tcPr>
          <w:p w14:paraId="3737076E" w14:textId="77777777" w:rsidR="00725E50" w:rsidRPr="00075DC8" w:rsidRDefault="00725E50" w:rsidP="006801F0">
            <w:pPr>
              <w:pStyle w:val="Tabletext"/>
              <w:jc w:val="center"/>
              <w:rPr>
                <w:sz w:val="18"/>
                <w:szCs w:val="18"/>
                <w:lang w:val="fr-FR"/>
              </w:rPr>
            </w:pPr>
            <w:r w:rsidRPr="00075DC8">
              <w:rPr>
                <w:sz w:val="18"/>
                <w:szCs w:val="18"/>
                <w:lang w:val="fr-FR"/>
              </w:rPr>
              <w:t>−13,9…29</w:t>
            </w:r>
          </w:p>
        </w:tc>
        <w:tc>
          <w:tcPr>
            <w:tcW w:w="1116" w:type="dxa"/>
          </w:tcPr>
          <w:p w14:paraId="5524C839" w14:textId="77777777" w:rsidR="00725E50" w:rsidRPr="00075DC8" w:rsidRDefault="00725E50" w:rsidP="006801F0">
            <w:pPr>
              <w:pStyle w:val="Tabletext"/>
              <w:jc w:val="center"/>
              <w:rPr>
                <w:sz w:val="18"/>
                <w:szCs w:val="18"/>
                <w:lang w:val="fr-FR"/>
              </w:rPr>
            </w:pPr>
            <w:r w:rsidRPr="00075DC8">
              <w:rPr>
                <w:sz w:val="18"/>
                <w:szCs w:val="18"/>
                <w:lang w:val="fr-FR"/>
              </w:rPr>
              <w:t>15,2…48</w:t>
            </w:r>
          </w:p>
        </w:tc>
        <w:tc>
          <w:tcPr>
            <w:tcW w:w="969" w:type="dxa"/>
          </w:tcPr>
          <w:p w14:paraId="7F22148F" w14:textId="77777777" w:rsidR="00725E50" w:rsidRPr="00075DC8" w:rsidRDefault="00725E50" w:rsidP="006801F0">
            <w:pPr>
              <w:pStyle w:val="Tabletext"/>
              <w:jc w:val="center"/>
              <w:rPr>
                <w:sz w:val="18"/>
                <w:szCs w:val="18"/>
                <w:lang w:val="fr-FR"/>
              </w:rPr>
            </w:pPr>
            <w:r w:rsidRPr="00075DC8">
              <w:rPr>
                <w:sz w:val="18"/>
                <w:szCs w:val="18"/>
                <w:lang w:val="fr-FR"/>
              </w:rPr>
              <w:t>7,3…</w:t>
            </w:r>
            <w:r w:rsidRPr="00075DC8">
              <w:rPr>
                <w:sz w:val="18"/>
                <w:szCs w:val="18"/>
                <w:lang w:val="fr-FR"/>
              </w:rPr>
              <w:br/>
              <w:t>34,0</w:t>
            </w:r>
          </w:p>
        </w:tc>
        <w:tc>
          <w:tcPr>
            <w:tcW w:w="975" w:type="dxa"/>
          </w:tcPr>
          <w:p w14:paraId="597BBAB1" w14:textId="77777777" w:rsidR="00725E50" w:rsidRPr="00075DC8" w:rsidRDefault="00725E50" w:rsidP="006801F0">
            <w:pPr>
              <w:pStyle w:val="Tabletext"/>
              <w:jc w:val="center"/>
              <w:rPr>
                <w:sz w:val="18"/>
                <w:szCs w:val="18"/>
                <w:lang w:val="fr-FR"/>
              </w:rPr>
            </w:pPr>
            <w:r w:rsidRPr="00075DC8">
              <w:rPr>
                <w:sz w:val="18"/>
                <w:szCs w:val="18"/>
                <w:lang w:val="fr-FR"/>
              </w:rPr>
              <w:t>7,3…</w:t>
            </w:r>
            <w:r w:rsidRPr="00075DC8">
              <w:rPr>
                <w:sz w:val="18"/>
                <w:szCs w:val="18"/>
                <w:lang w:val="fr-FR"/>
              </w:rPr>
              <w:br/>
              <w:t>28,05</w:t>
            </w:r>
          </w:p>
        </w:tc>
      </w:tr>
      <w:tr w:rsidR="00725E50" w:rsidRPr="00075DC8" w14:paraId="3816D179" w14:textId="77777777" w:rsidTr="006801F0">
        <w:trPr>
          <w:gridAfter w:val="1"/>
          <w:wAfter w:w="6" w:type="dxa"/>
          <w:jc w:val="center"/>
        </w:trPr>
        <w:tc>
          <w:tcPr>
            <w:tcW w:w="2920" w:type="dxa"/>
            <w:tcMar>
              <w:left w:w="57" w:type="dxa"/>
              <w:right w:w="57" w:type="dxa"/>
            </w:tcMar>
          </w:tcPr>
          <w:p w14:paraId="33F13FE7" w14:textId="77777777" w:rsidR="00725E50" w:rsidRPr="00075DC8" w:rsidRDefault="00725E50" w:rsidP="006801F0">
            <w:pPr>
              <w:pStyle w:val="Tabletext"/>
              <w:jc w:val="left"/>
              <w:rPr>
                <w:sz w:val="18"/>
                <w:szCs w:val="18"/>
                <w:lang w:val="fr-FR"/>
              </w:rPr>
            </w:pPr>
            <w:r w:rsidRPr="00075DC8">
              <w:rPr>
                <w:sz w:val="18"/>
                <w:szCs w:val="18"/>
                <w:lang w:val="fr-FR"/>
              </w:rPr>
              <w:t>Plage des densités de p.i.r.e. (dBW/MHz)</w:t>
            </w:r>
            <w:r w:rsidRPr="00075DC8">
              <w:rPr>
                <w:sz w:val="18"/>
                <w:szCs w:val="18"/>
                <w:vertAlign w:val="superscript"/>
                <w:lang w:val="fr-FR"/>
              </w:rPr>
              <w:t>(1)</w:t>
            </w:r>
          </w:p>
        </w:tc>
        <w:tc>
          <w:tcPr>
            <w:tcW w:w="1029" w:type="dxa"/>
          </w:tcPr>
          <w:p w14:paraId="492D4F5E" w14:textId="77777777" w:rsidR="00725E50" w:rsidRPr="00075DC8" w:rsidRDefault="00725E50" w:rsidP="006801F0">
            <w:pPr>
              <w:pStyle w:val="Tabletext"/>
              <w:jc w:val="center"/>
              <w:rPr>
                <w:sz w:val="18"/>
                <w:szCs w:val="18"/>
                <w:lang w:val="fr-FR"/>
              </w:rPr>
            </w:pPr>
            <w:r w:rsidRPr="00075DC8">
              <w:rPr>
                <w:sz w:val="18"/>
                <w:szCs w:val="18"/>
                <w:lang w:val="fr-FR"/>
              </w:rPr>
              <w:t>11,5…</w:t>
            </w:r>
            <w:r w:rsidRPr="00075DC8">
              <w:rPr>
                <w:sz w:val="18"/>
                <w:szCs w:val="18"/>
                <w:lang w:val="fr-FR"/>
              </w:rPr>
              <w:br/>
              <w:t>31,6</w:t>
            </w:r>
          </w:p>
        </w:tc>
        <w:tc>
          <w:tcPr>
            <w:tcW w:w="1028" w:type="dxa"/>
          </w:tcPr>
          <w:p w14:paraId="6A4AA9CE" w14:textId="77777777" w:rsidR="00725E50" w:rsidRPr="00075DC8" w:rsidRDefault="00725E50" w:rsidP="006801F0">
            <w:pPr>
              <w:pStyle w:val="Tabletext"/>
              <w:jc w:val="center"/>
              <w:rPr>
                <w:sz w:val="18"/>
                <w:szCs w:val="18"/>
                <w:lang w:val="fr-FR"/>
              </w:rPr>
            </w:pPr>
            <w:r w:rsidRPr="00075DC8">
              <w:rPr>
                <w:sz w:val="18"/>
                <w:szCs w:val="18"/>
                <w:lang w:val="fr-FR"/>
              </w:rPr>
              <w:t>5,4…</w:t>
            </w:r>
            <w:r w:rsidRPr="00075DC8">
              <w:rPr>
                <w:sz w:val="18"/>
                <w:szCs w:val="18"/>
                <w:lang w:val="fr-FR"/>
              </w:rPr>
              <w:br/>
              <w:t>21,5</w:t>
            </w:r>
          </w:p>
        </w:tc>
        <w:tc>
          <w:tcPr>
            <w:tcW w:w="1517" w:type="dxa"/>
          </w:tcPr>
          <w:p w14:paraId="4D6129D0" w14:textId="77777777" w:rsidR="00725E50" w:rsidRPr="00075DC8" w:rsidRDefault="00725E50" w:rsidP="006801F0">
            <w:pPr>
              <w:pStyle w:val="Tabletext"/>
              <w:jc w:val="center"/>
              <w:rPr>
                <w:sz w:val="18"/>
                <w:szCs w:val="18"/>
                <w:lang w:val="fr-FR"/>
              </w:rPr>
            </w:pPr>
            <w:r w:rsidRPr="00075DC8">
              <w:rPr>
                <w:sz w:val="18"/>
                <w:szCs w:val="18"/>
                <w:lang w:val="fr-FR"/>
              </w:rPr>
              <w:t>−20,4…27,3</w:t>
            </w:r>
            <w:r w:rsidRPr="00075DC8">
              <w:rPr>
                <w:sz w:val="18"/>
                <w:szCs w:val="18"/>
                <w:lang w:val="fr-FR"/>
              </w:rPr>
              <w:br/>
              <w:t>(Mode 16,2)</w:t>
            </w:r>
          </w:p>
        </w:tc>
        <w:tc>
          <w:tcPr>
            <w:tcW w:w="1517" w:type="dxa"/>
          </w:tcPr>
          <w:p w14:paraId="238DF292" w14:textId="77777777" w:rsidR="00725E50" w:rsidRPr="00075DC8" w:rsidRDefault="00725E50" w:rsidP="006801F0">
            <w:pPr>
              <w:pStyle w:val="Tabletext"/>
              <w:jc w:val="center"/>
              <w:rPr>
                <w:sz w:val="18"/>
                <w:szCs w:val="18"/>
                <w:lang w:val="fr-FR"/>
              </w:rPr>
            </w:pPr>
            <w:r w:rsidRPr="00075DC8">
              <w:rPr>
                <w:sz w:val="18"/>
                <w:szCs w:val="18"/>
                <w:lang w:val="fr-FR"/>
              </w:rPr>
              <w:t>−17,1…20</w:t>
            </w:r>
            <w:r w:rsidRPr="00075DC8">
              <w:rPr>
                <w:sz w:val="18"/>
                <w:szCs w:val="18"/>
                <w:lang w:val="fr-FR"/>
              </w:rPr>
              <w:br/>
              <w:t>(Mode 8,0)</w:t>
            </w:r>
          </w:p>
        </w:tc>
        <w:tc>
          <w:tcPr>
            <w:tcW w:w="1136" w:type="dxa"/>
          </w:tcPr>
          <w:p w14:paraId="179F94FF" w14:textId="77777777" w:rsidR="00725E50" w:rsidRPr="00075DC8" w:rsidRDefault="00725E50" w:rsidP="006801F0">
            <w:pPr>
              <w:pStyle w:val="Tabletext"/>
              <w:jc w:val="center"/>
              <w:rPr>
                <w:sz w:val="18"/>
                <w:szCs w:val="18"/>
                <w:lang w:val="fr-FR"/>
              </w:rPr>
            </w:pPr>
            <w:r w:rsidRPr="00075DC8">
              <w:rPr>
                <w:sz w:val="18"/>
                <w:szCs w:val="18"/>
                <w:lang w:val="fr-FR"/>
              </w:rPr>
              <w:t>−4,6…20,7</w:t>
            </w:r>
          </w:p>
        </w:tc>
        <w:tc>
          <w:tcPr>
            <w:tcW w:w="1136" w:type="dxa"/>
          </w:tcPr>
          <w:p w14:paraId="6023B8D3" w14:textId="77777777" w:rsidR="00725E50" w:rsidRPr="00075DC8" w:rsidRDefault="00725E50" w:rsidP="006801F0">
            <w:pPr>
              <w:pStyle w:val="Tabletext"/>
              <w:jc w:val="center"/>
              <w:rPr>
                <w:sz w:val="18"/>
                <w:szCs w:val="18"/>
                <w:lang w:val="fr-FR"/>
              </w:rPr>
            </w:pPr>
            <w:r w:rsidRPr="00075DC8">
              <w:rPr>
                <w:sz w:val="18"/>
                <w:szCs w:val="18"/>
                <w:lang w:val="fr-FR"/>
              </w:rPr>
              <w:t>−2,0…14,8</w:t>
            </w:r>
          </w:p>
        </w:tc>
        <w:tc>
          <w:tcPr>
            <w:tcW w:w="1116" w:type="dxa"/>
          </w:tcPr>
          <w:p w14:paraId="55766DB6" w14:textId="04455692" w:rsidR="00725E50" w:rsidRPr="00075DC8" w:rsidRDefault="00725E50" w:rsidP="006801F0">
            <w:pPr>
              <w:pStyle w:val="Tabletext"/>
              <w:jc w:val="center"/>
              <w:rPr>
                <w:sz w:val="18"/>
                <w:szCs w:val="18"/>
                <w:lang w:val="fr-FR"/>
              </w:rPr>
            </w:pPr>
            <w:r w:rsidRPr="00075DC8">
              <w:rPr>
                <w:sz w:val="18"/>
                <w:szCs w:val="18"/>
                <w:lang w:val="fr-FR"/>
              </w:rPr>
              <w:t>−28,7…</w:t>
            </w:r>
            <w:r w:rsidRPr="00075DC8">
              <w:rPr>
                <w:sz w:val="18"/>
                <w:szCs w:val="18"/>
                <w:lang w:val="fr-FR"/>
              </w:rPr>
              <w:br/>
              <w:t>14,2</w:t>
            </w:r>
            <w:r w:rsidRPr="00075DC8">
              <w:rPr>
                <w:sz w:val="18"/>
                <w:szCs w:val="18"/>
                <w:vertAlign w:val="superscript"/>
                <w:lang w:val="fr-FR"/>
              </w:rPr>
              <w:t>(7)</w:t>
            </w:r>
          </w:p>
        </w:tc>
        <w:tc>
          <w:tcPr>
            <w:tcW w:w="1116" w:type="dxa"/>
          </w:tcPr>
          <w:p w14:paraId="3B5BD102" w14:textId="77777777" w:rsidR="00725E50" w:rsidRPr="00075DC8" w:rsidRDefault="00725E50" w:rsidP="006801F0">
            <w:pPr>
              <w:pStyle w:val="Tabletext"/>
              <w:jc w:val="center"/>
              <w:rPr>
                <w:sz w:val="18"/>
                <w:szCs w:val="18"/>
                <w:lang w:val="fr-FR"/>
              </w:rPr>
            </w:pPr>
            <w:r w:rsidRPr="00075DC8">
              <w:rPr>
                <w:sz w:val="18"/>
                <w:szCs w:val="18"/>
                <w:lang w:val="fr-FR"/>
              </w:rPr>
              <w:t>0,4…33,2</w:t>
            </w:r>
          </w:p>
        </w:tc>
        <w:tc>
          <w:tcPr>
            <w:tcW w:w="969" w:type="dxa"/>
          </w:tcPr>
          <w:p w14:paraId="4C6E1729" w14:textId="77777777" w:rsidR="00725E50" w:rsidRPr="00075DC8" w:rsidRDefault="00725E50" w:rsidP="006801F0">
            <w:pPr>
              <w:pStyle w:val="Tabletext"/>
              <w:jc w:val="center"/>
              <w:rPr>
                <w:sz w:val="18"/>
                <w:szCs w:val="18"/>
                <w:lang w:val="fr-FR"/>
              </w:rPr>
            </w:pPr>
            <w:r w:rsidRPr="00075DC8">
              <w:rPr>
                <w:sz w:val="18"/>
                <w:szCs w:val="18"/>
                <w:lang w:val="fr-FR"/>
              </w:rPr>
              <w:t>−1,1…</w:t>
            </w:r>
            <w:r w:rsidRPr="00075DC8">
              <w:rPr>
                <w:sz w:val="18"/>
                <w:szCs w:val="18"/>
                <w:lang w:val="fr-FR"/>
              </w:rPr>
              <w:br/>
              <w:t>25,5</w:t>
            </w:r>
          </w:p>
        </w:tc>
        <w:tc>
          <w:tcPr>
            <w:tcW w:w="975" w:type="dxa"/>
          </w:tcPr>
          <w:p w14:paraId="367B6D24" w14:textId="77777777" w:rsidR="00725E50" w:rsidRPr="00075DC8" w:rsidRDefault="00725E50" w:rsidP="006801F0">
            <w:pPr>
              <w:pStyle w:val="Tabletext"/>
              <w:jc w:val="center"/>
              <w:rPr>
                <w:sz w:val="18"/>
                <w:szCs w:val="18"/>
                <w:lang w:val="fr-FR"/>
              </w:rPr>
            </w:pPr>
            <w:r w:rsidRPr="00075DC8">
              <w:rPr>
                <w:sz w:val="18"/>
                <w:szCs w:val="18"/>
                <w:lang w:val="fr-FR"/>
              </w:rPr>
              <w:t>−7,2…</w:t>
            </w:r>
            <w:r w:rsidRPr="00075DC8">
              <w:rPr>
                <w:sz w:val="18"/>
                <w:szCs w:val="18"/>
                <w:lang w:val="fr-FR"/>
              </w:rPr>
              <w:br/>
              <w:t>13,5</w:t>
            </w:r>
          </w:p>
        </w:tc>
      </w:tr>
      <w:tr w:rsidR="00725E50" w:rsidRPr="00075DC8" w14:paraId="6DA61CCD" w14:textId="77777777" w:rsidTr="006801F0">
        <w:trPr>
          <w:gridAfter w:val="1"/>
          <w:wAfter w:w="6" w:type="dxa"/>
          <w:jc w:val="center"/>
        </w:trPr>
        <w:tc>
          <w:tcPr>
            <w:tcW w:w="2920" w:type="dxa"/>
            <w:tcMar>
              <w:left w:w="57" w:type="dxa"/>
              <w:right w:w="57" w:type="dxa"/>
            </w:tcMar>
          </w:tcPr>
          <w:p w14:paraId="5E6EEF2A" w14:textId="77777777" w:rsidR="00725E50" w:rsidRPr="00075DC8" w:rsidRDefault="00725E50" w:rsidP="006801F0">
            <w:pPr>
              <w:pStyle w:val="Tabletext"/>
              <w:jc w:val="left"/>
              <w:rPr>
                <w:sz w:val="18"/>
                <w:szCs w:val="18"/>
                <w:lang w:val="fr-FR"/>
              </w:rPr>
            </w:pPr>
            <w:r w:rsidRPr="00075DC8">
              <w:rPr>
                <w:sz w:val="18"/>
                <w:szCs w:val="18"/>
                <w:lang w:val="fr-FR"/>
              </w:rPr>
              <w:t>Facteur de bruit type du récepteur</w:t>
            </w:r>
          </w:p>
        </w:tc>
        <w:tc>
          <w:tcPr>
            <w:tcW w:w="1029" w:type="dxa"/>
          </w:tcPr>
          <w:p w14:paraId="60DA00C9" w14:textId="77777777" w:rsidR="00725E50" w:rsidRPr="00075DC8" w:rsidRDefault="00725E50" w:rsidP="006801F0">
            <w:pPr>
              <w:pStyle w:val="Tabletext"/>
              <w:jc w:val="center"/>
              <w:rPr>
                <w:sz w:val="18"/>
                <w:szCs w:val="18"/>
                <w:lang w:val="fr-FR"/>
              </w:rPr>
            </w:pPr>
            <w:r w:rsidRPr="00075DC8">
              <w:rPr>
                <w:sz w:val="18"/>
                <w:szCs w:val="18"/>
                <w:lang w:val="fr-FR"/>
              </w:rPr>
              <w:t>5</w:t>
            </w:r>
          </w:p>
        </w:tc>
        <w:tc>
          <w:tcPr>
            <w:tcW w:w="1028" w:type="dxa"/>
          </w:tcPr>
          <w:p w14:paraId="265D19C1" w14:textId="77777777" w:rsidR="00725E50" w:rsidRPr="00075DC8" w:rsidRDefault="00725E50" w:rsidP="006801F0">
            <w:pPr>
              <w:pStyle w:val="Tabletext"/>
              <w:jc w:val="center"/>
              <w:rPr>
                <w:sz w:val="18"/>
                <w:szCs w:val="18"/>
                <w:lang w:val="fr-FR"/>
              </w:rPr>
            </w:pPr>
            <w:r w:rsidRPr="00075DC8">
              <w:rPr>
                <w:sz w:val="18"/>
                <w:szCs w:val="18"/>
                <w:lang w:val="fr-FR"/>
              </w:rPr>
              <w:t>5</w:t>
            </w:r>
          </w:p>
        </w:tc>
        <w:tc>
          <w:tcPr>
            <w:tcW w:w="1517" w:type="dxa"/>
          </w:tcPr>
          <w:p w14:paraId="5CB1C8D1" w14:textId="77777777" w:rsidR="00725E50" w:rsidRPr="00075DC8" w:rsidRDefault="00725E50" w:rsidP="006801F0">
            <w:pPr>
              <w:pStyle w:val="Tabletext"/>
              <w:jc w:val="center"/>
              <w:rPr>
                <w:sz w:val="18"/>
                <w:szCs w:val="18"/>
                <w:lang w:val="fr-FR"/>
              </w:rPr>
            </w:pPr>
            <w:r w:rsidRPr="00075DC8">
              <w:rPr>
                <w:sz w:val="18"/>
                <w:szCs w:val="18"/>
                <w:lang w:val="fr-FR"/>
              </w:rPr>
              <w:t>5,0</w:t>
            </w:r>
          </w:p>
        </w:tc>
        <w:tc>
          <w:tcPr>
            <w:tcW w:w="1517" w:type="dxa"/>
          </w:tcPr>
          <w:p w14:paraId="2B71F39C" w14:textId="77777777" w:rsidR="00725E50" w:rsidRPr="00075DC8" w:rsidRDefault="00725E50" w:rsidP="006801F0">
            <w:pPr>
              <w:pStyle w:val="Tabletext"/>
              <w:jc w:val="center"/>
              <w:rPr>
                <w:sz w:val="18"/>
                <w:szCs w:val="18"/>
                <w:lang w:val="fr-FR"/>
              </w:rPr>
            </w:pPr>
            <w:r w:rsidRPr="00075DC8">
              <w:rPr>
                <w:sz w:val="18"/>
                <w:szCs w:val="18"/>
                <w:lang w:val="fr-FR"/>
              </w:rPr>
              <w:t>5</w:t>
            </w:r>
          </w:p>
        </w:tc>
        <w:tc>
          <w:tcPr>
            <w:tcW w:w="1136" w:type="dxa"/>
          </w:tcPr>
          <w:p w14:paraId="4D9B80E9" w14:textId="77777777" w:rsidR="00725E50" w:rsidRPr="00075DC8" w:rsidRDefault="00725E50" w:rsidP="006801F0">
            <w:pPr>
              <w:pStyle w:val="Tabletext"/>
              <w:jc w:val="center"/>
              <w:rPr>
                <w:sz w:val="18"/>
                <w:szCs w:val="18"/>
                <w:lang w:val="fr-FR"/>
              </w:rPr>
            </w:pPr>
            <w:r w:rsidRPr="00075DC8">
              <w:rPr>
                <w:sz w:val="18"/>
                <w:szCs w:val="18"/>
                <w:lang w:val="fr-FR"/>
              </w:rPr>
              <w:t>6</w:t>
            </w:r>
          </w:p>
        </w:tc>
        <w:tc>
          <w:tcPr>
            <w:tcW w:w="1136" w:type="dxa"/>
          </w:tcPr>
          <w:p w14:paraId="61AD514B" w14:textId="77777777" w:rsidR="00725E50" w:rsidRPr="00075DC8" w:rsidRDefault="00725E50" w:rsidP="006801F0">
            <w:pPr>
              <w:pStyle w:val="Tabletext"/>
              <w:jc w:val="center"/>
              <w:rPr>
                <w:sz w:val="18"/>
                <w:szCs w:val="18"/>
                <w:lang w:val="fr-FR"/>
              </w:rPr>
            </w:pPr>
            <w:r w:rsidRPr="00075DC8">
              <w:rPr>
                <w:sz w:val="18"/>
                <w:szCs w:val="18"/>
                <w:lang w:val="fr-FR"/>
              </w:rPr>
              <w:t>5</w:t>
            </w:r>
          </w:p>
        </w:tc>
        <w:tc>
          <w:tcPr>
            <w:tcW w:w="1116" w:type="dxa"/>
          </w:tcPr>
          <w:p w14:paraId="5114A49A" w14:textId="77777777" w:rsidR="00725E50" w:rsidRPr="00075DC8" w:rsidRDefault="00725E50" w:rsidP="006801F0">
            <w:pPr>
              <w:pStyle w:val="Tabletext"/>
              <w:jc w:val="center"/>
              <w:rPr>
                <w:sz w:val="18"/>
                <w:szCs w:val="18"/>
                <w:lang w:val="fr-FR"/>
              </w:rPr>
            </w:pPr>
            <w:r w:rsidRPr="00075DC8">
              <w:rPr>
                <w:sz w:val="18"/>
                <w:szCs w:val="18"/>
                <w:lang w:val="fr-FR"/>
              </w:rPr>
              <w:t>6,5</w:t>
            </w:r>
          </w:p>
        </w:tc>
        <w:tc>
          <w:tcPr>
            <w:tcW w:w="1116" w:type="dxa"/>
          </w:tcPr>
          <w:p w14:paraId="1FFB998A" w14:textId="77777777" w:rsidR="00725E50" w:rsidRPr="00075DC8" w:rsidRDefault="00725E50" w:rsidP="006801F0">
            <w:pPr>
              <w:pStyle w:val="Tabletext"/>
              <w:jc w:val="center"/>
              <w:rPr>
                <w:sz w:val="18"/>
                <w:szCs w:val="18"/>
                <w:lang w:val="fr-FR"/>
              </w:rPr>
            </w:pPr>
            <w:r w:rsidRPr="00075DC8">
              <w:rPr>
                <w:sz w:val="18"/>
                <w:szCs w:val="18"/>
                <w:lang w:val="fr-FR"/>
              </w:rPr>
              <w:t>6,5</w:t>
            </w:r>
          </w:p>
        </w:tc>
        <w:tc>
          <w:tcPr>
            <w:tcW w:w="969" w:type="dxa"/>
          </w:tcPr>
          <w:p w14:paraId="123E04B3" w14:textId="77777777" w:rsidR="00725E50" w:rsidRPr="00075DC8" w:rsidRDefault="00725E50" w:rsidP="006801F0">
            <w:pPr>
              <w:pStyle w:val="Tabletext"/>
              <w:jc w:val="center"/>
              <w:rPr>
                <w:sz w:val="18"/>
                <w:szCs w:val="18"/>
                <w:lang w:val="fr-FR"/>
              </w:rPr>
            </w:pPr>
            <w:r w:rsidRPr="00075DC8">
              <w:rPr>
                <w:sz w:val="18"/>
                <w:szCs w:val="18"/>
                <w:lang w:val="fr-FR"/>
              </w:rPr>
              <w:t>6</w:t>
            </w:r>
          </w:p>
        </w:tc>
        <w:tc>
          <w:tcPr>
            <w:tcW w:w="975" w:type="dxa"/>
          </w:tcPr>
          <w:p w14:paraId="7046F807" w14:textId="77777777" w:rsidR="00725E50" w:rsidRPr="00075DC8" w:rsidRDefault="00725E50" w:rsidP="006801F0">
            <w:pPr>
              <w:pStyle w:val="Tabletext"/>
              <w:jc w:val="center"/>
              <w:rPr>
                <w:sz w:val="18"/>
                <w:szCs w:val="18"/>
                <w:lang w:val="fr-FR"/>
              </w:rPr>
            </w:pPr>
            <w:r w:rsidRPr="00075DC8">
              <w:rPr>
                <w:sz w:val="18"/>
                <w:szCs w:val="18"/>
                <w:lang w:val="fr-FR"/>
              </w:rPr>
              <w:t>6</w:t>
            </w:r>
          </w:p>
        </w:tc>
      </w:tr>
      <w:tr w:rsidR="003567D8" w:rsidRPr="00075DC8" w14:paraId="026AEF12" w14:textId="77777777" w:rsidTr="006801F0">
        <w:trPr>
          <w:gridAfter w:val="1"/>
          <w:wAfter w:w="6" w:type="dxa"/>
          <w:jc w:val="center"/>
        </w:trPr>
        <w:tc>
          <w:tcPr>
            <w:tcW w:w="2920" w:type="dxa"/>
            <w:tcMar>
              <w:left w:w="57" w:type="dxa"/>
              <w:right w:w="57" w:type="dxa"/>
            </w:tcMar>
          </w:tcPr>
          <w:p w14:paraId="478BDFAC" w14:textId="1196112D" w:rsidR="003567D8" w:rsidRPr="00075DC8" w:rsidRDefault="003567D8" w:rsidP="006801F0">
            <w:pPr>
              <w:pStyle w:val="Tabletext"/>
              <w:jc w:val="left"/>
              <w:rPr>
                <w:sz w:val="18"/>
                <w:szCs w:val="18"/>
                <w:lang w:val="fr-FR"/>
              </w:rPr>
            </w:pPr>
            <w:r w:rsidRPr="00075DC8">
              <w:rPr>
                <w:sz w:val="18"/>
                <w:szCs w:val="18"/>
                <w:lang w:val="fr-FR"/>
              </w:rPr>
              <w:t>Densité type de puissance du bruit du récepteur (=NRX) (dBW/MHz)</w:t>
            </w:r>
          </w:p>
        </w:tc>
        <w:tc>
          <w:tcPr>
            <w:tcW w:w="1029" w:type="dxa"/>
          </w:tcPr>
          <w:p w14:paraId="5C10959C" w14:textId="451DA4BE" w:rsidR="003567D8" w:rsidRPr="00075DC8" w:rsidRDefault="003567D8" w:rsidP="006801F0">
            <w:pPr>
              <w:pStyle w:val="Tabletext"/>
              <w:jc w:val="center"/>
              <w:rPr>
                <w:sz w:val="18"/>
                <w:szCs w:val="18"/>
                <w:lang w:val="fr-FR"/>
              </w:rPr>
            </w:pPr>
            <w:r w:rsidRPr="00075DC8">
              <w:rPr>
                <w:sz w:val="18"/>
                <w:szCs w:val="18"/>
                <w:lang w:val="fr-FR"/>
              </w:rPr>
              <w:t>−139</w:t>
            </w:r>
          </w:p>
        </w:tc>
        <w:tc>
          <w:tcPr>
            <w:tcW w:w="1028" w:type="dxa"/>
          </w:tcPr>
          <w:p w14:paraId="0348707F" w14:textId="1D45EC1C" w:rsidR="003567D8" w:rsidRPr="00075DC8" w:rsidRDefault="003567D8" w:rsidP="006801F0">
            <w:pPr>
              <w:pStyle w:val="Tabletext"/>
              <w:jc w:val="center"/>
              <w:rPr>
                <w:sz w:val="18"/>
                <w:szCs w:val="18"/>
                <w:lang w:val="fr-FR"/>
              </w:rPr>
            </w:pPr>
            <w:r w:rsidRPr="00075DC8">
              <w:rPr>
                <w:sz w:val="18"/>
                <w:szCs w:val="18"/>
                <w:lang w:val="fr-FR"/>
              </w:rPr>
              <w:t>−139</w:t>
            </w:r>
          </w:p>
        </w:tc>
        <w:tc>
          <w:tcPr>
            <w:tcW w:w="1517" w:type="dxa"/>
          </w:tcPr>
          <w:p w14:paraId="0D105E0E" w14:textId="1E7FB4E8" w:rsidR="003567D8" w:rsidRPr="00075DC8" w:rsidRDefault="003567D8" w:rsidP="006801F0">
            <w:pPr>
              <w:pStyle w:val="Tabletext"/>
              <w:jc w:val="center"/>
              <w:rPr>
                <w:sz w:val="18"/>
                <w:szCs w:val="18"/>
                <w:lang w:val="fr-FR"/>
              </w:rPr>
            </w:pPr>
            <w:r w:rsidRPr="00075DC8">
              <w:rPr>
                <w:sz w:val="18"/>
                <w:szCs w:val="18"/>
                <w:lang w:val="fr-FR"/>
              </w:rPr>
              <w:t>−139</w:t>
            </w:r>
          </w:p>
        </w:tc>
        <w:tc>
          <w:tcPr>
            <w:tcW w:w="1517" w:type="dxa"/>
          </w:tcPr>
          <w:p w14:paraId="47F4EF1E" w14:textId="244BEDBE" w:rsidR="003567D8" w:rsidRPr="00075DC8" w:rsidRDefault="003567D8" w:rsidP="006801F0">
            <w:pPr>
              <w:pStyle w:val="Tabletext"/>
              <w:jc w:val="center"/>
              <w:rPr>
                <w:sz w:val="18"/>
                <w:szCs w:val="18"/>
                <w:lang w:val="fr-FR"/>
              </w:rPr>
            </w:pPr>
            <w:r w:rsidRPr="00075DC8">
              <w:rPr>
                <w:sz w:val="18"/>
                <w:szCs w:val="18"/>
                <w:lang w:val="fr-FR"/>
              </w:rPr>
              <w:t>−139</w:t>
            </w:r>
          </w:p>
        </w:tc>
        <w:tc>
          <w:tcPr>
            <w:tcW w:w="1136" w:type="dxa"/>
          </w:tcPr>
          <w:p w14:paraId="1A862CEE" w14:textId="0FEC541D" w:rsidR="003567D8" w:rsidRPr="00075DC8" w:rsidRDefault="003567D8" w:rsidP="006801F0">
            <w:pPr>
              <w:pStyle w:val="Tabletext"/>
              <w:jc w:val="center"/>
              <w:rPr>
                <w:sz w:val="18"/>
                <w:szCs w:val="18"/>
                <w:lang w:val="fr-FR"/>
              </w:rPr>
            </w:pPr>
            <w:r w:rsidRPr="00075DC8">
              <w:rPr>
                <w:sz w:val="18"/>
                <w:szCs w:val="18"/>
                <w:lang w:val="fr-FR"/>
              </w:rPr>
              <w:t>−138</w:t>
            </w:r>
          </w:p>
        </w:tc>
        <w:tc>
          <w:tcPr>
            <w:tcW w:w="1136" w:type="dxa"/>
          </w:tcPr>
          <w:p w14:paraId="28766541" w14:textId="2355DA81" w:rsidR="003567D8" w:rsidRPr="00075DC8" w:rsidRDefault="003567D8" w:rsidP="006801F0">
            <w:pPr>
              <w:pStyle w:val="Tabletext"/>
              <w:jc w:val="center"/>
              <w:rPr>
                <w:sz w:val="18"/>
                <w:szCs w:val="18"/>
                <w:lang w:val="fr-FR"/>
              </w:rPr>
            </w:pPr>
            <w:r w:rsidRPr="00075DC8">
              <w:rPr>
                <w:sz w:val="18"/>
                <w:szCs w:val="18"/>
                <w:lang w:val="fr-FR"/>
              </w:rPr>
              <w:t>−139</w:t>
            </w:r>
            <w:r w:rsidR="00587B4E" w:rsidRPr="00075DC8">
              <w:rPr>
                <w:sz w:val="18"/>
                <w:szCs w:val="18"/>
                <w:lang w:val="fr-FR"/>
              </w:rPr>
              <w:t>…</w:t>
            </w:r>
          </w:p>
        </w:tc>
        <w:tc>
          <w:tcPr>
            <w:tcW w:w="1116" w:type="dxa"/>
          </w:tcPr>
          <w:p w14:paraId="61172A54" w14:textId="1FC9470E" w:rsidR="003567D8" w:rsidRPr="00075DC8" w:rsidRDefault="003567D8" w:rsidP="006801F0">
            <w:pPr>
              <w:pStyle w:val="Tabletext"/>
              <w:jc w:val="center"/>
              <w:rPr>
                <w:sz w:val="18"/>
                <w:szCs w:val="18"/>
                <w:lang w:val="fr-FR"/>
              </w:rPr>
            </w:pPr>
            <w:r w:rsidRPr="00075DC8">
              <w:rPr>
                <w:sz w:val="18"/>
                <w:szCs w:val="18"/>
                <w:lang w:val="fr-FR"/>
              </w:rPr>
              <w:t>−137,5…</w:t>
            </w:r>
          </w:p>
        </w:tc>
        <w:tc>
          <w:tcPr>
            <w:tcW w:w="1116" w:type="dxa"/>
          </w:tcPr>
          <w:p w14:paraId="50BFCFCD" w14:textId="07B7AEA5" w:rsidR="003567D8" w:rsidRPr="00075DC8" w:rsidRDefault="003567D8" w:rsidP="006801F0">
            <w:pPr>
              <w:pStyle w:val="Tabletext"/>
              <w:jc w:val="center"/>
              <w:rPr>
                <w:sz w:val="18"/>
                <w:szCs w:val="18"/>
                <w:lang w:val="fr-FR"/>
              </w:rPr>
            </w:pPr>
            <w:r w:rsidRPr="00075DC8">
              <w:rPr>
                <w:sz w:val="18"/>
                <w:szCs w:val="18"/>
                <w:lang w:val="fr-FR"/>
              </w:rPr>
              <w:t>−137,5</w:t>
            </w:r>
          </w:p>
        </w:tc>
        <w:tc>
          <w:tcPr>
            <w:tcW w:w="969" w:type="dxa"/>
          </w:tcPr>
          <w:p w14:paraId="6993CBE7" w14:textId="2CB39927" w:rsidR="003567D8" w:rsidRPr="00075DC8" w:rsidRDefault="003567D8" w:rsidP="006801F0">
            <w:pPr>
              <w:pStyle w:val="Tabletext"/>
              <w:jc w:val="center"/>
              <w:rPr>
                <w:sz w:val="18"/>
                <w:szCs w:val="18"/>
                <w:lang w:val="fr-FR"/>
              </w:rPr>
            </w:pPr>
            <w:r w:rsidRPr="00075DC8">
              <w:rPr>
                <w:sz w:val="18"/>
                <w:szCs w:val="18"/>
                <w:lang w:val="fr-FR"/>
              </w:rPr>
              <w:t>−138</w:t>
            </w:r>
          </w:p>
        </w:tc>
        <w:tc>
          <w:tcPr>
            <w:tcW w:w="975" w:type="dxa"/>
          </w:tcPr>
          <w:p w14:paraId="6602545A" w14:textId="01074344" w:rsidR="003567D8" w:rsidRPr="00075DC8" w:rsidRDefault="003567D8" w:rsidP="006801F0">
            <w:pPr>
              <w:pStyle w:val="Tabletext"/>
              <w:jc w:val="center"/>
              <w:rPr>
                <w:sz w:val="18"/>
                <w:szCs w:val="18"/>
                <w:lang w:val="fr-FR"/>
              </w:rPr>
            </w:pPr>
            <w:r w:rsidRPr="00075DC8">
              <w:rPr>
                <w:sz w:val="18"/>
                <w:szCs w:val="18"/>
                <w:lang w:val="fr-FR"/>
              </w:rPr>
              <w:t>−138</w:t>
            </w:r>
          </w:p>
        </w:tc>
      </w:tr>
      <w:tr w:rsidR="00725E50" w:rsidRPr="00075DC8" w14:paraId="3F3F124C" w14:textId="77777777" w:rsidTr="006801F0">
        <w:trPr>
          <w:gridAfter w:val="1"/>
          <w:wAfter w:w="6" w:type="dxa"/>
          <w:jc w:val="center"/>
        </w:trPr>
        <w:tc>
          <w:tcPr>
            <w:tcW w:w="2920" w:type="dxa"/>
            <w:tcMar>
              <w:left w:w="57" w:type="dxa"/>
              <w:right w:w="57" w:type="dxa"/>
            </w:tcMar>
          </w:tcPr>
          <w:p w14:paraId="0C6DFE97" w14:textId="17C39899" w:rsidR="00725E50" w:rsidRPr="00075DC8" w:rsidRDefault="00725E50" w:rsidP="006801F0">
            <w:pPr>
              <w:pStyle w:val="Tabletext"/>
              <w:jc w:val="left"/>
              <w:rPr>
                <w:sz w:val="18"/>
                <w:szCs w:val="18"/>
                <w:lang w:val="fr-FR"/>
              </w:rPr>
            </w:pPr>
            <w:r w:rsidRPr="00075DC8">
              <w:rPr>
                <w:sz w:val="18"/>
                <w:szCs w:val="18"/>
                <w:lang w:val="fr-FR" w:eastAsia="ja-JP"/>
              </w:rPr>
              <w:t>Niveau normalisé à l</w:t>
            </w:r>
            <w:r w:rsidR="001F6A0D" w:rsidRPr="00075DC8">
              <w:rPr>
                <w:sz w:val="18"/>
                <w:szCs w:val="18"/>
                <w:lang w:val="fr-FR" w:eastAsia="ja-JP"/>
              </w:rPr>
              <w:t>'</w:t>
            </w:r>
            <w:r w:rsidRPr="00075DC8">
              <w:rPr>
                <w:sz w:val="18"/>
                <w:szCs w:val="18"/>
                <w:lang w:val="fr-FR" w:eastAsia="ja-JP"/>
              </w:rPr>
              <w:t>entrée du récepteur pour un taux BER de</w:t>
            </w:r>
            <w:r w:rsidRPr="00075DC8">
              <w:rPr>
                <w:sz w:val="18"/>
                <w:szCs w:val="18"/>
                <w:lang w:val="fr-FR"/>
              </w:rPr>
              <w:t xml:space="preserve"> 1 × 10</w:t>
            </w:r>
            <w:r w:rsidRPr="00075DC8">
              <w:rPr>
                <w:sz w:val="18"/>
                <w:szCs w:val="18"/>
                <w:vertAlign w:val="superscript"/>
                <w:lang w:val="fr-FR"/>
              </w:rPr>
              <w:t>−6</w:t>
            </w:r>
            <w:r w:rsidRPr="00075DC8">
              <w:rPr>
                <w:sz w:val="18"/>
                <w:szCs w:val="18"/>
                <w:lang w:val="fr-FR"/>
              </w:rPr>
              <w:t xml:space="preserve"> (dBW/MHz)</w:t>
            </w:r>
          </w:p>
        </w:tc>
        <w:tc>
          <w:tcPr>
            <w:tcW w:w="1029" w:type="dxa"/>
          </w:tcPr>
          <w:p w14:paraId="72CC9A54" w14:textId="1CE68E0B" w:rsidR="00725E50" w:rsidRPr="00075DC8" w:rsidRDefault="00725E50" w:rsidP="006801F0">
            <w:pPr>
              <w:pStyle w:val="Tabletext"/>
              <w:jc w:val="center"/>
              <w:rPr>
                <w:sz w:val="18"/>
                <w:szCs w:val="18"/>
                <w:lang w:val="fr-FR" w:eastAsia="ja-JP"/>
              </w:rPr>
            </w:pPr>
            <w:r w:rsidRPr="00075DC8">
              <w:rPr>
                <w:sz w:val="18"/>
                <w:szCs w:val="18"/>
                <w:lang w:val="fr-FR"/>
              </w:rPr>
              <w:t>−</w:t>
            </w:r>
            <w:r w:rsidRPr="00075DC8">
              <w:rPr>
                <w:sz w:val="18"/>
                <w:szCs w:val="18"/>
                <w:lang w:val="fr-FR" w:eastAsia="ja-JP"/>
              </w:rPr>
              <w:t>125,5</w:t>
            </w:r>
          </w:p>
        </w:tc>
        <w:tc>
          <w:tcPr>
            <w:tcW w:w="1028" w:type="dxa"/>
          </w:tcPr>
          <w:p w14:paraId="2E49808D" w14:textId="77777777" w:rsidR="00725E50" w:rsidRPr="00075DC8" w:rsidRDefault="00725E50" w:rsidP="006801F0">
            <w:pPr>
              <w:pStyle w:val="Tabletext"/>
              <w:jc w:val="center"/>
              <w:rPr>
                <w:sz w:val="18"/>
                <w:szCs w:val="18"/>
                <w:lang w:val="fr-FR" w:eastAsia="ja-JP"/>
              </w:rPr>
            </w:pPr>
            <w:r w:rsidRPr="00075DC8">
              <w:rPr>
                <w:sz w:val="18"/>
                <w:szCs w:val="18"/>
                <w:lang w:val="fr-FR"/>
              </w:rPr>
              <w:t>−</w:t>
            </w:r>
            <w:r w:rsidRPr="00075DC8">
              <w:rPr>
                <w:sz w:val="18"/>
                <w:szCs w:val="18"/>
                <w:lang w:val="fr-FR" w:eastAsia="ja-JP"/>
              </w:rPr>
              <w:t>109,5</w:t>
            </w:r>
          </w:p>
        </w:tc>
        <w:tc>
          <w:tcPr>
            <w:tcW w:w="1517" w:type="dxa"/>
          </w:tcPr>
          <w:p w14:paraId="54D57AC3" w14:textId="77777777" w:rsidR="00725E50" w:rsidRPr="00075DC8" w:rsidRDefault="00725E50" w:rsidP="006801F0">
            <w:pPr>
              <w:pStyle w:val="Tabletext"/>
              <w:jc w:val="center"/>
              <w:rPr>
                <w:sz w:val="18"/>
                <w:szCs w:val="18"/>
                <w:lang w:val="fr-FR" w:eastAsia="ja-JP"/>
              </w:rPr>
            </w:pPr>
            <w:r w:rsidRPr="00075DC8">
              <w:rPr>
                <w:sz w:val="18"/>
                <w:szCs w:val="18"/>
                <w:lang w:val="fr-FR" w:eastAsia="ja-JP"/>
              </w:rPr>
              <w:t>−125,5</w:t>
            </w:r>
          </w:p>
        </w:tc>
        <w:tc>
          <w:tcPr>
            <w:tcW w:w="1517" w:type="dxa"/>
          </w:tcPr>
          <w:p w14:paraId="1CD36701" w14:textId="77777777" w:rsidR="00725E50" w:rsidRPr="00075DC8" w:rsidRDefault="00725E50" w:rsidP="006801F0">
            <w:pPr>
              <w:pStyle w:val="Tabletext"/>
              <w:jc w:val="center"/>
              <w:rPr>
                <w:sz w:val="18"/>
                <w:szCs w:val="18"/>
                <w:lang w:val="fr-FR" w:eastAsia="ja-JP"/>
              </w:rPr>
            </w:pPr>
            <w:r w:rsidRPr="00075DC8">
              <w:rPr>
                <w:sz w:val="18"/>
                <w:szCs w:val="18"/>
                <w:lang w:val="fr-FR"/>
              </w:rPr>
              <w:t>−112,5</w:t>
            </w:r>
          </w:p>
        </w:tc>
        <w:tc>
          <w:tcPr>
            <w:tcW w:w="1136" w:type="dxa"/>
          </w:tcPr>
          <w:p w14:paraId="752354DF" w14:textId="77777777" w:rsidR="00725E50" w:rsidRPr="00075DC8" w:rsidRDefault="00725E50" w:rsidP="006801F0">
            <w:pPr>
              <w:pStyle w:val="Tabletext"/>
              <w:jc w:val="center"/>
              <w:rPr>
                <w:sz w:val="18"/>
                <w:szCs w:val="18"/>
                <w:lang w:val="fr-FR" w:eastAsia="ja-JP"/>
              </w:rPr>
            </w:pPr>
            <w:r w:rsidRPr="00075DC8">
              <w:rPr>
                <w:sz w:val="18"/>
                <w:szCs w:val="18"/>
                <w:lang w:val="fr-FR"/>
              </w:rPr>
              <w:t>−</w:t>
            </w:r>
            <w:r w:rsidRPr="00075DC8">
              <w:rPr>
                <w:sz w:val="18"/>
                <w:szCs w:val="18"/>
                <w:lang w:val="fr-FR" w:eastAsia="ja-JP"/>
              </w:rPr>
              <w:t>124,5…</w:t>
            </w:r>
            <w:r w:rsidRPr="00075DC8">
              <w:rPr>
                <w:sz w:val="18"/>
                <w:szCs w:val="18"/>
                <w:lang w:val="fr-FR" w:eastAsia="ja-JP"/>
              </w:rPr>
              <w:br/>
            </w:r>
            <w:r w:rsidRPr="00075DC8">
              <w:rPr>
                <w:sz w:val="18"/>
                <w:szCs w:val="18"/>
                <w:lang w:val="fr-FR"/>
              </w:rPr>
              <w:t>−</w:t>
            </w:r>
            <w:r w:rsidRPr="00075DC8">
              <w:rPr>
                <w:sz w:val="18"/>
                <w:szCs w:val="18"/>
                <w:lang w:val="fr-FR" w:eastAsia="ja-JP"/>
              </w:rPr>
              <w:t>119,5</w:t>
            </w:r>
          </w:p>
        </w:tc>
        <w:tc>
          <w:tcPr>
            <w:tcW w:w="1136" w:type="dxa"/>
          </w:tcPr>
          <w:p w14:paraId="677BE219" w14:textId="77777777" w:rsidR="00725E50" w:rsidRPr="00075DC8" w:rsidRDefault="00725E50" w:rsidP="006801F0">
            <w:pPr>
              <w:pStyle w:val="Tabletext"/>
              <w:jc w:val="center"/>
              <w:rPr>
                <w:sz w:val="18"/>
                <w:szCs w:val="18"/>
                <w:lang w:val="fr-FR" w:eastAsia="ja-JP"/>
              </w:rPr>
            </w:pPr>
            <w:r w:rsidRPr="00075DC8">
              <w:rPr>
                <w:sz w:val="18"/>
                <w:szCs w:val="18"/>
                <w:lang w:val="fr-FR" w:eastAsia="ja-JP"/>
              </w:rPr>
              <w:t>−116</w:t>
            </w:r>
          </w:p>
        </w:tc>
        <w:tc>
          <w:tcPr>
            <w:tcW w:w="1116" w:type="dxa"/>
          </w:tcPr>
          <w:p w14:paraId="169DD94A" w14:textId="53E40174" w:rsidR="00725E50" w:rsidRPr="00075DC8" w:rsidRDefault="00725E50" w:rsidP="006801F0">
            <w:pPr>
              <w:pStyle w:val="Tabletext"/>
              <w:jc w:val="center"/>
              <w:rPr>
                <w:sz w:val="18"/>
                <w:szCs w:val="18"/>
                <w:lang w:val="fr-FR" w:eastAsia="ja-JP"/>
              </w:rPr>
            </w:pPr>
            <w:r w:rsidRPr="00075DC8">
              <w:rPr>
                <w:sz w:val="18"/>
                <w:szCs w:val="18"/>
                <w:lang w:val="fr-FR"/>
              </w:rPr>
              <w:t>−</w:t>
            </w:r>
            <w:r w:rsidRPr="00075DC8">
              <w:rPr>
                <w:sz w:val="18"/>
                <w:szCs w:val="18"/>
                <w:lang w:val="fr-FR" w:eastAsia="ja-JP"/>
              </w:rPr>
              <w:t>117</w:t>
            </w:r>
          </w:p>
        </w:tc>
        <w:tc>
          <w:tcPr>
            <w:tcW w:w="1116" w:type="dxa"/>
          </w:tcPr>
          <w:p w14:paraId="40A59731" w14:textId="4FCA14AE" w:rsidR="00725E50" w:rsidRPr="00075DC8" w:rsidRDefault="003567D8" w:rsidP="006801F0">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108</w:t>
            </w:r>
          </w:p>
        </w:tc>
        <w:tc>
          <w:tcPr>
            <w:tcW w:w="969" w:type="dxa"/>
          </w:tcPr>
          <w:p w14:paraId="2BA60C31" w14:textId="77777777" w:rsidR="00725E50" w:rsidRPr="00075DC8" w:rsidRDefault="00725E50" w:rsidP="006801F0">
            <w:pPr>
              <w:pStyle w:val="Tabletext"/>
              <w:jc w:val="center"/>
              <w:rPr>
                <w:sz w:val="18"/>
                <w:szCs w:val="18"/>
                <w:lang w:val="fr-FR" w:eastAsia="ja-JP"/>
              </w:rPr>
            </w:pPr>
            <w:r w:rsidRPr="00075DC8">
              <w:rPr>
                <w:sz w:val="18"/>
                <w:szCs w:val="18"/>
                <w:lang w:val="fr-FR"/>
              </w:rPr>
              <w:t>−1</w:t>
            </w:r>
            <w:r w:rsidRPr="00075DC8">
              <w:rPr>
                <w:sz w:val="18"/>
                <w:szCs w:val="18"/>
                <w:lang w:val="fr-FR" w:eastAsia="ja-JP"/>
              </w:rPr>
              <w:t>31,3</w:t>
            </w:r>
          </w:p>
        </w:tc>
        <w:tc>
          <w:tcPr>
            <w:tcW w:w="975" w:type="dxa"/>
          </w:tcPr>
          <w:p w14:paraId="1C2E8207" w14:textId="77777777" w:rsidR="00725E50" w:rsidRPr="00075DC8" w:rsidRDefault="00725E50" w:rsidP="006801F0">
            <w:pPr>
              <w:pStyle w:val="Tabletext"/>
              <w:jc w:val="center"/>
              <w:rPr>
                <w:sz w:val="18"/>
                <w:szCs w:val="18"/>
                <w:lang w:val="fr-FR" w:eastAsia="ja-JP"/>
              </w:rPr>
            </w:pPr>
            <w:r w:rsidRPr="00075DC8">
              <w:rPr>
                <w:sz w:val="18"/>
                <w:szCs w:val="18"/>
                <w:lang w:val="fr-FR"/>
              </w:rPr>
              <w:t>−</w:t>
            </w:r>
            <w:r w:rsidRPr="00075DC8">
              <w:rPr>
                <w:sz w:val="18"/>
                <w:szCs w:val="18"/>
                <w:lang w:val="fr-FR" w:eastAsia="ja-JP"/>
              </w:rPr>
              <w:t>107,3</w:t>
            </w:r>
          </w:p>
        </w:tc>
      </w:tr>
      <w:tr w:rsidR="00BF0854" w:rsidRPr="00075DC8" w14:paraId="1284773C" w14:textId="77777777" w:rsidTr="006801F0">
        <w:trPr>
          <w:gridAfter w:val="1"/>
          <w:wAfter w:w="6" w:type="dxa"/>
          <w:jc w:val="center"/>
        </w:trPr>
        <w:tc>
          <w:tcPr>
            <w:tcW w:w="2920" w:type="dxa"/>
            <w:tcBorders>
              <w:bottom w:val="single" w:sz="2" w:space="0" w:color="auto"/>
            </w:tcBorders>
            <w:tcMar>
              <w:left w:w="57" w:type="dxa"/>
              <w:right w:w="57" w:type="dxa"/>
            </w:tcMar>
          </w:tcPr>
          <w:p w14:paraId="4CC09EF8" w14:textId="7B273013" w:rsidR="00BF0854" w:rsidRPr="00075DC8" w:rsidRDefault="00BF0854" w:rsidP="006801F0">
            <w:pPr>
              <w:pStyle w:val="Tabletext"/>
              <w:jc w:val="left"/>
              <w:rPr>
                <w:sz w:val="18"/>
                <w:szCs w:val="18"/>
                <w:lang w:val="fr-FR" w:eastAsia="ja-JP"/>
              </w:rPr>
            </w:pPr>
            <w:r w:rsidRPr="00075DC8">
              <w:rPr>
                <w:sz w:val="18"/>
                <w:szCs w:val="18"/>
                <w:lang w:val="fr-FR" w:eastAsia="ja-JP"/>
              </w:rPr>
              <w:t xml:space="preserve">Densité nominale de puissance de brouillage de longue durée </w:t>
            </w:r>
            <w:r w:rsidRPr="00075DC8">
              <w:rPr>
                <w:sz w:val="18"/>
                <w:szCs w:val="18"/>
                <w:lang w:val="fr-FR"/>
              </w:rPr>
              <w:t>(dBW/MHz)</w:t>
            </w:r>
            <w:r w:rsidRPr="00075DC8">
              <w:rPr>
                <w:sz w:val="18"/>
                <w:szCs w:val="18"/>
                <w:vertAlign w:val="superscript"/>
                <w:lang w:val="fr-FR" w:eastAsia="ja-JP"/>
              </w:rPr>
              <w:t>(2)</w:t>
            </w:r>
          </w:p>
        </w:tc>
        <w:tc>
          <w:tcPr>
            <w:tcW w:w="1029" w:type="dxa"/>
            <w:tcBorders>
              <w:bottom w:val="single" w:sz="2" w:space="0" w:color="auto"/>
            </w:tcBorders>
          </w:tcPr>
          <w:p w14:paraId="149F6E6E" w14:textId="0FDFE251" w:rsidR="00BF0854" w:rsidRPr="00075DC8" w:rsidRDefault="00BF0854" w:rsidP="006801F0">
            <w:pPr>
              <w:pStyle w:val="Tabletext"/>
              <w:jc w:val="center"/>
              <w:rPr>
                <w:sz w:val="18"/>
                <w:szCs w:val="18"/>
                <w:lang w:val="fr-FR"/>
              </w:rPr>
            </w:pPr>
            <w:r w:rsidRPr="00075DC8">
              <w:rPr>
                <w:sz w:val="18"/>
                <w:szCs w:val="18"/>
                <w:lang w:val="fr-FR" w:eastAsia="ja-JP"/>
              </w:rPr>
              <w:t>−139</w:t>
            </w:r>
            <w:r w:rsidR="00FB2A75" w:rsidRPr="00075DC8">
              <w:rPr>
                <w:sz w:val="18"/>
                <w:szCs w:val="18"/>
                <w:lang w:val="fr-FR" w:eastAsia="ja-JP"/>
              </w:rPr>
              <w:t xml:space="preserve"> </w:t>
            </w:r>
            <w:r w:rsidRPr="00075DC8">
              <w:rPr>
                <w:sz w:val="18"/>
                <w:szCs w:val="18"/>
                <w:lang w:val="fr-FR"/>
              </w:rPr>
              <w:t xml:space="preserve">+ </w:t>
            </w:r>
            <w:r w:rsidRPr="00075DC8">
              <w:rPr>
                <w:i/>
                <w:sz w:val="18"/>
                <w:szCs w:val="18"/>
                <w:lang w:val="fr-FR"/>
              </w:rPr>
              <w:t>I</w:t>
            </w:r>
            <w:r w:rsidRPr="00075DC8">
              <w:rPr>
                <w:sz w:val="18"/>
                <w:szCs w:val="18"/>
                <w:lang w:val="fr-FR"/>
              </w:rPr>
              <w:t>/</w:t>
            </w:r>
            <w:r w:rsidRPr="00075DC8">
              <w:rPr>
                <w:i/>
                <w:sz w:val="18"/>
                <w:szCs w:val="18"/>
                <w:lang w:val="fr-FR"/>
              </w:rPr>
              <w:t>N</w:t>
            </w:r>
          </w:p>
        </w:tc>
        <w:tc>
          <w:tcPr>
            <w:tcW w:w="1028" w:type="dxa"/>
            <w:tcBorders>
              <w:bottom w:val="single" w:sz="2" w:space="0" w:color="auto"/>
            </w:tcBorders>
          </w:tcPr>
          <w:p w14:paraId="435C3FBD" w14:textId="36F60852" w:rsidR="00BF0854" w:rsidRPr="00075DC8" w:rsidRDefault="00BF0854" w:rsidP="006801F0">
            <w:pPr>
              <w:pStyle w:val="Tabletext"/>
              <w:jc w:val="center"/>
              <w:rPr>
                <w:sz w:val="18"/>
                <w:szCs w:val="18"/>
                <w:lang w:val="fr-FR"/>
              </w:rPr>
            </w:pPr>
            <w:r w:rsidRPr="00075DC8">
              <w:rPr>
                <w:sz w:val="18"/>
                <w:szCs w:val="18"/>
                <w:lang w:val="fr-FR"/>
              </w:rPr>
              <w:t>−</w:t>
            </w:r>
            <w:r w:rsidRPr="00075DC8">
              <w:rPr>
                <w:sz w:val="18"/>
                <w:szCs w:val="18"/>
                <w:lang w:val="fr-FR" w:eastAsia="ja-JP"/>
              </w:rPr>
              <w:t>139…</w:t>
            </w:r>
            <w:r w:rsidRPr="00075DC8">
              <w:rPr>
                <w:sz w:val="18"/>
                <w:szCs w:val="18"/>
                <w:lang w:val="fr-FR" w:eastAsia="ja-JP"/>
              </w:rPr>
              <w:br/>
            </w:r>
            <w:r w:rsidRPr="00075DC8">
              <w:rPr>
                <w:sz w:val="18"/>
                <w:szCs w:val="18"/>
                <w:lang w:val="fr-FR"/>
              </w:rPr>
              <w:t>−</w:t>
            </w:r>
            <w:r w:rsidRPr="00075DC8">
              <w:rPr>
                <w:sz w:val="18"/>
                <w:szCs w:val="18"/>
                <w:lang w:val="fr-FR" w:eastAsia="ja-JP"/>
              </w:rPr>
              <w:t xml:space="preserve">136 </w:t>
            </w:r>
            <w:r w:rsidRPr="00075DC8">
              <w:rPr>
                <w:sz w:val="18"/>
                <w:szCs w:val="18"/>
                <w:lang w:val="fr-FR"/>
              </w:rPr>
              <w:t xml:space="preserve">+ </w:t>
            </w:r>
            <w:r w:rsidRPr="00075DC8">
              <w:rPr>
                <w:i/>
                <w:sz w:val="18"/>
                <w:szCs w:val="18"/>
                <w:lang w:val="fr-FR"/>
              </w:rPr>
              <w:t>I</w:t>
            </w:r>
            <w:r w:rsidRPr="00075DC8">
              <w:rPr>
                <w:sz w:val="18"/>
                <w:szCs w:val="18"/>
                <w:lang w:val="fr-FR"/>
              </w:rPr>
              <w:t>/</w:t>
            </w:r>
            <w:r w:rsidRPr="00075DC8">
              <w:rPr>
                <w:i/>
                <w:sz w:val="18"/>
                <w:szCs w:val="18"/>
                <w:lang w:val="fr-FR"/>
              </w:rPr>
              <w:t>N</w:t>
            </w:r>
          </w:p>
        </w:tc>
        <w:tc>
          <w:tcPr>
            <w:tcW w:w="1517" w:type="dxa"/>
            <w:tcBorders>
              <w:bottom w:val="single" w:sz="2" w:space="0" w:color="auto"/>
            </w:tcBorders>
          </w:tcPr>
          <w:p w14:paraId="4505FDF7" w14:textId="17A9F9DF" w:rsidR="00BF0854" w:rsidRPr="00075DC8" w:rsidRDefault="00BF0854" w:rsidP="006801F0">
            <w:pPr>
              <w:pStyle w:val="Tabletext"/>
              <w:jc w:val="center"/>
              <w:rPr>
                <w:sz w:val="18"/>
                <w:szCs w:val="18"/>
                <w:lang w:val="fr-FR" w:eastAsia="ja-JP"/>
              </w:rPr>
            </w:pPr>
            <w:r w:rsidRPr="00075DC8">
              <w:rPr>
                <w:sz w:val="18"/>
                <w:szCs w:val="18"/>
                <w:lang w:val="fr-FR" w:eastAsia="ja-JP"/>
              </w:rPr>
              <w:t>−139</w:t>
            </w:r>
            <w:r w:rsidRPr="00075DC8">
              <w:rPr>
                <w:sz w:val="18"/>
                <w:szCs w:val="18"/>
                <w:lang w:val="fr-FR"/>
              </w:rPr>
              <w:t xml:space="preserve"> + </w:t>
            </w:r>
            <w:r w:rsidRPr="00075DC8">
              <w:rPr>
                <w:i/>
                <w:sz w:val="18"/>
                <w:szCs w:val="18"/>
                <w:lang w:val="fr-FR"/>
              </w:rPr>
              <w:t>I/N</w:t>
            </w:r>
          </w:p>
        </w:tc>
        <w:tc>
          <w:tcPr>
            <w:tcW w:w="1517" w:type="dxa"/>
            <w:tcBorders>
              <w:bottom w:val="single" w:sz="2" w:space="0" w:color="auto"/>
            </w:tcBorders>
          </w:tcPr>
          <w:p w14:paraId="11ECD170" w14:textId="6EE3AFCF" w:rsidR="00BF0854" w:rsidRPr="00075DC8" w:rsidRDefault="00BF0854" w:rsidP="006801F0">
            <w:pPr>
              <w:pStyle w:val="Tabletext"/>
              <w:jc w:val="center"/>
              <w:rPr>
                <w:sz w:val="18"/>
                <w:szCs w:val="18"/>
                <w:lang w:val="fr-FR"/>
              </w:rPr>
            </w:pPr>
            <w:r w:rsidRPr="00075DC8">
              <w:rPr>
                <w:sz w:val="18"/>
                <w:szCs w:val="18"/>
                <w:lang w:val="fr-FR"/>
              </w:rPr>
              <w:t xml:space="preserve">−139 + </w:t>
            </w:r>
            <w:r w:rsidRPr="00075DC8">
              <w:rPr>
                <w:i/>
                <w:sz w:val="18"/>
                <w:szCs w:val="18"/>
                <w:lang w:val="fr-FR"/>
              </w:rPr>
              <w:t>I/N</w:t>
            </w:r>
          </w:p>
        </w:tc>
        <w:tc>
          <w:tcPr>
            <w:tcW w:w="1136" w:type="dxa"/>
            <w:tcBorders>
              <w:bottom w:val="single" w:sz="2" w:space="0" w:color="auto"/>
            </w:tcBorders>
          </w:tcPr>
          <w:p w14:paraId="452B6DF5" w14:textId="2FDC8333" w:rsidR="00BF0854" w:rsidRPr="00075DC8" w:rsidRDefault="00BF0854" w:rsidP="006801F0">
            <w:pPr>
              <w:pStyle w:val="Tabletext"/>
              <w:jc w:val="center"/>
              <w:rPr>
                <w:sz w:val="18"/>
                <w:szCs w:val="18"/>
                <w:lang w:val="fr-FR"/>
              </w:rPr>
            </w:pPr>
            <w:r w:rsidRPr="00075DC8">
              <w:rPr>
                <w:sz w:val="18"/>
                <w:szCs w:val="18"/>
                <w:lang w:val="fr-FR" w:eastAsia="ja-JP"/>
              </w:rPr>
              <w:t xml:space="preserve">−138 </w:t>
            </w:r>
            <w:r w:rsidRPr="00075DC8">
              <w:rPr>
                <w:sz w:val="18"/>
                <w:szCs w:val="18"/>
                <w:lang w:val="fr-FR"/>
              </w:rPr>
              <w:t xml:space="preserve">+ </w:t>
            </w:r>
            <w:r w:rsidRPr="00075DC8">
              <w:rPr>
                <w:i/>
                <w:sz w:val="18"/>
                <w:szCs w:val="18"/>
                <w:lang w:val="fr-FR"/>
              </w:rPr>
              <w:t>I/N</w:t>
            </w:r>
          </w:p>
        </w:tc>
        <w:tc>
          <w:tcPr>
            <w:tcW w:w="1136" w:type="dxa"/>
            <w:tcBorders>
              <w:bottom w:val="single" w:sz="2" w:space="0" w:color="auto"/>
            </w:tcBorders>
          </w:tcPr>
          <w:p w14:paraId="2E2639A7" w14:textId="39A1FDB1" w:rsidR="00BF0854" w:rsidRPr="00075DC8" w:rsidRDefault="00BF0854" w:rsidP="006801F0">
            <w:pPr>
              <w:pStyle w:val="Tabletext"/>
              <w:jc w:val="center"/>
              <w:rPr>
                <w:sz w:val="18"/>
                <w:szCs w:val="18"/>
                <w:lang w:val="fr-FR" w:eastAsia="ja-JP"/>
              </w:rPr>
            </w:pPr>
            <w:r w:rsidRPr="00075DC8">
              <w:rPr>
                <w:sz w:val="18"/>
                <w:szCs w:val="18"/>
                <w:lang w:val="fr-FR" w:eastAsia="ja-JP"/>
              </w:rPr>
              <w:t>−139</w:t>
            </w:r>
            <w:r w:rsidRPr="00075DC8">
              <w:rPr>
                <w:sz w:val="18"/>
                <w:szCs w:val="18"/>
                <w:lang w:val="fr-FR"/>
              </w:rPr>
              <w:t xml:space="preserve"> + </w:t>
            </w:r>
            <w:r w:rsidRPr="00075DC8">
              <w:rPr>
                <w:i/>
                <w:sz w:val="18"/>
                <w:szCs w:val="18"/>
                <w:lang w:val="fr-FR"/>
              </w:rPr>
              <w:t>I/N</w:t>
            </w:r>
          </w:p>
        </w:tc>
        <w:tc>
          <w:tcPr>
            <w:tcW w:w="1116" w:type="dxa"/>
            <w:tcBorders>
              <w:bottom w:val="single" w:sz="2" w:space="0" w:color="auto"/>
            </w:tcBorders>
          </w:tcPr>
          <w:p w14:paraId="0B7E99DB" w14:textId="168E31B1" w:rsidR="00BF0854" w:rsidRPr="00075DC8" w:rsidRDefault="00BF0854" w:rsidP="006801F0">
            <w:pPr>
              <w:pStyle w:val="Tabletext"/>
              <w:jc w:val="center"/>
              <w:rPr>
                <w:sz w:val="18"/>
                <w:szCs w:val="18"/>
                <w:lang w:val="fr-FR"/>
              </w:rPr>
            </w:pPr>
            <w:r w:rsidRPr="00075DC8">
              <w:rPr>
                <w:sz w:val="18"/>
                <w:szCs w:val="18"/>
                <w:lang w:val="fr-FR" w:eastAsia="ja-JP"/>
              </w:rPr>
              <w:t>−137,5</w:t>
            </w:r>
            <w:r w:rsidRPr="00075DC8">
              <w:rPr>
                <w:sz w:val="18"/>
                <w:szCs w:val="18"/>
                <w:lang w:val="fr-FR"/>
              </w:rPr>
              <w:t xml:space="preserve"> + </w:t>
            </w:r>
            <w:r w:rsidRPr="00075DC8">
              <w:rPr>
                <w:i/>
                <w:sz w:val="18"/>
                <w:szCs w:val="18"/>
                <w:lang w:val="fr-FR"/>
              </w:rPr>
              <w:t>I/N</w:t>
            </w:r>
          </w:p>
        </w:tc>
        <w:tc>
          <w:tcPr>
            <w:tcW w:w="1116" w:type="dxa"/>
            <w:tcBorders>
              <w:bottom w:val="single" w:sz="2" w:space="0" w:color="auto"/>
            </w:tcBorders>
          </w:tcPr>
          <w:p w14:paraId="12E12667" w14:textId="6815043A" w:rsidR="00BF0854" w:rsidRPr="00075DC8" w:rsidRDefault="00BF0854" w:rsidP="006801F0">
            <w:pPr>
              <w:pStyle w:val="Tabletext"/>
              <w:jc w:val="center"/>
              <w:rPr>
                <w:sz w:val="18"/>
                <w:szCs w:val="18"/>
                <w:lang w:val="fr-FR" w:eastAsia="ja-JP"/>
              </w:rPr>
            </w:pPr>
            <w:r w:rsidRPr="00075DC8">
              <w:rPr>
                <w:sz w:val="18"/>
                <w:szCs w:val="18"/>
                <w:lang w:val="fr-FR" w:eastAsia="ja-JP"/>
              </w:rPr>
              <w:t>−137,5</w:t>
            </w:r>
            <w:r w:rsidRPr="00075DC8">
              <w:rPr>
                <w:sz w:val="18"/>
                <w:szCs w:val="18"/>
                <w:lang w:val="fr-FR"/>
              </w:rPr>
              <w:t xml:space="preserve"> + </w:t>
            </w:r>
            <w:r w:rsidRPr="00075DC8">
              <w:rPr>
                <w:i/>
                <w:sz w:val="18"/>
                <w:szCs w:val="18"/>
                <w:lang w:val="fr-FR"/>
              </w:rPr>
              <w:t>I</w:t>
            </w:r>
            <w:r w:rsidRPr="00075DC8">
              <w:rPr>
                <w:sz w:val="18"/>
                <w:szCs w:val="18"/>
                <w:lang w:val="fr-FR"/>
              </w:rPr>
              <w:t>/</w:t>
            </w:r>
            <w:r w:rsidRPr="00075DC8">
              <w:rPr>
                <w:i/>
                <w:sz w:val="18"/>
                <w:szCs w:val="18"/>
                <w:lang w:val="fr-FR"/>
              </w:rPr>
              <w:t>N</w:t>
            </w:r>
          </w:p>
        </w:tc>
        <w:tc>
          <w:tcPr>
            <w:tcW w:w="969" w:type="dxa"/>
            <w:tcBorders>
              <w:bottom w:val="single" w:sz="2" w:space="0" w:color="auto"/>
            </w:tcBorders>
          </w:tcPr>
          <w:p w14:paraId="628AE79A" w14:textId="0950165E" w:rsidR="00BF0854" w:rsidRPr="00075DC8" w:rsidRDefault="00BF0854" w:rsidP="006801F0">
            <w:pPr>
              <w:pStyle w:val="Tabletext"/>
              <w:jc w:val="center"/>
              <w:rPr>
                <w:sz w:val="18"/>
                <w:szCs w:val="18"/>
                <w:lang w:val="fr-FR"/>
              </w:rPr>
            </w:pPr>
            <w:r w:rsidRPr="00075DC8">
              <w:rPr>
                <w:sz w:val="18"/>
                <w:szCs w:val="18"/>
                <w:lang w:val="fr-FR"/>
              </w:rPr>
              <w:t>−13</w:t>
            </w:r>
            <w:r w:rsidRPr="00075DC8">
              <w:rPr>
                <w:sz w:val="18"/>
                <w:szCs w:val="18"/>
                <w:lang w:val="fr-FR" w:eastAsia="ja-JP"/>
              </w:rPr>
              <w:t>8</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c>
          <w:tcPr>
            <w:tcW w:w="975" w:type="dxa"/>
            <w:tcBorders>
              <w:bottom w:val="single" w:sz="2" w:space="0" w:color="auto"/>
            </w:tcBorders>
          </w:tcPr>
          <w:p w14:paraId="05E3E2E7" w14:textId="6076B9D6" w:rsidR="00BF0854" w:rsidRPr="00075DC8" w:rsidRDefault="00BF0854" w:rsidP="006801F0">
            <w:pPr>
              <w:pStyle w:val="Tabletext"/>
              <w:jc w:val="center"/>
              <w:rPr>
                <w:sz w:val="18"/>
                <w:szCs w:val="18"/>
                <w:lang w:val="fr-FR"/>
              </w:rPr>
            </w:pPr>
            <w:r w:rsidRPr="00075DC8">
              <w:rPr>
                <w:sz w:val="18"/>
                <w:szCs w:val="18"/>
                <w:lang w:val="fr-FR"/>
              </w:rPr>
              <w:t xml:space="preserve">−138 + </w:t>
            </w:r>
            <w:r w:rsidRPr="00075DC8">
              <w:rPr>
                <w:i/>
                <w:sz w:val="18"/>
                <w:szCs w:val="18"/>
                <w:lang w:val="fr-FR"/>
              </w:rPr>
              <w:t>I</w:t>
            </w:r>
            <w:r w:rsidRPr="00075DC8">
              <w:rPr>
                <w:iCs/>
                <w:sz w:val="18"/>
                <w:szCs w:val="18"/>
                <w:lang w:val="fr-FR"/>
              </w:rPr>
              <w:t>/</w:t>
            </w:r>
            <w:r w:rsidRPr="00075DC8">
              <w:rPr>
                <w:i/>
                <w:sz w:val="18"/>
                <w:szCs w:val="18"/>
                <w:lang w:val="fr-FR"/>
              </w:rPr>
              <w:t>N</w:t>
            </w:r>
          </w:p>
        </w:tc>
      </w:tr>
      <w:tr w:rsidR="006801F0" w:rsidRPr="00075DC8" w14:paraId="5EBF0E88" w14:textId="77777777" w:rsidTr="006801F0">
        <w:trPr>
          <w:gridAfter w:val="1"/>
          <w:wAfter w:w="6" w:type="dxa"/>
          <w:jc w:val="center"/>
        </w:trPr>
        <w:tc>
          <w:tcPr>
            <w:tcW w:w="14459" w:type="dxa"/>
            <w:gridSpan w:val="11"/>
            <w:tcBorders>
              <w:left w:val="nil"/>
              <w:bottom w:val="nil"/>
              <w:right w:val="nil"/>
            </w:tcBorders>
            <w:tcMar>
              <w:left w:w="57" w:type="dxa"/>
              <w:right w:w="57" w:type="dxa"/>
            </w:tcMar>
          </w:tcPr>
          <w:p w14:paraId="16605B50" w14:textId="77777777" w:rsidR="006801F0" w:rsidRPr="00075DC8" w:rsidRDefault="006801F0" w:rsidP="006801F0">
            <w:pPr>
              <w:pStyle w:val="Tabletext"/>
              <w:rPr>
                <w:sz w:val="18"/>
                <w:szCs w:val="18"/>
                <w:lang w:val="fr-FR" w:eastAsia="ja-JP"/>
              </w:rPr>
            </w:pPr>
            <w:r w:rsidRPr="00075DC8">
              <w:rPr>
                <w:sz w:val="18"/>
                <w:szCs w:val="18"/>
                <w:lang w:val="fr-FR" w:eastAsia="ja-JP"/>
              </w:rPr>
              <w:t>NOTE – L'ensemble prévu des paramètres, pour deux systèmes de référence pour les études de partage ou de compatibilité, est à l'heure actuelle partiellement ou totalement indisponible. Provisoirement, les paramètres indiqués à l'Annexe 3 pour les mêmes bandes peuvent être employés.</w:t>
            </w:r>
          </w:p>
          <w:p w14:paraId="521084AF" w14:textId="5A8CC282" w:rsidR="00AF52EC" w:rsidRPr="00075DC8" w:rsidRDefault="00AF52EC" w:rsidP="00AF52EC">
            <w:pPr>
              <w:pStyle w:val="Tabletext"/>
              <w:ind w:left="284" w:hanging="284"/>
              <w:rPr>
                <w:sz w:val="18"/>
                <w:szCs w:val="18"/>
                <w:lang w:val="fr-FR" w:eastAsia="ja-JP"/>
              </w:rPr>
            </w:pPr>
            <w:r w:rsidRPr="00075DC8">
              <w:rPr>
                <w:sz w:val="18"/>
                <w:szCs w:val="18"/>
                <w:vertAlign w:val="superscript"/>
                <w:lang w:val="fr-FR" w:eastAsia="ja-JP"/>
              </w:rPr>
              <w:t>(1)</w:t>
            </w:r>
            <w:r w:rsidRPr="00075DC8">
              <w:rPr>
                <w:sz w:val="18"/>
                <w:szCs w:val="18"/>
                <w:vertAlign w:val="superscript"/>
                <w:lang w:val="fr-FR" w:eastAsia="ja-JP"/>
              </w:rPr>
              <w:tab/>
            </w:r>
            <w:r w:rsidRPr="00075DC8">
              <w:rPr>
                <w:sz w:val="18"/>
                <w:szCs w:val="18"/>
                <w:lang w:val="fr-FR" w:eastAsia="ja-JP"/>
              </w:rPr>
              <w:t xml:space="preserve">Pour calculer les valeurs des densités de puissance au niveau de l'émetteur ou des densités de p.i.r.e., il est nécessaire de définir l'espacement des canaux/la largeur de bande. Dans ces tableaux, l'espacement des canaux est indiqué en </w:t>
            </w:r>
            <w:r w:rsidRPr="00075DC8">
              <w:rPr>
                <w:b/>
                <w:bCs/>
                <w:sz w:val="18"/>
                <w:szCs w:val="18"/>
                <w:lang w:val="fr-FR" w:eastAsia="ja-JP"/>
              </w:rPr>
              <w:t>caractères gras</w:t>
            </w:r>
            <w:r w:rsidRPr="00075DC8">
              <w:rPr>
                <w:sz w:val="18"/>
                <w:szCs w:val="18"/>
                <w:lang w:val="fr-FR" w:eastAsia="ja-JP"/>
              </w:rPr>
              <w:t>. Lorsqu'une valeur modale (mode) est fournie, elle doit être considérée à titre indicatif dans la plage spécifiée et, par la suite, il pourra être nécessaire d'effectuer une analyse de la sensibilité, selon le cas, pour évaluer un potentiel de brouillage donné dû aux variations dans la plage spécifiée.</w:t>
            </w:r>
          </w:p>
        </w:tc>
      </w:tr>
      <w:tr w:rsidR="006801F0" w:rsidRPr="00075DC8" w14:paraId="422CBF0A" w14:textId="77777777" w:rsidTr="006801F0">
        <w:trPr>
          <w:gridAfter w:val="1"/>
          <w:wAfter w:w="9" w:type="dxa"/>
          <w:jc w:val="center"/>
        </w:trPr>
        <w:tc>
          <w:tcPr>
            <w:tcW w:w="14459" w:type="dxa"/>
            <w:gridSpan w:val="11"/>
            <w:tcBorders>
              <w:top w:val="nil"/>
              <w:left w:val="nil"/>
              <w:bottom w:val="nil"/>
              <w:right w:val="nil"/>
            </w:tcBorders>
            <w:tcMar>
              <w:left w:w="57" w:type="dxa"/>
              <w:right w:w="57" w:type="dxa"/>
            </w:tcMar>
          </w:tcPr>
          <w:p w14:paraId="069D30D3" w14:textId="77777777" w:rsidR="006801F0" w:rsidRPr="00075DC8" w:rsidRDefault="006801F0" w:rsidP="006801F0">
            <w:pPr>
              <w:pStyle w:val="Tabletext"/>
              <w:keepNext/>
              <w:keepLines/>
              <w:rPr>
                <w:i/>
                <w:iCs/>
                <w:sz w:val="18"/>
                <w:szCs w:val="18"/>
                <w:lang w:val="fr-FR"/>
              </w:rPr>
            </w:pPr>
            <w:r w:rsidRPr="00075DC8">
              <w:rPr>
                <w:i/>
                <w:iCs/>
                <w:sz w:val="18"/>
                <w:szCs w:val="18"/>
                <w:lang w:val="fr-FR"/>
              </w:rPr>
              <w:lastRenderedPageBreak/>
              <w:t>Notes relatives au Tableau 10 (fin):</w:t>
            </w:r>
          </w:p>
          <w:p w14:paraId="6AEEE9CD" w14:textId="7D094AFA" w:rsidR="006801F0" w:rsidRPr="00075DC8" w:rsidRDefault="006801F0" w:rsidP="006801F0">
            <w:pPr>
              <w:pStyle w:val="Tabletext"/>
              <w:ind w:left="284" w:hanging="284"/>
              <w:rPr>
                <w:sz w:val="18"/>
                <w:szCs w:val="18"/>
                <w:lang w:val="fr-FR" w:eastAsia="ja-JP"/>
              </w:rPr>
            </w:pPr>
            <w:r w:rsidRPr="00075DC8">
              <w:rPr>
                <w:sz w:val="18"/>
                <w:szCs w:val="18"/>
                <w:vertAlign w:val="superscript"/>
                <w:lang w:val="fr-FR" w:eastAsia="ja-JP"/>
              </w:rPr>
              <w:t>(2)</w:t>
            </w:r>
            <w:r w:rsidRPr="00075DC8">
              <w:rPr>
                <w:sz w:val="18"/>
                <w:szCs w:val="18"/>
                <w:lang w:val="fr-FR" w:eastAsia="ja-JP"/>
              </w:rPr>
              <w:tab/>
              <w:t>La densité nominale de puissance de brouillage de longue durée est définie par la «densité de puissance de bruit du récepteur + (</w:t>
            </w:r>
            <w:r w:rsidRPr="00075DC8">
              <w:rPr>
                <w:i/>
                <w:sz w:val="18"/>
                <w:szCs w:val="18"/>
                <w:lang w:val="fr-FR" w:eastAsia="ja-JP"/>
              </w:rPr>
              <w:t>I</w:t>
            </w:r>
            <w:r w:rsidRPr="00075DC8">
              <w:rPr>
                <w:sz w:val="18"/>
                <w:szCs w:val="18"/>
                <w:lang w:val="fr-FR" w:eastAsia="ja-JP"/>
              </w:rPr>
              <w:t>/</w:t>
            </w:r>
            <w:r w:rsidRPr="00075DC8">
              <w:rPr>
                <w:i/>
                <w:sz w:val="18"/>
                <w:szCs w:val="18"/>
                <w:lang w:val="fr-FR" w:eastAsia="ja-JP"/>
              </w:rPr>
              <w:t>N</w:t>
            </w:r>
            <w:r w:rsidRPr="00075DC8">
              <w:rPr>
                <w:iCs/>
                <w:sz w:val="18"/>
                <w:szCs w:val="18"/>
                <w:lang w:val="fr-FR" w:eastAsia="ja-JP"/>
              </w:rPr>
              <w:t xml:space="preserve"> requis</w:t>
            </w:r>
            <w:r w:rsidRPr="00075DC8">
              <w:rPr>
                <w:sz w:val="18"/>
                <w:szCs w:val="18"/>
                <w:lang w:val="fr-FR" w:eastAsia="ja-JP"/>
              </w:rPr>
              <w:t xml:space="preserve">)» comme décrit au </w:t>
            </w:r>
            <w:r w:rsidR="008B1840" w:rsidRPr="00075DC8">
              <w:rPr>
                <w:sz w:val="18"/>
                <w:szCs w:val="18"/>
                <w:lang w:val="fr-FR" w:eastAsia="ja-JP"/>
              </w:rPr>
              <w:t>§ </w:t>
            </w:r>
            <w:r w:rsidRPr="00075DC8">
              <w:rPr>
                <w:sz w:val="18"/>
                <w:szCs w:val="18"/>
                <w:lang w:val="fr-FR" w:eastAsia="ja-JP"/>
              </w:rPr>
              <w:t xml:space="preserve">4.13 de l'Annexe 2 (voir aussi le </w:t>
            </w:r>
            <w:r w:rsidR="008B1840" w:rsidRPr="00075DC8">
              <w:rPr>
                <w:sz w:val="18"/>
                <w:szCs w:val="18"/>
                <w:lang w:val="fr-FR" w:eastAsia="ja-JP"/>
              </w:rPr>
              <w:t>§ </w:t>
            </w:r>
            <w:r w:rsidRPr="00075DC8">
              <w:rPr>
                <w:sz w:val="18"/>
                <w:szCs w:val="18"/>
                <w:lang w:val="fr-FR" w:eastAsia="ja-JP"/>
              </w:rPr>
              <w:t>4.1 de l'Annexe 1).</w:t>
            </w:r>
          </w:p>
          <w:p w14:paraId="6A8C5581" w14:textId="77777777" w:rsidR="006801F0" w:rsidRPr="00075DC8" w:rsidRDefault="006801F0" w:rsidP="006801F0">
            <w:pPr>
              <w:pStyle w:val="Tabletext"/>
              <w:rPr>
                <w:sz w:val="18"/>
                <w:szCs w:val="18"/>
                <w:lang w:val="fr-FR" w:eastAsia="ja-JP"/>
              </w:rPr>
            </w:pPr>
            <w:r w:rsidRPr="00075DC8">
              <w:rPr>
                <w:sz w:val="18"/>
                <w:szCs w:val="18"/>
                <w:vertAlign w:val="superscript"/>
                <w:lang w:val="fr-FR" w:eastAsia="ja-JP"/>
              </w:rPr>
              <w:t>(3)</w:t>
            </w:r>
            <w:r w:rsidRPr="00075DC8">
              <w:rPr>
                <w:sz w:val="18"/>
                <w:szCs w:val="18"/>
                <w:lang w:val="fr-FR" w:eastAsia="ja-JP"/>
              </w:rPr>
              <w:tab/>
              <w:t>Cette valeur d'espacement des canaux n'est pas spécifiée dans la Recommandation de référence.</w:t>
            </w:r>
          </w:p>
          <w:p w14:paraId="24B935C5" w14:textId="77777777" w:rsidR="006801F0" w:rsidRPr="00075DC8" w:rsidRDefault="006801F0" w:rsidP="006801F0">
            <w:pPr>
              <w:pStyle w:val="Tabletext"/>
              <w:rPr>
                <w:sz w:val="18"/>
                <w:szCs w:val="18"/>
                <w:lang w:val="fr-FR" w:eastAsia="ja-JP"/>
              </w:rPr>
            </w:pPr>
            <w:r w:rsidRPr="00075DC8">
              <w:rPr>
                <w:sz w:val="18"/>
                <w:szCs w:val="18"/>
                <w:vertAlign w:val="superscript"/>
                <w:lang w:val="fr-FR" w:eastAsia="ja-JP"/>
              </w:rPr>
              <w:t>(4)</w:t>
            </w:r>
            <w:r w:rsidRPr="00075DC8">
              <w:rPr>
                <w:sz w:val="18"/>
                <w:szCs w:val="18"/>
                <w:lang w:val="fr-FR" w:eastAsia="ja-JP"/>
              </w:rPr>
              <w:tab/>
              <w:t>Ce système emploie une modulation adaptative entre MDPQ et MAQ-16 et MAQ-16 est choisie dans des conditions ordinaires. Ce système utilise la bande 25,27-26,98 GHz.</w:t>
            </w:r>
          </w:p>
          <w:p w14:paraId="70507C5D" w14:textId="77777777" w:rsidR="006801F0" w:rsidRPr="00075DC8" w:rsidRDefault="006801F0" w:rsidP="006801F0">
            <w:pPr>
              <w:pStyle w:val="Tabletext"/>
              <w:rPr>
                <w:sz w:val="18"/>
                <w:szCs w:val="18"/>
                <w:lang w:val="fr-FR" w:eastAsia="ja-JP"/>
              </w:rPr>
            </w:pPr>
            <w:r w:rsidRPr="00075DC8">
              <w:rPr>
                <w:sz w:val="18"/>
                <w:szCs w:val="18"/>
                <w:vertAlign w:val="superscript"/>
                <w:lang w:val="fr-FR"/>
              </w:rPr>
              <w:t>(5)</w:t>
            </w:r>
            <w:r w:rsidRPr="00075DC8">
              <w:rPr>
                <w:sz w:val="18"/>
                <w:szCs w:val="18"/>
                <w:lang w:val="fr-FR" w:eastAsia="ja-JP"/>
              </w:rPr>
              <w:tab/>
              <w:t>En Région 2, ce système utilise la bande 25,25-27,3 GHz.</w:t>
            </w:r>
          </w:p>
          <w:p w14:paraId="5ABFE5A8" w14:textId="77777777" w:rsidR="006801F0" w:rsidRPr="00075DC8" w:rsidRDefault="006801F0" w:rsidP="006801F0">
            <w:pPr>
              <w:pStyle w:val="Tabletext"/>
              <w:rPr>
                <w:sz w:val="18"/>
                <w:szCs w:val="18"/>
                <w:lang w:val="fr-FR"/>
              </w:rPr>
            </w:pPr>
            <w:r w:rsidRPr="00075DC8">
              <w:rPr>
                <w:sz w:val="18"/>
                <w:szCs w:val="18"/>
                <w:vertAlign w:val="superscript"/>
                <w:lang w:val="fr-FR" w:eastAsia="ja-JP"/>
              </w:rPr>
              <w:t>(6)</w:t>
            </w:r>
            <w:r w:rsidRPr="00075DC8">
              <w:rPr>
                <w:sz w:val="18"/>
                <w:szCs w:val="18"/>
                <w:lang w:val="fr-FR" w:eastAsia="ja-JP"/>
              </w:rPr>
              <w:tab/>
              <w:t>Largeur de bande du bloc de fréquences</w:t>
            </w:r>
            <w:r w:rsidRPr="00075DC8">
              <w:rPr>
                <w:sz w:val="18"/>
                <w:szCs w:val="18"/>
                <w:lang w:val="fr-FR"/>
              </w:rPr>
              <w:t>.</w:t>
            </w:r>
          </w:p>
          <w:p w14:paraId="15AA5287" w14:textId="0EDA5133" w:rsidR="006801F0" w:rsidRPr="00075DC8" w:rsidRDefault="006801F0" w:rsidP="006801F0">
            <w:pPr>
              <w:pStyle w:val="Tabletext"/>
              <w:keepNext/>
              <w:keepLines/>
              <w:ind w:left="284" w:hanging="284"/>
              <w:rPr>
                <w:sz w:val="18"/>
                <w:szCs w:val="18"/>
                <w:lang w:val="fr-FR" w:eastAsia="ja-JP"/>
              </w:rPr>
            </w:pPr>
            <w:r w:rsidRPr="00075DC8">
              <w:rPr>
                <w:sz w:val="18"/>
                <w:szCs w:val="18"/>
                <w:vertAlign w:val="superscript"/>
                <w:lang w:val="fr-FR" w:eastAsia="ja-JP"/>
              </w:rPr>
              <w:t>(7)</w:t>
            </w:r>
            <w:r w:rsidRPr="00075DC8">
              <w:rPr>
                <w:sz w:val="18"/>
                <w:szCs w:val="18"/>
                <w:lang w:val="fr-FR" w:eastAsia="ja-JP"/>
              </w:rPr>
              <w:tab/>
              <w:t>Ces valeurs des densités de puissance au niveau de l'émetteur ou des densités de p.i.r.e. ont été calculées à partir d'un espacement des canaux (largeur de bande) de 30 MHz dans un bloc de fréquences de 60 MHz.</w:t>
            </w:r>
          </w:p>
        </w:tc>
      </w:tr>
    </w:tbl>
    <w:p w14:paraId="785E0DB8" w14:textId="75A95F6A" w:rsidR="00725E50" w:rsidRPr="00075DC8" w:rsidRDefault="00725E50" w:rsidP="00BF0854">
      <w:pPr>
        <w:pStyle w:val="Tablefin"/>
        <w:rPr>
          <w:lang w:val="fr-FR"/>
        </w:rPr>
      </w:pPr>
    </w:p>
    <w:p w14:paraId="4B414A79" w14:textId="77777777" w:rsidR="00725E50" w:rsidRPr="00075DC8" w:rsidRDefault="00725E50" w:rsidP="003567D8">
      <w:pPr>
        <w:pStyle w:val="TableNo"/>
        <w:keepNext w:val="0"/>
        <w:rPr>
          <w:lang w:val="fr-FR"/>
        </w:rPr>
      </w:pPr>
      <w:r w:rsidRPr="00075DC8">
        <w:rPr>
          <w:lang w:val="fr-FR"/>
        </w:rPr>
        <w:t>TABLEAU 11</w:t>
      </w:r>
    </w:p>
    <w:p w14:paraId="22D2DCE6" w14:textId="77777777" w:rsidR="00725E50" w:rsidRPr="00075DC8" w:rsidRDefault="00725E50" w:rsidP="003567D8">
      <w:pPr>
        <w:pStyle w:val="Tabletitle"/>
        <w:keepNext w:val="0"/>
        <w:rPr>
          <w:lang w:val="fr-FR" w:eastAsia="ja-JP"/>
        </w:rPr>
      </w:pPr>
      <w:r w:rsidRPr="00075DC8">
        <w:rPr>
          <w:lang w:val="fr-FR" w:eastAsia="ja-JP"/>
        </w:rPr>
        <w:t>Paramètres des systèmes du service fixe de point à point dans les bandes attribuées comprises entre 36 et 59 GHz</w:t>
      </w:r>
    </w:p>
    <w:tbl>
      <w:tblPr>
        <w:tblW w:w="14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4"/>
        <w:gridCol w:w="1526"/>
        <w:gridCol w:w="1527"/>
        <w:gridCol w:w="1222"/>
        <w:gridCol w:w="1223"/>
        <w:gridCol w:w="1222"/>
        <w:gridCol w:w="1223"/>
        <w:gridCol w:w="1513"/>
        <w:gridCol w:w="1514"/>
      </w:tblGrid>
      <w:tr w:rsidR="00725E50" w:rsidRPr="00075DC8" w14:paraId="6CA64F2F" w14:textId="77777777" w:rsidTr="00AF52EC">
        <w:trPr>
          <w:jc w:val="center"/>
        </w:trPr>
        <w:tc>
          <w:tcPr>
            <w:tcW w:w="3504" w:type="dxa"/>
            <w:tcMar>
              <w:left w:w="57" w:type="dxa"/>
              <w:right w:w="57" w:type="dxa"/>
            </w:tcMar>
            <w:vAlign w:val="center"/>
          </w:tcPr>
          <w:p w14:paraId="0E712E56" w14:textId="77777777" w:rsidR="00725E50" w:rsidRPr="00075DC8" w:rsidRDefault="00725E50" w:rsidP="003567D8">
            <w:pPr>
              <w:pStyle w:val="Tablehead"/>
              <w:keepNext w:val="0"/>
              <w:rPr>
                <w:bCs/>
                <w:sz w:val="18"/>
                <w:szCs w:val="18"/>
                <w:lang w:val="fr-FR" w:eastAsia="ja-JP"/>
              </w:rPr>
            </w:pPr>
            <w:r w:rsidRPr="00075DC8">
              <w:rPr>
                <w:bCs/>
                <w:sz w:val="18"/>
                <w:szCs w:val="18"/>
                <w:lang w:val="fr-FR" w:eastAsia="ja-JP"/>
              </w:rPr>
              <w:t>Gamme de fréquences</w:t>
            </w:r>
            <w:r w:rsidRPr="00075DC8">
              <w:rPr>
                <w:bCs/>
                <w:sz w:val="18"/>
                <w:szCs w:val="18"/>
                <w:lang w:val="fr-FR" w:eastAsia="ja-JP"/>
              </w:rPr>
              <w:br/>
              <w:t>(GHz)</w:t>
            </w:r>
          </w:p>
        </w:tc>
        <w:tc>
          <w:tcPr>
            <w:tcW w:w="3053" w:type="dxa"/>
            <w:gridSpan w:val="2"/>
            <w:vAlign w:val="center"/>
          </w:tcPr>
          <w:p w14:paraId="270B575C" w14:textId="77777777" w:rsidR="00725E50" w:rsidRPr="00075DC8" w:rsidRDefault="00725E50" w:rsidP="003567D8">
            <w:pPr>
              <w:pStyle w:val="Tablehead"/>
              <w:keepNext w:val="0"/>
              <w:rPr>
                <w:bCs/>
                <w:sz w:val="18"/>
                <w:szCs w:val="18"/>
                <w:lang w:val="fr-FR"/>
              </w:rPr>
            </w:pPr>
            <w:r w:rsidRPr="00075DC8">
              <w:rPr>
                <w:bCs/>
                <w:sz w:val="18"/>
                <w:szCs w:val="18"/>
                <w:lang w:val="fr-FR" w:eastAsia="ja-JP"/>
              </w:rPr>
              <w:t>36,0-40,5</w:t>
            </w:r>
          </w:p>
        </w:tc>
        <w:tc>
          <w:tcPr>
            <w:tcW w:w="2445" w:type="dxa"/>
            <w:gridSpan w:val="2"/>
            <w:vAlign w:val="center"/>
          </w:tcPr>
          <w:p w14:paraId="79232E26" w14:textId="77777777" w:rsidR="00725E50" w:rsidRPr="00075DC8" w:rsidRDefault="00725E50" w:rsidP="003567D8">
            <w:pPr>
              <w:pStyle w:val="Tablehead"/>
              <w:keepNext w:val="0"/>
              <w:rPr>
                <w:bCs/>
                <w:sz w:val="18"/>
                <w:szCs w:val="18"/>
                <w:lang w:val="fr-FR" w:eastAsia="ja-JP"/>
              </w:rPr>
            </w:pPr>
            <w:r w:rsidRPr="00075DC8">
              <w:rPr>
                <w:bCs/>
                <w:sz w:val="18"/>
                <w:szCs w:val="18"/>
                <w:lang w:val="fr-FR" w:eastAsia="ja-JP"/>
              </w:rPr>
              <w:t>40,5-43,5</w:t>
            </w:r>
          </w:p>
        </w:tc>
        <w:tc>
          <w:tcPr>
            <w:tcW w:w="2445" w:type="dxa"/>
            <w:gridSpan w:val="2"/>
            <w:vAlign w:val="center"/>
          </w:tcPr>
          <w:p w14:paraId="55AE5DD1" w14:textId="77777777" w:rsidR="00725E50" w:rsidRPr="00075DC8" w:rsidRDefault="00725E50" w:rsidP="003567D8">
            <w:pPr>
              <w:pStyle w:val="Tablehead"/>
              <w:keepNext w:val="0"/>
              <w:rPr>
                <w:bCs/>
                <w:sz w:val="18"/>
                <w:szCs w:val="18"/>
                <w:lang w:val="fr-FR"/>
              </w:rPr>
            </w:pPr>
            <w:r w:rsidRPr="00075DC8">
              <w:rPr>
                <w:bCs/>
                <w:sz w:val="18"/>
                <w:szCs w:val="18"/>
                <w:lang w:val="fr-FR" w:eastAsia="ja-JP"/>
              </w:rPr>
              <w:t>51,4-52,6</w:t>
            </w:r>
          </w:p>
        </w:tc>
        <w:tc>
          <w:tcPr>
            <w:tcW w:w="3027" w:type="dxa"/>
            <w:gridSpan w:val="2"/>
            <w:vAlign w:val="center"/>
          </w:tcPr>
          <w:p w14:paraId="1D51F810" w14:textId="77777777" w:rsidR="00725E50" w:rsidRPr="00075DC8" w:rsidRDefault="00725E50" w:rsidP="003567D8">
            <w:pPr>
              <w:pStyle w:val="Tablehead"/>
              <w:keepNext w:val="0"/>
              <w:rPr>
                <w:bCs/>
                <w:sz w:val="18"/>
                <w:szCs w:val="18"/>
                <w:lang w:val="fr-FR" w:eastAsia="ja-JP"/>
              </w:rPr>
            </w:pPr>
            <w:r w:rsidRPr="00075DC8">
              <w:rPr>
                <w:bCs/>
                <w:sz w:val="18"/>
                <w:szCs w:val="18"/>
                <w:lang w:val="fr-FR" w:eastAsia="ja-JP"/>
              </w:rPr>
              <w:t>55,78-59,0</w:t>
            </w:r>
          </w:p>
        </w:tc>
      </w:tr>
      <w:tr w:rsidR="00725E50" w:rsidRPr="00075DC8" w14:paraId="3F844D78" w14:textId="77777777" w:rsidTr="00AF52EC">
        <w:trPr>
          <w:jc w:val="center"/>
        </w:trPr>
        <w:tc>
          <w:tcPr>
            <w:tcW w:w="3504" w:type="dxa"/>
            <w:tcMar>
              <w:left w:w="57" w:type="dxa"/>
              <w:right w:w="57" w:type="dxa"/>
            </w:tcMar>
          </w:tcPr>
          <w:p w14:paraId="4338A1F4" w14:textId="77777777" w:rsidR="00725E50" w:rsidRPr="00075DC8" w:rsidRDefault="00725E50" w:rsidP="003567D8">
            <w:pPr>
              <w:pStyle w:val="Tabletext"/>
              <w:jc w:val="left"/>
              <w:rPr>
                <w:sz w:val="18"/>
                <w:szCs w:val="18"/>
                <w:lang w:val="fr-FR"/>
              </w:rPr>
            </w:pPr>
            <w:r w:rsidRPr="00075DC8">
              <w:rPr>
                <w:sz w:val="18"/>
                <w:szCs w:val="18"/>
                <w:lang w:val="fr-FR"/>
              </w:rPr>
              <w:t>Recommandation UIT-R de référence</w:t>
            </w:r>
          </w:p>
        </w:tc>
        <w:tc>
          <w:tcPr>
            <w:tcW w:w="3053" w:type="dxa"/>
            <w:gridSpan w:val="2"/>
          </w:tcPr>
          <w:p w14:paraId="6EA9EC6C" w14:textId="77777777" w:rsidR="00725E50" w:rsidRPr="00075DC8" w:rsidRDefault="00725E50" w:rsidP="003567D8">
            <w:pPr>
              <w:pStyle w:val="Tabletext"/>
              <w:jc w:val="center"/>
              <w:rPr>
                <w:sz w:val="18"/>
                <w:szCs w:val="18"/>
                <w:lang w:val="fr-FR" w:eastAsia="ja-JP"/>
              </w:rPr>
            </w:pPr>
            <w:r w:rsidRPr="00075DC8">
              <w:rPr>
                <w:sz w:val="18"/>
                <w:szCs w:val="18"/>
                <w:lang w:val="fr-FR"/>
              </w:rPr>
              <w:t>F.</w:t>
            </w:r>
            <w:r w:rsidRPr="00075DC8">
              <w:rPr>
                <w:sz w:val="18"/>
                <w:szCs w:val="18"/>
                <w:lang w:val="fr-FR" w:eastAsia="ja-JP"/>
              </w:rPr>
              <w:t>749</w:t>
            </w:r>
          </w:p>
        </w:tc>
        <w:tc>
          <w:tcPr>
            <w:tcW w:w="2445" w:type="dxa"/>
            <w:gridSpan w:val="2"/>
          </w:tcPr>
          <w:p w14:paraId="07DFE2D3" w14:textId="77777777" w:rsidR="00725E50" w:rsidRPr="00075DC8" w:rsidRDefault="00725E50" w:rsidP="003567D8">
            <w:pPr>
              <w:pStyle w:val="Tabletext"/>
              <w:jc w:val="center"/>
              <w:rPr>
                <w:sz w:val="18"/>
                <w:szCs w:val="18"/>
                <w:lang w:val="fr-FR"/>
              </w:rPr>
            </w:pPr>
            <w:r w:rsidRPr="00075DC8">
              <w:rPr>
                <w:sz w:val="18"/>
                <w:szCs w:val="18"/>
                <w:lang w:val="fr-FR"/>
              </w:rPr>
              <w:t>F.2005</w:t>
            </w:r>
          </w:p>
        </w:tc>
        <w:tc>
          <w:tcPr>
            <w:tcW w:w="2445" w:type="dxa"/>
            <w:gridSpan w:val="2"/>
          </w:tcPr>
          <w:p w14:paraId="330D683C" w14:textId="77777777" w:rsidR="00725E50" w:rsidRPr="00075DC8" w:rsidRDefault="00725E50" w:rsidP="003567D8">
            <w:pPr>
              <w:pStyle w:val="Tabletext"/>
              <w:jc w:val="center"/>
              <w:rPr>
                <w:sz w:val="18"/>
                <w:szCs w:val="18"/>
                <w:lang w:val="fr-FR" w:eastAsia="ja-JP"/>
              </w:rPr>
            </w:pPr>
            <w:r w:rsidRPr="00075DC8">
              <w:rPr>
                <w:sz w:val="18"/>
                <w:szCs w:val="18"/>
                <w:lang w:val="fr-FR"/>
              </w:rPr>
              <w:t>F.</w:t>
            </w:r>
            <w:r w:rsidRPr="00075DC8">
              <w:rPr>
                <w:sz w:val="18"/>
                <w:szCs w:val="18"/>
                <w:lang w:val="fr-FR" w:eastAsia="ja-JP"/>
              </w:rPr>
              <w:t>1496</w:t>
            </w:r>
          </w:p>
        </w:tc>
        <w:tc>
          <w:tcPr>
            <w:tcW w:w="3027" w:type="dxa"/>
            <w:gridSpan w:val="2"/>
          </w:tcPr>
          <w:p w14:paraId="24648663" w14:textId="77777777" w:rsidR="00725E50" w:rsidRPr="00075DC8" w:rsidRDefault="00725E50" w:rsidP="003567D8">
            <w:pPr>
              <w:pStyle w:val="Tabletext"/>
              <w:jc w:val="center"/>
              <w:rPr>
                <w:sz w:val="18"/>
                <w:szCs w:val="18"/>
                <w:lang w:val="fr-FR" w:eastAsia="ja-JP"/>
              </w:rPr>
            </w:pPr>
            <w:r w:rsidRPr="00075DC8">
              <w:rPr>
                <w:sz w:val="18"/>
                <w:szCs w:val="18"/>
                <w:lang w:val="fr-FR"/>
              </w:rPr>
              <w:t>F.</w:t>
            </w:r>
            <w:r w:rsidRPr="00075DC8">
              <w:rPr>
                <w:sz w:val="18"/>
                <w:szCs w:val="18"/>
                <w:lang w:val="fr-FR" w:eastAsia="ja-JP"/>
              </w:rPr>
              <w:t>1497</w:t>
            </w:r>
          </w:p>
        </w:tc>
      </w:tr>
      <w:tr w:rsidR="00725E50" w:rsidRPr="00075DC8" w14:paraId="23B66A29" w14:textId="77777777" w:rsidTr="00AF52EC">
        <w:trPr>
          <w:jc w:val="center"/>
        </w:trPr>
        <w:tc>
          <w:tcPr>
            <w:tcW w:w="3504" w:type="dxa"/>
            <w:tcBorders>
              <w:bottom w:val="single" w:sz="4" w:space="0" w:color="auto"/>
            </w:tcBorders>
            <w:tcMar>
              <w:left w:w="57" w:type="dxa"/>
              <w:right w:w="57" w:type="dxa"/>
            </w:tcMar>
          </w:tcPr>
          <w:p w14:paraId="519CD5B3" w14:textId="77777777" w:rsidR="00725E50" w:rsidRPr="00075DC8" w:rsidRDefault="00725E50" w:rsidP="003567D8">
            <w:pPr>
              <w:pStyle w:val="Tabletext"/>
              <w:jc w:val="left"/>
              <w:rPr>
                <w:sz w:val="18"/>
                <w:szCs w:val="18"/>
                <w:lang w:val="fr-FR"/>
              </w:rPr>
            </w:pPr>
            <w:r w:rsidRPr="00075DC8">
              <w:rPr>
                <w:sz w:val="18"/>
                <w:szCs w:val="18"/>
                <w:lang w:val="fr-FR"/>
              </w:rPr>
              <w:t>Modulation</w:t>
            </w:r>
          </w:p>
        </w:tc>
        <w:tc>
          <w:tcPr>
            <w:tcW w:w="1526" w:type="dxa"/>
            <w:tcBorders>
              <w:bottom w:val="single" w:sz="4" w:space="0" w:color="auto"/>
            </w:tcBorders>
          </w:tcPr>
          <w:p w14:paraId="08BF1D75" w14:textId="77777777" w:rsidR="00725E50" w:rsidRPr="00075DC8" w:rsidRDefault="00725E50" w:rsidP="003567D8">
            <w:pPr>
              <w:pStyle w:val="Tabletext"/>
              <w:jc w:val="center"/>
              <w:rPr>
                <w:sz w:val="18"/>
                <w:szCs w:val="18"/>
                <w:lang w:val="fr-FR" w:eastAsia="ja-JP"/>
              </w:rPr>
            </w:pPr>
            <w:r w:rsidRPr="00075DC8">
              <w:rPr>
                <w:sz w:val="18"/>
                <w:szCs w:val="18"/>
                <w:lang w:val="fr-FR" w:eastAsia="ja-JP"/>
              </w:rPr>
              <w:t>MDPQ</w:t>
            </w:r>
          </w:p>
        </w:tc>
        <w:tc>
          <w:tcPr>
            <w:tcW w:w="1527" w:type="dxa"/>
            <w:tcBorders>
              <w:bottom w:val="single" w:sz="4" w:space="0" w:color="auto"/>
            </w:tcBorders>
          </w:tcPr>
          <w:p w14:paraId="26D9B46C" w14:textId="77777777" w:rsidR="00725E50" w:rsidRPr="00075DC8" w:rsidRDefault="00725E50" w:rsidP="003567D8">
            <w:pPr>
              <w:pStyle w:val="Tabletext"/>
              <w:jc w:val="center"/>
              <w:rPr>
                <w:sz w:val="18"/>
                <w:szCs w:val="18"/>
                <w:lang w:val="fr-FR" w:eastAsia="ja-JP"/>
              </w:rPr>
            </w:pPr>
            <w:r w:rsidRPr="00075DC8">
              <w:rPr>
                <w:sz w:val="18"/>
                <w:szCs w:val="18"/>
                <w:lang w:val="fr-FR" w:eastAsia="ja-JP"/>
              </w:rPr>
              <w:t>MAQ-32</w:t>
            </w:r>
          </w:p>
        </w:tc>
        <w:tc>
          <w:tcPr>
            <w:tcW w:w="1222" w:type="dxa"/>
            <w:tcBorders>
              <w:bottom w:val="single" w:sz="4" w:space="0" w:color="auto"/>
            </w:tcBorders>
          </w:tcPr>
          <w:p w14:paraId="08EB5F71" w14:textId="77777777" w:rsidR="00725E50" w:rsidRPr="00075DC8" w:rsidRDefault="00725E50" w:rsidP="003567D8">
            <w:pPr>
              <w:pStyle w:val="Tabletext"/>
              <w:jc w:val="center"/>
              <w:rPr>
                <w:sz w:val="18"/>
                <w:szCs w:val="18"/>
                <w:lang w:val="fr-FR" w:eastAsia="ja-JP"/>
              </w:rPr>
            </w:pPr>
            <w:r w:rsidRPr="00075DC8">
              <w:rPr>
                <w:sz w:val="18"/>
                <w:szCs w:val="18"/>
                <w:lang w:val="fr-FR" w:eastAsia="ja-JP"/>
              </w:rPr>
              <w:t>MDPQ</w:t>
            </w:r>
          </w:p>
        </w:tc>
        <w:tc>
          <w:tcPr>
            <w:tcW w:w="1223" w:type="dxa"/>
            <w:tcBorders>
              <w:bottom w:val="single" w:sz="4" w:space="0" w:color="auto"/>
            </w:tcBorders>
          </w:tcPr>
          <w:p w14:paraId="48B91B1C" w14:textId="77777777" w:rsidR="00725E50" w:rsidRPr="00075DC8" w:rsidRDefault="00725E50" w:rsidP="003567D8">
            <w:pPr>
              <w:pStyle w:val="Tabletext"/>
              <w:jc w:val="center"/>
              <w:rPr>
                <w:sz w:val="18"/>
                <w:szCs w:val="18"/>
                <w:lang w:val="fr-FR" w:eastAsia="ja-JP"/>
              </w:rPr>
            </w:pPr>
            <w:r w:rsidRPr="00075DC8">
              <w:rPr>
                <w:sz w:val="18"/>
                <w:szCs w:val="18"/>
                <w:lang w:val="fr-FR" w:eastAsia="ja-JP"/>
              </w:rPr>
              <w:t>MAQ-256</w:t>
            </w:r>
          </w:p>
        </w:tc>
        <w:tc>
          <w:tcPr>
            <w:tcW w:w="1222" w:type="dxa"/>
            <w:tcBorders>
              <w:bottom w:val="single" w:sz="4" w:space="0" w:color="auto"/>
            </w:tcBorders>
          </w:tcPr>
          <w:p w14:paraId="0051EFB2" w14:textId="77777777" w:rsidR="00725E50" w:rsidRPr="00075DC8" w:rsidRDefault="00725E50" w:rsidP="003567D8">
            <w:pPr>
              <w:pStyle w:val="Tabletext"/>
              <w:jc w:val="center"/>
              <w:rPr>
                <w:sz w:val="18"/>
                <w:szCs w:val="18"/>
                <w:lang w:val="fr-FR" w:eastAsia="ja-JP"/>
              </w:rPr>
            </w:pPr>
            <w:r w:rsidRPr="00075DC8">
              <w:rPr>
                <w:sz w:val="18"/>
                <w:szCs w:val="18"/>
                <w:lang w:val="fr-FR" w:eastAsia="ja-JP"/>
              </w:rPr>
              <w:t>……..</w:t>
            </w:r>
          </w:p>
        </w:tc>
        <w:tc>
          <w:tcPr>
            <w:tcW w:w="1223" w:type="dxa"/>
            <w:tcBorders>
              <w:bottom w:val="single" w:sz="4" w:space="0" w:color="auto"/>
            </w:tcBorders>
          </w:tcPr>
          <w:p w14:paraId="62653011" w14:textId="77777777" w:rsidR="00725E50" w:rsidRPr="00075DC8" w:rsidRDefault="00725E50" w:rsidP="003567D8">
            <w:pPr>
              <w:pStyle w:val="Tabletext"/>
              <w:jc w:val="center"/>
              <w:rPr>
                <w:sz w:val="18"/>
                <w:szCs w:val="18"/>
                <w:lang w:val="fr-FR" w:eastAsia="ja-JP"/>
              </w:rPr>
            </w:pPr>
            <w:r w:rsidRPr="00075DC8">
              <w:rPr>
                <w:sz w:val="18"/>
                <w:szCs w:val="18"/>
                <w:lang w:val="fr-FR" w:eastAsia="ja-JP"/>
              </w:rPr>
              <w:t>……..</w:t>
            </w:r>
          </w:p>
        </w:tc>
        <w:tc>
          <w:tcPr>
            <w:tcW w:w="1513" w:type="dxa"/>
            <w:tcBorders>
              <w:bottom w:val="single" w:sz="4" w:space="0" w:color="auto"/>
            </w:tcBorders>
          </w:tcPr>
          <w:p w14:paraId="5EF1E30D" w14:textId="77777777" w:rsidR="00725E50" w:rsidRPr="00075DC8" w:rsidRDefault="00725E50" w:rsidP="003567D8">
            <w:pPr>
              <w:pStyle w:val="Tabletext"/>
              <w:jc w:val="center"/>
              <w:rPr>
                <w:sz w:val="18"/>
                <w:szCs w:val="18"/>
                <w:lang w:val="fr-FR" w:eastAsia="ja-JP"/>
              </w:rPr>
            </w:pPr>
            <w:r w:rsidRPr="00075DC8">
              <w:rPr>
                <w:sz w:val="18"/>
                <w:szCs w:val="18"/>
                <w:lang w:val="fr-FR" w:eastAsia="ja-JP"/>
              </w:rPr>
              <w:t>MDF</w:t>
            </w:r>
          </w:p>
        </w:tc>
        <w:tc>
          <w:tcPr>
            <w:tcW w:w="1514" w:type="dxa"/>
            <w:tcBorders>
              <w:bottom w:val="single" w:sz="4" w:space="0" w:color="auto"/>
            </w:tcBorders>
          </w:tcPr>
          <w:p w14:paraId="00A06103" w14:textId="77777777" w:rsidR="00725E50" w:rsidRPr="00075DC8" w:rsidRDefault="00725E50" w:rsidP="003567D8">
            <w:pPr>
              <w:pStyle w:val="Tabletext"/>
              <w:jc w:val="center"/>
              <w:rPr>
                <w:sz w:val="18"/>
                <w:szCs w:val="18"/>
                <w:lang w:val="fr-FR" w:eastAsia="ja-JP"/>
              </w:rPr>
            </w:pPr>
            <w:r w:rsidRPr="00075DC8">
              <w:rPr>
                <w:sz w:val="18"/>
                <w:szCs w:val="18"/>
                <w:lang w:val="fr-FR" w:eastAsia="ja-JP"/>
              </w:rPr>
              <w:t>……..</w:t>
            </w:r>
          </w:p>
        </w:tc>
      </w:tr>
      <w:tr w:rsidR="00725E50" w:rsidRPr="00075DC8" w14:paraId="00AF5B8B" w14:textId="77777777" w:rsidTr="00AF52EC">
        <w:trPr>
          <w:jc w:val="center"/>
        </w:trPr>
        <w:tc>
          <w:tcPr>
            <w:tcW w:w="3504" w:type="dxa"/>
            <w:tcBorders>
              <w:bottom w:val="single" w:sz="2" w:space="0" w:color="auto"/>
            </w:tcBorders>
            <w:tcMar>
              <w:left w:w="57" w:type="dxa"/>
              <w:right w:w="57" w:type="dxa"/>
            </w:tcMar>
          </w:tcPr>
          <w:p w14:paraId="281377F8" w14:textId="77777777" w:rsidR="00725E50" w:rsidRPr="00075DC8" w:rsidRDefault="00725E50" w:rsidP="003567D8">
            <w:pPr>
              <w:pStyle w:val="Tabletext"/>
              <w:jc w:val="left"/>
              <w:rPr>
                <w:sz w:val="18"/>
                <w:szCs w:val="18"/>
                <w:lang w:val="fr-FR"/>
              </w:rPr>
            </w:pPr>
            <w:r w:rsidRPr="00075DC8">
              <w:rPr>
                <w:sz w:val="18"/>
                <w:szCs w:val="18"/>
                <w:lang w:val="fr-FR"/>
              </w:rPr>
              <w:t>Espacement des canaux et largeur de bande de bruit du récepteur (MHz)</w:t>
            </w:r>
          </w:p>
        </w:tc>
        <w:tc>
          <w:tcPr>
            <w:tcW w:w="1526" w:type="dxa"/>
            <w:tcBorders>
              <w:bottom w:val="single" w:sz="2" w:space="0" w:color="auto"/>
            </w:tcBorders>
          </w:tcPr>
          <w:p w14:paraId="0DEE389B" w14:textId="77777777" w:rsidR="00725E50" w:rsidRPr="00075DC8" w:rsidRDefault="00725E50" w:rsidP="003567D8">
            <w:pPr>
              <w:pStyle w:val="Tabletext"/>
              <w:jc w:val="center"/>
              <w:rPr>
                <w:sz w:val="18"/>
                <w:szCs w:val="18"/>
                <w:lang w:val="fr-FR" w:eastAsia="ja-JP"/>
              </w:rPr>
            </w:pPr>
            <w:r w:rsidRPr="00075DC8">
              <w:rPr>
                <w:sz w:val="18"/>
                <w:szCs w:val="18"/>
                <w:lang w:val="fr-FR" w:eastAsia="ja-JP"/>
              </w:rPr>
              <w:t>2,</w:t>
            </w:r>
            <w:r w:rsidRPr="00075DC8">
              <w:rPr>
                <w:sz w:val="18"/>
                <w:szCs w:val="18"/>
                <w:lang w:val="fr-FR"/>
              </w:rPr>
              <w:t>5</w:t>
            </w:r>
            <w:r w:rsidRPr="00075DC8">
              <w:rPr>
                <w:sz w:val="18"/>
                <w:szCs w:val="18"/>
                <w:lang w:val="fr-FR" w:eastAsia="ja-JP"/>
              </w:rPr>
              <w:t>; 3,5; 7; 14; </w:t>
            </w:r>
            <w:r w:rsidRPr="00075DC8">
              <w:rPr>
                <w:b/>
                <w:bCs/>
                <w:sz w:val="18"/>
                <w:szCs w:val="18"/>
                <w:lang w:val="fr-FR" w:eastAsia="ja-JP"/>
              </w:rPr>
              <w:t>28</w:t>
            </w:r>
            <w:r w:rsidRPr="00075DC8">
              <w:rPr>
                <w:sz w:val="18"/>
                <w:szCs w:val="18"/>
                <w:lang w:val="fr-FR" w:eastAsia="ja-JP"/>
              </w:rPr>
              <w:t>; 56; 112; 140; 224</w:t>
            </w:r>
          </w:p>
        </w:tc>
        <w:tc>
          <w:tcPr>
            <w:tcW w:w="1527" w:type="dxa"/>
            <w:tcBorders>
              <w:bottom w:val="single" w:sz="2" w:space="0" w:color="auto"/>
            </w:tcBorders>
          </w:tcPr>
          <w:p w14:paraId="06FE436E" w14:textId="77777777" w:rsidR="00725E50" w:rsidRPr="00075DC8" w:rsidRDefault="00725E50" w:rsidP="003567D8">
            <w:pPr>
              <w:pStyle w:val="Tabletext"/>
              <w:jc w:val="center"/>
              <w:rPr>
                <w:sz w:val="18"/>
                <w:szCs w:val="18"/>
                <w:lang w:val="fr-FR"/>
              </w:rPr>
            </w:pPr>
            <w:r w:rsidRPr="00075DC8">
              <w:rPr>
                <w:sz w:val="18"/>
                <w:szCs w:val="18"/>
                <w:lang w:val="fr-FR" w:eastAsia="ja-JP"/>
              </w:rPr>
              <w:t>2,</w:t>
            </w:r>
            <w:r w:rsidRPr="00075DC8">
              <w:rPr>
                <w:sz w:val="18"/>
                <w:szCs w:val="18"/>
                <w:lang w:val="fr-FR"/>
              </w:rPr>
              <w:t>5</w:t>
            </w:r>
            <w:r w:rsidRPr="00075DC8">
              <w:rPr>
                <w:sz w:val="18"/>
                <w:szCs w:val="18"/>
                <w:lang w:val="fr-FR" w:eastAsia="ja-JP"/>
              </w:rPr>
              <w:t xml:space="preserve">; 3,5; 7; 10; 14; 28; 30; 40; 50; </w:t>
            </w:r>
            <w:r w:rsidRPr="00075DC8">
              <w:rPr>
                <w:b/>
                <w:bCs/>
                <w:sz w:val="18"/>
                <w:szCs w:val="18"/>
                <w:lang w:val="fr-FR" w:eastAsia="ja-JP"/>
              </w:rPr>
              <w:t>56</w:t>
            </w:r>
            <w:r w:rsidRPr="00075DC8">
              <w:rPr>
                <w:sz w:val="18"/>
                <w:szCs w:val="18"/>
                <w:lang w:val="fr-FR" w:eastAsia="ja-JP"/>
              </w:rPr>
              <w:t>; 112; 140; 224</w:t>
            </w:r>
          </w:p>
        </w:tc>
        <w:tc>
          <w:tcPr>
            <w:tcW w:w="1222" w:type="dxa"/>
            <w:tcBorders>
              <w:bottom w:val="single" w:sz="2" w:space="0" w:color="auto"/>
            </w:tcBorders>
          </w:tcPr>
          <w:p w14:paraId="636D75C3" w14:textId="77777777" w:rsidR="00725E50" w:rsidRPr="00075DC8" w:rsidRDefault="00725E50" w:rsidP="003567D8">
            <w:pPr>
              <w:pStyle w:val="Tabletext"/>
              <w:jc w:val="center"/>
              <w:rPr>
                <w:sz w:val="18"/>
                <w:szCs w:val="18"/>
                <w:lang w:val="fr-FR" w:eastAsia="ja-JP"/>
              </w:rPr>
            </w:pPr>
            <w:r w:rsidRPr="00075DC8">
              <w:rPr>
                <w:sz w:val="18"/>
                <w:szCs w:val="18"/>
                <w:lang w:val="fr-FR" w:eastAsia="ja-JP"/>
              </w:rPr>
              <w:t xml:space="preserve">7; 14; </w:t>
            </w:r>
            <w:r w:rsidRPr="00075DC8">
              <w:rPr>
                <w:b/>
                <w:bCs/>
                <w:sz w:val="18"/>
                <w:szCs w:val="18"/>
                <w:lang w:val="fr-FR" w:eastAsia="ja-JP"/>
              </w:rPr>
              <w:t>28</w:t>
            </w:r>
            <w:r w:rsidRPr="00075DC8">
              <w:rPr>
                <w:sz w:val="18"/>
                <w:szCs w:val="18"/>
                <w:lang w:val="fr-FR" w:eastAsia="ja-JP"/>
              </w:rPr>
              <w:t>; 56; 112; 224</w:t>
            </w:r>
          </w:p>
        </w:tc>
        <w:tc>
          <w:tcPr>
            <w:tcW w:w="1223" w:type="dxa"/>
            <w:tcBorders>
              <w:bottom w:val="single" w:sz="2" w:space="0" w:color="auto"/>
            </w:tcBorders>
          </w:tcPr>
          <w:p w14:paraId="794BB522" w14:textId="77777777" w:rsidR="00725E50" w:rsidRPr="00075DC8" w:rsidRDefault="00725E50" w:rsidP="003567D8">
            <w:pPr>
              <w:pStyle w:val="Tabletext"/>
              <w:jc w:val="center"/>
              <w:rPr>
                <w:sz w:val="18"/>
                <w:szCs w:val="18"/>
                <w:lang w:val="fr-FR" w:eastAsia="ja-JP"/>
              </w:rPr>
            </w:pPr>
            <w:r w:rsidRPr="00075DC8">
              <w:rPr>
                <w:sz w:val="18"/>
                <w:szCs w:val="18"/>
                <w:lang w:val="fr-FR" w:eastAsia="ja-JP"/>
              </w:rPr>
              <w:t xml:space="preserve">7; 14; 28; </w:t>
            </w:r>
            <w:r w:rsidRPr="00075DC8">
              <w:rPr>
                <w:b/>
                <w:bCs/>
                <w:sz w:val="18"/>
                <w:szCs w:val="18"/>
                <w:lang w:val="fr-FR" w:eastAsia="ja-JP"/>
              </w:rPr>
              <w:t>56</w:t>
            </w:r>
            <w:r w:rsidRPr="00075DC8">
              <w:rPr>
                <w:sz w:val="18"/>
                <w:szCs w:val="18"/>
                <w:lang w:val="fr-FR" w:eastAsia="ja-JP"/>
              </w:rPr>
              <w:t>; 112; 224</w:t>
            </w:r>
          </w:p>
        </w:tc>
        <w:tc>
          <w:tcPr>
            <w:tcW w:w="1222" w:type="dxa"/>
            <w:tcBorders>
              <w:bottom w:val="single" w:sz="2" w:space="0" w:color="auto"/>
            </w:tcBorders>
          </w:tcPr>
          <w:p w14:paraId="6870C219" w14:textId="77777777" w:rsidR="00725E50" w:rsidRPr="00075DC8" w:rsidRDefault="00725E50" w:rsidP="003567D8">
            <w:pPr>
              <w:pStyle w:val="Tabletext"/>
              <w:jc w:val="center"/>
              <w:rPr>
                <w:sz w:val="18"/>
                <w:szCs w:val="18"/>
                <w:lang w:val="fr-FR"/>
              </w:rPr>
            </w:pPr>
            <w:r w:rsidRPr="00075DC8">
              <w:rPr>
                <w:sz w:val="18"/>
                <w:szCs w:val="18"/>
                <w:lang w:val="fr-FR" w:eastAsia="ja-JP"/>
              </w:rPr>
              <w:t>3,5; 7; 14; 28; 56</w:t>
            </w:r>
          </w:p>
        </w:tc>
        <w:tc>
          <w:tcPr>
            <w:tcW w:w="1223" w:type="dxa"/>
            <w:tcBorders>
              <w:bottom w:val="single" w:sz="2" w:space="0" w:color="auto"/>
            </w:tcBorders>
          </w:tcPr>
          <w:p w14:paraId="48D336E3" w14:textId="77777777" w:rsidR="00725E50" w:rsidRPr="00075DC8" w:rsidRDefault="00725E50" w:rsidP="003567D8">
            <w:pPr>
              <w:pStyle w:val="Tabletext"/>
              <w:jc w:val="center"/>
              <w:rPr>
                <w:sz w:val="18"/>
                <w:szCs w:val="18"/>
                <w:lang w:val="fr-FR" w:eastAsia="ja-JP"/>
              </w:rPr>
            </w:pPr>
            <w:r w:rsidRPr="00075DC8">
              <w:rPr>
                <w:sz w:val="18"/>
                <w:szCs w:val="18"/>
                <w:lang w:val="fr-FR" w:eastAsia="ja-JP"/>
              </w:rPr>
              <w:t>3,5; 7; 14; 28; 56</w:t>
            </w:r>
          </w:p>
        </w:tc>
        <w:tc>
          <w:tcPr>
            <w:tcW w:w="1513" w:type="dxa"/>
            <w:tcBorders>
              <w:bottom w:val="single" w:sz="2" w:space="0" w:color="auto"/>
            </w:tcBorders>
          </w:tcPr>
          <w:p w14:paraId="69ED7B54" w14:textId="77777777" w:rsidR="00725E50" w:rsidRPr="00075DC8" w:rsidRDefault="00725E50" w:rsidP="003567D8">
            <w:pPr>
              <w:pStyle w:val="Tabletext"/>
              <w:jc w:val="center"/>
              <w:rPr>
                <w:sz w:val="18"/>
                <w:szCs w:val="18"/>
                <w:lang w:val="fr-FR" w:eastAsia="ja-JP"/>
              </w:rPr>
            </w:pPr>
            <w:r w:rsidRPr="00075DC8">
              <w:rPr>
                <w:sz w:val="18"/>
                <w:szCs w:val="18"/>
                <w:lang w:val="fr-FR" w:eastAsia="ja-JP"/>
              </w:rPr>
              <w:t xml:space="preserve">3,5; 7; </w:t>
            </w:r>
            <w:r w:rsidRPr="00075DC8">
              <w:rPr>
                <w:b/>
                <w:bCs/>
                <w:sz w:val="18"/>
                <w:szCs w:val="18"/>
                <w:lang w:val="fr-FR" w:eastAsia="ja-JP"/>
              </w:rPr>
              <w:t>10</w:t>
            </w:r>
            <w:r w:rsidRPr="00075DC8">
              <w:rPr>
                <w:sz w:val="18"/>
                <w:szCs w:val="18"/>
                <w:vertAlign w:val="superscript"/>
                <w:lang w:val="fr-FR" w:eastAsia="ja-JP"/>
              </w:rPr>
              <w:t>(3)</w:t>
            </w:r>
            <w:r w:rsidRPr="00075DC8">
              <w:rPr>
                <w:sz w:val="18"/>
                <w:szCs w:val="18"/>
                <w:lang w:val="fr-FR" w:eastAsia="ja-JP"/>
              </w:rPr>
              <w:t xml:space="preserve">; 14; </w:t>
            </w:r>
            <w:r w:rsidRPr="00075DC8">
              <w:rPr>
                <w:b/>
                <w:bCs/>
                <w:sz w:val="18"/>
                <w:szCs w:val="18"/>
                <w:lang w:val="fr-FR" w:eastAsia="ja-JP"/>
              </w:rPr>
              <w:t>20</w:t>
            </w:r>
            <w:r w:rsidRPr="00075DC8">
              <w:rPr>
                <w:sz w:val="18"/>
                <w:szCs w:val="18"/>
                <w:vertAlign w:val="superscript"/>
                <w:lang w:val="fr-FR" w:eastAsia="ja-JP"/>
              </w:rPr>
              <w:t>(3)</w:t>
            </w:r>
            <w:r w:rsidRPr="00075DC8">
              <w:rPr>
                <w:sz w:val="18"/>
                <w:szCs w:val="18"/>
                <w:lang w:val="fr-FR" w:eastAsia="ja-JP"/>
              </w:rPr>
              <w:t xml:space="preserve">; 28; </w:t>
            </w:r>
            <w:r w:rsidRPr="00075DC8">
              <w:rPr>
                <w:b/>
                <w:bCs/>
                <w:sz w:val="18"/>
                <w:szCs w:val="18"/>
                <w:lang w:val="fr-FR" w:eastAsia="ja-JP"/>
              </w:rPr>
              <w:t>30</w:t>
            </w:r>
            <w:r w:rsidRPr="00075DC8">
              <w:rPr>
                <w:sz w:val="18"/>
                <w:szCs w:val="18"/>
                <w:vertAlign w:val="superscript"/>
                <w:lang w:val="fr-FR" w:eastAsia="ja-JP"/>
              </w:rPr>
              <w:t>(3)</w:t>
            </w:r>
            <w:r w:rsidRPr="00075DC8">
              <w:rPr>
                <w:sz w:val="18"/>
                <w:szCs w:val="18"/>
                <w:lang w:val="fr-FR" w:eastAsia="ja-JP"/>
              </w:rPr>
              <w:t xml:space="preserve">; </w:t>
            </w:r>
            <w:r w:rsidRPr="00075DC8">
              <w:rPr>
                <w:b/>
                <w:bCs/>
                <w:sz w:val="18"/>
                <w:szCs w:val="18"/>
                <w:lang w:val="fr-FR" w:eastAsia="ja-JP"/>
              </w:rPr>
              <w:t>40</w:t>
            </w:r>
            <w:r w:rsidRPr="00075DC8">
              <w:rPr>
                <w:sz w:val="18"/>
                <w:szCs w:val="18"/>
                <w:vertAlign w:val="superscript"/>
                <w:lang w:val="fr-FR" w:eastAsia="ja-JP"/>
              </w:rPr>
              <w:t>(3)</w:t>
            </w:r>
            <w:r w:rsidRPr="00075DC8">
              <w:rPr>
                <w:sz w:val="18"/>
                <w:szCs w:val="18"/>
                <w:lang w:val="fr-FR" w:eastAsia="ja-JP"/>
              </w:rPr>
              <w:t xml:space="preserve"> </w:t>
            </w:r>
            <w:r w:rsidRPr="00075DC8">
              <w:rPr>
                <w:b/>
                <w:bCs/>
                <w:sz w:val="18"/>
                <w:szCs w:val="18"/>
                <w:lang w:val="fr-FR" w:eastAsia="ja-JP"/>
              </w:rPr>
              <w:t>50</w:t>
            </w:r>
            <w:r w:rsidRPr="00075DC8">
              <w:rPr>
                <w:sz w:val="18"/>
                <w:szCs w:val="18"/>
                <w:lang w:val="fr-FR" w:eastAsia="ja-JP"/>
              </w:rPr>
              <w:t>; 56;</w:t>
            </w:r>
            <w:r w:rsidRPr="00075DC8">
              <w:rPr>
                <w:sz w:val="18"/>
                <w:szCs w:val="18"/>
                <w:lang w:val="fr-FR"/>
              </w:rPr>
              <w:t xml:space="preserve"> </w:t>
            </w:r>
            <w:r w:rsidRPr="00075DC8">
              <w:rPr>
                <w:sz w:val="18"/>
                <w:szCs w:val="18"/>
                <w:lang w:val="fr-FR" w:eastAsia="ja-JP"/>
              </w:rPr>
              <w:t>100</w:t>
            </w:r>
          </w:p>
        </w:tc>
        <w:tc>
          <w:tcPr>
            <w:tcW w:w="1514" w:type="dxa"/>
            <w:tcBorders>
              <w:bottom w:val="single" w:sz="2" w:space="0" w:color="auto"/>
            </w:tcBorders>
          </w:tcPr>
          <w:p w14:paraId="56A12FB0" w14:textId="77777777" w:rsidR="00725E50" w:rsidRPr="00075DC8" w:rsidRDefault="00725E50" w:rsidP="003567D8">
            <w:pPr>
              <w:pStyle w:val="Tabletext"/>
              <w:jc w:val="center"/>
              <w:rPr>
                <w:sz w:val="18"/>
                <w:szCs w:val="18"/>
                <w:lang w:val="fr-FR" w:eastAsia="ja-JP"/>
              </w:rPr>
            </w:pPr>
            <w:r w:rsidRPr="00075DC8">
              <w:rPr>
                <w:sz w:val="18"/>
                <w:szCs w:val="18"/>
                <w:lang w:val="fr-FR" w:eastAsia="ja-JP"/>
              </w:rPr>
              <w:t>3,5; 7; 14; 28; 50; 56; 100</w:t>
            </w:r>
          </w:p>
        </w:tc>
      </w:tr>
      <w:tr w:rsidR="00AF52EC" w:rsidRPr="00075DC8" w14:paraId="377E7F0D" w14:textId="77777777" w:rsidTr="00AF52EC">
        <w:trPr>
          <w:jc w:val="center"/>
        </w:trPr>
        <w:tc>
          <w:tcPr>
            <w:tcW w:w="3504" w:type="dxa"/>
            <w:tcMar>
              <w:left w:w="57" w:type="dxa"/>
              <w:right w:w="57" w:type="dxa"/>
            </w:tcMar>
          </w:tcPr>
          <w:p w14:paraId="6257867C" w14:textId="32BE9D02" w:rsidR="00AF52EC" w:rsidRPr="00075DC8" w:rsidRDefault="00AF52EC" w:rsidP="003567D8">
            <w:pPr>
              <w:pStyle w:val="Tabletext"/>
              <w:jc w:val="left"/>
              <w:rPr>
                <w:sz w:val="18"/>
                <w:szCs w:val="18"/>
                <w:lang w:val="fr-FR"/>
              </w:rPr>
            </w:pPr>
            <w:r w:rsidRPr="00075DC8">
              <w:rPr>
                <w:sz w:val="18"/>
                <w:szCs w:val="18"/>
                <w:lang w:val="fr-FR" w:eastAsia="ja-JP"/>
              </w:rPr>
              <w:t>Plage des puissances de sortie au niveau de l'émetteur (dBW)</w:t>
            </w:r>
          </w:p>
        </w:tc>
        <w:tc>
          <w:tcPr>
            <w:tcW w:w="1526" w:type="dxa"/>
          </w:tcPr>
          <w:p w14:paraId="52CF3C95" w14:textId="77777777" w:rsidR="00AF52EC" w:rsidRPr="00075DC8" w:rsidRDefault="00AF52EC" w:rsidP="003567D8">
            <w:pPr>
              <w:pStyle w:val="Tabletext"/>
              <w:jc w:val="center"/>
              <w:rPr>
                <w:sz w:val="18"/>
                <w:szCs w:val="18"/>
                <w:lang w:val="fr-FR" w:eastAsia="ja-JP"/>
              </w:rPr>
            </w:pPr>
            <w:r w:rsidRPr="00075DC8">
              <w:rPr>
                <w:sz w:val="18"/>
                <w:szCs w:val="18"/>
                <w:lang w:val="fr-FR"/>
              </w:rPr>
              <w:t>−60…−15</w:t>
            </w:r>
          </w:p>
        </w:tc>
        <w:tc>
          <w:tcPr>
            <w:tcW w:w="1527" w:type="dxa"/>
          </w:tcPr>
          <w:p w14:paraId="7353F6E5" w14:textId="77777777" w:rsidR="00AF52EC" w:rsidRPr="00075DC8" w:rsidRDefault="00AF52EC" w:rsidP="003567D8">
            <w:pPr>
              <w:pStyle w:val="Tabletext"/>
              <w:jc w:val="center"/>
              <w:rPr>
                <w:sz w:val="18"/>
                <w:szCs w:val="18"/>
                <w:lang w:val="fr-FR" w:eastAsia="ja-JP"/>
              </w:rPr>
            </w:pPr>
            <w:r w:rsidRPr="00075DC8">
              <w:rPr>
                <w:sz w:val="18"/>
                <w:szCs w:val="18"/>
                <w:lang w:val="fr-FR"/>
              </w:rPr>
              <w:t>−37,5…−16,5</w:t>
            </w:r>
          </w:p>
        </w:tc>
        <w:tc>
          <w:tcPr>
            <w:tcW w:w="1222" w:type="dxa"/>
          </w:tcPr>
          <w:p w14:paraId="77339611" w14:textId="77777777" w:rsidR="00AF52EC" w:rsidRPr="00075DC8" w:rsidRDefault="00AF52EC" w:rsidP="003567D8">
            <w:pPr>
              <w:pStyle w:val="Tabletext"/>
              <w:jc w:val="center"/>
              <w:rPr>
                <w:sz w:val="18"/>
                <w:szCs w:val="18"/>
                <w:lang w:val="fr-FR" w:eastAsia="ja-JP"/>
              </w:rPr>
            </w:pPr>
            <w:r w:rsidRPr="00075DC8">
              <w:rPr>
                <w:sz w:val="18"/>
                <w:szCs w:val="18"/>
                <w:lang w:val="fr-FR"/>
              </w:rPr>
              <w:t>−</w:t>
            </w:r>
            <w:r w:rsidRPr="00075DC8">
              <w:rPr>
                <w:sz w:val="18"/>
                <w:szCs w:val="18"/>
                <w:lang w:val="fr-FR" w:eastAsia="ja-JP"/>
              </w:rPr>
              <w:t>10</w:t>
            </w:r>
          </w:p>
        </w:tc>
        <w:tc>
          <w:tcPr>
            <w:tcW w:w="1223" w:type="dxa"/>
          </w:tcPr>
          <w:p w14:paraId="1110F327" w14:textId="77777777" w:rsidR="00AF52EC" w:rsidRPr="00075DC8" w:rsidRDefault="00AF52EC" w:rsidP="003567D8">
            <w:pPr>
              <w:pStyle w:val="Tabletext"/>
              <w:jc w:val="center"/>
              <w:rPr>
                <w:sz w:val="18"/>
                <w:szCs w:val="18"/>
                <w:lang w:val="fr-FR" w:eastAsia="ja-JP"/>
              </w:rPr>
            </w:pPr>
            <w:r w:rsidRPr="00075DC8">
              <w:rPr>
                <w:sz w:val="18"/>
                <w:szCs w:val="18"/>
                <w:lang w:val="fr-FR"/>
              </w:rPr>
              <w:t>−</w:t>
            </w:r>
            <w:r w:rsidRPr="00075DC8">
              <w:rPr>
                <w:sz w:val="18"/>
                <w:szCs w:val="18"/>
                <w:lang w:val="fr-FR" w:eastAsia="ja-JP"/>
              </w:rPr>
              <w:t>17</w:t>
            </w:r>
          </w:p>
        </w:tc>
        <w:tc>
          <w:tcPr>
            <w:tcW w:w="1222" w:type="dxa"/>
            <w:vMerge w:val="restart"/>
          </w:tcPr>
          <w:p w14:paraId="524CE513" w14:textId="376D34A8" w:rsidR="00AF52EC" w:rsidRPr="00075DC8" w:rsidRDefault="00AF52EC" w:rsidP="00AF52EC">
            <w:pPr>
              <w:pStyle w:val="Tabletext"/>
              <w:jc w:val="center"/>
              <w:rPr>
                <w:sz w:val="18"/>
                <w:szCs w:val="18"/>
                <w:lang w:val="fr-FR" w:eastAsia="ja-JP"/>
              </w:rPr>
            </w:pPr>
            <w:r w:rsidRPr="00075DC8">
              <w:rPr>
                <w:sz w:val="18"/>
                <w:szCs w:val="18"/>
                <w:lang w:val="fr-FR" w:eastAsia="ja-JP"/>
              </w:rPr>
              <w:t>NOTE</w:t>
            </w:r>
          </w:p>
        </w:tc>
        <w:tc>
          <w:tcPr>
            <w:tcW w:w="1223" w:type="dxa"/>
            <w:vMerge w:val="restart"/>
          </w:tcPr>
          <w:p w14:paraId="6AFCF5CC" w14:textId="6EE41FFA" w:rsidR="00AF52EC" w:rsidRPr="00075DC8" w:rsidRDefault="00AF52EC" w:rsidP="00AF52EC">
            <w:pPr>
              <w:pStyle w:val="Tabletext"/>
              <w:jc w:val="center"/>
              <w:rPr>
                <w:sz w:val="18"/>
                <w:szCs w:val="18"/>
                <w:lang w:val="fr-FR" w:eastAsia="ja-JP"/>
              </w:rPr>
            </w:pPr>
            <w:r w:rsidRPr="00075DC8">
              <w:rPr>
                <w:sz w:val="18"/>
                <w:szCs w:val="18"/>
                <w:lang w:val="fr-FR" w:eastAsia="ja-JP"/>
              </w:rPr>
              <w:t>NOTE</w:t>
            </w:r>
          </w:p>
        </w:tc>
        <w:tc>
          <w:tcPr>
            <w:tcW w:w="1513" w:type="dxa"/>
          </w:tcPr>
          <w:p w14:paraId="056E8288" w14:textId="77777777" w:rsidR="00AF52EC" w:rsidRPr="00075DC8" w:rsidRDefault="00AF52EC" w:rsidP="003567D8">
            <w:pPr>
              <w:pStyle w:val="Tabletext"/>
              <w:jc w:val="center"/>
              <w:rPr>
                <w:sz w:val="18"/>
                <w:szCs w:val="18"/>
                <w:lang w:val="fr-FR" w:eastAsia="ja-JP"/>
              </w:rPr>
            </w:pPr>
            <w:r w:rsidRPr="00075DC8">
              <w:rPr>
                <w:sz w:val="18"/>
                <w:szCs w:val="18"/>
                <w:lang w:val="fr-FR" w:eastAsia="ja-JP"/>
              </w:rPr>
              <w:t>−20…3</w:t>
            </w:r>
          </w:p>
        </w:tc>
        <w:tc>
          <w:tcPr>
            <w:tcW w:w="1514" w:type="dxa"/>
            <w:vMerge w:val="restart"/>
          </w:tcPr>
          <w:p w14:paraId="7B9252C6" w14:textId="20264A92" w:rsidR="00AF52EC" w:rsidRPr="00075DC8" w:rsidRDefault="00AF52EC" w:rsidP="00AF52EC">
            <w:pPr>
              <w:pStyle w:val="Tabletext"/>
              <w:jc w:val="center"/>
              <w:rPr>
                <w:sz w:val="18"/>
                <w:szCs w:val="18"/>
                <w:lang w:val="fr-FR" w:eastAsia="ja-JP"/>
              </w:rPr>
            </w:pPr>
            <w:r w:rsidRPr="00075DC8">
              <w:rPr>
                <w:sz w:val="18"/>
                <w:szCs w:val="18"/>
                <w:lang w:val="fr-FR" w:eastAsia="ja-JP"/>
              </w:rPr>
              <w:t>NOTE</w:t>
            </w:r>
          </w:p>
        </w:tc>
      </w:tr>
      <w:tr w:rsidR="00AF52EC" w:rsidRPr="00075DC8" w14:paraId="230AD4D6" w14:textId="77777777" w:rsidTr="00AF52EC">
        <w:trPr>
          <w:jc w:val="center"/>
        </w:trPr>
        <w:tc>
          <w:tcPr>
            <w:tcW w:w="3504" w:type="dxa"/>
            <w:tcMar>
              <w:left w:w="57" w:type="dxa"/>
              <w:right w:w="57" w:type="dxa"/>
            </w:tcMar>
          </w:tcPr>
          <w:p w14:paraId="0ADCD8C9" w14:textId="15E92D51" w:rsidR="00AF52EC" w:rsidRPr="00075DC8" w:rsidRDefault="00AF52EC" w:rsidP="00E077D3">
            <w:pPr>
              <w:pStyle w:val="Tabletext"/>
              <w:jc w:val="left"/>
              <w:rPr>
                <w:sz w:val="18"/>
                <w:szCs w:val="18"/>
                <w:lang w:val="fr-FR"/>
              </w:rPr>
            </w:pPr>
            <w:r w:rsidRPr="00075DC8">
              <w:rPr>
                <w:sz w:val="18"/>
                <w:szCs w:val="18"/>
                <w:lang w:val="fr-FR" w:eastAsia="ja-JP"/>
              </w:rPr>
              <w:t xml:space="preserve">Plage des densités de puissance de sortie au niveau de l'émetteur </w:t>
            </w:r>
            <w:r w:rsidRPr="00075DC8">
              <w:rPr>
                <w:sz w:val="18"/>
                <w:szCs w:val="18"/>
                <w:lang w:val="fr-FR"/>
              </w:rPr>
              <w:t>(dBW/MHz)</w:t>
            </w:r>
            <w:r w:rsidRPr="00075DC8">
              <w:rPr>
                <w:sz w:val="18"/>
                <w:szCs w:val="18"/>
                <w:vertAlign w:val="superscript"/>
                <w:lang w:val="fr-FR" w:eastAsia="ja-JP"/>
              </w:rPr>
              <w:t>(1)</w:t>
            </w:r>
          </w:p>
        </w:tc>
        <w:tc>
          <w:tcPr>
            <w:tcW w:w="1526" w:type="dxa"/>
          </w:tcPr>
          <w:p w14:paraId="5575604C" w14:textId="77777777" w:rsidR="00AF52EC" w:rsidRPr="00075DC8" w:rsidRDefault="00AF52EC" w:rsidP="00E077D3">
            <w:pPr>
              <w:pStyle w:val="Tabletext"/>
              <w:jc w:val="center"/>
              <w:rPr>
                <w:sz w:val="18"/>
                <w:szCs w:val="18"/>
                <w:lang w:val="fr-FR" w:eastAsia="ja-JP"/>
              </w:rPr>
            </w:pPr>
            <w:r w:rsidRPr="00075DC8">
              <w:rPr>
                <w:sz w:val="18"/>
                <w:szCs w:val="18"/>
                <w:lang w:val="fr-FR"/>
              </w:rPr>
              <w:t>−68,4…−23,4</w:t>
            </w:r>
          </w:p>
        </w:tc>
        <w:tc>
          <w:tcPr>
            <w:tcW w:w="1527" w:type="dxa"/>
          </w:tcPr>
          <w:p w14:paraId="12FC362E" w14:textId="77777777" w:rsidR="00AF52EC" w:rsidRPr="00075DC8" w:rsidRDefault="00AF52EC" w:rsidP="00E077D3">
            <w:pPr>
              <w:pStyle w:val="Tabletext"/>
              <w:jc w:val="center"/>
              <w:rPr>
                <w:sz w:val="18"/>
                <w:szCs w:val="18"/>
                <w:lang w:val="fr-FR" w:eastAsia="ja-JP"/>
              </w:rPr>
            </w:pPr>
            <w:r w:rsidRPr="00075DC8">
              <w:rPr>
                <w:sz w:val="18"/>
                <w:szCs w:val="18"/>
                <w:lang w:val="fr-FR"/>
              </w:rPr>
              <w:t>−</w:t>
            </w:r>
            <w:r w:rsidRPr="00075DC8">
              <w:rPr>
                <w:sz w:val="18"/>
                <w:szCs w:val="18"/>
                <w:lang w:val="fr-FR" w:eastAsia="ja-JP"/>
              </w:rPr>
              <w:t>45,</w:t>
            </w:r>
            <w:r w:rsidRPr="00075DC8">
              <w:rPr>
                <w:sz w:val="18"/>
                <w:szCs w:val="18"/>
                <w:lang w:val="fr-FR"/>
              </w:rPr>
              <w:t>9…−33,9</w:t>
            </w:r>
          </w:p>
        </w:tc>
        <w:tc>
          <w:tcPr>
            <w:tcW w:w="1222" w:type="dxa"/>
          </w:tcPr>
          <w:p w14:paraId="70B72BC5" w14:textId="77777777" w:rsidR="00AF52EC" w:rsidRPr="00075DC8" w:rsidRDefault="00AF52EC" w:rsidP="00E077D3">
            <w:pPr>
              <w:pStyle w:val="Tabletext"/>
              <w:jc w:val="center"/>
              <w:rPr>
                <w:sz w:val="18"/>
                <w:szCs w:val="18"/>
                <w:lang w:val="fr-FR"/>
              </w:rPr>
            </w:pPr>
            <w:r w:rsidRPr="00075DC8">
              <w:rPr>
                <w:sz w:val="18"/>
                <w:szCs w:val="18"/>
                <w:lang w:val="fr-FR"/>
              </w:rPr>
              <w:t>−24,5</w:t>
            </w:r>
          </w:p>
        </w:tc>
        <w:tc>
          <w:tcPr>
            <w:tcW w:w="1223" w:type="dxa"/>
          </w:tcPr>
          <w:p w14:paraId="3E171316" w14:textId="77777777" w:rsidR="00AF52EC" w:rsidRPr="00075DC8" w:rsidRDefault="00AF52EC" w:rsidP="00E077D3">
            <w:pPr>
              <w:pStyle w:val="Tabletext"/>
              <w:jc w:val="center"/>
              <w:rPr>
                <w:sz w:val="18"/>
                <w:szCs w:val="18"/>
                <w:lang w:val="fr-FR"/>
              </w:rPr>
            </w:pPr>
            <w:r w:rsidRPr="00075DC8">
              <w:rPr>
                <w:sz w:val="18"/>
                <w:szCs w:val="18"/>
                <w:lang w:val="fr-FR"/>
              </w:rPr>
              <w:t>−34,5</w:t>
            </w:r>
          </w:p>
        </w:tc>
        <w:tc>
          <w:tcPr>
            <w:tcW w:w="1222" w:type="dxa"/>
            <w:vMerge/>
          </w:tcPr>
          <w:p w14:paraId="164409D6" w14:textId="0AE04129" w:rsidR="00AF52EC" w:rsidRPr="00075DC8" w:rsidRDefault="00AF52EC" w:rsidP="00AF52EC">
            <w:pPr>
              <w:pStyle w:val="Tabletext"/>
              <w:jc w:val="center"/>
              <w:rPr>
                <w:sz w:val="18"/>
                <w:szCs w:val="18"/>
                <w:lang w:val="fr-FR"/>
              </w:rPr>
            </w:pPr>
          </w:p>
        </w:tc>
        <w:tc>
          <w:tcPr>
            <w:tcW w:w="1223" w:type="dxa"/>
            <w:vMerge/>
          </w:tcPr>
          <w:p w14:paraId="4B3A1E39" w14:textId="72D8A85D" w:rsidR="00AF52EC" w:rsidRPr="00075DC8" w:rsidRDefault="00AF52EC" w:rsidP="00AF52EC">
            <w:pPr>
              <w:pStyle w:val="Tabletext"/>
              <w:jc w:val="center"/>
              <w:rPr>
                <w:sz w:val="18"/>
                <w:szCs w:val="18"/>
                <w:lang w:val="fr-FR"/>
              </w:rPr>
            </w:pPr>
          </w:p>
        </w:tc>
        <w:tc>
          <w:tcPr>
            <w:tcW w:w="1513" w:type="dxa"/>
          </w:tcPr>
          <w:p w14:paraId="0FA6557D" w14:textId="77777777" w:rsidR="00AF52EC" w:rsidRPr="00075DC8" w:rsidRDefault="00AF52EC" w:rsidP="00E077D3">
            <w:pPr>
              <w:pStyle w:val="Tabletext"/>
              <w:jc w:val="center"/>
              <w:rPr>
                <w:sz w:val="18"/>
                <w:szCs w:val="18"/>
                <w:lang w:val="fr-FR"/>
              </w:rPr>
            </w:pPr>
            <w:r w:rsidRPr="00075DC8">
              <w:rPr>
                <w:sz w:val="18"/>
                <w:szCs w:val="18"/>
                <w:lang w:val="fr-FR" w:eastAsia="ja-JP"/>
              </w:rPr>
              <w:t>−37,0…−7,0</w:t>
            </w:r>
          </w:p>
        </w:tc>
        <w:tc>
          <w:tcPr>
            <w:tcW w:w="1514" w:type="dxa"/>
            <w:vMerge/>
          </w:tcPr>
          <w:p w14:paraId="7B2A5BA5" w14:textId="2F3C5D39" w:rsidR="00AF52EC" w:rsidRPr="00075DC8" w:rsidRDefault="00AF52EC" w:rsidP="00AF52EC">
            <w:pPr>
              <w:pStyle w:val="Tabletext"/>
              <w:jc w:val="center"/>
              <w:rPr>
                <w:sz w:val="18"/>
                <w:szCs w:val="18"/>
                <w:lang w:val="fr-FR" w:eastAsia="ja-JP"/>
              </w:rPr>
            </w:pPr>
          </w:p>
        </w:tc>
      </w:tr>
      <w:tr w:rsidR="00AF52EC" w:rsidRPr="00075DC8" w14:paraId="773B4D4A" w14:textId="77777777" w:rsidTr="00AF52EC">
        <w:trPr>
          <w:jc w:val="center"/>
        </w:trPr>
        <w:tc>
          <w:tcPr>
            <w:tcW w:w="3504" w:type="dxa"/>
            <w:tcMar>
              <w:left w:w="57" w:type="dxa"/>
              <w:right w:w="57" w:type="dxa"/>
            </w:tcMar>
          </w:tcPr>
          <w:p w14:paraId="7193CE03" w14:textId="13AA9B89" w:rsidR="00AF52EC" w:rsidRPr="00075DC8" w:rsidRDefault="00AF52EC" w:rsidP="00E077D3">
            <w:pPr>
              <w:pStyle w:val="Tabletext"/>
              <w:jc w:val="left"/>
              <w:rPr>
                <w:sz w:val="18"/>
                <w:szCs w:val="18"/>
                <w:lang w:val="fr-FR"/>
              </w:rPr>
            </w:pPr>
            <w:r w:rsidRPr="00075DC8">
              <w:rPr>
                <w:sz w:val="18"/>
                <w:szCs w:val="18"/>
                <w:lang w:val="fr-FR" w:eastAsia="ja-JP"/>
              </w:rPr>
              <w:t>Plage des pertes dues à la ligne d'alimentation ou au multiplexeur (dB)</w:t>
            </w:r>
          </w:p>
        </w:tc>
        <w:tc>
          <w:tcPr>
            <w:tcW w:w="1526" w:type="dxa"/>
          </w:tcPr>
          <w:p w14:paraId="4E5332BD" w14:textId="77777777" w:rsidR="00AF52EC" w:rsidRPr="00075DC8" w:rsidRDefault="00AF52EC" w:rsidP="00E077D3">
            <w:pPr>
              <w:pStyle w:val="Tabletext"/>
              <w:jc w:val="center"/>
              <w:rPr>
                <w:sz w:val="18"/>
                <w:szCs w:val="18"/>
                <w:lang w:val="fr-FR" w:eastAsia="ja-JP"/>
              </w:rPr>
            </w:pPr>
            <w:r w:rsidRPr="00075DC8">
              <w:rPr>
                <w:sz w:val="18"/>
                <w:szCs w:val="18"/>
                <w:lang w:val="fr-FR"/>
              </w:rPr>
              <w:t>0</w:t>
            </w:r>
          </w:p>
        </w:tc>
        <w:tc>
          <w:tcPr>
            <w:tcW w:w="1527" w:type="dxa"/>
          </w:tcPr>
          <w:p w14:paraId="68CE5AFE" w14:textId="77777777" w:rsidR="00AF52EC" w:rsidRPr="00075DC8" w:rsidRDefault="00AF52EC" w:rsidP="00E077D3">
            <w:pPr>
              <w:pStyle w:val="Tabletext"/>
              <w:jc w:val="center"/>
              <w:rPr>
                <w:sz w:val="18"/>
                <w:szCs w:val="18"/>
                <w:lang w:val="fr-FR" w:eastAsia="ja-JP"/>
              </w:rPr>
            </w:pPr>
            <w:r w:rsidRPr="00075DC8">
              <w:rPr>
                <w:sz w:val="18"/>
                <w:szCs w:val="18"/>
                <w:lang w:val="fr-FR" w:eastAsia="ja-JP"/>
              </w:rPr>
              <w:t>0</w:t>
            </w:r>
          </w:p>
        </w:tc>
        <w:tc>
          <w:tcPr>
            <w:tcW w:w="1222" w:type="dxa"/>
          </w:tcPr>
          <w:p w14:paraId="4F85B669" w14:textId="77777777" w:rsidR="00AF52EC" w:rsidRPr="00075DC8" w:rsidRDefault="00AF52EC" w:rsidP="00E077D3">
            <w:pPr>
              <w:pStyle w:val="Tabletext"/>
              <w:jc w:val="center"/>
              <w:rPr>
                <w:sz w:val="18"/>
                <w:szCs w:val="18"/>
                <w:lang w:val="fr-FR"/>
              </w:rPr>
            </w:pPr>
            <w:r w:rsidRPr="00075DC8">
              <w:rPr>
                <w:sz w:val="18"/>
                <w:szCs w:val="18"/>
                <w:lang w:val="fr-FR"/>
              </w:rPr>
              <w:t>0...2,5</w:t>
            </w:r>
          </w:p>
        </w:tc>
        <w:tc>
          <w:tcPr>
            <w:tcW w:w="1223" w:type="dxa"/>
          </w:tcPr>
          <w:p w14:paraId="57B3C8D0" w14:textId="77777777" w:rsidR="00AF52EC" w:rsidRPr="00075DC8" w:rsidRDefault="00AF52EC" w:rsidP="00E077D3">
            <w:pPr>
              <w:pStyle w:val="Tabletext"/>
              <w:jc w:val="center"/>
              <w:rPr>
                <w:sz w:val="18"/>
                <w:szCs w:val="18"/>
                <w:lang w:val="fr-FR"/>
              </w:rPr>
            </w:pPr>
            <w:r w:rsidRPr="00075DC8">
              <w:rPr>
                <w:sz w:val="18"/>
                <w:szCs w:val="18"/>
                <w:lang w:val="fr-FR"/>
              </w:rPr>
              <w:t>0...2,5</w:t>
            </w:r>
          </w:p>
        </w:tc>
        <w:tc>
          <w:tcPr>
            <w:tcW w:w="1222" w:type="dxa"/>
            <w:vMerge/>
          </w:tcPr>
          <w:p w14:paraId="272BB845" w14:textId="00C1AD64" w:rsidR="00AF52EC" w:rsidRPr="00075DC8" w:rsidRDefault="00AF52EC" w:rsidP="00AF52EC">
            <w:pPr>
              <w:pStyle w:val="Tabletext"/>
              <w:jc w:val="center"/>
              <w:rPr>
                <w:sz w:val="18"/>
                <w:szCs w:val="18"/>
                <w:lang w:val="fr-FR" w:eastAsia="ja-JP"/>
              </w:rPr>
            </w:pPr>
          </w:p>
        </w:tc>
        <w:tc>
          <w:tcPr>
            <w:tcW w:w="1223" w:type="dxa"/>
            <w:vMerge/>
          </w:tcPr>
          <w:p w14:paraId="5348E756" w14:textId="4D7BAB45" w:rsidR="00AF52EC" w:rsidRPr="00075DC8" w:rsidRDefault="00AF52EC" w:rsidP="00AF52EC">
            <w:pPr>
              <w:pStyle w:val="Tabletext"/>
              <w:jc w:val="center"/>
              <w:rPr>
                <w:sz w:val="18"/>
                <w:szCs w:val="18"/>
                <w:lang w:val="fr-FR" w:eastAsia="ja-JP"/>
              </w:rPr>
            </w:pPr>
          </w:p>
        </w:tc>
        <w:tc>
          <w:tcPr>
            <w:tcW w:w="1513" w:type="dxa"/>
          </w:tcPr>
          <w:p w14:paraId="2EDFB7E4" w14:textId="77777777" w:rsidR="00AF52EC" w:rsidRPr="00075DC8" w:rsidRDefault="00AF52EC" w:rsidP="00E077D3">
            <w:pPr>
              <w:pStyle w:val="Tabletext"/>
              <w:jc w:val="center"/>
              <w:rPr>
                <w:sz w:val="18"/>
                <w:szCs w:val="18"/>
                <w:lang w:val="fr-FR"/>
              </w:rPr>
            </w:pPr>
            <w:r w:rsidRPr="00075DC8">
              <w:rPr>
                <w:sz w:val="18"/>
                <w:szCs w:val="18"/>
                <w:lang w:val="fr-FR"/>
              </w:rPr>
              <w:t>0…2,5</w:t>
            </w:r>
          </w:p>
        </w:tc>
        <w:tc>
          <w:tcPr>
            <w:tcW w:w="1514" w:type="dxa"/>
            <w:vMerge/>
          </w:tcPr>
          <w:p w14:paraId="579E8403" w14:textId="49CEEABA" w:rsidR="00AF52EC" w:rsidRPr="00075DC8" w:rsidRDefault="00AF52EC" w:rsidP="00AF52EC">
            <w:pPr>
              <w:pStyle w:val="Tabletext"/>
              <w:jc w:val="center"/>
              <w:rPr>
                <w:sz w:val="18"/>
                <w:szCs w:val="18"/>
                <w:lang w:val="fr-FR"/>
              </w:rPr>
            </w:pPr>
          </w:p>
        </w:tc>
      </w:tr>
      <w:tr w:rsidR="00AF52EC" w:rsidRPr="00075DC8" w14:paraId="11A46A8C" w14:textId="77777777" w:rsidTr="00AF52EC">
        <w:trPr>
          <w:jc w:val="center"/>
        </w:trPr>
        <w:tc>
          <w:tcPr>
            <w:tcW w:w="3504" w:type="dxa"/>
            <w:tcMar>
              <w:left w:w="57" w:type="dxa"/>
              <w:right w:w="57" w:type="dxa"/>
            </w:tcMar>
          </w:tcPr>
          <w:p w14:paraId="391106CB" w14:textId="72724058" w:rsidR="00AF52EC" w:rsidRPr="00075DC8" w:rsidRDefault="00AF52EC" w:rsidP="00E077D3">
            <w:pPr>
              <w:pStyle w:val="Tabletext"/>
              <w:jc w:val="left"/>
              <w:rPr>
                <w:sz w:val="18"/>
                <w:szCs w:val="18"/>
                <w:lang w:val="fr-FR"/>
              </w:rPr>
            </w:pPr>
            <w:r w:rsidRPr="00075DC8">
              <w:rPr>
                <w:sz w:val="18"/>
                <w:szCs w:val="18"/>
                <w:lang w:val="fr-FR" w:eastAsia="ja-JP"/>
              </w:rPr>
              <w:t>Plage des gains d'antenne (dBi)</w:t>
            </w:r>
          </w:p>
        </w:tc>
        <w:tc>
          <w:tcPr>
            <w:tcW w:w="1526" w:type="dxa"/>
          </w:tcPr>
          <w:p w14:paraId="5D3E7DC6" w14:textId="77777777" w:rsidR="00AF52EC" w:rsidRPr="00075DC8" w:rsidRDefault="00AF52EC" w:rsidP="00E077D3">
            <w:pPr>
              <w:pStyle w:val="Tabletext"/>
              <w:jc w:val="center"/>
              <w:rPr>
                <w:sz w:val="18"/>
                <w:szCs w:val="18"/>
                <w:lang w:val="fr-FR" w:eastAsia="ja-JP"/>
              </w:rPr>
            </w:pPr>
            <w:r w:rsidRPr="00075DC8">
              <w:rPr>
                <w:sz w:val="18"/>
                <w:szCs w:val="18"/>
                <w:lang w:val="fr-FR"/>
              </w:rPr>
              <w:t>34…45</w:t>
            </w:r>
          </w:p>
        </w:tc>
        <w:tc>
          <w:tcPr>
            <w:tcW w:w="1527" w:type="dxa"/>
          </w:tcPr>
          <w:p w14:paraId="416C0193" w14:textId="77777777" w:rsidR="00AF52EC" w:rsidRPr="00075DC8" w:rsidRDefault="00AF52EC" w:rsidP="00E077D3">
            <w:pPr>
              <w:pStyle w:val="Tabletext"/>
              <w:jc w:val="center"/>
              <w:rPr>
                <w:sz w:val="18"/>
                <w:szCs w:val="18"/>
                <w:lang w:val="fr-FR" w:eastAsia="ja-JP"/>
              </w:rPr>
            </w:pPr>
            <w:r w:rsidRPr="00075DC8">
              <w:rPr>
                <w:sz w:val="18"/>
                <w:szCs w:val="18"/>
                <w:lang w:val="fr-FR"/>
              </w:rPr>
              <w:t>34…46</w:t>
            </w:r>
          </w:p>
        </w:tc>
        <w:tc>
          <w:tcPr>
            <w:tcW w:w="1222" w:type="dxa"/>
          </w:tcPr>
          <w:p w14:paraId="67854CC6" w14:textId="77777777" w:rsidR="00AF52EC" w:rsidRPr="00075DC8" w:rsidRDefault="00AF52EC" w:rsidP="00E077D3">
            <w:pPr>
              <w:pStyle w:val="Tabletext"/>
              <w:jc w:val="center"/>
              <w:rPr>
                <w:sz w:val="18"/>
                <w:szCs w:val="18"/>
                <w:lang w:val="fr-FR" w:eastAsia="ja-JP"/>
              </w:rPr>
            </w:pPr>
            <w:r w:rsidRPr="00075DC8">
              <w:rPr>
                <w:sz w:val="18"/>
                <w:szCs w:val="18"/>
                <w:lang w:val="fr-FR" w:eastAsia="ja-JP"/>
              </w:rPr>
              <w:t>38...44</w:t>
            </w:r>
          </w:p>
        </w:tc>
        <w:tc>
          <w:tcPr>
            <w:tcW w:w="1223" w:type="dxa"/>
          </w:tcPr>
          <w:p w14:paraId="7FDF491A" w14:textId="77777777" w:rsidR="00AF52EC" w:rsidRPr="00075DC8" w:rsidRDefault="00AF52EC" w:rsidP="00E077D3">
            <w:pPr>
              <w:pStyle w:val="Tabletext"/>
              <w:jc w:val="center"/>
              <w:rPr>
                <w:sz w:val="18"/>
                <w:szCs w:val="18"/>
                <w:lang w:val="fr-FR" w:eastAsia="ja-JP"/>
              </w:rPr>
            </w:pPr>
            <w:r w:rsidRPr="00075DC8">
              <w:rPr>
                <w:sz w:val="18"/>
                <w:szCs w:val="18"/>
                <w:lang w:val="fr-FR" w:eastAsia="ja-JP"/>
              </w:rPr>
              <w:t>38...44</w:t>
            </w:r>
          </w:p>
        </w:tc>
        <w:tc>
          <w:tcPr>
            <w:tcW w:w="1222" w:type="dxa"/>
            <w:vMerge/>
          </w:tcPr>
          <w:p w14:paraId="34047058" w14:textId="2E405C79" w:rsidR="00AF52EC" w:rsidRPr="00075DC8" w:rsidRDefault="00AF52EC" w:rsidP="00AF52EC">
            <w:pPr>
              <w:pStyle w:val="Tabletext"/>
              <w:jc w:val="center"/>
              <w:rPr>
                <w:sz w:val="18"/>
                <w:szCs w:val="18"/>
                <w:lang w:val="fr-FR" w:eastAsia="ja-JP"/>
              </w:rPr>
            </w:pPr>
          </w:p>
        </w:tc>
        <w:tc>
          <w:tcPr>
            <w:tcW w:w="1223" w:type="dxa"/>
            <w:vMerge/>
          </w:tcPr>
          <w:p w14:paraId="2956AA39" w14:textId="28FF91AC" w:rsidR="00AF52EC" w:rsidRPr="00075DC8" w:rsidRDefault="00AF52EC" w:rsidP="00AF52EC">
            <w:pPr>
              <w:pStyle w:val="Tabletext"/>
              <w:jc w:val="center"/>
              <w:rPr>
                <w:sz w:val="18"/>
                <w:szCs w:val="18"/>
                <w:lang w:val="fr-FR" w:eastAsia="ja-JP"/>
              </w:rPr>
            </w:pPr>
          </w:p>
        </w:tc>
        <w:tc>
          <w:tcPr>
            <w:tcW w:w="1513" w:type="dxa"/>
          </w:tcPr>
          <w:p w14:paraId="7CCD26C4" w14:textId="77777777" w:rsidR="00AF52EC" w:rsidRPr="00075DC8" w:rsidRDefault="00AF52EC" w:rsidP="00E077D3">
            <w:pPr>
              <w:pStyle w:val="Tabletext"/>
              <w:jc w:val="center"/>
              <w:rPr>
                <w:sz w:val="18"/>
                <w:szCs w:val="18"/>
                <w:lang w:val="fr-FR" w:eastAsia="ja-JP"/>
              </w:rPr>
            </w:pPr>
            <w:r w:rsidRPr="00075DC8">
              <w:rPr>
                <w:sz w:val="18"/>
                <w:szCs w:val="18"/>
                <w:lang w:val="fr-FR" w:eastAsia="ja-JP"/>
              </w:rPr>
              <w:t>40,1…48,8</w:t>
            </w:r>
          </w:p>
        </w:tc>
        <w:tc>
          <w:tcPr>
            <w:tcW w:w="1514" w:type="dxa"/>
            <w:vMerge/>
          </w:tcPr>
          <w:p w14:paraId="65553A24" w14:textId="4DFA4619" w:rsidR="00AF52EC" w:rsidRPr="00075DC8" w:rsidRDefault="00AF52EC" w:rsidP="00AF52EC">
            <w:pPr>
              <w:pStyle w:val="Tabletext"/>
              <w:jc w:val="center"/>
              <w:rPr>
                <w:sz w:val="18"/>
                <w:szCs w:val="18"/>
                <w:lang w:val="fr-FR" w:eastAsia="ja-JP"/>
              </w:rPr>
            </w:pPr>
          </w:p>
        </w:tc>
      </w:tr>
      <w:tr w:rsidR="00AF52EC" w:rsidRPr="00075DC8" w14:paraId="4408213F" w14:textId="77777777" w:rsidTr="00AF52EC">
        <w:trPr>
          <w:jc w:val="center"/>
        </w:trPr>
        <w:tc>
          <w:tcPr>
            <w:tcW w:w="3504" w:type="dxa"/>
            <w:tcMar>
              <w:left w:w="57" w:type="dxa"/>
              <w:right w:w="57" w:type="dxa"/>
            </w:tcMar>
          </w:tcPr>
          <w:p w14:paraId="6B982CD0" w14:textId="77777777" w:rsidR="00AF52EC" w:rsidRPr="00075DC8" w:rsidRDefault="00AF52EC" w:rsidP="00E077D3">
            <w:pPr>
              <w:pStyle w:val="Tabletext"/>
              <w:jc w:val="left"/>
              <w:rPr>
                <w:sz w:val="18"/>
                <w:szCs w:val="18"/>
                <w:lang w:val="fr-FR"/>
              </w:rPr>
            </w:pPr>
            <w:r w:rsidRPr="00075DC8">
              <w:rPr>
                <w:sz w:val="18"/>
                <w:szCs w:val="18"/>
                <w:lang w:val="fr-FR" w:eastAsia="ja-JP"/>
              </w:rPr>
              <w:t>Plage des p.i.r.e. (dBW)</w:t>
            </w:r>
          </w:p>
        </w:tc>
        <w:tc>
          <w:tcPr>
            <w:tcW w:w="1526" w:type="dxa"/>
          </w:tcPr>
          <w:p w14:paraId="47FC0AFE" w14:textId="77777777" w:rsidR="00AF52EC" w:rsidRPr="00075DC8" w:rsidRDefault="00AF52EC" w:rsidP="00E077D3">
            <w:pPr>
              <w:pStyle w:val="Tabletext"/>
              <w:jc w:val="center"/>
              <w:rPr>
                <w:sz w:val="18"/>
                <w:szCs w:val="18"/>
                <w:lang w:val="fr-FR" w:eastAsia="ja-JP"/>
              </w:rPr>
            </w:pPr>
            <w:r w:rsidRPr="00075DC8">
              <w:rPr>
                <w:sz w:val="18"/>
                <w:szCs w:val="18"/>
                <w:lang w:val="fr-FR"/>
              </w:rPr>
              <w:t>−20,8…30</w:t>
            </w:r>
          </w:p>
        </w:tc>
        <w:tc>
          <w:tcPr>
            <w:tcW w:w="1527" w:type="dxa"/>
          </w:tcPr>
          <w:p w14:paraId="2B3E8D9D" w14:textId="77777777" w:rsidR="00AF52EC" w:rsidRPr="00075DC8" w:rsidRDefault="00AF52EC" w:rsidP="00E077D3">
            <w:pPr>
              <w:pStyle w:val="Tabletext"/>
              <w:jc w:val="center"/>
              <w:rPr>
                <w:sz w:val="18"/>
                <w:szCs w:val="18"/>
                <w:lang w:val="fr-FR" w:eastAsia="ja-JP"/>
              </w:rPr>
            </w:pPr>
            <w:r w:rsidRPr="00075DC8">
              <w:rPr>
                <w:sz w:val="18"/>
                <w:szCs w:val="18"/>
                <w:lang w:val="fr-FR"/>
              </w:rPr>
              <w:t>−1,7…29,5</w:t>
            </w:r>
          </w:p>
        </w:tc>
        <w:tc>
          <w:tcPr>
            <w:tcW w:w="1222" w:type="dxa"/>
          </w:tcPr>
          <w:p w14:paraId="19CB83A0" w14:textId="77777777" w:rsidR="00AF52EC" w:rsidRPr="00075DC8" w:rsidRDefault="00AF52EC" w:rsidP="00E077D3">
            <w:pPr>
              <w:pStyle w:val="Tabletext"/>
              <w:jc w:val="center"/>
              <w:rPr>
                <w:sz w:val="18"/>
                <w:szCs w:val="18"/>
                <w:lang w:val="fr-FR" w:eastAsia="ja-JP"/>
              </w:rPr>
            </w:pPr>
            <w:r w:rsidRPr="00075DC8">
              <w:rPr>
                <w:sz w:val="18"/>
                <w:szCs w:val="18"/>
                <w:lang w:val="fr-FR" w:eastAsia="ja-JP"/>
              </w:rPr>
              <w:t>25,5...34</w:t>
            </w:r>
          </w:p>
        </w:tc>
        <w:tc>
          <w:tcPr>
            <w:tcW w:w="1223" w:type="dxa"/>
          </w:tcPr>
          <w:p w14:paraId="2F853E75" w14:textId="77777777" w:rsidR="00AF52EC" w:rsidRPr="00075DC8" w:rsidRDefault="00AF52EC" w:rsidP="00E077D3">
            <w:pPr>
              <w:pStyle w:val="Tabletext"/>
              <w:jc w:val="center"/>
              <w:rPr>
                <w:sz w:val="18"/>
                <w:szCs w:val="18"/>
                <w:lang w:val="fr-FR"/>
              </w:rPr>
            </w:pPr>
            <w:r w:rsidRPr="00075DC8">
              <w:rPr>
                <w:sz w:val="18"/>
                <w:szCs w:val="18"/>
                <w:lang w:val="fr-FR" w:eastAsia="ja-JP"/>
              </w:rPr>
              <w:t>18,5</w:t>
            </w:r>
            <w:r w:rsidRPr="00075DC8">
              <w:rPr>
                <w:sz w:val="18"/>
                <w:szCs w:val="18"/>
                <w:lang w:val="fr-FR"/>
              </w:rPr>
              <w:t>...27</w:t>
            </w:r>
          </w:p>
        </w:tc>
        <w:tc>
          <w:tcPr>
            <w:tcW w:w="1222" w:type="dxa"/>
            <w:vMerge/>
          </w:tcPr>
          <w:p w14:paraId="25B9E439" w14:textId="77036155" w:rsidR="00AF52EC" w:rsidRPr="00075DC8" w:rsidRDefault="00AF52EC" w:rsidP="00AF52EC">
            <w:pPr>
              <w:pStyle w:val="Tabletext"/>
              <w:jc w:val="center"/>
              <w:rPr>
                <w:sz w:val="18"/>
                <w:szCs w:val="18"/>
                <w:lang w:val="fr-FR"/>
              </w:rPr>
            </w:pPr>
          </w:p>
        </w:tc>
        <w:tc>
          <w:tcPr>
            <w:tcW w:w="1223" w:type="dxa"/>
            <w:vMerge/>
          </w:tcPr>
          <w:p w14:paraId="677530C0" w14:textId="20A5F3EF" w:rsidR="00AF52EC" w:rsidRPr="00075DC8" w:rsidRDefault="00AF52EC" w:rsidP="00AF52EC">
            <w:pPr>
              <w:pStyle w:val="Tabletext"/>
              <w:jc w:val="center"/>
              <w:rPr>
                <w:sz w:val="18"/>
                <w:szCs w:val="18"/>
                <w:lang w:val="fr-FR"/>
              </w:rPr>
            </w:pPr>
          </w:p>
        </w:tc>
        <w:tc>
          <w:tcPr>
            <w:tcW w:w="1513" w:type="dxa"/>
          </w:tcPr>
          <w:p w14:paraId="15DC31FC" w14:textId="77777777" w:rsidR="00AF52EC" w:rsidRPr="00075DC8" w:rsidRDefault="00AF52EC" w:rsidP="00E077D3">
            <w:pPr>
              <w:pStyle w:val="Tabletext"/>
              <w:jc w:val="center"/>
              <w:rPr>
                <w:sz w:val="18"/>
                <w:szCs w:val="18"/>
                <w:lang w:val="fr-FR"/>
              </w:rPr>
            </w:pPr>
            <w:r w:rsidRPr="00075DC8">
              <w:rPr>
                <w:sz w:val="18"/>
                <w:szCs w:val="18"/>
                <w:lang w:val="fr-FR" w:eastAsia="ja-JP"/>
              </w:rPr>
              <w:t>17,6</w:t>
            </w:r>
            <w:r w:rsidRPr="00075DC8">
              <w:rPr>
                <w:sz w:val="18"/>
                <w:szCs w:val="18"/>
                <w:lang w:val="fr-FR"/>
              </w:rPr>
              <w:t>…51,8</w:t>
            </w:r>
          </w:p>
        </w:tc>
        <w:tc>
          <w:tcPr>
            <w:tcW w:w="1514" w:type="dxa"/>
            <w:vMerge/>
          </w:tcPr>
          <w:p w14:paraId="3B764A2B" w14:textId="4942B11C" w:rsidR="00AF52EC" w:rsidRPr="00075DC8" w:rsidRDefault="00AF52EC" w:rsidP="00AF52EC">
            <w:pPr>
              <w:pStyle w:val="Tabletext"/>
              <w:jc w:val="center"/>
              <w:rPr>
                <w:sz w:val="18"/>
                <w:szCs w:val="18"/>
                <w:lang w:val="fr-FR"/>
              </w:rPr>
            </w:pPr>
          </w:p>
        </w:tc>
      </w:tr>
      <w:tr w:rsidR="00AF52EC" w:rsidRPr="00075DC8" w14:paraId="6983463B" w14:textId="77777777" w:rsidTr="00AF52EC">
        <w:trPr>
          <w:jc w:val="center"/>
        </w:trPr>
        <w:tc>
          <w:tcPr>
            <w:tcW w:w="3504" w:type="dxa"/>
            <w:tcMar>
              <w:left w:w="57" w:type="dxa"/>
              <w:right w:w="57" w:type="dxa"/>
            </w:tcMar>
          </w:tcPr>
          <w:p w14:paraId="06F04E9F" w14:textId="77777777" w:rsidR="00AF52EC" w:rsidRPr="00075DC8" w:rsidRDefault="00AF52EC" w:rsidP="00E077D3">
            <w:pPr>
              <w:pStyle w:val="Tabletext"/>
              <w:jc w:val="left"/>
              <w:rPr>
                <w:sz w:val="18"/>
                <w:szCs w:val="18"/>
                <w:lang w:val="fr-FR"/>
              </w:rPr>
            </w:pPr>
            <w:r w:rsidRPr="00075DC8">
              <w:rPr>
                <w:sz w:val="18"/>
                <w:szCs w:val="18"/>
                <w:lang w:val="fr-FR" w:eastAsia="ja-JP"/>
              </w:rPr>
              <w:t>Plage des densités</w:t>
            </w:r>
            <w:r w:rsidRPr="00075DC8">
              <w:rPr>
                <w:sz w:val="18"/>
                <w:szCs w:val="18"/>
                <w:lang w:val="fr-FR"/>
              </w:rPr>
              <w:t xml:space="preserve"> de p.i.r.e. (dBW/MHz)</w:t>
            </w:r>
            <w:r w:rsidRPr="00075DC8">
              <w:rPr>
                <w:sz w:val="18"/>
                <w:szCs w:val="18"/>
                <w:vertAlign w:val="superscript"/>
                <w:lang w:val="fr-FR" w:eastAsia="ja-JP"/>
              </w:rPr>
              <w:t>(1)</w:t>
            </w:r>
          </w:p>
        </w:tc>
        <w:tc>
          <w:tcPr>
            <w:tcW w:w="1526" w:type="dxa"/>
          </w:tcPr>
          <w:p w14:paraId="4C04F058" w14:textId="77777777" w:rsidR="00AF52EC" w:rsidRPr="00075DC8" w:rsidRDefault="00AF52EC" w:rsidP="00E077D3">
            <w:pPr>
              <w:pStyle w:val="Tabletext"/>
              <w:jc w:val="center"/>
              <w:rPr>
                <w:sz w:val="18"/>
                <w:szCs w:val="18"/>
                <w:lang w:val="fr-FR" w:eastAsia="ja-JP"/>
              </w:rPr>
            </w:pPr>
            <w:r w:rsidRPr="00075DC8">
              <w:rPr>
                <w:sz w:val="18"/>
                <w:szCs w:val="18"/>
                <w:lang w:val="fr-FR"/>
              </w:rPr>
              <w:t>−29,2…21,5</w:t>
            </w:r>
          </w:p>
        </w:tc>
        <w:tc>
          <w:tcPr>
            <w:tcW w:w="1527" w:type="dxa"/>
          </w:tcPr>
          <w:p w14:paraId="74853DDA" w14:textId="77777777" w:rsidR="00AF52EC" w:rsidRPr="00075DC8" w:rsidRDefault="00AF52EC" w:rsidP="00E077D3">
            <w:pPr>
              <w:pStyle w:val="Tabletext"/>
              <w:jc w:val="center"/>
              <w:rPr>
                <w:sz w:val="18"/>
                <w:szCs w:val="18"/>
                <w:lang w:val="fr-FR" w:eastAsia="ja-JP"/>
              </w:rPr>
            </w:pPr>
            <w:r w:rsidRPr="00075DC8">
              <w:rPr>
                <w:sz w:val="18"/>
                <w:szCs w:val="18"/>
                <w:lang w:val="fr-FR"/>
              </w:rPr>
              <w:t>−15,7…12,1</w:t>
            </w:r>
          </w:p>
        </w:tc>
        <w:tc>
          <w:tcPr>
            <w:tcW w:w="1222" w:type="dxa"/>
          </w:tcPr>
          <w:p w14:paraId="36A2C4E3" w14:textId="77777777" w:rsidR="00AF52EC" w:rsidRPr="00075DC8" w:rsidRDefault="00AF52EC" w:rsidP="00E077D3">
            <w:pPr>
              <w:pStyle w:val="Tabletext"/>
              <w:jc w:val="center"/>
              <w:rPr>
                <w:sz w:val="18"/>
                <w:szCs w:val="18"/>
                <w:lang w:val="fr-FR"/>
              </w:rPr>
            </w:pPr>
            <w:r w:rsidRPr="00075DC8">
              <w:rPr>
                <w:sz w:val="18"/>
                <w:szCs w:val="18"/>
                <w:lang w:val="fr-FR" w:eastAsia="ja-JP"/>
              </w:rPr>
              <w:t>11</w:t>
            </w:r>
            <w:r w:rsidRPr="00075DC8">
              <w:rPr>
                <w:sz w:val="18"/>
                <w:szCs w:val="18"/>
                <w:lang w:val="fr-FR"/>
              </w:rPr>
              <w:t>...19,5</w:t>
            </w:r>
          </w:p>
        </w:tc>
        <w:tc>
          <w:tcPr>
            <w:tcW w:w="1223" w:type="dxa"/>
          </w:tcPr>
          <w:p w14:paraId="1D681980" w14:textId="77777777" w:rsidR="00AF52EC" w:rsidRPr="00075DC8" w:rsidRDefault="00AF52EC" w:rsidP="00E077D3">
            <w:pPr>
              <w:pStyle w:val="Tabletext"/>
              <w:jc w:val="center"/>
              <w:rPr>
                <w:sz w:val="18"/>
                <w:szCs w:val="18"/>
                <w:lang w:val="fr-FR"/>
              </w:rPr>
            </w:pPr>
            <w:r w:rsidRPr="00075DC8">
              <w:rPr>
                <w:sz w:val="18"/>
                <w:szCs w:val="18"/>
                <w:lang w:val="fr-FR" w:eastAsia="ja-JP"/>
              </w:rPr>
              <w:t>1,0</w:t>
            </w:r>
            <w:r w:rsidRPr="00075DC8">
              <w:rPr>
                <w:sz w:val="18"/>
                <w:szCs w:val="18"/>
                <w:lang w:val="fr-FR"/>
              </w:rPr>
              <w:t>...9,5</w:t>
            </w:r>
          </w:p>
        </w:tc>
        <w:tc>
          <w:tcPr>
            <w:tcW w:w="1222" w:type="dxa"/>
            <w:vMerge/>
          </w:tcPr>
          <w:p w14:paraId="3DA6FF98" w14:textId="1ACDBC36" w:rsidR="00AF52EC" w:rsidRPr="00075DC8" w:rsidRDefault="00AF52EC" w:rsidP="00AF52EC">
            <w:pPr>
              <w:pStyle w:val="Tabletext"/>
              <w:jc w:val="center"/>
              <w:rPr>
                <w:sz w:val="18"/>
                <w:szCs w:val="18"/>
                <w:lang w:val="fr-FR"/>
              </w:rPr>
            </w:pPr>
          </w:p>
        </w:tc>
        <w:tc>
          <w:tcPr>
            <w:tcW w:w="1223" w:type="dxa"/>
            <w:vMerge/>
          </w:tcPr>
          <w:p w14:paraId="4AA8379F" w14:textId="3BE92C96" w:rsidR="00AF52EC" w:rsidRPr="00075DC8" w:rsidRDefault="00AF52EC" w:rsidP="00AF52EC">
            <w:pPr>
              <w:pStyle w:val="Tabletext"/>
              <w:jc w:val="center"/>
              <w:rPr>
                <w:sz w:val="18"/>
                <w:szCs w:val="18"/>
                <w:lang w:val="fr-FR"/>
              </w:rPr>
            </w:pPr>
          </w:p>
        </w:tc>
        <w:tc>
          <w:tcPr>
            <w:tcW w:w="1513" w:type="dxa"/>
          </w:tcPr>
          <w:p w14:paraId="326A9A97" w14:textId="77777777" w:rsidR="00AF52EC" w:rsidRPr="00075DC8" w:rsidRDefault="00AF52EC" w:rsidP="00E077D3">
            <w:pPr>
              <w:pStyle w:val="Tabletext"/>
              <w:jc w:val="center"/>
              <w:rPr>
                <w:sz w:val="18"/>
                <w:szCs w:val="18"/>
                <w:lang w:val="fr-FR"/>
              </w:rPr>
            </w:pPr>
            <w:r w:rsidRPr="00075DC8">
              <w:rPr>
                <w:sz w:val="18"/>
                <w:szCs w:val="18"/>
                <w:lang w:val="fr-FR" w:eastAsia="ja-JP"/>
              </w:rPr>
              <w:t>0,6</w:t>
            </w:r>
            <w:r w:rsidRPr="00075DC8">
              <w:rPr>
                <w:sz w:val="18"/>
                <w:szCs w:val="18"/>
                <w:lang w:val="fr-FR"/>
              </w:rPr>
              <w:t>…</w:t>
            </w:r>
            <w:r w:rsidRPr="00075DC8">
              <w:rPr>
                <w:sz w:val="18"/>
                <w:szCs w:val="18"/>
                <w:lang w:val="fr-FR" w:eastAsia="ja-JP"/>
              </w:rPr>
              <w:t>41,8</w:t>
            </w:r>
          </w:p>
        </w:tc>
        <w:tc>
          <w:tcPr>
            <w:tcW w:w="1514" w:type="dxa"/>
            <w:vMerge/>
          </w:tcPr>
          <w:p w14:paraId="3EB965CD" w14:textId="6FC686CA" w:rsidR="00AF52EC" w:rsidRPr="00075DC8" w:rsidRDefault="00AF52EC" w:rsidP="00AF52EC">
            <w:pPr>
              <w:pStyle w:val="Tabletext"/>
              <w:jc w:val="center"/>
              <w:rPr>
                <w:sz w:val="18"/>
                <w:szCs w:val="18"/>
                <w:lang w:val="fr-FR"/>
              </w:rPr>
            </w:pPr>
          </w:p>
        </w:tc>
      </w:tr>
      <w:tr w:rsidR="00AF52EC" w:rsidRPr="00075DC8" w14:paraId="5CB725A1" w14:textId="77777777" w:rsidTr="00AF52EC">
        <w:trPr>
          <w:jc w:val="center"/>
        </w:trPr>
        <w:tc>
          <w:tcPr>
            <w:tcW w:w="3504" w:type="dxa"/>
            <w:tcMar>
              <w:left w:w="57" w:type="dxa"/>
              <w:right w:w="57" w:type="dxa"/>
            </w:tcMar>
          </w:tcPr>
          <w:p w14:paraId="6C2A40B0" w14:textId="77777777" w:rsidR="00AF52EC" w:rsidRPr="00075DC8" w:rsidRDefault="00AF52EC" w:rsidP="00E077D3">
            <w:pPr>
              <w:pStyle w:val="Tabletext"/>
              <w:jc w:val="left"/>
              <w:rPr>
                <w:sz w:val="18"/>
                <w:szCs w:val="18"/>
                <w:lang w:val="fr-FR"/>
              </w:rPr>
            </w:pPr>
            <w:r w:rsidRPr="00075DC8">
              <w:rPr>
                <w:sz w:val="18"/>
                <w:szCs w:val="18"/>
                <w:lang w:val="fr-FR" w:eastAsia="ja-JP"/>
              </w:rPr>
              <w:t>Facteur de bruit type du récepteur (dB)</w:t>
            </w:r>
          </w:p>
        </w:tc>
        <w:tc>
          <w:tcPr>
            <w:tcW w:w="1526" w:type="dxa"/>
          </w:tcPr>
          <w:p w14:paraId="2C00986C" w14:textId="77777777" w:rsidR="00AF52EC" w:rsidRPr="00075DC8" w:rsidRDefault="00AF52EC" w:rsidP="00E077D3">
            <w:pPr>
              <w:pStyle w:val="Tabletext"/>
              <w:jc w:val="center"/>
              <w:rPr>
                <w:sz w:val="18"/>
                <w:szCs w:val="18"/>
                <w:lang w:val="fr-FR" w:eastAsia="ja-JP"/>
              </w:rPr>
            </w:pPr>
            <w:r w:rsidRPr="00075DC8">
              <w:rPr>
                <w:sz w:val="18"/>
                <w:szCs w:val="18"/>
                <w:lang w:val="fr-FR" w:eastAsia="ja-JP"/>
              </w:rPr>
              <w:t>8</w:t>
            </w:r>
          </w:p>
        </w:tc>
        <w:tc>
          <w:tcPr>
            <w:tcW w:w="1527" w:type="dxa"/>
          </w:tcPr>
          <w:p w14:paraId="2DE44412" w14:textId="77777777" w:rsidR="00AF52EC" w:rsidRPr="00075DC8" w:rsidRDefault="00AF52EC" w:rsidP="00E077D3">
            <w:pPr>
              <w:pStyle w:val="Tabletext"/>
              <w:jc w:val="center"/>
              <w:rPr>
                <w:sz w:val="18"/>
                <w:szCs w:val="18"/>
                <w:lang w:val="fr-FR" w:eastAsia="ja-JP"/>
              </w:rPr>
            </w:pPr>
            <w:r w:rsidRPr="00075DC8">
              <w:rPr>
                <w:sz w:val="18"/>
                <w:szCs w:val="18"/>
                <w:lang w:val="fr-FR" w:eastAsia="ja-JP"/>
              </w:rPr>
              <w:t>7</w:t>
            </w:r>
          </w:p>
        </w:tc>
        <w:tc>
          <w:tcPr>
            <w:tcW w:w="1222" w:type="dxa"/>
          </w:tcPr>
          <w:p w14:paraId="29144267" w14:textId="77777777" w:rsidR="00AF52EC" w:rsidRPr="00075DC8" w:rsidRDefault="00AF52EC" w:rsidP="00E077D3">
            <w:pPr>
              <w:pStyle w:val="Tabletext"/>
              <w:jc w:val="center"/>
              <w:rPr>
                <w:sz w:val="18"/>
                <w:szCs w:val="18"/>
                <w:lang w:val="fr-FR" w:eastAsia="ja-JP"/>
              </w:rPr>
            </w:pPr>
            <w:r w:rsidRPr="00075DC8">
              <w:rPr>
                <w:sz w:val="18"/>
                <w:szCs w:val="18"/>
                <w:lang w:val="fr-FR" w:eastAsia="ja-JP"/>
              </w:rPr>
              <w:t>7</w:t>
            </w:r>
          </w:p>
        </w:tc>
        <w:tc>
          <w:tcPr>
            <w:tcW w:w="1223" w:type="dxa"/>
          </w:tcPr>
          <w:p w14:paraId="0944376C" w14:textId="77777777" w:rsidR="00AF52EC" w:rsidRPr="00075DC8" w:rsidRDefault="00AF52EC" w:rsidP="00E077D3">
            <w:pPr>
              <w:pStyle w:val="Tabletext"/>
              <w:jc w:val="center"/>
              <w:rPr>
                <w:sz w:val="18"/>
                <w:szCs w:val="18"/>
                <w:lang w:val="fr-FR"/>
              </w:rPr>
            </w:pPr>
            <w:r w:rsidRPr="00075DC8">
              <w:rPr>
                <w:sz w:val="18"/>
                <w:szCs w:val="18"/>
                <w:lang w:val="fr-FR"/>
              </w:rPr>
              <w:t>7</w:t>
            </w:r>
          </w:p>
        </w:tc>
        <w:tc>
          <w:tcPr>
            <w:tcW w:w="1222" w:type="dxa"/>
            <w:vMerge/>
          </w:tcPr>
          <w:p w14:paraId="190EE116" w14:textId="6AC98126" w:rsidR="00AF52EC" w:rsidRPr="00075DC8" w:rsidRDefault="00AF52EC" w:rsidP="00AF52EC">
            <w:pPr>
              <w:pStyle w:val="Tabletext"/>
              <w:jc w:val="center"/>
              <w:rPr>
                <w:sz w:val="18"/>
                <w:szCs w:val="18"/>
                <w:lang w:val="fr-FR"/>
              </w:rPr>
            </w:pPr>
          </w:p>
        </w:tc>
        <w:tc>
          <w:tcPr>
            <w:tcW w:w="1223" w:type="dxa"/>
            <w:vMerge/>
          </w:tcPr>
          <w:p w14:paraId="6ADDBAF8" w14:textId="020B40FA" w:rsidR="00AF52EC" w:rsidRPr="00075DC8" w:rsidRDefault="00AF52EC" w:rsidP="00AF52EC">
            <w:pPr>
              <w:pStyle w:val="Tabletext"/>
              <w:jc w:val="center"/>
              <w:rPr>
                <w:sz w:val="18"/>
                <w:szCs w:val="18"/>
                <w:lang w:val="fr-FR"/>
              </w:rPr>
            </w:pPr>
          </w:p>
        </w:tc>
        <w:tc>
          <w:tcPr>
            <w:tcW w:w="1513" w:type="dxa"/>
          </w:tcPr>
          <w:p w14:paraId="575A9BDA" w14:textId="77777777" w:rsidR="00AF52EC" w:rsidRPr="00075DC8" w:rsidRDefault="00AF52EC" w:rsidP="00E077D3">
            <w:pPr>
              <w:pStyle w:val="Tabletext"/>
              <w:jc w:val="center"/>
              <w:rPr>
                <w:sz w:val="18"/>
                <w:szCs w:val="18"/>
                <w:lang w:val="fr-FR"/>
              </w:rPr>
            </w:pPr>
            <w:r w:rsidRPr="00075DC8">
              <w:rPr>
                <w:sz w:val="18"/>
                <w:szCs w:val="18"/>
                <w:lang w:val="fr-FR"/>
              </w:rPr>
              <w:t>7</w:t>
            </w:r>
          </w:p>
        </w:tc>
        <w:tc>
          <w:tcPr>
            <w:tcW w:w="1514" w:type="dxa"/>
            <w:vMerge/>
          </w:tcPr>
          <w:p w14:paraId="4A19D96E" w14:textId="175364E4" w:rsidR="00AF52EC" w:rsidRPr="00075DC8" w:rsidRDefault="00AF52EC" w:rsidP="00AF52EC">
            <w:pPr>
              <w:pStyle w:val="Tabletext"/>
              <w:jc w:val="center"/>
              <w:rPr>
                <w:sz w:val="18"/>
                <w:szCs w:val="18"/>
                <w:lang w:val="fr-FR"/>
              </w:rPr>
            </w:pPr>
          </w:p>
        </w:tc>
      </w:tr>
      <w:tr w:rsidR="00AF52EC" w:rsidRPr="00075DC8" w14:paraId="138EBC56" w14:textId="77777777" w:rsidTr="00AF52EC">
        <w:trPr>
          <w:jc w:val="center"/>
        </w:trPr>
        <w:tc>
          <w:tcPr>
            <w:tcW w:w="3504" w:type="dxa"/>
            <w:tcMar>
              <w:left w:w="57" w:type="dxa"/>
              <w:right w:w="57" w:type="dxa"/>
            </w:tcMar>
          </w:tcPr>
          <w:p w14:paraId="792B7511" w14:textId="77777777" w:rsidR="00AF52EC" w:rsidRPr="00075DC8" w:rsidRDefault="00AF52EC" w:rsidP="00E077D3">
            <w:pPr>
              <w:pStyle w:val="Tabletext"/>
              <w:jc w:val="left"/>
              <w:rPr>
                <w:sz w:val="18"/>
                <w:szCs w:val="18"/>
                <w:lang w:val="fr-FR"/>
              </w:rPr>
            </w:pPr>
            <w:r w:rsidRPr="00075DC8">
              <w:rPr>
                <w:sz w:val="18"/>
                <w:szCs w:val="18"/>
                <w:lang w:val="fr-FR" w:eastAsia="ja-JP"/>
              </w:rPr>
              <w:t>Densité type de puissance de bruit du récepteur (=</w:t>
            </w:r>
            <w:r w:rsidRPr="00075DC8">
              <w:rPr>
                <w:sz w:val="18"/>
                <w:szCs w:val="18"/>
                <w:lang w:val="fr-FR"/>
              </w:rPr>
              <w:t>NRX</w:t>
            </w:r>
            <w:r w:rsidRPr="00075DC8">
              <w:rPr>
                <w:sz w:val="18"/>
                <w:szCs w:val="18"/>
                <w:lang w:val="fr-FR" w:eastAsia="ja-JP"/>
              </w:rPr>
              <w:t xml:space="preserve">) </w:t>
            </w:r>
            <w:r w:rsidRPr="00075DC8">
              <w:rPr>
                <w:sz w:val="18"/>
                <w:szCs w:val="18"/>
                <w:lang w:val="fr-FR"/>
              </w:rPr>
              <w:t>(dBW/MHz)</w:t>
            </w:r>
          </w:p>
        </w:tc>
        <w:tc>
          <w:tcPr>
            <w:tcW w:w="1526" w:type="dxa"/>
          </w:tcPr>
          <w:p w14:paraId="1336F661" w14:textId="77777777" w:rsidR="00AF52EC" w:rsidRPr="00075DC8" w:rsidRDefault="00AF52EC" w:rsidP="00E077D3">
            <w:pPr>
              <w:pStyle w:val="Tabletext"/>
              <w:jc w:val="center"/>
              <w:rPr>
                <w:sz w:val="18"/>
                <w:szCs w:val="18"/>
                <w:lang w:val="fr-FR" w:eastAsia="ja-JP"/>
              </w:rPr>
            </w:pPr>
            <w:r w:rsidRPr="00075DC8">
              <w:rPr>
                <w:sz w:val="18"/>
                <w:szCs w:val="18"/>
                <w:lang w:val="fr-FR" w:eastAsia="ja-JP"/>
              </w:rPr>
              <w:t>−136</w:t>
            </w:r>
          </w:p>
        </w:tc>
        <w:tc>
          <w:tcPr>
            <w:tcW w:w="1527" w:type="dxa"/>
          </w:tcPr>
          <w:p w14:paraId="3E969B9D" w14:textId="77777777" w:rsidR="00AF52EC" w:rsidRPr="00075DC8" w:rsidRDefault="00AF52EC" w:rsidP="00E077D3">
            <w:pPr>
              <w:pStyle w:val="Tabletext"/>
              <w:jc w:val="center"/>
              <w:rPr>
                <w:sz w:val="18"/>
                <w:szCs w:val="18"/>
                <w:lang w:val="fr-FR" w:eastAsia="ja-JP"/>
              </w:rPr>
            </w:pPr>
            <w:r w:rsidRPr="00075DC8">
              <w:rPr>
                <w:sz w:val="18"/>
                <w:szCs w:val="18"/>
                <w:lang w:val="fr-FR" w:eastAsia="ja-JP"/>
              </w:rPr>
              <w:t>−137,7</w:t>
            </w:r>
          </w:p>
        </w:tc>
        <w:tc>
          <w:tcPr>
            <w:tcW w:w="1222" w:type="dxa"/>
          </w:tcPr>
          <w:p w14:paraId="32DCAE9A" w14:textId="77777777" w:rsidR="00AF52EC" w:rsidRPr="00075DC8" w:rsidRDefault="00AF52EC" w:rsidP="00E077D3">
            <w:pPr>
              <w:pStyle w:val="Tabletext"/>
              <w:jc w:val="center"/>
              <w:rPr>
                <w:sz w:val="18"/>
                <w:szCs w:val="18"/>
                <w:lang w:val="fr-FR" w:eastAsia="ja-JP"/>
              </w:rPr>
            </w:pPr>
            <w:r w:rsidRPr="00075DC8">
              <w:rPr>
                <w:sz w:val="18"/>
                <w:szCs w:val="18"/>
                <w:lang w:val="fr-FR"/>
              </w:rPr>
              <w:t>−</w:t>
            </w:r>
            <w:r w:rsidRPr="00075DC8">
              <w:rPr>
                <w:sz w:val="18"/>
                <w:szCs w:val="18"/>
                <w:lang w:val="fr-FR" w:eastAsia="ja-JP"/>
              </w:rPr>
              <w:t>137</w:t>
            </w:r>
          </w:p>
        </w:tc>
        <w:tc>
          <w:tcPr>
            <w:tcW w:w="1223" w:type="dxa"/>
          </w:tcPr>
          <w:p w14:paraId="5723183F" w14:textId="77777777" w:rsidR="00AF52EC" w:rsidRPr="00075DC8" w:rsidRDefault="00AF52EC" w:rsidP="00E077D3">
            <w:pPr>
              <w:pStyle w:val="Tabletext"/>
              <w:jc w:val="center"/>
              <w:rPr>
                <w:sz w:val="18"/>
                <w:szCs w:val="18"/>
                <w:lang w:val="fr-FR"/>
              </w:rPr>
            </w:pPr>
            <w:r w:rsidRPr="00075DC8">
              <w:rPr>
                <w:sz w:val="18"/>
                <w:szCs w:val="18"/>
                <w:lang w:val="fr-FR"/>
              </w:rPr>
              <w:t>−137</w:t>
            </w:r>
          </w:p>
        </w:tc>
        <w:tc>
          <w:tcPr>
            <w:tcW w:w="1222" w:type="dxa"/>
            <w:vMerge/>
          </w:tcPr>
          <w:p w14:paraId="7865FB9B" w14:textId="22D397EA" w:rsidR="00AF52EC" w:rsidRPr="00075DC8" w:rsidRDefault="00AF52EC" w:rsidP="00AF52EC">
            <w:pPr>
              <w:pStyle w:val="Tabletext"/>
              <w:jc w:val="center"/>
              <w:rPr>
                <w:sz w:val="18"/>
                <w:szCs w:val="18"/>
                <w:lang w:val="fr-FR"/>
              </w:rPr>
            </w:pPr>
          </w:p>
        </w:tc>
        <w:tc>
          <w:tcPr>
            <w:tcW w:w="1223" w:type="dxa"/>
            <w:vMerge/>
          </w:tcPr>
          <w:p w14:paraId="7B725786" w14:textId="300F3C22" w:rsidR="00AF52EC" w:rsidRPr="00075DC8" w:rsidRDefault="00AF52EC" w:rsidP="00AF52EC">
            <w:pPr>
              <w:pStyle w:val="Tabletext"/>
              <w:jc w:val="center"/>
              <w:rPr>
                <w:sz w:val="18"/>
                <w:szCs w:val="18"/>
                <w:lang w:val="fr-FR"/>
              </w:rPr>
            </w:pPr>
          </w:p>
        </w:tc>
        <w:tc>
          <w:tcPr>
            <w:tcW w:w="1513" w:type="dxa"/>
          </w:tcPr>
          <w:p w14:paraId="6C94B75F" w14:textId="77777777" w:rsidR="00AF52EC" w:rsidRPr="00075DC8" w:rsidRDefault="00AF52EC" w:rsidP="00E077D3">
            <w:pPr>
              <w:pStyle w:val="Tabletext"/>
              <w:jc w:val="center"/>
              <w:rPr>
                <w:sz w:val="18"/>
                <w:szCs w:val="18"/>
                <w:lang w:val="fr-FR"/>
              </w:rPr>
            </w:pPr>
            <w:r w:rsidRPr="00075DC8">
              <w:rPr>
                <w:sz w:val="18"/>
                <w:szCs w:val="18"/>
                <w:lang w:val="fr-FR" w:eastAsia="ja-JP"/>
              </w:rPr>
              <w:t>−</w:t>
            </w:r>
            <w:r w:rsidRPr="00075DC8">
              <w:rPr>
                <w:sz w:val="18"/>
                <w:szCs w:val="18"/>
                <w:lang w:val="fr-FR"/>
              </w:rPr>
              <w:t>137</w:t>
            </w:r>
          </w:p>
        </w:tc>
        <w:tc>
          <w:tcPr>
            <w:tcW w:w="1514" w:type="dxa"/>
            <w:vMerge/>
          </w:tcPr>
          <w:p w14:paraId="204BB5EB" w14:textId="12C49D0D" w:rsidR="00AF52EC" w:rsidRPr="00075DC8" w:rsidRDefault="00AF52EC" w:rsidP="00AF52EC">
            <w:pPr>
              <w:pStyle w:val="Tabletext"/>
              <w:jc w:val="center"/>
              <w:rPr>
                <w:sz w:val="18"/>
                <w:szCs w:val="18"/>
                <w:lang w:val="fr-FR"/>
              </w:rPr>
            </w:pPr>
          </w:p>
        </w:tc>
      </w:tr>
      <w:tr w:rsidR="00AF52EC" w:rsidRPr="00075DC8" w14:paraId="4268F0AD" w14:textId="77777777" w:rsidTr="00AF52EC">
        <w:trPr>
          <w:jc w:val="center"/>
        </w:trPr>
        <w:tc>
          <w:tcPr>
            <w:tcW w:w="3504" w:type="dxa"/>
            <w:tcMar>
              <w:left w:w="57" w:type="dxa"/>
              <w:right w:w="57" w:type="dxa"/>
            </w:tcMar>
          </w:tcPr>
          <w:p w14:paraId="5DDAD11E" w14:textId="57E42A63" w:rsidR="00AF52EC" w:rsidRPr="00075DC8" w:rsidRDefault="00AF52EC" w:rsidP="00AF52EC">
            <w:pPr>
              <w:pStyle w:val="Tabletext"/>
              <w:jc w:val="left"/>
              <w:rPr>
                <w:sz w:val="18"/>
                <w:szCs w:val="18"/>
                <w:lang w:val="fr-FR" w:eastAsia="ja-JP"/>
              </w:rPr>
            </w:pPr>
            <w:r w:rsidRPr="00075DC8">
              <w:rPr>
                <w:sz w:val="18"/>
                <w:szCs w:val="18"/>
                <w:lang w:val="fr-FR" w:eastAsia="ja-JP"/>
              </w:rPr>
              <w:t>Niveau normalisé à l'entrée du récepteur pour un taux BER de 1 × 10</w:t>
            </w:r>
            <w:r w:rsidRPr="00075DC8">
              <w:rPr>
                <w:sz w:val="18"/>
                <w:szCs w:val="18"/>
                <w:vertAlign w:val="superscript"/>
                <w:lang w:val="fr-FR" w:eastAsia="ja-JP"/>
              </w:rPr>
              <w:t>−6</w:t>
            </w:r>
            <w:r w:rsidRPr="00075DC8">
              <w:rPr>
                <w:sz w:val="18"/>
                <w:szCs w:val="18"/>
                <w:lang w:val="fr-FR" w:eastAsia="ja-JP"/>
              </w:rPr>
              <w:t xml:space="preserve"> (dBW/MHz)</w:t>
            </w:r>
          </w:p>
        </w:tc>
        <w:tc>
          <w:tcPr>
            <w:tcW w:w="1526" w:type="dxa"/>
          </w:tcPr>
          <w:p w14:paraId="2E955912" w14:textId="673B0881" w:rsidR="00AF52EC" w:rsidRPr="00075DC8" w:rsidRDefault="00AF52EC" w:rsidP="00AF52EC">
            <w:pPr>
              <w:pStyle w:val="Tabletext"/>
              <w:jc w:val="center"/>
              <w:rPr>
                <w:sz w:val="18"/>
                <w:szCs w:val="18"/>
                <w:lang w:val="fr-FR" w:eastAsia="ja-JP"/>
              </w:rPr>
            </w:pPr>
            <w:r w:rsidRPr="00075DC8">
              <w:rPr>
                <w:sz w:val="18"/>
                <w:szCs w:val="18"/>
                <w:lang w:val="fr-FR" w:eastAsia="ja-JP"/>
              </w:rPr>
              <w:t>−122,5</w:t>
            </w:r>
          </w:p>
        </w:tc>
        <w:tc>
          <w:tcPr>
            <w:tcW w:w="1527" w:type="dxa"/>
          </w:tcPr>
          <w:p w14:paraId="3286DF6E" w14:textId="5EC23652" w:rsidR="00AF52EC" w:rsidRPr="00075DC8" w:rsidRDefault="00AF52EC" w:rsidP="00AF52EC">
            <w:pPr>
              <w:pStyle w:val="Tabletext"/>
              <w:jc w:val="center"/>
              <w:rPr>
                <w:sz w:val="18"/>
                <w:szCs w:val="18"/>
                <w:lang w:val="fr-FR" w:eastAsia="ja-JP"/>
              </w:rPr>
            </w:pPr>
            <w:r w:rsidRPr="00075DC8">
              <w:rPr>
                <w:sz w:val="18"/>
                <w:szCs w:val="18"/>
                <w:lang w:val="fr-FR" w:eastAsia="ja-JP"/>
              </w:rPr>
              <w:t>−114,2</w:t>
            </w:r>
          </w:p>
        </w:tc>
        <w:tc>
          <w:tcPr>
            <w:tcW w:w="1222" w:type="dxa"/>
          </w:tcPr>
          <w:p w14:paraId="7B365B45" w14:textId="5BAAD27C" w:rsidR="00AF52EC" w:rsidRPr="00075DC8" w:rsidRDefault="00AF52EC" w:rsidP="00AF52EC">
            <w:pPr>
              <w:pStyle w:val="Tabletext"/>
              <w:jc w:val="center"/>
              <w:rPr>
                <w:sz w:val="18"/>
                <w:szCs w:val="18"/>
                <w:lang w:val="fr-FR"/>
              </w:rPr>
            </w:pPr>
            <w:r w:rsidRPr="00075DC8">
              <w:rPr>
                <w:sz w:val="18"/>
                <w:szCs w:val="18"/>
                <w:lang w:val="fr-FR"/>
              </w:rPr>
              <w:t>−123,5</w:t>
            </w:r>
          </w:p>
        </w:tc>
        <w:tc>
          <w:tcPr>
            <w:tcW w:w="1223" w:type="dxa"/>
          </w:tcPr>
          <w:p w14:paraId="6F585DE0" w14:textId="4359D210" w:rsidR="00AF52EC" w:rsidRPr="00075DC8" w:rsidRDefault="00AF52EC" w:rsidP="00AF52EC">
            <w:pPr>
              <w:pStyle w:val="Tabletext"/>
              <w:jc w:val="center"/>
              <w:rPr>
                <w:sz w:val="18"/>
                <w:szCs w:val="18"/>
                <w:lang w:val="fr-FR"/>
              </w:rPr>
            </w:pPr>
            <w:r w:rsidRPr="00075DC8">
              <w:rPr>
                <w:sz w:val="18"/>
                <w:szCs w:val="18"/>
                <w:lang w:val="fr-FR"/>
              </w:rPr>
              <w:t>−104,4</w:t>
            </w:r>
          </w:p>
        </w:tc>
        <w:tc>
          <w:tcPr>
            <w:tcW w:w="1222" w:type="dxa"/>
            <w:vMerge/>
          </w:tcPr>
          <w:p w14:paraId="2C16454D" w14:textId="2EE6CFC6" w:rsidR="00AF52EC" w:rsidRPr="00075DC8" w:rsidRDefault="00AF52EC" w:rsidP="00AF52EC">
            <w:pPr>
              <w:pStyle w:val="Tabletext"/>
              <w:jc w:val="center"/>
              <w:rPr>
                <w:sz w:val="18"/>
                <w:szCs w:val="18"/>
                <w:lang w:val="fr-FR"/>
              </w:rPr>
            </w:pPr>
          </w:p>
        </w:tc>
        <w:tc>
          <w:tcPr>
            <w:tcW w:w="1223" w:type="dxa"/>
            <w:vMerge/>
          </w:tcPr>
          <w:p w14:paraId="6D6D563D" w14:textId="69826D0B" w:rsidR="00AF52EC" w:rsidRPr="00075DC8" w:rsidRDefault="00AF52EC" w:rsidP="00AF52EC">
            <w:pPr>
              <w:pStyle w:val="Tabletext"/>
              <w:jc w:val="center"/>
              <w:rPr>
                <w:sz w:val="18"/>
                <w:szCs w:val="18"/>
                <w:lang w:val="fr-FR"/>
              </w:rPr>
            </w:pPr>
          </w:p>
        </w:tc>
        <w:tc>
          <w:tcPr>
            <w:tcW w:w="1513" w:type="dxa"/>
          </w:tcPr>
          <w:p w14:paraId="16925601" w14:textId="1AA1742A" w:rsidR="00AF52EC" w:rsidRPr="00075DC8" w:rsidRDefault="00AF52EC" w:rsidP="00AF52EC">
            <w:pPr>
              <w:pStyle w:val="Tabletext"/>
              <w:jc w:val="center"/>
              <w:rPr>
                <w:sz w:val="18"/>
                <w:szCs w:val="18"/>
                <w:lang w:val="fr-FR" w:eastAsia="ja-JP"/>
              </w:rPr>
            </w:pPr>
            <w:r w:rsidRPr="00075DC8">
              <w:rPr>
                <w:sz w:val="18"/>
                <w:szCs w:val="18"/>
                <w:lang w:val="fr-FR" w:eastAsia="ja-JP"/>
              </w:rPr>
              <w:t>−123,6</w:t>
            </w:r>
          </w:p>
        </w:tc>
        <w:tc>
          <w:tcPr>
            <w:tcW w:w="1514" w:type="dxa"/>
            <w:vMerge/>
          </w:tcPr>
          <w:p w14:paraId="06FA10F3" w14:textId="7ABD1816" w:rsidR="00AF52EC" w:rsidRPr="00075DC8" w:rsidRDefault="00AF52EC" w:rsidP="00AF52EC">
            <w:pPr>
              <w:pStyle w:val="Tabletext"/>
              <w:jc w:val="center"/>
              <w:rPr>
                <w:sz w:val="18"/>
                <w:szCs w:val="18"/>
                <w:lang w:val="fr-FR"/>
              </w:rPr>
            </w:pPr>
          </w:p>
        </w:tc>
      </w:tr>
      <w:tr w:rsidR="003C5B30" w:rsidRPr="00075DC8" w14:paraId="362B414B" w14:textId="77777777" w:rsidTr="00AF52EC">
        <w:trPr>
          <w:jc w:val="center"/>
        </w:trPr>
        <w:tc>
          <w:tcPr>
            <w:tcW w:w="14474" w:type="dxa"/>
            <w:gridSpan w:val="9"/>
            <w:tcBorders>
              <w:top w:val="nil"/>
              <w:left w:val="nil"/>
              <w:right w:val="nil"/>
            </w:tcBorders>
            <w:tcMar>
              <w:left w:w="57" w:type="dxa"/>
              <w:right w:w="57" w:type="dxa"/>
            </w:tcMar>
            <w:vAlign w:val="center"/>
          </w:tcPr>
          <w:p w14:paraId="2E135186" w14:textId="7511A7E5" w:rsidR="003C5B30" w:rsidRPr="00075DC8" w:rsidRDefault="003C5B30" w:rsidP="003C5B30">
            <w:pPr>
              <w:pStyle w:val="TableNo"/>
              <w:keepNext w:val="0"/>
              <w:rPr>
                <w:lang w:val="fr-FR"/>
              </w:rPr>
            </w:pPr>
            <w:r w:rsidRPr="00075DC8">
              <w:rPr>
                <w:lang w:val="fr-FR"/>
              </w:rPr>
              <w:lastRenderedPageBreak/>
              <w:t>TABLEAU 11 (</w:t>
            </w:r>
            <w:r w:rsidRPr="00075DC8">
              <w:rPr>
                <w:i/>
                <w:iCs/>
                <w:lang w:val="fr-FR"/>
              </w:rPr>
              <w:t>fin</w:t>
            </w:r>
            <w:r w:rsidRPr="00075DC8">
              <w:rPr>
                <w:lang w:val="fr-FR"/>
              </w:rPr>
              <w:t>)</w:t>
            </w:r>
          </w:p>
        </w:tc>
      </w:tr>
      <w:tr w:rsidR="003C5B30" w:rsidRPr="00075DC8" w14:paraId="5F8F82B7" w14:textId="77777777" w:rsidTr="00AF52EC">
        <w:trPr>
          <w:jc w:val="center"/>
        </w:trPr>
        <w:tc>
          <w:tcPr>
            <w:tcW w:w="3504" w:type="dxa"/>
            <w:tcMar>
              <w:left w:w="57" w:type="dxa"/>
              <w:right w:w="57" w:type="dxa"/>
            </w:tcMar>
            <w:vAlign w:val="center"/>
          </w:tcPr>
          <w:p w14:paraId="212087ED" w14:textId="77777777" w:rsidR="003C5B30" w:rsidRPr="00075DC8" w:rsidRDefault="003C5B30" w:rsidP="00754C3F">
            <w:pPr>
              <w:pStyle w:val="Tablehead"/>
              <w:keepNext w:val="0"/>
              <w:rPr>
                <w:bCs/>
                <w:sz w:val="18"/>
                <w:szCs w:val="18"/>
                <w:lang w:val="fr-FR" w:eastAsia="ja-JP"/>
              </w:rPr>
            </w:pPr>
            <w:r w:rsidRPr="00075DC8">
              <w:rPr>
                <w:bCs/>
                <w:sz w:val="18"/>
                <w:szCs w:val="18"/>
                <w:lang w:val="fr-FR" w:eastAsia="ja-JP"/>
              </w:rPr>
              <w:t>Gamme de fréquences</w:t>
            </w:r>
            <w:r w:rsidRPr="00075DC8">
              <w:rPr>
                <w:bCs/>
                <w:sz w:val="18"/>
                <w:szCs w:val="18"/>
                <w:lang w:val="fr-FR" w:eastAsia="ja-JP"/>
              </w:rPr>
              <w:br/>
              <w:t>(GHz)</w:t>
            </w:r>
          </w:p>
        </w:tc>
        <w:tc>
          <w:tcPr>
            <w:tcW w:w="3053" w:type="dxa"/>
            <w:gridSpan w:val="2"/>
            <w:vAlign w:val="center"/>
          </w:tcPr>
          <w:p w14:paraId="780B60D7" w14:textId="77777777" w:rsidR="003C5B30" w:rsidRPr="00075DC8" w:rsidRDefault="003C5B30" w:rsidP="00754C3F">
            <w:pPr>
              <w:pStyle w:val="Tablehead"/>
              <w:keepNext w:val="0"/>
              <w:rPr>
                <w:bCs/>
                <w:sz w:val="18"/>
                <w:szCs w:val="18"/>
                <w:lang w:val="fr-FR"/>
              </w:rPr>
            </w:pPr>
            <w:r w:rsidRPr="00075DC8">
              <w:rPr>
                <w:bCs/>
                <w:sz w:val="18"/>
                <w:szCs w:val="18"/>
                <w:lang w:val="fr-FR" w:eastAsia="ja-JP"/>
              </w:rPr>
              <w:t>36,0-40,5</w:t>
            </w:r>
          </w:p>
        </w:tc>
        <w:tc>
          <w:tcPr>
            <w:tcW w:w="2445" w:type="dxa"/>
            <w:gridSpan w:val="2"/>
            <w:vAlign w:val="center"/>
          </w:tcPr>
          <w:p w14:paraId="678F1ED3" w14:textId="77777777" w:rsidR="003C5B30" w:rsidRPr="00075DC8" w:rsidRDefault="003C5B30" w:rsidP="00754C3F">
            <w:pPr>
              <w:pStyle w:val="Tablehead"/>
              <w:keepNext w:val="0"/>
              <w:rPr>
                <w:bCs/>
                <w:sz w:val="18"/>
                <w:szCs w:val="18"/>
                <w:lang w:val="fr-FR" w:eastAsia="ja-JP"/>
              </w:rPr>
            </w:pPr>
            <w:r w:rsidRPr="00075DC8">
              <w:rPr>
                <w:bCs/>
                <w:sz w:val="18"/>
                <w:szCs w:val="18"/>
                <w:lang w:val="fr-FR" w:eastAsia="ja-JP"/>
              </w:rPr>
              <w:t>40,5-43,5</w:t>
            </w:r>
          </w:p>
        </w:tc>
        <w:tc>
          <w:tcPr>
            <w:tcW w:w="2445" w:type="dxa"/>
            <w:gridSpan w:val="2"/>
            <w:vAlign w:val="center"/>
          </w:tcPr>
          <w:p w14:paraId="789E7544" w14:textId="77777777" w:rsidR="003C5B30" w:rsidRPr="00075DC8" w:rsidRDefault="003C5B30" w:rsidP="00754C3F">
            <w:pPr>
              <w:pStyle w:val="Tablehead"/>
              <w:keepNext w:val="0"/>
              <w:rPr>
                <w:bCs/>
                <w:sz w:val="18"/>
                <w:szCs w:val="18"/>
                <w:lang w:val="fr-FR"/>
              </w:rPr>
            </w:pPr>
            <w:r w:rsidRPr="00075DC8">
              <w:rPr>
                <w:bCs/>
                <w:sz w:val="18"/>
                <w:szCs w:val="18"/>
                <w:lang w:val="fr-FR" w:eastAsia="ja-JP"/>
              </w:rPr>
              <w:t>51,4-52,6</w:t>
            </w:r>
          </w:p>
        </w:tc>
        <w:tc>
          <w:tcPr>
            <w:tcW w:w="3027" w:type="dxa"/>
            <w:gridSpan w:val="2"/>
            <w:vAlign w:val="center"/>
          </w:tcPr>
          <w:p w14:paraId="7205B221" w14:textId="77777777" w:rsidR="003C5B30" w:rsidRPr="00075DC8" w:rsidRDefault="003C5B30" w:rsidP="00754C3F">
            <w:pPr>
              <w:pStyle w:val="Tablehead"/>
              <w:keepNext w:val="0"/>
              <w:rPr>
                <w:bCs/>
                <w:sz w:val="18"/>
                <w:szCs w:val="18"/>
                <w:lang w:val="fr-FR" w:eastAsia="ja-JP"/>
              </w:rPr>
            </w:pPr>
            <w:r w:rsidRPr="00075DC8">
              <w:rPr>
                <w:bCs/>
                <w:sz w:val="18"/>
                <w:szCs w:val="18"/>
                <w:lang w:val="fr-FR" w:eastAsia="ja-JP"/>
              </w:rPr>
              <w:t>55,78-59,0</w:t>
            </w:r>
          </w:p>
        </w:tc>
      </w:tr>
      <w:tr w:rsidR="003C5B30" w:rsidRPr="00075DC8" w14:paraId="4F3C1E04" w14:textId="77777777" w:rsidTr="006D6AB2">
        <w:trPr>
          <w:jc w:val="center"/>
        </w:trPr>
        <w:tc>
          <w:tcPr>
            <w:tcW w:w="3504" w:type="dxa"/>
            <w:tcMar>
              <w:left w:w="57" w:type="dxa"/>
              <w:right w:w="57" w:type="dxa"/>
            </w:tcMar>
          </w:tcPr>
          <w:p w14:paraId="4EA4A49C" w14:textId="1B25BF60" w:rsidR="003C5B30" w:rsidRPr="00075DC8" w:rsidRDefault="003C5B30" w:rsidP="006D6AB2">
            <w:pPr>
              <w:pStyle w:val="Tabletext"/>
              <w:jc w:val="left"/>
              <w:rPr>
                <w:bCs/>
                <w:sz w:val="18"/>
                <w:szCs w:val="18"/>
                <w:lang w:val="fr-FR" w:eastAsia="ja-JP"/>
              </w:rPr>
            </w:pPr>
            <w:r w:rsidRPr="00075DC8">
              <w:rPr>
                <w:sz w:val="18"/>
                <w:szCs w:val="18"/>
                <w:lang w:val="fr-FR"/>
              </w:rPr>
              <w:t>Recommandation UIT-R de référence</w:t>
            </w:r>
          </w:p>
        </w:tc>
        <w:tc>
          <w:tcPr>
            <w:tcW w:w="3053" w:type="dxa"/>
            <w:gridSpan w:val="2"/>
          </w:tcPr>
          <w:p w14:paraId="1D4BCFB6" w14:textId="122B838B" w:rsidR="003C5B30" w:rsidRPr="00075DC8" w:rsidRDefault="003C5B30" w:rsidP="003C5B30">
            <w:pPr>
              <w:pStyle w:val="Tabletext"/>
              <w:jc w:val="center"/>
              <w:rPr>
                <w:bCs/>
                <w:sz w:val="18"/>
                <w:szCs w:val="18"/>
                <w:lang w:val="fr-FR" w:eastAsia="ja-JP"/>
              </w:rPr>
            </w:pPr>
            <w:r w:rsidRPr="00075DC8">
              <w:rPr>
                <w:sz w:val="18"/>
                <w:szCs w:val="18"/>
                <w:lang w:val="fr-FR"/>
              </w:rPr>
              <w:t>F.</w:t>
            </w:r>
            <w:r w:rsidRPr="00075DC8">
              <w:rPr>
                <w:sz w:val="18"/>
                <w:szCs w:val="18"/>
                <w:lang w:val="fr-FR" w:eastAsia="ja-JP"/>
              </w:rPr>
              <w:t>749</w:t>
            </w:r>
          </w:p>
        </w:tc>
        <w:tc>
          <w:tcPr>
            <w:tcW w:w="2445" w:type="dxa"/>
            <w:gridSpan w:val="2"/>
          </w:tcPr>
          <w:p w14:paraId="006C4732" w14:textId="2A6231C8" w:rsidR="003C5B30" w:rsidRPr="00075DC8" w:rsidRDefault="003C5B30" w:rsidP="003C5B30">
            <w:pPr>
              <w:pStyle w:val="Tabletext"/>
              <w:jc w:val="center"/>
              <w:rPr>
                <w:bCs/>
                <w:sz w:val="18"/>
                <w:szCs w:val="18"/>
                <w:lang w:val="fr-FR" w:eastAsia="ja-JP"/>
              </w:rPr>
            </w:pPr>
            <w:r w:rsidRPr="00075DC8">
              <w:rPr>
                <w:sz w:val="18"/>
                <w:szCs w:val="18"/>
                <w:lang w:val="fr-FR"/>
              </w:rPr>
              <w:t>F.2005</w:t>
            </w:r>
          </w:p>
        </w:tc>
        <w:tc>
          <w:tcPr>
            <w:tcW w:w="2445" w:type="dxa"/>
            <w:gridSpan w:val="2"/>
          </w:tcPr>
          <w:p w14:paraId="54F406FB" w14:textId="141C87AC" w:rsidR="003C5B30" w:rsidRPr="00075DC8" w:rsidRDefault="003C5B30" w:rsidP="003C5B30">
            <w:pPr>
              <w:pStyle w:val="Tabletext"/>
              <w:jc w:val="center"/>
              <w:rPr>
                <w:bCs/>
                <w:sz w:val="18"/>
                <w:szCs w:val="18"/>
                <w:lang w:val="fr-FR" w:eastAsia="ja-JP"/>
              </w:rPr>
            </w:pPr>
            <w:r w:rsidRPr="00075DC8">
              <w:rPr>
                <w:sz w:val="18"/>
                <w:szCs w:val="18"/>
                <w:lang w:val="fr-FR"/>
              </w:rPr>
              <w:t>F.</w:t>
            </w:r>
            <w:r w:rsidRPr="00075DC8">
              <w:rPr>
                <w:sz w:val="18"/>
                <w:szCs w:val="18"/>
                <w:lang w:val="fr-FR" w:eastAsia="ja-JP"/>
              </w:rPr>
              <w:t>1496</w:t>
            </w:r>
          </w:p>
        </w:tc>
        <w:tc>
          <w:tcPr>
            <w:tcW w:w="3027" w:type="dxa"/>
            <w:gridSpan w:val="2"/>
          </w:tcPr>
          <w:p w14:paraId="30BC9F68" w14:textId="258D85F0" w:rsidR="003C5B30" w:rsidRPr="00075DC8" w:rsidRDefault="003C5B30" w:rsidP="003C5B30">
            <w:pPr>
              <w:pStyle w:val="Tabletext"/>
              <w:jc w:val="center"/>
              <w:rPr>
                <w:bCs/>
                <w:sz w:val="18"/>
                <w:szCs w:val="18"/>
                <w:lang w:val="fr-FR" w:eastAsia="ja-JP"/>
              </w:rPr>
            </w:pPr>
            <w:r w:rsidRPr="00075DC8">
              <w:rPr>
                <w:sz w:val="18"/>
                <w:szCs w:val="18"/>
                <w:lang w:val="fr-FR"/>
              </w:rPr>
              <w:t>F.</w:t>
            </w:r>
            <w:r w:rsidRPr="00075DC8">
              <w:rPr>
                <w:sz w:val="18"/>
                <w:szCs w:val="18"/>
                <w:lang w:val="fr-FR" w:eastAsia="ja-JP"/>
              </w:rPr>
              <w:t>1497</w:t>
            </w:r>
          </w:p>
        </w:tc>
      </w:tr>
      <w:tr w:rsidR="00725E50" w:rsidRPr="00075DC8" w14:paraId="32ED2D18" w14:textId="77777777" w:rsidTr="006D6AB2">
        <w:trPr>
          <w:jc w:val="center"/>
        </w:trPr>
        <w:tc>
          <w:tcPr>
            <w:tcW w:w="3504" w:type="dxa"/>
            <w:tcBorders>
              <w:top w:val="single" w:sz="4" w:space="0" w:color="auto"/>
              <w:left w:val="single" w:sz="4" w:space="0" w:color="auto"/>
              <w:bottom w:val="single" w:sz="4" w:space="0" w:color="auto"/>
              <w:right w:val="single" w:sz="4" w:space="0" w:color="auto"/>
            </w:tcBorders>
            <w:tcMar>
              <w:left w:w="57" w:type="dxa"/>
              <w:right w:w="57" w:type="dxa"/>
            </w:tcMar>
          </w:tcPr>
          <w:p w14:paraId="57D2FC79" w14:textId="77777777" w:rsidR="00725E50" w:rsidRPr="00075DC8" w:rsidRDefault="00725E50" w:rsidP="006D6AB2">
            <w:pPr>
              <w:pStyle w:val="Tabletext"/>
              <w:jc w:val="left"/>
              <w:rPr>
                <w:sz w:val="18"/>
                <w:szCs w:val="18"/>
                <w:lang w:val="fr-FR" w:eastAsia="ja-JP"/>
              </w:rPr>
            </w:pPr>
            <w:r w:rsidRPr="00075DC8">
              <w:rPr>
                <w:sz w:val="18"/>
                <w:szCs w:val="18"/>
                <w:lang w:val="fr-FR" w:eastAsia="ja-JP"/>
              </w:rPr>
              <w:t>Densité nominale de puissance de brouillage de longue durée (dBW/MHz)</w:t>
            </w:r>
            <w:r w:rsidRPr="00075DC8">
              <w:rPr>
                <w:sz w:val="18"/>
                <w:szCs w:val="18"/>
                <w:vertAlign w:val="superscript"/>
                <w:lang w:val="fr-FR" w:eastAsia="ja-JP"/>
              </w:rPr>
              <w:t>(2)</w:t>
            </w:r>
          </w:p>
        </w:tc>
        <w:tc>
          <w:tcPr>
            <w:tcW w:w="1526" w:type="dxa"/>
            <w:tcBorders>
              <w:top w:val="single" w:sz="4" w:space="0" w:color="auto"/>
              <w:left w:val="single" w:sz="4" w:space="0" w:color="auto"/>
              <w:bottom w:val="single" w:sz="4" w:space="0" w:color="auto"/>
              <w:right w:val="single" w:sz="4" w:space="0" w:color="auto"/>
            </w:tcBorders>
          </w:tcPr>
          <w:p w14:paraId="542C88D8" w14:textId="77777777" w:rsidR="00725E50" w:rsidRPr="00075DC8" w:rsidRDefault="00725E50" w:rsidP="00E077D3">
            <w:pPr>
              <w:pStyle w:val="Tabletext"/>
              <w:jc w:val="center"/>
              <w:rPr>
                <w:sz w:val="18"/>
                <w:szCs w:val="18"/>
                <w:lang w:val="fr-FR" w:eastAsia="ja-JP"/>
              </w:rPr>
            </w:pPr>
            <w:r w:rsidRPr="00075DC8">
              <w:rPr>
                <w:sz w:val="18"/>
                <w:szCs w:val="18"/>
                <w:lang w:val="fr-FR" w:eastAsia="ja-JP"/>
              </w:rPr>
              <w:t xml:space="preserve">−136 + </w:t>
            </w:r>
            <w:r w:rsidRPr="00075DC8">
              <w:rPr>
                <w:i/>
                <w:iCs/>
                <w:sz w:val="18"/>
                <w:szCs w:val="18"/>
                <w:lang w:val="fr-FR" w:eastAsia="ja-JP"/>
              </w:rPr>
              <w:t>I</w:t>
            </w:r>
            <w:r w:rsidRPr="00075DC8">
              <w:rPr>
                <w:sz w:val="18"/>
                <w:szCs w:val="18"/>
                <w:lang w:val="fr-FR" w:eastAsia="ja-JP"/>
              </w:rPr>
              <w:t>/</w:t>
            </w:r>
            <w:r w:rsidRPr="00075DC8">
              <w:rPr>
                <w:i/>
                <w:iCs/>
                <w:sz w:val="18"/>
                <w:szCs w:val="18"/>
                <w:lang w:val="fr-FR" w:eastAsia="ja-JP"/>
              </w:rPr>
              <w:t>N</w:t>
            </w:r>
          </w:p>
        </w:tc>
        <w:tc>
          <w:tcPr>
            <w:tcW w:w="1527" w:type="dxa"/>
            <w:tcBorders>
              <w:top w:val="single" w:sz="4" w:space="0" w:color="auto"/>
              <w:left w:val="single" w:sz="4" w:space="0" w:color="auto"/>
              <w:bottom w:val="single" w:sz="4" w:space="0" w:color="auto"/>
              <w:right w:val="single" w:sz="4" w:space="0" w:color="auto"/>
            </w:tcBorders>
          </w:tcPr>
          <w:p w14:paraId="4B8AACF8" w14:textId="77777777" w:rsidR="00725E50" w:rsidRPr="00075DC8" w:rsidRDefault="00725E50" w:rsidP="00E077D3">
            <w:pPr>
              <w:pStyle w:val="Tabletext"/>
              <w:jc w:val="center"/>
              <w:rPr>
                <w:sz w:val="18"/>
                <w:szCs w:val="18"/>
                <w:lang w:val="fr-FR" w:eastAsia="ja-JP"/>
              </w:rPr>
            </w:pPr>
            <w:r w:rsidRPr="00075DC8">
              <w:rPr>
                <w:sz w:val="18"/>
                <w:szCs w:val="18"/>
                <w:lang w:val="fr-FR" w:eastAsia="ja-JP"/>
              </w:rPr>
              <w:t xml:space="preserve">−137,7 + </w:t>
            </w:r>
            <w:r w:rsidRPr="00075DC8">
              <w:rPr>
                <w:i/>
                <w:iCs/>
                <w:sz w:val="18"/>
                <w:szCs w:val="18"/>
                <w:lang w:val="fr-FR" w:eastAsia="ja-JP"/>
              </w:rPr>
              <w:t>I</w:t>
            </w:r>
            <w:r w:rsidRPr="00075DC8">
              <w:rPr>
                <w:sz w:val="18"/>
                <w:szCs w:val="18"/>
                <w:lang w:val="fr-FR" w:eastAsia="ja-JP"/>
              </w:rPr>
              <w:t>/</w:t>
            </w:r>
            <w:r w:rsidRPr="00075DC8">
              <w:rPr>
                <w:i/>
                <w:iCs/>
                <w:sz w:val="18"/>
                <w:szCs w:val="18"/>
                <w:lang w:val="fr-FR" w:eastAsia="ja-JP"/>
              </w:rPr>
              <w:t>N</w:t>
            </w:r>
          </w:p>
        </w:tc>
        <w:tc>
          <w:tcPr>
            <w:tcW w:w="1222" w:type="dxa"/>
            <w:tcBorders>
              <w:top w:val="single" w:sz="4" w:space="0" w:color="auto"/>
              <w:left w:val="single" w:sz="4" w:space="0" w:color="auto"/>
              <w:bottom w:val="single" w:sz="4" w:space="0" w:color="auto"/>
              <w:right w:val="single" w:sz="4" w:space="0" w:color="auto"/>
            </w:tcBorders>
          </w:tcPr>
          <w:p w14:paraId="221A9284" w14:textId="77777777" w:rsidR="00725E50" w:rsidRPr="00075DC8" w:rsidRDefault="00725E50" w:rsidP="00E077D3">
            <w:pPr>
              <w:pStyle w:val="Tabletext"/>
              <w:jc w:val="center"/>
              <w:rPr>
                <w:sz w:val="18"/>
                <w:szCs w:val="18"/>
                <w:lang w:val="fr-FR"/>
              </w:rPr>
            </w:pPr>
            <w:r w:rsidRPr="00075DC8">
              <w:rPr>
                <w:sz w:val="18"/>
                <w:szCs w:val="18"/>
                <w:lang w:val="fr-FR"/>
              </w:rPr>
              <w:t xml:space="preserve">−137 + </w:t>
            </w:r>
            <w:r w:rsidRPr="00075DC8">
              <w:rPr>
                <w:i/>
                <w:iCs/>
                <w:sz w:val="18"/>
                <w:szCs w:val="18"/>
                <w:lang w:val="fr-FR"/>
              </w:rPr>
              <w:t>I</w:t>
            </w:r>
            <w:r w:rsidRPr="00075DC8">
              <w:rPr>
                <w:sz w:val="18"/>
                <w:szCs w:val="18"/>
                <w:lang w:val="fr-FR"/>
              </w:rPr>
              <w:t>/</w:t>
            </w:r>
            <w:r w:rsidRPr="00075DC8">
              <w:rPr>
                <w:i/>
                <w:iCs/>
                <w:sz w:val="18"/>
                <w:szCs w:val="18"/>
                <w:lang w:val="fr-FR"/>
              </w:rPr>
              <w:t>N</w:t>
            </w:r>
          </w:p>
        </w:tc>
        <w:tc>
          <w:tcPr>
            <w:tcW w:w="1223" w:type="dxa"/>
            <w:tcBorders>
              <w:top w:val="single" w:sz="4" w:space="0" w:color="auto"/>
              <w:left w:val="single" w:sz="4" w:space="0" w:color="auto"/>
              <w:bottom w:val="single" w:sz="4" w:space="0" w:color="auto"/>
              <w:right w:val="single" w:sz="4" w:space="0" w:color="auto"/>
            </w:tcBorders>
          </w:tcPr>
          <w:p w14:paraId="7073A56C" w14:textId="77777777" w:rsidR="00725E50" w:rsidRPr="00075DC8" w:rsidRDefault="00725E50" w:rsidP="00E077D3">
            <w:pPr>
              <w:pStyle w:val="Tabletext"/>
              <w:jc w:val="center"/>
              <w:rPr>
                <w:sz w:val="18"/>
                <w:szCs w:val="18"/>
                <w:lang w:val="fr-FR"/>
              </w:rPr>
            </w:pPr>
            <w:r w:rsidRPr="00075DC8">
              <w:rPr>
                <w:sz w:val="18"/>
                <w:szCs w:val="18"/>
                <w:lang w:val="fr-FR"/>
              </w:rPr>
              <w:t xml:space="preserve">−137 + </w:t>
            </w:r>
            <w:r w:rsidRPr="00075DC8">
              <w:rPr>
                <w:i/>
                <w:iCs/>
                <w:sz w:val="18"/>
                <w:szCs w:val="18"/>
                <w:lang w:val="fr-FR"/>
              </w:rPr>
              <w:t>I</w:t>
            </w:r>
            <w:r w:rsidRPr="00075DC8">
              <w:rPr>
                <w:sz w:val="18"/>
                <w:szCs w:val="18"/>
                <w:lang w:val="fr-FR"/>
              </w:rPr>
              <w:t>/</w:t>
            </w:r>
            <w:r w:rsidRPr="00075DC8">
              <w:rPr>
                <w:i/>
                <w:iCs/>
                <w:sz w:val="18"/>
                <w:szCs w:val="18"/>
                <w:lang w:val="fr-FR"/>
              </w:rPr>
              <w:t>N</w:t>
            </w:r>
          </w:p>
        </w:tc>
        <w:tc>
          <w:tcPr>
            <w:tcW w:w="1222" w:type="dxa"/>
          </w:tcPr>
          <w:p w14:paraId="1F9E076A" w14:textId="77777777" w:rsidR="00725E50" w:rsidRPr="00075DC8" w:rsidRDefault="00725E50" w:rsidP="00E077D3">
            <w:pPr>
              <w:pStyle w:val="Tabletext"/>
              <w:jc w:val="center"/>
              <w:rPr>
                <w:sz w:val="18"/>
                <w:szCs w:val="18"/>
                <w:lang w:val="fr-FR" w:eastAsia="ja-JP"/>
              </w:rPr>
            </w:pPr>
            <w:r w:rsidRPr="00075DC8">
              <w:rPr>
                <w:sz w:val="18"/>
                <w:szCs w:val="18"/>
                <w:lang w:val="fr-FR"/>
              </w:rPr>
              <w:t xml:space="preserve">NRX + </w:t>
            </w:r>
            <w:r w:rsidRPr="00075DC8">
              <w:rPr>
                <w:i/>
                <w:iCs/>
                <w:sz w:val="18"/>
                <w:szCs w:val="18"/>
                <w:lang w:val="fr-FR"/>
              </w:rPr>
              <w:t>I</w:t>
            </w:r>
            <w:r w:rsidRPr="00075DC8">
              <w:rPr>
                <w:sz w:val="18"/>
                <w:szCs w:val="18"/>
                <w:lang w:val="fr-FR"/>
              </w:rPr>
              <w:t>/</w:t>
            </w:r>
            <w:r w:rsidRPr="00075DC8">
              <w:rPr>
                <w:i/>
                <w:iCs/>
                <w:sz w:val="18"/>
                <w:szCs w:val="18"/>
                <w:lang w:val="fr-FR"/>
              </w:rPr>
              <w:t>N</w:t>
            </w:r>
          </w:p>
        </w:tc>
        <w:tc>
          <w:tcPr>
            <w:tcW w:w="1223" w:type="dxa"/>
          </w:tcPr>
          <w:p w14:paraId="0C8F25A2" w14:textId="77777777" w:rsidR="00725E50" w:rsidRPr="00075DC8" w:rsidRDefault="00725E50" w:rsidP="00E077D3">
            <w:pPr>
              <w:pStyle w:val="Tabletext"/>
              <w:jc w:val="center"/>
              <w:rPr>
                <w:sz w:val="18"/>
                <w:szCs w:val="18"/>
                <w:lang w:val="fr-FR" w:eastAsia="ja-JP"/>
              </w:rPr>
            </w:pPr>
            <w:r w:rsidRPr="00075DC8">
              <w:rPr>
                <w:sz w:val="18"/>
                <w:szCs w:val="18"/>
                <w:lang w:val="fr-FR"/>
              </w:rPr>
              <w:t xml:space="preserve">NRX + </w:t>
            </w:r>
            <w:r w:rsidRPr="00075DC8">
              <w:rPr>
                <w:i/>
                <w:iCs/>
                <w:sz w:val="18"/>
                <w:szCs w:val="18"/>
                <w:lang w:val="fr-FR"/>
              </w:rPr>
              <w:t>I</w:t>
            </w:r>
            <w:r w:rsidRPr="00075DC8">
              <w:rPr>
                <w:sz w:val="18"/>
                <w:szCs w:val="18"/>
                <w:lang w:val="fr-FR"/>
              </w:rPr>
              <w:t>/</w:t>
            </w:r>
            <w:r w:rsidRPr="00075DC8">
              <w:rPr>
                <w:i/>
                <w:iCs/>
                <w:sz w:val="18"/>
                <w:szCs w:val="18"/>
                <w:lang w:val="fr-FR"/>
              </w:rPr>
              <w:t>N</w:t>
            </w:r>
          </w:p>
        </w:tc>
        <w:tc>
          <w:tcPr>
            <w:tcW w:w="1513" w:type="dxa"/>
            <w:tcBorders>
              <w:top w:val="single" w:sz="4" w:space="0" w:color="auto"/>
              <w:left w:val="single" w:sz="4" w:space="0" w:color="auto"/>
              <w:bottom w:val="single" w:sz="4" w:space="0" w:color="auto"/>
              <w:right w:val="single" w:sz="4" w:space="0" w:color="auto"/>
            </w:tcBorders>
          </w:tcPr>
          <w:p w14:paraId="6AA36D33" w14:textId="77777777" w:rsidR="00725E50" w:rsidRPr="00075DC8" w:rsidRDefault="00725E50" w:rsidP="00E077D3">
            <w:pPr>
              <w:pStyle w:val="Tabletext"/>
              <w:jc w:val="center"/>
              <w:rPr>
                <w:sz w:val="18"/>
                <w:szCs w:val="18"/>
                <w:lang w:val="fr-FR" w:eastAsia="ja-JP"/>
              </w:rPr>
            </w:pPr>
            <w:r w:rsidRPr="00075DC8">
              <w:rPr>
                <w:sz w:val="18"/>
                <w:szCs w:val="18"/>
                <w:lang w:val="fr-FR" w:eastAsia="ja-JP"/>
              </w:rPr>
              <w:t xml:space="preserve">−137 + </w:t>
            </w:r>
            <w:r w:rsidRPr="00075DC8">
              <w:rPr>
                <w:i/>
                <w:iCs/>
                <w:sz w:val="18"/>
                <w:szCs w:val="18"/>
                <w:lang w:val="fr-FR" w:eastAsia="ja-JP"/>
              </w:rPr>
              <w:t>I</w:t>
            </w:r>
            <w:r w:rsidRPr="00075DC8">
              <w:rPr>
                <w:sz w:val="18"/>
                <w:szCs w:val="18"/>
                <w:lang w:val="fr-FR" w:eastAsia="ja-JP"/>
              </w:rPr>
              <w:t>/</w:t>
            </w:r>
            <w:r w:rsidRPr="00075DC8">
              <w:rPr>
                <w:i/>
                <w:iCs/>
                <w:sz w:val="18"/>
                <w:szCs w:val="18"/>
                <w:lang w:val="fr-FR" w:eastAsia="ja-JP"/>
              </w:rPr>
              <w:t>N</w:t>
            </w:r>
          </w:p>
        </w:tc>
        <w:tc>
          <w:tcPr>
            <w:tcW w:w="1514" w:type="dxa"/>
          </w:tcPr>
          <w:p w14:paraId="1AA123F5" w14:textId="77777777" w:rsidR="00725E50" w:rsidRPr="00075DC8" w:rsidRDefault="00725E50" w:rsidP="00E077D3">
            <w:pPr>
              <w:pStyle w:val="Tabletext"/>
              <w:jc w:val="center"/>
              <w:rPr>
                <w:sz w:val="18"/>
                <w:szCs w:val="18"/>
                <w:lang w:val="fr-FR" w:eastAsia="ja-JP"/>
              </w:rPr>
            </w:pPr>
            <w:r w:rsidRPr="00075DC8">
              <w:rPr>
                <w:sz w:val="18"/>
                <w:szCs w:val="18"/>
                <w:lang w:val="fr-FR"/>
              </w:rPr>
              <w:t xml:space="preserve">NRX + </w:t>
            </w:r>
            <w:r w:rsidRPr="00075DC8">
              <w:rPr>
                <w:i/>
                <w:iCs/>
                <w:sz w:val="18"/>
                <w:szCs w:val="18"/>
                <w:lang w:val="fr-FR"/>
              </w:rPr>
              <w:t>I</w:t>
            </w:r>
            <w:r w:rsidRPr="00075DC8">
              <w:rPr>
                <w:sz w:val="18"/>
                <w:szCs w:val="18"/>
                <w:lang w:val="fr-FR"/>
              </w:rPr>
              <w:t>/</w:t>
            </w:r>
            <w:r w:rsidRPr="00075DC8">
              <w:rPr>
                <w:i/>
                <w:iCs/>
                <w:sz w:val="18"/>
                <w:szCs w:val="18"/>
                <w:lang w:val="fr-FR"/>
              </w:rPr>
              <w:t>N</w:t>
            </w:r>
          </w:p>
        </w:tc>
      </w:tr>
      <w:tr w:rsidR="00725E50" w:rsidRPr="00075DC8" w14:paraId="79FECA85" w14:textId="77777777" w:rsidTr="00AF52EC">
        <w:trPr>
          <w:jc w:val="center"/>
        </w:trPr>
        <w:tc>
          <w:tcPr>
            <w:tcW w:w="14474" w:type="dxa"/>
            <w:gridSpan w:val="9"/>
            <w:tcBorders>
              <w:top w:val="single" w:sz="4" w:space="0" w:color="auto"/>
              <w:left w:val="nil"/>
              <w:bottom w:val="nil"/>
              <w:right w:val="nil"/>
            </w:tcBorders>
            <w:tcMar>
              <w:left w:w="57" w:type="dxa"/>
              <w:right w:w="57" w:type="dxa"/>
            </w:tcMar>
            <w:vAlign w:val="center"/>
          </w:tcPr>
          <w:p w14:paraId="4FE7C94F" w14:textId="6811A2B4" w:rsidR="00725E50" w:rsidRPr="00075DC8" w:rsidRDefault="00725E50" w:rsidP="00BF0854">
            <w:pPr>
              <w:pStyle w:val="Tabletext"/>
              <w:rPr>
                <w:sz w:val="18"/>
                <w:szCs w:val="18"/>
                <w:lang w:val="fr-FR" w:eastAsia="zh-CN"/>
              </w:rPr>
            </w:pPr>
            <w:r w:rsidRPr="00075DC8">
              <w:rPr>
                <w:sz w:val="18"/>
                <w:szCs w:val="18"/>
                <w:lang w:val="fr-FR" w:eastAsia="zh-CN"/>
              </w:rPr>
              <w:t>NOTE – </w:t>
            </w:r>
            <w:r w:rsidRPr="00075DC8">
              <w:rPr>
                <w:sz w:val="18"/>
                <w:szCs w:val="18"/>
                <w:lang w:val="fr-FR" w:eastAsia="ja-JP"/>
              </w:rPr>
              <w:t>L</w:t>
            </w:r>
            <w:r w:rsidR="001F6A0D" w:rsidRPr="00075DC8">
              <w:rPr>
                <w:sz w:val="18"/>
                <w:szCs w:val="18"/>
                <w:lang w:val="fr-FR" w:eastAsia="ja-JP"/>
              </w:rPr>
              <w:t>'</w:t>
            </w:r>
            <w:r w:rsidRPr="00075DC8">
              <w:rPr>
                <w:sz w:val="18"/>
                <w:szCs w:val="18"/>
                <w:lang w:val="fr-FR" w:eastAsia="ja-JP"/>
              </w:rPr>
              <w:t>ensemble prévu des paramètres, pour deux systèmes de référence pour les études de partage ou de compatibilité, est à l</w:t>
            </w:r>
            <w:r w:rsidR="001F6A0D" w:rsidRPr="00075DC8">
              <w:rPr>
                <w:sz w:val="18"/>
                <w:szCs w:val="18"/>
                <w:lang w:val="fr-FR" w:eastAsia="ja-JP"/>
              </w:rPr>
              <w:t>'</w:t>
            </w:r>
            <w:r w:rsidRPr="00075DC8">
              <w:rPr>
                <w:sz w:val="18"/>
                <w:szCs w:val="18"/>
                <w:lang w:val="fr-FR" w:eastAsia="ja-JP"/>
              </w:rPr>
              <w:t>heure actuelle partiellement ou totalement indisponible. Provisoirement, les paramètres indiqués à l</w:t>
            </w:r>
            <w:r w:rsidR="001F6A0D" w:rsidRPr="00075DC8">
              <w:rPr>
                <w:sz w:val="18"/>
                <w:szCs w:val="18"/>
                <w:lang w:val="fr-FR" w:eastAsia="ja-JP"/>
              </w:rPr>
              <w:t>'</w:t>
            </w:r>
            <w:r w:rsidRPr="00075DC8">
              <w:rPr>
                <w:sz w:val="18"/>
                <w:szCs w:val="18"/>
                <w:lang w:val="fr-FR" w:eastAsia="ja-JP"/>
              </w:rPr>
              <w:t>Annexe 3 pour les mêmes bandes peuvent être employés.</w:t>
            </w:r>
          </w:p>
          <w:p w14:paraId="0A22C281" w14:textId="49B6DE71" w:rsidR="00725E50" w:rsidRPr="00075DC8" w:rsidRDefault="00725E50" w:rsidP="00BF0854">
            <w:pPr>
              <w:pStyle w:val="Tabletext"/>
              <w:ind w:left="284" w:hanging="284"/>
              <w:rPr>
                <w:rFonts w:ascii="TimesNewRoman,Bold" w:hAnsi="TimesNewRoman,Bold" w:cs="TimesNewRoman,Bold"/>
                <w:b/>
                <w:bCs/>
                <w:sz w:val="18"/>
                <w:szCs w:val="18"/>
                <w:lang w:val="fr-FR" w:eastAsia="zh-CN"/>
              </w:rPr>
            </w:pPr>
            <w:r w:rsidRPr="00075DC8">
              <w:rPr>
                <w:sz w:val="18"/>
                <w:szCs w:val="18"/>
                <w:vertAlign w:val="superscript"/>
                <w:lang w:val="fr-FR" w:eastAsia="zh-CN"/>
              </w:rPr>
              <w:t>(1)</w:t>
            </w:r>
            <w:r w:rsidRPr="00075DC8">
              <w:rPr>
                <w:sz w:val="18"/>
                <w:szCs w:val="18"/>
                <w:lang w:val="fr-FR" w:eastAsia="zh-CN"/>
              </w:rPr>
              <w:tab/>
            </w:r>
            <w:r w:rsidRPr="00075DC8">
              <w:rPr>
                <w:sz w:val="18"/>
                <w:szCs w:val="18"/>
                <w:lang w:val="fr-FR"/>
              </w:rPr>
              <w:t>Pour calculer les valeurs des densités de puissance au niveau de l</w:t>
            </w:r>
            <w:r w:rsidR="001F6A0D" w:rsidRPr="00075DC8">
              <w:rPr>
                <w:sz w:val="18"/>
                <w:szCs w:val="18"/>
                <w:lang w:val="fr-FR"/>
              </w:rPr>
              <w:t>'</w:t>
            </w:r>
            <w:r w:rsidRPr="00075DC8">
              <w:rPr>
                <w:sz w:val="18"/>
                <w:szCs w:val="18"/>
                <w:lang w:val="fr-FR"/>
              </w:rPr>
              <w:t>émetteur ou des densités de p.i.r.e., il est nécessaire de définir l</w:t>
            </w:r>
            <w:r w:rsidR="001F6A0D" w:rsidRPr="00075DC8">
              <w:rPr>
                <w:sz w:val="18"/>
                <w:szCs w:val="18"/>
                <w:lang w:val="fr-FR"/>
              </w:rPr>
              <w:t>'</w:t>
            </w:r>
            <w:r w:rsidRPr="00075DC8">
              <w:rPr>
                <w:sz w:val="18"/>
                <w:szCs w:val="18"/>
                <w:lang w:val="fr-FR"/>
              </w:rPr>
              <w:t>espacement des canaux/la largeur de bande. Dans ces tableaux, l</w:t>
            </w:r>
            <w:r w:rsidR="001F6A0D" w:rsidRPr="00075DC8">
              <w:rPr>
                <w:sz w:val="18"/>
                <w:szCs w:val="18"/>
                <w:lang w:val="fr-FR"/>
              </w:rPr>
              <w:t>'</w:t>
            </w:r>
            <w:r w:rsidRPr="00075DC8">
              <w:rPr>
                <w:sz w:val="18"/>
                <w:szCs w:val="18"/>
                <w:lang w:val="fr-FR"/>
              </w:rPr>
              <w:t xml:space="preserve">espacement des canaux est indiqué en </w:t>
            </w:r>
            <w:r w:rsidRPr="00075DC8">
              <w:rPr>
                <w:b/>
                <w:bCs/>
                <w:sz w:val="18"/>
                <w:szCs w:val="18"/>
                <w:lang w:val="fr-FR"/>
              </w:rPr>
              <w:t>caractères gras</w:t>
            </w:r>
            <w:r w:rsidRPr="00075DC8">
              <w:rPr>
                <w:sz w:val="18"/>
                <w:szCs w:val="18"/>
                <w:lang w:val="fr-FR"/>
              </w:rPr>
              <w:t>. Lorsqu</w:t>
            </w:r>
            <w:r w:rsidR="001F6A0D" w:rsidRPr="00075DC8">
              <w:rPr>
                <w:sz w:val="18"/>
                <w:szCs w:val="18"/>
                <w:lang w:val="fr-FR"/>
              </w:rPr>
              <w:t>'</w:t>
            </w:r>
            <w:r w:rsidRPr="00075DC8">
              <w:rPr>
                <w:sz w:val="18"/>
                <w:szCs w:val="18"/>
                <w:lang w:val="fr-FR"/>
              </w:rPr>
              <w:t>une valeur modale (mode) est fournie, elle doit être considérée à titre indicatif dans la plage spécifiée et</w:t>
            </w:r>
            <w:r w:rsidRPr="00075DC8">
              <w:rPr>
                <w:sz w:val="18"/>
                <w:szCs w:val="18"/>
                <w:lang w:val="fr-FR" w:eastAsia="ja-JP"/>
              </w:rPr>
              <w:t>, par la suite, il pourra être nécessaire d</w:t>
            </w:r>
            <w:r w:rsidR="001F6A0D" w:rsidRPr="00075DC8">
              <w:rPr>
                <w:sz w:val="18"/>
                <w:szCs w:val="18"/>
                <w:lang w:val="fr-FR" w:eastAsia="ja-JP"/>
              </w:rPr>
              <w:t>'</w:t>
            </w:r>
            <w:r w:rsidRPr="00075DC8">
              <w:rPr>
                <w:sz w:val="18"/>
                <w:szCs w:val="18"/>
                <w:lang w:val="fr-FR" w:eastAsia="ja-JP"/>
              </w:rPr>
              <w:t>effectuer</w:t>
            </w:r>
            <w:r w:rsidRPr="00075DC8">
              <w:rPr>
                <w:sz w:val="18"/>
                <w:szCs w:val="18"/>
                <w:lang w:val="fr-FR"/>
              </w:rPr>
              <w:t xml:space="preserve"> une analyse de la sensibilité, selon le cas, pour évaluer un potentiel de brouillage donné dû aux variations dans la plage spécifiée</w:t>
            </w:r>
            <w:r w:rsidRPr="00075DC8">
              <w:rPr>
                <w:sz w:val="18"/>
                <w:szCs w:val="18"/>
                <w:lang w:val="fr-FR" w:eastAsia="zh-CN"/>
              </w:rPr>
              <w:t>.</w:t>
            </w:r>
          </w:p>
          <w:p w14:paraId="728C8A6E" w14:textId="641D6F64" w:rsidR="00725E50" w:rsidRPr="00075DC8" w:rsidRDefault="00725E50" w:rsidP="00BF0854">
            <w:pPr>
              <w:pStyle w:val="Tabletext"/>
              <w:ind w:left="284" w:hanging="284"/>
              <w:rPr>
                <w:sz w:val="18"/>
                <w:szCs w:val="18"/>
                <w:lang w:val="fr-FR" w:eastAsia="zh-CN"/>
              </w:rPr>
            </w:pPr>
            <w:r w:rsidRPr="00075DC8">
              <w:rPr>
                <w:sz w:val="18"/>
                <w:szCs w:val="18"/>
                <w:vertAlign w:val="superscript"/>
                <w:lang w:val="fr-FR" w:eastAsia="zh-CN"/>
              </w:rPr>
              <w:t>(2)</w:t>
            </w:r>
            <w:r w:rsidRPr="00075DC8">
              <w:rPr>
                <w:sz w:val="18"/>
                <w:szCs w:val="18"/>
                <w:lang w:val="fr-FR" w:eastAsia="zh-CN"/>
              </w:rPr>
              <w:tab/>
            </w:r>
            <w:r w:rsidRPr="00075DC8">
              <w:rPr>
                <w:sz w:val="18"/>
                <w:szCs w:val="18"/>
                <w:lang w:val="fr-FR"/>
              </w:rPr>
              <w:t>La densité nominale de puissance de brouillage de longue durée est définie par la «densité de puissance de bruit du récepteur + (</w:t>
            </w:r>
            <w:r w:rsidRPr="00075DC8">
              <w:rPr>
                <w:i/>
                <w:iCs/>
                <w:sz w:val="18"/>
                <w:szCs w:val="18"/>
                <w:lang w:val="fr-FR"/>
              </w:rPr>
              <w:t>I</w:t>
            </w:r>
            <w:r w:rsidRPr="00075DC8">
              <w:rPr>
                <w:sz w:val="18"/>
                <w:szCs w:val="18"/>
                <w:lang w:val="fr-FR"/>
              </w:rPr>
              <w:t>/</w:t>
            </w:r>
            <w:r w:rsidRPr="00075DC8">
              <w:rPr>
                <w:i/>
                <w:iCs/>
                <w:sz w:val="18"/>
                <w:szCs w:val="18"/>
                <w:lang w:val="fr-FR"/>
              </w:rPr>
              <w:t>N</w:t>
            </w:r>
            <w:r w:rsidRPr="00075DC8">
              <w:rPr>
                <w:sz w:val="18"/>
                <w:szCs w:val="18"/>
                <w:lang w:val="fr-FR"/>
              </w:rPr>
              <w:t xml:space="preserve"> requis)» comme décrit au </w:t>
            </w:r>
            <w:r w:rsidR="008B1840" w:rsidRPr="00075DC8">
              <w:rPr>
                <w:sz w:val="18"/>
                <w:szCs w:val="18"/>
                <w:lang w:val="fr-FR"/>
              </w:rPr>
              <w:t>§ </w:t>
            </w:r>
            <w:r w:rsidRPr="00075DC8">
              <w:rPr>
                <w:sz w:val="18"/>
                <w:szCs w:val="18"/>
                <w:lang w:val="fr-FR"/>
              </w:rPr>
              <w:t>4.13 de l</w:t>
            </w:r>
            <w:r w:rsidR="001F6A0D" w:rsidRPr="00075DC8">
              <w:rPr>
                <w:sz w:val="18"/>
                <w:szCs w:val="18"/>
                <w:lang w:val="fr-FR"/>
              </w:rPr>
              <w:t>'</w:t>
            </w:r>
            <w:r w:rsidRPr="00075DC8">
              <w:rPr>
                <w:sz w:val="18"/>
                <w:szCs w:val="18"/>
                <w:lang w:val="fr-FR"/>
              </w:rPr>
              <w:t>Annexe 2 (voir aussi le </w:t>
            </w:r>
            <w:r w:rsidR="008B1840" w:rsidRPr="00075DC8">
              <w:rPr>
                <w:sz w:val="18"/>
                <w:szCs w:val="18"/>
                <w:lang w:val="fr-FR"/>
              </w:rPr>
              <w:t>§ </w:t>
            </w:r>
            <w:r w:rsidRPr="00075DC8">
              <w:rPr>
                <w:sz w:val="18"/>
                <w:szCs w:val="18"/>
                <w:lang w:val="fr-FR"/>
              </w:rPr>
              <w:t>4.1 de l</w:t>
            </w:r>
            <w:r w:rsidR="001F6A0D" w:rsidRPr="00075DC8">
              <w:rPr>
                <w:sz w:val="18"/>
                <w:szCs w:val="18"/>
                <w:lang w:val="fr-FR"/>
              </w:rPr>
              <w:t>'</w:t>
            </w:r>
            <w:r w:rsidRPr="00075DC8">
              <w:rPr>
                <w:sz w:val="18"/>
                <w:szCs w:val="18"/>
                <w:lang w:val="fr-FR"/>
              </w:rPr>
              <w:t>Annexe 1).</w:t>
            </w:r>
          </w:p>
          <w:p w14:paraId="14A78750" w14:textId="70057FA6" w:rsidR="00725E50" w:rsidRPr="00075DC8" w:rsidRDefault="00725E50" w:rsidP="00BF0854">
            <w:pPr>
              <w:pStyle w:val="Tabletext"/>
              <w:rPr>
                <w:iCs/>
                <w:lang w:val="fr-FR"/>
              </w:rPr>
            </w:pPr>
            <w:r w:rsidRPr="00075DC8">
              <w:rPr>
                <w:sz w:val="18"/>
                <w:szCs w:val="18"/>
                <w:vertAlign w:val="superscript"/>
                <w:lang w:val="fr-FR" w:eastAsia="zh-CN"/>
              </w:rPr>
              <w:t>(3)</w:t>
            </w:r>
            <w:r w:rsidRPr="00075DC8">
              <w:rPr>
                <w:sz w:val="18"/>
                <w:szCs w:val="18"/>
                <w:lang w:val="fr-FR" w:eastAsia="zh-CN"/>
              </w:rPr>
              <w:tab/>
            </w:r>
            <w:r w:rsidRPr="00075DC8">
              <w:rPr>
                <w:sz w:val="18"/>
                <w:szCs w:val="18"/>
                <w:lang w:val="fr-FR"/>
              </w:rPr>
              <w:t>Cette valeur d</w:t>
            </w:r>
            <w:r w:rsidR="001F6A0D" w:rsidRPr="00075DC8">
              <w:rPr>
                <w:sz w:val="18"/>
                <w:szCs w:val="18"/>
                <w:lang w:val="fr-FR"/>
              </w:rPr>
              <w:t>'</w:t>
            </w:r>
            <w:r w:rsidRPr="00075DC8">
              <w:rPr>
                <w:sz w:val="18"/>
                <w:szCs w:val="18"/>
                <w:lang w:val="fr-FR"/>
              </w:rPr>
              <w:t>espacement des canaux n</w:t>
            </w:r>
            <w:r w:rsidR="001F6A0D" w:rsidRPr="00075DC8">
              <w:rPr>
                <w:sz w:val="18"/>
                <w:szCs w:val="18"/>
                <w:lang w:val="fr-FR"/>
              </w:rPr>
              <w:t>'</w:t>
            </w:r>
            <w:r w:rsidRPr="00075DC8">
              <w:rPr>
                <w:sz w:val="18"/>
                <w:szCs w:val="18"/>
                <w:lang w:val="fr-FR"/>
              </w:rPr>
              <w:t>est pas spécifiée dans la Recommandation de référence.</w:t>
            </w:r>
          </w:p>
        </w:tc>
      </w:tr>
    </w:tbl>
    <w:p w14:paraId="3EAC54F1" w14:textId="2A8FC18D" w:rsidR="00725E50" w:rsidRPr="00075DC8" w:rsidRDefault="00725E50" w:rsidP="00BF0854">
      <w:pPr>
        <w:pStyle w:val="Tablefin"/>
        <w:rPr>
          <w:lang w:val="fr-FR"/>
        </w:rPr>
      </w:pPr>
    </w:p>
    <w:p w14:paraId="74436881" w14:textId="77777777" w:rsidR="00725E50" w:rsidRPr="00075DC8" w:rsidRDefault="00725E50" w:rsidP="00BF0854">
      <w:pPr>
        <w:pStyle w:val="TableNo"/>
        <w:rPr>
          <w:lang w:val="fr-FR"/>
        </w:rPr>
      </w:pPr>
      <w:r w:rsidRPr="00075DC8">
        <w:rPr>
          <w:lang w:val="fr-FR"/>
        </w:rPr>
        <w:t>TABLEAU 12</w:t>
      </w:r>
    </w:p>
    <w:p w14:paraId="590D1D97" w14:textId="77777777" w:rsidR="00725E50" w:rsidRPr="00075DC8" w:rsidRDefault="00725E50" w:rsidP="00BF0854">
      <w:pPr>
        <w:pStyle w:val="Tabletitle"/>
        <w:rPr>
          <w:lang w:val="fr-FR"/>
        </w:rPr>
      </w:pPr>
      <w:r w:rsidRPr="00075DC8">
        <w:rPr>
          <w:lang w:val="fr-FR"/>
        </w:rPr>
        <w:t>Paramètres des systèmes du service fixe de point à point dans les bandes attribuées supérieures à 59 GHz</w:t>
      </w:r>
    </w:p>
    <w:tbl>
      <w:tblPr>
        <w:tblW w:w="14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1916"/>
        <w:gridCol w:w="1917"/>
        <w:gridCol w:w="1677"/>
        <w:gridCol w:w="1677"/>
        <w:gridCol w:w="1725"/>
        <w:gridCol w:w="1726"/>
      </w:tblGrid>
      <w:tr w:rsidR="00725E50" w:rsidRPr="00075DC8" w14:paraId="0A76BCB3" w14:textId="77777777" w:rsidTr="00CE5F84">
        <w:trPr>
          <w:jc w:val="center"/>
        </w:trPr>
        <w:tc>
          <w:tcPr>
            <w:tcW w:w="3826" w:type="dxa"/>
            <w:shd w:val="clear" w:color="auto" w:fill="auto"/>
            <w:tcMar>
              <w:left w:w="57" w:type="dxa"/>
              <w:right w:w="57" w:type="dxa"/>
            </w:tcMar>
            <w:vAlign w:val="center"/>
          </w:tcPr>
          <w:p w14:paraId="67350617" w14:textId="77777777" w:rsidR="00725E50" w:rsidRPr="00075DC8" w:rsidRDefault="00725E50" w:rsidP="00BF0854">
            <w:pPr>
              <w:pStyle w:val="Tablehead"/>
              <w:rPr>
                <w:sz w:val="18"/>
                <w:szCs w:val="18"/>
                <w:lang w:val="fr-FR" w:eastAsia="ja-JP"/>
              </w:rPr>
            </w:pPr>
            <w:r w:rsidRPr="00075DC8">
              <w:rPr>
                <w:sz w:val="18"/>
                <w:szCs w:val="18"/>
                <w:lang w:val="fr-FR" w:eastAsia="ja-JP"/>
              </w:rPr>
              <w:t>Gamme de fréquences</w:t>
            </w:r>
            <w:r w:rsidRPr="00075DC8">
              <w:rPr>
                <w:sz w:val="18"/>
                <w:szCs w:val="18"/>
                <w:lang w:val="fr-FR" w:eastAsia="ja-JP"/>
              </w:rPr>
              <w:br/>
              <w:t>(GHz)</w:t>
            </w:r>
          </w:p>
        </w:tc>
        <w:tc>
          <w:tcPr>
            <w:tcW w:w="3832" w:type="dxa"/>
            <w:gridSpan w:val="2"/>
            <w:shd w:val="clear" w:color="auto" w:fill="auto"/>
            <w:vAlign w:val="center"/>
          </w:tcPr>
          <w:p w14:paraId="78379132" w14:textId="77777777" w:rsidR="00725E50" w:rsidRPr="00075DC8" w:rsidRDefault="00725E50" w:rsidP="00BF0854">
            <w:pPr>
              <w:pStyle w:val="Tablehead"/>
              <w:rPr>
                <w:sz w:val="18"/>
                <w:szCs w:val="18"/>
                <w:lang w:val="fr-FR" w:eastAsia="ja-JP"/>
              </w:rPr>
            </w:pPr>
            <w:r w:rsidRPr="00075DC8">
              <w:rPr>
                <w:sz w:val="18"/>
                <w:szCs w:val="18"/>
                <w:lang w:val="fr-FR" w:eastAsia="ja-JP"/>
              </w:rPr>
              <w:t>59-64</w:t>
            </w:r>
          </w:p>
        </w:tc>
        <w:tc>
          <w:tcPr>
            <w:tcW w:w="3352" w:type="dxa"/>
            <w:gridSpan w:val="2"/>
            <w:shd w:val="clear" w:color="auto" w:fill="auto"/>
            <w:vAlign w:val="center"/>
          </w:tcPr>
          <w:p w14:paraId="06CA1A23" w14:textId="77777777" w:rsidR="00725E50" w:rsidRPr="00075DC8" w:rsidRDefault="00725E50" w:rsidP="00BF0854">
            <w:pPr>
              <w:pStyle w:val="Tablehead"/>
              <w:rPr>
                <w:sz w:val="18"/>
                <w:szCs w:val="18"/>
                <w:lang w:val="fr-FR" w:eastAsia="ja-JP"/>
              </w:rPr>
            </w:pPr>
            <w:r w:rsidRPr="00075DC8">
              <w:rPr>
                <w:sz w:val="18"/>
                <w:szCs w:val="18"/>
                <w:lang w:val="fr-FR" w:eastAsia="ja-JP"/>
              </w:rPr>
              <w:t>64-66</w:t>
            </w:r>
          </w:p>
        </w:tc>
        <w:tc>
          <w:tcPr>
            <w:tcW w:w="3449" w:type="dxa"/>
            <w:gridSpan w:val="2"/>
            <w:shd w:val="clear" w:color="auto" w:fill="auto"/>
            <w:vAlign w:val="center"/>
          </w:tcPr>
          <w:p w14:paraId="125964A5" w14:textId="77777777" w:rsidR="00725E50" w:rsidRPr="00075DC8" w:rsidRDefault="00725E50" w:rsidP="00BF0854">
            <w:pPr>
              <w:pStyle w:val="Tablehead"/>
              <w:rPr>
                <w:sz w:val="18"/>
                <w:szCs w:val="18"/>
                <w:lang w:val="fr-FR" w:eastAsia="ja-JP"/>
              </w:rPr>
            </w:pPr>
            <w:r w:rsidRPr="00075DC8">
              <w:rPr>
                <w:sz w:val="18"/>
                <w:szCs w:val="18"/>
                <w:lang w:val="fr-FR" w:eastAsia="ja-JP"/>
              </w:rPr>
              <w:t>71-76/81-86</w:t>
            </w:r>
          </w:p>
        </w:tc>
      </w:tr>
      <w:tr w:rsidR="00725E50" w:rsidRPr="00075DC8" w14:paraId="13EA01E8" w14:textId="77777777" w:rsidTr="006D6AB2">
        <w:trPr>
          <w:jc w:val="center"/>
        </w:trPr>
        <w:tc>
          <w:tcPr>
            <w:tcW w:w="3826" w:type="dxa"/>
            <w:shd w:val="clear" w:color="auto" w:fill="auto"/>
            <w:tcMar>
              <w:left w:w="57" w:type="dxa"/>
              <w:right w:w="57" w:type="dxa"/>
            </w:tcMar>
          </w:tcPr>
          <w:p w14:paraId="0831DFB2" w14:textId="77777777" w:rsidR="00725E50" w:rsidRPr="00075DC8" w:rsidRDefault="00725E50" w:rsidP="006D6AB2">
            <w:pPr>
              <w:pStyle w:val="Tabletext"/>
              <w:jc w:val="left"/>
              <w:rPr>
                <w:sz w:val="18"/>
                <w:szCs w:val="18"/>
                <w:lang w:val="fr-FR"/>
              </w:rPr>
            </w:pPr>
            <w:r w:rsidRPr="00075DC8">
              <w:rPr>
                <w:sz w:val="18"/>
                <w:szCs w:val="18"/>
                <w:lang w:val="fr-FR"/>
              </w:rPr>
              <w:t>Recommandation UIT-R de référence</w:t>
            </w:r>
          </w:p>
        </w:tc>
        <w:tc>
          <w:tcPr>
            <w:tcW w:w="3832" w:type="dxa"/>
            <w:gridSpan w:val="2"/>
            <w:shd w:val="clear" w:color="auto" w:fill="auto"/>
          </w:tcPr>
          <w:p w14:paraId="7C5F59C5"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F.1497</w:t>
            </w:r>
          </w:p>
        </w:tc>
        <w:tc>
          <w:tcPr>
            <w:tcW w:w="3352" w:type="dxa"/>
            <w:gridSpan w:val="2"/>
            <w:shd w:val="clear" w:color="auto" w:fill="auto"/>
          </w:tcPr>
          <w:p w14:paraId="7103DDEA"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F.1497</w:t>
            </w:r>
          </w:p>
        </w:tc>
        <w:tc>
          <w:tcPr>
            <w:tcW w:w="3449" w:type="dxa"/>
            <w:gridSpan w:val="2"/>
            <w:shd w:val="clear" w:color="auto" w:fill="auto"/>
          </w:tcPr>
          <w:p w14:paraId="3C6543E2"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F.2006</w:t>
            </w:r>
          </w:p>
        </w:tc>
      </w:tr>
      <w:tr w:rsidR="00725E50" w:rsidRPr="00075DC8" w14:paraId="34110B43" w14:textId="77777777" w:rsidTr="006D6AB2">
        <w:trPr>
          <w:jc w:val="center"/>
        </w:trPr>
        <w:tc>
          <w:tcPr>
            <w:tcW w:w="3826" w:type="dxa"/>
            <w:shd w:val="clear" w:color="auto" w:fill="auto"/>
            <w:tcMar>
              <w:left w:w="57" w:type="dxa"/>
              <w:right w:w="57" w:type="dxa"/>
            </w:tcMar>
          </w:tcPr>
          <w:p w14:paraId="1357DBBA" w14:textId="77777777" w:rsidR="00725E50" w:rsidRPr="00075DC8" w:rsidRDefault="00725E50" w:rsidP="006D6AB2">
            <w:pPr>
              <w:pStyle w:val="Tabletext"/>
              <w:jc w:val="left"/>
              <w:rPr>
                <w:sz w:val="18"/>
                <w:szCs w:val="18"/>
                <w:lang w:val="fr-FR"/>
              </w:rPr>
            </w:pPr>
            <w:r w:rsidRPr="00075DC8">
              <w:rPr>
                <w:sz w:val="18"/>
                <w:szCs w:val="18"/>
                <w:lang w:val="fr-FR"/>
              </w:rPr>
              <w:t>Modulation</w:t>
            </w:r>
          </w:p>
        </w:tc>
        <w:tc>
          <w:tcPr>
            <w:tcW w:w="1916" w:type="dxa"/>
            <w:shd w:val="clear" w:color="auto" w:fill="auto"/>
          </w:tcPr>
          <w:p w14:paraId="2C953C1F"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MDPQ</w:t>
            </w:r>
          </w:p>
        </w:tc>
        <w:tc>
          <w:tcPr>
            <w:tcW w:w="1916" w:type="dxa"/>
            <w:shd w:val="clear" w:color="auto" w:fill="auto"/>
          </w:tcPr>
          <w:p w14:paraId="74304B06"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MAQ-64</w:t>
            </w:r>
          </w:p>
        </w:tc>
        <w:tc>
          <w:tcPr>
            <w:tcW w:w="1676" w:type="dxa"/>
            <w:shd w:val="clear" w:color="auto" w:fill="auto"/>
          </w:tcPr>
          <w:p w14:paraId="7BBB163E"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MDPB</w:t>
            </w:r>
          </w:p>
        </w:tc>
        <w:tc>
          <w:tcPr>
            <w:tcW w:w="1676" w:type="dxa"/>
            <w:shd w:val="clear" w:color="auto" w:fill="auto"/>
          </w:tcPr>
          <w:p w14:paraId="53514C79"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MAQ-64</w:t>
            </w:r>
          </w:p>
        </w:tc>
        <w:tc>
          <w:tcPr>
            <w:tcW w:w="1724" w:type="dxa"/>
            <w:shd w:val="clear" w:color="auto" w:fill="auto"/>
          </w:tcPr>
          <w:p w14:paraId="70EF92D9"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MDPQ</w:t>
            </w:r>
          </w:p>
        </w:tc>
        <w:tc>
          <w:tcPr>
            <w:tcW w:w="1725" w:type="dxa"/>
            <w:shd w:val="clear" w:color="auto" w:fill="auto"/>
          </w:tcPr>
          <w:p w14:paraId="31E18751"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MAQ-64</w:t>
            </w:r>
          </w:p>
        </w:tc>
      </w:tr>
      <w:tr w:rsidR="00725E50" w:rsidRPr="00075DC8" w14:paraId="75E23F1A" w14:textId="77777777" w:rsidTr="006D6AB2">
        <w:trPr>
          <w:jc w:val="center"/>
        </w:trPr>
        <w:tc>
          <w:tcPr>
            <w:tcW w:w="3826" w:type="dxa"/>
            <w:shd w:val="clear" w:color="auto" w:fill="auto"/>
            <w:tcMar>
              <w:left w:w="57" w:type="dxa"/>
              <w:right w:w="57" w:type="dxa"/>
            </w:tcMar>
          </w:tcPr>
          <w:p w14:paraId="0CE9E535" w14:textId="77777777" w:rsidR="00725E50" w:rsidRPr="00075DC8" w:rsidRDefault="00725E50" w:rsidP="006D6AB2">
            <w:pPr>
              <w:pStyle w:val="Tabletext"/>
              <w:jc w:val="left"/>
              <w:rPr>
                <w:sz w:val="18"/>
                <w:szCs w:val="18"/>
                <w:lang w:val="fr-FR"/>
              </w:rPr>
            </w:pPr>
            <w:r w:rsidRPr="00075DC8">
              <w:rPr>
                <w:sz w:val="18"/>
                <w:szCs w:val="18"/>
                <w:lang w:val="fr-FR"/>
              </w:rPr>
              <w:t>Espacement des canaux et largeur de bande de bruit du récepteur (MHz)</w:t>
            </w:r>
          </w:p>
        </w:tc>
        <w:tc>
          <w:tcPr>
            <w:tcW w:w="1916" w:type="dxa"/>
            <w:shd w:val="clear" w:color="auto" w:fill="auto"/>
          </w:tcPr>
          <w:p w14:paraId="040AC9E5" w14:textId="77777777" w:rsidR="00725E50" w:rsidRPr="00075DC8" w:rsidRDefault="00725E50" w:rsidP="00ED4837">
            <w:pPr>
              <w:pStyle w:val="Tabletext"/>
              <w:jc w:val="center"/>
              <w:rPr>
                <w:b/>
                <w:sz w:val="18"/>
                <w:szCs w:val="18"/>
                <w:lang w:val="fr-FR" w:eastAsia="ja-JP"/>
              </w:rPr>
            </w:pPr>
            <w:r w:rsidRPr="00075DC8">
              <w:rPr>
                <w:sz w:val="18"/>
                <w:szCs w:val="18"/>
                <w:lang w:val="fr-FR" w:eastAsia="ja-JP"/>
              </w:rPr>
              <w:t>50; 100</w:t>
            </w:r>
          </w:p>
        </w:tc>
        <w:tc>
          <w:tcPr>
            <w:tcW w:w="1916" w:type="dxa"/>
            <w:shd w:val="clear" w:color="auto" w:fill="auto"/>
          </w:tcPr>
          <w:p w14:paraId="2CF00D0A"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 xml:space="preserve">50; 100; 150; 250; </w:t>
            </w:r>
            <w:r w:rsidRPr="00075DC8">
              <w:rPr>
                <w:b/>
                <w:sz w:val="18"/>
                <w:szCs w:val="18"/>
                <w:lang w:val="fr-FR" w:eastAsia="ja-JP"/>
              </w:rPr>
              <w:t>500</w:t>
            </w:r>
            <w:r w:rsidRPr="00075DC8">
              <w:rPr>
                <w:bCs/>
                <w:sz w:val="18"/>
                <w:szCs w:val="18"/>
                <w:vertAlign w:val="superscript"/>
                <w:lang w:val="fr-FR" w:eastAsia="ja-JP"/>
              </w:rPr>
              <w:t>(3)</w:t>
            </w:r>
            <w:r w:rsidRPr="00075DC8">
              <w:rPr>
                <w:sz w:val="18"/>
                <w:szCs w:val="18"/>
                <w:lang w:val="fr-FR" w:eastAsia="ja-JP"/>
              </w:rPr>
              <w:t>; 1 250; 2 500</w:t>
            </w:r>
          </w:p>
        </w:tc>
        <w:tc>
          <w:tcPr>
            <w:tcW w:w="1676" w:type="dxa"/>
            <w:shd w:val="clear" w:color="auto" w:fill="auto"/>
          </w:tcPr>
          <w:p w14:paraId="103110FA" w14:textId="77777777" w:rsidR="00725E50" w:rsidRPr="00075DC8" w:rsidRDefault="00725E50" w:rsidP="00ED4837">
            <w:pPr>
              <w:pStyle w:val="Tabletext"/>
              <w:jc w:val="center"/>
              <w:rPr>
                <w:sz w:val="18"/>
                <w:szCs w:val="18"/>
                <w:lang w:val="fr-FR" w:eastAsia="ja-JP"/>
              </w:rPr>
            </w:pPr>
            <w:r w:rsidRPr="00075DC8">
              <w:rPr>
                <w:b/>
                <w:sz w:val="18"/>
                <w:szCs w:val="18"/>
                <w:lang w:val="fr-FR" w:eastAsia="ja-JP"/>
              </w:rPr>
              <w:t>30</w:t>
            </w:r>
            <w:r w:rsidRPr="00075DC8">
              <w:rPr>
                <w:sz w:val="18"/>
                <w:szCs w:val="18"/>
                <w:lang w:val="fr-FR" w:eastAsia="ja-JP"/>
              </w:rPr>
              <w:t>; 50</w:t>
            </w:r>
          </w:p>
        </w:tc>
        <w:tc>
          <w:tcPr>
            <w:tcW w:w="1676" w:type="dxa"/>
            <w:shd w:val="clear" w:color="auto" w:fill="auto"/>
          </w:tcPr>
          <w:p w14:paraId="45650037"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 xml:space="preserve">50; 100; 150; 250; </w:t>
            </w:r>
            <w:r w:rsidRPr="00075DC8">
              <w:rPr>
                <w:b/>
                <w:sz w:val="18"/>
                <w:szCs w:val="18"/>
                <w:lang w:val="fr-FR" w:eastAsia="ja-JP"/>
              </w:rPr>
              <w:t>500</w:t>
            </w:r>
            <w:r w:rsidRPr="00075DC8">
              <w:rPr>
                <w:bCs/>
                <w:sz w:val="18"/>
                <w:szCs w:val="18"/>
                <w:vertAlign w:val="superscript"/>
                <w:lang w:val="fr-FR" w:eastAsia="ja-JP"/>
              </w:rPr>
              <w:t>(3)</w:t>
            </w:r>
            <w:r w:rsidRPr="00075DC8">
              <w:rPr>
                <w:sz w:val="18"/>
                <w:szCs w:val="18"/>
                <w:lang w:val="fr-FR" w:eastAsia="ja-JP"/>
              </w:rPr>
              <w:t>; 1 250; 2 500</w:t>
            </w:r>
          </w:p>
        </w:tc>
        <w:tc>
          <w:tcPr>
            <w:tcW w:w="1724" w:type="dxa"/>
            <w:shd w:val="clear" w:color="auto" w:fill="auto"/>
          </w:tcPr>
          <w:p w14:paraId="4EC61D10" w14:textId="77777777" w:rsidR="00725E50" w:rsidRPr="00075DC8" w:rsidRDefault="00725E50" w:rsidP="00ED4837">
            <w:pPr>
              <w:pStyle w:val="Tabletext"/>
              <w:jc w:val="center"/>
              <w:rPr>
                <w:sz w:val="18"/>
                <w:szCs w:val="18"/>
                <w:lang w:val="fr-FR" w:eastAsia="ja-JP"/>
              </w:rPr>
            </w:pPr>
            <w:r w:rsidRPr="00075DC8">
              <w:rPr>
                <w:sz w:val="18"/>
                <w:szCs w:val="18"/>
                <w:lang w:val="fr-FR"/>
              </w:rPr>
              <w:t xml:space="preserve">250; 500; 750; 1 000; </w:t>
            </w:r>
            <w:r w:rsidRPr="00075DC8">
              <w:rPr>
                <w:b/>
                <w:sz w:val="18"/>
                <w:szCs w:val="18"/>
                <w:lang w:val="fr-FR"/>
              </w:rPr>
              <w:t>1 250</w:t>
            </w:r>
            <w:r w:rsidRPr="00075DC8">
              <w:rPr>
                <w:sz w:val="18"/>
                <w:szCs w:val="18"/>
                <w:lang w:val="fr-FR"/>
              </w:rPr>
              <w:t>; 1 500; 1 750; 2 000; 2 250</w:t>
            </w:r>
          </w:p>
        </w:tc>
        <w:tc>
          <w:tcPr>
            <w:tcW w:w="1725" w:type="dxa"/>
            <w:shd w:val="clear" w:color="auto" w:fill="auto"/>
          </w:tcPr>
          <w:p w14:paraId="2155DBE9" w14:textId="77777777" w:rsidR="00725E50" w:rsidRPr="00075DC8" w:rsidRDefault="00725E50" w:rsidP="00ED4837">
            <w:pPr>
              <w:pStyle w:val="Tabletext"/>
              <w:jc w:val="center"/>
              <w:rPr>
                <w:sz w:val="18"/>
                <w:szCs w:val="18"/>
                <w:lang w:val="fr-FR" w:eastAsia="ja-JP"/>
              </w:rPr>
            </w:pPr>
            <w:r w:rsidRPr="00075DC8">
              <w:rPr>
                <w:sz w:val="18"/>
                <w:szCs w:val="18"/>
                <w:lang w:val="fr-FR"/>
              </w:rPr>
              <w:t>500; 700; 1 000</w:t>
            </w:r>
          </w:p>
        </w:tc>
      </w:tr>
      <w:tr w:rsidR="00725E50" w:rsidRPr="00075DC8" w14:paraId="25633CB6" w14:textId="77777777" w:rsidTr="006D6AB2">
        <w:trPr>
          <w:jc w:val="center"/>
        </w:trPr>
        <w:tc>
          <w:tcPr>
            <w:tcW w:w="3826" w:type="dxa"/>
            <w:shd w:val="clear" w:color="auto" w:fill="auto"/>
            <w:tcMar>
              <w:left w:w="57" w:type="dxa"/>
              <w:right w:w="57" w:type="dxa"/>
            </w:tcMar>
          </w:tcPr>
          <w:p w14:paraId="039BB0E6" w14:textId="593C7ABC" w:rsidR="00725E50" w:rsidRPr="00075DC8" w:rsidRDefault="00725E50" w:rsidP="006D6AB2">
            <w:pPr>
              <w:pStyle w:val="Tabletext"/>
              <w:jc w:val="left"/>
              <w:rPr>
                <w:sz w:val="18"/>
                <w:szCs w:val="18"/>
                <w:lang w:val="fr-FR"/>
              </w:rPr>
            </w:pPr>
            <w:r w:rsidRPr="00075DC8">
              <w:rPr>
                <w:sz w:val="18"/>
                <w:szCs w:val="18"/>
                <w:lang w:val="fr-FR" w:eastAsia="ja-JP"/>
              </w:rPr>
              <w:t>Plage des puissances de sortie au niveau de l</w:t>
            </w:r>
            <w:r w:rsidR="001F6A0D" w:rsidRPr="00075DC8">
              <w:rPr>
                <w:sz w:val="18"/>
                <w:szCs w:val="18"/>
                <w:lang w:val="fr-FR" w:eastAsia="ja-JP"/>
              </w:rPr>
              <w:t>'</w:t>
            </w:r>
            <w:r w:rsidRPr="00075DC8">
              <w:rPr>
                <w:sz w:val="18"/>
                <w:szCs w:val="18"/>
                <w:lang w:val="fr-FR" w:eastAsia="ja-JP"/>
              </w:rPr>
              <w:t>émetteur (dBW)</w:t>
            </w:r>
          </w:p>
        </w:tc>
        <w:tc>
          <w:tcPr>
            <w:tcW w:w="1916" w:type="dxa"/>
            <w:shd w:val="clear" w:color="auto" w:fill="auto"/>
          </w:tcPr>
          <w:p w14:paraId="06DE2320" w14:textId="27A12F78" w:rsidR="00725E50" w:rsidRPr="00075DC8" w:rsidRDefault="003567D8" w:rsidP="00ED4837">
            <w:pPr>
              <w:pStyle w:val="Tabletext"/>
              <w:jc w:val="center"/>
              <w:rPr>
                <w:b/>
                <w:sz w:val="18"/>
                <w:szCs w:val="18"/>
                <w:lang w:val="fr-FR" w:eastAsia="ja-JP"/>
              </w:rPr>
            </w:pPr>
            <w:r w:rsidRPr="00075DC8">
              <w:rPr>
                <w:b/>
                <w:sz w:val="18"/>
                <w:szCs w:val="18"/>
                <w:lang w:val="fr-FR" w:eastAsia="ja-JP"/>
              </w:rPr>
              <w:t>−</w:t>
            </w:r>
            <w:r w:rsidR="00725E50" w:rsidRPr="00075DC8">
              <w:rPr>
                <w:sz w:val="18"/>
                <w:szCs w:val="18"/>
                <w:lang w:val="fr-FR" w:eastAsia="ja-JP"/>
              </w:rPr>
              <w:t>22...</w:t>
            </w:r>
            <w:r w:rsidRPr="00075DC8">
              <w:rPr>
                <w:sz w:val="18"/>
                <w:szCs w:val="18"/>
                <w:lang w:val="fr-FR" w:eastAsia="ja-JP"/>
              </w:rPr>
              <w:t>−</w:t>
            </w:r>
            <w:r w:rsidR="00725E50" w:rsidRPr="00075DC8">
              <w:rPr>
                <w:sz w:val="18"/>
                <w:szCs w:val="18"/>
                <w:lang w:val="fr-FR" w:eastAsia="ja-JP"/>
              </w:rPr>
              <w:t>20</w:t>
            </w:r>
          </w:p>
        </w:tc>
        <w:tc>
          <w:tcPr>
            <w:tcW w:w="1916" w:type="dxa"/>
            <w:shd w:val="clear" w:color="auto" w:fill="auto"/>
          </w:tcPr>
          <w:p w14:paraId="12F6459D" w14:textId="71957A09"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24</w:t>
            </w:r>
          </w:p>
        </w:tc>
        <w:tc>
          <w:tcPr>
            <w:tcW w:w="1676" w:type="dxa"/>
            <w:shd w:val="clear" w:color="auto" w:fill="auto"/>
          </w:tcPr>
          <w:p w14:paraId="0CD95A5A" w14:textId="61E30EDE"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15...</w:t>
            </w:r>
            <w:r w:rsidRPr="00075DC8">
              <w:rPr>
                <w:sz w:val="18"/>
                <w:szCs w:val="18"/>
                <w:lang w:val="fr-FR" w:eastAsia="ja-JP"/>
              </w:rPr>
              <w:t>−</w:t>
            </w:r>
            <w:r w:rsidR="00725E50" w:rsidRPr="00075DC8">
              <w:rPr>
                <w:sz w:val="18"/>
                <w:szCs w:val="18"/>
                <w:lang w:val="fr-FR" w:eastAsia="ja-JP"/>
              </w:rPr>
              <w:t>12</w:t>
            </w:r>
          </w:p>
        </w:tc>
        <w:tc>
          <w:tcPr>
            <w:tcW w:w="1676" w:type="dxa"/>
            <w:shd w:val="clear" w:color="auto" w:fill="auto"/>
          </w:tcPr>
          <w:p w14:paraId="096BD8A9" w14:textId="31BC7DD5"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24</w:t>
            </w:r>
          </w:p>
        </w:tc>
        <w:tc>
          <w:tcPr>
            <w:tcW w:w="1724" w:type="dxa"/>
            <w:shd w:val="clear" w:color="auto" w:fill="auto"/>
          </w:tcPr>
          <w:p w14:paraId="09637416" w14:textId="51083AE1"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10</w:t>
            </w:r>
          </w:p>
        </w:tc>
        <w:tc>
          <w:tcPr>
            <w:tcW w:w="1725" w:type="dxa"/>
            <w:shd w:val="clear" w:color="auto" w:fill="auto"/>
          </w:tcPr>
          <w:p w14:paraId="4769154E" w14:textId="6B03FF90"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20</w:t>
            </w:r>
          </w:p>
        </w:tc>
      </w:tr>
      <w:tr w:rsidR="00725E50" w:rsidRPr="00075DC8" w14:paraId="20CC3353" w14:textId="77777777" w:rsidTr="006D6AB2">
        <w:trPr>
          <w:jc w:val="center"/>
        </w:trPr>
        <w:tc>
          <w:tcPr>
            <w:tcW w:w="3826" w:type="dxa"/>
            <w:shd w:val="clear" w:color="auto" w:fill="auto"/>
            <w:tcMar>
              <w:left w:w="57" w:type="dxa"/>
              <w:right w:w="57" w:type="dxa"/>
            </w:tcMar>
          </w:tcPr>
          <w:p w14:paraId="6B1CD0C1" w14:textId="4CDB2358" w:rsidR="00725E50" w:rsidRPr="00075DC8" w:rsidRDefault="00725E50" w:rsidP="006D6AB2">
            <w:pPr>
              <w:pStyle w:val="Tabletext"/>
              <w:jc w:val="left"/>
              <w:rPr>
                <w:sz w:val="18"/>
                <w:szCs w:val="18"/>
                <w:lang w:val="fr-FR"/>
              </w:rPr>
            </w:pPr>
            <w:r w:rsidRPr="00075DC8">
              <w:rPr>
                <w:sz w:val="18"/>
                <w:szCs w:val="18"/>
                <w:lang w:val="fr-FR" w:eastAsia="ja-JP"/>
              </w:rPr>
              <w:t>Plage des densités de puissance de sortie au niveau de l</w:t>
            </w:r>
            <w:r w:rsidR="001F6A0D" w:rsidRPr="00075DC8">
              <w:rPr>
                <w:sz w:val="18"/>
                <w:szCs w:val="18"/>
                <w:lang w:val="fr-FR" w:eastAsia="ja-JP"/>
              </w:rPr>
              <w:t>'</w:t>
            </w:r>
            <w:r w:rsidRPr="00075DC8">
              <w:rPr>
                <w:sz w:val="18"/>
                <w:szCs w:val="18"/>
                <w:lang w:val="fr-FR" w:eastAsia="ja-JP"/>
              </w:rPr>
              <w:t xml:space="preserve">émetteur </w:t>
            </w:r>
            <w:r w:rsidRPr="00075DC8">
              <w:rPr>
                <w:sz w:val="18"/>
                <w:szCs w:val="18"/>
                <w:lang w:val="fr-FR"/>
              </w:rPr>
              <w:t>(dBW/MHz)</w:t>
            </w:r>
            <w:r w:rsidRPr="00075DC8">
              <w:rPr>
                <w:sz w:val="18"/>
                <w:szCs w:val="18"/>
                <w:vertAlign w:val="superscript"/>
                <w:lang w:val="fr-FR" w:eastAsia="ja-JP"/>
              </w:rPr>
              <w:t>(1)</w:t>
            </w:r>
          </w:p>
        </w:tc>
        <w:tc>
          <w:tcPr>
            <w:tcW w:w="1916" w:type="dxa"/>
            <w:shd w:val="clear" w:color="auto" w:fill="auto"/>
          </w:tcPr>
          <w:p w14:paraId="4B81769F" w14:textId="65C6A7E0" w:rsidR="00725E50" w:rsidRPr="00075DC8" w:rsidRDefault="003567D8" w:rsidP="00ED4837">
            <w:pPr>
              <w:pStyle w:val="Tabletext"/>
              <w:jc w:val="center"/>
              <w:rPr>
                <w:b/>
                <w:sz w:val="18"/>
                <w:szCs w:val="18"/>
                <w:lang w:val="fr-FR" w:eastAsia="ja-JP"/>
              </w:rPr>
            </w:pPr>
            <w:r w:rsidRPr="00075DC8">
              <w:rPr>
                <w:b/>
                <w:sz w:val="18"/>
                <w:szCs w:val="18"/>
                <w:lang w:val="fr-FR" w:eastAsia="ja-JP"/>
              </w:rPr>
              <w:t>−</w:t>
            </w:r>
            <w:r w:rsidR="00725E50" w:rsidRPr="00075DC8">
              <w:rPr>
                <w:sz w:val="18"/>
                <w:szCs w:val="18"/>
                <w:lang w:val="fr-FR" w:eastAsia="ja-JP"/>
              </w:rPr>
              <w:t>42...</w:t>
            </w:r>
            <w:r w:rsidRPr="00075DC8">
              <w:rPr>
                <w:sz w:val="18"/>
                <w:szCs w:val="18"/>
                <w:lang w:val="fr-FR" w:eastAsia="ja-JP"/>
              </w:rPr>
              <w:t>−</w:t>
            </w:r>
            <w:r w:rsidR="00725E50" w:rsidRPr="00075DC8">
              <w:rPr>
                <w:sz w:val="18"/>
                <w:szCs w:val="18"/>
                <w:lang w:val="fr-FR" w:eastAsia="ja-JP"/>
              </w:rPr>
              <w:t>40</w:t>
            </w:r>
          </w:p>
        </w:tc>
        <w:tc>
          <w:tcPr>
            <w:tcW w:w="1916" w:type="dxa"/>
            <w:shd w:val="clear" w:color="auto" w:fill="auto"/>
          </w:tcPr>
          <w:p w14:paraId="40B08B00" w14:textId="546F2D84"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51</w:t>
            </w:r>
          </w:p>
        </w:tc>
        <w:tc>
          <w:tcPr>
            <w:tcW w:w="1676" w:type="dxa"/>
            <w:shd w:val="clear" w:color="auto" w:fill="auto"/>
          </w:tcPr>
          <w:p w14:paraId="4FD165A7" w14:textId="68F984F2"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29,8...</w:t>
            </w:r>
            <w:r w:rsidRPr="00075DC8">
              <w:rPr>
                <w:sz w:val="18"/>
                <w:szCs w:val="18"/>
                <w:lang w:val="fr-FR" w:eastAsia="ja-JP"/>
              </w:rPr>
              <w:t>−</w:t>
            </w:r>
            <w:r w:rsidR="00725E50" w:rsidRPr="00075DC8">
              <w:rPr>
                <w:sz w:val="18"/>
                <w:szCs w:val="18"/>
                <w:lang w:val="fr-FR" w:eastAsia="ja-JP"/>
              </w:rPr>
              <w:t>26,8</w:t>
            </w:r>
          </w:p>
        </w:tc>
        <w:tc>
          <w:tcPr>
            <w:tcW w:w="1676" w:type="dxa"/>
            <w:shd w:val="clear" w:color="auto" w:fill="auto"/>
          </w:tcPr>
          <w:p w14:paraId="2F358BAA" w14:textId="24E52B6E"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51</w:t>
            </w:r>
          </w:p>
        </w:tc>
        <w:tc>
          <w:tcPr>
            <w:tcW w:w="1724" w:type="dxa"/>
            <w:shd w:val="clear" w:color="auto" w:fill="auto"/>
          </w:tcPr>
          <w:p w14:paraId="343BC3FD" w14:textId="1ED8D0DE"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41</w:t>
            </w:r>
          </w:p>
        </w:tc>
        <w:tc>
          <w:tcPr>
            <w:tcW w:w="1725" w:type="dxa"/>
            <w:shd w:val="clear" w:color="auto" w:fill="auto"/>
          </w:tcPr>
          <w:p w14:paraId="73DA8278" w14:textId="5E75FF57"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47…</w:t>
            </w:r>
            <w:r w:rsidRPr="00075DC8">
              <w:rPr>
                <w:sz w:val="18"/>
                <w:szCs w:val="18"/>
                <w:lang w:val="fr-FR" w:eastAsia="ja-JP"/>
              </w:rPr>
              <w:t>−</w:t>
            </w:r>
            <w:r w:rsidR="00725E50" w:rsidRPr="00075DC8">
              <w:rPr>
                <w:sz w:val="18"/>
                <w:szCs w:val="18"/>
                <w:lang w:val="fr-FR" w:eastAsia="ja-JP"/>
              </w:rPr>
              <w:t>50</w:t>
            </w:r>
          </w:p>
        </w:tc>
      </w:tr>
      <w:tr w:rsidR="00725E50" w:rsidRPr="00075DC8" w14:paraId="2434DE22" w14:textId="77777777" w:rsidTr="006D6AB2">
        <w:trPr>
          <w:jc w:val="center"/>
        </w:trPr>
        <w:tc>
          <w:tcPr>
            <w:tcW w:w="3826" w:type="dxa"/>
            <w:shd w:val="clear" w:color="auto" w:fill="auto"/>
            <w:tcMar>
              <w:left w:w="57" w:type="dxa"/>
              <w:right w:w="57" w:type="dxa"/>
            </w:tcMar>
          </w:tcPr>
          <w:p w14:paraId="54D9C933" w14:textId="0DB49295" w:rsidR="00725E50" w:rsidRPr="00075DC8" w:rsidRDefault="00725E50" w:rsidP="006D6AB2">
            <w:pPr>
              <w:pStyle w:val="Tabletext"/>
              <w:jc w:val="left"/>
              <w:rPr>
                <w:sz w:val="18"/>
                <w:szCs w:val="18"/>
                <w:lang w:val="fr-FR"/>
              </w:rPr>
            </w:pPr>
            <w:r w:rsidRPr="00075DC8">
              <w:rPr>
                <w:sz w:val="18"/>
                <w:szCs w:val="18"/>
                <w:lang w:val="fr-FR" w:eastAsia="ja-JP"/>
              </w:rPr>
              <w:t>Plage des pertes dues à la ligne d</w:t>
            </w:r>
            <w:r w:rsidR="001F6A0D" w:rsidRPr="00075DC8">
              <w:rPr>
                <w:sz w:val="18"/>
                <w:szCs w:val="18"/>
                <w:lang w:val="fr-FR" w:eastAsia="ja-JP"/>
              </w:rPr>
              <w:t>'</w:t>
            </w:r>
            <w:r w:rsidRPr="00075DC8">
              <w:rPr>
                <w:sz w:val="18"/>
                <w:szCs w:val="18"/>
                <w:lang w:val="fr-FR" w:eastAsia="ja-JP"/>
              </w:rPr>
              <w:t>alimentation ou au multiplexeur (dB)</w:t>
            </w:r>
          </w:p>
        </w:tc>
        <w:tc>
          <w:tcPr>
            <w:tcW w:w="1916" w:type="dxa"/>
            <w:shd w:val="clear" w:color="auto" w:fill="auto"/>
          </w:tcPr>
          <w:p w14:paraId="42087F65" w14:textId="77777777" w:rsidR="00725E50" w:rsidRPr="00075DC8" w:rsidRDefault="00725E50" w:rsidP="00ED4837">
            <w:pPr>
              <w:pStyle w:val="Tabletext"/>
              <w:jc w:val="center"/>
              <w:rPr>
                <w:b/>
                <w:sz w:val="18"/>
                <w:szCs w:val="18"/>
                <w:lang w:val="fr-FR" w:eastAsia="ja-JP"/>
              </w:rPr>
            </w:pPr>
            <w:r w:rsidRPr="00075DC8">
              <w:rPr>
                <w:sz w:val="18"/>
                <w:szCs w:val="18"/>
                <w:lang w:val="fr-FR" w:eastAsia="ja-JP"/>
              </w:rPr>
              <w:t>0...2,5</w:t>
            </w:r>
          </w:p>
        </w:tc>
        <w:tc>
          <w:tcPr>
            <w:tcW w:w="1916" w:type="dxa"/>
            <w:shd w:val="clear" w:color="auto" w:fill="auto"/>
          </w:tcPr>
          <w:p w14:paraId="5B0C25AC"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0...2,5</w:t>
            </w:r>
          </w:p>
        </w:tc>
        <w:tc>
          <w:tcPr>
            <w:tcW w:w="1676" w:type="dxa"/>
            <w:shd w:val="clear" w:color="auto" w:fill="auto"/>
          </w:tcPr>
          <w:p w14:paraId="7C0E2B78"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0...2,5</w:t>
            </w:r>
          </w:p>
        </w:tc>
        <w:tc>
          <w:tcPr>
            <w:tcW w:w="1676" w:type="dxa"/>
            <w:shd w:val="clear" w:color="auto" w:fill="auto"/>
          </w:tcPr>
          <w:p w14:paraId="46A6A1B0" w14:textId="77777777" w:rsidR="00725E50" w:rsidRPr="00075DC8" w:rsidRDefault="00725E50" w:rsidP="00ED4837">
            <w:pPr>
              <w:pStyle w:val="Tabletext"/>
              <w:jc w:val="center"/>
              <w:rPr>
                <w:sz w:val="18"/>
                <w:szCs w:val="18"/>
                <w:lang w:val="fr-FR"/>
              </w:rPr>
            </w:pPr>
            <w:r w:rsidRPr="00075DC8">
              <w:rPr>
                <w:sz w:val="18"/>
                <w:szCs w:val="18"/>
                <w:lang w:val="fr-FR" w:eastAsia="ja-JP"/>
              </w:rPr>
              <w:t>0...2,5</w:t>
            </w:r>
          </w:p>
        </w:tc>
        <w:tc>
          <w:tcPr>
            <w:tcW w:w="1724" w:type="dxa"/>
            <w:shd w:val="clear" w:color="auto" w:fill="auto"/>
          </w:tcPr>
          <w:p w14:paraId="0195C9F6"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0</w:t>
            </w:r>
          </w:p>
        </w:tc>
        <w:tc>
          <w:tcPr>
            <w:tcW w:w="1725" w:type="dxa"/>
            <w:shd w:val="clear" w:color="auto" w:fill="auto"/>
          </w:tcPr>
          <w:p w14:paraId="6A71A0DB"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0</w:t>
            </w:r>
          </w:p>
        </w:tc>
      </w:tr>
      <w:tr w:rsidR="00725E50" w:rsidRPr="00075DC8" w14:paraId="76698243" w14:textId="77777777" w:rsidTr="006D6AB2">
        <w:trPr>
          <w:jc w:val="center"/>
        </w:trPr>
        <w:tc>
          <w:tcPr>
            <w:tcW w:w="3826" w:type="dxa"/>
            <w:shd w:val="clear" w:color="auto" w:fill="auto"/>
            <w:tcMar>
              <w:left w:w="57" w:type="dxa"/>
              <w:right w:w="57" w:type="dxa"/>
            </w:tcMar>
          </w:tcPr>
          <w:p w14:paraId="1B3A84DD" w14:textId="2A0DDDC4" w:rsidR="00725E50" w:rsidRPr="00075DC8" w:rsidRDefault="00725E50" w:rsidP="006D6AB2">
            <w:pPr>
              <w:pStyle w:val="Tabletext"/>
              <w:jc w:val="left"/>
              <w:rPr>
                <w:sz w:val="18"/>
                <w:szCs w:val="18"/>
                <w:lang w:val="fr-FR"/>
              </w:rPr>
            </w:pPr>
            <w:r w:rsidRPr="00075DC8">
              <w:rPr>
                <w:sz w:val="18"/>
                <w:szCs w:val="18"/>
                <w:lang w:val="fr-FR" w:eastAsia="ja-JP"/>
              </w:rPr>
              <w:t>Plage des gains d</w:t>
            </w:r>
            <w:r w:rsidR="001F6A0D" w:rsidRPr="00075DC8">
              <w:rPr>
                <w:sz w:val="18"/>
                <w:szCs w:val="18"/>
                <w:lang w:val="fr-FR" w:eastAsia="ja-JP"/>
              </w:rPr>
              <w:t>'</w:t>
            </w:r>
            <w:r w:rsidRPr="00075DC8">
              <w:rPr>
                <w:sz w:val="18"/>
                <w:szCs w:val="18"/>
                <w:lang w:val="fr-FR" w:eastAsia="ja-JP"/>
              </w:rPr>
              <w:t>antenne (dBi)</w:t>
            </w:r>
          </w:p>
        </w:tc>
        <w:tc>
          <w:tcPr>
            <w:tcW w:w="1916" w:type="dxa"/>
            <w:shd w:val="clear" w:color="auto" w:fill="auto"/>
          </w:tcPr>
          <w:p w14:paraId="2F07C2D7" w14:textId="77777777" w:rsidR="00725E50" w:rsidRPr="00075DC8" w:rsidRDefault="00725E50" w:rsidP="00ED4837">
            <w:pPr>
              <w:pStyle w:val="Tabletext"/>
              <w:jc w:val="center"/>
              <w:rPr>
                <w:b/>
                <w:sz w:val="18"/>
                <w:szCs w:val="18"/>
                <w:lang w:val="fr-FR" w:eastAsia="ja-JP"/>
              </w:rPr>
            </w:pPr>
            <w:r w:rsidRPr="00075DC8">
              <w:rPr>
                <w:sz w:val="18"/>
                <w:szCs w:val="18"/>
                <w:lang w:val="fr-FR" w:eastAsia="ja-JP"/>
              </w:rPr>
              <w:t>38...48</w:t>
            </w:r>
          </w:p>
        </w:tc>
        <w:tc>
          <w:tcPr>
            <w:tcW w:w="1916" w:type="dxa"/>
            <w:shd w:val="clear" w:color="auto" w:fill="auto"/>
          </w:tcPr>
          <w:p w14:paraId="57CA808E"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38...48</w:t>
            </w:r>
          </w:p>
        </w:tc>
        <w:tc>
          <w:tcPr>
            <w:tcW w:w="1676" w:type="dxa"/>
            <w:shd w:val="clear" w:color="auto" w:fill="auto"/>
          </w:tcPr>
          <w:p w14:paraId="0EB2A83F"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48...50</w:t>
            </w:r>
          </w:p>
        </w:tc>
        <w:tc>
          <w:tcPr>
            <w:tcW w:w="1676" w:type="dxa"/>
            <w:shd w:val="clear" w:color="auto" w:fill="auto"/>
          </w:tcPr>
          <w:p w14:paraId="76ED387F"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38...48</w:t>
            </w:r>
          </w:p>
        </w:tc>
        <w:tc>
          <w:tcPr>
            <w:tcW w:w="1724" w:type="dxa"/>
            <w:shd w:val="clear" w:color="auto" w:fill="auto"/>
          </w:tcPr>
          <w:p w14:paraId="059D6883"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54</w:t>
            </w:r>
          </w:p>
        </w:tc>
        <w:tc>
          <w:tcPr>
            <w:tcW w:w="1725" w:type="dxa"/>
            <w:shd w:val="clear" w:color="auto" w:fill="auto"/>
          </w:tcPr>
          <w:p w14:paraId="02BF0D2F"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44…50</w:t>
            </w:r>
          </w:p>
        </w:tc>
      </w:tr>
      <w:tr w:rsidR="00725E50" w:rsidRPr="00075DC8" w14:paraId="3C09B89C" w14:textId="77777777" w:rsidTr="006D6AB2">
        <w:trPr>
          <w:jc w:val="center"/>
        </w:trPr>
        <w:tc>
          <w:tcPr>
            <w:tcW w:w="3826" w:type="dxa"/>
            <w:shd w:val="clear" w:color="auto" w:fill="auto"/>
            <w:tcMar>
              <w:left w:w="57" w:type="dxa"/>
              <w:right w:w="57" w:type="dxa"/>
            </w:tcMar>
          </w:tcPr>
          <w:p w14:paraId="48B73B67" w14:textId="77777777" w:rsidR="00725E50" w:rsidRPr="00075DC8" w:rsidRDefault="00725E50" w:rsidP="006D6AB2">
            <w:pPr>
              <w:pStyle w:val="Tabletext"/>
              <w:jc w:val="left"/>
              <w:rPr>
                <w:sz w:val="18"/>
                <w:szCs w:val="18"/>
                <w:lang w:val="fr-FR"/>
              </w:rPr>
            </w:pPr>
            <w:r w:rsidRPr="00075DC8">
              <w:rPr>
                <w:sz w:val="18"/>
                <w:szCs w:val="18"/>
                <w:lang w:val="fr-FR" w:eastAsia="ja-JP"/>
              </w:rPr>
              <w:t>Plage des p.i.r.e. (dBW)</w:t>
            </w:r>
          </w:p>
        </w:tc>
        <w:tc>
          <w:tcPr>
            <w:tcW w:w="1916" w:type="dxa"/>
            <w:shd w:val="clear" w:color="auto" w:fill="auto"/>
          </w:tcPr>
          <w:p w14:paraId="386EC0F3" w14:textId="77777777" w:rsidR="00725E50" w:rsidRPr="00075DC8" w:rsidRDefault="00725E50" w:rsidP="00ED4837">
            <w:pPr>
              <w:pStyle w:val="Tabletext"/>
              <w:jc w:val="center"/>
              <w:rPr>
                <w:b/>
                <w:sz w:val="18"/>
                <w:szCs w:val="18"/>
                <w:lang w:val="fr-FR" w:eastAsia="ja-JP"/>
              </w:rPr>
            </w:pPr>
            <w:r w:rsidRPr="00075DC8">
              <w:rPr>
                <w:sz w:val="18"/>
                <w:szCs w:val="18"/>
                <w:lang w:val="fr-FR" w:eastAsia="ja-JP"/>
              </w:rPr>
              <w:t>13,5...28</w:t>
            </w:r>
          </w:p>
        </w:tc>
        <w:tc>
          <w:tcPr>
            <w:tcW w:w="1916" w:type="dxa"/>
            <w:shd w:val="clear" w:color="auto" w:fill="auto"/>
          </w:tcPr>
          <w:p w14:paraId="0BECFEA6" w14:textId="77777777" w:rsidR="00725E50" w:rsidRPr="00075DC8" w:rsidRDefault="00725E50" w:rsidP="00ED4837">
            <w:pPr>
              <w:pStyle w:val="Tabletext"/>
              <w:jc w:val="center"/>
              <w:rPr>
                <w:sz w:val="18"/>
                <w:szCs w:val="18"/>
                <w:lang w:val="fr-FR"/>
              </w:rPr>
            </w:pPr>
            <w:r w:rsidRPr="00075DC8">
              <w:rPr>
                <w:sz w:val="18"/>
                <w:szCs w:val="18"/>
                <w:lang w:val="fr-FR"/>
              </w:rPr>
              <w:t>11,5...24</w:t>
            </w:r>
          </w:p>
        </w:tc>
        <w:tc>
          <w:tcPr>
            <w:tcW w:w="1676" w:type="dxa"/>
            <w:shd w:val="clear" w:color="auto" w:fill="auto"/>
          </w:tcPr>
          <w:p w14:paraId="1DF1EE03"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30,5...38</w:t>
            </w:r>
          </w:p>
        </w:tc>
        <w:tc>
          <w:tcPr>
            <w:tcW w:w="1676" w:type="dxa"/>
            <w:shd w:val="clear" w:color="auto" w:fill="auto"/>
          </w:tcPr>
          <w:p w14:paraId="6544BC68" w14:textId="77777777" w:rsidR="00725E50" w:rsidRPr="00075DC8" w:rsidRDefault="00725E50" w:rsidP="00ED4837">
            <w:pPr>
              <w:pStyle w:val="Tabletext"/>
              <w:jc w:val="center"/>
              <w:rPr>
                <w:sz w:val="18"/>
                <w:szCs w:val="18"/>
                <w:lang w:val="fr-FR"/>
              </w:rPr>
            </w:pPr>
            <w:r w:rsidRPr="00075DC8">
              <w:rPr>
                <w:sz w:val="18"/>
                <w:szCs w:val="18"/>
                <w:lang w:val="fr-FR"/>
              </w:rPr>
              <w:t>11,5...24</w:t>
            </w:r>
          </w:p>
        </w:tc>
        <w:tc>
          <w:tcPr>
            <w:tcW w:w="1724" w:type="dxa"/>
            <w:shd w:val="clear" w:color="auto" w:fill="auto"/>
          </w:tcPr>
          <w:p w14:paraId="18FCE163"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44</w:t>
            </w:r>
          </w:p>
        </w:tc>
        <w:tc>
          <w:tcPr>
            <w:tcW w:w="1725" w:type="dxa"/>
            <w:shd w:val="clear" w:color="auto" w:fill="auto"/>
          </w:tcPr>
          <w:p w14:paraId="385F5341"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24…30</w:t>
            </w:r>
          </w:p>
        </w:tc>
      </w:tr>
      <w:tr w:rsidR="00CE5F84" w:rsidRPr="00075DC8" w14:paraId="3E7F7598" w14:textId="77777777" w:rsidTr="00CE5F84">
        <w:trPr>
          <w:jc w:val="center"/>
        </w:trPr>
        <w:tc>
          <w:tcPr>
            <w:tcW w:w="14464" w:type="dxa"/>
            <w:gridSpan w:val="7"/>
            <w:tcBorders>
              <w:top w:val="nil"/>
              <w:left w:val="nil"/>
              <w:right w:val="nil"/>
            </w:tcBorders>
            <w:shd w:val="clear" w:color="auto" w:fill="auto"/>
            <w:tcMar>
              <w:left w:w="57" w:type="dxa"/>
              <w:right w:w="57" w:type="dxa"/>
            </w:tcMar>
            <w:vAlign w:val="center"/>
          </w:tcPr>
          <w:p w14:paraId="499043A2" w14:textId="13ECC223" w:rsidR="00CE5F84" w:rsidRPr="00075DC8" w:rsidRDefault="00CE5F84" w:rsidP="00CE5F84">
            <w:pPr>
              <w:pStyle w:val="TableNo"/>
              <w:rPr>
                <w:lang w:val="fr-FR"/>
              </w:rPr>
            </w:pPr>
            <w:r w:rsidRPr="00075DC8">
              <w:rPr>
                <w:lang w:val="fr-FR"/>
              </w:rPr>
              <w:lastRenderedPageBreak/>
              <w:t>TABLEAU 12 (</w:t>
            </w:r>
            <w:r w:rsidRPr="00075DC8">
              <w:rPr>
                <w:i/>
                <w:iCs/>
                <w:lang w:val="fr-FR"/>
              </w:rPr>
              <w:t>fin</w:t>
            </w:r>
            <w:r w:rsidRPr="00075DC8">
              <w:rPr>
                <w:lang w:val="fr-FR"/>
              </w:rPr>
              <w:t>)</w:t>
            </w:r>
          </w:p>
        </w:tc>
      </w:tr>
      <w:tr w:rsidR="00CE5F84" w:rsidRPr="00075DC8" w14:paraId="4E55797C" w14:textId="77777777" w:rsidTr="00CE5F84">
        <w:trPr>
          <w:jc w:val="center"/>
        </w:trPr>
        <w:tc>
          <w:tcPr>
            <w:tcW w:w="3826" w:type="dxa"/>
            <w:shd w:val="clear" w:color="auto" w:fill="auto"/>
            <w:tcMar>
              <w:left w:w="57" w:type="dxa"/>
              <w:right w:w="57" w:type="dxa"/>
            </w:tcMar>
            <w:vAlign w:val="center"/>
          </w:tcPr>
          <w:p w14:paraId="7F81A8F0" w14:textId="77777777" w:rsidR="00CE5F84" w:rsidRPr="00075DC8" w:rsidRDefault="00CE5F84" w:rsidP="00754C3F">
            <w:pPr>
              <w:pStyle w:val="Tablehead"/>
              <w:rPr>
                <w:sz w:val="18"/>
                <w:szCs w:val="18"/>
                <w:lang w:val="fr-FR" w:eastAsia="ja-JP"/>
              </w:rPr>
            </w:pPr>
            <w:r w:rsidRPr="00075DC8">
              <w:rPr>
                <w:sz w:val="18"/>
                <w:szCs w:val="18"/>
                <w:lang w:val="fr-FR" w:eastAsia="ja-JP"/>
              </w:rPr>
              <w:t>Gamme de fréquences</w:t>
            </w:r>
            <w:r w:rsidRPr="00075DC8">
              <w:rPr>
                <w:sz w:val="18"/>
                <w:szCs w:val="18"/>
                <w:lang w:val="fr-FR" w:eastAsia="ja-JP"/>
              </w:rPr>
              <w:br/>
              <w:t>(GHz)</w:t>
            </w:r>
          </w:p>
        </w:tc>
        <w:tc>
          <w:tcPr>
            <w:tcW w:w="3833" w:type="dxa"/>
            <w:gridSpan w:val="2"/>
            <w:shd w:val="clear" w:color="auto" w:fill="auto"/>
            <w:vAlign w:val="center"/>
          </w:tcPr>
          <w:p w14:paraId="2C3AF041" w14:textId="77777777" w:rsidR="00CE5F84" w:rsidRPr="00075DC8" w:rsidRDefault="00CE5F84" w:rsidP="00754C3F">
            <w:pPr>
              <w:pStyle w:val="Tablehead"/>
              <w:rPr>
                <w:sz w:val="18"/>
                <w:szCs w:val="18"/>
                <w:lang w:val="fr-FR" w:eastAsia="ja-JP"/>
              </w:rPr>
            </w:pPr>
            <w:r w:rsidRPr="00075DC8">
              <w:rPr>
                <w:sz w:val="18"/>
                <w:szCs w:val="18"/>
                <w:lang w:val="fr-FR" w:eastAsia="ja-JP"/>
              </w:rPr>
              <w:t>59-64</w:t>
            </w:r>
          </w:p>
        </w:tc>
        <w:tc>
          <w:tcPr>
            <w:tcW w:w="3354" w:type="dxa"/>
            <w:gridSpan w:val="2"/>
            <w:shd w:val="clear" w:color="auto" w:fill="auto"/>
            <w:vAlign w:val="center"/>
          </w:tcPr>
          <w:p w14:paraId="6C1FCB32" w14:textId="77777777" w:rsidR="00CE5F84" w:rsidRPr="00075DC8" w:rsidRDefault="00CE5F84" w:rsidP="00754C3F">
            <w:pPr>
              <w:pStyle w:val="Tablehead"/>
              <w:rPr>
                <w:sz w:val="18"/>
                <w:szCs w:val="18"/>
                <w:lang w:val="fr-FR" w:eastAsia="ja-JP"/>
              </w:rPr>
            </w:pPr>
            <w:r w:rsidRPr="00075DC8">
              <w:rPr>
                <w:sz w:val="18"/>
                <w:szCs w:val="18"/>
                <w:lang w:val="fr-FR" w:eastAsia="ja-JP"/>
              </w:rPr>
              <w:t>64-66</w:t>
            </w:r>
          </w:p>
        </w:tc>
        <w:tc>
          <w:tcPr>
            <w:tcW w:w="3451" w:type="dxa"/>
            <w:gridSpan w:val="2"/>
            <w:shd w:val="clear" w:color="auto" w:fill="auto"/>
            <w:vAlign w:val="center"/>
          </w:tcPr>
          <w:p w14:paraId="1AC33859" w14:textId="77777777" w:rsidR="00CE5F84" w:rsidRPr="00075DC8" w:rsidRDefault="00CE5F84" w:rsidP="00754C3F">
            <w:pPr>
              <w:pStyle w:val="Tablehead"/>
              <w:rPr>
                <w:sz w:val="18"/>
                <w:szCs w:val="18"/>
                <w:lang w:val="fr-FR" w:eastAsia="ja-JP"/>
              </w:rPr>
            </w:pPr>
            <w:r w:rsidRPr="00075DC8">
              <w:rPr>
                <w:sz w:val="18"/>
                <w:szCs w:val="18"/>
                <w:lang w:val="fr-FR" w:eastAsia="ja-JP"/>
              </w:rPr>
              <w:t>71-76/81-86</w:t>
            </w:r>
          </w:p>
        </w:tc>
      </w:tr>
      <w:tr w:rsidR="00CE5F84" w:rsidRPr="00075DC8" w14:paraId="7E281C26" w14:textId="77777777" w:rsidTr="006D6AB2">
        <w:trPr>
          <w:jc w:val="center"/>
        </w:trPr>
        <w:tc>
          <w:tcPr>
            <w:tcW w:w="3826" w:type="dxa"/>
            <w:shd w:val="clear" w:color="auto" w:fill="auto"/>
            <w:tcMar>
              <w:left w:w="57" w:type="dxa"/>
              <w:right w:w="57" w:type="dxa"/>
            </w:tcMar>
          </w:tcPr>
          <w:p w14:paraId="40226B01" w14:textId="77777777" w:rsidR="00CE5F84" w:rsidRPr="00075DC8" w:rsidRDefault="00CE5F84" w:rsidP="006D6AB2">
            <w:pPr>
              <w:pStyle w:val="Tabletext"/>
              <w:jc w:val="left"/>
              <w:rPr>
                <w:sz w:val="18"/>
                <w:szCs w:val="18"/>
                <w:lang w:val="fr-FR"/>
              </w:rPr>
            </w:pPr>
            <w:r w:rsidRPr="00075DC8">
              <w:rPr>
                <w:sz w:val="18"/>
                <w:szCs w:val="18"/>
                <w:lang w:val="fr-FR"/>
              </w:rPr>
              <w:t>Recommandation UIT-R de référence</w:t>
            </w:r>
          </w:p>
        </w:tc>
        <w:tc>
          <w:tcPr>
            <w:tcW w:w="3833" w:type="dxa"/>
            <w:gridSpan w:val="2"/>
            <w:shd w:val="clear" w:color="auto" w:fill="auto"/>
          </w:tcPr>
          <w:p w14:paraId="036FE0DB" w14:textId="77777777" w:rsidR="00CE5F84" w:rsidRPr="00075DC8" w:rsidRDefault="00CE5F84" w:rsidP="00754C3F">
            <w:pPr>
              <w:pStyle w:val="Tabletext"/>
              <w:jc w:val="center"/>
              <w:rPr>
                <w:sz w:val="18"/>
                <w:szCs w:val="18"/>
                <w:lang w:val="fr-FR" w:eastAsia="ja-JP"/>
              </w:rPr>
            </w:pPr>
            <w:r w:rsidRPr="00075DC8">
              <w:rPr>
                <w:sz w:val="18"/>
                <w:szCs w:val="18"/>
                <w:lang w:val="fr-FR" w:eastAsia="ja-JP"/>
              </w:rPr>
              <w:t>F.1497</w:t>
            </w:r>
          </w:p>
        </w:tc>
        <w:tc>
          <w:tcPr>
            <w:tcW w:w="3354" w:type="dxa"/>
            <w:gridSpan w:val="2"/>
            <w:shd w:val="clear" w:color="auto" w:fill="auto"/>
          </w:tcPr>
          <w:p w14:paraId="7611DCB7" w14:textId="77777777" w:rsidR="00CE5F84" w:rsidRPr="00075DC8" w:rsidRDefault="00CE5F84" w:rsidP="00754C3F">
            <w:pPr>
              <w:pStyle w:val="Tabletext"/>
              <w:jc w:val="center"/>
              <w:rPr>
                <w:sz w:val="18"/>
                <w:szCs w:val="18"/>
                <w:lang w:val="fr-FR" w:eastAsia="ja-JP"/>
              </w:rPr>
            </w:pPr>
            <w:r w:rsidRPr="00075DC8">
              <w:rPr>
                <w:sz w:val="18"/>
                <w:szCs w:val="18"/>
                <w:lang w:val="fr-FR" w:eastAsia="ja-JP"/>
              </w:rPr>
              <w:t>F.1497</w:t>
            </w:r>
          </w:p>
        </w:tc>
        <w:tc>
          <w:tcPr>
            <w:tcW w:w="3451" w:type="dxa"/>
            <w:gridSpan w:val="2"/>
            <w:shd w:val="clear" w:color="auto" w:fill="auto"/>
          </w:tcPr>
          <w:p w14:paraId="264D4A4C" w14:textId="77777777" w:rsidR="00CE5F84" w:rsidRPr="00075DC8" w:rsidRDefault="00CE5F84" w:rsidP="00754C3F">
            <w:pPr>
              <w:pStyle w:val="Tabletext"/>
              <w:jc w:val="center"/>
              <w:rPr>
                <w:sz w:val="18"/>
                <w:szCs w:val="18"/>
                <w:lang w:val="fr-FR" w:eastAsia="ja-JP"/>
              </w:rPr>
            </w:pPr>
            <w:r w:rsidRPr="00075DC8">
              <w:rPr>
                <w:sz w:val="18"/>
                <w:szCs w:val="18"/>
                <w:lang w:val="fr-FR" w:eastAsia="ja-JP"/>
              </w:rPr>
              <w:t>F.2006</w:t>
            </w:r>
          </w:p>
        </w:tc>
      </w:tr>
      <w:tr w:rsidR="00725E50" w:rsidRPr="00075DC8" w14:paraId="28B4C98A" w14:textId="77777777" w:rsidTr="006D6AB2">
        <w:trPr>
          <w:jc w:val="center"/>
        </w:trPr>
        <w:tc>
          <w:tcPr>
            <w:tcW w:w="3826" w:type="dxa"/>
            <w:shd w:val="clear" w:color="auto" w:fill="auto"/>
            <w:tcMar>
              <w:left w:w="57" w:type="dxa"/>
              <w:right w:w="57" w:type="dxa"/>
            </w:tcMar>
          </w:tcPr>
          <w:p w14:paraId="5BFC03E6" w14:textId="50BB173C" w:rsidR="00725E50" w:rsidRPr="00075DC8" w:rsidRDefault="00725E50" w:rsidP="006D6AB2">
            <w:pPr>
              <w:pStyle w:val="Tabletext"/>
              <w:jc w:val="left"/>
              <w:rPr>
                <w:sz w:val="18"/>
                <w:szCs w:val="18"/>
                <w:lang w:val="fr-FR"/>
              </w:rPr>
            </w:pPr>
            <w:r w:rsidRPr="00075DC8">
              <w:rPr>
                <w:sz w:val="18"/>
                <w:szCs w:val="18"/>
                <w:lang w:val="fr-FR" w:eastAsia="ja-JP"/>
              </w:rPr>
              <w:t>Plage des densités</w:t>
            </w:r>
            <w:r w:rsidRPr="00075DC8">
              <w:rPr>
                <w:sz w:val="18"/>
                <w:szCs w:val="18"/>
                <w:lang w:val="fr-FR"/>
              </w:rPr>
              <w:t xml:space="preserve"> de p.i.r.e. (dBW/MHz)</w:t>
            </w:r>
            <w:r w:rsidRPr="00075DC8">
              <w:rPr>
                <w:sz w:val="18"/>
                <w:szCs w:val="18"/>
                <w:vertAlign w:val="superscript"/>
                <w:lang w:val="fr-FR" w:eastAsia="ja-JP"/>
              </w:rPr>
              <w:t>(1)</w:t>
            </w:r>
          </w:p>
        </w:tc>
        <w:tc>
          <w:tcPr>
            <w:tcW w:w="1916" w:type="dxa"/>
            <w:shd w:val="clear" w:color="auto" w:fill="auto"/>
          </w:tcPr>
          <w:p w14:paraId="6E2E767A" w14:textId="14EFFE02" w:rsidR="00725E50" w:rsidRPr="00075DC8" w:rsidRDefault="003567D8" w:rsidP="00ED4837">
            <w:pPr>
              <w:pStyle w:val="Tabletext"/>
              <w:jc w:val="center"/>
              <w:rPr>
                <w:b/>
                <w:sz w:val="18"/>
                <w:szCs w:val="18"/>
                <w:lang w:val="fr-FR" w:eastAsia="ja-JP"/>
              </w:rPr>
            </w:pPr>
            <w:r w:rsidRPr="00075DC8">
              <w:rPr>
                <w:b/>
                <w:sz w:val="18"/>
                <w:szCs w:val="18"/>
                <w:lang w:val="fr-FR" w:eastAsia="ja-JP"/>
              </w:rPr>
              <w:t>−</w:t>
            </w:r>
            <w:r w:rsidR="00725E50" w:rsidRPr="00075DC8">
              <w:rPr>
                <w:sz w:val="18"/>
                <w:szCs w:val="18"/>
                <w:lang w:val="fr-FR" w:eastAsia="ja-JP"/>
              </w:rPr>
              <w:t>6,5...8</w:t>
            </w:r>
          </w:p>
        </w:tc>
        <w:tc>
          <w:tcPr>
            <w:tcW w:w="1917" w:type="dxa"/>
            <w:shd w:val="clear" w:color="auto" w:fill="auto"/>
          </w:tcPr>
          <w:p w14:paraId="0784240E" w14:textId="2DAE786F"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15,5...</w:t>
            </w:r>
            <w:r w:rsidRPr="00075DC8">
              <w:rPr>
                <w:sz w:val="18"/>
                <w:szCs w:val="18"/>
                <w:lang w:val="fr-FR" w:eastAsia="ja-JP"/>
              </w:rPr>
              <w:t>−</w:t>
            </w:r>
            <w:r w:rsidR="00725E50" w:rsidRPr="00075DC8">
              <w:rPr>
                <w:sz w:val="18"/>
                <w:szCs w:val="18"/>
                <w:lang w:val="fr-FR" w:eastAsia="ja-JP"/>
              </w:rPr>
              <w:t>3,0</w:t>
            </w:r>
          </w:p>
        </w:tc>
        <w:tc>
          <w:tcPr>
            <w:tcW w:w="1677" w:type="dxa"/>
            <w:shd w:val="clear" w:color="auto" w:fill="auto"/>
          </w:tcPr>
          <w:p w14:paraId="7367D8C4"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15,8...23,3</w:t>
            </w:r>
          </w:p>
        </w:tc>
        <w:tc>
          <w:tcPr>
            <w:tcW w:w="1677" w:type="dxa"/>
            <w:shd w:val="clear" w:color="auto" w:fill="auto"/>
          </w:tcPr>
          <w:p w14:paraId="71F3D36E" w14:textId="43783785" w:rsidR="00725E50" w:rsidRPr="00075DC8" w:rsidRDefault="003567D8" w:rsidP="00ED4837">
            <w:pPr>
              <w:pStyle w:val="Tabletext"/>
              <w:jc w:val="center"/>
              <w:rPr>
                <w:sz w:val="18"/>
                <w:szCs w:val="18"/>
                <w:lang w:val="fr-FR"/>
              </w:rPr>
            </w:pPr>
            <w:r w:rsidRPr="00075DC8">
              <w:rPr>
                <w:sz w:val="18"/>
                <w:szCs w:val="18"/>
                <w:lang w:val="fr-FR" w:eastAsia="ja-JP"/>
              </w:rPr>
              <w:t>−</w:t>
            </w:r>
            <w:r w:rsidR="00725E50" w:rsidRPr="00075DC8">
              <w:rPr>
                <w:sz w:val="18"/>
                <w:szCs w:val="18"/>
                <w:lang w:val="fr-FR" w:eastAsia="ja-JP"/>
              </w:rPr>
              <w:t>15,5...</w:t>
            </w:r>
            <w:r w:rsidRPr="00075DC8">
              <w:rPr>
                <w:sz w:val="18"/>
                <w:szCs w:val="18"/>
                <w:lang w:val="fr-FR" w:eastAsia="ja-JP"/>
              </w:rPr>
              <w:t>−</w:t>
            </w:r>
            <w:r w:rsidR="00725E50" w:rsidRPr="00075DC8">
              <w:rPr>
                <w:sz w:val="18"/>
                <w:szCs w:val="18"/>
                <w:lang w:val="fr-FR" w:eastAsia="ja-JP"/>
              </w:rPr>
              <w:t>3,0</w:t>
            </w:r>
          </w:p>
        </w:tc>
        <w:tc>
          <w:tcPr>
            <w:tcW w:w="1725" w:type="dxa"/>
            <w:shd w:val="clear" w:color="auto" w:fill="auto"/>
          </w:tcPr>
          <w:p w14:paraId="32032975"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13</w:t>
            </w:r>
          </w:p>
        </w:tc>
        <w:tc>
          <w:tcPr>
            <w:tcW w:w="1726" w:type="dxa"/>
            <w:shd w:val="clear" w:color="auto" w:fill="auto"/>
          </w:tcPr>
          <w:p w14:paraId="3E5A4924" w14:textId="646ED939"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6…3</w:t>
            </w:r>
          </w:p>
        </w:tc>
      </w:tr>
      <w:tr w:rsidR="00725E50" w:rsidRPr="00075DC8" w14:paraId="45650E5A" w14:textId="77777777" w:rsidTr="006D6AB2">
        <w:trPr>
          <w:jc w:val="center"/>
        </w:trPr>
        <w:tc>
          <w:tcPr>
            <w:tcW w:w="3826" w:type="dxa"/>
            <w:shd w:val="clear" w:color="auto" w:fill="auto"/>
            <w:tcMar>
              <w:left w:w="57" w:type="dxa"/>
              <w:right w:w="57" w:type="dxa"/>
            </w:tcMar>
          </w:tcPr>
          <w:p w14:paraId="3AA47658" w14:textId="77777777" w:rsidR="00725E50" w:rsidRPr="00075DC8" w:rsidRDefault="00725E50" w:rsidP="006D6AB2">
            <w:pPr>
              <w:pStyle w:val="Tabletext"/>
              <w:jc w:val="left"/>
              <w:rPr>
                <w:sz w:val="18"/>
                <w:szCs w:val="18"/>
                <w:lang w:val="fr-FR"/>
              </w:rPr>
            </w:pPr>
            <w:r w:rsidRPr="00075DC8">
              <w:rPr>
                <w:sz w:val="18"/>
                <w:szCs w:val="18"/>
                <w:lang w:val="fr-FR" w:eastAsia="ja-JP"/>
              </w:rPr>
              <w:t>Facteur de bruit type du récepteur (dB)</w:t>
            </w:r>
          </w:p>
        </w:tc>
        <w:tc>
          <w:tcPr>
            <w:tcW w:w="1916" w:type="dxa"/>
            <w:shd w:val="clear" w:color="auto" w:fill="auto"/>
          </w:tcPr>
          <w:p w14:paraId="525CE52F" w14:textId="77777777" w:rsidR="00725E50" w:rsidRPr="00075DC8" w:rsidRDefault="00725E50" w:rsidP="00ED4837">
            <w:pPr>
              <w:pStyle w:val="Tabletext"/>
              <w:jc w:val="center"/>
              <w:rPr>
                <w:b/>
                <w:sz w:val="18"/>
                <w:szCs w:val="18"/>
                <w:lang w:val="fr-FR" w:eastAsia="ja-JP"/>
              </w:rPr>
            </w:pPr>
            <w:r w:rsidRPr="00075DC8">
              <w:rPr>
                <w:sz w:val="18"/>
                <w:szCs w:val="18"/>
                <w:lang w:val="fr-FR" w:eastAsia="ja-JP"/>
              </w:rPr>
              <w:t>8</w:t>
            </w:r>
          </w:p>
        </w:tc>
        <w:tc>
          <w:tcPr>
            <w:tcW w:w="1917" w:type="dxa"/>
            <w:shd w:val="clear" w:color="auto" w:fill="auto"/>
          </w:tcPr>
          <w:p w14:paraId="50D12666"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8</w:t>
            </w:r>
          </w:p>
        </w:tc>
        <w:tc>
          <w:tcPr>
            <w:tcW w:w="1677" w:type="dxa"/>
            <w:shd w:val="clear" w:color="auto" w:fill="auto"/>
          </w:tcPr>
          <w:p w14:paraId="02BAE73B"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9</w:t>
            </w:r>
          </w:p>
        </w:tc>
        <w:tc>
          <w:tcPr>
            <w:tcW w:w="1677" w:type="dxa"/>
            <w:shd w:val="clear" w:color="auto" w:fill="auto"/>
          </w:tcPr>
          <w:p w14:paraId="5745838C" w14:textId="77777777" w:rsidR="00725E50" w:rsidRPr="00075DC8" w:rsidRDefault="00725E50" w:rsidP="00ED4837">
            <w:pPr>
              <w:pStyle w:val="Tabletext"/>
              <w:jc w:val="center"/>
              <w:rPr>
                <w:sz w:val="18"/>
                <w:szCs w:val="18"/>
                <w:lang w:val="fr-FR"/>
              </w:rPr>
            </w:pPr>
            <w:r w:rsidRPr="00075DC8">
              <w:rPr>
                <w:sz w:val="18"/>
                <w:szCs w:val="18"/>
                <w:lang w:val="fr-FR" w:eastAsia="ja-JP"/>
              </w:rPr>
              <w:t>8</w:t>
            </w:r>
          </w:p>
        </w:tc>
        <w:tc>
          <w:tcPr>
            <w:tcW w:w="1725" w:type="dxa"/>
            <w:shd w:val="clear" w:color="auto" w:fill="auto"/>
          </w:tcPr>
          <w:p w14:paraId="20D465C9"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10</w:t>
            </w:r>
          </w:p>
        </w:tc>
        <w:tc>
          <w:tcPr>
            <w:tcW w:w="1726" w:type="dxa"/>
            <w:shd w:val="clear" w:color="auto" w:fill="auto"/>
          </w:tcPr>
          <w:p w14:paraId="0F5184EC"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8</w:t>
            </w:r>
          </w:p>
        </w:tc>
      </w:tr>
      <w:tr w:rsidR="00725E50" w:rsidRPr="00075DC8" w14:paraId="03751B3C" w14:textId="77777777" w:rsidTr="006D6AB2">
        <w:trPr>
          <w:jc w:val="center"/>
        </w:trPr>
        <w:tc>
          <w:tcPr>
            <w:tcW w:w="3826" w:type="dxa"/>
            <w:shd w:val="clear" w:color="auto" w:fill="auto"/>
            <w:tcMar>
              <w:left w:w="57" w:type="dxa"/>
              <w:right w:w="57" w:type="dxa"/>
            </w:tcMar>
          </w:tcPr>
          <w:p w14:paraId="50E46A83" w14:textId="77777777" w:rsidR="00725E50" w:rsidRPr="00075DC8" w:rsidRDefault="00725E50" w:rsidP="006D6AB2">
            <w:pPr>
              <w:pStyle w:val="Tabletext"/>
              <w:jc w:val="left"/>
              <w:rPr>
                <w:sz w:val="18"/>
                <w:szCs w:val="18"/>
                <w:lang w:val="fr-FR"/>
              </w:rPr>
            </w:pPr>
            <w:r w:rsidRPr="00075DC8">
              <w:rPr>
                <w:sz w:val="18"/>
                <w:szCs w:val="18"/>
                <w:lang w:val="fr-FR" w:eastAsia="ja-JP"/>
              </w:rPr>
              <w:t>Densité type de puissance de bruit du récepteur (=</w:t>
            </w:r>
            <w:r w:rsidRPr="00075DC8">
              <w:rPr>
                <w:i/>
                <w:iCs/>
                <w:sz w:val="18"/>
                <w:szCs w:val="18"/>
                <w:lang w:val="fr-FR"/>
              </w:rPr>
              <w:t>N</w:t>
            </w:r>
            <w:r w:rsidRPr="00075DC8">
              <w:rPr>
                <w:i/>
                <w:iCs/>
                <w:sz w:val="18"/>
                <w:szCs w:val="18"/>
                <w:vertAlign w:val="subscript"/>
                <w:lang w:val="fr-FR"/>
              </w:rPr>
              <w:t>RX</w:t>
            </w:r>
            <w:r w:rsidRPr="00075DC8">
              <w:rPr>
                <w:sz w:val="18"/>
                <w:szCs w:val="18"/>
                <w:lang w:val="fr-FR" w:eastAsia="ja-JP"/>
              </w:rPr>
              <w:t xml:space="preserve">) </w:t>
            </w:r>
            <w:r w:rsidRPr="00075DC8">
              <w:rPr>
                <w:sz w:val="18"/>
                <w:szCs w:val="18"/>
                <w:lang w:val="fr-FR"/>
              </w:rPr>
              <w:t>(dBW/MHz)</w:t>
            </w:r>
          </w:p>
        </w:tc>
        <w:tc>
          <w:tcPr>
            <w:tcW w:w="1916" w:type="dxa"/>
            <w:shd w:val="clear" w:color="auto" w:fill="auto"/>
          </w:tcPr>
          <w:p w14:paraId="65D6F8EE" w14:textId="6F388AF3" w:rsidR="00725E50" w:rsidRPr="00075DC8" w:rsidRDefault="003567D8" w:rsidP="00ED4837">
            <w:pPr>
              <w:pStyle w:val="Tabletext"/>
              <w:jc w:val="center"/>
              <w:rPr>
                <w:b/>
                <w:sz w:val="18"/>
                <w:szCs w:val="18"/>
                <w:lang w:val="fr-FR" w:eastAsia="ja-JP"/>
              </w:rPr>
            </w:pPr>
            <w:r w:rsidRPr="00075DC8">
              <w:rPr>
                <w:b/>
                <w:sz w:val="18"/>
                <w:szCs w:val="18"/>
                <w:lang w:val="fr-FR" w:eastAsia="ja-JP"/>
              </w:rPr>
              <w:t>−</w:t>
            </w:r>
            <w:r w:rsidR="00725E50" w:rsidRPr="00075DC8">
              <w:rPr>
                <w:sz w:val="18"/>
                <w:szCs w:val="18"/>
                <w:lang w:val="fr-FR" w:eastAsia="ja-JP"/>
              </w:rPr>
              <w:t>136</w:t>
            </w:r>
          </w:p>
        </w:tc>
        <w:tc>
          <w:tcPr>
            <w:tcW w:w="1917" w:type="dxa"/>
            <w:shd w:val="clear" w:color="auto" w:fill="auto"/>
          </w:tcPr>
          <w:p w14:paraId="0318BE65" w14:textId="55D0A1FD"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136</w:t>
            </w:r>
          </w:p>
        </w:tc>
        <w:tc>
          <w:tcPr>
            <w:tcW w:w="1677" w:type="dxa"/>
            <w:shd w:val="clear" w:color="auto" w:fill="auto"/>
          </w:tcPr>
          <w:p w14:paraId="674CECCD" w14:textId="341DB302"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135</w:t>
            </w:r>
          </w:p>
        </w:tc>
        <w:tc>
          <w:tcPr>
            <w:tcW w:w="1677" w:type="dxa"/>
            <w:shd w:val="clear" w:color="auto" w:fill="auto"/>
          </w:tcPr>
          <w:p w14:paraId="0D255297" w14:textId="78D2A04F"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136</w:t>
            </w:r>
          </w:p>
        </w:tc>
        <w:tc>
          <w:tcPr>
            <w:tcW w:w="1725" w:type="dxa"/>
            <w:shd w:val="clear" w:color="auto" w:fill="auto"/>
          </w:tcPr>
          <w:p w14:paraId="6BDE145D" w14:textId="06399F3D"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134</w:t>
            </w:r>
          </w:p>
        </w:tc>
        <w:tc>
          <w:tcPr>
            <w:tcW w:w="1726" w:type="dxa"/>
            <w:shd w:val="clear" w:color="auto" w:fill="auto"/>
          </w:tcPr>
          <w:p w14:paraId="41C025C0" w14:textId="5F8FF614"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136</w:t>
            </w:r>
          </w:p>
        </w:tc>
      </w:tr>
      <w:tr w:rsidR="00725E50" w:rsidRPr="00075DC8" w14:paraId="023E11A0" w14:textId="77777777" w:rsidTr="006D6AB2">
        <w:trPr>
          <w:jc w:val="center"/>
        </w:trPr>
        <w:tc>
          <w:tcPr>
            <w:tcW w:w="3826" w:type="dxa"/>
            <w:shd w:val="clear" w:color="auto" w:fill="auto"/>
            <w:tcMar>
              <w:left w:w="57" w:type="dxa"/>
              <w:right w:w="57" w:type="dxa"/>
            </w:tcMar>
          </w:tcPr>
          <w:p w14:paraId="3EA2702A" w14:textId="61B01420" w:rsidR="00725E50" w:rsidRPr="00075DC8" w:rsidRDefault="00725E50" w:rsidP="006D6AB2">
            <w:pPr>
              <w:pStyle w:val="Tabletext"/>
              <w:jc w:val="left"/>
              <w:rPr>
                <w:sz w:val="18"/>
                <w:szCs w:val="18"/>
                <w:lang w:val="fr-FR"/>
              </w:rPr>
            </w:pPr>
            <w:r w:rsidRPr="00075DC8">
              <w:rPr>
                <w:sz w:val="18"/>
                <w:szCs w:val="18"/>
                <w:lang w:val="fr-FR" w:eastAsia="ja-JP"/>
              </w:rPr>
              <w:t>Niveau normalisé à l</w:t>
            </w:r>
            <w:r w:rsidR="001F6A0D" w:rsidRPr="00075DC8">
              <w:rPr>
                <w:sz w:val="18"/>
                <w:szCs w:val="18"/>
                <w:lang w:val="fr-FR" w:eastAsia="ja-JP"/>
              </w:rPr>
              <w:t>'</w:t>
            </w:r>
            <w:r w:rsidRPr="00075DC8">
              <w:rPr>
                <w:sz w:val="18"/>
                <w:szCs w:val="18"/>
                <w:lang w:val="fr-FR" w:eastAsia="ja-JP"/>
              </w:rPr>
              <w:t xml:space="preserve">entrée du récepteur pour un taux BER </w:t>
            </w:r>
            <w:r w:rsidRPr="00075DC8">
              <w:rPr>
                <w:sz w:val="18"/>
                <w:szCs w:val="18"/>
                <w:lang w:val="fr-FR"/>
              </w:rPr>
              <w:t>de 1 × 10</w:t>
            </w:r>
            <w:r w:rsidR="003567D8" w:rsidRPr="00075DC8">
              <w:rPr>
                <w:sz w:val="18"/>
                <w:szCs w:val="18"/>
                <w:vertAlign w:val="superscript"/>
                <w:lang w:val="fr-FR"/>
              </w:rPr>
              <w:t>−</w:t>
            </w:r>
            <w:r w:rsidRPr="00075DC8">
              <w:rPr>
                <w:sz w:val="18"/>
                <w:szCs w:val="18"/>
                <w:vertAlign w:val="superscript"/>
                <w:lang w:val="fr-FR"/>
              </w:rPr>
              <w:t>6</w:t>
            </w:r>
            <w:r w:rsidRPr="00075DC8">
              <w:rPr>
                <w:sz w:val="18"/>
                <w:szCs w:val="18"/>
                <w:lang w:val="fr-FR"/>
              </w:rPr>
              <w:t xml:space="preserve"> (dBW/MHz)</w:t>
            </w:r>
          </w:p>
        </w:tc>
        <w:tc>
          <w:tcPr>
            <w:tcW w:w="1916" w:type="dxa"/>
            <w:shd w:val="clear" w:color="auto" w:fill="auto"/>
          </w:tcPr>
          <w:p w14:paraId="78B5CAE7" w14:textId="279C5D2F" w:rsidR="00725E50" w:rsidRPr="00075DC8" w:rsidRDefault="003567D8" w:rsidP="00ED4837">
            <w:pPr>
              <w:pStyle w:val="Tabletext"/>
              <w:jc w:val="center"/>
              <w:rPr>
                <w:b/>
                <w:sz w:val="18"/>
                <w:szCs w:val="18"/>
                <w:lang w:val="fr-FR" w:eastAsia="ja-JP"/>
              </w:rPr>
            </w:pPr>
            <w:r w:rsidRPr="00075DC8">
              <w:rPr>
                <w:b/>
                <w:sz w:val="18"/>
                <w:szCs w:val="18"/>
                <w:lang w:val="fr-FR" w:eastAsia="ja-JP"/>
              </w:rPr>
              <w:t>−</w:t>
            </w:r>
            <w:r w:rsidR="00725E50" w:rsidRPr="00075DC8">
              <w:rPr>
                <w:sz w:val="18"/>
                <w:szCs w:val="18"/>
                <w:lang w:val="fr-FR" w:eastAsia="ja-JP"/>
              </w:rPr>
              <w:t>122,5</w:t>
            </w:r>
          </w:p>
        </w:tc>
        <w:tc>
          <w:tcPr>
            <w:tcW w:w="1917" w:type="dxa"/>
            <w:shd w:val="clear" w:color="auto" w:fill="auto"/>
          </w:tcPr>
          <w:p w14:paraId="71360357" w14:textId="179804F0"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109,5</w:t>
            </w:r>
          </w:p>
        </w:tc>
        <w:tc>
          <w:tcPr>
            <w:tcW w:w="1677" w:type="dxa"/>
            <w:shd w:val="clear" w:color="auto" w:fill="auto"/>
          </w:tcPr>
          <w:p w14:paraId="402B1186" w14:textId="1000DB82"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124,5</w:t>
            </w:r>
          </w:p>
        </w:tc>
        <w:tc>
          <w:tcPr>
            <w:tcW w:w="1677" w:type="dxa"/>
            <w:shd w:val="clear" w:color="auto" w:fill="auto"/>
          </w:tcPr>
          <w:p w14:paraId="4F4C1154" w14:textId="5318DECC"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109,5</w:t>
            </w:r>
          </w:p>
        </w:tc>
        <w:tc>
          <w:tcPr>
            <w:tcW w:w="1725" w:type="dxa"/>
            <w:shd w:val="clear" w:color="auto" w:fill="auto"/>
          </w:tcPr>
          <w:p w14:paraId="3441A094" w14:textId="5D05E9F4"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120,5</w:t>
            </w:r>
          </w:p>
        </w:tc>
        <w:tc>
          <w:tcPr>
            <w:tcW w:w="1726" w:type="dxa"/>
            <w:shd w:val="clear" w:color="auto" w:fill="auto"/>
          </w:tcPr>
          <w:p w14:paraId="54BA182B" w14:textId="39742835"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94…</w:t>
            </w:r>
            <w:r w:rsidRPr="00075DC8">
              <w:rPr>
                <w:sz w:val="18"/>
                <w:szCs w:val="18"/>
                <w:lang w:val="fr-FR" w:eastAsia="ja-JP"/>
              </w:rPr>
              <w:t>−</w:t>
            </w:r>
            <w:r w:rsidR="00725E50" w:rsidRPr="00075DC8">
              <w:rPr>
                <w:sz w:val="18"/>
                <w:szCs w:val="18"/>
                <w:lang w:val="fr-FR" w:eastAsia="ja-JP"/>
              </w:rPr>
              <w:t>91</w:t>
            </w:r>
          </w:p>
        </w:tc>
      </w:tr>
      <w:tr w:rsidR="00725E50" w:rsidRPr="00075DC8" w14:paraId="773745A5" w14:textId="77777777" w:rsidTr="006D6AB2">
        <w:trPr>
          <w:jc w:val="center"/>
        </w:trPr>
        <w:tc>
          <w:tcPr>
            <w:tcW w:w="3826" w:type="dxa"/>
            <w:tcBorders>
              <w:bottom w:val="single" w:sz="4" w:space="0" w:color="auto"/>
            </w:tcBorders>
            <w:shd w:val="clear" w:color="auto" w:fill="auto"/>
            <w:tcMar>
              <w:left w:w="57" w:type="dxa"/>
              <w:right w:w="57" w:type="dxa"/>
            </w:tcMar>
          </w:tcPr>
          <w:p w14:paraId="2236DF19" w14:textId="77777777" w:rsidR="00725E50" w:rsidRPr="00075DC8" w:rsidRDefault="00725E50" w:rsidP="006D6AB2">
            <w:pPr>
              <w:pStyle w:val="Tabletext"/>
              <w:jc w:val="left"/>
              <w:rPr>
                <w:sz w:val="18"/>
                <w:szCs w:val="18"/>
                <w:lang w:val="fr-FR" w:eastAsia="ja-JP"/>
              </w:rPr>
            </w:pPr>
            <w:r w:rsidRPr="00075DC8">
              <w:rPr>
                <w:sz w:val="18"/>
                <w:szCs w:val="18"/>
                <w:lang w:val="fr-FR" w:eastAsia="ja-JP"/>
              </w:rPr>
              <w:t xml:space="preserve">Densité nominale de puissance de brouillage de longue durée </w:t>
            </w:r>
            <w:r w:rsidRPr="00075DC8">
              <w:rPr>
                <w:sz w:val="18"/>
                <w:szCs w:val="18"/>
                <w:lang w:val="fr-FR"/>
              </w:rPr>
              <w:t>(dBW/MHz)</w:t>
            </w:r>
            <w:r w:rsidRPr="00075DC8">
              <w:rPr>
                <w:sz w:val="18"/>
                <w:szCs w:val="18"/>
                <w:vertAlign w:val="superscript"/>
                <w:lang w:val="fr-FR" w:eastAsia="ja-JP"/>
              </w:rPr>
              <w:t>(2)</w:t>
            </w:r>
          </w:p>
        </w:tc>
        <w:tc>
          <w:tcPr>
            <w:tcW w:w="1916" w:type="dxa"/>
            <w:tcBorders>
              <w:bottom w:val="single" w:sz="4" w:space="0" w:color="auto"/>
            </w:tcBorders>
            <w:shd w:val="clear" w:color="auto" w:fill="auto"/>
          </w:tcPr>
          <w:p w14:paraId="2E198FDD" w14:textId="0CB9027B" w:rsidR="00725E50" w:rsidRPr="00075DC8" w:rsidRDefault="003567D8" w:rsidP="00ED4837">
            <w:pPr>
              <w:pStyle w:val="Tabletext"/>
              <w:jc w:val="center"/>
              <w:rPr>
                <w:b/>
                <w:sz w:val="18"/>
                <w:szCs w:val="18"/>
                <w:lang w:val="fr-FR" w:eastAsia="ja-JP"/>
              </w:rPr>
            </w:pPr>
            <w:r w:rsidRPr="00075DC8">
              <w:rPr>
                <w:b/>
                <w:sz w:val="18"/>
                <w:szCs w:val="18"/>
                <w:lang w:val="fr-FR" w:eastAsia="ja-JP"/>
              </w:rPr>
              <w:t>−</w:t>
            </w:r>
            <w:r w:rsidR="00725E50" w:rsidRPr="00075DC8">
              <w:rPr>
                <w:sz w:val="18"/>
                <w:szCs w:val="18"/>
                <w:lang w:val="fr-FR" w:eastAsia="ja-JP"/>
              </w:rPr>
              <w:t xml:space="preserve">136 + </w:t>
            </w:r>
            <w:r w:rsidR="00725E50" w:rsidRPr="00075DC8">
              <w:rPr>
                <w:i/>
                <w:iCs/>
                <w:sz w:val="18"/>
                <w:szCs w:val="18"/>
                <w:lang w:val="fr-FR" w:eastAsia="ja-JP"/>
              </w:rPr>
              <w:t>I</w:t>
            </w:r>
            <w:r w:rsidR="00725E50" w:rsidRPr="00075DC8">
              <w:rPr>
                <w:sz w:val="18"/>
                <w:szCs w:val="18"/>
                <w:lang w:val="fr-FR" w:eastAsia="ja-JP"/>
              </w:rPr>
              <w:t>/</w:t>
            </w:r>
            <w:r w:rsidR="00725E50" w:rsidRPr="00075DC8">
              <w:rPr>
                <w:i/>
                <w:iCs/>
                <w:sz w:val="18"/>
                <w:szCs w:val="18"/>
                <w:lang w:val="fr-FR" w:eastAsia="ja-JP"/>
              </w:rPr>
              <w:t>N</w:t>
            </w:r>
          </w:p>
        </w:tc>
        <w:tc>
          <w:tcPr>
            <w:tcW w:w="1917" w:type="dxa"/>
            <w:tcBorders>
              <w:bottom w:val="single" w:sz="4" w:space="0" w:color="auto"/>
            </w:tcBorders>
            <w:shd w:val="clear" w:color="auto" w:fill="auto"/>
          </w:tcPr>
          <w:p w14:paraId="25B0CA3C" w14:textId="260E23DD"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 xml:space="preserve">136 + </w:t>
            </w:r>
            <w:r w:rsidR="00725E50" w:rsidRPr="00075DC8">
              <w:rPr>
                <w:i/>
                <w:iCs/>
                <w:sz w:val="18"/>
                <w:szCs w:val="18"/>
                <w:lang w:val="fr-FR" w:eastAsia="ja-JP"/>
              </w:rPr>
              <w:t>I</w:t>
            </w:r>
            <w:r w:rsidR="00725E50" w:rsidRPr="00075DC8">
              <w:rPr>
                <w:sz w:val="18"/>
                <w:szCs w:val="18"/>
                <w:lang w:val="fr-FR" w:eastAsia="ja-JP"/>
              </w:rPr>
              <w:t>/</w:t>
            </w:r>
            <w:r w:rsidR="00725E50" w:rsidRPr="00075DC8">
              <w:rPr>
                <w:i/>
                <w:iCs/>
                <w:sz w:val="18"/>
                <w:szCs w:val="18"/>
                <w:lang w:val="fr-FR" w:eastAsia="ja-JP"/>
              </w:rPr>
              <w:t>N</w:t>
            </w:r>
          </w:p>
        </w:tc>
        <w:tc>
          <w:tcPr>
            <w:tcW w:w="1677" w:type="dxa"/>
            <w:tcBorders>
              <w:bottom w:val="single" w:sz="4" w:space="0" w:color="auto"/>
            </w:tcBorders>
            <w:shd w:val="clear" w:color="auto" w:fill="auto"/>
          </w:tcPr>
          <w:p w14:paraId="0A4B1513" w14:textId="3329731B"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 xml:space="preserve">135 + </w:t>
            </w:r>
            <w:r w:rsidR="00725E50" w:rsidRPr="00075DC8">
              <w:rPr>
                <w:i/>
                <w:iCs/>
                <w:sz w:val="18"/>
                <w:szCs w:val="18"/>
                <w:lang w:val="fr-FR" w:eastAsia="ja-JP"/>
              </w:rPr>
              <w:t>I</w:t>
            </w:r>
            <w:r w:rsidR="00725E50" w:rsidRPr="00075DC8">
              <w:rPr>
                <w:sz w:val="18"/>
                <w:szCs w:val="18"/>
                <w:lang w:val="fr-FR" w:eastAsia="ja-JP"/>
              </w:rPr>
              <w:t>/</w:t>
            </w:r>
            <w:r w:rsidR="00725E50" w:rsidRPr="00075DC8">
              <w:rPr>
                <w:i/>
                <w:iCs/>
                <w:sz w:val="18"/>
                <w:szCs w:val="18"/>
                <w:lang w:val="fr-FR" w:eastAsia="ja-JP"/>
              </w:rPr>
              <w:t>N</w:t>
            </w:r>
          </w:p>
        </w:tc>
        <w:tc>
          <w:tcPr>
            <w:tcW w:w="1677" w:type="dxa"/>
            <w:tcBorders>
              <w:bottom w:val="single" w:sz="4" w:space="0" w:color="auto"/>
            </w:tcBorders>
            <w:shd w:val="clear" w:color="auto" w:fill="auto"/>
          </w:tcPr>
          <w:p w14:paraId="7D7432FF" w14:textId="0240CA6F" w:rsidR="00725E50" w:rsidRPr="00075DC8" w:rsidRDefault="003567D8" w:rsidP="00ED4837">
            <w:pPr>
              <w:pStyle w:val="Tabletext"/>
              <w:jc w:val="center"/>
              <w:rPr>
                <w:sz w:val="18"/>
                <w:szCs w:val="18"/>
                <w:lang w:val="fr-FR" w:eastAsia="ja-JP"/>
              </w:rPr>
            </w:pPr>
            <w:r w:rsidRPr="00075DC8">
              <w:rPr>
                <w:sz w:val="18"/>
                <w:szCs w:val="18"/>
                <w:lang w:val="fr-FR" w:eastAsia="ja-JP"/>
              </w:rPr>
              <w:t>−</w:t>
            </w:r>
            <w:r w:rsidR="00725E50" w:rsidRPr="00075DC8">
              <w:rPr>
                <w:sz w:val="18"/>
                <w:szCs w:val="18"/>
                <w:lang w:val="fr-FR" w:eastAsia="ja-JP"/>
              </w:rPr>
              <w:t xml:space="preserve">136 + </w:t>
            </w:r>
            <w:r w:rsidR="00725E50" w:rsidRPr="00075DC8">
              <w:rPr>
                <w:i/>
                <w:iCs/>
                <w:sz w:val="18"/>
                <w:szCs w:val="18"/>
                <w:lang w:val="fr-FR" w:eastAsia="ja-JP"/>
              </w:rPr>
              <w:t>I</w:t>
            </w:r>
            <w:r w:rsidR="00725E50" w:rsidRPr="00075DC8">
              <w:rPr>
                <w:sz w:val="18"/>
                <w:szCs w:val="18"/>
                <w:lang w:val="fr-FR" w:eastAsia="ja-JP"/>
              </w:rPr>
              <w:t>/</w:t>
            </w:r>
            <w:r w:rsidR="00725E50" w:rsidRPr="00075DC8">
              <w:rPr>
                <w:i/>
                <w:iCs/>
                <w:sz w:val="18"/>
                <w:szCs w:val="18"/>
                <w:lang w:val="fr-FR" w:eastAsia="ja-JP"/>
              </w:rPr>
              <w:t>N</w:t>
            </w:r>
          </w:p>
        </w:tc>
        <w:tc>
          <w:tcPr>
            <w:tcW w:w="1725" w:type="dxa"/>
            <w:tcBorders>
              <w:bottom w:val="single" w:sz="4" w:space="0" w:color="auto"/>
            </w:tcBorders>
            <w:shd w:val="clear" w:color="auto" w:fill="auto"/>
          </w:tcPr>
          <w:p w14:paraId="6DD54A35" w14:textId="15A111D0" w:rsidR="00725E50" w:rsidRPr="00075DC8" w:rsidRDefault="003567D8" w:rsidP="00ED4837">
            <w:pPr>
              <w:pStyle w:val="Tabletext"/>
              <w:jc w:val="center"/>
              <w:rPr>
                <w:i/>
                <w:iCs/>
                <w:sz w:val="18"/>
                <w:szCs w:val="18"/>
                <w:lang w:val="fr-FR"/>
              </w:rPr>
            </w:pPr>
            <w:r w:rsidRPr="00075DC8">
              <w:rPr>
                <w:sz w:val="18"/>
                <w:szCs w:val="18"/>
                <w:lang w:val="fr-FR" w:eastAsia="ja-JP"/>
              </w:rPr>
              <w:t>−</w:t>
            </w:r>
            <w:r w:rsidR="00725E50" w:rsidRPr="00075DC8">
              <w:rPr>
                <w:sz w:val="18"/>
                <w:szCs w:val="18"/>
                <w:lang w:val="fr-FR" w:eastAsia="ja-JP"/>
              </w:rPr>
              <w:t xml:space="preserve">134 </w:t>
            </w:r>
            <w:r w:rsidR="00725E50" w:rsidRPr="00075DC8">
              <w:rPr>
                <w:sz w:val="18"/>
                <w:szCs w:val="18"/>
                <w:lang w:val="fr-FR"/>
              </w:rPr>
              <w:t xml:space="preserve">+ </w:t>
            </w:r>
            <w:r w:rsidR="00725E50" w:rsidRPr="00075DC8">
              <w:rPr>
                <w:i/>
                <w:sz w:val="18"/>
                <w:szCs w:val="18"/>
                <w:lang w:val="fr-FR"/>
              </w:rPr>
              <w:t>I/N</w:t>
            </w:r>
          </w:p>
        </w:tc>
        <w:tc>
          <w:tcPr>
            <w:tcW w:w="1726" w:type="dxa"/>
            <w:tcBorders>
              <w:bottom w:val="single" w:sz="4" w:space="0" w:color="auto"/>
            </w:tcBorders>
            <w:shd w:val="clear" w:color="auto" w:fill="auto"/>
          </w:tcPr>
          <w:p w14:paraId="2A8CD0E9" w14:textId="6F4A73DA" w:rsidR="00725E50" w:rsidRPr="00075DC8" w:rsidRDefault="003567D8" w:rsidP="00ED4837">
            <w:pPr>
              <w:pStyle w:val="Tabletext"/>
              <w:jc w:val="center"/>
              <w:rPr>
                <w:i/>
                <w:iCs/>
                <w:sz w:val="18"/>
                <w:szCs w:val="18"/>
                <w:lang w:val="fr-FR"/>
              </w:rPr>
            </w:pPr>
            <w:r w:rsidRPr="00075DC8">
              <w:rPr>
                <w:sz w:val="18"/>
                <w:szCs w:val="18"/>
                <w:lang w:val="fr-FR" w:eastAsia="ja-JP"/>
              </w:rPr>
              <w:t>−</w:t>
            </w:r>
            <w:r w:rsidR="00725E50" w:rsidRPr="00075DC8">
              <w:rPr>
                <w:sz w:val="18"/>
                <w:szCs w:val="18"/>
                <w:lang w:val="fr-FR" w:eastAsia="ja-JP"/>
              </w:rPr>
              <w:t xml:space="preserve">136 </w:t>
            </w:r>
            <w:r w:rsidR="00725E50" w:rsidRPr="00075DC8">
              <w:rPr>
                <w:sz w:val="18"/>
                <w:szCs w:val="18"/>
                <w:lang w:val="fr-FR"/>
              </w:rPr>
              <w:t xml:space="preserve">+ </w:t>
            </w:r>
            <w:r w:rsidR="00725E50" w:rsidRPr="00075DC8">
              <w:rPr>
                <w:i/>
                <w:sz w:val="18"/>
                <w:szCs w:val="18"/>
                <w:lang w:val="fr-FR"/>
              </w:rPr>
              <w:t>I</w:t>
            </w:r>
            <w:r w:rsidR="00725E50" w:rsidRPr="00075DC8">
              <w:rPr>
                <w:sz w:val="18"/>
                <w:szCs w:val="18"/>
                <w:lang w:val="fr-FR"/>
              </w:rPr>
              <w:t>/</w:t>
            </w:r>
            <w:r w:rsidR="00725E50" w:rsidRPr="00075DC8">
              <w:rPr>
                <w:i/>
                <w:sz w:val="18"/>
                <w:szCs w:val="18"/>
                <w:lang w:val="fr-FR"/>
              </w:rPr>
              <w:t>N</w:t>
            </w:r>
          </w:p>
        </w:tc>
      </w:tr>
      <w:tr w:rsidR="00725E50" w:rsidRPr="00075DC8" w14:paraId="04979906" w14:textId="77777777" w:rsidTr="00CE5F84">
        <w:trPr>
          <w:jc w:val="center"/>
        </w:trPr>
        <w:tc>
          <w:tcPr>
            <w:tcW w:w="14464" w:type="dxa"/>
            <w:gridSpan w:val="7"/>
            <w:tcBorders>
              <w:left w:val="nil"/>
              <w:bottom w:val="nil"/>
              <w:right w:val="nil"/>
            </w:tcBorders>
            <w:shd w:val="clear" w:color="auto" w:fill="auto"/>
            <w:tcMar>
              <w:left w:w="57" w:type="dxa"/>
              <w:right w:w="57" w:type="dxa"/>
            </w:tcMar>
            <w:vAlign w:val="center"/>
          </w:tcPr>
          <w:p w14:paraId="1E77C454" w14:textId="6648C376" w:rsidR="00725E50" w:rsidRPr="00075DC8" w:rsidRDefault="00725E50" w:rsidP="00BF0854">
            <w:pPr>
              <w:pStyle w:val="Tabletext"/>
              <w:ind w:left="284" w:hanging="284"/>
              <w:rPr>
                <w:rFonts w:asciiTheme="majorBidi" w:hAnsiTheme="majorBidi" w:cstheme="majorBidi"/>
                <w:sz w:val="18"/>
                <w:szCs w:val="18"/>
                <w:lang w:val="fr-FR"/>
              </w:rPr>
            </w:pPr>
            <w:r w:rsidRPr="00075DC8">
              <w:rPr>
                <w:sz w:val="18"/>
                <w:szCs w:val="18"/>
                <w:vertAlign w:val="superscript"/>
                <w:lang w:val="fr-FR"/>
              </w:rPr>
              <w:t>(1)</w:t>
            </w:r>
            <w:r w:rsidRPr="00075DC8">
              <w:rPr>
                <w:sz w:val="18"/>
                <w:szCs w:val="18"/>
                <w:lang w:val="fr-FR"/>
              </w:rPr>
              <w:tab/>
              <w:t>Pour calculer les valeurs des densités de puissance au niveau de l</w:t>
            </w:r>
            <w:r w:rsidR="001F6A0D" w:rsidRPr="00075DC8">
              <w:rPr>
                <w:sz w:val="18"/>
                <w:szCs w:val="18"/>
                <w:lang w:val="fr-FR"/>
              </w:rPr>
              <w:t>'</w:t>
            </w:r>
            <w:r w:rsidRPr="00075DC8">
              <w:rPr>
                <w:sz w:val="18"/>
                <w:szCs w:val="18"/>
                <w:lang w:val="fr-FR"/>
              </w:rPr>
              <w:t>émetteur ou des densités de p.i.r.e., il est nécessaire de définir l</w:t>
            </w:r>
            <w:r w:rsidR="001F6A0D" w:rsidRPr="00075DC8">
              <w:rPr>
                <w:sz w:val="18"/>
                <w:szCs w:val="18"/>
                <w:lang w:val="fr-FR"/>
              </w:rPr>
              <w:t>'</w:t>
            </w:r>
            <w:r w:rsidRPr="00075DC8">
              <w:rPr>
                <w:sz w:val="18"/>
                <w:szCs w:val="18"/>
                <w:lang w:val="fr-FR"/>
              </w:rPr>
              <w:t>espacement des canaux/la largeur de bande. Dans ces tableaux, l</w:t>
            </w:r>
            <w:r w:rsidR="001F6A0D" w:rsidRPr="00075DC8">
              <w:rPr>
                <w:sz w:val="18"/>
                <w:szCs w:val="18"/>
                <w:lang w:val="fr-FR"/>
              </w:rPr>
              <w:t>'</w:t>
            </w:r>
            <w:r w:rsidRPr="00075DC8">
              <w:rPr>
                <w:sz w:val="18"/>
                <w:szCs w:val="18"/>
                <w:lang w:val="fr-FR"/>
              </w:rPr>
              <w:t xml:space="preserve">espacement des canaux est indiqué en </w:t>
            </w:r>
            <w:r w:rsidRPr="00075DC8">
              <w:rPr>
                <w:b/>
                <w:bCs/>
                <w:sz w:val="18"/>
                <w:szCs w:val="18"/>
                <w:lang w:val="fr-FR"/>
              </w:rPr>
              <w:t>caractères gras</w:t>
            </w:r>
            <w:r w:rsidRPr="00075DC8">
              <w:rPr>
                <w:sz w:val="18"/>
                <w:szCs w:val="18"/>
                <w:lang w:val="fr-FR"/>
              </w:rPr>
              <w:t>. Lorsqu</w:t>
            </w:r>
            <w:r w:rsidR="001F6A0D" w:rsidRPr="00075DC8">
              <w:rPr>
                <w:sz w:val="18"/>
                <w:szCs w:val="18"/>
                <w:lang w:val="fr-FR"/>
              </w:rPr>
              <w:t>'</w:t>
            </w:r>
            <w:r w:rsidRPr="00075DC8">
              <w:rPr>
                <w:sz w:val="18"/>
                <w:szCs w:val="18"/>
                <w:lang w:val="fr-FR"/>
              </w:rPr>
              <w:t>une valeur modale (mode) est fournie, elle doit être considérée à titre indicatif dans la plage spécifiée et</w:t>
            </w:r>
            <w:r w:rsidRPr="00075DC8">
              <w:rPr>
                <w:sz w:val="18"/>
                <w:szCs w:val="18"/>
                <w:lang w:val="fr-FR" w:eastAsia="ja-JP"/>
              </w:rPr>
              <w:t>, par la suite, il pourra être nécessaire d</w:t>
            </w:r>
            <w:r w:rsidR="001F6A0D" w:rsidRPr="00075DC8">
              <w:rPr>
                <w:sz w:val="18"/>
                <w:szCs w:val="18"/>
                <w:lang w:val="fr-FR" w:eastAsia="ja-JP"/>
              </w:rPr>
              <w:t>'</w:t>
            </w:r>
            <w:r w:rsidRPr="00075DC8">
              <w:rPr>
                <w:sz w:val="18"/>
                <w:szCs w:val="18"/>
                <w:lang w:val="fr-FR" w:eastAsia="ja-JP"/>
              </w:rPr>
              <w:t>effectuer</w:t>
            </w:r>
            <w:r w:rsidRPr="00075DC8">
              <w:rPr>
                <w:sz w:val="18"/>
                <w:szCs w:val="18"/>
                <w:lang w:val="fr-FR"/>
              </w:rPr>
              <w:t xml:space="preserve"> une analyse de la sensibilité, selon le cas, pour évaluer un potentiel de brouillage donné dû aux variations dans la plage spécifiée.</w:t>
            </w:r>
          </w:p>
          <w:p w14:paraId="73B387E1" w14:textId="01A9C78C" w:rsidR="00725E50" w:rsidRPr="00075DC8" w:rsidRDefault="00725E50" w:rsidP="00BF0854">
            <w:pPr>
              <w:pStyle w:val="Tabletext"/>
              <w:ind w:left="284" w:hanging="284"/>
              <w:rPr>
                <w:rFonts w:asciiTheme="majorBidi" w:hAnsiTheme="majorBidi" w:cstheme="majorBidi"/>
                <w:sz w:val="18"/>
                <w:szCs w:val="18"/>
                <w:lang w:val="fr-FR"/>
              </w:rPr>
            </w:pPr>
            <w:r w:rsidRPr="00075DC8">
              <w:rPr>
                <w:sz w:val="18"/>
                <w:szCs w:val="18"/>
                <w:vertAlign w:val="superscript"/>
                <w:lang w:val="fr-FR"/>
              </w:rPr>
              <w:t>(2)</w:t>
            </w:r>
            <w:r w:rsidRPr="00075DC8">
              <w:rPr>
                <w:sz w:val="18"/>
                <w:szCs w:val="18"/>
                <w:lang w:val="fr-FR"/>
              </w:rPr>
              <w:tab/>
              <w:t>La densité nominale de puissance de brouillage de longue durée est définie par la «densité de puissance de bruit du récepteur + (</w:t>
            </w:r>
            <w:r w:rsidRPr="00075DC8">
              <w:rPr>
                <w:i/>
                <w:iCs/>
                <w:sz w:val="18"/>
                <w:szCs w:val="18"/>
                <w:lang w:val="fr-FR"/>
              </w:rPr>
              <w:t>I</w:t>
            </w:r>
            <w:r w:rsidRPr="00075DC8">
              <w:rPr>
                <w:sz w:val="18"/>
                <w:szCs w:val="18"/>
                <w:lang w:val="fr-FR"/>
              </w:rPr>
              <w:t>/</w:t>
            </w:r>
            <w:r w:rsidRPr="00075DC8">
              <w:rPr>
                <w:i/>
                <w:iCs/>
                <w:sz w:val="18"/>
                <w:szCs w:val="18"/>
                <w:lang w:val="fr-FR"/>
              </w:rPr>
              <w:t>N</w:t>
            </w:r>
            <w:r w:rsidRPr="00075DC8">
              <w:rPr>
                <w:sz w:val="18"/>
                <w:szCs w:val="18"/>
                <w:lang w:val="fr-FR"/>
              </w:rPr>
              <w:t xml:space="preserve"> requis)» comme décrit au </w:t>
            </w:r>
            <w:r w:rsidR="008B1840" w:rsidRPr="00075DC8">
              <w:rPr>
                <w:sz w:val="18"/>
                <w:szCs w:val="18"/>
                <w:lang w:val="fr-FR"/>
              </w:rPr>
              <w:t>§ </w:t>
            </w:r>
            <w:r w:rsidRPr="00075DC8">
              <w:rPr>
                <w:sz w:val="18"/>
                <w:szCs w:val="18"/>
                <w:lang w:val="fr-FR"/>
              </w:rPr>
              <w:t>4.13 de l</w:t>
            </w:r>
            <w:r w:rsidR="001F6A0D" w:rsidRPr="00075DC8">
              <w:rPr>
                <w:sz w:val="18"/>
                <w:szCs w:val="18"/>
                <w:lang w:val="fr-FR"/>
              </w:rPr>
              <w:t>'</w:t>
            </w:r>
            <w:r w:rsidRPr="00075DC8">
              <w:rPr>
                <w:sz w:val="18"/>
                <w:szCs w:val="18"/>
                <w:lang w:val="fr-FR"/>
              </w:rPr>
              <w:t xml:space="preserve">Annexe 2 (voir aussi le </w:t>
            </w:r>
            <w:r w:rsidR="008B1840" w:rsidRPr="00075DC8">
              <w:rPr>
                <w:sz w:val="18"/>
                <w:szCs w:val="18"/>
                <w:lang w:val="fr-FR"/>
              </w:rPr>
              <w:t>§ </w:t>
            </w:r>
            <w:r w:rsidRPr="00075DC8">
              <w:rPr>
                <w:sz w:val="18"/>
                <w:szCs w:val="18"/>
                <w:lang w:val="fr-FR"/>
              </w:rPr>
              <w:t>4.1 de l</w:t>
            </w:r>
            <w:r w:rsidR="001F6A0D" w:rsidRPr="00075DC8">
              <w:rPr>
                <w:sz w:val="18"/>
                <w:szCs w:val="18"/>
                <w:lang w:val="fr-FR"/>
              </w:rPr>
              <w:t>'</w:t>
            </w:r>
            <w:r w:rsidRPr="00075DC8">
              <w:rPr>
                <w:sz w:val="18"/>
                <w:szCs w:val="18"/>
                <w:lang w:val="fr-FR"/>
              </w:rPr>
              <w:t>Annexe 1).</w:t>
            </w:r>
          </w:p>
          <w:p w14:paraId="4970B9E0" w14:textId="6E0E52DF" w:rsidR="00725E50" w:rsidRPr="00075DC8" w:rsidRDefault="00725E50" w:rsidP="00BF0854">
            <w:pPr>
              <w:pStyle w:val="Tabletext"/>
              <w:rPr>
                <w:sz w:val="18"/>
                <w:szCs w:val="18"/>
                <w:lang w:val="fr-FR"/>
              </w:rPr>
            </w:pPr>
            <w:r w:rsidRPr="00075DC8">
              <w:rPr>
                <w:sz w:val="18"/>
                <w:szCs w:val="18"/>
                <w:vertAlign w:val="superscript"/>
                <w:lang w:val="fr-FR" w:eastAsia="zh-CN"/>
              </w:rPr>
              <w:t>(3)</w:t>
            </w:r>
            <w:r w:rsidRPr="00075DC8">
              <w:rPr>
                <w:sz w:val="18"/>
                <w:szCs w:val="18"/>
                <w:lang w:val="fr-FR" w:eastAsia="zh-CN"/>
              </w:rPr>
              <w:tab/>
            </w:r>
            <w:r w:rsidRPr="00075DC8">
              <w:rPr>
                <w:sz w:val="18"/>
                <w:szCs w:val="18"/>
                <w:lang w:val="fr-FR"/>
              </w:rPr>
              <w:t>Cette valeur d</w:t>
            </w:r>
            <w:r w:rsidR="001F6A0D" w:rsidRPr="00075DC8">
              <w:rPr>
                <w:sz w:val="18"/>
                <w:szCs w:val="18"/>
                <w:lang w:val="fr-FR"/>
              </w:rPr>
              <w:t>'</w:t>
            </w:r>
            <w:r w:rsidRPr="00075DC8">
              <w:rPr>
                <w:sz w:val="18"/>
                <w:szCs w:val="18"/>
                <w:lang w:val="fr-FR"/>
              </w:rPr>
              <w:t>espacement des canaux n</w:t>
            </w:r>
            <w:r w:rsidR="001F6A0D" w:rsidRPr="00075DC8">
              <w:rPr>
                <w:sz w:val="18"/>
                <w:szCs w:val="18"/>
                <w:lang w:val="fr-FR"/>
              </w:rPr>
              <w:t>'</w:t>
            </w:r>
            <w:r w:rsidRPr="00075DC8">
              <w:rPr>
                <w:sz w:val="18"/>
                <w:szCs w:val="18"/>
                <w:lang w:val="fr-FR"/>
              </w:rPr>
              <w:t>est pas spécifiée dans la Recommandation de référence.</w:t>
            </w:r>
          </w:p>
        </w:tc>
      </w:tr>
    </w:tbl>
    <w:p w14:paraId="5CCB29ED" w14:textId="77777777" w:rsidR="00725E50" w:rsidRDefault="00725E50" w:rsidP="00203F60">
      <w:pPr>
        <w:pStyle w:val="Tablefin"/>
        <w:rPr>
          <w:lang w:val="fr-FR"/>
        </w:rPr>
      </w:pPr>
    </w:p>
    <w:p w14:paraId="255808F8" w14:textId="77777777" w:rsidR="00203F60" w:rsidRDefault="00203F60" w:rsidP="00725E50">
      <w:pPr>
        <w:rPr>
          <w:lang w:val="fr-FR"/>
        </w:rPr>
      </w:pPr>
    </w:p>
    <w:p w14:paraId="46D63C11" w14:textId="77777777" w:rsidR="00203F60" w:rsidRPr="00075DC8" w:rsidRDefault="00203F60" w:rsidP="00725E50">
      <w:pPr>
        <w:rPr>
          <w:lang w:val="fr-FR"/>
        </w:rPr>
        <w:sectPr w:rsidR="00203F60" w:rsidRPr="00075DC8" w:rsidSect="00725E50">
          <w:headerReference w:type="even" r:id="rId112"/>
          <w:headerReference w:type="default" r:id="rId113"/>
          <w:pgSz w:w="16834" w:h="11907" w:orient="landscape" w:code="9"/>
          <w:pgMar w:top="1134" w:right="1418" w:bottom="1134" w:left="1134" w:header="720" w:footer="482" w:gutter="0"/>
          <w:paperSrc w:first="15" w:other="15"/>
          <w:cols w:space="720"/>
          <w:docGrid w:linePitch="326"/>
        </w:sectPr>
      </w:pPr>
    </w:p>
    <w:p w14:paraId="23CB3D8E" w14:textId="77777777" w:rsidR="00725E50" w:rsidRPr="00075DC8" w:rsidRDefault="00725E50" w:rsidP="0084441E">
      <w:pPr>
        <w:pStyle w:val="TableNo"/>
        <w:rPr>
          <w:lang w:val="fr-FR"/>
        </w:rPr>
      </w:pPr>
      <w:r w:rsidRPr="00075DC8">
        <w:rPr>
          <w:lang w:val="fr-FR"/>
        </w:rPr>
        <w:lastRenderedPageBreak/>
        <w:t>TABLEAU 13</w:t>
      </w:r>
    </w:p>
    <w:p w14:paraId="47054135" w14:textId="77777777" w:rsidR="00725E50" w:rsidRPr="00075DC8" w:rsidRDefault="00725E50" w:rsidP="00725E50">
      <w:pPr>
        <w:pStyle w:val="Tabletitle"/>
        <w:rPr>
          <w:lang w:val="fr-FR" w:eastAsia="ja-JP"/>
        </w:rPr>
      </w:pPr>
      <w:r w:rsidRPr="00075DC8">
        <w:rPr>
          <w:lang w:val="fr-FR" w:eastAsia="ja-JP"/>
        </w:rPr>
        <w:t>Paramètres des systèmes du service fixe de point à</w:t>
      </w:r>
      <w:r w:rsidRPr="00075DC8">
        <w:rPr>
          <w:lang w:val="fr-FR" w:eastAsia="ja-JP"/>
        </w:rPr>
        <w:br/>
        <w:t>multipoint au-dessous de 0,47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7"/>
        <w:gridCol w:w="2476"/>
        <w:gridCol w:w="2586"/>
      </w:tblGrid>
      <w:tr w:rsidR="00725E50" w:rsidRPr="00075DC8" w14:paraId="39994ECA" w14:textId="77777777" w:rsidTr="0084441E">
        <w:trPr>
          <w:jc w:val="center"/>
        </w:trPr>
        <w:tc>
          <w:tcPr>
            <w:tcW w:w="5077" w:type="dxa"/>
            <w:vAlign w:val="center"/>
          </w:tcPr>
          <w:p w14:paraId="2FA3792E" w14:textId="77777777" w:rsidR="00725E50" w:rsidRPr="00075DC8" w:rsidRDefault="00725E50" w:rsidP="0084441E">
            <w:pPr>
              <w:pStyle w:val="Tablehead"/>
              <w:rPr>
                <w:lang w:val="fr-FR"/>
              </w:rPr>
            </w:pPr>
            <w:r w:rsidRPr="00075DC8">
              <w:rPr>
                <w:lang w:val="fr-FR"/>
              </w:rPr>
              <w:t xml:space="preserve">Gamme de fréquences </w:t>
            </w:r>
            <w:r w:rsidRPr="00075DC8">
              <w:rPr>
                <w:lang w:val="fr-FR"/>
              </w:rPr>
              <w:br/>
              <w:t>(GHz)</w:t>
            </w:r>
          </w:p>
        </w:tc>
        <w:tc>
          <w:tcPr>
            <w:tcW w:w="4796" w:type="dxa"/>
            <w:gridSpan w:val="2"/>
            <w:vAlign w:val="center"/>
          </w:tcPr>
          <w:p w14:paraId="2D6C94E8" w14:textId="77777777" w:rsidR="00725E50" w:rsidRPr="00075DC8" w:rsidRDefault="00725E50" w:rsidP="0084441E">
            <w:pPr>
              <w:pStyle w:val="Tablehead"/>
              <w:rPr>
                <w:lang w:val="fr-FR"/>
              </w:rPr>
            </w:pPr>
            <w:r w:rsidRPr="00075DC8">
              <w:rPr>
                <w:lang w:val="fr-FR"/>
              </w:rPr>
              <w:t>0,457-0,464</w:t>
            </w:r>
          </w:p>
        </w:tc>
      </w:tr>
      <w:tr w:rsidR="00725E50" w:rsidRPr="00075DC8" w14:paraId="4B7889E4" w14:textId="77777777" w:rsidTr="0084441E">
        <w:trPr>
          <w:jc w:val="center"/>
        </w:trPr>
        <w:tc>
          <w:tcPr>
            <w:tcW w:w="5077" w:type="dxa"/>
            <w:tcMar>
              <w:left w:w="57" w:type="dxa"/>
              <w:right w:w="57" w:type="dxa"/>
            </w:tcMar>
          </w:tcPr>
          <w:p w14:paraId="4970724D" w14:textId="77777777" w:rsidR="00725E50" w:rsidRPr="00075DC8" w:rsidRDefault="00725E50" w:rsidP="0084441E">
            <w:pPr>
              <w:pStyle w:val="Tabletext"/>
              <w:jc w:val="left"/>
              <w:rPr>
                <w:lang w:val="fr-FR"/>
              </w:rPr>
            </w:pPr>
            <w:r w:rsidRPr="00075DC8">
              <w:rPr>
                <w:lang w:val="fr-FR"/>
              </w:rPr>
              <w:t>Recommandation UIT-R de référence</w:t>
            </w:r>
          </w:p>
        </w:tc>
        <w:tc>
          <w:tcPr>
            <w:tcW w:w="4796" w:type="dxa"/>
            <w:gridSpan w:val="2"/>
          </w:tcPr>
          <w:p w14:paraId="79DDC26B" w14:textId="77777777" w:rsidR="00725E50" w:rsidRPr="00075DC8" w:rsidRDefault="00725E50" w:rsidP="0084441E">
            <w:pPr>
              <w:pStyle w:val="Tabletext"/>
              <w:jc w:val="center"/>
              <w:rPr>
                <w:lang w:val="fr-FR"/>
              </w:rPr>
            </w:pPr>
          </w:p>
        </w:tc>
      </w:tr>
      <w:tr w:rsidR="00725E50" w:rsidRPr="00075DC8" w14:paraId="716C62BA" w14:textId="77777777" w:rsidTr="0084441E">
        <w:trPr>
          <w:jc w:val="center"/>
        </w:trPr>
        <w:tc>
          <w:tcPr>
            <w:tcW w:w="5077" w:type="dxa"/>
            <w:tcMar>
              <w:left w:w="57" w:type="dxa"/>
              <w:right w:w="57" w:type="dxa"/>
            </w:tcMar>
          </w:tcPr>
          <w:p w14:paraId="6A4ED5F4" w14:textId="77777777" w:rsidR="00725E50" w:rsidRPr="00075DC8" w:rsidRDefault="00725E50" w:rsidP="0084441E">
            <w:pPr>
              <w:pStyle w:val="Tabletext"/>
              <w:jc w:val="left"/>
              <w:rPr>
                <w:lang w:val="fr-FR"/>
              </w:rPr>
            </w:pPr>
            <w:r w:rsidRPr="00075DC8">
              <w:rPr>
                <w:lang w:val="fr-FR"/>
              </w:rPr>
              <w:t>Format de modulation</w:t>
            </w:r>
          </w:p>
        </w:tc>
        <w:tc>
          <w:tcPr>
            <w:tcW w:w="1961" w:type="dxa"/>
          </w:tcPr>
          <w:p w14:paraId="6B44F934" w14:textId="331AB8DF" w:rsidR="00725E50" w:rsidRPr="00075DC8" w:rsidRDefault="00725E50" w:rsidP="0084441E">
            <w:pPr>
              <w:pStyle w:val="Tabletext"/>
              <w:jc w:val="center"/>
              <w:rPr>
                <w:lang w:val="fr-FR"/>
              </w:rPr>
            </w:pPr>
            <w:r w:rsidRPr="00075DC8">
              <w:rPr>
                <w:lang w:val="fr-FR"/>
              </w:rPr>
              <w:t>Stations centrales</w:t>
            </w:r>
            <w:r w:rsidR="0084441E" w:rsidRPr="00075DC8">
              <w:rPr>
                <w:lang w:val="fr-FR"/>
              </w:rPr>
              <w:br/>
            </w:r>
            <w:r w:rsidRPr="00075DC8">
              <w:rPr>
                <w:lang w:val="fr-FR"/>
              </w:rPr>
              <w:t>MDF-4, MDPQ</w:t>
            </w:r>
          </w:p>
        </w:tc>
        <w:tc>
          <w:tcPr>
            <w:tcW w:w="2835" w:type="dxa"/>
          </w:tcPr>
          <w:p w14:paraId="6FB798C3" w14:textId="32C2ABE8" w:rsidR="00725E50" w:rsidRPr="00075DC8" w:rsidRDefault="00725E50" w:rsidP="0084441E">
            <w:pPr>
              <w:pStyle w:val="Tabletext"/>
              <w:jc w:val="center"/>
              <w:rPr>
                <w:lang w:val="fr-FR"/>
              </w:rPr>
            </w:pPr>
            <w:r w:rsidRPr="00075DC8">
              <w:rPr>
                <w:lang w:val="fr-FR"/>
              </w:rPr>
              <w:t>Stations terminales</w:t>
            </w:r>
            <w:r w:rsidR="0084441E" w:rsidRPr="00075DC8">
              <w:rPr>
                <w:lang w:val="fr-FR"/>
              </w:rPr>
              <w:br/>
            </w:r>
            <w:r w:rsidRPr="00075DC8">
              <w:rPr>
                <w:lang w:val="fr-FR"/>
              </w:rPr>
              <w:t>MDF-4, MDPQ</w:t>
            </w:r>
          </w:p>
        </w:tc>
      </w:tr>
      <w:tr w:rsidR="00725E50" w:rsidRPr="00075DC8" w14:paraId="067DC018" w14:textId="77777777" w:rsidTr="0084441E">
        <w:trPr>
          <w:jc w:val="center"/>
        </w:trPr>
        <w:tc>
          <w:tcPr>
            <w:tcW w:w="5077" w:type="dxa"/>
            <w:tcMar>
              <w:left w:w="57" w:type="dxa"/>
              <w:right w:w="57" w:type="dxa"/>
            </w:tcMar>
          </w:tcPr>
          <w:p w14:paraId="66147D5E" w14:textId="77777777" w:rsidR="00725E50" w:rsidRPr="00075DC8" w:rsidRDefault="00725E50" w:rsidP="0084441E">
            <w:pPr>
              <w:pStyle w:val="Tabletext"/>
              <w:jc w:val="left"/>
              <w:rPr>
                <w:lang w:val="fr-FR"/>
              </w:rPr>
            </w:pPr>
            <w:r w:rsidRPr="00075DC8">
              <w:rPr>
                <w:lang w:val="fr-FR"/>
              </w:rPr>
              <w:t>Espacement des canaux et largeur de bande de bruit du récepteur (MHz)</w:t>
            </w:r>
          </w:p>
        </w:tc>
        <w:tc>
          <w:tcPr>
            <w:tcW w:w="1961" w:type="dxa"/>
          </w:tcPr>
          <w:p w14:paraId="3B1A6C78" w14:textId="77777777" w:rsidR="00725E50" w:rsidRPr="00075DC8" w:rsidRDefault="00725E50" w:rsidP="0084441E">
            <w:pPr>
              <w:pStyle w:val="Tabletext"/>
              <w:jc w:val="center"/>
              <w:rPr>
                <w:b/>
                <w:bCs/>
                <w:lang w:val="fr-FR"/>
              </w:rPr>
            </w:pPr>
            <w:r w:rsidRPr="00075DC8">
              <w:rPr>
                <w:b/>
                <w:bCs/>
                <w:lang w:val="fr-FR"/>
              </w:rPr>
              <w:t>0,0125</w:t>
            </w:r>
          </w:p>
        </w:tc>
        <w:tc>
          <w:tcPr>
            <w:tcW w:w="2835" w:type="dxa"/>
          </w:tcPr>
          <w:p w14:paraId="7FC011F4" w14:textId="77777777" w:rsidR="00725E50" w:rsidRPr="00075DC8" w:rsidRDefault="00725E50" w:rsidP="0084441E">
            <w:pPr>
              <w:pStyle w:val="Tabletext"/>
              <w:jc w:val="center"/>
              <w:rPr>
                <w:b/>
                <w:bCs/>
                <w:lang w:val="fr-FR"/>
              </w:rPr>
            </w:pPr>
            <w:r w:rsidRPr="00075DC8">
              <w:rPr>
                <w:b/>
                <w:bCs/>
                <w:lang w:val="fr-FR"/>
              </w:rPr>
              <w:t>0,0125</w:t>
            </w:r>
          </w:p>
        </w:tc>
      </w:tr>
      <w:tr w:rsidR="00725E50" w:rsidRPr="00075DC8" w14:paraId="3583C151" w14:textId="77777777" w:rsidTr="0084441E">
        <w:trPr>
          <w:jc w:val="center"/>
        </w:trPr>
        <w:tc>
          <w:tcPr>
            <w:tcW w:w="5077" w:type="dxa"/>
            <w:tcMar>
              <w:left w:w="57" w:type="dxa"/>
              <w:right w:w="57" w:type="dxa"/>
            </w:tcMar>
          </w:tcPr>
          <w:p w14:paraId="213F1557" w14:textId="08DE6DD5" w:rsidR="00725E50" w:rsidRPr="00075DC8" w:rsidRDefault="00725E50" w:rsidP="0084441E">
            <w:pPr>
              <w:pStyle w:val="Tabletext"/>
              <w:jc w:val="left"/>
              <w:rPr>
                <w:lang w:val="fr-FR"/>
              </w:rPr>
            </w:pPr>
            <w:r w:rsidRPr="00075DC8">
              <w:rPr>
                <w:lang w:val="fr-FR"/>
              </w:rPr>
              <w:t>Plage maximale des puissances de sortie au niveau de l</w:t>
            </w:r>
            <w:r w:rsidR="001F6A0D" w:rsidRPr="00075DC8">
              <w:rPr>
                <w:lang w:val="fr-FR"/>
              </w:rPr>
              <w:t>'</w:t>
            </w:r>
            <w:r w:rsidRPr="00075DC8">
              <w:rPr>
                <w:lang w:val="fr-FR"/>
              </w:rPr>
              <w:t>émetteur (dBW)</w:t>
            </w:r>
          </w:p>
        </w:tc>
        <w:tc>
          <w:tcPr>
            <w:tcW w:w="1961" w:type="dxa"/>
          </w:tcPr>
          <w:p w14:paraId="0C225C10" w14:textId="77777777" w:rsidR="00725E50" w:rsidRPr="00075DC8" w:rsidRDefault="00725E50" w:rsidP="0084441E">
            <w:pPr>
              <w:pStyle w:val="Tabletext"/>
              <w:jc w:val="center"/>
              <w:rPr>
                <w:lang w:val="fr-FR"/>
              </w:rPr>
            </w:pPr>
            <w:r w:rsidRPr="00075DC8">
              <w:rPr>
                <w:lang w:val="fr-FR"/>
              </w:rPr>
              <w:t>1 à 10</w:t>
            </w:r>
          </w:p>
        </w:tc>
        <w:tc>
          <w:tcPr>
            <w:tcW w:w="2835" w:type="dxa"/>
          </w:tcPr>
          <w:p w14:paraId="1D3280CC" w14:textId="77777777" w:rsidR="00725E50" w:rsidRPr="00075DC8" w:rsidRDefault="00725E50" w:rsidP="0084441E">
            <w:pPr>
              <w:pStyle w:val="Tabletext"/>
              <w:jc w:val="center"/>
              <w:rPr>
                <w:lang w:val="fr-FR"/>
              </w:rPr>
            </w:pPr>
            <w:r w:rsidRPr="00075DC8">
              <w:rPr>
                <w:lang w:val="fr-FR"/>
              </w:rPr>
              <w:t>1 à 10</w:t>
            </w:r>
          </w:p>
        </w:tc>
      </w:tr>
      <w:tr w:rsidR="00725E50" w:rsidRPr="00075DC8" w14:paraId="69580433" w14:textId="77777777" w:rsidTr="0084441E">
        <w:trPr>
          <w:jc w:val="center"/>
        </w:trPr>
        <w:tc>
          <w:tcPr>
            <w:tcW w:w="5077" w:type="dxa"/>
            <w:tcMar>
              <w:left w:w="57" w:type="dxa"/>
              <w:right w:w="57" w:type="dxa"/>
            </w:tcMar>
          </w:tcPr>
          <w:p w14:paraId="1A9C048A" w14:textId="1944461F" w:rsidR="00725E50" w:rsidRPr="00075DC8" w:rsidRDefault="00725E50" w:rsidP="0084441E">
            <w:pPr>
              <w:pStyle w:val="Tabletext"/>
              <w:jc w:val="left"/>
              <w:rPr>
                <w:lang w:val="fr-FR"/>
              </w:rPr>
            </w:pPr>
            <w:r w:rsidRPr="00075DC8">
              <w:rPr>
                <w:lang w:val="fr-FR"/>
              </w:rPr>
              <w:t>Plage maximale des densités de puissance de sortie au niveau de l</w:t>
            </w:r>
            <w:r w:rsidR="001F6A0D" w:rsidRPr="00075DC8">
              <w:rPr>
                <w:lang w:val="fr-FR"/>
              </w:rPr>
              <w:t>'</w:t>
            </w:r>
            <w:r w:rsidRPr="00075DC8">
              <w:rPr>
                <w:lang w:val="fr-FR"/>
              </w:rPr>
              <w:t>émetteur (dBW/MHz)</w:t>
            </w:r>
            <w:r w:rsidRPr="00075DC8">
              <w:rPr>
                <w:vertAlign w:val="superscript"/>
                <w:lang w:val="fr-FR"/>
              </w:rPr>
              <w:t>(1)</w:t>
            </w:r>
          </w:p>
        </w:tc>
        <w:tc>
          <w:tcPr>
            <w:tcW w:w="1961" w:type="dxa"/>
          </w:tcPr>
          <w:p w14:paraId="6E66D9E1" w14:textId="77777777" w:rsidR="00725E50" w:rsidRPr="00075DC8" w:rsidRDefault="00725E50" w:rsidP="0084441E">
            <w:pPr>
              <w:pStyle w:val="Tabletext"/>
              <w:jc w:val="center"/>
              <w:rPr>
                <w:lang w:val="fr-FR"/>
              </w:rPr>
            </w:pPr>
            <w:r w:rsidRPr="00075DC8">
              <w:rPr>
                <w:lang w:val="fr-FR"/>
              </w:rPr>
              <w:t>20 à 29</w:t>
            </w:r>
          </w:p>
        </w:tc>
        <w:tc>
          <w:tcPr>
            <w:tcW w:w="2835" w:type="dxa"/>
          </w:tcPr>
          <w:p w14:paraId="7AC16BF8" w14:textId="77777777" w:rsidR="00725E50" w:rsidRPr="00075DC8" w:rsidRDefault="00725E50" w:rsidP="0084441E">
            <w:pPr>
              <w:pStyle w:val="Tabletext"/>
              <w:jc w:val="center"/>
              <w:rPr>
                <w:lang w:val="fr-FR"/>
              </w:rPr>
            </w:pPr>
            <w:r w:rsidRPr="00075DC8">
              <w:rPr>
                <w:lang w:val="fr-FR"/>
              </w:rPr>
              <w:t>20 à 29</w:t>
            </w:r>
          </w:p>
        </w:tc>
      </w:tr>
      <w:tr w:rsidR="00725E50" w:rsidRPr="00075DC8" w14:paraId="3D0A5499" w14:textId="77777777" w:rsidTr="0084441E">
        <w:trPr>
          <w:jc w:val="center"/>
        </w:trPr>
        <w:tc>
          <w:tcPr>
            <w:tcW w:w="5077" w:type="dxa"/>
            <w:tcMar>
              <w:left w:w="57" w:type="dxa"/>
              <w:right w:w="57" w:type="dxa"/>
            </w:tcMar>
          </w:tcPr>
          <w:p w14:paraId="70A60326" w14:textId="7EEB4E81" w:rsidR="00725E50" w:rsidRPr="00075DC8" w:rsidRDefault="00725E50" w:rsidP="0084441E">
            <w:pPr>
              <w:pStyle w:val="Tabletext"/>
              <w:jc w:val="left"/>
              <w:rPr>
                <w:lang w:val="fr-FR"/>
              </w:rPr>
            </w:pPr>
            <w:r w:rsidRPr="00075DC8">
              <w:rPr>
                <w:lang w:val="fr-FR"/>
              </w:rPr>
              <w:t>Plage minimale des pertes dues à la ligne d</w:t>
            </w:r>
            <w:r w:rsidR="001F6A0D" w:rsidRPr="00075DC8">
              <w:rPr>
                <w:lang w:val="fr-FR"/>
              </w:rPr>
              <w:t>'</w:t>
            </w:r>
            <w:r w:rsidRPr="00075DC8">
              <w:rPr>
                <w:lang w:val="fr-FR"/>
              </w:rPr>
              <w:t>alimentation ou au multiplexeur (dB)</w:t>
            </w:r>
          </w:p>
        </w:tc>
        <w:tc>
          <w:tcPr>
            <w:tcW w:w="1961" w:type="dxa"/>
          </w:tcPr>
          <w:p w14:paraId="2BD3B4DA" w14:textId="3F1400EA" w:rsidR="00725E50" w:rsidRPr="00075DC8" w:rsidRDefault="00725E50" w:rsidP="0084441E">
            <w:pPr>
              <w:pStyle w:val="Tabletext"/>
              <w:jc w:val="center"/>
              <w:rPr>
                <w:lang w:val="fr-FR"/>
              </w:rPr>
            </w:pPr>
            <w:r w:rsidRPr="00075DC8">
              <w:rPr>
                <w:lang w:val="fr-FR"/>
              </w:rPr>
              <w:t>1…3</w:t>
            </w:r>
          </w:p>
        </w:tc>
        <w:tc>
          <w:tcPr>
            <w:tcW w:w="2835" w:type="dxa"/>
          </w:tcPr>
          <w:p w14:paraId="73CDE656" w14:textId="6DA800C6" w:rsidR="00725E50" w:rsidRPr="00075DC8" w:rsidRDefault="00725E50" w:rsidP="0084441E">
            <w:pPr>
              <w:pStyle w:val="Tabletext"/>
              <w:jc w:val="center"/>
              <w:rPr>
                <w:lang w:val="fr-FR"/>
              </w:rPr>
            </w:pPr>
            <w:r w:rsidRPr="00075DC8">
              <w:rPr>
                <w:lang w:val="fr-FR"/>
              </w:rPr>
              <w:t>1…4</w:t>
            </w:r>
          </w:p>
        </w:tc>
      </w:tr>
      <w:tr w:rsidR="00725E50" w:rsidRPr="00075DC8" w14:paraId="4B1F907C" w14:textId="77777777" w:rsidTr="0084441E">
        <w:trPr>
          <w:jc w:val="center"/>
        </w:trPr>
        <w:tc>
          <w:tcPr>
            <w:tcW w:w="5077" w:type="dxa"/>
            <w:tcMar>
              <w:left w:w="57" w:type="dxa"/>
              <w:right w:w="57" w:type="dxa"/>
            </w:tcMar>
          </w:tcPr>
          <w:p w14:paraId="505C4607" w14:textId="551B6D67" w:rsidR="00725E50" w:rsidRPr="00075DC8" w:rsidRDefault="00725E50" w:rsidP="0084441E">
            <w:pPr>
              <w:pStyle w:val="Tabletext"/>
              <w:jc w:val="left"/>
              <w:rPr>
                <w:lang w:val="fr-FR"/>
              </w:rPr>
            </w:pPr>
            <w:r w:rsidRPr="00075DC8">
              <w:rPr>
                <w:lang w:val="fr-FR"/>
              </w:rPr>
              <w:t>Plage maximale des gains d</w:t>
            </w:r>
            <w:r w:rsidR="001F6A0D" w:rsidRPr="00075DC8">
              <w:rPr>
                <w:lang w:val="fr-FR"/>
              </w:rPr>
              <w:t>'</w:t>
            </w:r>
            <w:r w:rsidRPr="00075DC8">
              <w:rPr>
                <w:lang w:val="fr-FR"/>
              </w:rPr>
              <w:t>antenne (dBi)</w:t>
            </w:r>
          </w:p>
        </w:tc>
        <w:tc>
          <w:tcPr>
            <w:tcW w:w="1961" w:type="dxa"/>
          </w:tcPr>
          <w:p w14:paraId="6FC0B88A" w14:textId="459E0AF8" w:rsidR="00725E50" w:rsidRPr="00075DC8" w:rsidRDefault="00725E50" w:rsidP="0084441E">
            <w:pPr>
              <w:pStyle w:val="Tabletext"/>
              <w:jc w:val="center"/>
              <w:rPr>
                <w:lang w:val="fr-FR"/>
              </w:rPr>
            </w:pPr>
            <w:r w:rsidRPr="00075DC8">
              <w:rPr>
                <w:lang w:val="fr-FR"/>
              </w:rPr>
              <w:t>2…11</w:t>
            </w:r>
            <w:r w:rsidR="0084441E" w:rsidRPr="00075DC8">
              <w:rPr>
                <w:lang w:val="fr-FR"/>
              </w:rPr>
              <w:br/>
            </w:r>
            <w:r w:rsidRPr="00075DC8">
              <w:rPr>
                <w:lang w:val="fr-FR"/>
              </w:rPr>
              <w:t>(équidirective/sectorielle)</w:t>
            </w:r>
          </w:p>
        </w:tc>
        <w:tc>
          <w:tcPr>
            <w:tcW w:w="2835" w:type="dxa"/>
          </w:tcPr>
          <w:p w14:paraId="444CA33F" w14:textId="500E48C0" w:rsidR="00725E50" w:rsidRPr="00075DC8" w:rsidRDefault="00725E50" w:rsidP="0084441E">
            <w:pPr>
              <w:pStyle w:val="Tabletext"/>
              <w:jc w:val="center"/>
              <w:rPr>
                <w:lang w:val="fr-FR"/>
              </w:rPr>
            </w:pPr>
            <w:r w:rsidRPr="00075DC8">
              <w:rPr>
                <w:lang w:val="fr-FR"/>
              </w:rPr>
              <w:t>8…17</w:t>
            </w:r>
            <w:r w:rsidR="0084441E" w:rsidRPr="00075DC8">
              <w:rPr>
                <w:lang w:val="fr-FR"/>
              </w:rPr>
              <w:br/>
            </w:r>
            <w:r w:rsidRPr="00075DC8">
              <w:rPr>
                <w:lang w:val="fr-FR"/>
              </w:rPr>
              <w:t>(directive)</w:t>
            </w:r>
          </w:p>
        </w:tc>
      </w:tr>
      <w:tr w:rsidR="00725E50" w:rsidRPr="00075DC8" w14:paraId="4044C93E" w14:textId="77777777" w:rsidTr="0084441E">
        <w:trPr>
          <w:jc w:val="center"/>
        </w:trPr>
        <w:tc>
          <w:tcPr>
            <w:tcW w:w="5077" w:type="dxa"/>
            <w:tcMar>
              <w:left w:w="57" w:type="dxa"/>
              <w:right w:w="57" w:type="dxa"/>
            </w:tcMar>
          </w:tcPr>
          <w:p w14:paraId="14F6D4C5" w14:textId="77777777" w:rsidR="00725E50" w:rsidRPr="00075DC8" w:rsidRDefault="00725E50" w:rsidP="0084441E">
            <w:pPr>
              <w:pStyle w:val="Tabletext"/>
              <w:jc w:val="left"/>
              <w:rPr>
                <w:lang w:val="fr-FR"/>
              </w:rPr>
            </w:pPr>
            <w:r w:rsidRPr="00075DC8">
              <w:rPr>
                <w:lang w:val="fr-FR"/>
              </w:rPr>
              <w:t>Plage maximale des p.i.r.e. (dBW)</w:t>
            </w:r>
          </w:p>
        </w:tc>
        <w:tc>
          <w:tcPr>
            <w:tcW w:w="1961" w:type="dxa"/>
          </w:tcPr>
          <w:p w14:paraId="5C4D365F" w14:textId="77777777" w:rsidR="00725E50" w:rsidRPr="00075DC8" w:rsidRDefault="00725E50" w:rsidP="0084441E">
            <w:pPr>
              <w:pStyle w:val="Tabletext"/>
              <w:jc w:val="center"/>
              <w:rPr>
                <w:lang w:val="fr-FR"/>
              </w:rPr>
            </w:pPr>
            <w:r w:rsidRPr="00075DC8">
              <w:rPr>
                <w:lang w:val="fr-FR"/>
              </w:rPr>
              <w:t>14 à 20</w:t>
            </w:r>
          </w:p>
        </w:tc>
        <w:tc>
          <w:tcPr>
            <w:tcW w:w="2835" w:type="dxa"/>
          </w:tcPr>
          <w:p w14:paraId="192BCC2E" w14:textId="77777777" w:rsidR="00725E50" w:rsidRPr="00075DC8" w:rsidRDefault="00725E50" w:rsidP="0084441E">
            <w:pPr>
              <w:pStyle w:val="Tabletext"/>
              <w:jc w:val="center"/>
              <w:rPr>
                <w:lang w:val="fr-FR"/>
              </w:rPr>
            </w:pPr>
            <w:r w:rsidRPr="00075DC8">
              <w:rPr>
                <w:lang w:val="fr-FR"/>
              </w:rPr>
              <w:t>18 à 24</w:t>
            </w:r>
          </w:p>
        </w:tc>
      </w:tr>
      <w:tr w:rsidR="00725E50" w:rsidRPr="00075DC8" w14:paraId="217720A6" w14:textId="77777777" w:rsidTr="0084441E">
        <w:trPr>
          <w:jc w:val="center"/>
        </w:trPr>
        <w:tc>
          <w:tcPr>
            <w:tcW w:w="5077" w:type="dxa"/>
            <w:tcMar>
              <w:left w:w="57" w:type="dxa"/>
              <w:right w:w="57" w:type="dxa"/>
            </w:tcMar>
          </w:tcPr>
          <w:p w14:paraId="29E922C5" w14:textId="034B8DAF" w:rsidR="00725E50" w:rsidRPr="00075DC8" w:rsidRDefault="00725E50" w:rsidP="0084441E">
            <w:pPr>
              <w:pStyle w:val="Tabletext"/>
              <w:jc w:val="left"/>
              <w:rPr>
                <w:lang w:val="fr-FR"/>
              </w:rPr>
            </w:pPr>
            <w:r w:rsidRPr="00075DC8">
              <w:rPr>
                <w:lang w:val="fr-FR"/>
              </w:rPr>
              <w:t>Plage maximale des densités de p.i.r.e. (dBW/MHz)</w:t>
            </w:r>
            <w:r w:rsidRPr="00075DC8">
              <w:rPr>
                <w:vertAlign w:val="superscript"/>
                <w:lang w:val="fr-FR"/>
              </w:rPr>
              <w:t>(1)</w:t>
            </w:r>
          </w:p>
        </w:tc>
        <w:tc>
          <w:tcPr>
            <w:tcW w:w="1961" w:type="dxa"/>
          </w:tcPr>
          <w:p w14:paraId="6FE7B1D6" w14:textId="77777777" w:rsidR="00725E50" w:rsidRPr="00075DC8" w:rsidRDefault="00725E50" w:rsidP="0084441E">
            <w:pPr>
              <w:pStyle w:val="Tabletext"/>
              <w:jc w:val="center"/>
              <w:rPr>
                <w:lang w:val="fr-FR"/>
              </w:rPr>
            </w:pPr>
            <w:r w:rsidRPr="00075DC8">
              <w:rPr>
                <w:lang w:val="fr-FR"/>
              </w:rPr>
              <w:t>33 à 39</w:t>
            </w:r>
          </w:p>
        </w:tc>
        <w:tc>
          <w:tcPr>
            <w:tcW w:w="2835" w:type="dxa"/>
          </w:tcPr>
          <w:p w14:paraId="269E4984" w14:textId="77777777" w:rsidR="00725E50" w:rsidRPr="00075DC8" w:rsidRDefault="00725E50" w:rsidP="0084441E">
            <w:pPr>
              <w:pStyle w:val="Tabletext"/>
              <w:jc w:val="center"/>
              <w:rPr>
                <w:lang w:val="fr-FR"/>
              </w:rPr>
            </w:pPr>
            <w:r w:rsidRPr="00075DC8">
              <w:rPr>
                <w:lang w:val="fr-FR"/>
              </w:rPr>
              <w:t>37 à 43</w:t>
            </w:r>
          </w:p>
        </w:tc>
      </w:tr>
      <w:tr w:rsidR="00725E50" w:rsidRPr="00075DC8" w14:paraId="0A948B0B" w14:textId="77777777" w:rsidTr="0084441E">
        <w:trPr>
          <w:jc w:val="center"/>
        </w:trPr>
        <w:tc>
          <w:tcPr>
            <w:tcW w:w="5077" w:type="dxa"/>
            <w:tcMar>
              <w:left w:w="57" w:type="dxa"/>
              <w:right w:w="57" w:type="dxa"/>
            </w:tcMar>
          </w:tcPr>
          <w:p w14:paraId="722C5605" w14:textId="77777777" w:rsidR="00725E50" w:rsidRPr="00075DC8" w:rsidRDefault="00725E50" w:rsidP="0084441E">
            <w:pPr>
              <w:pStyle w:val="Tabletext"/>
              <w:jc w:val="left"/>
              <w:rPr>
                <w:lang w:val="fr-FR"/>
              </w:rPr>
            </w:pPr>
            <w:r w:rsidRPr="00075DC8">
              <w:rPr>
                <w:lang w:val="fr-FR"/>
              </w:rPr>
              <w:t xml:space="preserve">Facteur de bruit du récepteur (dB) </w:t>
            </w:r>
          </w:p>
        </w:tc>
        <w:tc>
          <w:tcPr>
            <w:tcW w:w="1961" w:type="dxa"/>
          </w:tcPr>
          <w:p w14:paraId="29ECF63A" w14:textId="77777777" w:rsidR="00725E50" w:rsidRPr="00075DC8" w:rsidRDefault="00725E50" w:rsidP="0084441E">
            <w:pPr>
              <w:pStyle w:val="Tabletext"/>
              <w:jc w:val="center"/>
              <w:rPr>
                <w:lang w:val="fr-FR"/>
              </w:rPr>
            </w:pPr>
            <w:r w:rsidRPr="00075DC8">
              <w:rPr>
                <w:lang w:val="fr-FR"/>
              </w:rPr>
              <w:t>4</w:t>
            </w:r>
          </w:p>
        </w:tc>
        <w:tc>
          <w:tcPr>
            <w:tcW w:w="2835" w:type="dxa"/>
          </w:tcPr>
          <w:p w14:paraId="02AEE504" w14:textId="77777777" w:rsidR="00725E50" w:rsidRPr="00075DC8" w:rsidRDefault="00725E50" w:rsidP="0084441E">
            <w:pPr>
              <w:pStyle w:val="Tabletext"/>
              <w:jc w:val="center"/>
              <w:rPr>
                <w:lang w:val="fr-FR"/>
              </w:rPr>
            </w:pPr>
            <w:r w:rsidRPr="00075DC8">
              <w:rPr>
                <w:lang w:val="fr-FR"/>
              </w:rPr>
              <w:t>4</w:t>
            </w:r>
          </w:p>
        </w:tc>
      </w:tr>
      <w:tr w:rsidR="00725E50" w:rsidRPr="00075DC8" w14:paraId="3F9714B2" w14:textId="77777777" w:rsidTr="0084441E">
        <w:trPr>
          <w:jc w:val="center"/>
        </w:trPr>
        <w:tc>
          <w:tcPr>
            <w:tcW w:w="5077" w:type="dxa"/>
            <w:tcMar>
              <w:left w:w="57" w:type="dxa"/>
              <w:right w:w="57" w:type="dxa"/>
            </w:tcMar>
          </w:tcPr>
          <w:p w14:paraId="7FA6EE80" w14:textId="77777777" w:rsidR="00725E50" w:rsidRPr="00075DC8" w:rsidRDefault="00725E50" w:rsidP="0084441E">
            <w:pPr>
              <w:pStyle w:val="Tabletext"/>
              <w:jc w:val="left"/>
              <w:rPr>
                <w:lang w:val="fr-FR"/>
              </w:rPr>
            </w:pPr>
            <w:r w:rsidRPr="00075DC8">
              <w:rPr>
                <w:lang w:val="fr-FR"/>
              </w:rPr>
              <w:t>Densité type de puissance de bruit du récepteur (=NRX) (dBW/MHz)</w:t>
            </w:r>
          </w:p>
        </w:tc>
        <w:tc>
          <w:tcPr>
            <w:tcW w:w="1961" w:type="dxa"/>
          </w:tcPr>
          <w:p w14:paraId="42189C9A" w14:textId="45CAEDAA" w:rsidR="00725E50" w:rsidRPr="00075DC8" w:rsidRDefault="003567D8" w:rsidP="0084441E">
            <w:pPr>
              <w:pStyle w:val="Tabletext"/>
              <w:jc w:val="center"/>
              <w:rPr>
                <w:lang w:val="fr-FR"/>
              </w:rPr>
            </w:pPr>
            <w:r w:rsidRPr="00075DC8">
              <w:rPr>
                <w:lang w:val="fr-FR"/>
              </w:rPr>
              <w:t>−</w:t>
            </w:r>
            <w:r w:rsidR="00725E50" w:rsidRPr="00075DC8">
              <w:rPr>
                <w:lang w:val="fr-FR"/>
              </w:rPr>
              <w:t>140</w:t>
            </w:r>
            <w:r w:rsidR="00725E50" w:rsidRPr="00075DC8">
              <w:rPr>
                <w:vertAlign w:val="superscript"/>
                <w:lang w:val="fr-FR"/>
              </w:rPr>
              <w:t>(1)</w:t>
            </w:r>
          </w:p>
        </w:tc>
        <w:tc>
          <w:tcPr>
            <w:tcW w:w="2835" w:type="dxa"/>
          </w:tcPr>
          <w:p w14:paraId="453C9118" w14:textId="00BA0CB4" w:rsidR="00725E50" w:rsidRPr="00075DC8" w:rsidRDefault="003567D8" w:rsidP="0084441E">
            <w:pPr>
              <w:pStyle w:val="Tabletext"/>
              <w:jc w:val="center"/>
              <w:rPr>
                <w:lang w:val="fr-FR"/>
              </w:rPr>
            </w:pPr>
            <w:r w:rsidRPr="00075DC8">
              <w:rPr>
                <w:lang w:val="fr-FR"/>
              </w:rPr>
              <w:t>−</w:t>
            </w:r>
            <w:r w:rsidR="00725E50" w:rsidRPr="00075DC8">
              <w:rPr>
                <w:lang w:val="fr-FR"/>
              </w:rPr>
              <w:t>140</w:t>
            </w:r>
            <w:r w:rsidR="00725E50" w:rsidRPr="00075DC8">
              <w:rPr>
                <w:vertAlign w:val="superscript"/>
                <w:lang w:val="fr-FR"/>
              </w:rPr>
              <w:t>(1)</w:t>
            </w:r>
          </w:p>
        </w:tc>
      </w:tr>
      <w:tr w:rsidR="00725E50" w:rsidRPr="00075DC8" w14:paraId="38AD9EF1" w14:textId="77777777" w:rsidTr="0084441E">
        <w:trPr>
          <w:jc w:val="center"/>
        </w:trPr>
        <w:tc>
          <w:tcPr>
            <w:tcW w:w="5077" w:type="dxa"/>
            <w:tcMar>
              <w:left w:w="57" w:type="dxa"/>
              <w:right w:w="57" w:type="dxa"/>
            </w:tcMar>
          </w:tcPr>
          <w:p w14:paraId="2201B560" w14:textId="0DCFDD28" w:rsidR="00725E50" w:rsidRPr="00075DC8" w:rsidRDefault="00725E50" w:rsidP="0084441E">
            <w:pPr>
              <w:pStyle w:val="Tabletext"/>
              <w:jc w:val="left"/>
              <w:rPr>
                <w:lang w:val="fr-FR"/>
              </w:rPr>
            </w:pPr>
            <w:r w:rsidRPr="00075DC8">
              <w:rPr>
                <w:lang w:val="fr-FR"/>
              </w:rPr>
              <w:t>Niveau normalisé à l</w:t>
            </w:r>
            <w:r w:rsidR="001F6A0D" w:rsidRPr="00075DC8">
              <w:rPr>
                <w:lang w:val="fr-FR"/>
              </w:rPr>
              <w:t>'</w:t>
            </w:r>
            <w:r w:rsidRPr="00075DC8">
              <w:rPr>
                <w:lang w:val="fr-FR"/>
              </w:rPr>
              <w:t>entrée du récepteur pour un taux BER de 1 × 10</w:t>
            </w:r>
            <w:r w:rsidR="003567D8" w:rsidRPr="00075DC8">
              <w:rPr>
                <w:vertAlign w:val="superscript"/>
                <w:lang w:val="fr-FR"/>
              </w:rPr>
              <w:t>−</w:t>
            </w:r>
            <w:r w:rsidRPr="00075DC8">
              <w:rPr>
                <w:vertAlign w:val="superscript"/>
                <w:lang w:val="fr-FR"/>
              </w:rPr>
              <w:t>6</w:t>
            </w:r>
            <w:r w:rsidRPr="00075DC8">
              <w:rPr>
                <w:lang w:val="fr-FR"/>
              </w:rPr>
              <w:t xml:space="preserve"> (dBW/MHz) </w:t>
            </w:r>
          </w:p>
        </w:tc>
        <w:tc>
          <w:tcPr>
            <w:tcW w:w="1961" w:type="dxa"/>
          </w:tcPr>
          <w:p w14:paraId="3697ED02" w14:textId="49E73AFC" w:rsidR="00725E50" w:rsidRPr="00075DC8" w:rsidRDefault="003567D8" w:rsidP="0084441E">
            <w:pPr>
              <w:pStyle w:val="Tabletext"/>
              <w:jc w:val="center"/>
              <w:rPr>
                <w:lang w:val="fr-FR"/>
              </w:rPr>
            </w:pPr>
            <w:r w:rsidRPr="00075DC8">
              <w:rPr>
                <w:lang w:val="fr-FR"/>
              </w:rPr>
              <w:t>−</w:t>
            </w:r>
            <w:r w:rsidR="00725E50" w:rsidRPr="00075DC8">
              <w:rPr>
                <w:lang w:val="fr-FR"/>
              </w:rPr>
              <w:t>121</w:t>
            </w:r>
            <w:r w:rsidR="00725E50" w:rsidRPr="00075DC8">
              <w:rPr>
                <w:vertAlign w:val="superscript"/>
                <w:lang w:val="fr-FR"/>
              </w:rPr>
              <w:t>(2)</w:t>
            </w:r>
          </w:p>
        </w:tc>
        <w:tc>
          <w:tcPr>
            <w:tcW w:w="2835" w:type="dxa"/>
          </w:tcPr>
          <w:p w14:paraId="7D6C23FD" w14:textId="44B94D9A" w:rsidR="00725E50" w:rsidRPr="00075DC8" w:rsidRDefault="003567D8" w:rsidP="0084441E">
            <w:pPr>
              <w:pStyle w:val="Tabletext"/>
              <w:jc w:val="center"/>
              <w:rPr>
                <w:lang w:val="fr-FR"/>
              </w:rPr>
            </w:pPr>
            <w:r w:rsidRPr="00075DC8">
              <w:rPr>
                <w:lang w:val="fr-FR"/>
              </w:rPr>
              <w:t>−</w:t>
            </w:r>
            <w:r w:rsidR="00725E50" w:rsidRPr="00075DC8">
              <w:rPr>
                <w:lang w:val="fr-FR"/>
              </w:rPr>
              <w:t>121</w:t>
            </w:r>
            <w:r w:rsidR="00725E50" w:rsidRPr="00075DC8">
              <w:rPr>
                <w:vertAlign w:val="superscript"/>
                <w:lang w:val="fr-FR"/>
              </w:rPr>
              <w:t>(2)</w:t>
            </w:r>
          </w:p>
        </w:tc>
      </w:tr>
      <w:tr w:rsidR="00725E50" w:rsidRPr="00075DC8" w14:paraId="726D7CD1" w14:textId="77777777" w:rsidTr="006D0688">
        <w:trPr>
          <w:jc w:val="center"/>
        </w:trPr>
        <w:tc>
          <w:tcPr>
            <w:tcW w:w="5077" w:type="dxa"/>
            <w:tcBorders>
              <w:bottom w:val="single" w:sz="4" w:space="0" w:color="auto"/>
            </w:tcBorders>
            <w:tcMar>
              <w:left w:w="57" w:type="dxa"/>
              <w:right w:w="57" w:type="dxa"/>
            </w:tcMar>
          </w:tcPr>
          <w:p w14:paraId="77B74B1B" w14:textId="38FECF08" w:rsidR="00725E50" w:rsidRPr="00075DC8" w:rsidRDefault="00725E50" w:rsidP="006D0688">
            <w:pPr>
              <w:pStyle w:val="Tabletext"/>
              <w:jc w:val="left"/>
              <w:rPr>
                <w:lang w:val="fr-FR"/>
              </w:rPr>
            </w:pPr>
            <w:r w:rsidRPr="00075DC8">
              <w:rPr>
                <w:lang w:val="fr-FR"/>
              </w:rPr>
              <w:t>Densité nominale de puissance de brouillage de longue durée (dBW/MHz)</w:t>
            </w:r>
            <w:r w:rsidR="000C75DE" w:rsidRPr="00075DC8">
              <w:rPr>
                <w:vertAlign w:val="superscript"/>
                <w:lang w:val="fr-FR"/>
              </w:rPr>
              <w:t>(</w:t>
            </w:r>
            <w:r w:rsidRPr="00075DC8">
              <w:rPr>
                <w:vertAlign w:val="superscript"/>
                <w:lang w:val="fr-FR"/>
              </w:rPr>
              <w:t>2)</w:t>
            </w:r>
          </w:p>
        </w:tc>
        <w:tc>
          <w:tcPr>
            <w:tcW w:w="1961" w:type="dxa"/>
            <w:tcBorders>
              <w:bottom w:val="single" w:sz="4" w:space="0" w:color="auto"/>
            </w:tcBorders>
          </w:tcPr>
          <w:p w14:paraId="4DC9368E" w14:textId="68CAFBA5" w:rsidR="00725E50" w:rsidRPr="00075DC8" w:rsidRDefault="003567D8" w:rsidP="0084441E">
            <w:pPr>
              <w:pStyle w:val="Tabletext"/>
              <w:jc w:val="center"/>
              <w:rPr>
                <w:lang w:val="fr-FR"/>
              </w:rPr>
            </w:pPr>
            <w:r w:rsidRPr="00075DC8">
              <w:rPr>
                <w:lang w:val="fr-FR"/>
              </w:rPr>
              <w:t>−</w:t>
            </w:r>
            <w:r w:rsidR="00725E50" w:rsidRPr="00075DC8">
              <w:rPr>
                <w:lang w:val="fr-FR"/>
              </w:rPr>
              <w:t xml:space="preserve">140 + </w:t>
            </w:r>
            <w:r w:rsidR="00725E50" w:rsidRPr="00075DC8">
              <w:rPr>
                <w:i/>
                <w:iCs/>
                <w:lang w:val="fr-FR"/>
              </w:rPr>
              <w:t>I</w:t>
            </w:r>
            <w:r w:rsidR="00725E50" w:rsidRPr="00075DC8">
              <w:rPr>
                <w:lang w:val="fr-FR"/>
              </w:rPr>
              <w:t>/</w:t>
            </w:r>
            <w:r w:rsidR="00725E50" w:rsidRPr="00075DC8">
              <w:rPr>
                <w:i/>
                <w:iCs/>
                <w:lang w:val="fr-FR"/>
              </w:rPr>
              <w:t>N</w:t>
            </w:r>
            <w:r w:rsidR="00725E50" w:rsidRPr="00075DC8">
              <w:rPr>
                <w:vertAlign w:val="superscript"/>
                <w:lang w:val="fr-FR"/>
              </w:rPr>
              <w:t>(3)</w:t>
            </w:r>
          </w:p>
        </w:tc>
        <w:tc>
          <w:tcPr>
            <w:tcW w:w="2835" w:type="dxa"/>
            <w:tcBorders>
              <w:bottom w:val="single" w:sz="4" w:space="0" w:color="auto"/>
            </w:tcBorders>
          </w:tcPr>
          <w:p w14:paraId="3B3EC738" w14:textId="0BA9B017" w:rsidR="00725E50" w:rsidRPr="00075DC8" w:rsidRDefault="003567D8" w:rsidP="0084441E">
            <w:pPr>
              <w:pStyle w:val="Tabletext"/>
              <w:jc w:val="center"/>
              <w:rPr>
                <w:lang w:val="fr-FR"/>
              </w:rPr>
            </w:pPr>
            <w:r w:rsidRPr="00075DC8">
              <w:rPr>
                <w:lang w:val="fr-FR"/>
              </w:rPr>
              <w:t>−</w:t>
            </w:r>
            <w:r w:rsidR="00725E50" w:rsidRPr="00075DC8">
              <w:rPr>
                <w:lang w:val="fr-FR"/>
              </w:rPr>
              <w:t xml:space="preserve">140 + </w:t>
            </w:r>
            <w:r w:rsidR="00725E50" w:rsidRPr="00075DC8">
              <w:rPr>
                <w:i/>
                <w:iCs/>
                <w:lang w:val="fr-FR"/>
              </w:rPr>
              <w:t>I</w:t>
            </w:r>
            <w:r w:rsidR="00725E50" w:rsidRPr="00075DC8">
              <w:rPr>
                <w:lang w:val="fr-FR"/>
              </w:rPr>
              <w:t>/</w:t>
            </w:r>
            <w:r w:rsidR="00725E50" w:rsidRPr="00075DC8">
              <w:rPr>
                <w:i/>
                <w:iCs/>
                <w:lang w:val="fr-FR"/>
              </w:rPr>
              <w:t>N</w:t>
            </w:r>
            <w:r w:rsidR="00725E50" w:rsidRPr="00075DC8">
              <w:rPr>
                <w:vertAlign w:val="superscript"/>
                <w:lang w:val="fr-FR"/>
              </w:rPr>
              <w:t>(3)</w:t>
            </w:r>
          </w:p>
        </w:tc>
      </w:tr>
      <w:tr w:rsidR="00725E50" w:rsidRPr="00075DC8" w14:paraId="6BF1B0F2" w14:textId="77777777" w:rsidTr="00ED4837">
        <w:trPr>
          <w:jc w:val="center"/>
        </w:trPr>
        <w:tc>
          <w:tcPr>
            <w:tcW w:w="9873" w:type="dxa"/>
            <w:gridSpan w:val="3"/>
            <w:tcBorders>
              <w:top w:val="single" w:sz="4" w:space="0" w:color="auto"/>
              <w:left w:val="nil"/>
              <w:bottom w:val="nil"/>
              <w:right w:val="nil"/>
            </w:tcBorders>
            <w:tcMar>
              <w:left w:w="57" w:type="dxa"/>
              <w:right w:w="57" w:type="dxa"/>
            </w:tcMar>
          </w:tcPr>
          <w:p w14:paraId="6D5A5715" w14:textId="77777777" w:rsidR="00725E50" w:rsidRPr="00075DC8" w:rsidRDefault="00725E50" w:rsidP="007C444E">
            <w:pPr>
              <w:pStyle w:val="Tabletext"/>
              <w:rPr>
                <w:lang w:val="fr-FR" w:eastAsia="ja-JP"/>
              </w:rPr>
            </w:pPr>
            <w:r w:rsidRPr="00075DC8">
              <w:rPr>
                <w:vertAlign w:val="superscript"/>
                <w:lang w:val="fr-FR" w:eastAsia="ja-JP"/>
              </w:rPr>
              <w:t>(1)</w:t>
            </w:r>
            <w:r w:rsidRPr="00075DC8">
              <w:rPr>
                <w:lang w:val="fr-FR" w:eastAsia="ja-JP"/>
              </w:rPr>
              <w:tab/>
              <w:t>La densité de puissance de bruit du récepteur dans le canal sera de −159 dBW/12,5 kHz.</w:t>
            </w:r>
          </w:p>
          <w:p w14:paraId="3DCBB5E4" w14:textId="09108780" w:rsidR="00725E50" w:rsidRPr="00075DC8" w:rsidRDefault="00725E50" w:rsidP="007C444E">
            <w:pPr>
              <w:pStyle w:val="Tabletext"/>
              <w:ind w:left="284" w:hanging="284"/>
              <w:rPr>
                <w:lang w:val="fr-FR"/>
              </w:rPr>
            </w:pPr>
            <w:r w:rsidRPr="00075DC8">
              <w:rPr>
                <w:vertAlign w:val="superscript"/>
                <w:lang w:val="fr-FR"/>
              </w:rPr>
              <w:t>(</w:t>
            </w:r>
            <w:r w:rsidRPr="00075DC8">
              <w:rPr>
                <w:vertAlign w:val="superscript"/>
                <w:lang w:val="fr-FR" w:eastAsia="ja-JP"/>
              </w:rPr>
              <w:t>2</w:t>
            </w:r>
            <w:r w:rsidRPr="00075DC8">
              <w:rPr>
                <w:vertAlign w:val="superscript"/>
                <w:lang w:val="fr-FR"/>
              </w:rPr>
              <w:t>)</w:t>
            </w:r>
            <w:r w:rsidRPr="00075DC8">
              <w:rPr>
                <w:lang w:val="fr-FR" w:eastAsia="ja-JP"/>
              </w:rPr>
              <w:tab/>
            </w:r>
            <w:r w:rsidRPr="00075DC8">
              <w:rPr>
                <w:lang w:val="fr-FR"/>
              </w:rPr>
              <w:t xml:space="preserve">Le </w:t>
            </w:r>
            <w:r w:rsidRPr="00075DC8">
              <w:rPr>
                <w:lang w:val="fr-FR" w:eastAsia="ja-JP"/>
              </w:rPr>
              <w:t>niveau normalisé à l</w:t>
            </w:r>
            <w:r w:rsidR="001F6A0D" w:rsidRPr="00075DC8">
              <w:rPr>
                <w:lang w:val="fr-FR" w:eastAsia="ja-JP"/>
              </w:rPr>
              <w:t>'</w:t>
            </w:r>
            <w:r w:rsidRPr="00075DC8">
              <w:rPr>
                <w:lang w:val="fr-FR" w:eastAsia="ja-JP"/>
              </w:rPr>
              <w:t>entrée du récepteur pour un taux BER de 1</w:t>
            </w:r>
            <w:r w:rsidR="007C444E" w:rsidRPr="00075DC8">
              <w:rPr>
                <w:lang w:val="fr-FR" w:eastAsia="ja-JP"/>
              </w:rPr>
              <w:t> </w:t>
            </w:r>
            <w:r w:rsidRPr="00075DC8">
              <w:rPr>
                <w:lang w:val="fr-FR" w:eastAsia="ja-JP"/>
              </w:rPr>
              <w:t>×</w:t>
            </w:r>
            <w:r w:rsidR="007C444E" w:rsidRPr="00075DC8">
              <w:rPr>
                <w:lang w:val="fr-FR" w:eastAsia="ja-JP"/>
              </w:rPr>
              <w:t> </w:t>
            </w:r>
            <w:r w:rsidRPr="00075DC8">
              <w:rPr>
                <w:lang w:val="fr-FR" w:eastAsia="ja-JP"/>
              </w:rPr>
              <w:t>10</w:t>
            </w:r>
            <w:r w:rsidR="003567D8" w:rsidRPr="00075DC8">
              <w:rPr>
                <w:vertAlign w:val="superscript"/>
                <w:lang w:val="fr-FR" w:eastAsia="ja-JP"/>
              </w:rPr>
              <w:t>−</w:t>
            </w:r>
            <w:r w:rsidRPr="00075DC8">
              <w:rPr>
                <w:vertAlign w:val="superscript"/>
                <w:lang w:val="fr-FR" w:eastAsia="ja-JP"/>
              </w:rPr>
              <w:t>6</w:t>
            </w:r>
            <w:r w:rsidRPr="00075DC8">
              <w:rPr>
                <w:lang w:val="fr-FR" w:eastAsia="ja-JP"/>
              </w:rPr>
              <w:t xml:space="preserve"> dans le canal </w:t>
            </w:r>
            <w:r w:rsidRPr="00075DC8">
              <w:rPr>
                <w:lang w:val="fr-FR"/>
              </w:rPr>
              <w:t>sera de</w:t>
            </w:r>
            <w:r w:rsidR="007C444E" w:rsidRPr="00075DC8">
              <w:rPr>
                <w:lang w:val="fr-FR"/>
              </w:rPr>
              <w:t> </w:t>
            </w:r>
            <w:r w:rsidRPr="00075DC8">
              <w:rPr>
                <w:lang w:val="fr-FR" w:eastAsia="ja-JP"/>
              </w:rPr>
              <w:t>−</w:t>
            </w:r>
            <w:r w:rsidRPr="00075DC8">
              <w:rPr>
                <w:lang w:val="fr-FR"/>
              </w:rPr>
              <w:t>140</w:t>
            </w:r>
            <w:r w:rsidR="007C444E" w:rsidRPr="00075DC8">
              <w:rPr>
                <w:lang w:val="fr-FR"/>
              </w:rPr>
              <w:t> </w:t>
            </w:r>
            <w:r w:rsidRPr="00075DC8">
              <w:rPr>
                <w:lang w:val="fr-FR"/>
              </w:rPr>
              <w:t>dBW/12,5 kHz.</w:t>
            </w:r>
          </w:p>
          <w:p w14:paraId="4B0DD002" w14:textId="069B5D04" w:rsidR="00725E50" w:rsidRPr="00075DC8" w:rsidRDefault="00725E50" w:rsidP="007C444E">
            <w:pPr>
              <w:pStyle w:val="Tabletext"/>
              <w:ind w:left="284" w:hanging="284"/>
              <w:rPr>
                <w:lang w:val="fr-FR" w:eastAsia="ja-JP"/>
              </w:rPr>
            </w:pPr>
            <w:r w:rsidRPr="00075DC8">
              <w:rPr>
                <w:vertAlign w:val="superscript"/>
                <w:lang w:val="fr-FR"/>
              </w:rPr>
              <w:t>(3)</w:t>
            </w:r>
            <w:r w:rsidRPr="00075DC8">
              <w:rPr>
                <w:lang w:val="fr-FR"/>
              </w:rPr>
              <w:tab/>
            </w:r>
            <w:r w:rsidRPr="00075DC8">
              <w:rPr>
                <w:lang w:val="fr-FR" w:eastAsia="ja-JP"/>
              </w:rPr>
              <w:t>La densité nominale de puissance de brouillage de longue durée dans le canal sera de</w:t>
            </w:r>
            <w:r w:rsidR="007C444E" w:rsidRPr="00075DC8">
              <w:rPr>
                <w:lang w:val="fr-FR" w:eastAsia="ja-JP"/>
              </w:rPr>
              <w:t> </w:t>
            </w:r>
            <w:r w:rsidRPr="00075DC8">
              <w:rPr>
                <w:lang w:val="fr-FR" w:eastAsia="ja-JP"/>
              </w:rPr>
              <w:t>−</w:t>
            </w:r>
            <w:r w:rsidRPr="00075DC8">
              <w:rPr>
                <w:lang w:val="fr-FR"/>
              </w:rPr>
              <w:t>159</w:t>
            </w:r>
            <w:r w:rsidR="007C444E" w:rsidRPr="00075DC8">
              <w:rPr>
                <w:lang w:val="fr-FR"/>
              </w:rPr>
              <w:t> </w:t>
            </w:r>
            <w:r w:rsidRPr="00075DC8">
              <w:rPr>
                <w:lang w:val="fr-FR"/>
              </w:rPr>
              <w:t>+</w:t>
            </w:r>
            <w:r w:rsidR="007C444E" w:rsidRPr="00075DC8">
              <w:rPr>
                <w:lang w:val="fr-FR"/>
              </w:rPr>
              <w:t> </w:t>
            </w:r>
            <w:r w:rsidRPr="00075DC8">
              <w:rPr>
                <w:i/>
                <w:iCs/>
                <w:lang w:val="fr-FR"/>
              </w:rPr>
              <w:t>I</w:t>
            </w:r>
            <w:r w:rsidRPr="00075DC8">
              <w:rPr>
                <w:lang w:val="fr-FR"/>
              </w:rPr>
              <w:t>/</w:t>
            </w:r>
            <w:r w:rsidRPr="00075DC8">
              <w:rPr>
                <w:i/>
                <w:iCs/>
                <w:lang w:val="fr-FR"/>
              </w:rPr>
              <w:t>N</w:t>
            </w:r>
            <w:r w:rsidR="007C444E" w:rsidRPr="00075DC8">
              <w:rPr>
                <w:lang w:val="fr-FR"/>
              </w:rPr>
              <w:t> </w:t>
            </w:r>
            <w:r w:rsidRPr="00075DC8">
              <w:rPr>
                <w:lang w:val="fr-FR"/>
              </w:rPr>
              <w:t>dBW/12,5 kHz.</w:t>
            </w:r>
          </w:p>
        </w:tc>
      </w:tr>
    </w:tbl>
    <w:p w14:paraId="2162E42E" w14:textId="77777777" w:rsidR="00725E50" w:rsidRDefault="00725E50" w:rsidP="00203F60">
      <w:pPr>
        <w:pStyle w:val="Tablefin"/>
        <w:rPr>
          <w:lang w:val="fr-FR"/>
        </w:rPr>
      </w:pPr>
    </w:p>
    <w:p w14:paraId="5DDFE487" w14:textId="77777777" w:rsidR="00203F60" w:rsidRDefault="00203F60" w:rsidP="00725E50">
      <w:pPr>
        <w:rPr>
          <w:lang w:val="fr-FR"/>
        </w:rPr>
      </w:pPr>
    </w:p>
    <w:p w14:paraId="321E140C" w14:textId="77777777" w:rsidR="00203F60" w:rsidRPr="00075DC8" w:rsidRDefault="00203F60" w:rsidP="00725E50">
      <w:pPr>
        <w:rPr>
          <w:lang w:val="fr-FR"/>
        </w:rPr>
        <w:sectPr w:rsidR="00203F60" w:rsidRPr="00075DC8" w:rsidSect="00725E50">
          <w:headerReference w:type="even" r:id="rId114"/>
          <w:headerReference w:type="default" r:id="rId115"/>
          <w:pgSz w:w="11907" w:h="16834" w:code="9"/>
          <w:pgMar w:top="1418" w:right="1134" w:bottom="1134" w:left="1134" w:header="720" w:footer="482" w:gutter="0"/>
          <w:paperSrc w:first="15" w:other="15"/>
          <w:cols w:space="720"/>
          <w:docGrid w:linePitch="326"/>
        </w:sectPr>
      </w:pPr>
    </w:p>
    <w:p w14:paraId="46F3EBFF" w14:textId="77777777" w:rsidR="00725E50" w:rsidRPr="00075DC8" w:rsidRDefault="00725E50" w:rsidP="0084441E">
      <w:pPr>
        <w:pStyle w:val="TableNo"/>
        <w:rPr>
          <w:lang w:val="fr-FR"/>
        </w:rPr>
      </w:pPr>
      <w:r w:rsidRPr="00075DC8">
        <w:rPr>
          <w:lang w:val="fr-FR"/>
        </w:rPr>
        <w:lastRenderedPageBreak/>
        <w:t>TABLEAU 14</w:t>
      </w:r>
    </w:p>
    <w:p w14:paraId="16B17519" w14:textId="77777777" w:rsidR="00725E50" w:rsidRPr="00075DC8" w:rsidRDefault="00725E50" w:rsidP="0084441E">
      <w:pPr>
        <w:pStyle w:val="Tabletitle"/>
        <w:rPr>
          <w:lang w:val="fr-FR"/>
        </w:rPr>
      </w:pPr>
      <w:r w:rsidRPr="00075DC8">
        <w:rPr>
          <w:lang w:val="fr-FR"/>
        </w:rPr>
        <w:t>Paramètres des systèmes du service fixe de point à multipoint dans les bandes comprises entre 1,3 GHz et 11 GHz</w:t>
      </w:r>
    </w:p>
    <w:tbl>
      <w:tblPr>
        <w:tblW w:w="144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088"/>
        <w:gridCol w:w="1007"/>
        <w:gridCol w:w="1007"/>
        <w:gridCol w:w="1526"/>
        <w:gridCol w:w="1592"/>
        <w:gridCol w:w="1662"/>
        <w:gridCol w:w="1740"/>
        <w:gridCol w:w="1414"/>
        <w:gridCol w:w="1426"/>
      </w:tblGrid>
      <w:tr w:rsidR="00725E50" w:rsidRPr="00075DC8" w14:paraId="42A5AEE9" w14:textId="77777777" w:rsidTr="0083748C">
        <w:trPr>
          <w:trHeight w:val="20"/>
          <w:jc w:val="center"/>
        </w:trPr>
        <w:tc>
          <w:tcPr>
            <w:tcW w:w="3086" w:type="dxa"/>
            <w:vAlign w:val="center"/>
          </w:tcPr>
          <w:p w14:paraId="30E6034B" w14:textId="77777777" w:rsidR="00725E50" w:rsidRPr="00075DC8" w:rsidRDefault="00725E50" w:rsidP="00ED4837">
            <w:pPr>
              <w:pStyle w:val="Tablehead"/>
              <w:rPr>
                <w:sz w:val="18"/>
                <w:szCs w:val="18"/>
                <w:lang w:val="fr-FR"/>
              </w:rPr>
            </w:pPr>
            <w:r w:rsidRPr="00075DC8">
              <w:rPr>
                <w:sz w:val="18"/>
                <w:szCs w:val="18"/>
                <w:lang w:val="fr-FR" w:eastAsia="ja-JP"/>
              </w:rPr>
              <w:t>Gamme de fréquences</w:t>
            </w:r>
            <w:r w:rsidRPr="00075DC8">
              <w:rPr>
                <w:sz w:val="18"/>
                <w:szCs w:val="18"/>
                <w:lang w:val="fr-FR"/>
              </w:rPr>
              <w:br/>
              <w:t>(GHz)</w:t>
            </w:r>
          </w:p>
        </w:tc>
        <w:tc>
          <w:tcPr>
            <w:tcW w:w="2013" w:type="dxa"/>
            <w:gridSpan w:val="2"/>
            <w:vAlign w:val="center"/>
          </w:tcPr>
          <w:p w14:paraId="03192B77" w14:textId="77777777" w:rsidR="00725E50" w:rsidRPr="00075DC8" w:rsidRDefault="00725E50" w:rsidP="00ED4837">
            <w:pPr>
              <w:pStyle w:val="Tablehead"/>
              <w:rPr>
                <w:sz w:val="18"/>
                <w:szCs w:val="18"/>
                <w:lang w:val="fr-FR"/>
              </w:rPr>
            </w:pPr>
            <w:r w:rsidRPr="00075DC8">
              <w:rPr>
                <w:sz w:val="18"/>
                <w:szCs w:val="18"/>
                <w:lang w:val="fr-FR" w:eastAsia="ja-JP"/>
              </w:rPr>
              <w:t>1,35-2,69</w:t>
            </w:r>
            <w:r w:rsidRPr="00075DC8">
              <w:rPr>
                <w:sz w:val="18"/>
                <w:szCs w:val="18"/>
                <w:lang w:val="fr-FR" w:eastAsia="ja-JP"/>
              </w:rPr>
              <w:br/>
              <w:t xml:space="preserve">(sous-bandes </w:t>
            </w:r>
            <w:r w:rsidRPr="00075DC8">
              <w:rPr>
                <w:sz w:val="18"/>
                <w:szCs w:val="18"/>
                <w:lang w:val="fr-FR" w:eastAsia="ja-JP"/>
              </w:rPr>
              <w:br/>
              <w:t>1,35-2,5)</w:t>
            </w:r>
          </w:p>
        </w:tc>
        <w:tc>
          <w:tcPr>
            <w:tcW w:w="3118" w:type="dxa"/>
            <w:gridSpan w:val="2"/>
            <w:vAlign w:val="center"/>
          </w:tcPr>
          <w:p w14:paraId="77A53830" w14:textId="77777777" w:rsidR="00725E50" w:rsidRPr="00075DC8" w:rsidRDefault="00725E50" w:rsidP="00ED4837">
            <w:pPr>
              <w:pStyle w:val="Tablehead"/>
              <w:rPr>
                <w:sz w:val="18"/>
                <w:szCs w:val="18"/>
                <w:lang w:val="fr-FR"/>
              </w:rPr>
            </w:pPr>
            <w:r w:rsidRPr="00075DC8">
              <w:rPr>
                <w:sz w:val="18"/>
                <w:szCs w:val="18"/>
                <w:lang w:val="fr-FR" w:eastAsia="ja-JP"/>
              </w:rPr>
              <w:t>1,35-2,69</w:t>
            </w:r>
            <w:r w:rsidRPr="00075DC8">
              <w:rPr>
                <w:sz w:val="18"/>
                <w:szCs w:val="18"/>
                <w:lang w:val="fr-FR" w:eastAsia="ja-JP"/>
              </w:rPr>
              <w:br/>
              <w:t>(sous-bandes 2,5-2,69)</w:t>
            </w:r>
          </w:p>
        </w:tc>
        <w:tc>
          <w:tcPr>
            <w:tcW w:w="3402" w:type="dxa"/>
            <w:gridSpan w:val="2"/>
            <w:vAlign w:val="center"/>
          </w:tcPr>
          <w:p w14:paraId="18697FFB" w14:textId="77777777" w:rsidR="00725E50" w:rsidRPr="00075DC8" w:rsidRDefault="00725E50" w:rsidP="00ED4837">
            <w:pPr>
              <w:pStyle w:val="Tablehead"/>
              <w:rPr>
                <w:sz w:val="18"/>
                <w:szCs w:val="18"/>
                <w:lang w:val="fr-FR" w:eastAsia="ja-JP"/>
              </w:rPr>
            </w:pPr>
            <w:r w:rsidRPr="00075DC8">
              <w:rPr>
                <w:sz w:val="18"/>
                <w:szCs w:val="18"/>
                <w:lang w:val="fr-FR"/>
              </w:rPr>
              <w:t>3,4</w:t>
            </w:r>
            <w:r w:rsidRPr="00075DC8">
              <w:rPr>
                <w:sz w:val="18"/>
                <w:szCs w:val="18"/>
                <w:lang w:val="fr-FR" w:eastAsia="ja-JP"/>
              </w:rPr>
              <w:t>0-</w:t>
            </w:r>
            <w:r w:rsidRPr="00075DC8">
              <w:rPr>
                <w:sz w:val="18"/>
                <w:szCs w:val="18"/>
                <w:lang w:val="fr-FR"/>
              </w:rPr>
              <w:t>3,8</w:t>
            </w:r>
            <w:r w:rsidRPr="00075DC8">
              <w:rPr>
                <w:sz w:val="18"/>
                <w:szCs w:val="18"/>
                <w:lang w:val="fr-FR" w:eastAsia="ja-JP"/>
              </w:rPr>
              <w:t>0</w:t>
            </w:r>
          </w:p>
        </w:tc>
        <w:tc>
          <w:tcPr>
            <w:tcW w:w="2840" w:type="dxa"/>
            <w:gridSpan w:val="2"/>
            <w:vAlign w:val="center"/>
          </w:tcPr>
          <w:p w14:paraId="225F7203" w14:textId="77777777" w:rsidR="00725E50" w:rsidRPr="00075DC8" w:rsidRDefault="00725E50" w:rsidP="00ED4837">
            <w:pPr>
              <w:pStyle w:val="Tablehead"/>
              <w:rPr>
                <w:sz w:val="18"/>
                <w:szCs w:val="18"/>
                <w:lang w:val="fr-FR" w:eastAsia="ja-JP"/>
              </w:rPr>
            </w:pPr>
            <w:r w:rsidRPr="00075DC8">
              <w:rPr>
                <w:sz w:val="18"/>
                <w:szCs w:val="18"/>
                <w:lang w:val="fr-FR"/>
              </w:rPr>
              <w:t>10</w:t>
            </w:r>
            <w:r w:rsidRPr="00075DC8">
              <w:rPr>
                <w:sz w:val="18"/>
                <w:szCs w:val="18"/>
                <w:lang w:val="fr-FR" w:eastAsia="ja-JP"/>
              </w:rPr>
              <w:t>,15</w:t>
            </w:r>
            <w:r w:rsidRPr="00075DC8">
              <w:rPr>
                <w:sz w:val="18"/>
                <w:szCs w:val="18"/>
                <w:lang w:val="fr-FR"/>
              </w:rPr>
              <w:t>-10,68</w:t>
            </w:r>
          </w:p>
        </w:tc>
      </w:tr>
      <w:tr w:rsidR="00725E50" w:rsidRPr="00075DC8" w14:paraId="129CF4F7" w14:textId="77777777" w:rsidTr="0083748C">
        <w:trPr>
          <w:trHeight w:val="20"/>
          <w:jc w:val="center"/>
        </w:trPr>
        <w:tc>
          <w:tcPr>
            <w:tcW w:w="3086" w:type="dxa"/>
            <w:tcMar>
              <w:left w:w="57" w:type="dxa"/>
              <w:right w:w="57" w:type="dxa"/>
            </w:tcMar>
          </w:tcPr>
          <w:p w14:paraId="693407F8" w14:textId="77777777" w:rsidR="00725E50" w:rsidRPr="00075DC8" w:rsidRDefault="00725E50" w:rsidP="00ED4837">
            <w:pPr>
              <w:pStyle w:val="Tabletext"/>
              <w:jc w:val="left"/>
              <w:rPr>
                <w:sz w:val="18"/>
                <w:szCs w:val="18"/>
                <w:lang w:val="fr-FR" w:eastAsia="ja-JP"/>
              </w:rPr>
            </w:pPr>
            <w:r w:rsidRPr="00075DC8">
              <w:rPr>
                <w:sz w:val="18"/>
                <w:szCs w:val="18"/>
                <w:lang w:val="fr-FR" w:eastAsia="ja-JP"/>
              </w:rPr>
              <w:t>Recommandation UIT-R de référence</w:t>
            </w:r>
          </w:p>
        </w:tc>
        <w:tc>
          <w:tcPr>
            <w:tcW w:w="2013" w:type="dxa"/>
            <w:gridSpan w:val="2"/>
          </w:tcPr>
          <w:p w14:paraId="0C22A172" w14:textId="77777777" w:rsidR="00725E50" w:rsidRPr="00075DC8" w:rsidRDefault="00725E50" w:rsidP="00ED4837">
            <w:pPr>
              <w:pStyle w:val="Tabletext"/>
              <w:jc w:val="center"/>
              <w:rPr>
                <w:sz w:val="18"/>
                <w:szCs w:val="18"/>
                <w:lang w:val="fr-FR" w:eastAsia="ja-JP"/>
              </w:rPr>
            </w:pPr>
            <w:r w:rsidRPr="00075DC8">
              <w:rPr>
                <w:sz w:val="18"/>
                <w:szCs w:val="18"/>
                <w:lang w:val="fr-FR"/>
              </w:rPr>
              <w:t>F.</w:t>
            </w:r>
            <w:r w:rsidRPr="00075DC8">
              <w:rPr>
                <w:sz w:val="18"/>
                <w:szCs w:val="18"/>
                <w:lang w:val="fr-FR" w:eastAsia="ja-JP"/>
              </w:rPr>
              <w:t>701</w:t>
            </w:r>
          </w:p>
        </w:tc>
        <w:tc>
          <w:tcPr>
            <w:tcW w:w="3118" w:type="dxa"/>
            <w:gridSpan w:val="2"/>
          </w:tcPr>
          <w:p w14:paraId="2798388E"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F.701</w:t>
            </w:r>
          </w:p>
        </w:tc>
        <w:tc>
          <w:tcPr>
            <w:tcW w:w="3402" w:type="dxa"/>
            <w:gridSpan w:val="2"/>
          </w:tcPr>
          <w:p w14:paraId="15BE6486" w14:textId="77777777" w:rsidR="00725E50" w:rsidRPr="00075DC8" w:rsidRDefault="00725E50" w:rsidP="00ED4837">
            <w:pPr>
              <w:pStyle w:val="Tabletext"/>
              <w:jc w:val="center"/>
              <w:rPr>
                <w:sz w:val="18"/>
                <w:szCs w:val="18"/>
                <w:lang w:val="fr-FR"/>
              </w:rPr>
            </w:pPr>
            <w:r w:rsidRPr="00075DC8">
              <w:rPr>
                <w:sz w:val="18"/>
                <w:szCs w:val="18"/>
                <w:lang w:val="fr-FR"/>
              </w:rPr>
              <w:t>F.1488</w:t>
            </w:r>
          </w:p>
        </w:tc>
        <w:tc>
          <w:tcPr>
            <w:tcW w:w="2840" w:type="dxa"/>
            <w:gridSpan w:val="2"/>
          </w:tcPr>
          <w:p w14:paraId="4423205A" w14:textId="77777777" w:rsidR="00725E50" w:rsidRPr="00075DC8" w:rsidRDefault="00725E50" w:rsidP="00ED4837">
            <w:pPr>
              <w:pStyle w:val="Tabletext"/>
              <w:jc w:val="center"/>
              <w:rPr>
                <w:sz w:val="18"/>
                <w:szCs w:val="18"/>
                <w:lang w:val="fr-FR"/>
              </w:rPr>
            </w:pPr>
            <w:r w:rsidRPr="00075DC8">
              <w:rPr>
                <w:sz w:val="18"/>
                <w:szCs w:val="18"/>
                <w:lang w:val="fr-FR"/>
              </w:rPr>
              <w:t>F.747, F.1568</w:t>
            </w:r>
          </w:p>
        </w:tc>
      </w:tr>
      <w:tr w:rsidR="00725E50" w:rsidRPr="00075DC8" w14:paraId="162A26E7" w14:textId="77777777" w:rsidTr="0083748C">
        <w:trPr>
          <w:trHeight w:val="20"/>
          <w:jc w:val="center"/>
        </w:trPr>
        <w:tc>
          <w:tcPr>
            <w:tcW w:w="3086" w:type="dxa"/>
            <w:tcMar>
              <w:left w:w="57" w:type="dxa"/>
              <w:right w:w="57" w:type="dxa"/>
            </w:tcMar>
          </w:tcPr>
          <w:p w14:paraId="2A6E5A29" w14:textId="77777777" w:rsidR="00725E50" w:rsidRPr="00075DC8" w:rsidRDefault="00725E50" w:rsidP="00ED4837">
            <w:pPr>
              <w:pStyle w:val="Tabletext"/>
              <w:jc w:val="left"/>
              <w:rPr>
                <w:sz w:val="18"/>
                <w:szCs w:val="18"/>
                <w:lang w:val="fr-FR" w:eastAsia="ja-JP"/>
              </w:rPr>
            </w:pPr>
            <w:r w:rsidRPr="00075DC8">
              <w:rPr>
                <w:sz w:val="18"/>
                <w:szCs w:val="18"/>
                <w:lang w:val="fr-FR" w:eastAsia="ja-JP"/>
              </w:rPr>
              <w:t>Format de modulation</w:t>
            </w:r>
          </w:p>
        </w:tc>
        <w:tc>
          <w:tcPr>
            <w:tcW w:w="1006" w:type="dxa"/>
          </w:tcPr>
          <w:p w14:paraId="668593BC"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Stations centrales</w:t>
            </w:r>
          </w:p>
        </w:tc>
        <w:tc>
          <w:tcPr>
            <w:tcW w:w="1007" w:type="dxa"/>
          </w:tcPr>
          <w:p w14:paraId="2D818005" w14:textId="77777777" w:rsidR="00725E50" w:rsidRPr="00075DC8" w:rsidRDefault="00725E50" w:rsidP="00ED4837">
            <w:pPr>
              <w:pStyle w:val="Tabletext"/>
              <w:ind w:left="-57"/>
              <w:jc w:val="center"/>
              <w:rPr>
                <w:sz w:val="18"/>
                <w:szCs w:val="18"/>
                <w:lang w:val="fr-FR" w:eastAsia="ja-JP"/>
              </w:rPr>
            </w:pPr>
            <w:r w:rsidRPr="00075DC8">
              <w:rPr>
                <w:sz w:val="18"/>
                <w:szCs w:val="18"/>
                <w:lang w:val="fr-FR" w:eastAsia="ja-JP"/>
              </w:rPr>
              <w:t>Stations terminales</w:t>
            </w:r>
          </w:p>
        </w:tc>
        <w:tc>
          <w:tcPr>
            <w:tcW w:w="1526" w:type="dxa"/>
          </w:tcPr>
          <w:p w14:paraId="5C1908CC"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Stations centrales de MDPQ à MAQ</w:t>
            </w:r>
            <w:r w:rsidRPr="00075DC8">
              <w:rPr>
                <w:sz w:val="18"/>
                <w:szCs w:val="18"/>
                <w:lang w:val="fr-FR" w:eastAsia="ja-JP"/>
              </w:rPr>
              <w:noBreakHyphen/>
              <w:t>64</w:t>
            </w:r>
            <w:r w:rsidRPr="00075DC8">
              <w:rPr>
                <w:sz w:val="18"/>
                <w:szCs w:val="18"/>
                <w:vertAlign w:val="superscript"/>
                <w:lang w:val="fr-FR" w:eastAsia="ja-JP"/>
              </w:rPr>
              <w:t>(5)</w:t>
            </w:r>
          </w:p>
        </w:tc>
        <w:tc>
          <w:tcPr>
            <w:tcW w:w="1592" w:type="dxa"/>
          </w:tcPr>
          <w:p w14:paraId="477350CD"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Stations terminales</w:t>
            </w:r>
            <w:r w:rsidRPr="00075DC8">
              <w:rPr>
                <w:sz w:val="18"/>
                <w:szCs w:val="18"/>
                <w:lang w:val="fr-FR" w:eastAsia="ja-JP"/>
              </w:rPr>
              <w:br/>
              <w:t>MDPQ</w:t>
            </w:r>
          </w:p>
        </w:tc>
        <w:tc>
          <w:tcPr>
            <w:tcW w:w="1662" w:type="dxa"/>
          </w:tcPr>
          <w:p w14:paraId="2DEFA862"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Stations centrales</w:t>
            </w:r>
            <w:r w:rsidRPr="00075DC8">
              <w:rPr>
                <w:sz w:val="18"/>
                <w:szCs w:val="18"/>
                <w:lang w:val="fr-FR" w:eastAsia="ja-JP"/>
              </w:rPr>
              <w:br/>
              <w:t xml:space="preserve">de MDPQ à </w:t>
            </w:r>
            <w:r w:rsidRPr="00075DC8">
              <w:rPr>
                <w:sz w:val="18"/>
                <w:szCs w:val="18"/>
                <w:lang w:val="fr-FR" w:eastAsia="ja-JP"/>
              </w:rPr>
              <w:br/>
              <w:t>MAQ-64</w:t>
            </w:r>
            <w:r w:rsidRPr="00075DC8">
              <w:rPr>
                <w:sz w:val="18"/>
                <w:szCs w:val="18"/>
                <w:vertAlign w:val="superscript"/>
                <w:lang w:val="fr-FR" w:eastAsia="ja-JP"/>
              </w:rPr>
              <w:t>(5)</w:t>
            </w:r>
          </w:p>
        </w:tc>
        <w:tc>
          <w:tcPr>
            <w:tcW w:w="1740" w:type="dxa"/>
          </w:tcPr>
          <w:p w14:paraId="5E1B7E42"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Stations terminales MDPQ</w:t>
            </w:r>
          </w:p>
        </w:tc>
        <w:tc>
          <w:tcPr>
            <w:tcW w:w="1414" w:type="dxa"/>
          </w:tcPr>
          <w:p w14:paraId="5FC78ED4" w14:textId="77777777" w:rsidR="00725E50" w:rsidRPr="00075DC8" w:rsidRDefault="00725E50" w:rsidP="00ED4837">
            <w:pPr>
              <w:pStyle w:val="Tabletext"/>
              <w:jc w:val="center"/>
              <w:rPr>
                <w:sz w:val="18"/>
                <w:szCs w:val="18"/>
                <w:lang w:val="fr-FR"/>
              </w:rPr>
            </w:pPr>
            <w:r w:rsidRPr="00075DC8">
              <w:rPr>
                <w:sz w:val="18"/>
                <w:szCs w:val="18"/>
                <w:lang w:val="fr-FR" w:eastAsia="ja-JP"/>
              </w:rPr>
              <w:t>Stations centrales</w:t>
            </w:r>
            <w:r w:rsidRPr="00075DC8">
              <w:rPr>
                <w:sz w:val="18"/>
                <w:szCs w:val="18"/>
                <w:lang w:val="fr-FR" w:eastAsia="ja-JP"/>
              </w:rPr>
              <w:br/>
              <w:t>MAQ-64</w:t>
            </w:r>
          </w:p>
        </w:tc>
        <w:tc>
          <w:tcPr>
            <w:tcW w:w="1426" w:type="dxa"/>
          </w:tcPr>
          <w:p w14:paraId="05BF4797"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Station terminale MAQ-64</w:t>
            </w:r>
          </w:p>
        </w:tc>
      </w:tr>
      <w:tr w:rsidR="00725E50" w:rsidRPr="00075DC8" w14:paraId="4461F152" w14:textId="77777777" w:rsidTr="0083748C">
        <w:trPr>
          <w:trHeight w:val="20"/>
          <w:jc w:val="center"/>
        </w:trPr>
        <w:tc>
          <w:tcPr>
            <w:tcW w:w="3086" w:type="dxa"/>
            <w:tcMar>
              <w:left w:w="57" w:type="dxa"/>
              <w:right w:w="57" w:type="dxa"/>
            </w:tcMar>
          </w:tcPr>
          <w:p w14:paraId="6A23247D" w14:textId="77777777" w:rsidR="00725E50" w:rsidRPr="00075DC8" w:rsidRDefault="00725E50" w:rsidP="00ED4837">
            <w:pPr>
              <w:pStyle w:val="Tabletext"/>
              <w:jc w:val="left"/>
              <w:rPr>
                <w:sz w:val="18"/>
                <w:szCs w:val="18"/>
                <w:lang w:val="fr-FR" w:eastAsia="ja-JP"/>
              </w:rPr>
            </w:pPr>
            <w:r w:rsidRPr="00075DC8">
              <w:rPr>
                <w:sz w:val="18"/>
                <w:szCs w:val="18"/>
                <w:lang w:val="fr-FR" w:eastAsia="ja-JP"/>
              </w:rPr>
              <w:t>Espacement des canaux et largeur de bande de bruit du récepteur (MHz)</w:t>
            </w:r>
          </w:p>
        </w:tc>
        <w:tc>
          <w:tcPr>
            <w:tcW w:w="1006" w:type="dxa"/>
          </w:tcPr>
          <w:p w14:paraId="613BAE91" w14:textId="77777777" w:rsidR="00725E50" w:rsidRPr="00075DC8" w:rsidRDefault="00725E50" w:rsidP="00ED4837">
            <w:pPr>
              <w:pStyle w:val="Tabletext"/>
              <w:jc w:val="center"/>
              <w:rPr>
                <w:sz w:val="18"/>
                <w:szCs w:val="18"/>
                <w:lang w:val="fr-FR"/>
              </w:rPr>
            </w:pPr>
            <w:r w:rsidRPr="00075DC8">
              <w:rPr>
                <w:sz w:val="18"/>
                <w:szCs w:val="18"/>
                <w:lang w:val="fr-FR" w:eastAsia="ja-JP"/>
              </w:rPr>
              <w:t>Multiple de 0,5</w:t>
            </w:r>
          </w:p>
        </w:tc>
        <w:tc>
          <w:tcPr>
            <w:tcW w:w="1007" w:type="dxa"/>
          </w:tcPr>
          <w:p w14:paraId="49A4E4BD" w14:textId="77777777" w:rsidR="00725E50" w:rsidRPr="00075DC8" w:rsidRDefault="00725E50" w:rsidP="00ED4837">
            <w:pPr>
              <w:pStyle w:val="Tabletext"/>
              <w:jc w:val="center"/>
              <w:rPr>
                <w:sz w:val="18"/>
                <w:szCs w:val="18"/>
                <w:lang w:val="fr-FR"/>
              </w:rPr>
            </w:pPr>
            <w:r w:rsidRPr="00075DC8">
              <w:rPr>
                <w:sz w:val="18"/>
                <w:szCs w:val="18"/>
                <w:lang w:val="fr-FR" w:eastAsia="ja-JP"/>
              </w:rPr>
              <w:t>Multiple de 0,5</w:t>
            </w:r>
          </w:p>
        </w:tc>
        <w:tc>
          <w:tcPr>
            <w:tcW w:w="1526" w:type="dxa"/>
          </w:tcPr>
          <w:p w14:paraId="55E80E5C" w14:textId="77777777" w:rsidR="00725E50" w:rsidRPr="00075DC8" w:rsidRDefault="00725E50" w:rsidP="00ED4837">
            <w:pPr>
              <w:pStyle w:val="Tabletext"/>
              <w:jc w:val="center"/>
              <w:rPr>
                <w:sz w:val="18"/>
                <w:szCs w:val="18"/>
                <w:vertAlign w:val="superscript"/>
                <w:lang w:val="fr-FR" w:eastAsia="ja-JP"/>
              </w:rPr>
            </w:pPr>
            <w:r w:rsidRPr="00075DC8">
              <w:rPr>
                <w:b/>
                <w:sz w:val="18"/>
                <w:szCs w:val="18"/>
                <w:lang w:val="fr-FR" w:eastAsia="ja-JP"/>
              </w:rPr>
              <w:t>5</w:t>
            </w:r>
            <w:r w:rsidRPr="00075DC8">
              <w:rPr>
                <w:sz w:val="18"/>
                <w:szCs w:val="18"/>
                <w:lang w:val="fr-FR" w:eastAsia="ja-JP"/>
              </w:rPr>
              <w:t xml:space="preserve">; </w:t>
            </w:r>
            <w:r w:rsidRPr="00075DC8">
              <w:rPr>
                <w:b/>
                <w:sz w:val="18"/>
                <w:szCs w:val="18"/>
                <w:lang w:val="fr-FR" w:eastAsia="ja-JP"/>
              </w:rPr>
              <w:t>5,5</w:t>
            </w:r>
            <w:r w:rsidRPr="00075DC8">
              <w:rPr>
                <w:sz w:val="18"/>
                <w:szCs w:val="18"/>
                <w:lang w:val="fr-FR" w:eastAsia="ja-JP"/>
              </w:rPr>
              <w:t>;</w:t>
            </w:r>
            <w:r w:rsidRPr="00075DC8">
              <w:rPr>
                <w:b/>
                <w:sz w:val="18"/>
                <w:szCs w:val="18"/>
                <w:lang w:val="fr-FR" w:eastAsia="ja-JP"/>
              </w:rPr>
              <w:t xml:space="preserve"> 6</w:t>
            </w:r>
            <w:r w:rsidRPr="00075DC8">
              <w:rPr>
                <w:sz w:val="18"/>
                <w:szCs w:val="18"/>
                <w:vertAlign w:val="superscript"/>
                <w:lang w:val="fr-FR" w:eastAsia="ja-JP"/>
              </w:rPr>
              <w:t>(6)</w:t>
            </w:r>
          </w:p>
        </w:tc>
        <w:tc>
          <w:tcPr>
            <w:tcW w:w="1592" w:type="dxa"/>
          </w:tcPr>
          <w:p w14:paraId="427BC83F" w14:textId="77777777" w:rsidR="00725E50" w:rsidRPr="00075DC8" w:rsidRDefault="00725E50" w:rsidP="00ED4837">
            <w:pPr>
              <w:pStyle w:val="Tabletext"/>
              <w:jc w:val="center"/>
              <w:rPr>
                <w:sz w:val="18"/>
                <w:szCs w:val="18"/>
                <w:vertAlign w:val="superscript"/>
                <w:lang w:val="fr-FR" w:eastAsia="ja-JP"/>
              </w:rPr>
            </w:pPr>
            <w:r w:rsidRPr="00075DC8">
              <w:rPr>
                <w:b/>
                <w:sz w:val="18"/>
                <w:szCs w:val="18"/>
                <w:lang w:val="fr-FR" w:eastAsia="ja-JP"/>
              </w:rPr>
              <w:t>5</w:t>
            </w:r>
            <w:r w:rsidRPr="00075DC8">
              <w:rPr>
                <w:sz w:val="18"/>
                <w:szCs w:val="18"/>
                <w:lang w:val="fr-FR" w:eastAsia="ja-JP"/>
              </w:rPr>
              <w:t xml:space="preserve">; </w:t>
            </w:r>
            <w:r w:rsidRPr="00075DC8">
              <w:rPr>
                <w:b/>
                <w:sz w:val="18"/>
                <w:szCs w:val="18"/>
                <w:lang w:val="fr-FR" w:eastAsia="ja-JP"/>
              </w:rPr>
              <w:t>5,5</w:t>
            </w:r>
            <w:r w:rsidRPr="00075DC8">
              <w:rPr>
                <w:sz w:val="18"/>
                <w:szCs w:val="18"/>
                <w:lang w:val="fr-FR" w:eastAsia="ja-JP"/>
              </w:rPr>
              <w:t xml:space="preserve">; </w:t>
            </w:r>
            <w:r w:rsidRPr="00075DC8">
              <w:rPr>
                <w:b/>
                <w:sz w:val="18"/>
                <w:szCs w:val="18"/>
                <w:lang w:val="fr-FR" w:eastAsia="ja-JP"/>
              </w:rPr>
              <w:t>6</w:t>
            </w:r>
            <w:r w:rsidRPr="00075DC8">
              <w:rPr>
                <w:sz w:val="18"/>
                <w:szCs w:val="18"/>
                <w:vertAlign w:val="superscript"/>
                <w:lang w:val="fr-FR" w:eastAsia="ja-JP"/>
              </w:rPr>
              <w:t>(6)</w:t>
            </w:r>
          </w:p>
        </w:tc>
        <w:tc>
          <w:tcPr>
            <w:tcW w:w="1662" w:type="dxa"/>
          </w:tcPr>
          <w:p w14:paraId="21BDF726"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25</w:t>
            </w:r>
            <w:r w:rsidRPr="00075DC8">
              <w:rPr>
                <w:sz w:val="18"/>
                <w:szCs w:val="18"/>
                <w:vertAlign w:val="superscript"/>
                <w:lang w:val="fr-FR" w:eastAsia="ja-JP"/>
              </w:rPr>
              <w:t>(4)</w:t>
            </w:r>
            <w:r w:rsidRPr="00075DC8">
              <w:rPr>
                <w:sz w:val="18"/>
                <w:szCs w:val="18"/>
                <w:lang w:val="fr-FR"/>
              </w:rPr>
              <w:t xml:space="preserve">; </w:t>
            </w:r>
            <w:r w:rsidRPr="00075DC8">
              <w:rPr>
                <w:b/>
                <w:sz w:val="18"/>
                <w:szCs w:val="18"/>
                <w:lang w:val="fr-FR" w:eastAsia="ja-JP"/>
              </w:rPr>
              <w:t>1,75</w:t>
            </w:r>
            <w:r w:rsidRPr="00075DC8">
              <w:rPr>
                <w:sz w:val="18"/>
                <w:szCs w:val="18"/>
                <w:lang w:val="fr-FR" w:eastAsia="ja-JP"/>
              </w:rPr>
              <w:t xml:space="preserve">; </w:t>
            </w:r>
            <w:r w:rsidRPr="00075DC8">
              <w:rPr>
                <w:b/>
                <w:sz w:val="18"/>
                <w:szCs w:val="18"/>
                <w:lang w:val="fr-FR" w:eastAsia="ja-JP"/>
              </w:rPr>
              <w:t>3,5</w:t>
            </w:r>
            <w:r w:rsidRPr="00075DC8">
              <w:rPr>
                <w:sz w:val="18"/>
                <w:szCs w:val="18"/>
                <w:lang w:val="fr-FR" w:eastAsia="ja-JP"/>
              </w:rPr>
              <w:t>; …</w:t>
            </w:r>
            <w:r w:rsidRPr="00075DC8">
              <w:rPr>
                <w:b/>
                <w:sz w:val="18"/>
                <w:szCs w:val="18"/>
                <w:lang w:val="fr-FR" w:eastAsia="ja-JP"/>
              </w:rPr>
              <w:t>14</w:t>
            </w:r>
            <w:r w:rsidRPr="00075DC8">
              <w:rPr>
                <w:sz w:val="18"/>
                <w:szCs w:val="18"/>
                <w:vertAlign w:val="superscript"/>
                <w:lang w:val="fr-FR" w:eastAsia="ja-JP"/>
              </w:rPr>
              <w:t>(7)</w:t>
            </w:r>
          </w:p>
        </w:tc>
        <w:tc>
          <w:tcPr>
            <w:tcW w:w="1740" w:type="dxa"/>
          </w:tcPr>
          <w:p w14:paraId="0FBF339D" w14:textId="77777777" w:rsidR="00725E50" w:rsidRPr="00075DC8" w:rsidRDefault="00725E50" w:rsidP="00ED4837">
            <w:pPr>
              <w:pStyle w:val="Tabletext"/>
              <w:jc w:val="center"/>
              <w:rPr>
                <w:sz w:val="18"/>
                <w:szCs w:val="18"/>
                <w:lang w:val="fr-FR"/>
              </w:rPr>
            </w:pPr>
            <w:r w:rsidRPr="00075DC8">
              <w:rPr>
                <w:sz w:val="18"/>
                <w:szCs w:val="18"/>
                <w:lang w:val="fr-FR" w:eastAsia="ja-JP"/>
              </w:rPr>
              <w:t>25</w:t>
            </w:r>
            <w:r w:rsidRPr="00075DC8">
              <w:rPr>
                <w:sz w:val="18"/>
                <w:szCs w:val="18"/>
                <w:vertAlign w:val="superscript"/>
                <w:lang w:val="fr-FR" w:eastAsia="ja-JP"/>
              </w:rPr>
              <w:t>(4)</w:t>
            </w:r>
            <w:r w:rsidRPr="00075DC8">
              <w:rPr>
                <w:sz w:val="18"/>
                <w:szCs w:val="18"/>
                <w:lang w:val="fr-FR"/>
              </w:rPr>
              <w:t xml:space="preserve">; </w:t>
            </w:r>
            <w:r w:rsidRPr="00075DC8">
              <w:rPr>
                <w:b/>
                <w:sz w:val="18"/>
                <w:szCs w:val="18"/>
                <w:lang w:val="fr-FR" w:eastAsia="ja-JP"/>
              </w:rPr>
              <w:t>1,75</w:t>
            </w:r>
            <w:r w:rsidRPr="00075DC8">
              <w:rPr>
                <w:sz w:val="18"/>
                <w:szCs w:val="18"/>
                <w:lang w:val="fr-FR" w:eastAsia="ja-JP"/>
              </w:rPr>
              <w:t xml:space="preserve">; </w:t>
            </w:r>
            <w:r w:rsidRPr="00075DC8">
              <w:rPr>
                <w:b/>
                <w:sz w:val="18"/>
                <w:szCs w:val="18"/>
                <w:lang w:val="fr-FR" w:eastAsia="ja-JP"/>
              </w:rPr>
              <w:t>3,5</w:t>
            </w:r>
            <w:r w:rsidRPr="00075DC8">
              <w:rPr>
                <w:sz w:val="18"/>
                <w:szCs w:val="18"/>
                <w:lang w:val="fr-FR" w:eastAsia="ja-JP"/>
              </w:rPr>
              <w:t>; …</w:t>
            </w:r>
            <w:r w:rsidRPr="00075DC8">
              <w:rPr>
                <w:b/>
                <w:sz w:val="18"/>
                <w:szCs w:val="18"/>
                <w:lang w:val="fr-FR" w:eastAsia="ja-JP"/>
              </w:rPr>
              <w:t>14</w:t>
            </w:r>
            <w:r w:rsidRPr="00075DC8">
              <w:rPr>
                <w:sz w:val="18"/>
                <w:szCs w:val="18"/>
                <w:vertAlign w:val="superscript"/>
                <w:lang w:val="fr-FR" w:eastAsia="ja-JP"/>
              </w:rPr>
              <w:t>(7)</w:t>
            </w:r>
          </w:p>
        </w:tc>
        <w:tc>
          <w:tcPr>
            <w:tcW w:w="1414" w:type="dxa"/>
          </w:tcPr>
          <w:p w14:paraId="352BDA77" w14:textId="77777777" w:rsidR="00725E50" w:rsidRPr="00075DC8" w:rsidRDefault="00725E50" w:rsidP="00ED4837">
            <w:pPr>
              <w:pStyle w:val="Tabletext"/>
              <w:jc w:val="center"/>
              <w:rPr>
                <w:sz w:val="18"/>
                <w:szCs w:val="18"/>
                <w:lang w:val="fr-FR" w:eastAsia="ja-JP"/>
              </w:rPr>
            </w:pPr>
            <w:r w:rsidRPr="00075DC8">
              <w:rPr>
                <w:b/>
                <w:sz w:val="18"/>
                <w:szCs w:val="18"/>
                <w:lang w:val="fr-FR" w:eastAsia="ja-JP"/>
              </w:rPr>
              <w:t>1,75</w:t>
            </w:r>
            <w:r w:rsidRPr="00075DC8">
              <w:rPr>
                <w:sz w:val="18"/>
                <w:szCs w:val="18"/>
                <w:vertAlign w:val="superscript"/>
                <w:lang w:val="fr-FR" w:eastAsia="ja-JP"/>
              </w:rPr>
              <w:t>(3)</w:t>
            </w:r>
            <w:r w:rsidRPr="00075DC8">
              <w:rPr>
                <w:sz w:val="18"/>
                <w:szCs w:val="18"/>
                <w:lang w:val="fr-FR" w:eastAsia="ja-JP"/>
              </w:rPr>
              <w:t>; 2,5; 5; 28</w:t>
            </w:r>
            <w:r w:rsidRPr="00075DC8">
              <w:rPr>
                <w:sz w:val="18"/>
                <w:szCs w:val="18"/>
                <w:vertAlign w:val="superscript"/>
                <w:lang w:val="fr-FR" w:eastAsia="ja-JP"/>
              </w:rPr>
              <w:t>(4)</w:t>
            </w:r>
            <w:r w:rsidRPr="00075DC8">
              <w:rPr>
                <w:sz w:val="18"/>
                <w:szCs w:val="18"/>
                <w:lang w:val="fr-FR" w:eastAsia="ja-JP"/>
              </w:rPr>
              <w:t>; 30</w:t>
            </w:r>
            <w:r w:rsidRPr="00075DC8">
              <w:rPr>
                <w:sz w:val="18"/>
                <w:szCs w:val="18"/>
                <w:vertAlign w:val="superscript"/>
                <w:lang w:val="fr-FR" w:eastAsia="ja-JP"/>
              </w:rPr>
              <w:t>(4)</w:t>
            </w:r>
          </w:p>
        </w:tc>
        <w:tc>
          <w:tcPr>
            <w:tcW w:w="1426" w:type="dxa"/>
          </w:tcPr>
          <w:p w14:paraId="6E68C532" w14:textId="5A8D88D0" w:rsidR="00725E50" w:rsidRPr="00075DC8" w:rsidRDefault="00725E50" w:rsidP="00ED4837">
            <w:pPr>
              <w:pStyle w:val="Tabletext"/>
              <w:jc w:val="center"/>
              <w:rPr>
                <w:sz w:val="18"/>
                <w:szCs w:val="18"/>
                <w:lang w:val="fr-FR"/>
              </w:rPr>
            </w:pPr>
            <w:r w:rsidRPr="00075DC8">
              <w:rPr>
                <w:b/>
                <w:sz w:val="18"/>
                <w:szCs w:val="18"/>
                <w:lang w:val="fr-FR" w:eastAsia="ja-JP"/>
              </w:rPr>
              <w:t>1,75</w:t>
            </w:r>
            <w:r w:rsidRPr="00075DC8">
              <w:rPr>
                <w:sz w:val="18"/>
                <w:szCs w:val="18"/>
                <w:vertAlign w:val="superscript"/>
                <w:lang w:val="fr-FR" w:eastAsia="ja-JP"/>
              </w:rPr>
              <w:t>(3)</w:t>
            </w:r>
            <w:r w:rsidRPr="00075DC8">
              <w:rPr>
                <w:sz w:val="18"/>
                <w:szCs w:val="18"/>
                <w:lang w:val="fr-FR" w:eastAsia="ja-JP"/>
              </w:rPr>
              <w:t>; 2,5; 5; 28</w:t>
            </w:r>
            <w:r w:rsidRPr="00075DC8">
              <w:rPr>
                <w:sz w:val="18"/>
                <w:szCs w:val="18"/>
                <w:vertAlign w:val="superscript"/>
                <w:lang w:val="fr-FR" w:eastAsia="ja-JP"/>
              </w:rPr>
              <w:t>(4)</w:t>
            </w:r>
            <w:r w:rsidRPr="00075DC8">
              <w:rPr>
                <w:sz w:val="18"/>
                <w:szCs w:val="18"/>
                <w:lang w:val="fr-FR" w:eastAsia="ja-JP"/>
              </w:rPr>
              <w:t>; 30</w:t>
            </w:r>
            <w:r w:rsidRPr="00075DC8">
              <w:rPr>
                <w:sz w:val="18"/>
                <w:szCs w:val="18"/>
                <w:vertAlign w:val="superscript"/>
                <w:lang w:val="fr-FR" w:eastAsia="ja-JP"/>
              </w:rPr>
              <w:t>(4)</w:t>
            </w:r>
          </w:p>
        </w:tc>
      </w:tr>
      <w:tr w:rsidR="00725E50" w:rsidRPr="00075DC8" w14:paraId="6D3AB6C5" w14:textId="77777777" w:rsidTr="0083748C">
        <w:trPr>
          <w:trHeight w:val="20"/>
          <w:jc w:val="center"/>
        </w:trPr>
        <w:tc>
          <w:tcPr>
            <w:tcW w:w="3086" w:type="dxa"/>
            <w:tcMar>
              <w:left w:w="57" w:type="dxa"/>
              <w:right w:w="57" w:type="dxa"/>
            </w:tcMar>
          </w:tcPr>
          <w:p w14:paraId="7C73AED4" w14:textId="739423AC" w:rsidR="00725E50" w:rsidRPr="00075DC8" w:rsidRDefault="00725E50" w:rsidP="00ED4837">
            <w:pPr>
              <w:pStyle w:val="Tabletext"/>
              <w:jc w:val="left"/>
              <w:rPr>
                <w:sz w:val="18"/>
                <w:szCs w:val="18"/>
                <w:lang w:val="fr-FR" w:eastAsia="ja-JP"/>
              </w:rPr>
            </w:pPr>
            <w:r w:rsidRPr="00075DC8">
              <w:rPr>
                <w:sz w:val="18"/>
                <w:szCs w:val="18"/>
                <w:lang w:val="fr-FR" w:eastAsia="ja-JP"/>
              </w:rPr>
              <w:t>Plage des puissances de sortie au niveau de l</w:t>
            </w:r>
            <w:r w:rsidR="001F6A0D" w:rsidRPr="00075DC8">
              <w:rPr>
                <w:sz w:val="18"/>
                <w:szCs w:val="18"/>
                <w:lang w:val="fr-FR" w:eastAsia="ja-JP"/>
              </w:rPr>
              <w:t>'</w:t>
            </w:r>
            <w:r w:rsidRPr="00075DC8">
              <w:rPr>
                <w:sz w:val="18"/>
                <w:szCs w:val="18"/>
                <w:lang w:val="fr-FR" w:eastAsia="ja-JP"/>
              </w:rPr>
              <w:t>émetteur (dBW)</w:t>
            </w:r>
          </w:p>
        </w:tc>
        <w:tc>
          <w:tcPr>
            <w:tcW w:w="1006" w:type="dxa"/>
            <w:vMerge w:val="restart"/>
          </w:tcPr>
          <w:p w14:paraId="7D06E543" w14:textId="77777777" w:rsidR="00725E50" w:rsidRPr="00075DC8" w:rsidRDefault="00725E50" w:rsidP="00ED4837">
            <w:pPr>
              <w:pStyle w:val="Tabletext"/>
              <w:jc w:val="center"/>
              <w:rPr>
                <w:sz w:val="18"/>
                <w:szCs w:val="18"/>
                <w:lang w:val="fr-FR" w:eastAsia="ja-JP"/>
              </w:rPr>
            </w:pPr>
            <w:r w:rsidRPr="00075DC8">
              <w:rPr>
                <w:sz w:val="18"/>
                <w:szCs w:val="18"/>
                <w:lang w:val="fr-FR"/>
              </w:rPr>
              <w:t>NOTE</w:t>
            </w:r>
          </w:p>
        </w:tc>
        <w:tc>
          <w:tcPr>
            <w:tcW w:w="1007" w:type="dxa"/>
            <w:vMerge w:val="restart"/>
          </w:tcPr>
          <w:p w14:paraId="0C962B10" w14:textId="77777777" w:rsidR="00725E50" w:rsidRPr="00075DC8" w:rsidRDefault="00725E50" w:rsidP="00ED4837">
            <w:pPr>
              <w:pStyle w:val="Tabletext"/>
              <w:jc w:val="center"/>
              <w:rPr>
                <w:sz w:val="18"/>
                <w:szCs w:val="18"/>
                <w:lang w:val="fr-FR" w:eastAsia="ja-JP"/>
              </w:rPr>
            </w:pPr>
            <w:r w:rsidRPr="00075DC8">
              <w:rPr>
                <w:sz w:val="18"/>
                <w:szCs w:val="18"/>
                <w:lang w:val="fr-FR"/>
              </w:rPr>
              <w:t>NOTE</w:t>
            </w:r>
          </w:p>
        </w:tc>
        <w:tc>
          <w:tcPr>
            <w:tcW w:w="1526" w:type="dxa"/>
          </w:tcPr>
          <w:p w14:paraId="77FEB1B1"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5</w:t>
            </w:r>
            <w:r w:rsidRPr="00075DC8">
              <w:rPr>
                <w:sz w:val="18"/>
                <w:szCs w:val="18"/>
                <w:lang w:val="fr-FR"/>
              </w:rPr>
              <w:t>…</w:t>
            </w:r>
            <w:r w:rsidRPr="00075DC8">
              <w:rPr>
                <w:sz w:val="18"/>
                <w:szCs w:val="18"/>
                <w:lang w:val="fr-FR" w:eastAsia="ja-JP"/>
              </w:rPr>
              <w:t>13</w:t>
            </w:r>
          </w:p>
        </w:tc>
        <w:tc>
          <w:tcPr>
            <w:tcW w:w="1592" w:type="dxa"/>
          </w:tcPr>
          <w:p w14:paraId="00F3CBF1" w14:textId="77777777" w:rsidR="00725E50" w:rsidRPr="00075DC8" w:rsidRDefault="00725E50" w:rsidP="00ED4837">
            <w:pPr>
              <w:pStyle w:val="Tabletext"/>
              <w:jc w:val="center"/>
              <w:rPr>
                <w:sz w:val="18"/>
                <w:szCs w:val="18"/>
                <w:lang w:val="fr-FR" w:eastAsia="ja-JP"/>
              </w:rPr>
            </w:pPr>
            <w:r w:rsidRPr="00075DC8">
              <w:rPr>
                <w:sz w:val="18"/>
                <w:szCs w:val="18"/>
                <w:lang w:val="fr-FR"/>
              </w:rPr>
              <w:t>−</w:t>
            </w:r>
            <w:r w:rsidRPr="00075DC8">
              <w:rPr>
                <w:sz w:val="18"/>
                <w:szCs w:val="18"/>
                <w:lang w:val="fr-FR" w:eastAsia="ja-JP"/>
              </w:rPr>
              <w:t>6</w:t>
            </w:r>
            <w:r w:rsidRPr="00075DC8">
              <w:rPr>
                <w:sz w:val="18"/>
                <w:szCs w:val="18"/>
                <w:lang w:val="fr-FR"/>
              </w:rPr>
              <w:t>…</w:t>
            </w:r>
            <w:r w:rsidRPr="00075DC8">
              <w:rPr>
                <w:sz w:val="18"/>
                <w:szCs w:val="18"/>
                <w:lang w:val="fr-FR" w:eastAsia="ja-JP"/>
              </w:rPr>
              <w:t>0</w:t>
            </w:r>
          </w:p>
        </w:tc>
        <w:tc>
          <w:tcPr>
            <w:tcW w:w="1662" w:type="dxa"/>
          </w:tcPr>
          <w:p w14:paraId="23E37AC0"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5</w:t>
            </w:r>
            <w:r w:rsidRPr="00075DC8">
              <w:rPr>
                <w:sz w:val="18"/>
                <w:szCs w:val="18"/>
                <w:lang w:val="fr-FR"/>
              </w:rPr>
              <w:t>…</w:t>
            </w:r>
            <w:r w:rsidRPr="00075DC8">
              <w:rPr>
                <w:sz w:val="18"/>
                <w:szCs w:val="18"/>
                <w:lang w:val="fr-FR" w:eastAsia="ja-JP"/>
              </w:rPr>
              <w:t>13</w:t>
            </w:r>
          </w:p>
        </w:tc>
        <w:tc>
          <w:tcPr>
            <w:tcW w:w="1740" w:type="dxa"/>
          </w:tcPr>
          <w:p w14:paraId="68E8D2F1" w14:textId="77777777" w:rsidR="00725E50" w:rsidRPr="00075DC8" w:rsidRDefault="00725E50" w:rsidP="00ED4837">
            <w:pPr>
              <w:pStyle w:val="Tabletext"/>
              <w:jc w:val="center"/>
              <w:rPr>
                <w:sz w:val="18"/>
                <w:szCs w:val="18"/>
                <w:lang w:val="fr-FR"/>
              </w:rPr>
            </w:pPr>
            <w:r w:rsidRPr="00075DC8">
              <w:rPr>
                <w:sz w:val="18"/>
                <w:szCs w:val="18"/>
                <w:lang w:val="fr-FR"/>
              </w:rPr>
              <w:t>−</w:t>
            </w:r>
            <w:r w:rsidRPr="00075DC8">
              <w:rPr>
                <w:sz w:val="18"/>
                <w:szCs w:val="18"/>
                <w:lang w:val="fr-FR" w:eastAsia="ja-JP"/>
              </w:rPr>
              <w:t>6</w:t>
            </w:r>
            <w:r w:rsidRPr="00075DC8">
              <w:rPr>
                <w:sz w:val="18"/>
                <w:szCs w:val="18"/>
                <w:lang w:val="fr-FR"/>
              </w:rPr>
              <w:t>…</w:t>
            </w:r>
            <w:r w:rsidRPr="00075DC8">
              <w:rPr>
                <w:sz w:val="18"/>
                <w:szCs w:val="18"/>
                <w:lang w:val="fr-FR" w:eastAsia="ja-JP"/>
              </w:rPr>
              <w:t>0</w:t>
            </w:r>
          </w:p>
        </w:tc>
        <w:tc>
          <w:tcPr>
            <w:tcW w:w="1414" w:type="dxa"/>
          </w:tcPr>
          <w:p w14:paraId="46F15FEC" w14:textId="77777777" w:rsidR="00725E50" w:rsidRPr="00075DC8" w:rsidRDefault="00725E50" w:rsidP="00ED4837">
            <w:pPr>
              <w:pStyle w:val="Tabletext"/>
              <w:jc w:val="center"/>
              <w:rPr>
                <w:sz w:val="18"/>
                <w:szCs w:val="18"/>
                <w:lang w:val="fr-FR" w:eastAsia="ja-JP"/>
              </w:rPr>
            </w:pPr>
            <w:r w:rsidRPr="00075DC8">
              <w:rPr>
                <w:sz w:val="18"/>
                <w:szCs w:val="18"/>
                <w:lang w:val="fr-FR"/>
              </w:rPr>
              <w:t>−</w:t>
            </w:r>
            <w:r w:rsidRPr="00075DC8">
              <w:rPr>
                <w:sz w:val="18"/>
                <w:szCs w:val="18"/>
                <w:lang w:val="fr-FR" w:eastAsia="ja-JP"/>
              </w:rPr>
              <w:t>3</w:t>
            </w:r>
          </w:p>
        </w:tc>
        <w:tc>
          <w:tcPr>
            <w:tcW w:w="1426" w:type="dxa"/>
          </w:tcPr>
          <w:p w14:paraId="34F9C657" w14:textId="77777777" w:rsidR="00725E50" w:rsidRPr="00075DC8" w:rsidRDefault="00725E50" w:rsidP="00ED4837">
            <w:pPr>
              <w:pStyle w:val="Tabletext"/>
              <w:jc w:val="center"/>
              <w:rPr>
                <w:sz w:val="18"/>
                <w:szCs w:val="18"/>
                <w:lang w:val="fr-FR" w:eastAsia="ja-JP"/>
              </w:rPr>
            </w:pPr>
            <w:r w:rsidRPr="00075DC8">
              <w:rPr>
                <w:sz w:val="18"/>
                <w:szCs w:val="18"/>
                <w:lang w:val="fr-FR"/>
              </w:rPr>
              <w:t>−</w:t>
            </w:r>
            <w:r w:rsidRPr="00075DC8">
              <w:rPr>
                <w:sz w:val="18"/>
                <w:szCs w:val="18"/>
                <w:lang w:val="fr-FR" w:eastAsia="ja-JP"/>
              </w:rPr>
              <w:t>12</w:t>
            </w:r>
          </w:p>
        </w:tc>
      </w:tr>
      <w:tr w:rsidR="00725E50" w:rsidRPr="00075DC8" w14:paraId="76B8C72A" w14:textId="77777777" w:rsidTr="0083748C">
        <w:trPr>
          <w:trHeight w:val="20"/>
          <w:jc w:val="center"/>
        </w:trPr>
        <w:tc>
          <w:tcPr>
            <w:tcW w:w="3086" w:type="dxa"/>
            <w:tcMar>
              <w:left w:w="57" w:type="dxa"/>
              <w:right w:w="57" w:type="dxa"/>
            </w:tcMar>
          </w:tcPr>
          <w:p w14:paraId="00828221" w14:textId="6F696D10" w:rsidR="00725E50" w:rsidRPr="00075DC8" w:rsidRDefault="00725E50" w:rsidP="00ED4837">
            <w:pPr>
              <w:pStyle w:val="Tabletext"/>
              <w:jc w:val="left"/>
              <w:rPr>
                <w:sz w:val="18"/>
                <w:szCs w:val="18"/>
                <w:lang w:val="fr-FR"/>
              </w:rPr>
            </w:pPr>
            <w:r w:rsidRPr="00075DC8">
              <w:rPr>
                <w:sz w:val="18"/>
                <w:szCs w:val="18"/>
                <w:lang w:val="fr-FR" w:eastAsia="ja-JP"/>
              </w:rPr>
              <w:t>Plage des densités de puissance de sortie au niveau de l</w:t>
            </w:r>
            <w:r w:rsidR="001F6A0D" w:rsidRPr="00075DC8">
              <w:rPr>
                <w:sz w:val="18"/>
                <w:szCs w:val="18"/>
                <w:lang w:val="fr-FR" w:eastAsia="ja-JP"/>
              </w:rPr>
              <w:t>'</w:t>
            </w:r>
            <w:r w:rsidRPr="00075DC8">
              <w:rPr>
                <w:sz w:val="18"/>
                <w:szCs w:val="18"/>
                <w:lang w:val="fr-FR" w:eastAsia="ja-JP"/>
              </w:rPr>
              <w:t xml:space="preserve">émetteur </w:t>
            </w:r>
            <w:r w:rsidRPr="00075DC8">
              <w:rPr>
                <w:sz w:val="18"/>
                <w:szCs w:val="18"/>
                <w:lang w:val="fr-FR"/>
              </w:rPr>
              <w:t>(dBW/MHz)</w:t>
            </w:r>
            <w:r w:rsidRPr="00075DC8">
              <w:rPr>
                <w:sz w:val="18"/>
                <w:szCs w:val="18"/>
                <w:vertAlign w:val="superscript"/>
                <w:lang w:val="fr-FR" w:eastAsia="ja-JP"/>
              </w:rPr>
              <w:t>(1)</w:t>
            </w:r>
          </w:p>
        </w:tc>
        <w:tc>
          <w:tcPr>
            <w:tcW w:w="1006" w:type="dxa"/>
            <w:vMerge/>
          </w:tcPr>
          <w:p w14:paraId="29C6E875" w14:textId="77777777" w:rsidR="00725E50" w:rsidRPr="00075DC8" w:rsidRDefault="00725E50" w:rsidP="00ED4837">
            <w:pPr>
              <w:pStyle w:val="Tabletext"/>
              <w:jc w:val="center"/>
              <w:rPr>
                <w:sz w:val="18"/>
                <w:szCs w:val="18"/>
                <w:lang w:val="fr-FR"/>
              </w:rPr>
            </w:pPr>
          </w:p>
        </w:tc>
        <w:tc>
          <w:tcPr>
            <w:tcW w:w="1007" w:type="dxa"/>
            <w:vMerge/>
          </w:tcPr>
          <w:p w14:paraId="4ED09A62" w14:textId="77777777" w:rsidR="00725E50" w:rsidRPr="00075DC8" w:rsidRDefault="00725E50" w:rsidP="00ED4837">
            <w:pPr>
              <w:pStyle w:val="Tabletext"/>
              <w:jc w:val="center"/>
              <w:rPr>
                <w:sz w:val="18"/>
                <w:szCs w:val="18"/>
                <w:lang w:val="fr-FR"/>
              </w:rPr>
            </w:pPr>
          </w:p>
        </w:tc>
        <w:tc>
          <w:tcPr>
            <w:tcW w:w="1526" w:type="dxa"/>
          </w:tcPr>
          <w:p w14:paraId="33BF8AB1" w14:textId="77777777" w:rsidR="00725E50" w:rsidRPr="00075DC8" w:rsidRDefault="00725E50" w:rsidP="00ED4837">
            <w:pPr>
              <w:pStyle w:val="Tabletext"/>
              <w:jc w:val="center"/>
              <w:rPr>
                <w:sz w:val="18"/>
                <w:szCs w:val="18"/>
                <w:lang w:val="fr-FR"/>
              </w:rPr>
            </w:pPr>
            <w:r w:rsidRPr="00075DC8">
              <w:rPr>
                <w:sz w:val="18"/>
                <w:szCs w:val="18"/>
                <w:lang w:val="fr-FR" w:eastAsia="ja-JP"/>
              </w:rPr>
              <w:t>−2,78…6,01</w:t>
            </w:r>
          </w:p>
        </w:tc>
        <w:tc>
          <w:tcPr>
            <w:tcW w:w="1592" w:type="dxa"/>
          </w:tcPr>
          <w:p w14:paraId="56386571" w14:textId="77777777" w:rsidR="00725E50" w:rsidRPr="00075DC8" w:rsidRDefault="00725E50" w:rsidP="00ED4837">
            <w:pPr>
              <w:pStyle w:val="Tabletext"/>
              <w:jc w:val="center"/>
              <w:rPr>
                <w:sz w:val="18"/>
                <w:szCs w:val="18"/>
                <w:lang w:val="fr-FR"/>
              </w:rPr>
            </w:pPr>
            <w:r w:rsidRPr="00075DC8">
              <w:rPr>
                <w:sz w:val="18"/>
                <w:szCs w:val="18"/>
                <w:lang w:val="fr-FR"/>
              </w:rPr>
              <w:t>−</w:t>
            </w:r>
            <w:r w:rsidRPr="00075DC8">
              <w:rPr>
                <w:sz w:val="18"/>
                <w:szCs w:val="18"/>
                <w:lang w:val="fr-FR" w:eastAsia="ja-JP"/>
              </w:rPr>
              <w:t>13,8…</w:t>
            </w:r>
            <w:r w:rsidRPr="00075DC8">
              <w:rPr>
                <w:sz w:val="18"/>
                <w:szCs w:val="18"/>
                <w:lang w:val="fr-FR"/>
              </w:rPr>
              <w:t>−</w:t>
            </w:r>
            <w:r w:rsidRPr="00075DC8">
              <w:rPr>
                <w:sz w:val="18"/>
                <w:szCs w:val="18"/>
                <w:lang w:val="fr-FR" w:eastAsia="ja-JP"/>
              </w:rPr>
              <w:t>6,99</w:t>
            </w:r>
          </w:p>
        </w:tc>
        <w:tc>
          <w:tcPr>
            <w:tcW w:w="1662" w:type="dxa"/>
          </w:tcPr>
          <w:p w14:paraId="4C988248" w14:textId="77777777" w:rsidR="00725E50" w:rsidRPr="00075DC8" w:rsidRDefault="00725E50" w:rsidP="00ED4837">
            <w:pPr>
              <w:pStyle w:val="Tabletext"/>
              <w:jc w:val="center"/>
              <w:rPr>
                <w:sz w:val="18"/>
                <w:szCs w:val="18"/>
                <w:lang w:val="fr-FR"/>
              </w:rPr>
            </w:pPr>
            <w:r w:rsidRPr="00075DC8">
              <w:rPr>
                <w:sz w:val="18"/>
                <w:szCs w:val="18"/>
                <w:lang w:val="fr-FR" w:eastAsia="ja-JP"/>
              </w:rPr>
              <w:t>−6,46…10,6</w:t>
            </w:r>
          </w:p>
        </w:tc>
        <w:tc>
          <w:tcPr>
            <w:tcW w:w="1740" w:type="dxa"/>
          </w:tcPr>
          <w:p w14:paraId="11CAE305" w14:textId="77777777" w:rsidR="00725E50" w:rsidRPr="00075DC8" w:rsidRDefault="00725E50" w:rsidP="00ED4837">
            <w:pPr>
              <w:pStyle w:val="Tabletext"/>
              <w:jc w:val="center"/>
              <w:rPr>
                <w:sz w:val="18"/>
                <w:szCs w:val="18"/>
                <w:lang w:val="fr-FR"/>
              </w:rPr>
            </w:pPr>
            <w:r w:rsidRPr="00075DC8">
              <w:rPr>
                <w:sz w:val="18"/>
                <w:szCs w:val="18"/>
                <w:lang w:val="fr-FR"/>
              </w:rPr>
              <w:t>−</w:t>
            </w:r>
            <w:r w:rsidRPr="00075DC8">
              <w:rPr>
                <w:sz w:val="18"/>
                <w:szCs w:val="18"/>
                <w:lang w:val="fr-FR" w:eastAsia="ja-JP"/>
              </w:rPr>
              <w:t>17,5…</w:t>
            </w:r>
            <w:r w:rsidRPr="00075DC8">
              <w:rPr>
                <w:sz w:val="18"/>
                <w:szCs w:val="18"/>
                <w:lang w:val="fr-FR"/>
              </w:rPr>
              <w:t>−</w:t>
            </w:r>
            <w:r w:rsidRPr="00075DC8">
              <w:rPr>
                <w:sz w:val="18"/>
                <w:szCs w:val="18"/>
                <w:lang w:val="fr-FR" w:eastAsia="ja-JP"/>
              </w:rPr>
              <w:t>2,43</w:t>
            </w:r>
          </w:p>
        </w:tc>
        <w:tc>
          <w:tcPr>
            <w:tcW w:w="1414" w:type="dxa"/>
          </w:tcPr>
          <w:p w14:paraId="2F73E8A5" w14:textId="77777777" w:rsidR="00725E50" w:rsidRPr="00075DC8" w:rsidRDefault="00725E50" w:rsidP="00ED4837">
            <w:pPr>
              <w:pStyle w:val="Tabletext"/>
              <w:jc w:val="center"/>
              <w:rPr>
                <w:sz w:val="18"/>
                <w:szCs w:val="18"/>
                <w:lang w:val="fr-FR"/>
              </w:rPr>
            </w:pPr>
            <w:r w:rsidRPr="00075DC8">
              <w:rPr>
                <w:sz w:val="18"/>
                <w:szCs w:val="18"/>
                <w:lang w:val="fr-FR"/>
              </w:rPr>
              <w:t>−</w:t>
            </w:r>
            <w:r w:rsidRPr="00075DC8">
              <w:rPr>
                <w:sz w:val="18"/>
                <w:szCs w:val="18"/>
                <w:lang w:val="fr-FR" w:eastAsia="ja-JP"/>
              </w:rPr>
              <w:t>5,43</w:t>
            </w:r>
          </w:p>
        </w:tc>
        <w:tc>
          <w:tcPr>
            <w:tcW w:w="1426" w:type="dxa"/>
          </w:tcPr>
          <w:p w14:paraId="0CB0D3C4" w14:textId="77777777" w:rsidR="00725E50" w:rsidRPr="00075DC8" w:rsidRDefault="00725E50" w:rsidP="00ED4837">
            <w:pPr>
              <w:pStyle w:val="Tabletext"/>
              <w:jc w:val="center"/>
              <w:rPr>
                <w:sz w:val="18"/>
                <w:szCs w:val="18"/>
                <w:lang w:val="fr-FR" w:eastAsia="ja-JP"/>
              </w:rPr>
            </w:pPr>
            <w:r w:rsidRPr="00075DC8">
              <w:rPr>
                <w:sz w:val="18"/>
                <w:szCs w:val="18"/>
                <w:lang w:val="fr-FR"/>
              </w:rPr>
              <w:t>−</w:t>
            </w:r>
            <w:r w:rsidRPr="00075DC8">
              <w:rPr>
                <w:sz w:val="18"/>
                <w:szCs w:val="18"/>
                <w:lang w:val="fr-FR" w:eastAsia="ja-JP"/>
              </w:rPr>
              <w:t>14,4</w:t>
            </w:r>
          </w:p>
        </w:tc>
      </w:tr>
      <w:tr w:rsidR="00725E50" w:rsidRPr="00075DC8" w14:paraId="113240D1" w14:textId="77777777" w:rsidTr="0083748C">
        <w:trPr>
          <w:trHeight w:val="20"/>
          <w:jc w:val="center"/>
        </w:trPr>
        <w:tc>
          <w:tcPr>
            <w:tcW w:w="3086" w:type="dxa"/>
            <w:tcMar>
              <w:left w:w="57" w:type="dxa"/>
              <w:right w:w="57" w:type="dxa"/>
            </w:tcMar>
          </w:tcPr>
          <w:p w14:paraId="29BD829B" w14:textId="5BD52517" w:rsidR="00725E50" w:rsidRPr="00075DC8" w:rsidRDefault="00725E50" w:rsidP="00ED4837">
            <w:pPr>
              <w:pStyle w:val="Tabletext"/>
              <w:jc w:val="left"/>
              <w:rPr>
                <w:sz w:val="18"/>
                <w:szCs w:val="18"/>
                <w:lang w:val="fr-FR" w:eastAsia="ja-JP"/>
              </w:rPr>
            </w:pPr>
            <w:r w:rsidRPr="00075DC8">
              <w:rPr>
                <w:sz w:val="18"/>
                <w:szCs w:val="18"/>
                <w:lang w:val="fr-FR" w:eastAsia="ja-JP"/>
              </w:rPr>
              <w:t>Plage des pertes dues à la ligne d</w:t>
            </w:r>
            <w:r w:rsidR="001F6A0D" w:rsidRPr="00075DC8">
              <w:rPr>
                <w:sz w:val="18"/>
                <w:szCs w:val="18"/>
                <w:lang w:val="fr-FR" w:eastAsia="ja-JP"/>
              </w:rPr>
              <w:t>'</w:t>
            </w:r>
            <w:r w:rsidRPr="00075DC8">
              <w:rPr>
                <w:sz w:val="18"/>
                <w:szCs w:val="18"/>
                <w:lang w:val="fr-FR" w:eastAsia="ja-JP"/>
              </w:rPr>
              <w:t>alimentation ou au multiplexeur (dB)</w:t>
            </w:r>
          </w:p>
        </w:tc>
        <w:tc>
          <w:tcPr>
            <w:tcW w:w="1006" w:type="dxa"/>
            <w:vMerge/>
          </w:tcPr>
          <w:p w14:paraId="664840F5" w14:textId="77777777" w:rsidR="00725E50" w:rsidRPr="00075DC8" w:rsidRDefault="00725E50" w:rsidP="00ED4837">
            <w:pPr>
              <w:pStyle w:val="Tabletext"/>
              <w:jc w:val="center"/>
              <w:rPr>
                <w:sz w:val="18"/>
                <w:szCs w:val="18"/>
                <w:lang w:val="fr-FR" w:eastAsia="ja-JP"/>
              </w:rPr>
            </w:pPr>
          </w:p>
        </w:tc>
        <w:tc>
          <w:tcPr>
            <w:tcW w:w="1007" w:type="dxa"/>
            <w:vMerge/>
          </w:tcPr>
          <w:p w14:paraId="7CF0F03C" w14:textId="77777777" w:rsidR="00725E50" w:rsidRPr="00075DC8" w:rsidRDefault="00725E50" w:rsidP="00ED4837">
            <w:pPr>
              <w:pStyle w:val="Tabletext"/>
              <w:jc w:val="center"/>
              <w:rPr>
                <w:sz w:val="18"/>
                <w:szCs w:val="18"/>
                <w:lang w:val="fr-FR" w:eastAsia="ja-JP"/>
              </w:rPr>
            </w:pPr>
          </w:p>
        </w:tc>
        <w:tc>
          <w:tcPr>
            <w:tcW w:w="1526" w:type="dxa"/>
          </w:tcPr>
          <w:p w14:paraId="423D29F4"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3</w:t>
            </w:r>
          </w:p>
        </w:tc>
        <w:tc>
          <w:tcPr>
            <w:tcW w:w="1592" w:type="dxa"/>
          </w:tcPr>
          <w:p w14:paraId="3F7F4EBB"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0</w:t>
            </w:r>
          </w:p>
        </w:tc>
        <w:tc>
          <w:tcPr>
            <w:tcW w:w="1662" w:type="dxa"/>
          </w:tcPr>
          <w:p w14:paraId="11FC34A7"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2</w:t>
            </w:r>
          </w:p>
        </w:tc>
        <w:tc>
          <w:tcPr>
            <w:tcW w:w="1740" w:type="dxa"/>
          </w:tcPr>
          <w:p w14:paraId="137CA08B"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0</w:t>
            </w:r>
          </w:p>
        </w:tc>
        <w:tc>
          <w:tcPr>
            <w:tcW w:w="1414" w:type="dxa"/>
          </w:tcPr>
          <w:p w14:paraId="2F27BEFA"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0,5</w:t>
            </w:r>
          </w:p>
        </w:tc>
        <w:tc>
          <w:tcPr>
            <w:tcW w:w="1426" w:type="dxa"/>
          </w:tcPr>
          <w:p w14:paraId="22D6456E"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0</w:t>
            </w:r>
          </w:p>
        </w:tc>
      </w:tr>
      <w:tr w:rsidR="00725E50" w:rsidRPr="00075DC8" w14:paraId="7EB79A0C" w14:textId="77777777" w:rsidTr="0083748C">
        <w:trPr>
          <w:trHeight w:val="20"/>
          <w:jc w:val="center"/>
        </w:trPr>
        <w:tc>
          <w:tcPr>
            <w:tcW w:w="3086" w:type="dxa"/>
            <w:tcMar>
              <w:left w:w="57" w:type="dxa"/>
              <w:right w:w="57" w:type="dxa"/>
            </w:tcMar>
          </w:tcPr>
          <w:p w14:paraId="4FED39B6" w14:textId="60BA38CD" w:rsidR="00725E50" w:rsidRPr="00075DC8" w:rsidRDefault="00725E50" w:rsidP="00ED4837">
            <w:pPr>
              <w:pStyle w:val="Tabletext"/>
              <w:jc w:val="left"/>
              <w:rPr>
                <w:sz w:val="18"/>
                <w:szCs w:val="18"/>
                <w:lang w:val="fr-FR" w:eastAsia="ja-JP"/>
              </w:rPr>
            </w:pPr>
            <w:r w:rsidRPr="00075DC8">
              <w:rPr>
                <w:sz w:val="18"/>
                <w:szCs w:val="18"/>
                <w:lang w:val="fr-FR" w:eastAsia="ja-JP"/>
              </w:rPr>
              <w:t>Type d</w:t>
            </w:r>
            <w:r w:rsidR="001F6A0D" w:rsidRPr="00075DC8">
              <w:rPr>
                <w:sz w:val="18"/>
                <w:szCs w:val="18"/>
                <w:lang w:val="fr-FR" w:eastAsia="ja-JP"/>
              </w:rPr>
              <w:t>'</w:t>
            </w:r>
            <w:r w:rsidRPr="00075DC8">
              <w:rPr>
                <w:sz w:val="18"/>
                <w:szCs w:val="18"/>
                <w:lang w:val="fr-FR" w:eastAsia="ja-JP"/>
              </w:rPr>
              <w:t>antenne et plage des gains d</w:t>
            </w:r>
            <w:r w:rsidR="001F6A0D" w:rsidRPr="00075DC8">
              <w:rPr>
                <w:sz w:val="18"/>
                <w:szCs w:val="18"/>
                <w:lang w:val="fr-FR" w:eastAsia="ja-JP"/>
              </w:rPr>
              <w:t>'</w:t>
            </w:r>
            <w:r w:rsidRPr="00075DC8">
              <w:rPr>
                <w:sz w:val="18"/>
                <w:szCs w:val="18"/>
                <w:lang w:val="fr-FR" w:eastAsia="ja-JP"/>
              </w:rPr>
              <w:t>antenne (dBi)</w:t>
            </w:r>
          </w:p>
        </w:tc>
        <w:tc>
          <w:tcPr>
            <w:tcW w:w="1006" w:type="dxa"/>
            <w:vMerge/>
          </w:tcPr>
          <w:p w14:paraId="5ACBE643" w14:textId="77777777" w:rsidR="00725E50" w:rsidRPr="00075DC8" w:rsidRDefault="00725E50" w:rsidP="00ED4837">
            <w:pPr>
              <w:pStyle w:val="Tabletext"/>
              <w:jc w:val="center"/>
              <w:rPr>
                <w:sz w:val="18"/>
                <w:szCs w:val="18"/>
                <w:lang w:val="fr-FR" w:eastAsia="ja-JP"/>
              </w:rPr>
            </w:pPr>
          </w:p>
        </w:tc>
        <w:tc>
          <w:tcPr>
            <w:tcW w:w="1007" w:type="dxa"/>
            <w:vMerge/>
          </w:tcPr>
          <w:p w14:paraId="5B4D8ECD" w14:textId="77777777" w:rsidR="00725E50" w:rsidRPr="00075DC8" w:rsidRDefault="00725E50" w:rsidP="00ED4837">
            <w:pPr>
              <w:pStyle w:val="Tabletext"/>
              <w:jc w:val="center"/>
              <w:rPr>
                <w:sz w:val="18"/>
                <w:szCs w:val="18"/>
                <w:lang w:val="fr-FR" w:eastAsia="ja-JP"/>
              </w:rPr>
            </w:pPr>
          </w:p>
        </w:tc>
        <w:tc>
          <w:tcPr>
            <w:tcW w:w="1526" w:type="dxa"/>
          </w:tcPr>
          <w:p w14:paraId="56532B39" w14:textId="5B3C3438" w:rsidR="00725E50" w:rsidRPr="00075DC8" w:rsidRDefault="00725E50" w:rsidP="007C444E">
            <w:pPr>
              <w:pStyle w:val="Tabletext"/>
              <w:jc w:val="center"/>
              <w:rPr>
                <w:sz w:val="18"/>
                <w:szCs w:val="18"/>
                <w:lang w:val="fr-FR" w:eastAsia="ja-JP"/>
              </w:rPr>
            </w:pPr>
            <w:r w:rsidRPr="00075DC8">
              <w:rPr>
                <w:sz w:val="18"/>
                <w:szCs w:val="18"/>
                <w:lang w:val="fr-FR" w:eastAsia="ja-JP"/>
              </w:rPr>
              <w:t>13 (équidirective)</w:t>
            </w:r>
            <w:r w:rsidRPr="00075DC8">
              <w:rPr>
                <w:sz w:val="18"/>
                <w:szCs w:val="18"/>
                <w:lang w:val="fr-FR" w:eastAsia="ja-JP"/>
              </w:rPr>
              <w:br/>
              <w:t>…16 (sectorielle)</w:t>
            </w:r>
          </w:p>
        </w:tc>
        <w:tc>
          <w:tcPr>
            <w:tcW w:w="1592" w:type="dxa"/>
          </w:tcPr>
          <w:p w14:paraId="4FAE13F4"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13 (équidirective)</w:t>
            </w:r>
          </w:p>
        </w:tc>
        <w:tc>
          <w:tcPr>
            <w:tcW w:w="1662" w:type="dxa"/>
          </w:tcPr>
          <w:p w14:paraId="15C447DB" w14:textId="16117010" w:rsidR="00725E50" w:rsidRPr="00075DC8" w:rsidRDefault="00725E50" w:rsidP="007C444E">
            <w:pPr>
              <w:pStyle w:val="Tabletext"/>
              <w:jc w:val="center"/>
              <w:rPr>
                <w:sz w:val="18"/>
                <w:szCs w:val="18"/>
                <w:lang w:val="fr-FR" w:eastAsia="ja-JP"/>
              </w:rPr>
            </w:pPr>
            <w:r w:rsidRPr="00075DC8">
              <w:rPr>
                <w:sz w:val="18"/>
                <w:szCs w:val="18"/>
                <w:lang w:val="fr-FR" w:eastAsia="ja-JP"/>
              </w:rPr>
              <w:t>10 (équidirective)</w:t>
            </w:r>
            <w:r w:rsidRPr="00075DC8">
              <w:rPr>
                <w:sz w:val="18"/>
                <w:szCs w:val="18"/>
                <w:lang w:val="fr-FR" w:eastAsia="ja-JP"/>
              </w:rPr>
              <w:br/>
              <w:t>…18 (sectorielle)</w:t>
            </w:r>
          </w:p>
        </w:tc>
        <w:tc>
          <w:tcPr>
            <w:tcW w:w="1740" w:type="dxa"/>
          </w:tcPr>
          <w:p w14:paraId="33EAC5CE" w14:textId="7CA3E3AD" w:rsidR="00725E50" w:rsidRPr="00075DC8" w:rsidRDefault="00725E50" w:rsidP="007C444E">
            <w:pPr>
              <w:pStyle w:val="Tabletext"/>
              <w:jc w:val="center"/>
              <w:rPr>
                <w:sz w:val="18"/>
                <w:szCs w:val="18"/>
                <w:lang w:val="fr-FR"/>
              </w:rPr>
            </w:pPr>
            <w:r w:rsidRPr="00075DC8">
              <w:rPr>
                <w:sz w:val="18"/>
                <w:szCs w:val="18"/>
                <w:lang w:val="fr-FR" w:eastAsia="ja-JP"/>
              </w:rPr>
              <w:t>8 (d</w:t>
            </w:r>
            <w:r w:rsidR="001F6A0D" w:rsidRPr="00075DC8">
              <w:rPr>
                <w:sz w:val="18"/>
                <w:szCs w:val="18"/>
                <w:lang w:val="fr-FR" w:eastAsia="ja-JP"/>
              </w:rPr>
              <w:t>'</w:t>
            </w:r>
            <w:r w:rsidRPr="00075DC8">
              <w:rPr>
                <w:sz w:val="18"/>
                <w:szCs w:val="18"/>
                <w:lang w:val="fr-FR" w:eastAsia="ja-JP"/>
              </w:rPr>
              <w:t>intérieur)</w:t>
            </w:r>
            <w:r w:rsidR="007C444E" w:rsidRPr="00075DC8">
              <w:rPr>
                <w:sz w:val="18"/>
                <w:szCs w:val="18"/>
                <w:lang w:val="fr-FR" w:eastAsia="ja-JP"/>
              </w:rPr>
              <w:br/>
            </w:r>
            <w:r w:rsidRPr="00075DC8">
              <w:rPr>
                <w:sz w:val="18"/>
                <w:szCs w:val="18"/>
                <w:lang w:val="fr-FR" w:eastAsia="ja-JP"/>
              </w:rPr>
              <w:t>…18 (d</w:t>
            </w:r>
            <w:r w:rsidR="001F6A0D" w:rsidRPr="00075DC8">
              <w:rPr>
                <w:sz w:val="18"/>
                <w:szCs w:val="18"/>
                <w:lang w:val="fr-FR" w:eastAsia="ja-JP"/>
              </w:rPr>
              <w:t>'</w:t>
            </w:r>
            <w:r w:rsidRPr="00075DC8">
              <w:rPr>
                <w:sz w:val="18"/>
                <w:szCs w:val="18"/>
                <w:lang w:val="fr-FR" w:eastAsia="ja-JP"/>
              </w:rPr>
              <w:t>extérieur)</w:t>
            </w:r>
          </w:p>
        </w:tc>
        <w:tc>
          <w:tcPr>
            <w:tcW w:w="1414" w:type="dxa"/>
            <w:tcMar>
              <w:left w:w="57" w:type="dxa"/>
              <w:right w:w="57" w:type="dxa"/>
            </w:tcMar>
          </w:tcPr>
          <w:p w14:paraId="50B34A20" w14:textId="40FDF574" w:rsidR="00725E50" w:rsidRPr="00075DC8" w:rsidRDefault="00725E50" w:rsidP="00ED4837">
            <w:pPr>
              <w:pStyle w:val="Tabletext"/>
              <w:jc w:val="center"/>
              <w:rPr>
                <w:sz w:val="18"/>
                <w:szCs w:val="18"/>
                <w:lang w:val="fr-FR" w:eastAsia="ja-JP"/>
              </w:rPr>
            </w:pPr>
            <w:r w:rsidRPr="00075DC8">
              <w:rPr>
                <w:sz w:val="18"/>
                <w:szCs w:val="18"/>
                <w:lang w:val="fr-FR" w:eastAsia="ja-JP"/>
              </w:rPr>
              <w:t xml:space="preserve">15 </w:t>
            </w:r>
            <w:r w:rsidR="007C444E" w:rsidRPr="00075DC8">
              <w:rPr>
                <w:sz w:val="18"/>
                <w:szCs w:val="18"/>
                <w:lang w:val="fr-FR" w:eastAsia="ja-JP"/>
              </w:rPr>
              <w:br/>
            </w:r>
            <w:r w:rsidRPr="00075DC8">
              <w:rPr>
                <w:sz w:val="18"/>
                <w:szCs w:val="18"/>
                <w:lang w:val="fr-FR"/>
              </w:rPr>
              <w:t>(</w:t>
            </w:r>
            <w:r w:rsidRPr="00075DC8">
              <w:rPr>
                <w:sz w:val="18"/>
                <w:szCs w:val="18"/>
                <w:lang w:val="fr-FR" w:eastAsia="ja-JP"/>
              </w:rPr>
              <w:t xml:space="preserve">microbande sectorielle </w:t>
            </w:r>
            <w:r w:rsidR="007C444E" w:rsidRPr="00075DC8">
              <w:rPr>
                <w:sz w:val="18"/>
                <w:szCs w:val="18"/>
                <w:lang w:val="fr-FR" w:eastAsia="ja-JP"/>
              </w:rPr>
              <w:br/>
            </w:r>
            <w:r w:rsidRPr="00075DC8">
              <w:rPr>
                <w:sz w:val="18"/>
                <w:szCs w:val="18"/>
                <w:lang w:val="fr-FR" w:eastAsia="ja-JP"/>
              </w:rPr>
              <w:t>de</w:t>
            </w:r>
            <w:r w:rsidRPr="00075DC8">
              <w:rPr>
                <w:sz w:val="18"/>
                <w:szCs w:val="18"/>
                <w:lang w:val="fr-FR"/>
              </w:rPr>
              <w:t xml:space="preserve"> 90°)</w:t>
            </w:r>
          </w:p>
        </w:tc>
        <w:tc>
          <w:tcPr>
            <w:tcW w:w="1426" w:type="dxa"/>
          </w:tcPr>
          <w:p w14:paraId="092F82BF"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18 (panneau)</w:t>
            </w:r>
          </w:p>
        </w:tc>
      </w:tr>
      <w:tr w:rsidR="00725E50" w:rsidRPr="00075DC8" w14:paraId="1B471824" w14:textId="77777777" w:rsidTr="0083748C">
        <w:trPr>
          <w:trHeight w:val="20"/>
          <w:jc w:val="center"/>
        </w:trPr>
        <w:tc>
          <w:tcPr>
            <w:tcW w:w="3086" w:type="dxa"/>
            <w:tcMar>
              <w:left w:w="57" w:type="dxa"/>
              <w:right w:w="57" w:type="dxa"/>
            </w:tcMar>
          </w:tcPr>
          <w:p w14:paraId="649DB532" w14:textId="77777777" w:rsidR="00725E50" w:rsidRPr="00075DC8" w:rsidRDefault="00725E50" w:rsidP="00ED4837">
            <w:pPr>
              <w:pStyle w:val="Tabletext"/>
              <w:jc w:val="left"/>
              <w:rPr>
                <w:sz w:val="18"/>
                <w:szCs w:val="18"/>
                <w:lang w:val="fr-FR"/>
              </w:rPr>
            </w:pPr>
            <w:r w:rsidRPr="00075DC8">
              <w:rPr>
                <w:sz w:val="18"/>
                <w:szCs w:val="18"/>
                <w:lang w:val="fr-FR" w:eastAsia="ja-JP"/>
              </w:rPr>
              <w:t>Plage des p.i.r.e. (dBW)</w:t>
            </w:r>
          </w:p>
        </w:tc>
        <w:tc>
          <w:tcPr>
            <w:tcW w:w="1006" w:type="dxa"/>
            <w:vMerge/>
          </w:tcPr>
          <w:p w14:paraId="113D1C4E" w14:textId="77777777" w:rsidR="00725E50" w:rsidRPr="00075DC8" w:rsidRDefault="00725E50" w:rsidP="00ED4837">
            <w:pPr>
              <w:pStyle w:val="Tabletext"/>
              <w:jc w:val="center"/>
              <w:rPr>
                <w:sz w:val="18"/>
                <w:szCs w:val="18"/>
                <w:lang w:val="fr-FR" w:eastAsia="ja-JP"/>
              </w:rPr>
            </w:pPr>
          </w:p>
        </w:tc>
        <w:tc>
          <w:tcPr>
            <w:tcW w:w="1007" w:type="dxa"/>
            <w:vMerge/>
          </w:tcPr>
          <w:p w14:paraId="70738758" w14:textId="77777777" w:rsidR="00725E50" w:rsidRPr="00075DC8" w:rsidRDefault="00725E50" w:rsidP="00ED4837">
            <w:pPr>
              <w:pStyle w:val="Tabletext"/>
              <w:jc w:val="center"/>
              <w:rPr>
                <w:sz w:val="18"/>
                <w:szCs w:val="18"/>
                <w:lang w:val="fr-FR" w:eastAsia="ja-JP"/>
              </w:rPr>
            </w:pPr>
          </w:p>
        </w:tc>
        <w:tc>
          <w:tcPr>
            <w:tcW w:w="1526" w:type="dxa"/>
          </w:tcPr>
          <w:p w14:paraId="1B1C1EDA"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23</w:t>
            </w:r>
            <w:r w:rsidRPr="00075DC8">
              <w:rPr>
                <w:sz w:val="18"/>
                <w:szCs w:val="18"/>
                <w:lang w:val="fr-FR"/>
              </w:rPr>
              <w:t>…</w:t>
            </w:r>
            <w:r w:rsidRPr="00075DC8">
              <w:rPr>
                <w:sz w:val="18"/>
                <w:szCs w:val="18"/>
                <w:lang w:val="fr-FR" w:eastAsia="ja-JP"/>
              </w:rPr>
              <w:t>26</w:t>
            </w:r>
          </w:p>
        </w:tc>
        <w:tc>
          <w:tcPr>
            <w:tcW w:w="1592" w:type="dxa"/>
          </w:tcPr>
          <w:p w14:paraId="20D8499E"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32</w:t>
            </w:r>
          </w:p>
        </w:tc>
        <w:tc>
          <w:tcPr>
            <w:tcW w:w="1662" w:type="dxa"/>
          </w:tcPr>
          <w:p w14:paraId="248D039F"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21</w:t>
            </w:r>
            <w:r w:rsidRPr="00075DC8">
              <w:rPr>
                <w:sz w:val="18"/>
                <w:szCs w:val="18"/>
                <w:lang w:val="fr-FR"/>
              </w:rPr>
              <w:t>…</w:t>
            </w:r>
            <w:r w:rsidRPr="00075DC8">
              <w:rPr>
                <w:sz w:val="18"/>
                <w:szCs w:val="18"/>
                <w:lang w:val="fr-FR" w:eastAsia="ja-JP"/>
              </w:rPr>
              <w:t>29</w:t>
            </w:r>
          </w:p>
        </w:tc>
        <w:tc>
          <w:tcPr>
            <w:tcW w:w="1740" w:type="dxa"/>
          </w:tcPr>
          <w:p w14:paraId="50D0C0B4" w14:textId="77777777" w:rsidR="00725E50" w:rsidRPr="00075DC8" w:rsidRDefault="00725E50" w:rsidP="00ED4837">
            <w:pPr>
              <w:pStyle w:val="Tabletext"/>
              <w:jc w:val="center"/>
              <w:rPr>
                <w:sz w:val="18"/>
                <w:szCs w:val="18"/>
                <w:lang w:val="fr-FR"/>
              </w:rPr>
            </w:pPr>
            <w:r w:rsidRPr="00075DC8">
              <w:rPr>
                <w:sz w:val="18"/>
                <w:szCs w:val="18"/>
                <w:lang w:val="fr-FR" w:eastAsia="ja-JP"/>
              </w:rPr>
              <w:t>8</w:t>
            </w:r>
            <w:r w:rsidRPr="00075DC8">
              <w:rPr>
                <w:sz w:val="18"/>
                <w:szCs w:val="18"/>
                <w:lang w:val="fr-FR"/>
              </w:rPr>
              <w:t>…</w:t>
            </w:r>
            <w:r w:rsidRPr="00075DC8">
              <w:rPr>
                <w:sz w:val="18"/>
                <w:szCs w:val="18"/>
                <w:lang w:val="fr-FR" w:eastAsia="ja-JP"/>
              </w:rPr>
              <w:t>18</w:t>
            </w:r>
          </w:p>
        </w:tc>
        <w:tc>
          <w:tcPr>
            <w:tcW w:w="1414" w:type="dxa"/>
          </w:tcPr>
          <w:p w14:paraId="737DA057"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11,5</w:t>
            </w:r>
          </w:p>
        </w:tc>
        <w:tc>
          <w:tcPr>
            <w:tcW w:w="1426" w:type="dxa"/>
          </w:tcPr>
          <w:p w14:paraId="357D1979"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6</w:t>
            </w:r>
          </w:p>
        </w:tc>
      </w:tr>
      <w:tr w:rsidR="00725E50" w:rsidRPr="00075DC8" w14:paraId="46AC6592" w14:textId="77777777" w:rsidTr="0083748C">
        <w:trPr>
          <w:trHeight w:val="20"/>
          <w:jc w:val="center"/>
        </w:trPr>
        <w:tc>
          <w:tcPr>
            <w:tcW w:w="3086" w:type="dxa"/>
            <w:tcMar>
              <w:left w:w="57" w:type="dxa"/>
              <w:right w:w="57" w:type="dxa"/>
            </w:tcMar>
          </w:tcPr>
          <w:p w14:paraId="1175E71C" w14:textId="77777777" w:rsidR="00725E50" w:rsidRPr="00075DC8" w:rsidRDefault="00725E50" w:rsidP="00ED4837">
            <w:pPr>
              <w:pStyle w:val="Tabletext"/>
              <w:jc w:val="left"/>
              <w:rPr>
                <w:sz w:val="18"/>
                <w:szCs w:val="18"/>
                <w:lang w:val="fr-FR"/>
              </w:rPr>
            </w:pPr>
            <w:r w:rsidRPr="00075DC8">
              <w:rPr>
                <w:sz w:val="18"/>
                <w:szCs w:val="18"/>
                <w:lang w:val="fr-FR" w:eastAsia="ja-JP"/>
              </w:rPr>
              <w:t>Plage des densités</w:t>
            </w:r>
            <w:r w:rsidRPr="00075DC8">
              <w:rPr>
                <w:sz w:val="18"/>
                <w:szCs w:val="18"/>
                <w:lang w:val="fr-FR"/>
              </w:rPr>
              <w:t xml:space="preserve"> de p.i.r.e. (dBW/MHz)</w:t>
            </w:r>
            <w:r w:rsidRPr="00075DC8">
              <w:rPr>
                <w:sz w:val="18"/>
                <w:szCs w:val="18"/>
                <w:vertAlign w:val="superscript"/>
                <w:lang w:val="fr-FR" w:eastAsia="ja-JP"/>
              </w:rPr>
              <w:t>(1)</w:t>
            </w:r>
          </w:p>
        </w:tc>
        <w:tc>
          <w:tcPr>
            <w:tcW w:w="1006" w:type="dxa"/>
            <w:vMerge/>
          </w:tcPr>
          <w:p w14:paraId="732FE254" w14:textId="77777777" w:rsidR="00725E50" w:rsidRPr="00075DC8" w:rsidRDefault="00725E50" w:rsidP="00ED4837">
            <w:pPr>
              <w:pStyle w:val="Tabletext"/>
              <w:jc w:val="center"/>
              <w:rPr>
                <w:sz w:val="18"/>
                <w:szCs w:val="18"/>
                <w:lang w:val="fr-FR"/>
              </w:rPr>
            </w:pPr>
          </w:p>
        </w:tc>
        <w:tc>
          <w:tcPr>
            <w:tcW w:w="1007" w:type="dxa"/>
            <w:vMerge/>
          </w:tcPr>
          <w:p w14:paraId="0F0AA375" w14:textId="77777777" w:rsidR="00725E50" w:rsidRPr="00075DC8" w:rsidRDefault="00725E50" w:rsidP="00ED4837">
            <w:pPr>
              <w:pStyle w:val="Tabletext"/>
              <w:jc w:val="center"/>
              <w:rPr>
                <w:sz w:val="18"/>
                <w:szCs w:val="18"/>
                <w:lang w:val="fr-FR"/>
              </w:rPr>
            </w:pPr>
          </w:p>
        </w:tc>
        <w:tc>
          <w:tcPr>
            <w:tcW w:w="1526" w:type="dxa"/>
          </w:tcPr>
          <w:p w14:paraId="262D8B8F" w14:textId="77777777" w:rsidR="00725E50" w:rsidRPr="00075DC8" w:rsidRDefault="00725E50" w:rsidP="00ED4837">
            <w:pPr>
              <w:pStyle w:val="Tabletext"/>
              <w:jc w:val="center"/>
              <w:rPr>
                <w:sz w:val="18"/>
                <w:szCs w:val="18"/>
                <w:lang w:val="fr-FR"/>
              </w:rPr>
            </w:pPr>
            <w:r w:rsidRPr="00075DC8">
              <w:rPr>
                <w:sz w:val="18"/>
                <w:szCs w:val="18"/>
                <w:lang w:val="fr-FR" w:eastAsia="ja-JP"/>
              </w:rPr>
              <w:t>15,2…19,0</w:t>
            </w:r>
          </w:p>
        </w:tc>
        <w:tc>
          <w:tcPr>
            <w:tcW w:w="1592" w:type="dxa"/>
          </w:tcPr>
          <w:p w14:paraId="3C4FAE70" w14:textId="77777777" w:rsidR="00725E50" w:rsidRPr="00075DC8" w:rsidRDefault="00725E50" w:rsidP="00ED4837">
            <w:pPr>
              <w:pStyle w:val="Tabletext"/>
              <w:jc w:val="center"/>
              <w:rPr>
                <w:sz w:val="18"/>
                <w:szCs w:val="18"/>
                <w:lang w:val="fr-FR"/>
              </w:rPr>
            </w:pPr>
            <w:r w:rsidRPr="00075DC8">
              <w:rPr>
                <w:sz w:val="18"/>
                <w:szCs w:val="18"/>
                <w:lang w:val="fr-FR" w:eastAsia="ja-JP"/>
              </w:rPr>
              <w:t>24,2…25,0</w:t>
            </w:r>
          </w:p>
        </w:tc>
        <w:tc>
          <w:tcPr>
            <w:tcW w:w="1662" w:type="dxa"/>
          </w:tcPr>
          <w:p w14:paraId="57E3CF16" w14:textId="77777777" w:rsidR="00725E50" w:rsidRPr="00075DC8" w:rsidRDefault="00725E50" w:rsidP="00ED4837">
            <w:pPr>
              <w:pStyle w:val="Tabletext"/>
              <w:jc w:val="center"/>
              <w:rPr>
                <w:sz w:val="18"/>
                <w:szCs w:val="18"/>
                <w:lang w:val="fr-FR"/>
              </w:rPr>
            </w:pPr>
            <w:r w:rsidRPr="00075DC8">
              <w:rPr>
                <w:sz w:val="18"/>
                <w:szCs w:val="18"/>
                <w:lang w:val="fr-FR" w:eastAsia="ja-JP"/>
              </w:rPr>
              <w:t>9,54…26,5</w:t>
            </w:r>
          </w:p>
        </w:tc>
        <w:tc>
          <w:tcPr>
            <w:tcW w:w="1740" w:type="dxa"/>
          </w:tcPr>
          <w:p w14:paraId="598C5502" w14:textId="77777777" w:rsidR="00725E50" w:rsidRPr="00075DC8" w:rsidRDefault="00725E50" w:rsidP="00ED4837">
            <w:pPr>
              <w:pStyle w:val="Tabletext"/>
              <w:jc w:val="center"/>
              <w:rPr>
                <w:sz w:val="18"/>
                <w:szCs w:val="18"/>
                <w:lang w:val="fr-FR"/>
              </w:rPr>
            </w:pPr>
            <w:r w:rsidRPr="00075DC8">
              <w:rPr>
                <w:sz w:val="18"/>
                <w:szCs w:val="18"/>
                <w:lang w:val="fr-FR"/>
              </w:rPr>
              <w:t>−</w:t>
            </w:r>
            <w:r w:rsidRPr="00075DC8">
              <w:rPr>
                <w:sz w:val="18"/>
                <w:szCs w:val="18"/>
                <w:lang w:val="fr-FR" w:eastAsia="ja-JP"/>
              </w:rPr>
              <w:t>3,46…15,6</w:t>
            </w:r>
          </w:p>
        </w:tc>
        <w:tc>
          <w:tcPr>
            <w:tcW w:w="1414" w:type="dxa"/>
          </w:tcPr>
          <w:p w14:paraId="77A61BA5" w14:textId="77777777" w:rsidR="00725E50" w:rsidRPr="00075DC8" w:rsidRDefault="00725E50" w:rsidP="00ED4837">
            <w:pPr>
              <w:pStyle w:val="Tabletext"/>
              <w:jc w:val="center"/>
              <w:rPr>
                <w:sz w:val="18"/>
                <w:szCs w:val="18"/>
                <w:lang w:val="fr-FR"/>
              </w:rPr>
            </w:pPr>
            <w:r w:rsidRPr="00075DC8">
              <w:rPr>
                <w:sz w:val="18"/>
                <w:szCs w:val="18"/>
                <w:lang w:val="fr-FR" w:eastAsia="ja-JP"/>
              </w:rPr>
              <w:t>9,07</w:t>
            </w:r>
          </w:p>
        </w:tc>
        <w:tc>
          <w:tcPr>
            <w:tcW w:w="1426" w:type="dxa"/>
          </w:tcPr>
          <w:p w14:paraId="3A7F74B0"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3,57</w:t>
            </w:r>
          </w:p>
        </w:tc>
      </w:tr>
      <w:tr w:rsidR="00725E50" w:rsidRPr="00075DC8" w14:paraId="525DCF18" w14:textId="77777777" w:rsidTr="0083748C">
        <w:trPr>
          <w:trHeight w:val="20"/>
          <w:jc w:val="center"/>
        </w:trPr>
        <w:tc>
          <w:tcPr>
            <w:tcW w:w="3086" w:type="dxa"/>
            <w:tcMar>
              <w:left w:w="57" w:type="dxa"/>
              <w:right w:w="57" w:type="dxa"/>
            </w:tcMar>
          </w:tcPr>
          <w:p w14:paraId="5EC15F83" w14:textId="77777777" w:rsidR="00725E50" w:rsidRPr="00075DC8" w:rsidRDefault="00725E50" w:rsidP="00ED4837">
            <w:pPr>
              <w:pStyle w:val="Tabletext"/>
              <w:jc w:val="left"/>
              <w:rPr>
                <w:sz w:val="18"/>
                <w:szCs w:val="18"/>
                <w:lang w:val="fr-FR"/>
              </w:rPr>
            </w:pPr>
            <w:r w:rsidRPr="00075DC8">
              <w:rPr>
                <w:sz w:val="18"/>
                <w:szCs w:val="18"/>
                <w:lang w:val="fr-FR" w:eastAsia="ja-JP"/>
              </w:rPr>
              <w:t>Facteur de bruit type du récepteur (dB)</w:t>
            </w:r>
          </w:p>
        </w:tc>
        <w:tc>
          <w:tcPr>
            <w:tcW w:w="1006" w:type="dxa"/>
            <w:vMerge/>
          </w:tcPr>
          <w:p w14:paraId="3B7A1DC0" w14:textId="77777777" w:rsidR="00725E50" w:rsidRPr="00075DC8" w:rsidRDefault="00725E50" w:rsidP="00ED4837">
            <w:pPr>
              <w:pStyle w:val="Tabletext"/>
              <w:jc w:val="center"/>
              <w:rPr>
                <w:sz w:val="18"/>
                <w:szCs w:val="18"/>
                <w:lang w:val="fr-FR" w:eastAsia="ja-JP"/>
              </w:rPr>
            </w:pPr>
          </w:p>
        </w:tc>
        <w:tc>
          <w:tcPr>
            <w:tcW w:w="1007" w:type="dxa"/>
            <w:vMerge/>
          </w:tcPr>
          <w:p w14:paraId="56D41D93" w14:textId="77777777" w:rsidR="00725E50" w:rsidRPr="00075DC8" w:rsidRDefault="00725E50" w:rsidP="00ED4837">
            <w:pPr>
              <w:pStyle w:val="Tabletext"/>
              <w:jc w:val="center"/>
              <w:rPr>
                <w:sz w:val="18"/>
                <w:szCs w:val="18"/>
                <w:lang w:val="fr-FR" w:eastAsia="ja-JP"/>
              </w:rPr>
            </w:pPr>
          </w:p>
        </w:tc>
        <w:tc>
          <w:tcPr>
            <w:tcW w:w="1526" w:type="dxa"/>
          </w:tcPr>
          <w:p w14:paraId="227F6D8A"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4</w:t>
            </w:r>
          </w:p>
        </w:tc>
        <w:tc>
          <w:tcPr>
            <w:tcW w:w="1592" w:type="dxa"/>
          </w:tcPr>
          <w:p w14:paraId="0D9A1882"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4</w:t>
            </w:r>
          </w:p>
        </w:tc>
        <w:tc>
          <w:tcPr>
            <w:tcW w:w="1662" w:type="dxa"/>
          </w:tcPr>
          <w:p w14:paraId="6BAAF0BE"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3</w:t>
            </w:r>
          </w:p>
        </w:tc>
        <w:tc>
          <w:tcPr>
            <w:tcW w:w="1740" w:type="dxa"/>
          </w:tcPr>
          <w:p w14:paraId="17E287BC"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3</w:t>
            </w:r>
          </w:p>
        </w:tc>
        <w:tc>
          <w:tcPr>
            <w:tcW w:w="1414" w:type="dxa"/>
          </w:tcPr>
          <w:p w14:paraId="687E018C" w14:textId="77777777" w:rsidR="00725E50" w:rsidRPr="00075DC8" w:rsidRDefault="00725E50" w:rsidP="00ED4837">
            <w:pPr>
              <w:pStyle w:val="Tabletext"/>
              <w:jc w:val="center"/>
              <w:rPr>
                <w:sz w:val="18"/>
                <w:szCs w:val="18"/>
                <w:lang w:val="fr-FR"/>
              </w:rPr>
            </w:pPr>
            <w:r w:rsidRPr="00075DC8">
              <w:rPr>
                <w:sz w:val="18"/>
                <w:szCs w:val="18"/>
                <w:lang w:val="fr-FR" w:eastAsia="ja-JP"/>
              </w:rPr>
              <w:t>5</w:t>
            </w:r>
          </w:p>
        </w:tc>
        <w:tc>
          <w:tcPr>
            <w:tcW w:w="1426" w:type="dxa"/>
          </w:tcPr>
          <w:p w14:paraId="450E5849"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5</w:t>
            </w:r>
          </w:p>
        </w:tc>
      </w:tr>
      <w:tr w:rsidR="00725E50" w:rsidRPr="00075DC8" w14:paraId="10A4886F" w14:textId="77777777" w:rsidTr="0083748C">
        <w:trPr>
          <w:trHeight w:val="20"/>
          <w:jc w:val="center"/>
        </w:trPr>
        <w:tc>
          <w:tcPr>
            <w:tcW w:w="3086" w:type="dxa"/>
            <w:tcMar>
              <w:left w:w="57" w:type="dxa"/>
              <w:right w:w="57" w:type="dxa"/>
            </w:tcMar>
          </w:tcPr>
          <w:p w14:paraId="73DEBF1B" w14:textId="77777777" w:rsidR="00725E50" w:rsidRPr="00075DC8" w:rsidRDefault="00725E50" w:rsidP="00ED4837">
            <w:pPr>
              <w:pStyle w:val="Tabletext"/>
              <w:jc w:val="left"/>
              <w:rPr>
                <w:sz w:val="18"/>
                <w:szCs w:val="18"/>
                <w:lang w:val="fr-FR"/>
              </w:rPr>
            </w:pPr>
            <w:r w:rsidRPr="00075DC8">
              <w:rPr>
                <w:sz w:val="18"/>
                <w:szCs w:val="18"/>
                <w:lang w:val="fr-FR" w:eastAsia="ja-JP"/>
              </w:rPr>
              <w:t>Densité type de puissance de bruit du récepteur (=</w:t>
            </w:r>
            <w:r w:rsidRPr="00075DC8">
              <w:rPr>
                <w:i/>
                <w:iCs/>
                <w:sz w:val="18"/>
                <w:szCs w:val="18"/>
                <w:lang w:val="fr-FR"/>
              </w:rPr>
              <w:t>N</w:t>
            </w:r>
            <w:r w:rsidRPr="00075DC8">
              <w:rPr>
                <w:i/>
                <w:iCs/>
                <w:sz w:val="18"/>
                <w:szCs w:val="18"/>
                <w:vertAlign w:val="subscript"/>
                <w:lang w:val="fr-FR"/>
              </w:rPr>
              <w:t>RX</w:t>
            </w:r>
            <w:r w:rsidRPr="00075DC8">
              <w:rPr>
                <w:sz w:val="18"/>
                <w:szCs w:val="18"/>
                <w:lang w:val="fr-FR" w:eastAsia="ja-JP"/>
              </w:rPr>
              <w:t xml:space="preserve">) </w:t>
            </w:r>
            <w:r w:rsidRPr="00075DC8">
              <w:rPr>
                <w:sz w:val="18"/>
                <w:szCs w:val="18"/>
                <w:lang w:val="fr-FR"/>
              </w:rPr>
              <w:t>(dBW/MHz)</w:t>
            </w:r>
          </w:p>
        </w:tc>
        <w:tc>
          <w:tcPr>
            <w:tcW w:w="1006" w:type="dxa"/>
            <w:vMerge/>
          </w:tcPr>
          <w:p w14:paraId="43566485" w14:textId="77777777" w:rsidR="00725E50" w:rsidRPr="00075DC8" w:rsidRDefault="00725E50" w:rsidP="00ED4837">
            <w:pPr>
              <w:pStyle w:val="Tabletext"/>
              <w:jc w:val="center"/>
              <w:rPr>
                <w:sz w:val="18"/>
                <w:szCs w:val="18"/>
                <w:lang w:val="fr-FR"/>
              </w:rPr>
            </w:pPr>
          </w:p>
        </w:tc>
        <w:tc>
          <w:tcPr>
            <w:tcW w:w="1007" w:type="dxa"/>
            <w:vMerge/>
          </w:tcPr>
          <w:p w14:paraId="645B29F1" w14:textId="77777777" w:rsidR="00725E50" w:rsidRPr="00075DC8" w:rsidRDefault="00725E50" w:rsidP="00ED4837">
            <w:pPr>
              <w:pStyle w:val="Tabletext"/>
              <w:jc w:val="center"/>
              <w:rPr>
                <w:sz w:val="18"/>
                <w:szCs w:val="18"/>
                <w:lang w:val="fr-FR"/>
              </w:rPr>
            </w:pPr>
          </w:p>
        </w:tc>
        <w:tc>
          <w:tcPr>
            <w:tcW w:w="1526" w:type="dxa"/>
          </w:tcPr>
          <w:p w14:paraId="1864E469" w14:textId="77777777" w:rsidR="00725E50" w:rsidRPr="00075DC8" w:rsidRDefault="00725E50" w:rsidP="00ED4837">
            <w:pPr>
              <w:pStyle w:val="Tabletext"/>
              <w:jc w:val="center"/>
              <w:rPr>
                <w:sz w:val="18"/>
                <w:szCs w:val="18"/>
                <w:lang w:val="fr-FR"/>
              </w:rPr>
            </w:pPr>
            <w:r w:rsidRPr="00075DC8">
              <w:rPr>
                <w:sz w:val="18"/>
                <w:szCs w:val="18"/>
                <w:lang w:val="fr-FR"/>
              </w:rPr>
              <w:t>−</w:t>
            </w:r>
            <w:r w:rsidRPr="00075DC8">
              <w:rPr>
                <w:sz w:val="18"/>
                <w:szCs w:val="18"/>
                <w:lang w:val="fr-FR" w:eastAsia="ja-JP"/>
              </w:rPr>
              <w:t>140</w:t>
            </w:r>
          </w:p>
        </w:tc>
        <w:tc>
          <w:tcPr>
            <w:tcW w:w="1592" w:type="dxa"/>
          </w:tcPr>
          <w:p w14:paraId="719B4C29" w14:textId="77777777" w:rsidR="00725E50" w:rsidRPr="00075DC8" w:rsidRDefault="00725E50" w:rsidP="00ED4837">
            <w:pPr>
              <w:pStyle w:val="Tabletext"/>
              <w:jc w:val="center"/>
              <w:rPr>
                <w:sz w:val="18"/>
                <w:szCs w:val="18"/>
                <w:lang w:val="fr-FR"/>
              </w:rPr>
            </w:pPr>
            <w:r w:rsidRPr="00075DC8">
              <w:rPr>
                <w:sz w:val="18"/>
                <w:szCs w:val="18"/>
                <w:lang w:val="fr-FR"/>
              </w:rPr>
              <w:t>−</w:t>
            </w:r>
            <w:r w:rsidRPr="00075DC8">
              <w:rPr>
                <w:sz w:val="18"/>
                <w:szCs w:val="18"/>
                <w:lang w:val="fr-FR" w:eastAsia="ja-JP"/>
              </w:rPr>
              <w:t>140</w:t>
            </w:r>
          </w:p>
        </w:tc>
        <w:tc>
          <w:tcPr>
            <w:tcW w:w="1662" w:type="dxa"/>
          </w:tcPr>
          <w:p w14:paraId="6DC5ADB0"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−141</w:t>
            </w:r>
          </w:p>
        </w:tc>
        <w:tc>
          <w:tcPr>
            <w:tcW w:w="1740" w:type="dxa"/>
          </w:tcPr>
          <w:p w14:paraId="53A52F40" w14:textId="77777777" w:rsidR="00725E50" w:rsidRPr="00075DC8" w:rsidRDefault="00725E50" w:rsidP="00ED4837">
            <w:pPr>
              <w:pStyle w:val="Tabletext"/>
              <w:jc w:val="center"/>
              <w:rPr>
                <w:sz w:val="18"/>
                <w:szCs w:val="18"/>
                <w:lang w:val="fr-FR" w:eastAsia="ja-JP"/>
              </w:rPr>
            </w:pPr>
            <w:r w:rsidRPr="00075DC8">
              <w:rPr>
                <w:sz w:val="18"/>
                <w:szCs w:val="18"/>
                <w:lang w:val="fr-FR"/>
              </w:rPr>
              <w:t>−</w:t>
            </w:r>
            <w:r w:rsidRPr="00075DC8">
              <w:rPr>
                <w:sz w:val="18"/>
                <w:szCs w:val="18"/>
                <w:lang w:val="fr-FR" w:eastAsia="ja-JP"/>
              </w:rPr>
              <w:t>141</w:t>
            </w:r>
          </w:p>
        </w:tc>
        <w:tc>
          <w:tcPr>
            <w:tcW w:w="1414" w:type="dxa"/>
          </w:tcPr>
          <w:p w14:paraId="03127CE6" w14:textId="77777777" w:rsidR="00725E50" w:rsidRPr="00075DC8" w:rsidRDefault="00725E50" w:rsidP="00ED4837">
            <w:pPr>
              <w:pStyle w:val="Tabletext"/>
              <w:jc w:val="center"/>
              <w:rPr>
                <w:sz w:val="18"/>
                <w:szCs w:val="18"/>
                <w:lang w:val="fr-FR"/>
              </w:rPr>
            </w:pPr>
            <w:r w:rsidRPr="00075DC8">
              <w:rPr>
                <w:sz w:val="18"/>
                <w:szCs w:val="18"/>
                <w:lang w:val="fr-FR"/>
              </w:rPr>
              <w:t>−</w:t>
            </w:r>
            <w:r w:rsidRPr="00075DC8">
              <w:rPr>
                <w:sz w:val="18"/>
                <w:szCs w:val="18"/>
                <w:lang w:val="fr-FR" w:eastAsia="ja-JP"/>
              </w:rPr>
              <w:t>139</w:t>
            </w:r>
          </w:p>
        </w:tc>
        <w:tc>
          <w:tcPr>
            <w:tcW w:w="1426" w:type="dxa"/>
          </w:tcPr>
          <w:p w14:paraId="774E4471" w14:textId="77777777" w:rsidR="00725E50" w:rsidRPr="00075DC8" w:rsidRDefault="00725E50" w:rsidP="00ED4837">
            <w:pPr>
              <w:pStyle w:val="Tabletext"/>
              <w:jc w:val="center"/>
              <w:rPr>
                <w:sz w:val="18"/>
                <w:szCs w:val="18"/>
                <w:lang w:val="fr-FR" w:eastAsia="ja-JP"/>
              </w:rPr>
            </w:pPr>
            <w:r w:rsidRPr="00075DC8">
              <w:rPr>
                <w:sz w:val="18"/>
                <w:szCs w:val="18"/>
                <w:lang w:val="fr-FR"/>
              </w:rPr>
              <w:t>−</w:t>
            </w:r>
            <w:r w:rsidRPr="00075DC8">
              <w:rPr>
                <w:sz w:val="18"/>
                <w:szCs w:val="18"/>
                <w:lang w:val="fr-FR" w:eastAsia="ja-JP"/>
              </w:rPr>
              <w:t>139</w:t>
            </w:r>
          </w:p>
        </w:tc>
      </w:tr>
      <w:tr w:rsidR="00725E50" w:rsidRPr="00075DC8" w14:paraId="0B80B141" w14:textId="77777777" w:rsidTr="0083748C">
        <w:trPr>
          <w:trHeight w:val="20"/>
          <w:jc w:val="center"/>
        </w:trPr>
        <w:tc>
          <w:tcPr>
            <w:tcW w:w="3086" w:type="dxa"/>
            <w:tcMar>
              <w:left w:w="57" w:type="dxa"/>
              <w:right w:w="57" w:type="dxa"/>
            </w:tcMar>
          </w:tcPr>
          <w:p w14:paraId="1312CB97" w14:textId="0C0BBA9F" w:rsidR="00725E50" w:rsidRPr="00075DC8" w:rsidRDefault="00725E50" w:rsidP="00ED4837">
            <w:pPr>
              <w:pStyle w:val="Tabletext"/>
              <w:jc w:val="left"/>
              <w:rPr>
                <w:sz w:val="18"/>
                <w:szCs w:val="18"/>
                <w:lang w:val="fr-FR"/>
              </w:rPr>
            </w:pPr>
            <w:r w:rsidRPr="00075DC8">
              <w:rPr>
                <w:sz w:val="18"/>
                <w:szCs w:val="18"/>
                <w:lang w:val="fr-FR" w:eastAsia="ja-JP"/>
              </w:rPr>
              <w:t>Niveau normalisé à l</w:t>
            </w:r>
            <w:r w:rsidR="001F6A0D" w:rsidRPr="00075DC8">
              <w:rPr>
                <w:sz w:val="18"/>
                <w:szCs w:val="18"/>
                <w:lang w:val="fr-FR" w:eastAsia="ja-JP"/>
              </w:rPr>
              <w:t>'</w:t>
            </w:r>
            <w:r w:rsidRPr="00075DC8">
              <w:rPr>
                <w:sz w:val="18"/>
                <w:szCs w:val="18"/>
                <w:lang w:val="fr-FR" w:eastAsia="ja-JP"/>
              </w:rPr>
              <w:t xml:space="preserve">entrée du récepteur pour un taux BER </w:t>
            </w:r>
            <w:r w:rsidRPr="00075DC8">
              <w:rPr>
                <w:sz w:val="18"/>
                <w:szCs w:val="18"/>
                <w:lang w:val="fr-FR"/>
              </w:rPr>
              <w:t>de 1 × 10</w:t>
            </w:r>
            <w:r w:rsidR="003567D8" w:rsidRPr="00075DC8">
              <w:rPr>
                <w:sz w:val="18"/>
                <w:szCs w:val="18"/>
                <w:vertAlign w:val="superscript"/>
                <w:lang w:val="fr-FR"/>
              </w:rPr>
              <w:t>−</w:t>
            </w:r>
            <w:r w:rsidRPr="00075DC8">
              <w:rPr>
                <w:sz w:val="18"/>
                <w:szCs w:val="18"/>
                <w:vertAlign w:val="superscript"/>
                <w:lang w:val="fr-FR"/>
              </w:rPr>
              <w:t>6</w:t>
            </w:r>
            <w:r w:rsidRPr="00075DC8">
              <w:rPr>
                <w:sz w:val="18"/>
                <w:szCs w:val="18"/>
                <w:lang w:val="fr-FR"/>
              </w:rPr>
              <w:t xml:space="preserve"> (dBW/MHz)</w:t>
            </w:r>
          </w:p>
        </w:tc>
        <w:tc>
          <w:tcPr>
            <w:tcW w:w="1006" w:type="dxa"/>
            <w:vMerge/>
          </w:tcPr>
          <w:p w14:paraId="53191B59" w14:textId="77777777" w:rsidR="00725E50" w:rsidRPr="00075DC8" w:rsidRDefault="00725E50" w:rsidP="00ED4837">
            <w:pPr>
              <w:pStyle w:val="Tabletext"/>
              <w:jc w:val="center"/>
              <w:rPr>
                <w:sz w:val="18"/>
                <w:szCs w:val="18"/>
                <w:lang w:val="fr-FR"/>
              </w:rPr>
            </w:pPr>
          </w:p>
        </w:tc>
        <w:tc>
          <w:tcPr>
            <w:tcW w:w="1007" w:type="dxa"/>
            <w:vMerge/>
          </w:tcPr>
          <w:p w14:paraId="053B07B7" w14:textId="77777777" w:rsidR="00725E50" w:rsidRPr="00075DC8" w:rsidRDefault="00725E50" w:rsidP="00ED4837">
            <w:pPr>
              <w:pStyle w:val="Tabletext"/>
              <w:jc w:val="center"/>
              <w:rPr>
                <w:sz w:val="18"/>
                <w:szCs w:val="18"/>
                <w:lang w:val="fr-FR"/>
              </w:rPr>
            </w:pPr>
          </w:p>
        </w:tc>
        <w:tc>
          <w:tcPr>
            <w:tcW w:w="1526" w:type="dxa"/>
          </w:tcPr>
          <w:p w14:paraId="44A3BDEA" w14:textId="77777777" w:rsidR="00725E50" w:rsidRPr="00075DC8" w:rsidRDefault="00725E50" w:rsidP="00ED4837">
            <w:pPr>
              <w:pStyle w:val="Tabletext"/>
              <w:jc w:val="center"/>
              <w:rPr>
                <w:sz w:val="18"/>
                <w:szCs w:val="18"/>
                <w:lang w:val="fr-FR"/>
              </w:rPr>
            </w:pPr>
            <w:r w:rsidRPr="00075DC8">
              <w:rPr>
                <w:sz w:val="18"/>
                <w:szCs w:val="18"/>
                <w:lang w:val="fr-FR"/>
              </w:rPr>
              <w:t>−</w:t>
            </w:r>
            <w:r w:rsidRPr="00075DC8">
              <w:rPr>
                <w:sz w:val="18"/>
                <w:szCs w:val="18"/>
                <w:lang w:val="fr-FR" w:eastAsia="ja-JP"/>
              </w:rPr>
              <w:t>126,5…</w:t>
            </w:r>
            <w:r w:rsidRPr="00075DC8">
              <w:rPr>
                <w:sz w:val="18"/>
                <w:szCs w:val="18"/>
                <w:lang w:val="fr-FR"/>
              </w:rPr>
              <w:t>−</w:t>
            </w:r>
            <w:r w:rsidRPr="00075DC8">
              <w:rPr>
                <w:sz w:val="18"/>
                <w:szCs w:val="18"/>
                <w:lang w:val="fr-FR" w:eastAsia="ja-JP"/>
              </w:rPr>
              <w:t>113,5</w:t>
            </w:r>
          </w:p>
        </w:tc>
        <w:tc>
          <w:tcPr>
            <w:tcW w:w="1592" w:type="dxa"/>
          </w:tcPr>
          <w:p w14:paraId="58B989F5" w14:textId="77777777" w:rsidR="00725E50" w:rsidRPr="00075DC8" w:rsidRDefault="00725E50" w:rsidP="00ED4837">
            <w:pPr>
              <w:pStyle w:val="Tabletext"/>
              <w:jc w:val="center"/>
              <w:rPr>
                <w:sz w:val="18"/>
                <w:szCs w:val="18"/>
                <w:lang w:val="fr-FR"/>
              </w:rPr>
            </w:pPr>
            <w:r w:rsidRPr="00075DC8">
              <w:rPr>
                <w:sz w:val="18"/>
                <w:szCs w:val="18"/>
                <w:lang w:val="fr-FR"/>
              </w:rPr>
              <w:t>−</w:t>
            </w:r>
            <w:r w:rsidRPr="00075DC8">
              <w:rPr>
                <w:sz w:val="18"/>
                <w:szCs w:val="18"/>
                <w:lang w:val="fr-FR" w:eastAsia="ja-JP"/>
              </w:rPr>
              <w:t>126,5</w:t>
            </w:r>
          </w:p>
        </w:tc>
        <w:tc>
          <w:tcPr>
            <w:tcW w:w="1662" w:type="dxa"/>
          </w:tcPr>
          <w:p w14:paraId="60EE4E93"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−127,5…</w:t>
            </w:r>
            <w:r w:rsidRPr="00075DC8">
              <w:rPr>
                <w:sz w:val="18"/>
                <w:szCs w:val="18"/>
                <w:lang w:val="fr-FR"/>
              </w:rPr>
              <w:t>−</w:t>
            </w:r>
            <w:r w:rsidRPr="00075DC8">
              <w:rPr>
                <w:sz w:val="18"/>
                <w:szCs w:val="18"/>
                <w:lang w:val="fr-FR" w:eastAsia="ja-JP"/>
              </w:rPr>
              <w:t>114,5</w:t>
            </w:r>
          </w:p>
        </w:tc>
        <w:tc>
          <w:tcPr>
            <w:tcW w:w="1740" w:type="dxa"/>
          </w:tcPr>
          <w:p w14:paraId="31493DB0" w14:textId="77777777" w:rsidR="00725E50" w:rsidRPr="00075DC8" w:rsidRDefault="00725E50" w:rsidP="00ED4837">
            <w:pPr>
              <w:pStyle w:val="Tabletext"/>
              <w:jc w:val="center"/>
              <w:rPr>
                <w:sz w:val="18"/>
                <w:szCs w:val="18"/>
                <w:lang w:val="fr-FR" w:eastAsia="ja-JP"/>
              </w:rPr>
            </w:pPr>
            <w:r w:rsidRPr="00075DC8">
              <w:rPr>
                <w:sz w:val="18"/>
                <w:szCs w:val="18"/>
                <w:lang w:val="fr-FR"/>
              </w:rPr>
              <w:t>−</w:t>
            </w:r>
            <w:r w:rsidRPr="00075DC8">
              <w:rPr>
                <w:sz w:val="18"/>
                <w:szCs w:val="18"/>
                <w:lang w:val="fr-FR" w:eastAsia="ja-JP"/>
              </w:rPr>
              <w:t>127,5</w:t>
            </w:r>
          </w:p>
        </w:tc>
        <w:tc>
          <w:tcPr>
            <w:tcW w:w="1414" w:type="dxa"/>
          </w:tcPr>
          <w:p w14:paraId="61D04C12" w14:textId="77777777" w:rsidR="00725E50" w:rsidRPr="00075DC8" w:rsidRDefault="00725E50" w:rsidP="00ED4837">
            <w:pPr>
              <w:pStyle w:val="Tabletext"/>
              <w:jc w:val="center"/>
              <w:rPr>
                <w:sz w:val="18"/>
                <w:szCs w:val="18"/>
                <w:lang w:val="fr-FR"/>
              </w:rPr>
            </w:pPr>
            <w:r w:rsidRPr="00075DC8">
              <w:rPr>
                <w:sz w:val="18"/>
                <w:szCs w:val="18"/>
                <w:lang w:val="fr-FR"/>
              </w:rPr>
              <w:t>−</w:t>
            </w:r>
            <w:r w:rsidRPr="00075DC8">
              <w:rPr>
                <w:sz w:val="18"/>
                <w:szCs w:val="18"/>
                <w:lang w:val="fr-FR" w:eastAsia="ja-JP"/>
              </w:rPr>
              <w:t>112,5</w:t>
            </w:r>
          </w:p>
        </w:tc>
        <w:tc>
          <w:tcPr>
            <w:tcW w:w="1426" w:type="dxa"/>
          </w:tcPr>
          <w:p w14:paraId="0F034527" w14:textId="77777777" w:rsidR="00725E50" w:rsidRPr="00075DC8" w:rsidRDefault="00725E50" w:rsidP="00ED4837">
            <w:pPr>
              <w:pStyle w:val="Tabletext"/>
              <w:jc w:val="center"/>
              <w:rPr>
                <w:sz w:val="18"/>
                <w:szCs w:val="18"/>
                <w:lang w:val="fr-FR" w:eastAsia="ja-JP"/>
              </w:rPr>
            </w:pPr>
            <w:r w:rsidRPr="00075DC8">
              <w:rPr>
                <w:sz w:val="18"/>
                <w:szCs w:val="18"/>
                <w:lang w:val="fr-FR"/>
              </w:rPr>
              <w:t>−</w:t>
            </w:r>
            <w:r w:rsidRPr="00075DC8">
              <w:rPr>
                <w:sz w:val="18"/>
                <w:szCs w:val="18"/>
                <w:lang w:val="fr-FR" w:eastAsia="ja-JP"/>
              </w:rPr>
              <w:t>112,5</w:t>
            </w:r>
          </w:p>
        </w:tc>
      </w:tr>
      <w:tr w:rsidR="0083748C" w:rsidRPr="00075DC8" w14:paraId="3AC8E37D" w14:textId="77777777" w:rsidTr="0083748C">
        <w:trPr>
          <w:trHeight w:val="20"/>
          <w:jc w:val="center"/>
        </w:trPr>
        <w:tc>
          <w:tcPr>
            <w:tcW w:w="3086" w:type="dxa"/>
            <w:tcBorders>
              <w:bottom w:val="single" w:sz="2" w:space="0" w:color="auto"/>
            </w:tcBorders>
            <w:tcMar>
              <w:left w:w="57" w:type="dxa"/>
              <w:right w:w="57" w:type="dxa"/>
            </w:tcMar>
          </w:tcPr>
          <w:p w14:paraId="3CB5A237" w14:textId="77777777" w:rsidR="00725E50" w:rsidRPr="00075DC8" w:rsidRDefault="00725E50" w:rsidP="00ED4837">
            <w:pPr>
              <w:pStyle w:val="Tabletext"/>
              <w:jc w:val="left"/>
              <w:rPr>
                <w:sz w:val="18"/>
                <w:szCs w:val="18"/>
                <w:lang w:val="fr-FR" w:eastAsia="ja-JP"/>
              </w:rPr>
            </w:pPr>
            <w:r w:rsidRPr="00075DC8">
              <w:rPr>
                <w:sz w:val="18"/>
                <w:szCs w:val="18"/>
                <w:lang w:val="fr-FR" w:eastAsia="ja-JP"/>
              </w:rPr>
              <w:t xml:space="preserve">Densité nominale de puissance de brouillage de longue durée </w:t>
            </w:r>
            <w:r w:rsidRPr="00075DC8">
              <w:rPr>
                <w:sz w:val="18"/>
                <w:szCs w:val="18"/>
                <w:lang w:val="fr-FR"/>
              </w:rPr>
              <w:t>(dBW/MHz)</w:t>
            </w:r>
            <w:r w:rsidRPr="00075DC8">
              <w:rPr>
                <w:sz w:val="18"/>
                <w:szCs w:val="18"/>
                <w:vertAlign w:val="superscript"/>
                <w:lang w:val="fr-FR" w:eastAsia="ja-JP"/>
              </w:rPr>
              <w:t>(2)</w:t>
            </w:r>
          </w:p>
        </w:tc>
        <w:tc>
          <w:tcPr>
            <w:tcW w:w="1006" w:type="dxa"/>
            <w:tcBorders>
              <w:bottom w:val="single" w:sz="2" w:space="0" w:color="auto"/>
            </w:tcBorders>
          </w:tcPr>
          <w:p w14:paraId="1F1CE77B" w14:textId="77777777" w:rsidR="00725E50" w:rsidRPr="00075DC8" w:rsidRDefault="00725E50" w:rsidP="00ED4837">
            <w:pPr>
              <w:pStyle w:val="Tabletext"/>
              <w:jc w:val="center"/>
              <w:rPr>
                <w:sz w:val="18"/>
                <w:szCs w:val="18"/>
                <w:lang w:val="fr-FR"/>
              </w:rPr>
            </w:pPr>
            <w:r w:rsidRPr="00075DC8">
              <w:rPr>
                <w:i/>
                <w:iCs/>
                <w:sz w:val="18"/>
                <w:szCs w:val="18"/>
                <w:lang w:val="fr-FR"/>
              </w:rPr>
              <w:t>N</w:t>
            </w:r>
            <w:r w:rsidRPr="00075DC8">
              <w:rPr>
                <w:i/>
                <w:iCs/>
                <w:sz w:val="18"/>
                <w:szCs w:val="18"/>
                <w:vertAlign w:val="subscript"/>
                <w:lang w:val="fr-FR"/>
              </w:rPr>
              <w:t>RX</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c>
          <w:tcPr>
            <w:tcW w:w="1007" w:type="dxa"/>
            <w:tcBorders>
              <w:bottom w:val="single" w:sz="2" w:space="0" w:color="auto"/>
            </w:tcBorders>
          </w:tcPr>
          <w:p w14:paraId="32E928CF" w14:textId="77777777" w:rsidR="00725E50" w:rsidRPr="00075DC8" w:rsidRDefault="00725E50" w:rsidP="00ED4837">
            <w:pPr>
              <w:pStyle w:val="Tabletext"/>
              <w:jc w:val="center"/>
              <w:rPr>
                <w:sz w:val="18"/>
                <w:szCs w:val="18"/>
                <w:lang w:val="fr-FR"/>
              </w:rPr>
            </w:pPr>
            <w:r w:rsidRPr="00075DC8">
              <w:rPr>
                <w:i/>
                <w:iCs/>
                <w:sz w:val="18"/>
                <w:szCs w:val="18"/>
                <w:lang w:val="fr-FR"/>
              </w:rPr>
              <w:t>N</w:t>
            </w:r>
            <w:r w:rsidRPr="00075DC8">
              <w:rPr>
                <w:i/>
                <w:iCs/>
                <w:sz w:val="18"/>
                <w:szCs w:val="18"/>
                <w:vertAlign w:val="subscript"/>
                <w:lang w:val="fr-FR"/>
              </w:rPr>
              <w:t>RX</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c>
          <w:tcPr>
            <w:tcW w:w="1526" w:type="dxa"/>
            <w:tcBorders>
              <w:bottom w:val="single" w:sz="2" w:space="0" w:color="auto"/>
            </w:tcBorders>
          </w:tcPr>
          <w:p w14:paraId="35CF5FD9" w14:textId="77777777" w:rsidR="00725E50" w:rsidRPr="00075DC8" w:rsidRDefault="00725E50" w:rsidP="00ED4837">
            <w:pPr>
              <w:pStyle w:val="Tabletext"/>
              <w:jc w:val="center"/>
              <w:rPr>
                <w:sz w:val="18"/>
                <w:szCs w:val="18"/>
                <w:lang w:val="fr-FR" w:eastAsia="ja-JP"/>
              </w:rPr>
            </w:pPr>
            <w:r w:rsidRPr="00075DC8">
              <w:rPr>
                <w:iCs/>
                <w:sz w:val="18"/>
                <w:szCs w:val="18"/>
                <w:lang w:val="fr-FR" w:eastAsia="ja-JP"/>
              </w:rPr>
              <w:sym w:font="Symbol" w:char="F02D"/>
            </w:r>
            <w:r w:rsidRPr="00075DC8">
              <w:rPr>
                <w:iCs/>
                <w:sz w:val="18"/>
                <w:szCs w:val="18"/>
                <w:lang w:val="fr-FR" w:eastAsia="ja-JP"/>
              </w:rPr>
              <w:t>140</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c>
          <w:tcPr>
            <w:tcW w:w="1592" w:type="dxa"/>
            <w:tcBorders>
              <w:bottom w:val="single" w:sz="2" w:space="0" w:color="auto"/>
            </w:tcBorders>
          </w:tcPr>
          <w:p w14:paraId="6F9CC8B8" w14:textId="77777777" w:rsidR="00725E50" w:rsidRPr="00075DC8" w:rsidRDefault="00725E50" w:rsidP="00ED4837">
            <w:pPr>
              <w:pStyle w:val="Tabletext"/>
              <w:jc w:val="center"/>
              <w:rPr>
                <w:sz w:val="18"/>
                <w:szCs w:val="18"/>
                <w:lang w:val="fr-FR" w:eastAsia="ja-JP"/>
              </w:rPr>
            </w:pPr>
            <w:r w:rsidRPr="00075DC8">
              <w:rPr>
                <w:sz w:val="18"/>
                <w:szCs w:val="18"/>
                <w:lang w:val="fr-FR"/>
              </w:rPr>
              <w:t>−</w:t>
            </w:r>
            <w:r w:rsidRPr="00075DC8">
              <w:rPr>
                <w:sz w:val="18"/>
                <w:szCs w:val="18"/>
                <w:lang w:val="fr-FR" w:eastAsia="ja-JP"/>
              </w:rPr>
              <w:t>140</w:t>
            </w:r>
            <w:r w:rsidRPr="00075DC8">
              <w:rPr>
                <w:sz w:val="18"/>
                <w:szCs w:val="18"/>
                <w:lang w:val="fr-FR"/>
              </w:rPr>
              <w:t xml:space="preserve"> +</w:t>
            </w:r>
            <w:r w:rsidRPr="00075DC8">
              <w:rPr>
                <w:i/>
                <w:sz w:val="18"/>
                <w:szCs w:val="18"/>
                <w:lang w:val="fr-FR"/>
              </w:rPr>
              <w:t xml:space="preserve"> I</w:t>
            </w:r>
            <w:r w:rsidRPr="00075DC8">
              <w:rPr>
                <w:iCs/>
                <w:sz w:val="18"/>
                <w:szCs w:val="18"/>
                <w:lang w:val="fr-FR"/>
              </w:rPr>
              <w:t>/</w:t>
            </w:r>
            <w:r w:rsidRPr="00075DC8">
              <w:rPr>
                <w:i/>
                <w:sz w:val="18"/>
                <w:szCs w:val="18"/>
                <w:lang w:val="fr-FR"/>
              </w:rPr>
              <w:t>N</w:t>
            </w:r>
          </w:p>
        </w:tc>
        <w:tc>
          <w:tcPr>
            <w:tcW w:w="1662" w:type="dxa"/>
            <w:tcBorders>
              <w:bottom w:val="single" w:sz="2" w:space="0" w:color="auto"/>
            </w:tcBorders>
          </w:tcPr>
          <w:p w14:paraId="6CCD2038" w14:textId="77777777" w:rsidR="00725E50" w:rsidRPr="00075DC8" w:rsidRDefault="00725E50" w:rsidP="00ED4837">
            <w:pPr>
              <w:pStyle w:val="Tabletext"/>
              <w:jc w:val="center"/>
              <w:rPr>
                <w:sz w:val="18"/>
                <w:szCs w:val="18"/>
                <w:lang w:val="fr-FR" w:eastAsia="ja-JP"/>
              </w:rPr>
            </w:pPr>
            <w:r w:rsidRPr="00075DC8">
              <w:rPr>
                <w:sz w:val="18"/>
                <w:szCs w:val="18"/>
                <w:lang w:val="fr-FR" w:eastAsia="ja-JP"/>
              </w:rPr>
              <w:t>−141</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c>
          <w:tcPr>
            <w:tcW w:w="1740" w:type="dxa"/>
            <w:tcBorders>
              <w:bottom w:val="single" w:sz="2" w:space="0" w:color="auto"/>
            </w:tcBorders>
          </w:tcPr>
          <w:p w14:paraId="1459FB68" w14:textId="77777777" w:rsidR="00725E50" w:rsidRPr="00075DC8" w:rsidRDefault="00725E50" w:rsidP="00ED4837">
            <w:pPr>
              <w:pStyle w:val="Tabletext"/>
              <w:jc w:val="center"/>
              <w:rPr>
                <w:sz w:val="18"/>
                <w:szCs w:val="18"/>
                <w:lang w:val="fr-FR" w:eastAsia="ja-JP"/>
              </w:rPr>
            </w:pPr>
            <w:r w:rsidRPr="00075DC8">
              <w:rPr>
                <w:sz w:val="18"/>
                <w:szCs w:val="18"/>
                <w:lang w:val="fr-FR"/>
              </w:rPr>
              <w:t>−</w:t>
            </w:r>
            <w:r w:rsidRPr="00075DC8">
              <w:rPr>
                <w:sz w:val="18"/>
                <w:szCs w:val="18"/>
                <w:lang w:val="fr-FR" w:eastAsia="ja-JP"/>
              </w:rPr>
              <w:t>141</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c>
          <w:tcPr>
            <w:tcW w:w="1414" w:type="dxa"/>
            <w:tcBorders>
              <w:bottom w:val="single" w:sz="2" w:space="0" w:color="auto"/>
            </w:tcBorders>
          </w:tcPr>
          <w:p w14:paraId="5B0E9062" w14:textId="77777777" w:rsidR="00725E50" w:rsidRPr="00075DC8" w:rsidRDefault="00725E50" w:rsidP="00ED4837">
            <w:pPr>
              <w:pStyle w:val="Tabletext"/>
              <w:jc w:val="center"/>
              <w:rPr>
                <w:sz w:val="18"/>
                <w:szCs w:val="18"/>
                <w:lang w:val="fr-FR" w:eastAsia="ja-JP"/>
              </w:rPr>
            </w:pPr>
            <w:r w:rsidRPr="00075DC8">
              <w:rPr>
                <w:sz w:val="18"/>
                <w:szCs w:val="18"/>
                <w:lang w:val="fr-FR"/>
              </w:rPr>
              <w:t>−</w:t>
            </w:r>
            <w:r w:rsidRPr="00075DC8">
              <w:rPr>
                <w:sz w:val="18"/>
                <w:szCs w:val="18"/>
                <w:lang w:val="fr-FR" w:eastAsia="ja-JP"/>
              </w:rPr>
              <w:t>139</w:t>
            </w:r>
            <w:r w:rsidRPr="00075DC8">
              <w:rPr>
                <w:sz w:val="18"/>
                <w:szCs w:val="18"/>
                <w:lang w:val="fr-FR"/>
              </w:rPr>
              <w:t xml:space="preserve"> +</w:t>
            </w:r>
            <w:r w:rsidRPr="00075DC8">
              <w:rPr>
                <w:i/>
                <w:sz w:val="18"/>
                <w:szCs w:val="18"/>
                <w:lang w:val="fr-FR"/>
              </w:rPr>
              <w:t xml:space="preserve"> I</w:t>
            </w:r>
            <w:r w:rsidRPr="00075DC8">
              <w:rPr>
                <w:iCs/>
                <w:sz w:val="18"/>
                <w:szCs w:val="18"/>
                <w:lang w:val="fr-FR"/>
              </w:rPr>
              <w:t>/</w:t>
            </w:r>
            <w:r w:rsidRPr="00075DC8">
              <w:rPr>
                <w:i/>
                <w:sz w:val="18"/>
                <w:szCs w:val="18"/>
                <w:lang w:val="fr-FR"/>
              </w:rPr>
              <w:t>N</w:t>
            </w:r>
          </w:p>
        </w:tc>
        <w:tc>
          <w:tcPr>
            <w:tcW w:w="1426" w:type="dxa"/>
            <w:tcBorders>
              <w:bottom w:val="single" w:sz="2" w:space="0" w:color="auto"/>
            </w:tcBorders>
          </w:tcPr>
          <w:p w14:paraId="58C5E401" w14:textId="77777777" w:rsidR="00725E50" w:rsidRPr="00075DC8" w:rsidRDefault="00725E50" w:rsidP="00ED4837">
            <w:pPr>
              <w:pStyle w:val="Tabletext"/>
              <w:jc w:val="center"/>
              <w:rPr>
                <w:sz w:val="18"/>
                <w:szCs w:val="18"/>
                <w:lang w:val="fr-FR" w:eastAsia="ja-JP"/>
              </w:rPr>
            </w:pPr>
            <w:r w:rsidRPr="00075DC8">
              <w:rPr>
                <w:sz w:val="18"/>
                <w:szCs w:val="18"/>
                <w:lang w:val="fr-FR"/>
              </w:rPr>
              <w:t>−</w:t>
            </w:r>
            <w:r w:rsidRPr="00075DC8">
              <w:rPr>
                <w:sz w:val="18"/>
                <w:szCs w:val="18"/>
                <w:lang w:val="fr-FR" w:eastAsia="ja-JP"/>
              </w:rPr>
              <w:t>139</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r>
      <w:tr w:rsidR="0083748C" w:rsidRPr="00075DC8" w14:paraId="26B96A04" w14:textId="77777777" w:rsidTr="0083748C">
        <w:trPr>
          <w:trHeight w:val="20"/>
          <w:jc w:val="center"/>
        </w:trPr>
        <w:tc>
          <w:tcPr>
            <w:tcW w:w="14459" w:type="dxa"/>
            <w:gridSpan w:val="9"/>
            <w:tcBorders>
              <w:left w:val="nil"/>
              <w:bottom w:val="nil"/>
              <w:right w:val="nil"/>
            </w:tcBorders>
            <w:tcMar>
              <w:left w:w="57" w:type="dxa"/>
              <w:right w:w="57" w:type="dxa"/>
            </w:tcMar>
          </w:tcPr>
          <w:p w14:paraId="2CED4D40" w14:textId="7E3C95D0" w:rsidR="0083748C" w:rsidRPr="00075DC8" w:rsidRDefault="0083748C" w:rsidP="0083748C">
            <w:pPr>
              <w:pStyle w:val="Tabletext"/>
              <w:rPr>
                <w:sz w:val="18"/>
                <w:szCs w:val="18"/>
                <w:lang w:val="fr-FR" w:eastAsia="ja-JP"/>
              </w:rPr>
            </w:pPr>
            <w:r w:rsidRPr="00075DC8">
              <w:rPr>
                <w:sz w:val="18"/>
                <w:szCs w:val="18"/>
                <w:lang w:val="fr-FR" w:eastAsia="ja-JP"/>
              </w:rPr>
              <w:t>NOTE – L</w:t>
            </w:r>
            <w:r w:rsidR="001F6A0D" w:rsidRPr="00075DC8">
              <w:rPr>
                <w:sz w:val="18"/>
                <w:szCs w:val="18"/>
                <w:lang w:val="fr-FR" w:eastAsia="ja-JP"/>
              </w:rPr>
              <w:t>'</w:t>
            </w:r>
            <w:r w:rsidRPr="00075DC8">
              <w:rPr>
                <w:sz w:val="18"/>
                <w:szCs w:val="18"/>
                <w:lang w:val="fr-FR" w:eastAsia="ja-JP"/>
              </w:rPr>
              <w:t>ensemble prévu des paramètres, pour deux systèmes de référence pour les études de partage ou de compatibilité, est à l</w:t>
            </w:r>
            <w:r w:rsidR="001F6A0D" w:rsidRPr="00075DC8">
              <w:rPr>
                <w:sz w:val="18"/>
                <w:szCs w:val="18"/>
                <w:lang w:val="fr-FR" w:eastAsia="ja-JP"/>
              </w:rPr>
              <w:t>'</w:t>
            </w:r>
            <w:r w:rsidRPr="00075DC8">
              <w:rPr>
                <w:sz w:val="18"/>
                <w:szCs w:val="18"/>
                <w:lang w:val="fr-FR" w:eastAsia="ja-JP"/>
              </w:rPr>
              <w:t>heure actuelle partiellement ou totalement indisponible. Provisoirement, les paramètres indiqués à l</w:t>
            </w:r>
            <w:r w:rsidR="001F6A0D" w:rsidRPr="00075DC8">
              <w:rPr>
                <w:sz w:val="18"/>
                <w:szCs w:val="18"/>
                <w:lang w:val="fr-FR" w:eastAsia="ja-JP"/>
              </w:rPr>
              <w:t>'</w:t>
            </w:r>
            <w:r w:rsidRPr="00075DC8">
              <w:rPr>
                <w:sz w:val="18"/>
                <w:szCs w:val="18"/>
                <w:lang w:val="fr-FR" w:eastAsia="ja-JP"/>
              </w:rPr>
              <w:t>Annexe 3 pour les mêmes bandes peuvent être employés.</w:t>
            </w:r>
          </w:p>
        </w:tc>
      </w:tr>
      <w:tr w:rsidR="00725E50" w:rsidRPr="00075DC8" w14:paraId="0C8FC30E" w14:textId="77777777" w:rsidTr="0083748C">
        <w:trPr>
          <w:jc w:val="center"/>
        </w:trPr>
        <w:tc>
          <w:tcPr>
            <w:tcW w:w="14459" w:type="dxa"/>
            <w:gridSpan w:val="9"/>
            <w:tcBorders>
              <w:top w:val="nil"/>
              <w:left w:val="nil"/>
              <w:bottom w:val="nil"/>
              <w:right w:val="nil"/>
            </w:tcBorders>
            <w:tcMar>
              <w:left w:w="57" w:type="dxa"/>
              <w:right w:w="57" w:type="dxa"/>
            </w:tcMar>
            <w:vAlign w:val="center"/>
          </w:tcPr>
          <w:p w14:paraId="532C3F51" w14:textId="77777777" w:rsidR="0083748C" w:rsidRPr="00075DC8" w:rsidRDefault="0083748C" w:rsidP="0083748C">
            <w:pPr>
              <w:pStyle w:val="Tabletext"/>
              <w:keepNext/>
              <w:keepLines/>
              <w:rPr>
                <w:sz w:val="18"/>
                <w:szCs w:val="18"/>
                <w:lang w:val="fr-FR"/>
              </w:rPr>
            </w:pPr>
            <w:r w:rsidRPr="00075DC8">
              <w:rPr>
                <w:i/>
                <w:iCs/>
                <w:sz w:val="18"/>
                <w:szCs w:val="18"/>
                <w:lang w:val="fr-FR"/>
              </w:rPr>
              <w:lastRenderedPageBreak/>
              <w:t>Notes relatives au Tableau 9 (fin)</w:t>
            </w:r>
            <w:r w:rsidRPr="00075DC8">
              <w:rPr>
                <w:sz w:val="18"/>
                <w:szCs w:val="18"/>
                <w:lang w:val="fr-FR"/>
              </w:rPr>
              <w:t>:</w:t>
            </w:r>
          </w:p>
          <w:p w14:paraId="7915EF65" w14:textId="6DC087C9" w:rsidR="00725E50" w:rsidRPr="00075DC8" w:rsidRDefault="00725E50" w:rsidP="0011404C">
            <w:pPr>
              <w:pStyle w:val="Tabletext"/>
              <w:keepNext/>
              <w:keepLines/>
              <w:ind w:left="284" w:hanging="284"/>
              <w:rPr>
                <w:b/>
                <w:sz w:val="18"/>
                <w:szCs w:val="18"/>
                <w:vertAlign w:val="superscript"/>
                <w:lang w:val="fr-FR" w:eastAsia="ja-JP"/>
              </w:rPr>
            </w:pPr>
            <w:r w:rsidRPr="00075DC8">
              <w:rPr>
                <w:sz w:val="18"/>
                <w:szCs w:val="18"/>
                <w:vertAlign w:val="superscript"/>
                <w:lang w:val="fr-FR" w:eastAsia="zh-CN"/>
              </w:rPr>
              <w:t>(1)</w:t>
            </w:r>
            <w:r w:rsidRPr="00075DC8">
              <w:rPr>
                <w:sz w:val="18"/>
                <w:szCs w:val="18"/>
                <w:lang w:val="fr-FR" w:eastAsia="zh-CN"/>
              </w:rPr>
              <w:tab/>
            </w:r>
            <w:r w:rsidRPr="00075DC8">
              <w:rPr>
                <w:sz w:val="18"/>
                <w:szCs w:val="18"/>
                <w:lang w:val="fr-FR" w:eastAsia="ja-JP"/>
              </w:rPr>
              <w:t>Pour calculer les valeurs des densités de puissance au niveau de l</w:t>
            </w:r>
            <w:r w:rsidR="001F6A0D" w:rsidRPr="00075DC8">
              <w:rPr>
                <w:sz w:val="18"/>
                <w:szCs w:val="18"/>
                <w:lang w:val="fr-FR" w:eastAsia="ja-JP"/>
              </w:rPr>
              <w:t>'</w:t>
            </w:r>
            <w:r w:rsidRPr="00075DC8">
              <w:rPr>
                <w:sz w:val="18"/>
                <w:szCs w:val="18"/>
                <w:lang w:val="fr-FR" w:eastAsia="ja-JP"/>
              </w:rPr>
              <w:t>émetteur ou des densités de p.i.r.e., il est nécessaire de définir l</w:t>
            </w:r>
            <w:r w:rsidR="001F6A0D" w:rsidRPr="00075DC8">
              <w:rPr>
                <w:sz w:val="18"/>
                <w:szCs w:val="18"/>
                <w:lang w:val="fr-FR" w:eastAsia="ja-JP"/>
              </w:rPr>
              <w:t>'</w:t>
            </w:r>
            <w:r w:rsidRPr="00075DC8">
              <w:rPr>
                <w:sz w:val="18"/>
                <w:szCs w:val="18"/>
                <w:lang w:val="fr-FR" w:eastAsia="ja-JP"/>
              </w:rPr>
              <w:t>espacement des canaux/la largeur de bande. Dans ces tableaux, l</w:t>
            </w:r>
            <w:r w:rsidR="001F6A0D" w:rsidRPr="00075DC8">
              <w:rPr>
                <w:sz w:val="18"/>
                <w:szCs w:val="18"/>
                <w:lang w:val="fr-FR" w:eastAsia="ja-JP"/>
              </w:rPr>
              <w:t>'</w:t>
            </w:r>
            <w:r w:rsidRPr="00075DC8">
              <w:rPr>
                <w:sz w:val="18"/>
                <w:szCs w:val="18"/>
                <w:lang w:val="fr-FR" w:eastAsia="ja-JP"/>
              </w:rPr>
              <w:t xml:space="preserve">espacement des canaux est indiqué en </w:t>
            </w:r>
            <w:r w:rsidRPr="00075DC8">
              <w:rPr>
                <w:b/>
                <w:bCs/>
                <w:sz w:val="18"/>
                <w:szCs w:val="18"/>
                <w:lang w:val="fr-FR" w:eastAsia="ja-JP"/>
              </w:rPr>
              <w:t>caractères gras</w:t>
            </w:r>
            <w:r w:rsidRPr="00075DC8">
              <w:rPr>
                <w:sz w:val="18"/>
                <w:szCs w:val="18"/>
                <w:lang w:val="fr-FR" w:eastAsia="ja-JP"/>
              </w:rPr>
              <w:t>. Lorsqu</w:t>
            </w:r>
            <w:r w:rsidR="001F6A0D" w:rsidRPr="00075DC8">
              <w:rPr>
                <w:sz w:val="18"/>
                <w:szCs w:val="18"/>
                <w:lang w:val="fr-FR" w:eastAsia="ja-JP"/>
              </w:rPr>
              <w:t>'</w:t>
            </w:r>
            <w:r w:rsidRPr="00075DC8">
              <w:rPr>
                <w:sz w:val="18"/>
                <w:szCs w:val="18"/>
                <w:lang w:val="fr-FR" w:eastAsia="ja-JP"/>
              </w:rPr>
              <w:t>une valeur modale (mode) est fournie, elle doit être considérée à titre indicatif dans la plage spécifiée et, par la suite, il pourra être nécessaire d</w:t>
            </w:r>
            <w:r w:rsidR="001F6A0D" w:rsidRPr="00075DC8">
              <w:rPr>
                <w:sz w:val="18"/>
                <w:szCs w:val="18"/>
                <w:lang w:val="fr-FR" w:eastAsia="ja-JP"/>
              </w:rPr>
              <w:t>'</w:t>
            </w:r>
            <w:r w:rsidRPr="00075DC8">
              <w:rPr>
                <w:sz w:val="18"/>
                <w:szCs w:val="18"/>
                <w:lang w:val="fr-FR" w:eastAsia="ja-JP"/>
              </w:rPr>
              <w:t>effectuer une analyse de la sensibilité, selon le cas, pour évaluer un potentiel de brouillage donné dû aux variations dans la plage spécifiée.</w:t>
            </w:r>
          </w:p>
          <w:p w14:paraId="598DE9FB" w14:textId="7D5F3FC3" w:rsidR="00725E50" w:rsidRPr="00075DC8" w:rsidRDefault="00725E50" w:rsidP="0011404C">
            <w:pPr>
              <w:pStyle w:val="Tabletext"/>
              <w:ind w:left="284" w:hanging="284"/>
              <w:rPr>
                <w:sz w:val="18"/>
                <w:szCs w:val="18"/>
                <w:lang w:val="fr-FR" w:eastAsia="ja-JP"/>
              </w:rPr>
            </w:pPr>
            <w:r w:rsidRPr="00075DC8">
              <w:rPr>
                <w:sz w:val="18"/>
                <w:szCs w:val="18"/>
                <w:vertAlign w:val="superscript"/>
                <w:lang w:val="fr-FR" w:eastAsia="ja-JP"/>
              </w:rPr>
              <w:t>(2)</w:t>
            </w:r>
            <w:r w:rsidRPr="00075DC8">
              <w:rPr>
                <w:sz w:val="18"/>
                <w:szCs w:val="18"/>
                <w:lang w:val="fr-FR" w:eastAsia="ja-JP"/>
              </w:rPr>
              <w:tab/>
              <w:t>La densité nominale de puissance de brouillage de longue durée est définie par la «densité de puissance de bruit du récepteur + (</w:t>
            </w:r>
            <w:r w:rsidRPr="00075DC8">
              <w:rPr>
                <w:i/>
                <w:sz w:val="18"/>
                <w:szCs w:val="18"/>
                <w:lang w:val="fr-FR" w:eastAsia="ja-JP"/>
              </w:rPr>
              <w:t>I</w:t>
            </w:r>
            <w:r w:rsidRPr="00075DC8">
              <w:rPr>
                <w:sz w:val="18"/>
                <w:szCs w:val="18"/>
                <w:lang w:val="fr-FR" w:eastAsia="ja-JP"/>
              </w:rPr>
              <w:t>/</w:t>
            </w:r>
            <w:r w:rsidRPr="00075DC8">
              <w:rPr>
                <w:i/>
                <w:sz w:val="18"/>
                <w:szCs w:val="18"/>
                <w:lang w:val="fr-FR" w:eastAsia="ja-JP"/>
              </w:rPr>
              <w:t>N</w:t>
            </w:r>
            <w:r w:rsidRPr="00075DC8">
              <w:rPr>
                <w:iCs/>
                <w:sz w:val="18"/>
                <w:szCs w:val="18"/>
                <w:lang w:val="fr-FR" w:eastAsia="ja-JP"/>
              </w:rPr>
              <w:t xml:space="preserve"> requis</w:t>
            </w:r>
            <w:r w:rsidRPr="00075DC8">
              <w:rPr>
                <w:sz w:val="18"/>
                <w:szCs w:val="18"/>
                <w:lang w:val="fr-FR" w:eastAsia="ja-JP"/>
              </w:rPr>
              <w:t xml:space="preserve">)» comme décrit au </w:t>
            </w:r>
            <w:r w:rsidR="008B1840" w:rsidRPr="00075DC8">
              <w:rPr>
                <w:sz w:val="18"/>
                <w:szCs w:val="18"/>
                <w:lang w:val="fr-FR" w:eastAsia="ja-JP"/>
              </w:rPr>
              <w:t>§ </w:t>
            </w:r>
            <w:r w:rsidRPr="00075DC8">
              <w:rPr>
                <w:sz w:val="18"/>
                <w:szCs w:val="18"/>
                <w:lang w:val="fr-FR" w:eastAsia="ja-JP"/>
              </w:rPr>
              <w:t>4.13 de l</w:t>
            </w:r>
            <w:r w:rsidR="001F6A0D" w:rsidRPr="00075DC8">
              <w:rPr>
                <w:sz w:val="18"/>
                <w:szCs w:val="18"/>
                <w:lang w:val="fr-FR" w:eastAsia="ja-JP"/>
              </w:rPr>
              <w:t>'</w:t>
            </w:r>
            <w:r w:rsidRPr="00075DC8">
              <w:rPr>
                <w:sz w:val="18"/>
                <w:szCs w:val="18"/>
                <w:lang w:val="fr-FR" w:eastAsia="ja-JP"/>
              </w:rPr>
              <w:t>Annexe 2 (voir aussi le </w:t>
            </w:r>
            <w:r w:rsidR="008B1840" w:rsidRPr="00075DC8">
              <w:rPr>
                <w:sz w:val="18"/>
                <w:szCs w:val="18"/>
                <w:lang w:val="fr-FR" w:eastAsia="ja-JP"/>
              </w:rPr>
              <w:t>§ </w:t>
            </w:r>
            <w:r w:rsidRPr="00075DC8">
              <w:rPr>
                <w:sz w:val="18"/>
                <w:szCs w:val="18"/>
                <w:lang w:val="fr-FR" w:eastAsia="ja-JP"/>
              </w:rPr>
              <w:t>4.1 de l</w:t>
            </w:r>
            <w:r w:rsidR="001F6A0D" w:rsidRPr="00075DC8">
              <w:rPr>
                <w:sz w:val="18"/>
                <w:szCs w:val="18"/>
                <w:lang w:val="fr-FR" w:eastAsia="ja-JP"/>
              </w:rPr>
              <w:t>'</w:t>
            </w:r>
            <w:r w:rsidRPr="00075DC8">
              <w:rPr>
                <w:sz w:val="18"/>
                <w:szCs w:val="18"/>
                <w:lang w:val="fr-FR" w:eastAsia="ja-JP"/>
              </w:rPr>
              <w:t>Annexe 1).</w:t>
            </w:r>
          </w:p>
          <w:p w14:paraId="3456186D" w14:textId="2ADF782F" w:rsidR="00725E50" w:rsidRPr="00075DC8" w:rsidRDefault="00725E50" w:rsidP="0083748C">
            <w:pPr>
              <w:pStyle w:val="Tabletext"/>
              <w:rPr>
                <w:rFonts w:ascii="TimesNewRoman,Bold" w:hAnsi="TimesNewRoman,Bold" w:cs="TimesNewRoman,Bold"/>
                <w:b/>
                <w:bCs/>
                <w:sz w:val="18"/>
                <w:szCs w:val="18"/>
                <w:lang w:val="fr-FR" w:eastAsia="zh-CN"/>
              </w:rPr>
            </w:pPr>
            <w:r w:rsidRPr="00075DC8">
              <w:rPr>
                <w:sz w:val="18"/>
                <w:szCs w:val="18"/>
                <w:vertAlign w:val="superscript"/>
                <w:lang w:val="fr-FR" w:eastAsia="ja-JP"/>
              </w:rPr>
              <w:t>(3)</w:t>
            </w:r>
            <w:r w:rsidRPr="00075DC8">
              <w:rPr>
                <w:sz w:val="18"/>
                <w:szCs w:val="18"/>
                <w:lang w:val="fr-FR" w:eastAsia="ja-JP"/>
              </w:rPr>
              <w:tab/>
              <w:t>Cette valeur d</w:t>
            </w:r>
            <w:r w:rsidR="001F6A0D" w:rsidRPr="00075DC8">
              <w:rPr>
                <w:sz w:val="18"/>
                <w:szCs w:val="18"/>
                <w:lang w:val="fr-FR" w:eastAsia="ja-JP"/>
              </w:rPr>
              <w:t>'</w:t>
            </w:r>
            <w:r w:rsidRPr="00075DC8">
              <w:rPr>
                <w:sz w:val="18"/>
                <w:szCs w:val="18"/>
                <w:lang w:val="fr-FR" w:eastAsia="ja-JP"/>
              </w:rPr>
              <w:t>espacement des canaux n</w:t>
            </w:r>
            <w:r w:rsidR="001F6A0D" w:rsidRPr="00075DC8">
              <w:rPr>
                <w:sz w:val="18"/>
                <w:szCs w:val="18"/>
                <w:lang w:val="fr-FR" w:eastAsia="ja-JP"/>
              </w:rPr>
              <w:t>'</w:t>
            </w:r>
            <w:r w:rsidRPr="00075DC8">
              <w:rPr>
                <w:sz w:val="18"/>
                <w:szCs w:val="18"/>
                <w:lang w:val="fr-FR" w:eastAsia="ja-JP"/>
              </w:rPr>
              <w:t>est pas spécifiée dans la Recommandation de référence.</w:t>
            </w:r>
          </w:p>
          <w:p w14:paraId="65F3EA0F" w14:textId="77777777" w:rsidR="00725E50" w:rsidRPr="00075DC8" w:rsidRDefault="00725E50" w:rsidP="0083748C">
            <w:pPr>
              <w:pStyle w:val="Tabletext"/>
              <w:rPr>
                <w:sz w:val="18"/>
                <w:szCs w:val="18"/>
                <w:lang w:val="fr-FR" w:eastAsia="ja-JP"/>
              </w:rPr>
            </w:pPr>
            <w:r w:rsidRPr="00075DC8">
              <w:rPr>
                <w:sz w:val="18"/>
                <w:szCs w:val="18"/>
                <w:vertAlign w:val="superscript"/>
                <w:lang w:val="fr-FR"/>
              </w:rPr>
              <w:t>(4)</w:t>
            </w:r>
            <w:r w:rsidRPr="00075DC8">
              <w:rPr>
                <w:sz w:val="18"/>
                <w:szCs w:val="18"/>
                <w:lang w:val="fr-FR"/>
              </w:rPr>
              <w:tab/>
              <w:t>Largeur de bande du bloc de fréquences.</w:t>
            </w:r>
          </w:p>
          <w:p w14:paraId="596720D5" w14:textId="77777777" w:rsidR="00725E50" w:rsidRPr="00075DC8" w:rsidRDefault="00725E50" w:rsidP="0083748C">
            <w:pPr>
              <w:pStyle w:val="Tabletext"/>
              <w:rPr>
                <w:sz w:val="18"/>
                <w:szCs w:val="18"/>
                <w:lang w:val="fr-FR" w:eastAsia="ja-JP"/>
              </w:rPr>
            </w:pPr>
            <w:r w:rsidRPr="00075DC8">
              <w:rPr>
                <w:sz w:val="18"/>
                <w:szCs w:val="18"/>
                <w:vertAlign w:val="superscript"/>
                <w:lang w:val="fr-FR" w:eastAsia="ja-JP"/>
              </w:rPr>
              <w:t>(5)</w:t>
            </w:r>
            <w:r w:rsidRPr="00075DC8">
              <w:rPr>
                <w:sz w:val="18"/>
                <w:szCs w:val="18"/>
                <w:lang w:val="fr-FR" w:eastAsia="ja-JP"/>
              </w:rPr>
              <w:tab/>
              <w:t>Le format de modulation est habituellement modifié dynamiquement en fonction de la dégradation de la propagation.</w:t>
            </w:r>
          </w:p>
          <w:p w14:paraId="64636DFC" w14:textId="77777777" w:rsidR="00725E50" w:rsidRPr="00075DC8" w:rsidRDefault="00725E50" w:rsidP="0011404C">
            <w:pPr>
              <w:pStyle w:val="Tabletext"/>
              <w:ind w:left="284" w:hanging="284"/>
              <w:rPr>
                <w:sz w:val="18"/>
                <w:szCs w:val="18"/>
                <w:lang w:val="fr-FR" w:eastAsia="ja-JP"/>
              </w:rPr>
            </w:pPr>
            <w:r w:rsidRPr="00075DC8">
              <w:rPr>
                <w:sz w:val="18"/>
                <w:szCs w:val="18"/>
                <w:vertAlign w:val="superscript"/>
                <w:lang w:val="fr-FR" w:eastAsia="ja-JP"/>
              </w:rPr>
              <w:t>(6)</w:t>
            </w:r>
            <w:r w:rsidRPr="00075DC8">
              <w:rPr>
                <w:sz w:val="18"/>
                <w:szCs w:val="18"/>
                <w:lang w:val="fr-FR" w:eastAsia="ja-JP"/>
              </w:rPr>
              <w:tab/>
              <w:t>La Recommandation UIT-R F.701 conseille seulement une configuration de base de 0,5 MHz (ou un multiple entier de cette valeur). Les valeurs de 5, 5,5 et 6 MHz sont proposées comme espacements de canaux les plus courants pour ces systèmes.</w:t>
            </w:r>
          </w:p>
          <w:p w14:paraId="557F37E2" w14:textId="77777777" w:rsidR="00725E50" w:rsidRPr="00075DC8" w:rsidRDefault="00725E50" w:rsidP="0011404C">
            <w:pPr>
              <w:pStyle w:val="Tabletext"/>
              <w:ind w:left="284" w:hanging="284"/>
              <w:rPr>
                <w:b/>
                <w:sz w:val="18"/>
                <w:szCs w:val="18"/>
                <w:lang w:val="fr-FR" w:eastAsia="ja-JP"/>
              </w:rPr>
            </w:pPr>
            <w:r w:rsidRPr="00075DC8">
              <w:rPr>
                <w:sz w:val="18"/>
                <w:szCs w:val="18"/>
                <w:vertAlign w:val="superscript"/>
                <w:lang w:val="fr-FR" w:eastAsia="ja-JP"/>
              </w:rPr>
              <w:t>(7)</w:t>
            </w:r>
            <w:r w:rsidRPr="00075DC8">
              <w:rPr>
                <w:sz w:val="18"/>
                <w:szCs w:val="18"/>
                <w:lang w:val="fr-FR" w:eastAsia="ja-JP"/>
              </w:rPr>
              <w:tab/>
              <w:t>La Recommandation UIT-R F.1488 conseille seulement une configuration de base de 0,25 MHz (ou un multiple entier de cette valeur). Les valeurs de 1,75, 3,5, … 14 MHz sont proposées comme espacements de canaux les plus courants pour ces systèmes.</w:t>
            </w:r>
          </w:p>
        </w:tc>
      </w:tr>
    </w:tbl>
    <w:p w14:paraId="023A9D6C" w14:textId="1F44B645" w:rsidR="00725E50" w:rsidRPr="00075DC8" w:rsidRDefault="00725E50" w:rsidP="0083748C">
      <w:pPr>
        <w:pStyle w:val="Tablefin"/>
        <w:rPr>
          <w:lang w:val="fr-FR"/>
        </w:rPr>
      </w:pPr>
    </w:p>
    <w:p w14:paraId="1DB5E797" w14:textId="77777777" w:rsidR="00725E50" w:rsidRPr="00075DC8" w:rsidRDefault="00725E50" w:rsidP="0083748C">
      <w:pPr>
        <w:pStyle w:val="TableNo"/>
        <w:rPr>
          <w:lang w:val="fr-FR"/>
        </w:rPr>
      </w:pPr>
      <w:r w:rsidRPr="00075DC8">
        <w:rPr>
          <w:lang w:val="fr-FR"/>
        </w:rPr>
        <w:t>TABLEAU 15</w:t>
      </w:r>
    </w:p>
    <w:p w14:paraId="66825DE7" w14:textId="77777777" w:rsidR="00725E50" w:rsidRPr="00075DC8" w:rsidRDefault="00725E50" w:rsidP="00725E50">
      <w:pPr>
        <w:pStyle w:val="Tabletitle"/>
        <w:keepLines/>
        <w:rPr>
          <w:lang w:val="fr-FR" w:eastAsia="ja-JP"/>
        </w:rPr>
      </w:pPr>
      <w:r w:rsidRPr="00075DC8">
        <w:rPr>
          <w:lang w:val="fr-FR" w:eastAsia="ja-JP"/>
        </w:rPr>
        <w:t>Paramètres des systèmes du service fixe de point à multipoint dans les bandes attribuées supérieures à 11 GHz</w:t>
      </w:r>
    </w:p>
    <w:tbl>
      <w:tblPr>
        <w:tblW w:w="1445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041"/>
        <w:gridCol w:w="982"/>
        <w:gridCol w:w="986"/>
        <w:gridCol w:w="919"/>
        <w:gridCol w:w="1019"/>
        <w:gridCol w:w="1448"/>
        <w:gridCol w:w="1674"/>
        <w:gridCol w:w="1299"/>
        <w:gridCol w:w="8"/>
        <w:gridCol w:w="1029"/>
        <w:gridCol w:w="969"/>
        <w:gridCol w:w="8"/>
        <w:gridCol w:w="1099"/>
        <w:gridCol w:w="975"/>
      </w:tblGrid>
      <w:tr w:rsidR="0083748C" w:rsidRPr="00075DC8" w14:paraId="7688A26C" w14:textId="77777777" w:rsidTr="00BE55F8">
        <w:trPr>
          <w:trHeight w:val="20"/>
          <w:jc w:val="center"/>
        </w:trPr>
        <w:tc>
          <w:tcPr>
            <w:tcW w:w="2041" w:type="dxa"/>
            <w:tcMar>
              <w:top w:w="0" w:type="dxa"/>
              <w:left w:w="57" w:type="dxa"/>
              <w:bottom w:w="0" w:type="dxa"/>
              <w:right w:w="57" w:type="dxa"/>
            </w:tcMar>
            <w:vAlign w:val="center"/>
            <w:hideMark/>
          </w:tcPr>
          <w:p w14:paraId="325953CA" w14:textId="77777777" w:rsidR="00725E50" w:rsidRPr="00075DC8" w:rsidRDefault="00725E50" w:rsidP="00ED4837">
            <w:pPr>
              <w:pStyle w:val="Tablehead"/>
              <w:keepLines/>
              <w:rPr>
                <w:sz w:val="18"/>
                <w:szCs w:val="18"/>
                <w:lang w:val="fr-FR"/>
              </w:rPr>
            </w:pPr>
            <w:r w:rsidRPr="00075DC8">
              <w:rPr>
                <w:sz w:val="18"/>
                <w:szCs w:val="18"/>
                <w:lang w:val="fr-FR" w:eastAsia="ja-JP"/>
              </w:rPr>
              <w:t>Gamme de fréquences</w:t>
            </w:r>
            <w:r w:rsidRPr="00075DC8">
              <w:rPr>
                <w:sz w:val="18"/>
                <w:szCs w:val="18"/>
                <w:lang w:val="fr-FR"/>
              </w:rPr>
              <w:br/>
              <w:t>(GHz)</w:t>
            </w:r>
          </w:p>
        </w:tc>
        <w:tc>
          <w:tcPr>
            <w:tcW w:w="1968" w:type="dxa"/>
            <w:gridSpan w:val="2"/>
            <w:vAlign w:val="center"/>
            <w:hideMark/>
          </w:tcPr>
          <w:p w14:paraId="27F0434D" w14:textId="77777777" w:rsidR="00725E50" w:rsidRPr="00075DC8" w:rsidRDefault="00725E50" w:rsidP="00ED4837">
            <w:pPr>
              <w:pStyle w:val="Tablehead"/>
              <w:keepLines/>
              <w:rPr>
                <w:sz w:val="18"/>
                <w:szCs w:val="18"/>
                <w:lang w:val="fr-FR" w:eastAsia="ja-JP"/>
              </w:rPr>
            </w:pPr>
            <w:r w:rsidRPr="00075DC8">
              <w:rPr>
                <w:sz w:val="18"/>
                <w:szCs w:val="18"/>
                <w:lang w:val="fr-FR"/>
              </w:rPr>
              <w:t>17,70-19,70</w:t>
            </w:r>
          </w:p>
        </w:tc>
        <w:tc>
          <w:tcPr>
            <w:tcW w:w="1938" w:type="dxa"/>
            <w:gridSpan w:val="2"/>
            <w:vAlign w:val="center"/>
            <w:hideMark/>
          </w:tcPr>
          <w:p w14:paraId="4752AF6C" w14:textId="77777777" w:rsidR="00725E50" w:rsidRPr="00075DC8" w:rsidRDefault="00725E50" w:rsidP="00ED4837">
            <w:pPr>
              <w:pStyle w:val="Tablehead"/>
              <w:keepLines/>
              <w:rPr>
                <w:sz w:val="18"/>
                <w:szCs w:val="18"/>
                <w:lang w:val="fr-FR"/>
              </w:rPr>
            </w:pPr>
            <w:r w:rsidRPr="00075DC8">
              <w:rPr>
                <w:sz w:val="18"/>
                <w:szCs w:val="18"/>
                <w:lang w:val="fr-FR"/>
              </w:rPr>
              <w:t>21,20-23,60</w:t>
            </w:r>
          </w:p>
        </w:tc>
        <w:tc>
          <w:tcPr>
            <w:tcW w:w="4429" w:type="dxa"/>
            <w:gridSpan w:val="4"/>
            <w:vAlign w:val="center"/>
            <w:hideMark/>
          </w:tcPr>
          <w:p w14:paraId="4A20A2E4" w14:textId="77777777" w:rsidR="00725E50" w:rsidRPr="00075DC8" w:rsidRDefault="00725E50" w:rsidP="00ED4837">
            <w:pPr>
              <w:pStyle w:val="Tablehead"/>
              <w:keepLines/>
              <w:rPr>
                <w:sz w:val="18"/>
                <w:szCs w:val="18"/>
                <w:lang w:val="fr-FR" w:eastAsia="ja-JP"/>
              </w:rPr>
            </w:pPr>
            <w:r w:rsidRPr="00075DC8">
              <w:rPr>
                <w:sz w:val="18"/>
                <w:szCs w:val="18"/>
                <w:lang w:val="fr-FR"/>
              </w:rPr>
              <w:t>24,25-29,50</w:t>
            </w:r>
          </w:p>
        </w:tc>
        <w:tc>
          <w:tcPr>
            <w:tcW w:w="2006" w:type="dxa"/>
            <w:gridSpan w:val="3"/>
            <w:vAlign w:val="center"/>
            <w:hideMark/>
          </w:tcPr>
          <w:p w14:paraId="6115EACE" w14:textId="77777777" w:rsidR="00725E50" w:rsidRPr="00075DC8" w:rsidRDefault="00725E50" w:rsidP="00ED4837">
            <w:pPr>
              <w:pStyle w:val="Tablehead"/>
              <w:keepLines/>
              <w:rPr>
                <w:sz w:val="18"/>
                <w:szCs w:val="18"/>
                <w:lang w:val="fr-FR" w:eastAsia="ja-JP"/>
              </w:rPr>
            </w:pPr>
            <w:r w:rsidRPr="00075DC8">
              <w:rPr>
                <w:sz w:val="18"/>
                <w:szCs w:val="18"/>
                <w:lang w:val="fr-FR"/>
              </w:rPr>
              <w:t>31,8-33,4</w:t>
            </w:r>
          </w:p>
        </w:tc>
        <w:tc>
          <w:tcPr>
            <w:tcW w:w="2074" w:type="dxa"/>
            <w:gridSpan w:val="2"/>
            <w:vAlign w:val="center"/>
            <w:hideMark/>
          </w:tcPr>
          <w:p w14:paraId="20DDC2D8" w14:textId="77777777" w:rsidR="00725E50" w:rsidRPr="00075DC8" w:rsidRDefault="00725E50" w:rsidP="00ED4837">
            <w:pPr>
              <w:pStyle w:val="Tablehead"/>
              <w:keepLines/>
              <w:rPr>
                <w:sz w:val="18"/>
                <w:szCs w:val="18"/>
                <w:lang w:val="fr-FR" w:eastAsia="ja-JP"/>
              </w:rPr>
            </w:pPr>
            <w:r w:rsidRPr="00075DC8">
              <w:rPr>
                <w:sz w:val="18"/>
                <w:szCs w:val="18"/>
                <w:lang w:val="fr-FR"/>
              </w:rPr>
              <w:t>38,60-40,00</w:t>
            </w:r>
          </w:p>
        </w:tc>
      </w:tr>
      <w:tr w:rsidR="0083748C" w:rsidRPr="00075DC8" w14:paraId="7F1F585E" w14:textId="77777777" w:rsidTr="00BE55F8">
        <w:trPr>
          <w:trHeight w:val="20"/>
          <w:jc w:val="center"/>
        </w:trPr>
        <w:tc>
          <w:tcPr>
            <w:tcW w:w="2041" w:type="dxa"/>
            <w:tcMar>
              <w:top w:w="0" w:type="dxa"/>
              <w:left w:w="57" w:type="dxa"/>
              <w:bottom w:w="0" w:type="dxa"/>
              <w:right w:w="57" w:type="dxa"/>
            </w:tcMar>
            <w:hideMark/>
          </w:tcPr>
          <w:p w14:paraId="72CBEDC9" w14:textId="77777777" w:rsidR="00725E50" w:rsidRPr="00075DC8" w:rsidRDefault="00725E50" w:rsidP="0083748C">
            <w:pPr>
              <w:pStyle w:val="Tabletext"/>
              <w:keepNext/>
              <w:keepLines/>
              <w:jc w:val="left"/>
              <w:rPr>
                <w:sz w:val="18"/>
                <w:szCs w:val="18"/>
                <w:lang w:val="fr-FR" w:eastAsia="ja-JP"/>
              </w:rPr>
            </w:pPr>
            <w:r w:rsidRPr="00075DC8">
              <w:rPr>
                <w:sz w:val="18"/>
                <w:szCs w:val="18"/>
                <w:lang w:val="fr-FR" w:eastAsia="ja-JP"/>
              </w:rPr>
              <w:t>Recommandation UIT-R de référence</w:t>
            </w:r>
          </w:p>
        </w:tc>
        <w:tc>
          <w:tcPr>
            <w:tcW w:w="1968" w:type="dxa"/>
            <w:gridSpan w:val="2"/>
            <w:hideMark/>
          </w:tcPr>
          <w:p w14:paraId="146E2F3C" w14:textId="77777777" w:rsidR="00725E50" w:rsidRPr="00075DC8" w:rsidRDefault="00725E50" w:rsidP="0083748C">
            <w:pPr>
              <w:pStyle w:val="Tabletext"/>
              <w:keepNext/>
              <w:keepLines/>
              <w:jc w:val="center"/>
              <w:rPr>
                <w:sz w:val="18"/>
                <w:szCs w:val="18"/>
                <w:lang w:val="fr-FR" w:eastAsia="ja-JP"/>
              </w:rPr>
            </w:pPr>
            <w:r w:rsidRPr="00075DC8">
              <w:rPr>
                <w:sz w:val="18"/>
                <w:szCs w:val="18"/>
                <w:lang w:val="fr-FR"/>
              </w:rPr>
              <w:t>F.</w:t>
            </w:r>
            <w:r w:rsidRPr="00075DC8">
              <w:rPr>
                <w:sz w:val="18"/>
                <w:szCs w:val="18"/>
                <w:lang w:val="fr-FR" w:eastAsia="ja-JP"/>
              </w:rPr>
              <w:t>595</w:t>
            </w:r>
          </w:p>
        </w:tc>
        <w:tc>
          <w:tcPr>
            <w:tcW w:w="1938" w:type="dxa"/>
            <w:gridSpan w:val="2"/>
            <w:hideMark/>
          </w:tcPr>
          <w:p w14:paraId="6216C3F9" w14:textId="77777777" w:rsidR="00725E50" w:rsidRPr="00075DC8" w:rsidRDefault="00725E50" w:rsidP="0083748C">
            <w:pPr>
              <w:pStyle w:val="Tabletext"/>
              <w:keepNext/>
              <w:keepLines/>
              <w:jc w:val="center"/>
              <w:rPr>
                <w:sz w:val="18"/>
                <w:szCs w:val="18"/>
                <w:lang w:val="fr-FR"/>
              </w:rPr>
            </w:pPr>
            <w:r w:rsidRPr="00075DC8">
              <w:rPr>
                <w:sz w:val="18"/>
                <w:szCs w:val="18"/>
                <w:lang w:val="fr-FR"/>
              </w:rPr>
              <w:t>F.</w:t>
            </w:r>
            <w:r w:rsidRPr="00075DC8">
              <w:rPr>
                <w:sz w:val="18"/>
                <w:szCs w:val="18"/>
                <w:lang w:val="fr-FR" w:eastAsia="ja-JP"/>
              </w:rPr>
              <w:t>637</w:t>
            </w:r>
          </w:p>
        </w:tc>
        <w:tc>
          <w:tcPr>
            <w:tcW w:w="4429" w:type="dxa"/>
            <w:gridSpan w:val="4"/>
            <w:hideMark/>
          </w:tcPr>
          <w:p w14:paraId="1E69039F" w14:textId="77777777" w:rsidR="00725E50" w:rsidRPr="00075DC8" w:rsidRDefault="00725E50" w:rsidP="0083748C">
            <w:pPr>
              <w:pStyle w:val="Tabletext"/>
              <w:keepNext/>
              <w:keepLines/>
              <w:jc w:val="center"/>
              <w:rPr>
                <w:sz w:val="18"/>
                <w:szCs w:val="18"/>
                <w:lang w:val="fr-FR" w:eastAsia="ja-JP"/>
              </w:rPr>
            </w:pPr>
            <w:r w:rsidRPr="00075DC8">
              <w:rPr>
                <w:sz w:val="18"/>
                <w:szCs w:val="18"/>
                <w:lang w:val="fr-FR"/>
              </w:rPr>
              <w:t>F.</w:t>
            </w:r>
            <w:r w:rsidRPr="00075DC8">
              <w:rPr>
                <w:sz w:val="18"/>
                <w:szCs w:val="18"/>
                <w:lang w:val="fr-FR" w:eastAsia="ja-JP"/>
              </w:rPr>
              <w:t>748</w:t>
            </w:r>
          </w:p>
        </w:tc>
        <w:tc>
          <w:tcPr>
            <w:tcW w:w="2006" w:type="dxa"/>
            <w:gridSpan w:val="3"/>
            <w:hideMark/>
          </w:tcPr>
          <w:p w14:paraId="3DBCAE46" w14:textId="77777777" w:rsidR="00725E50" w:rsidRPr="00075DC8" w:rsidRDefault="00725E50" w:rsidP="0083748C">
            <w:pPr>
              <w:pStyle w:val="Tabletext"/>
              <w:keepNext/>
              <w:keepLines/>
              <w:jc w:val="center"/>
              <w:rPr>
                <w:sz w:val="18"/>
                <w:szCs w:val="18"/>
                <w:lang w:val="fr-FR" w:eastAsia="ja-JP"/>
              </w:rPr>
            </w:pPr>
            <w:r w:rsidRPr="00075DC8">
              <w:rPr>
                <w:sz w:val="18"/>
                <w:szCs w:val="18"/>
                <w:lang w:val="fr-FR" w:eastAsia="ja-JP"/>
              </w:rPr>
              <w:t>F.1520</w:t>
            </w:r>
          </w:p>
        </w:tc>
        <w:tc>
          <w:tcPr>
            <w:tcW w:w="2074" w:type="dxa"/>
            <w:gridSpan w:val="2"/>
            <w:hideMark/>
          </w:tcPr>
          <w:p w14:paraId="0A768029" w14:textId="77777777" w:rsidR="00725E50" w:rsidRPr="00075DC8" w:rsidRDefault="00725E50" w:rsidP="0083748C">
            <w:pPr>
              <w:pStyle w:val="Tabletext"/>
              <w:keepNext/>
              <w:keepLines/>
              <w:jc w:val="center"/>
              <w:rPr>
                <w:sz w:val="18"/>
                <w:szCs w:val="18"/>
                <w:lang w:val="fr-FR" w:eastAsia="ja-JP"/>
              </w:rPr>
            </w:pPr>
            <w:r w:rsidRPr="00075DC8">
              <w:rPr>
                <w:sz w:val="18"/>
                <w:szCs w:val="18"/>
                <w:lang w:val="fr-FR"/>
              </w:rPr>
              <w:t>F.</w:t>
            </w:r>
            <w:r w:rsidRPr="00075DC8">
              <w:rPr>
                <w:sz w:val="18"/>
                <w:szCs w:val="18"/>
                <w:lang w:val="fr-FR" w:eastAsia="ja-JP"/>
              </w:rPr>
              <w:t>749</w:t>
            </w:r>
          </w:p>
        </w:tc>
      </w:tr>
      <w:tr w:rsidR="00862A2C" w:rsidRPr="00075DC8" w14:paraId="27390FA6" w14:textId="77777777" w:rsidTr="00BE55F8">
        <w:trPr>
          <w:trHeight w:val="20"/>
          <w:jc w:val="center"/>
        </w:trPr>
        <w:tc>
          <w:tcPr>
            <w:tcW w:w="2041" w:type="dxa"/>
            <w:tcMar>
              <w:top w:w="0" w:type="dxa"/>
              <w:left w:w="57" w:type="dxa"/>
              <w:bottom w:w="0" w:type="dxa"/>
              <w:right w:w="57" w:type="dxa"/>
            </w:tcMar>
            <w:hideMark/>
          </w:tcPr>
          <w:p w14:paraId="708E062E" w14:textId="77777777" w:rsidR="00725E50" w:rsidRPr="00075DC8" w:rsidRDefault="00725E50" w:rsidP="00ED4837">
            <w:pPr>
              <w:pStyle w:val="Tabletext"/>
              <w:keepNext/>
              <w:keepLines/>
              <w:jc w:val="left"/>
              <w:rPr>
                <w:sz w:val="18"/>
                <w:szCs w:val="18"/>
                <w:lang w:val="fr-FR" w:eastAsia="ja-JP"/>
              </w:rPr>
            </w:pPr>
            <w:r w:rsidRPr="00075DC8">
              <w:rPr>
                <w:sz w:val="18"/>
                <w:szCs w:val="18"/>
                <w:lang w:val="fr-FR" w:eastAsia="ja-JP"/>
              </w:rPr>
              <w:t>Modulation</w:t>
            </w:r>
          </w:p>
        </w:tc>
        <w:tc>
          <w:tcPr>
            <w:tcW w:w="982" w:type="dxa"/>
            <w:hideMark/>
          </w:tcPr>
          <w:p w14:paraId="1390129E" w14:textId="77777777" w:rsidR="00725E50" w:rsidRPr="00075DC8" w:rsidRDefault="00725E50" w:rsidP="0083748C">
            <w:pPr>
              <w:pStyle w:val="Tabletext"/>
              <w:jc w:val="center"/>
              <w:rPr>
                <w:sz w:val="18"/>
                <w:szCs w:val="18"/>
                <w:lang w:val="fr-FR"/>
              </w:rPr>
            </w:pPr>
            <w:r w:rsidRPr="00075DC8">
              <w:rPr>
                <w:sz w:val="18"/>
                <w:szCs w:val="18"/>
                <w:lang w:val="fr-FR" w:eastAsia="ja-JP"/>
              </w:rPr>
              <w:t>Station centrale</w:t>
            </w:r>
          </w:p>
        </w:tc>
        <w:tc>
          <w:tcPr>
            <w:tcW w:w="986" w:type="dxa"/>
            <w:hideMark/>
          </w:tcPr>
          <w:p w14:paraId="1926ED46"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Stations</w:t>
            </w:r>
            <w:r w:rsidRPr="00075DC8">
              <w:rPr>
                <w:sz w:val="18"/>
                <w:szCs w:val="18"/>
                <w:lang w:val="fr-FR" w:eastAsia="ja-JP"/>
              </w:rPr>
              <w:br/>
              <w:t>terminales</w:t>
            </w:r>
          </w:p>
        </w:tc>
        <w:tc>
          <w:tcPr>
            <w:tcW w:w="919" w:type="dxa"/>
            <w:hideMark/>
          </w:tcPr>
          <w:p w14:paraId="056960EA" w14:textId="77777777" w:rsidR="00725E50" w:rsidRPr="00075DC8" w:rsidRDefault="00725E50" w:rsidP="0083748C">
            <w:pPr>
              <w:pStyle w:val="Tabletext"/>
              <w:jc w:val="center"/>
              <w:rPr>
                <w:sz w:val="18"/>
                <w:szCs w:val="18"/>
                <w:lang w:val="fr-FR"/>
              </w:rPr>
            </w:pPr>
            <w:r w:rsidRPr="00075DC8">
              <w:rPr>
                <w:sz w:val="18"/>
                <w:szCs w:val="18"/>
                <w:lang w:val="fr-FR" w:eastAsia="ja-JP"/>
              </w:rPr>
              <w:t>Station centrale</w:t>
            </w:r>
          </w:p>
        </w:tc>
        <w:tc>
          <w:tcPr>
            <w:tcW w:w="1019" w:type="dxa"/>
            <w:hideMark/>
          </w:tcPr>
          <w:p w14:paraId="36B79340" w14:textId="22FFEF9F" w:rsidR="00725E50" w:rsidRPr="00075DC8" w:rsidRDefault="0083748C" w:rsidP="0083748C">
            <w:pPr>
              <w:pStyle w:val="Tabletext"/>
              <w:jc w:val="center"/>
              <w:rPr>
                <w:sz w:val="18"/>
                <w:szCs w:val="18"/>
                <w:lang w:val="fr-FR"/>
              </w:rPr>
            </w:pPr>
            <w:r w:rsidRPr="00075DC8">
              <w:rPr>
                <w:sz w:val="18"/>
                <w:szCs w:val="18"/>
                <w:lang w:val="fr-FR" w:eastAsia="ja-JP"/>
              </w:rPr>
              <w:t>Stations</w:t>
            </w:r>
            <w:r w:rsidRPr="00075DC8">
              <w:rPr>
                <w:sz w:val="18"/>
                <w:szCs w:val="18"/>
                <w:lang w:val="fr-FR" w:eastAsia="ja-JP"/>
              </w:rPr>
              <w:br/>
              <w:t>terminales</w:t>
            </w:r>
          </w:p>
        </w:tc>
        <w:tc>
          <w:tcPr>
            <w:tcW w:w="1448" w:type="dxa"/>
            <w:hideMark/>
          </w:tcPr>
          <w:p w14:paraId="3B98D877" w14:textId="0E4F9CB9" w:rsidR="00725E50" w:rsidRPr="00075DC8" w:rsidRDefault="00725E50" w:rsidP="0083748C">
            <w:pPr>
              <w:pStyle w:val="Tabletext"/>
              <w:jc w:val="center"/>
              <w:rPr>
                <w:sz w:val="18"/>
                <w:szCs w:val="18"/>
                <w:lang w:val="fr-FR" w:eastAsia="ja-JP"/>
              </w:rPr>
            </w:pPr>
            <w:r w:rsidRPr="00075DC8">
              <w:rPr>
                <w:sz w:val="18"/>
                <w:szCs w:val="18"/>
                <w:lang w:val="fr-FR" w:eastAsia="ja-JP"/>
              </w:rPr>
              <w:t>Station dotée d</w:t>
            </w:r>
            <w:r w:rsidR="001F6A0D" w:rsidRPr="00075DC8">
              <w:rPr>
                <w:sz w:val="18"/>
                <w:szCs w:val="18"/>
                <w:lang w:val="fr-FR" w:eastAsia="ja-JP"/>
              </w:rPr>
              <w:t>'</w:t>
            </w:r>
            <w:r w:rsidRPr="00075DC8">
              <w:rPr>
                <w:sz w:val="18"/>
                <w:szCs w:val="18"/>
                <w:lang w:val="fr-FR" w:eastAsia="ja-JP"/>
              </w:rPr>
              <w:t>une antenne à gain élevé de 60 cm multipoint (réseau maillé) de MDPQ à MAQ-256</w:t>
            </w:r>
            <w:r w:rsidRPr="00075DC8">
              <w:rPr>
                <w:sz w:val="18"/>
                <w:szCs w:val="18"/>
                <w:vertAlign w:val="superscript"/>
                <w:lang w:val="fr-FR" w:eastAsia="ja-JP"/>
              </w:rPr>
              <w:t>(6)</w:t>
            </w:r>
          </w:p>
        </w:tc>
        <w:tc>
          <w:tcPr>
            <w:tcW w:w="1674" w:type="dxa"/>
            <w:hideMark/>
          </w:tcPr>
          <w:p w14:paraId="71B51B61"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Station centrale</w:t>
            </w:r>
            <w:r w:rsidRPr="00075DC8">
              <w:rPr>
                <w:sz w:val="18"/>
                <w:szCs w:val="18"/>
                <w:lang w:val="fr-FR" w:eastAsia="ja-JP"/>
              </w:rPr>
              <w:br/>
              <w:t>de MDPQ à MAQ-16</w:t>
            </w:r>
            <w:r w:rsidRPr="00075DC8">
              <w:rPr>
                <w:sz w:val="18"/>
                <w:szCs w:val="18"/>
                <w:vertAlign w:val="superscript"/>
                <w:lang w:val="fr-FR" w:eastAsia="ja-JP"/>
              </w:rPr>
              <w:t>(6)</w:t>
            </w:r>
          </w:p>
        </w:tc>
        <w:tc>
          <w:tcPr>
            <w:tcW w:w="1299" w:type="dxa"/>
            <w:hideMark/>
          </w:tcPr>
          <w:p w14:paraId="4BE84363"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Stations terminales</w:t>
            </w:r>
            <w:r w:rsidRPr="00075DC8">
              <w:rPr>
                <w:sz w:val="18"/>
                <w:szCs w:val="18"/>
                <w:lang w:val="fr-FR" w:eastAsia="ja-JP"/>
              </w:rPr>
              <w:br/>
              <w:t>de MDPQ à MAQ-16</w:t>
            </w:r>
            <w:r w:rsidRPr="00075DC8">
              <w:rPr>
                <w:sz w:val="18"/>
                <w:szCs w:val="18"/>
                <w:vertAlign w:val="superscript"/>
                <w:lang w:val="fr-FR" w:eastAsia="ja-JP"/>
              </w:rPr>
              <w:t>(6)</w:t>
            </w:r>
          </w:p>
        </w:tc>
        <w:tc>
          <w:tcPr>
            <w:tcW w:w="1037" w:type="dxa"/>
            <w:gridSpan w:val="2"/>
            <w:hideMark/>
          </w:tcPr>
          <w:p w14:paraId="286DFD37"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Station</w:t>
            </w:r>
            <w:r w:rsidRPr="00075DC8">
              <w:rPr>
                <w:sz w:val="18"/>
                <w:szCs w:val="18"/>
                <w:lang w:val="fr-FR" w:eastAsia="ja-JP"/>
              </w:rPr>
              <w:br/>
              <w:t>centrale</w:t>
            </w:r>
          </w:p>
        </w:tc>
        <w:tc>
          <w:tcPr>
            <w:tcW w:w="969" w:type="dxa"/>
            <w:hideMark/>
          </w:tcPr>
          <w:p w14:paraId="1E97EF10"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Stations</w:t>
            </w:r>
            <w:r w:rsidRPr="00075DC8">
              <w:rPr>
                <w:sz w:val="18"/>
                <w:szCs w:val="18"/>
                <w:lang w:val="fr-FR" w:eastAsia="ja-JP"/>
              </w:rPr>
              <w:br/>
              <w:t>terminales</w:t>
            </w:r>
          </w:p>
        </w:tc>
        <w:tc>
          <w:tcPr>
            <w:tcW w:w="1107" w:type="dxa"/>
            <w:gridSpan w:val="2"/>
            <w:hideMark/>
          </w:tcPr>
          <w:p w14:paraId="45BB089C"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Station</w:t>
            </w:r>
            <w:r w:rsidRPr="00075DC8">
              <w:rPr>
                <w:sz w:val="18"/>
                <w:szCs w:val="18"/>
                <w:lang w:val="fr-FR" w:eastAsia="ja-JP"/>
              </w:rPr>
              <w:br/>
              <w:t>centrale</w:t>
            </w:r>
          </w:p>
        </w:tc>
        <w:tc>
          <w:tcPr>
            <w:tcW w:w="975" w:type="dxa"/>
            <w:hideMark/>
          </w:tcPr>
          <w:p w14:paraId="334633AC"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Stations</w:t>
            </w:r>
            <w:r w:rsidRPr="00075DC8">
              <w:rPr>
                <w:sz w:val="18"/>
                <w:szCs w:val="18"/>
                <w:lang w:val="fr-FR" w:eastAsia="ja-JP"/>
              </w:rPr>
              <w:br/>
              <w:t>terminales</w:t>
            </w:r>
          </w:p>
        </w:tc>
      </w:tr>
      <w:tr w:rsidR="00862A2C" w:rsidRPr="00075DC8" w14:paraId="535D52C4" w14:textId="77777777" w:rsidTr="00BE55F8">
        <w:trPr>
          <w:trHeight w:val="20"/>
          <w:jc w:val="center"/>
        </w:trPr>
        <w:tc>
          <w:tcPr>
            <w:tcW w:w="2041" w:type="dxa"/>
            <w:tcMar>
              <w:top w:w="0" w:type="dxa"/>
              <w:left w:w="57" w:type="dxa"/>
              <w:bottom w:w="0" w:type="dxa"/>
              <w:right w:w="57" w:type="dxa"/>
            </w:tcMar>
            <w:hideMark/>
          </w:tcPr>
          <w:p w14:paraId="531A15B1" w14:textId="77777777" w:rsidR="00725E50" w:rsidRPr="00075DC8" w:rsidRDefault="00725E50" w:rsidP="00ED4837">
            <w:pPr>
              <w:pStyle w:val="Tabletext"/>
              <w:jc w:val="left"/>
              <w:rPr>
                <w:sz w:val="18"/>
                <w:szCs w:val="18"/>
                <w:lang w:val="fr-FR" w:eastAsia="ja-JP"/>
              </w:rPr>
            </w:pPr>
            <w:r w:rsidRPr="00075DC8">
              <w:rPr>
                <w:sz w:val="18"/>
                <w:szCs w:val="18"/>
                <w:lang w:val="fr-FR" w:eastAsia="ja-JP"/>
              </w:rPr>
              <w:t xml:space="preserve">Espacement des canaux et largeur de bande de bruit du récepteur (MHz) </w:t>
            </w:r>
          </w:p>
        </w:tc>
        <w:tc>
          <w:tcPr>
            <w:tcW w:w="982" w:type="dxa"/>
            <w:hideMark/>
          </w:tcPr>
          <w:p w14:paraId="2ABEFE98"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2,5; 5; 10; 20; 30; 40; 50</w:t>
            </w:r>
          </w:p>
        </w:tc>
        <w:tc>
          <w:tcPr>
            <w:tcW w:w="986" w:type="dxa"/>
            <w:hideMark/>
          </w:tcPr>
          <w:p w14:paraId="7C39D825" w14:textId="77777777" w:rsidR="00725E50" w:rsidRPr="00075DC8" w:rsidRDefault="00725E50" w:rsidP="0083748C">
            <w:pPr>
              <w:pStyle w:val="Tabletext"/>
              <w:jc w:val="center"/>
              <w:rPr>
                <w:sz w:val="18"/>
                <w:szCs w:val="18"/>
                <w:lang w:val="fr-FR"/>
              </w:rPr>
            </w:pPr>
            <w:r w:rsidRPr="00075DC8">
              <w:rPr>
                <w:sz w:val="18"/>
                <w:szCs w:val="18"/>
                <w:lang w:val="fr-FR" w:eastAsia="ja-JP"/>
              </w:rPr>
              <w:t>2,5; 5; 10; 20; 30; 40; 50</w:t>
            </w:r>
          </w:p>
        </w:tc>
        <w:tc>
          <w:tcPr>
            <w:tcW w:w="919" w:type="dxa"/>
            <w:hideMark/>
          </w:tcPr>
          <w:p w14:paraId="5225F5DB" w14:textId="77777777" w:rsidR="00725E50" w:rsidRPr="00075DC8" w:rsidRDefault="00725E50" w:rsidP="0083748C">
            <w:pPr>
              <w:pStyle w:val="Tabletext"/>
              <w:jc w:val="center"/>
              <w:rPr>
                <w:sz w:val="18"/>
                <w:szCs w:val="18"/>
                <w:lang w:val="fr-FR"/>
              </w:rPr>
            </w:pPr>
            <w:r w:rsidRPr="00075DC8">
              <w:rPr>
                <w:caps/>
                <w:sz w:val="18"/>
                <w:szCs w:val="18"/>
                <w:lang w:val="fr-FR" w:eastAsia="ja-JP"/>
              </w:rPr>
              <w:t>3,5; 7; 14; 28</w:t>
            </w:r>
          </w:p>
        </w:tc>
        <w:tc>
          <w:tcPr>
            <w:tcW w:w="1019" w:type="dxa"/>
            <w:hideMark/>
          </w:tcPr>
          <w:p w14:paraId="1555BA7D" w14:textId="77777777" w:rsidR="00725E50" w:rsidRPr="00075DC8" w:rsidRDefault="00725E50" w:rsidP="0083748C">
            <w:pPr>
              <w:pStyle w:val="Tabletext"/>
              <w:jc w:val="center"/>
              <w:rPr>
                <w:sz w:val="18"/>
                <w:szCs w:val="18"/>
                <w:lang w:val="fr-FR" w:eastAsia="ja-JP"/>
              </w:rPr>
            </w:pPr>
            <w:r w:rsidRPr="00075DC8">
              <w:rPr>
                <w:caps/>
                <w:sz w:val="18"/>
                <w:szCs w:val="18"/>
                <w:lang w:val="fr-FR" w:eastAsia="ja-JP"/>
              </w:rPr>
              <w:t>3,5; 7; 14; 28</w:t>
            </w:r>
          </w:p>
        </w:tc>
        <w:tc>
          <w:tcPr>
            <w:tcW w:w="1448" w:type="dxa"/>
            <w:hideMark/>
          </w:tcPr>
          <w:p w14:paraId="14DFFE6B" w14:textId="77777777" w:rsidR="00725E50" w:rsidRPr="00075DC8" w:rsidRDefault="00725E50" w:rsidP="0083748C">
            <w:pPr>
              <w:pStyle w:val="Tabletext"/>
              <w:jc w:val="center"/>
              <w:rPr>
                <w:caps/>
                <w:sz w:val="18"/>
                <w:szCs w:val="18"/>
                <w:lang w:val="fr-FR" w:eastAsia="ja-JP"/>
              </w:rPr>
            </w:pPr>
            <w:r w:rsidRPr="00075DC8">
              <w:rPr>
                <w:sz w:val="18"/>
                <w:szCs w:val="18"/>
                <w:lang w:val="fr-FR" w:eastAsia="ja-JP"/>
              </w:rPr>
              <w:t xml:space="preserve">40, 50, </w:t>
            </w:r>
            <w:r w:rsidRPr="00075DC8">
              <w:rPr>
                <w:caps/>
                <w:sz w:val="18"/>
                <w:szCs w:val="18"/>
                <w:lang w:val="fr-FR" w:eastAsia="ja-JP"/>
              </w:rPr>
              <w:t>56, 100, 112</w:t>
            </w:r>
          </w:p>
        </w:tc>
        <w:tc>
          <w:tcPr>
            <w:tcW w:w="1674" w:type="dxa"/>
            <w:hideMark/>
          </w:tcPr>
          <w:p w14:paraId="702FFA67" w14:textId="77777777" w:rsidR="00725E50" w:rsidRPr="00075DC8" w:rsidRDefault="00725E50" w:rsidP="0083748C">
            <w:pPr>
              <w:pStyle w:val="Tabletext"/>
              <w:jc w:val="center"/>
              <w:rPr>
                <w:sz w:val="18"/>
                <w:szCs w:val="18"/>
                <w:lang w:val="fr-FR" w:eastAsia="ja-JP"/>
              </w:rPr>
            </w:pPr>
            <w:r w:rsidRPr="00075DC8">
              <w:rPr>
                <w:caps/>
                <w:sz w:val="18"/>
                <w:szCs w:val="18"/>
                <w:lang w:val="fr-FR" w:eastAsia="ja-JP"/>
              </w:rPr>
              <w:t xml:space="preserve">3,5; 7; 14; 28; </w:t>
            </w:r>
            <w:r w:rsidRPr="00075DC8">
              <w:rPr>
                <w:b/>
                <w:caps/>
                <w:sz w:val="18"/>
                <w:szCs w:val="18"/>
                <w:lang w:val="fr-FR" w:eastAsia="ja-JP"/>
              </w:rPr>
              <w:t>30</w:t>
            </w:r>
            <w:r w:rsidRPr="00075DC8">
              <w:rPr>
                <w:sz w:val="18"/>
                <w:szCs w:val="18"/>
                <w:vertAlign w:val="superscript"/>
                <w:lang w:val="fr-FR" w:eastAsia="ja-JP"/>
              </w:rPr>
              <w:t>(3)</w:t>
            </w:r>
            <w:r w:rsidRPr="00075DC8">
              <w:rPr>
                <w:sz w:val="18"/>
                <w:szCs w:val="18"/>
                <w:lang w:val="fr-FR" w:eastAsia="ja-JP"/>
              </w:rPr>
              <w:t xml:space="preserve">; </w:t>
            </w:r>
            <w:r w:rsidRPr="00075DC8">
              <w:rPr>
                <w:caps/>
                <w:sz w:val="18"/>
                <w:szCs w:val="18"/>
                <w:lang w:val="fr-FR" w:eastAsia="ja-JP"/>
              </w:rPr>
              <w:t>56; 112; 40</w:t>
            </w:r>
            <w:r w:rsidRPr="00075DC8">
              <w:rPr>
                <w:sz w:val="18"/>
                <w:szCs w:val="18"/>
                <w:vertAlign w:val="superscript"/>
                <w:lang w:val="fr-FR" w:eastAsia="ja-JP"/>
              </w:rPr>
              <w:t>(4)</w:t>
            </w:r>
            <w:r w:rsidRPr="00075DC8">
              <w:rPr>
                <w:caps/>
                <w:sz w:val="18"/>
                <w:szCs w:val="18"/>
                <w:lang w:val="fr-FR" w:eastAsia="ja-JP"/>
              </w:rPr>
              <w:t>; 60</w:t>
            </w:r>
            <w:r w:rsidRPr="00075DC8">
              <w:rPr>
                <w:sz w:val="18"/>
                <w:szCs w:val="18"/>
                <w:vertAlign w:val="superscript"/>
                <w:lang w:val="fr-FR" w:eastAsia="ja-JP"/>
              </w:rPr>
              <w:t>(4);</w:t>
            </w:r>
          </w:p>
        </w:tc>
        <w:tc>
          <w:tcPr>
            <w:tcW w:w="1299" w:type="dxa"/>
            <w:hideMark/>
          </w:tcPr>
          <w:p w14:paraId="7BA62FB6" w14:textId="77777777" w:rsidR="00725E50" w:rsidRPr="00075DC8" w:rsidRDefault="00725E50" w:rsidP="0083748C">
            <w:pPr>
              <w:pStyle w:val="Tabletext"/>
              <w:jc w:val="center"/>
              <w:rPr>
                <w:sz w:val="18"/>
                <w:szCs w:val="18"/>
                <w:lang w:val="fr-FR" w:eastAsia="ja-JP"/>
              </w:rPr>
            </w:pPr>
            <w:r w:rsidRPr="00075DC8">
              <w:rPr>
                <w:caps/>
                <w:sz w:val="18"/>
                <w:szCs w:val="18"/>
                <w:lang w:val="fr-FR" w:eastAsia="ja-JP"/>
              </w:rPr>
              <w:t xml:space="preserve">3,5; 7; 14; 28; </w:t>
            </w:r>
            <w:r w:rsidRPr="00075DC8">
              <w:rPr>
                <w:b/>
                <w:caps/>
                <w:sz w:val="18"/>
                <w:szCs w:val="18"/>
                <w:lang w:val="fr-FR" w:eastAsia="ja-JP"/>
              </w:rPr>
              <w:t>30</w:t>
            </w:r>
            <w:r w:rsidRPr="00075DC8">
              <w:rPr>
                <w:sz w:val="18"/>
                <w:szCs w:val="18"/>
                <w:vertAlign w:val="superscript"/>
                <w:lang w:val="fr-FR" w:eastAsia="ja-JP"/>
              </w:rPr>
              <w:t>(3)</w:t>
            </w:r>
            <w:r w:rsidRPr="00075DC8">
              <w:rPr>
                <w:sz w:val="18"/>
                <w:szCs w:val="18"/>
                <w:lang w:val="fr-FR" w:eastAsia="ja-JP"/>
              </w:rPr>
              <w:t xml:space="preserve">; </w:t>
            </w:r>
            <w:r w:rsidRPr="00075DC8">
              <w:rPr>
                <w:caps/>
                <w:sz w:val="18"/>
                <w:szCs w:val="18"/>
                <w:lang w:val="fr-FR" w:eastAsia="ja-JP"/>
              </w:rPr>
              <w:t>56; 112; 40</w:t>
            </w:r>
            <w:r w:rsidRPr="00075DC8">
              <w:rPr>
                <w:sz w:val="18"/>
                <w:szCs w:val="18"/>
                <w:vertAlign w:val="superscript"/>
                <w:lang w:val="fr-FR" w:eastAsia="ja-JP"/>
              </w:rPr>
              <w:t>(4)</w:t>
            </w:r>
            <w:r w:rsidRPr="00075DC8">
              <w:rPr>
                <w:caps/>
                <w:sz w:val="18"/>
                <w:szCs w:val="18"/>
                <w:lang w:val="fr-FR" w:eastAsia="ja-JP"/>
              </w:rPr>
              <w:t>; 60</w:t>
            </w:r>
            <w:r w:rsidRPr="00075DC8">
              <w:rPr>
                <w:sz w:val="18"/>
                <w:szCs w:val="18"/>
                <w:vertAlign w:val="superscript"/>
                <w:lang w:val="fr-FR" w:eastAsia="ja-JP"/>
              </w:rPr>
              <w:t>(4)</w:t>
            </w:r>
          </w:p>
        </w:tc>
        <w:tc>
          <w:tcPr>
            <w:tcW w:w="1037" w:type="dxa"/>
            <w:gridSpan w:val="2"/>
            <w:hideMark/>
          </w:tcPr>
          <w:p w14:paraId="31814158"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3,</w:t>
            </w:r>
            <w:r w:rsidRPr="00075DC8">
              <w:rPr>
                <w:sz w:val="18"/>
                <w:szCs w:val="18"/>
                <w:lang w:val="fr-FR"/>
              </w:rPr>
              <w:t>5</w:t>
            </w:r>
            <w:r w:rsidRPr="00075DC8">
              <w:rPr>
                <w:sz w:val="18"/>
                <w:szCs w:val="18"/>
                <w:lang w:val="fr-FR" w:eastAsia="ja-JP"/>
              </w:rPr>
              <w:t>; 7; 14; 28; 56</w:t>
            </w:r>
            <w:r w:rsidRPr="00075DC8">
              <w:rPr>
                <w:caps/>
                <w:sz w:val="18"/>
                <w:szCs w:val="18"/>
                <w:vertAlign w:val="superscript"/>
                <w:lang w:val="fr-FR" w:eastAsia="ja-JP"/>
              </w:rPr>
              <w:t>(4)</w:t>
            </w:r>
            <w:r w:rsidRPr="00075DC8">
              <w:rPr>
                <w:sz w:val="18"/>
                <w:szCs w:val="18"/>
                <w:lang w:val="fr-FR" w:eastAsia="ja-JP"/>
              </w:rPr>
              <w:t>; 112; 168</w:t>
            </w:r>
          </w:p>
        </w:tc>
        <w:tc>
          <w:tcPr>
            <w:tcW w:w="969" w:type="dxa"/>
            <w:hideMark/>
          </w:tcPr>
          <w:p w14:paraId="46B499EC"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3,</w:t>
            </w:r>
            <w:r w:rsidRPr="00075DC8">
              <w:rPr>
                <w:sz w:val="18"/>
                <w:szCs w:val="18"/>
                <w:lang w:val="fr-FR"/>
              </w:rPr>
              <w:t>5</w:t>
            </w:r>
            <w:r w:rsidRPr="00075DC8">
              <w:rPr>
                <w:sz w:val="18"/>
                <w:szCs w:val="18"/>
                <w:lang w:val="fr-FR" w:eastAsia="ja-JP"/>
              </w:rPr>
              <w:t>; 7; 14; 28; 56</w:t>
            </w:r>
            <w:r w:rsidRPr="00075DC8">
              <w:rPr>
                <w:caps/>
                <w:sz w:val="18"/>
                <w:szCs w:val="18"/>
                <w:vertAlign w:val="superscript"/>
                <w:lang w:val="fr-FR" w:eastAsia="ja-JP"/>
              </w:rPr>
              <w:t>(4)</w:t>
            </w:r>
            <w:r w:rsidRPr="00075DC8">
              <w:rPr>
                <w:sz w:val="18"/>
                <w:szCs w:val="18"/>
                <w:lang w:val="fr-FR" w:eastAsia="ja-JP"/>
              </w:rPr>
              <w:t>; 112; 168</w:t>
            </w:r>
          </w:p>
        </w:tc>
        <w:tc>
          <w:tcPr>
            <w:tcW w:w="1107" w:type="dxa"/>
            <w:gridSpan w:val="2"/>
            <w:hideMark/>
          </w:tcPr>
          <w:p w14:paraId="1981BB1E"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50</w:t>
            </w:r>
            <w:r w:rsidRPr="00075DC8">
              <w:rPr>
                <w:sz w:val="18"/>
                <w:szCs w:val="18"/>
                <w:vertAlign w:val="superscript"/>
                <w:lang w:val="fr-FR" w:eastAsia="ja-JP"/>
              </w:rPr>
              <w:t>(4)</w:t>
            </w:r>
            <w:r w:rsidRPr="00075DC8">
              <w:rPr>
                <w:sz w:val="18"/>
                <w:szCs w:val="18"/>
                <w:lang w:val="fr-FR" w:eastAsia="ja-JP"/>
              </w:rPr>
              <w:t>; 60</w:t>
            </w:r>
            <w:r w:rsidRPr="00075DC8">
              <w:rPr>
                <w:sz w:val="18"/>
                <w:szCs w:val="18"/>
                <w:vertAlign w:val="superscript"/>
                <w:lang w:val="fr-FR" w:eastAsia="ja-JP"/>
              </w:rPr>
              <w:t>(4)</w:t>
            </w:r>
          </w:p>
        </w:tc>
        <w:tc>
          <w:tcPr>
            <w:tcW w:w="975" w:type="dxa"/>
            <w:hideMark/>
          </w:tcPr>
          <w:p w14:paraId="20F43336" w14:textId="77777777" w:rsidR="00725E50" w:rsidRPr="00075DC8" w:rsidRDefault="00725E50" w:rsidP="0083748C">
            <w:pPr>
              <w:pStyle w:val="Tabletext"/>
              <w:jc w:val="center"/>
              <w:rPr>
                <w:sz w:val="18"/>
                <w:szCs w:val="18"/>
                <w:lang w:val="fr-FR"/>
              </w:rPr>
            </w:pPr>
            <w:r w:rsidRPr="00075DC8">
              <w:rPr>
                <w:sz w:val="18"/>
                <w:szCs w:val="18"/>
                <w:lang w:val="fr-FR" w:eastAsia="ja-JP"/>
              </w:rPr>
              <w:t>50</w:t>
            </w:r>
            <w:r w:rsidRPr="00075DC8">
              <w:rPr>
                <w:sz w:val="18"/>
                <w:szCs w:val="18"/>
                <w:vertAlign w:val="superscript"/>
                <w:lang w:val="fr-FR" w:eastAsia="ja-JP"/>
              </w:rPr>
              <w:t>(4)</w:t>
            </w:r>
            <w:r w:rsidRPr="00075DC8">
              <w:rPr>
                <w:sz w:val="18"/>
                <w:szCs w:val="18"/>
                <w:lang w:val="fr-FR" w:eastAsia="ja-JP"/>
              </w:rPr>
              <w:t>; 60</w:t>
            </w:r>
            <w:r w:rsidRPr="00075DC8">
              <w:rPr>
                <w:sz w:val="18"/>
                <w:szCs w:val="18"/>
                <w:vertAlign w:val="superscript"/>
                <w:lang w:val="fr-FR" w:eastAsia="ja-JP"/>
              </w:rPr>
              <w:t>(4)</w:t>
            </w:r>
          </w:p>
        </w:tc>
      </w:tr>
      <w:tr w:rsidR="00862A2C" w:rsidRPr="00075DC8" w14:paraId="0ECFF818" w14:textId="77777777" w:rsidTr="00BE55F8">
        <w:trPr>
          <w:trHeight w:val="20"/>
          <w:jc w:val="center"/>
        </w:trPr>
        <w:tc>
          <w:tcPr>
            <w:tcW w:w="2041" w:type="dxa"/>
            <w:tcMar>
              <w:top w:w="0" w:type="dxa"/>
              <w:left w:w="57" w:type="dxa"/>
              <w:bottom w:w="0" w:type="dxa"/>
              <w:right w:w="57" w:type="dxa"/>
            </w:tcMar>
            <w:hideMark/>
          </w:tcPr>
          <w:p w14:paraId="3E3D133A" w14:textId="60DEF3FC" w:rsidR="00725E50" w:rsidRPr="00075DC8" w:rsidRDefault="00725E50" w:rsidP="00ED4837">
            <w:pPr>
              <w:pStyle w:val="Tabletext"/>
              <w:jc w:val="left"/>
              <w:rPr>
                <w:sz w:val="18"/>
                <w:szCs w:val="18"/>
                <w:lang w:val="fr-FR" w:eastAsia="ja-JP"/>
              </w:rPr>
            </w:pPr>
            <w:r w:rsidRPr="00075DC8">
              <w:rPr>
                <w:sz w:val="18"/>
                <w:szCs w:val="18"/>
                <w:lang w:val="fr-FR" w:eastAsia="ja-JP"/>
              </w:rPr>
              <w:t>Plage des puissances de sortie au niveau de l</w:t>
            </w:r>
            <w:r w:rsidR="001F6A0D" w:rsidRPr="00075DC8">
              <w:rPr>
                <w:sz w:val="18"/>
                <w:szCs w:val="18"/>
                <w:lang w:val="fr-FR" w:eastAsia="ja-JP"/>
              </w:rPr>
              <w:t>'</w:t>
            </w:r>
            <w:r w:rsidRPr="00075DC8">
              <w:rPr>
                <w:sz w:val="18"/>
                <w:szCs w:val="18"/>
                <w:lang w:val="fr-FR" w:eastAsia="ja-JP"/>
              </w:rPr>
              <w:t>émetteur (dBW)</w:t>
            </w:r>
            <w:r w:rsidRPr="00075DC8">
              <w:rPr>
                <w:sz w:val="18"/>
                <w:szCs w:val="18"/>
                <w:vertAlign w:val="superscript"/>
                <w:lang w:val="fr-FR" w:eastAsia="ja-JP"/>
              </w:rPr>
              <w:t xml:space="preserve"> </w:t>
            </w:r>
          </w:p>
        </w:tc>
        <w:tc>
          <w:tcPr>
            <w:tcW w:w="982" w:type="dxa"/>
            <w:vMerge w:val="restart"/>
            <w:hideMark/>
          </w:tcPr>
          <w:p w14:paraId="481772BC"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NOTE</w:t>
            </w:r>
          </w:p>
        </w:tc>
        <w:tc>
          <w:tcPr>
            <w:tcW w:w="986" w:type="dxa"/>
            <w:vMerge w:val="restart"/>
            <w:hideMark/>
          </w:tcPr>
          <w:p w14:paraId="469967E5"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NOTE</w:t>
            </w:r>
          </w:p>
        </w:tc>
        <w:tc>
          <w:tcPr>
            <w:tcW w:w="919" w:type="dxa"/>
            <w:vMerge w:val="restart"/>
            <w:hideMark/>
          </w:tcPr>
          <w:p w14:paraId="06338E9E"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NOTE</w:t>
            </w:r>
          </w:p>
        </w:tc>
        <w:tc>
          <w:tcPr>
            <w:tcW w:w="1019" w:type="dxa"/>
            <w:vMerge w:val="restart"/>
            <w:hideMark/>
          </w:tcPr>
          <w:p w14:paraId="02F2EF63"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NOTE</w:t>
            </w:r>
          </w:p>
        </w:tc>
        <w:tc>
          <w:tcPr>
            <w:tcW w:w="1448" w:type="dxa"/>
            <w:hideMark/>
          </w:tcPr>
          <w:p w14:paraId="3CD64DFB"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−12...−5</w:t>
            </w:r>
          </w:p>
        </w:tc>
        <w:tc>
          <w:tcPr>
            <w:tcW w:w="1674" w:type="dxa"/>
            <w:hideMark/>
          </w:tcPr>
          <w:p w14:paraId="047A65B0" w14:textId="77777777" w:rsidR="00725E50" w:rsidRPr="00075DC8" w:rsidRDefault="00725E50" w:rsidP="0083748C">
            <w:pPr>
              <w:pStyle w:val="Tabletext"/>
              <w:jc w:val="center"/>
              <w:rPr>
                <w:sz w:val="18"/>
                <w:szCs w:val="18"/>
                <w:lang w:val="fr-FR"/>
              </w:rPr>
            </w:pPr>
            <w:r w:rsidRPr="00075DC8">
              <w:rPr>
                <w:sz w:val="18"/>
                <w:szCs w:val="18"/>
                <w:lang w:val="fr-FR" w:eastAsia="ja-JP"/>
              </w:rPr>
              <w:t>−19</w:t>
            </w:r>
          </w:p>
        </w:tc>
        <w:tc>
          <w:tcPr>
            <w:tcW w:w="1299" w:type="dxa"/>
            <w:hideMark/>
          </w:tcPr>
          <w:p w14:paraId="669BD0B3"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[−39</w:t>
            </w:r>
            <w:r w:rsidRPr="00075DC8">
              <w:rPr>
                <w:sz w:val="18"/>
                <w:szCs w:val="18"/>
                <w:lang w:val="fr-FR"/>
              </w:rPr>
              <w:t>…−</w:t>
            </w:r>
            <w:r w:rsidRPr="00075DC8">
              <w:rPr>
                <w:sz w:val="18"/>
                <w:szCs w:val="18"/>
                <w:lang w:val="fr-FR" w:eastAsia="ja-JP"/>
              </w:rPr>
              <w:t>19]</w:t>
            </w:r>
          </w:p>
        </w:tc>
        <w:tc>
          <w:tcPr>
            <w:tcW w:w="1037" w:type="dxa"/>
            <w:gridSpan w:val="2"/>
            <w:vMerge w:val="restart"/>
            <w:hideMark/>
          </w:tcPr>
          <w:p w14:paraId="02A252F9"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NOTE</w:t>
            </w:r>
          </w:p>
        </w:tc>
        <w:tc>
          <w:tcPr>
            <w:tcW w:w="969" w:type="dxa"/>
            <w:vMerge w:val="restart"/>
            <w:hideMark/>
          </w:tcPr>
          <w:p w14:paraId="2855DC2C"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NOTE</w:t>
            </w:r>
          </w:p>
        </w:tc>
        <w:tc>
          <w:tcPr>
            <w:tcW w:w="1107" w:type="dxa"/>
            <w:gridSpan w:val="2"/>
            <w:vMerge w:val="restart"/>
            <w:hideMark/>
          </w:tcPr>
          <w:p w14:paraId="00EC42EE"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NOTE</w:t>
            </w:r>
          </w:p>
        </w:tc>
        <w:tc>
          <w:tcPr>
            <w:tcW w:w="975" w:type="dxa"/>
            <w:vMerge w:val="restart"/>
            <w:hideMark/>
          </w:tcPr>
          <w:p w14:paraId="02D05EC2"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NOTE</w:t>
            </w:r>
          </w:p>
        </w:tc>
      </w:tr>
      <w:tr w:rsidR="00862A2C" w:rsidRPr="00075DC8" w14:paraId="7E50C855" w14:textId="77777777" w:rsidTr="00BE55F8">
        <w:trPr>
          <w:trHeight w:val="20"/>
          <w:jc w:val="center"/>
        </w:trPr>
        <w:tc>
          <w:tcPr>
            <w:tcW w:w="2041" w:type="dxa"/>
            <w:tcMar>
              <w:top w:w="0" w:type="dxa"/>
              <w:left w:w="57" w:type="dxa"/>
              <w:bottom w:w="0" w:type="dxa"/>
              <w:right w:w="57" w:type="dxa"/>
            </w:tcMar>
            <w:hideMark/>
          </w:tcPr>
          <w:p w14:paraId="5B6D77DC" w14:textId="770C66F1" w:rsidR="00725E50" w:rsidRPr="00075DC8" w:rsidRDefault="00725E50" w:rsidP="00ED4837">
            <w:pPr>
              <w:pStyle w:val="Tabletext"/>
              <w:jc w:val="left"/>
              <w:rPr>
                <w:sz w:val="18"/>
                <w:szCs w:val="18"/>
                <w:lang w:val="fr-FR"/>
              </w:rPr>
            </w:pPr>
            <w:r w:rsidRPr="00075DC8">
              <w:rPr>
                <w:sz w:val="18"/>
                <w:szCs w:val="18"/>
                <w:lang w:val="fr-FR" w:eastAsia="ja-JP"/>
              </w:rPr>
              <w:t>Plage des densités de puissance de sortie au niveau de l</w:t>
            </w:r>
            <w:r w:rsidR="001F6A0D" w:rsidRPr="00075DC8">
              <w:rPr>
                <w:sz w:val="18"/>
                <w:szCs w:val="18"/>
                <w:lang w:val="fr-FR" w:eastAsia="ja-JP"/>
              </w:rPr>
              <w:t>'</w:t>
            </w:r>
            <w:r w:rsidRPr="00075DC8">
              <w:rPr>
                <w:sz w:val="18"/>
                <w:szCs w:val="18"/>
                <w:lang w:val="fr-FR" w:eastAsia="ja-JP"/>
              </w:rPr>
              <w:t xml:space="preserve">émetteur </w:t>
            </w:r>
            <w:r w:rsidRPr="00075DC8">
              <w:rPr>
                <w:sz w:val="18"/>
                <w:szCs w:val="18"/>
                <w:lang w:val="fr-FR"/>
              </w:rPr>
              <w:t>(dBW/MHz)</w:t>
            </w:r>
            <w:r w:rsidRPr="00075DC8">
              <w:rPr>
                <w:sz w:val="18"/>
                <w:szCs w:val="18"/>
                <w:vertAlign w:val="superscript"/>
                <w:lang w:val="fr-FR" w:eastAsia="ja-JP"/>
              </w:rPr>
              <w:t xml:space="preserve">(1) </w:t>
            </w:r>
          </w:p>
        </w:tc>
        <w:tc>
          <w:tcPr>
            <w:tcW w:w="982" w:type="dxa"/>
            <w:vMerge/>
            <w:hideMark/>
          </w:tcPr>
          <w:p w14:paraId="119C1AE3" w14:textId="77777777" w:rsidR="00725E50" w:rsidRPr="00075DC8" w:rsidRDefault="00725E50" w:rsidP="0083748C">
            <w:pPr>
              <w:pStyle w:val="Tabletext"/>
              <w:jc w:val="center"/>
              <w:rPr>
                <w:sz w:val="18"/>
                <w:szCs w:val="18"/>
                <w:lang w:val="fr-FR" w:eastAsia="ja-JP"/>
              </w:rPr>
            </w:pPr>
          </w:p>
        </w:tc>
        <w:tc>
          <w:tcPr>
            <w:tcW w:w="986" w:type="dxa"/>
            <w:vMerge/>
            <w:hideMark/>
          </w:tcPr>
          <w:p w14:paraId="2CC03E19" w14:textId="77777777" w:rsidR="00725E50" w:rsidRPr="00075DC8" w:rsidRDefault="00725E50" w:rsidP="0083748C">
            <w:pPr>
              <w:pStyle w:val="Tabletext"/>
              <w:jc w:val="center"/>
              <w:rPr>
                <w:sz w:val="18"/>
                <w:szCs w:val="18"/>
                <w:lang w:val="fr-FR" w:eastAsia="ja-JP"/>
              </w:rPr>
            </w:pPr>
          </w:p>
        </w:tc>
        <w:tc>
          <w:tcPr>
            <w:tcW w:w="919" w:type="dxa"/>
            <w:vMerge/>
            <w:hideMark/>
          </w:tcPr>
          <w:p w14:paraId="661B116F" w14:textId="77777777" w:rsidR="00725E50" w:rsidRPr="00075DC8" w:rsidRDefault="00725E50" w:rsidP="0083748C">
            <w:pPr>
              <w:pStyle w:val="Tabletext"/>
              <w:jc w:val="center"/>
              <w:rPr>
                <w:sz w:val="18"/>
                <w:szCs w:val="18"/>
                <w:lang w:val="fr-FR" w:eastAsia="ja-JP"/>
              </w:rPr>
            </w:pPr>
          </w:p>
        </w:tc>
        <w:tc>
          <w:tcPr>
            <w:tcW w:w="1019" w:type="dxa"/>
            <w:vMerge/>
            <w:hideMark/>
          </w:tcPr>
          <w:p w14:paraId="3778ACB0" w14:textId="77777777" w:rsidR="00725E50" w:rsidRPr="00075DC8" w:rsidRDefault="00725E50" w:rsidP="0083748C">
            <w:pPr>
              <w:pStyle w:val="Tabletext"/>
              <w:jc w:val="center"/>
              <w:rPr>
                <w:sz w:val="18"/>
                <w:szCs w:val="18"/>
                <w:lang w:val="fr-FR" w:eastAsia="ja-JP"/>
              </w:rPr>
            </w:pPr>
          </w:p>
        </w:tc>
        <w:tc>
          <w:tcPr>
            <w:tcW w:w="1448" w:type="dxa"/>
            <w:hideMark/>
          </w:tcPr>
          <w:p w14:paraId="2B859BDA"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−62...−28</w:t>
            </w:r>
          </w:p>
        </w:tc>
        <w:tc>
          <w:tcPr>
            <w:tcW w:w="1674" w:type="dxa"/>
            <w:hideMark/>
          </w:tcPr>
          <w:p w14:paraId="3FB8D1B6"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−33,8</w:t>
            </w:r>
            <w:r w:rsidRPr="00075DC8">
              <w:rPr>
                <w:sz w:val="18"/>
                <w:szCs w:val="18"/>
                <w:vertAlign w:val="superscript"/>
                <w:lang w:val="fr-FR" w:eastAsia="ja-JP"/>
              </w:rPr>
              <w:t>(6)</w:t>
            </w:r>
          </w:p>
        </w:tc>
        <w:tc>
          <w:tcPr>
            <w:tcW w:w="1299" w:type="dxa"/>
            <w:hideMark/>
          </w:tcPr>
          <w:p w14:paraId="305212F4"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−53,8…</w:t>
            </w:r>
            <w:r w:rsidRPr="00075DC8">
              <w:rPr>
                <w:sz w:val="18"/>
                <w:szCs w:val="18"/>
                <w:lang w:val="fr-FR" w:eastAsia="ja-JP"/>
              </w:rPr>
              <w:br/>
            </w:r>
            <w:r w:rsidRPr="00075DC8">
              <w:rPr>
                <w:sz w:val="18"/>
                <w:szCs w:val="18"/>
                <w:lang w:val="fr-FR"/>
              </w:rPr>
              <w:t>−</w:t>
            </w:r>
            <w:r w:rsidRPr="00075DC8">
              <w:rPr>
                <w:sz w:val="18"/>
                <w:szCs w:val="18"/>
                <w:lang w:val="fr-FR" w:eastAsia="ja-JP"/>
              </w:rPr>
              <w:t>33,8</w:t>
            </w:r>
            <w:r w:rsidRPr="00075DC8">
              <w:rPr>
                <w:sz w:val="18"/>
                <w:szCs w:val="18"/>
                <w:vertAlign w:val="superscript"/>
                <w:lang w:val="fr-FR" w:eastAsia="ja-JP"/>
              </w:rPr>
              <w:t>(5)</w:t>
            </w:r>
          </w:p>
        </w:tc>
        <w:tc>
          <w:tcPr>
            <w:tcW w:w="1037" w:type="dxa"/>
            <w:gridSpan w:val="2"/>
            <w:vMerge/>
            <w:hideMark/>
          </w:tcPr>
          <w:p w14:paraId="57ADDA54" w14:textId="77777777" w:rsidR="00725E50" w:rsidRPr="00075DC8" w:rsidRDefault="00725E50" w:rsidP="0083748C">
            <w:pPr>
              <w:pStyle w:val="Tabletext"/>
              <w:jc w:val="center"/>
              <w:rPr>
                <w:sz w:val="18"/>
                <w:szCs w:val="18"/>
                <w:lang w:val="fr-FR" w:eastAsia="ja-JP"/>
              </w:rPr>
            </w:pPr>
          </w:p>
        </w:tc>
        <w:tc>
          <w:tcPr>
            <w:tcW w:w="969" w:type="dxa"/>
            <w:vMerge/>
            <w:hideMark/>
          </w:tcPr>
          <w:p w14:paraId="439DB17E" w14:textId="77777777" w:rsidR="00725E50" w:rsidRPr="00075DC8" w:rsidRDefault="00725E50" w:rsidP="0083748C">
            <w:pPr>
              <w:pStyle w:val="Tabletext"/>
              <w:jc w:val="center"/>
              <w:rPr>
                <w:sz w:val="18"/>
                <w:szCs w:val="18"/>
                <w:lang w:val="fr-FR" w:eastAsia="ja-JP"/>
              </w:rPr>
            </w:pPr>
          </w:p>
        </w:tc>
        <w:tc>
          <w:tcPr>
            <w:tcW w:w="1107" w:type="dxa"/>
            <w:gridSpan w:val="2"/>
            <w:vMerge/>
            <w:hideMark/>
          </w:tcPr>
          <w:p w14:paraId="13AEF49C" w14:textId="77777777" w:rsidR="00725E50" w:rsidRPr="00075DC8" w:rsidRDefault="00725E50" w:rsidP="0083748C">
            <w:pPr>
              <w:pStyle w:val="Tabletext"/>
              <w:jc w:val="center"/>
              <w:rPr>
                <w:sz w:val="18"/>
                <w:szCs w:val="18"/>
                <w:lang w:val="fr-FR" w:eastAsia="ja-JP"/>
              </w:rPr>
            </w:pPr>
          </w:p>
        </w:tc>
        <w:tc>
          <w:tcPr>
            <w:tcW w:w="975" w:type="dxa"/>
            <w:vMerge/>
            <w:hideMark/>
          </w:tcPr>
          <w:p w14:paraId="39EAC33D" w14:textId="77777777" w:rsidR="00725E50" w:rsidRPr="00075DC8" w:rsidRDefault="00725E50" w:rsidP="0083748C">
            <w:pPr>
              <w:pStyle w:val="Tabletext"/>
              <w:jc w:val="center"/>
              <w:rPr>
                <w:sz w:val="18"/>
                <w:szCs w:val="18"/>
                <w:lang w:val="fr-FR" w:eastAsia="ja-JP"/>
              </w:rPr>
            </w:pPr>
          </w:p>
        </w:tc>
      </w:tr>
      <w:tr w:rsidR="00862A2C" w:rsidRPr="00075DC8" w14:paraId="57B89669" w14:textId="77777777" w:rsidTr="00BE55F8">
        <w:trPr>
          <w:trHeight w:val="20"/>
          <w:jc w:val="center"/>
        </w:trPr>
        <w:tc>
          <w:tcPr>
            <w:tcW w:w="14456" w:type="dxa"/>
            <w:gridSpan w:val="14"/>
            <w:tcBorders>
              <w:top w:val="nil"/>
              <w:left w:val="nil"/>
              <w:right w:val="nil"/>
            </w:tcBorders>
            <w:tcMar>
              <w:top w:w="0" w:type="dxa"/>
              <w:left w:w="57" w:type="dxa"/>
              <w:bottom w:w="0" w:type="dxa"/>
              <w:right w:w="57" w:type="dxa"/>
            </w:tcMar>
            <w:vAlign w:val="center"/>
          </w:tcPr>
          <w:p w14:paraId="56460848" w14:textId="2BA421D8" w:rsidR="00862A2C" w:rsidRPr="00075DC8" w:rsidRDefault="00862A2C" w:rsidP="00862A2C">
            <w:pPr>
              <w:pStyle w:val="TableNo"/>
              <w:rPr>
                <w:lang w:val="fr-FR"/>
              </w:rPr>
            </w:pPr>
            <w:r w:rsidRPr="00075DC8">
              <w:rPr>
                <w:lang w:val="fr-FR"/>
              </w:rPr>
              <w:lastRenderedPageBreak/>
              <w:t>TABLEAU 15 (</w:t>
            </w:r>
            <w:r w:rsidRPr="00075DC8">
              <w:rPr>
                <w:i/>
                <w:iCs/>
                <w:lang w:val="fr-FR"/>
              </w:rPr>
              <w:t>fin</w:t>
            </w:r>
            <w:r w:rsidRPr="00075DC8">
              <w:rPr>
                <w:lang w:val="fr-FR"/>
              </w:rPr>
              <w:t>)</w:t>
            </w:r>
          </w:p>
        </w:tc>
      </w:tr>
      <w:tr w:rsidR="00862A2C" w:rsidRPr="00075DC8" w14:paraId="1942A72D" w14:textId="77777777" w:rsidTr="00BE55F8">
        <w:trPr>
          <w:trHeight w:val="20"/>
          <w:jc w:val="center"/>
        </w:trPr>
        <w:tc>
          <w:tcPr>
            <w:tcW w:w="2041" w:type="dxa"/>
            <w:tcMar>
              <w:top w:w="0" w:type="dxa"/>
              <w:left w:w="57" w:type="dxa"/>
              <w:bottom w:w="0" w:type="dxa"/>
              <w:right w:w="57" w:type="dxa"/>
            </w:tcMar>
            <w:vAlign w:val="center"/>
            <w:hideMark/>
          </w:tcPr>
          <w:p w14:paraId="0B822125" w14:textId="77777777" w:rsidR="00862A2C" w:rsidRPr="00075DC8" w:rsidRDefault="00862A2C" w:rsidP="00ED4837">
            <w:pPr>
              <w:pStyle w:val="Tablehead"/>
              <w:keepLines/>
              <w:rPr>
                <w:sz w:val="18"/>
                <w:szCs w:val="18"/>
                <w:lang w:val="fr-FR"/>
              </w:rPr>
            </w:pPr>
            <w:r w:rsidRPr="00075DC8">
              <w:rPr>
                <w:sz w:val="18"/>
                <w:szCs w:val="18"/>
                <w:lang w:val="fr-FR" w:eastAsia="ja-JP"/>
              </w:rPr>
              <w:t>Gamme de fréquences</w:t>
            </w:r>
            <w:r w:rsidRPr="00075DC8">
              <w:rPr>
                <w:sz w:val="18"/>
                <w:szCs w:val="18"/>
                <w:lang w:val="fr-FR"/>
              </w:rPr>
              <w:br/>
              <w:t>(GHz)</w:t>
            </w:r>
          </w:p>
        </w:tc>
        <w:tc>
          <w:tcPr>
            <w:tcW w:w="1968" w:type="dxa"/>
            <w:gridSpan w:val="2"/>
            <w:vAlign w:val="center"/>
            <w:hideMark/>
          </w:tcPr>
          <w:p w14:paraId="1A3E41D7" w14:textId="77777777" w:rsidR="00862A2C" w:rsidRPr="00075DC8" w:rsidRDefault="00862A2C" w:rsidP="00ED4837">
            <w:pPr>
              <w:pStyle w:val="Tablehead"/>
              <w:keepLines/>
              <w:rPr>
                <w:sz w:val="18"/>
                <w:szCs w:val="18"/>
                <w:lang w:val="fr-FR" w:eastAsia="ja-JP"/>
              </w:rPr>
            </w:pPr>
            <w:r w:rsidRPr="00075DC8">
              <w:rPr>
                <w:sz w:val="18"/>
                <w:szCs w:val="18"/>
                <w:lang w:val="fr-FR"/>
              </w:rPr>
              <w:t>17,70-19,70</w:t>
            </w:r>
          </w:p>
        </w:tc>
        <w:tc>
          <w:tcPr>
            <w:tcW w:w="1938" w:type="dxa"/>
            <w:gridSpan w:val="2"/>
            <w:vAlign w:val="center"/>
            <w:hideMark/>
          </w:tcPr>
          <w:p w14:paraId="61708DD3" w14:textId="77777777" w:rsidR="00862A2C" w:rsidRPr="00075DC8" w:rsidRDefault="00862A2C" w:rsidP="00ED4837">
            <w:pPr>
              <w:pStyle w:val="Tablehead"/>
              <w:keepLines/>
              <w:rPr>
                <w:sz w:val="18"/>
                <w:szCs w:val="18"/>
                <w:lang w:val="fr-FR"/>
              </w:rPr>
            </w:pPr>
            <w:r w:rsidRPr="00075DC8">
              <w:rPr>
                <w:sz w:val="18"/>
                <w:szCs w:val="18"/>
                <w:lang w:val="fr-FR"/>
              </w:rPr>
              <w:t>21,20-23,60</w:t>
            </w:r>
          </w:p>
        </w:tc>
        <w:tc>
          <w:tcPr>
            <w:tcW w:w="4429" w:type="dxa"/>
            <w:gridSpan w:val="4"/>
            <w:vAlign w:val="center"/>
            <w:hideMark/>
          </w:tcPr>
          <w:p w14:paraId="35FDC4C0" w14:textId="77777777" w:rsidR="00862A2C" w:rsidRPr="00075DC8" w:rsidRDefault="00862A2C" w:rsidP="00ED4837">
            <w:pPr>
              <w:pStyle w:val="Tablehead"/>
              <w:keepLines/>
              <w:rPr>
                <w:sz w:val="18"/>
                <w:szCs w:val="18"/>
                <w:lang w:val="fr-FR" w:eastAsia="ja-JP"/>
              </w:rPr>
            </w:pPr>
            <w:r w:rsidRPr="00075DC8">
              <w:rPr>
                <w:sz w:val="18"/>
                <w:szCs w:val="18"/>
                <w:lang w:val="fr-FR"/>
              </w:rPr>
              <w:t>24,25-29,50</w:t>
            </w:r>
          </w:p>
        </w:tc>
        <w:tc>
          <w:tcPr>
            <w:tcW w:w="2006" w:type="dxa"/>
            <w:gridSpan w:val="3"/>
            <w:vAlign w:val="center"/>
            <w:hideMark/>
          </w:tcPr>
          <w:p w14:paraId="6371BF35" w14:textId="77777777" w:rsidR="00862A2C" w:rsidRPr="00075DC8" w:rsidRDefault="00862A2C" w:rsidP="00ED4837">
            <w:pPr>
              <w:pStyle w:val="Tablehead"/>
              <w:keepLines/>
              <w:rPr>
                <w:sz w:val="18"/>
                <w:szCs w:val="18"/>
                <w:lang w:val="fr-FR" w:eastAsia="ja-JP"/>
              </w:rPr>
            </w:pPr>
            <w:r w:rsidRPr="00075DC8">
              <w:rPr>
                <w:sz w:val="18"/>
                <w:szCs w:val="18"/>
                <w:lang w:val="fr-FR"/>
              </w:rPr>
              <w:t>31,8-33,4</w:t>
            </w:r>
          </w:p>
        </w:tc>
        <w:tc>
          <w:tcPr>
            <w:tcW w:w="2074" w:type="dxa"/>
            <w:gridSpan w:val="2"/>
            <w:vAlign w:val="center"/>
            <w:hideMark/>
          </w:tcPr>
          <w:p w14:paraId="1DC13CB5" w14:textId="77777777" w:rsidR="00862A2C" w:rsidRPr="00075DC8" w:rsidRDefault="00862A2C" w:rsidP="00ED4837">
            <w:pPr>
              <w:pStyle w:val="Tablehead"/>
              <w:keepLines/>
              <w:rPr>
                <w:sz w:val="18"/>
                <w:szCs w:val="18"/>
                <w:lang w:val="fr-FR" w:eastAsia="ja-JP"/>
              </w:rPr>
            </w:pPr>
            <w:r w:rsidRPr="00075DC8">
              <w:rPr>
                <w:sz w:val="18"/>
                <w:szCs w:val="18"/>
                <w:lang w:val="fr-FR"/>
              </w:rPr>
              <w:t>38,60-40,00</w:t>
            </w:r>
          </w:p>
        </w:tc>
      </w:tr>
      <w:tr w:rsidR="00862A2C" w:rsidRPr="00075DC8" w14:paraId="2720AC81" w14:textId="77777777" w:rsidTr="00BE55F8">
        <w:trPr>
          <w:trHeight w:val="20"/>
          <w:jc w:val="center"/>
        </w:trPr>
        <w:tc>
          <w:tcPr>
            <w:tcW w:w="2041" w:type="dxa"/>
            <w:tcMar>
              <w:top w:w="0" w:type="dxa"/>
              <w:left w:w="57" w:type="dxa"/>
              <w:bottom w:w="0" w:type="dxa"/>
              <w:right w:w="57" w:type="dxa"/>
            </w:tcMar>
            <w:hideMark/>
          </w:tcPr>
          <w:p w14:paraId="2D141E66" w14:textId="77777777" w:rsidR="00862A2C" w:rsidRPr="00075DC8" w:rsidRDefault="00862A2C" w:rsidP="00ED4837">
            <w:pPr>
              <w:pStyle w:val="Tabletext"/>
              <w:keepNext/>
              <w:keepLines/>
              <w:jc w:val="left"/>
              <w:rPr>
                <w:sz w:val="18"/>
                <w:szCs w:val="18"/>
                <w:lang w:val="fr-FR" w:eastAsia="ja-JP"/>
              </w:rPr>
            </w:pPr>
            <w:r w:rsidRPr="00075DC8">
              <w:rPr>
                <w:sz w:val="18"/>
                <w:szCs w:val="18"/>
                <w:lang w:val="fr-FR" w:eastAsia="ja-JP"/>
              </w:rPr>
              <w:t>Recommandation UIT-R de référence</w:t>
            </w:r>
          </w:p>
        </w:tc>
        <w:tc>
          <w:tcPr>
            <w:tcW w:w="1968" w:type="dxa"/>
            <w:gridSpan w:val="2"/>
            <w:hideMark/>
          </w:tcPr>
          <w:p w14:paraId="77DEF99B" w14:textId="77777777" w:rsidR="00862A2C" w:rsidRPr="00075DC8" w:rsidRDefault="00862A2C" w:rsidP="00ED4837">
            <w:pPr>
              <w:pStyle w:val="Tabletext"/>
              <w:keepNext/>
              <w:keepLines/>
              <w:jc w:val="center"/>
              <w:rPr>
                <w:sz w:val="18"/>
                <w:szCs w:val="18"/>
                <w:lang w:val="fr-FR" w:eastAsia="ja-JP"/>
              </w:rPr>
            </w:pPr>
            <w:r w:rsidRPr="00075DC8">
              <w:rPr>
                <w:sz w:val="18"/>
                <w:szCs w:val="18"/>
                <w:lang w:val="fr-FR"/>
              </w:rPr>
              <w:t>F.</w:t>
            </w:r>
            <w:r w:rsidRPr="00075DC8">
              <w:rPr>
                <w:sz w:val="18"/>
                <w:szCs w:val="18"/>
                <w:lang w:val="fr-FR" w:eastAsia="ja-JP"/>
              </w:rPr>
              <w:t>595</w:t>
            </w:r>
          </w:p>
        </w:tc>
        <w:tc>
          <w:tcPr>
            <w:tcW w:w="1938" w:type="dxa"/>
            <w:gridSpan w:val="2"/>
            <w:hideMark/>
          </w:tcPr>
          <w:p w14:paraId="401AA53F" w14:textId="77777777" w:rsidR="00862A2C" w:rsidRPr="00075DC8" w:rsidRDefault="00862A2C" w:rsidP="00ED4837">
            <w:pPr>
              <w:pStyle w:val="Tabletext"/>
              <w:keepNext/>
              <w:keepLines/>
              <w:jc w:val="center"/>
              <w:rPr>
                <w:sz w:val="18"/>
                <w:szCs w:val="18"/>
                <w:lang w:val="fr-FR"/>
              </w:rPr>
            </w:pPr>
            <w:r w:rsidRPr="00075DC8">
              <w:rPr>
                <w:sz w:val="18"/>
                <w:szCs w:val="18"/>
                <w:lang w:val="fr-FR"/>
              </w:rPr>
              <w:t>F.</w:t>
            </w:r>
            <w:r w:rsidRPr="00075DC8">
              <w:rPr>
                <w:sz w:val="18"/>
                <w:szCs w:val="18"/>
                <w:lang w:val="fr-FR" w:eastAsia="ja-JP"/>
              </w:rPr>
              <w:t>637</w:t>
            </w:r>
          </w:p>
        </w:tc>
        <w:tc>
          <w:tcPr>
            <w:tcW w:w="4429" w:type="dxa"/>
            <w:gridSpan w:val="4"/>
            <w:hideMark/>
          </w:tcPr>
          <w:p w14:paraId="59423821" w14:textId="77777777" w:rsidR="00862A2C" w:rsidRPr="00075DC8" w:rsidRDefault="00862A2C" w:rsidP="00ED4837">
            <w:pPr>
              <w:pStyle w:val="Tabletext"/>
              <w:keepNext/>
              <w:keepLines/>
              <w:jc w:val="center"/>
              <w:rPr>
                <w:sz w:val="18"/>
                <w:szCs w:val="18"/>
                <w:lang w:val="fr-FR" w:eastAsia="ja-JP"/>
              </w:rPr>
            </w:pPr>
            <w:r w:rsidRPr="00075DC8">
              <w:rPr>
                <w:sz w:val="18"/>
                <w:szCs w:val="18"/>
                <w:lang w:val="fr-FR"/>
              </w:rPr>
              <w:t>F.</w:t>
            </w:r>
            <w:r w:rsidRPr="00075DC8">
              <w:rPr>
                <w:sz w:val="18"/>
                <w:szCs w:val="18"/>
                <w:lang w:val="fr-FR" w:eastAsia="ja-JP"/>
              </w:rPr>
              <w:t>748</w:t>
            </w:r>
          </w:p>
        </w:tc>
        <w:tc>
          <w:tcPr>
            <w:tcW w:w="2006" w:type="dxa"/>
            <w:gridSpan w:val="3"/>
            <w:hideMark/>
          </w:tcPr>
          <w:p w14:paraId="5C702673" w14:textId="77777777" w:rsidR="00862A2C" w:rsidRPr="00075DC8" w:rsidRDefault="00862A2C" w:rsidP="00ED4837">
            <w:pPr>
              <w:pStyle w:val="Tabletext"/>
              <w:keepNext/>
              <w:keepLines/>
              <w:jc w:val="center"/>
              <w:rPr>
                <w:sz w:val="18"/>
                <w:szCs w:val="18"/>
                <w:lang w:val="fr-FR" w:eastAsia="ja-JP"/>
              </w:rPr>
            </w:pPr>
            <w:r w:rsidRPr="00075DC8">
              <w:rPr>
                <w:sz w:val="18"/>
                <w:szCs w:val="18"/>
                <w:lang w:val="fr-FR" w:eastAsia="ja-JP"/>
              </w:rPr>
              <w:t>F.1520</w:t>
            </w:r>
          </w:p>
        </w:tc>
        <w:tc>
          <w:tcPr>
            <w:tcW w:w="2074" w:type="dxa"/>
            <w:gridSpan w:val="2"/>
            <w:hideMark/>
          </w:tcPr>
          <w:p w14:paraId="557FE929" w14:textId="77777777" w:rsidR="00862A2C" w:rsidRPr="00075DC8" w:rsidRDefault="00862A2C" w:rsidP="00ED4837">
            <w:pPr>
              <w:pStyle w:val="Tabletext"/>
              <w:keepNext/>
              <w:keepLines/>
              <w:jc w:val="center"/>
              <w:rPr>
                <w:sz w:val="18"/>
                <w:szCs w:val="18"/>
                <w:lang w:val="fr-FR" w:eastAsia="ja-JP"/>
              </w:rPr>
            </w:pPr>
            <w:r w:rsidRPr="00075DC8">
              <w:rPr>
                <w:sz w:val="18"/>
                <w:szCs w:val="18"/>
                <w:lang w:val="fr-FR"/>
              </w:rPr>
              <w:t>F.</w:t>
            </w:r>
            <w:r w:rsidRPr="00075DC8">
              <w:rPr>
                <w:sz w:val="18"/>
                <w:szCs w:val="18"/>
                <w:lang w:val="fr-FR" w:eastAsia="ja-JP"/>
              </w:rPr>
              <w:t>749</w:t>
            </w:r>
          </w:p>
        </w:tc>
      </w:tr>
      <w:tr w:rsidR="00862A2C" w:rsidRPr="00075DC8" w14:paraId="0AF46D6D" w14:textId="77777777" w:rsidTr="00BE55F8">
        <w:trPr>
          <w:trHeight w:val="20"/>
          <w:jc w:val="center"/>
        </w:trPr>
        <w:tc>
          <w:tcPr>
            <w:tcW w:w="2041" w:type="dxa"/>
            <w:tcMar>
              <w:top w:w="0" w:type="dxa"/>
              <w:left w:w="57" w:type="dxa"/>
              <w:bottom w:w="0" w:type="dxa"/>
              <w:right w:w="57" w:type="dxa"/>
            </w:tcMar>
            <w:hideMark/>
          </w:tcPr>
          <w:p w14:paraId="7C226886" w14:textId="7F342A0C" w:rsidR="00862A2C" w:rsidRPr="00075DC8" w:rsidRDefault="00862A2C" w:rsidP="00862A2C">
            <w:pPr>
              <w:pStyle w:val="Tabletext"/>
              <w:jc w:val="left"/>
              <w:rPr>
                <w:sz w:val="18"/>
                <w:szCs w:val="18"/>
                <w:lang w:val="fr-FR" w:eastAsia="ja-JP"/>
              </w:rPr>
            </w:pPr>
            <w:r w:rsidRPr="00075DC8">
              <w:rPr>
                <w:sz w:val="18"/>
                <w:szCs w:val="18"/>
                <w:lang w:val="fr-FR" w:eastAsia="ja-JP"/>
              </w:rPr>
              <w:t>Plage des pertes dues à la ligne d</w:t>
            </w:r>
            <w:r w:rsidR="001F6A0D" w:rsidRPr="00075DC8">
              <w:rPr>
                <w:sz w:val="18"/>
                <w:szCs w:val="18"/>
                <w:lang w:val="fr-FR" w:eastAsia="ja-JP"/>
              </w:rPr>
              <w:t>'</w:t>
            </w:r>
            <w:r w:rsidRPr="00075DC8">
              <w:rPr>
                <w:sz w:val="18"/>
                <w:szCs w:val="18"/>
                <w:lang w:val="fr-FR" w:eastAsia="ja-JP"/>
              </w:rPr>
              <w:t xml:space="preserve">alimentation ou au multiplexeur (dB) </w:t>
            </w:r>
          </w:p>
        </w:tc>
        <w:tc>
          <w:tcPr>
            <w:tcW w:w="982" w:type="dxa"/>
            <w:vMerge w:val="restart"/>
          </w:tcPr>
          <w:p w14:paraId="4F10E26D" w14:textId="2EB2DB68" w:rsidR="00862A2C" w:rsidRPr="00075DC8" w:rsidRDefault="00862A2C" w:rsidP="00862A2C">
            <w:pPr>
              <w:pStyle w:val="Tabletext"/>
              <w:jc w:val="center"/>
              <w:rPr>
                <w:sz w:val="18"/>
                <w:szCs w:val="18"/>
                <w:lang w:val="fr-FR" w:eastAsia="ja-JP"/>
              </w:rPr>
            </w:pPr>
            <w:r w:rsidRPr="00075DC8">
              <w:rPr>
                <w:sz w:val="18"/>
                <w:szCs w:val="18"/>
                <w:lang w:val="fr-FR" w:eastAsia="ja-JP"/>
              </w:rPr>
              <w:t>NOTE</w:t>
            </w:r>
          </w:p>
        </w:tc>
        <w:tc>
          <w:tcPr>
            <w:tcW w:w="986" w:type="dxa"/>
            <w:vMerge w:val="restart"/>
          </w:tcPr>
          <w:p w14:paraId="55CB5247" w14:textId="1E97F302" w:rsidR="00862A2C" w:rsidRPr="00075DC8" w:rsidRDefault="00862A2C" w:rsidP="00862A2C">
            <w:pPr>
              <w:pStyle w:val="Tabletext"/>
              <w:jc w:val="center"/>
              <w:rPr>
                <w:sz w:val="18"/>
                <w:szCs w:val="18"/>
                <w:lang w:val="fr-FR" w:eastAsia="ja-JP"/>
              </w:rPr>
            </w:pPr>
            <w:r w:rsidRPr="00075DC8">
              <w:rPr>
                <w:sz w:val="18"/>
                <w:szCs w:val="18"/>
                <w:lang w:val="fr-FR" w:eastAsia="ja-JP"/>
              </w:rPr>
              <w:t>NOTE</w:t>
            </w:r>
          </w:p>
        </w:tc>
        <w:tc>
          <w:tcPr>
            <w:tcW w:w="919" w:type="dxa"/>
            <w:vMerge w:val="restart"/>
          </w:tcPr>
          <w:p w14:paraId="74205019" w14:textId="46525F7B" w:rsidR="00862A2C" w:rsidRPr="00075DC8" w:rsidRDefault="00862A2C" w:rsidP="00862A2C">
            <w:pPr>
              <w:pStyle w:val="Tabletext"/>
              <w:jc w:val="center"/>
              <w:rPr>
                <w:sz w:val="18"/>
                <w:szCs w:val="18"/>
                <w:lang w:val="fr-FR" w:eastAsia="ja-JP"/>
              </w:rPr>
            </w:pPr>
            <w:r w:rsidRPr="00075DC8">
              <w:rPr>
                <w:sz w:val="18"/>
                <w:szCs w:val="18"/>
                <w:lang w:val="fr-FR" w:eastAsia="ja-JP"/>
              </w:rPr>
              <w:t>NOTE</w:t>
            </w:r>
          </w:p>
        </w:tc>
        <w:tc>
          <w:tcPr>
            <w:tcW w:w="1019" w:type="dxa"/>
            <w:vMerge w:val="restart"/>
          </w:tcPr>
          <w:p w14:paraId="16ADB4EA" w14:textId="6125BDA9" w:rsidR="00862A2C" w:rsidRPr="00075DC8" w:rsidRDefault="00862A2C" w:rsidP="00862A2C">
            <w:pPr>
              <w:pStyle w:val="Tabletext"/>
              <w:jc w:val="center"/>
              <w:rPr>
                <w:sz w:val="18"/>
                <w:szCs w:val="18"/>
                <w:lang w:val="fr-FR" w:eastAsia="ja-JP"/>
              </w:rPr>
            </w:pPr>
            <w:r w:rsidRPr="00075DC8">
              <w:rPr>
                <w:sz w:val="18"/>
                <w:szCs w:val="18"/>
                <w:lang w:val="fr-FR" w:eastAsia="ja-JP"/>
              </w:rPr>
              <w:t>NOTE</w:t>
            </w:r>
          </w:p>
        </w:tc>
        <w:tc>
          <w:tcPr>
            <w:tcW w:w="1448" w:type="dxa"/>
            <w:hideMark/>
          </w:tcPr>
          <w:p w14:paraId="210222CB" w14:textId="77777777" w:rsidR="00862A2C" w:rsidRPr="00075DC8" w:rsidRDefault="00862A2C" w:rsidP="00862A2C">
            <w:pPr>
              <w:pStyle w:val="Tabletext"/>
              <w:jc w:val="center"/>
              <w:rPr>
                <w:sz w:val="18"/>
                <w:szCs w:val="18"/>
                <w:lang w:val="fr-FR" w:eastAsia="ja-JP"/>
              </w:rPr>
            </w:pPr>
            <w:r w:rsidRPr="00075DC8">
              <w:rPr>
                <w:sz w:val="18"/>
                <w:szCs w:val="18"/>
                <w:lang w:val="fr-FR" w:eastAsia="ja-JP"/>
              </w:rPr>
              <w:t>0...1</w:t>
            </w:r>
          </w:p>
        </w:tc>
        <w:tc>
          <w:tcPr>
            <w:tcW w:w="1674" w:type="dxa"/>
            <w:hideMark/>
          </w:tcPr>
          <w:p w14:paraId="69FD788C" w14:textId="77777777" w:rsidR="00862A2C" w:rsidRPr="00075DC8" w:rsidRDefault="00862A2C" w:rsidP="00862A2C">
            <w:pPr>
              <w:pStyle w:val="Tabletext"/>
              <w:jc w:val="center"/>
              <w:rPr>
                <w:sz w:val="18"/>
                <w:szCs w:val="18"/>
                <w:lang w:val="fr-FR" w:eastAsia="ja-JP"/>
              </w:rPr>
            </w:pPr>
            <w:r w:rsidRPr="00075DC8">
              <w:rPr>
                <w:sz w:val="18"/>
                <w:szCs w:val="18"/>
                <w:lang w:val="fr-FR" w:eastAsia="ja-JP"/>
              </w:rPr>
              <w:t>0</w:t>
            </w:r>
          </w:p>
        </w:tc>
        <w:tc>
          <w:tcPr>
            <w:tcW w:w="1299" w:type="dxa"/>
            <w:hideMark/>
          </w:tcPr>
          <w:p w14:paraId="3C06728B" w14:textId="77777777" w:rsidR="00862A2C" w:rsidRPr="00075DC8" w:rsidRDefault="00862A2C" w:rsidP="00862A2C">
            <w:pPr>
              <w:pStyle w:val="Tabletext"/>
              <w:jc w:val="center"/>
              <w:rPr>
                <w:sz w:val="18"/>
                <w:szCs w:val="18"/>
                <w:lang w:val="fr-FR" w:eastAsia="ja-JP"/>
              </w:rPr>
            </w:pPr>
            <w:r w:rsidRPr="00075DC8">
              <w:rPr>
                <w:sz w:val="18"/>
                <w:szCs w:val="18"/>
                <w:lang w:val="fr-FR" w:eastAsia="ja-JP"/>
              </w:rPr>
              <w:t>0</w:t>
            </w:r>
          </w:p>
        </w:tc>
        <w:tc>
          <w:tcPr>
            <w:tcW w:w="1037" w:type="dxa"/>
            <w:gridSpan w:val="2"/>
            <w:vMerge w:val="restart"/>
          </w:tcPr>
          <w:p w14:paraId="5E65169C" w14:textId="77777777" w:rsidR="00862A2C" w:rsidRPr="00075DC8" w:rsidRDefault="00862A2C" w:rsidP="00862A2C">
            <w:pPr>
              <w:pStyle w:val="Tabletext"/>
              <w:jc w:val="center"/>
              <w:rPr>
                <w:sz w:val="18"/>
                <w:szCs w:val="18"/>
                <w:lang w:val="fr-FR" w:eastAsia="ja-JP"/>
              </w:rPr>
            </w:pPr>
          </w:p>
        </w:tc>
        <w:tc>
          <w:tcPr>
            <w:tcW w:w="969" w:type="dxa"/>
            <w:vMerge w:val="restart"/>
          </w:tcPr>
          <w:p w14:paraId="67214FE3" w14:textId="77777777" w:rsidR="00862A2C" w:rsidRPr="00075DC8" w:rsidRDefault="00862A2C" w:rsidP="00862A2C">
            <w:pPr>
              <w:pStyle w:val="Tabletext"/>
              <w:jc w:val="center"/>
              <w:rPr>
                <w:sz w:val="18"/>
                <w:szCs w:val="18"/>
                <w:lang w:val="fr-FR" w:eastAsia="ja-JP"/>
              </w:rPr>
            </w:pPr>
          </w:p>
        </w:tc>
        <w:tc>
          <w:tcPr>
            <w:tcW w:w="1107" w:type="dxa"/>
            <w:gridSpan w:val="2"/>
            <w:vMerge w:val="restart"/>
          </w:tcPr>
          <w:p w14:paraId="0402A2EA" w14:textId="77777777" w:rsidR="00862A2C" w:rsidRPr="00075DC8" w:rsidRDefault="00862A2C" w:rsidP="00862A2C">
            <w:pPr>
              <w:pStyle w:val="Tabletext"/>
              <w:jc w:val="center"/>
              <w:rPr>
                <w:sz w:val="18"/>
                <w:szCs w:val="18"/>
                <w:lang w:val="fr-FR" w:eastAsia="ja-JP"/>
              </w:rPr>
            </w:pPr>
          </w:p>
        </w:tc>
        <w:tc>
          <w:tcPr>
            <w:tcW w:w="975" w:type="dxa"/>
            <w:vMerge w:val="restart"/>
          </w:tcPr>
          <w:p w14:paraId="7430B09D" w14:textId="77777777" w:rsidR="00862A2C" w:rsidRPr="00075DC8" w:rsidRDefault="00862A2C" w:rsidP="00862A2C">
            <w:pPr>
              <w:pStyle w:val="Tabletext"/>
              <w:jc w:val="center"/>
              <w:rPr>
                <w:sz w:val="18"/>
                <w:szCs w:val="18"/>
                <w:lang w:val="fr-FR" w:eastAsia="ja-JP"/>
              </w:rPr>
            </w:pPr>
          </w:p>
        </w:tc>
      </w:tr>
      <w:tr w:rsidR="0083748C" w:rsidRPr="00075DC8" w14:paraId="1E8BCE75" w14:textId="77777777" w:rsidTr="00BE55F8">
        <w:trPr>
          <w:trHeight w:val="20"/>
          <w:jc w:val="center"/>
        </w:trPr>
        <w:tc>
          <w:tcPr>
            <w:tcW w:w="2041" w:type="dxa"/>
            <w:tcMar>
              <w:top w:w="0" w:type="dxa"/>
              <w:left w:w="57" w:type="dxa"/>
              <w:bottom w:w="0" w:type="dxa"/>
              <w:right w:w="57" w:type="dxa"/>
            </w:tcMar>
            <w:hideMark/>
          </w:tcPr>
          <w:p w14:paraId="5E16A1C6" w14:textId="34D46198" w:rsidR="0083748C" w:rsidRPr="00075DC8" w:rsidRDefault="0083748C" w:rsidP="00ED4837">
            <w:pPr>
              <w:pStyle w:val="Tabletext"/>
              <w:jc w:val="left"/>
              <w:rPr>
                <w:sz w:val="18"/>
                <w:szCs w:val="18"/>
                <w:lang w:val="fr-FR" w:eastAsia="ja-JP"/>
              </w:rPr>
            </w:pPr>
            <w:r w:rsidRPr="00075DC8">
              <w:rPr>
                <w:sz w:val="18"/>
                <w:szCs w:val="18"/>
                <w:lang w:val="fr-FR" w:eastAsia="ja-JP"/>
              </w:rPr>
              <w:t>Type d</w:t>
            </w:r>
            <w:r w:rsidR="001F6A0D" w:rsidRPr="00075DC8">
              <w:rPr>
                <w:sz w:val="18"/>
                <w:szCs w:val="18"/>
                <w:lang w:val="fr-FR" w:eastAsia="ja-JP"/>
              </w:rPr>
              <w:t>'</w:t>
            </w:r>
            <w:r w:rsidRPr="00075DC8">
              <w:rPr>
                <w:sz w:val="18"/>
                <w:szCs w:val="18"/>
                <w:lang w:val="fr-FR" w:eastAsia="ja-JP"/>
              </w:rPr>
              <w:t>antenne et plage des gains d</w:t>
            </w:r>
            <w:r w:rsidR="001F6A0D" w:rsidRPr="00075DC8">
              <w:rPr>
                <w:sz w:val="18"/>
                <w:szCs w:val="18"/>
                <w:lang w:val="fr-FR" w:eastAsia="ja-JP"/>
              </w:rPr>
              <w:t>'</w:t>
            </w:r>
            <w:r w:rsidRPr="00075DC8">
              <w:rPr>
                <w:sz w:val="18"/>
                <w:szCs w:val="18"/>
                <w:lang w:val="fr-FR" w:eastAsia="ja-JP"/>
              </w:rPr>
              <w:t xml:space="preserve">antenne (dBi) </w:t>
            </w:r>
          </w:p>
        </w:tc>
        <w:tc>
          <w:tcPr>
            <w:tcW w:w="982" w:type="dxa"/>
            <w:vMerge/>
          </w:tcPr>
          <w:p w14:paraId="25490518" w14:textId="77777777" w:rsidR="0083748C" w:rsidRPr="00075DC8" w:rsidRDefault="0083748C" w:rsidP="0083748C">
            <w:pPr>
              <w:pStyle w:val="Tabletext"/>
              <w:jc w:val="center"/>
              <w:rPr>
                <w:sz w:val="18"/>
                <w:szCs w:val="18"/>
                <w:lang w:val="fr-FR" w:eastAsia="ja-JP"/>
              </w:rPr>
            </w:pPr>
          </w:p>
        </w:tc>
        <w:tc>
          <w:tcPr>
            <w:tcW w:w="986" w:type="dxa"/>
            <w:vMerge/>
          </w:tcPr>
          <w:p w14:paraId="7D552D3A" w14:textId="77777777" w:rsidR="0083748C" w:rsidRPr="00075DC8" w:rsidRDefault="0083748C" w:rsidP="0083748C">
            <w:pPr>
              <w:pStyle w:val="Tabletext"/>
              <w:jc w:val="center"/>
              <w:rPr>
                <w:sz w:val="18"/>
                <w:szCs w:val="18"/>
                <w:lang w:val="fr-FR" w:eastAsia="ja-JP"/>
              </w:rPr>
            </w:pPr>
          </w:p>
        </w:tc>
        <w:tc>
          <w:tcPr>
            <w:tcW w:w="919" w:type="dxa"/>
            <w:vMerge/>
          </w:tcPr>
          <w:p w14:paraId="47B4FD29" w14:textId="77777777" w:rsidR="0083748C" w:rsidRPr="00075DC8" w:rsidRDefault="0083748C" w:rsidP="0083748C">
            <w:pPr>
              <w:pStyle w:val="Tabletext"/>
              <w:jc w:val="center"/>
              <w:rPr>
                <w:sz w:val="18"/>
                <w:szCs w:val="18"/>
                <w:lang w:val="fr-FR" w:eastAsia="ja-JP"/>
              </w:rPr>
            </w:pPr>
          </w:p>
        </w:tc>
        <w:tc>
          <w:tcPr>
            <w:tcW w:w="1019" w:type="dxa"/>
            <w:vMerge/>
          </w:tcPr>
          <w:p w14:paraId="0560E7BD" w14:textId="77777777" w:rsidR="0083748C" w:rsidRPr="00075DC8" w:rsidRDefault="0083748C" w:rsidP="0083748C">
            <w:pPr>
              <w:pStyle w:val="Tabletext"/>
              <w:jc w:val="center"/>
              <w:rPr>
                <w:sz w:val="18"/>
                <w:szCs w:val="18"/>
                <w:lang w:val="fr-FR" w:eastAsia="ja-JP"/>
              </w:rPr>
            </w:pPr>
          </w:p>
        </w:tc>
        <w:tc>
          <w:tcPr>
            <w:tcW w:w="1448" w:type="dxa"/>
            <w:hideMark/>
          </w:tcPr>
          <w:p w14:paraId="71A6E8F7" w14:textId="77777777" w:rsidR="0083748C" w:rsidRPr="00075DC8" w:rsidRDefault="0083748C" w:rsidP="0083748C">
            <w:pPr>
              <w:pStyle w:val="Tabletext"/>
              <w:jc w:val="center"/>
              <w:rPr>
                <w:sz w:val="18"/>
                <w:szCs w:val="18"/>
                <w:lang w:val="fr-FR" w:eastAsia="ja-JP"/>
              </w:rPr>
            </w:pPr>
            <w:r w:rsidRPr="00075DC8">
              <w:rPr>
                <w:sz w:val="18"/>
                <w:szCs w:val="18"/>
                <w:lang w:val="fr-FR" w:eastAsia="ja-JP"/>
              </w:rPr>
              <w:t>43 (directive)</w:t>
            </w:r>
          </w:p>
        </w:tc>
        <w:tc>
          <w:tcPr>
            <w:tcW w:w="1674" w:type="dxa"/>
            <w:hideMark/>
          </w:tcPr>
          <w:p w14:paraId="2B444B7C" w14:textId="3C98BF8C" w:rsidR="0083748C" w:rsidRPr="00075DC8" w:rsidRDefault="0083748C" w:rsidP="0083748C">
            <w:pPr>
              <w:pStyle w:val="Tabletext"/>
              <w:jc w:val="center"/>
              <w:rPr>
                <w:sz w:val="18"/>
                <w:szCs w:val="18"/>
                <w:lang w:val="fr-FR"/>
              </w:rPr>
            </w:pPr>
            <w:r w:rsidRPr="00075DC8">
              <w:rPr>
                <w:sz w:val="18"/>
                <w:szCs w:val="18"/>
                <w:lang w:val="fr-FR" w:eastAsia="ja-JP"/>
              </w:rPr>
              <w:t>6,5</w:t>
            </w:r>
            <w:r w:rsidR="00862A2C" w:rsidRPr="00075DC8">
              <w:rPr>
                <w:sz w:val="18"/>
                <w:szCs w:val="18"/>
                <w:lang w:val="fr-FR" w:eastAsia="ja-JP"/>
              </w:rPr>
              <w:t> </w:t>
            </w:r>
            <w:r w:rsidRPr="00075DC8">
              <w:rPr>
                <w:sz w:val="18"/>
                <w:szCs w:val="18"/>
                <w:lang w:val="fr-FR" w:eastAsia="ja-JP"/>
              </w:rPr>
              <w:t>(équidirective)</w:t>
            </w:r>
            <w:r w:rsidR="00862A2C" w:rsidRPr="00075DC8">
              <w:rPr>
                <w:sz w:val="18"/>
                <w:szCs w:val="18"/>
                <w:lang w:val="fr-FR"/>
              </w:rPr>
              <w:t>…</w:t>
            </w:r>
          </w:p>
        </w:tc>
        <w:tc>
          <w:tcPr>
            <w:tcW w:w="1299" w:type="dxa"/>
            <w:hideMark/>
          </w:tcPr>
          <w:p w14:paraId="7610A258" w14:textId="77777777" w:rsidR="0083748C" w:rsidRPr="00075DC8" w:rsidRDefault="0083748C" w:rsidP="0083748C">
            <w:pPr>
              <w:pStyle w:val="Tabletext"/>
              <w:jc w:val="center"/>
              <w:rPr>
                <w:sz w:val="18"/>
                <w:szCs w:val="18"/>
                <w:lang w:val="fr-FR"/>
              </w:rPr>
            </w:pPr>
            <w:r w:rsidRPr="00075DC8">
              <w:rPr>
                <w:sz w:val="18"/>
                <w:szCs w:val="18"/>
                <w:lang w:val="fr-FR" w:eastAsia="ja-JP"/>
              </w:rPr>
              <w:t>15 (plate)</w:t>
            </w:r>
            <w:r w:rsidRPr="00075DC8">
              <w:rPr>
                <w:sz w:val="18"/>
                <w:szCs w:val="18"/>
                <w:lang w:val="fr-FR"/>
              </w:rPr>
              <w:t>…35</w:t>
            </w:r>
          </w:p>
        </w:tc>
        <w:tc>
          <w:tcPr>
            <w:tcW w:w="1037" w:type="dxa"/>
            <w:gridSpan w:val="2"/>
            <w:vMerge/>
          </w:tcPr>
          <w:p w14:paraId="7731030D" w14:textId="77777777" w:rsidR="0083748C" w:rsidRPr="00075DC8" w:rsidRDefault="0083748C" w:rsidP="0083748C">
            <w:pPr>
              <w:pStyle w:val="Tabletext"/>
              <w:jc w:val="center"/>
              <w:rPr>
                <w:sz w:val="18"/>
                <w:szCs w:val="18"/>
                <w:lang w:val="fr-FR" w:eastAsia="ja-JP"/>
              </w:rPr>
            </w:pPr>
          </w:p>
        </w:tc>
        <w:tc>
          <w:tcPr>
            <w:tcW w:w="969" w:type="dxa"/>
            <w:vMerge/>
          </w:tcPr>
          <w:p w14:paraId="2E4EF7F2" w14:textId="77777777" w:rsidR="0083748C" w:rsidRPr="00075DC8" w:rsidRDefault="0083748C" w:rsidP="0083748C">
            <w:pPr>
              <w:pStyle w:val="Tabletext"/>
              <w:jc w:val="center"/>
              <w:rPr>
                <w:sz w:val="18"/>
                <w:szCs w:val="18"/>
                <w:lang w:val="fr-FR" w:eastAsia="ja-JP"/>
              </w:rPr>
            </w:pPr>
          </w:p>
        </w:tc>
        <w:tc>
          <w:tcPr>
            <w:tcW w:w="1107" w:type="dxa"/>
            <w:gridSpan w:val="2"/>
            <w:vMerge/>
          </w:tcPr>
          <w:p w14:paraId="268AB9E2" w14:textId="77777777" w:rsidR="0083748C" w:rsidRPr="00075DC8" w:rsidRDefault="0083748C" w:rsidP="0083748C">
            <w:pPr>
              <w:pStyle w:val="Tabletext"/>
              <w:jc w:val="center"/>
              <w:rPr>
                <w:sz w:val="18"/>
                <w:szCs w:val="18"/>
                <w:lang w:val="fr-FR" w:eastAsia="ja-JP"/>
              </w:rPr>
            </w:pPr>
          </w:p>
        </w:tc>
        <w:tc>
          <w:tcPr>
            <w:tcW w:w="975" w:type="dxa"/>
            <w:vMerge/>
          </w:tcPr>
          <w:p w14:paraId="3309EB12" w14:textId="77777777" w:rsidR="0083748C" w:rsidRPr="00075DC8" w:rsidRDefault="0083748C" w:rsidP="0083748C">
            <w:pPr>
              <w:pStyle w:val="Tabletext"/>
              <w:jc w:val="center"/>
              <w:rPr>
                <w:sz w:val="18"/>
                <w:szCs w:val="18"/>
                <w:lang w:val="fr-FR" w:eastAsia="ja-JP"/>
              </w:rPr>
            </w:pPr>
          </w:p>
        </w:tc>
      </w:tr>
      <w:tr w:rsidR="0083748C" w:rsidRPr="00075DC8" w14:paraId="2D173F90" w14:textId="77777777" w:rsidTr="00BE55F8">
        <w:trPr>
          <w:trHeight w:val="20"/>
          <w:jc w:val="center"/>
        </w:trPr>
        <w:tc>
          <w:tcPr>
            <w:tcW w:w="2041" w:type="dxa"/>
            <w:tcMar>
              <w:top w:w="0" w:type="dxa"/>
              <w:left w:w="57" w:type="dxa"/>
              <w:bottom w:w="0" w:type="dxa"/>
              <w:right w:w="57" w:type="dxa"/>
            </w:tcMar>
            <w:hideMark/>
          </w:tcPr>
          <w:p w14:paraId="747C2BD4" w14:textId="77777777" w:rsidR="0083748C" w:rsidRPr="00075DC8" w:rsidRDefault="0083748C" w:rsidP="00ED4837">
            <w:pPr>
              <w:pStyle w:val="Tabletext"/>
              <w:jc w:val="left"/>
              <w:rPr>
                <w:sz w:val="18"/>
                <w:szCs w:val="18"/>
                <w:lang w:val="fr-FR" w:eastAsia="ja-JP"/>
              </w:rPr>
            </w:pPr>
            <w:r w:rsidRPr="00075DC8">
              <w:rPr>
                <w:sz w:val="18"/>
                <w:szCs w:val="18"/>
                <w:lang w:val="fr-FR" w:eastAsia="ja-JP"/>
              </w:rPr>
              <w:t>Plage des p.i.r.e. (dBW)</w:t>
            </w:r>
            <w:r w:rsidRPr="00075DC8">
              <w:rPr>
                <w:sz w:val="18"/>
                <w:szCs w:val="18"/>
                <w:vertAlign w:val="superscript"/>
                <w:lang w:val="fr-FR" w:eastAsia="ja-JP"/>
              </w:rPr>
              <w:t xml:space="preserve"> </w:t>
            </w:r>
          </w:p>
        </w:tc>
        <w:tc>
          <w:tcPr>
            <w:tcW w:w="982" w:type="dxa"/>
            <w:vMerge/>
          </w:tcPr>
          <w:p w14:paraId="5AAA4F3D" w14:textId="77777777" w:rsidR="0083748C" w:rsidRPr="00075DC8" w:rsidRDefault="0083748C" w:rsidP="0083748C">
            <w:pPr>
              <w:pStyle w:val="Tabletext"/>
              <w:jc w:val="center"/>
              <w:rPr>
                <w:sz w:val="18"/>
                <w:szCs w:val="18"/>
                <w:lang w:val="fr-FR"/>
              </w:rPr>
            </w:pPr>
          </w:p>
        </w:tc>
        <w:tc>
          <w:tcPr>
            <w:tcW w:w="986" w:type="dxa"/>
            <w:vMerge/>
          </w:tcPr>
          <w:p w14:paraId="52AEAE4D" w14:textId="77777777" w:rsidR="0083748C" w:rsidRPr="00075DC8" w:rsidRDefault="0083748C" w:rsidP="0083748C">
            <w:pPr>
              <w:pStyle w:val="Tabletext"/>
              <w:jc w:val="center"/>
              <w:rPr>
                <w:sz w:val="18"/>
                <w:szCs w:val="18"/>
                <w:lang w:val="fr-FR"/>
              </w:rPr>
            </w:pPr>
          </w:p>
        </w:tc>
        <w:tc>
          <w:tcPr>
            <w:tcW w:w="919" w:type="dxa"/>
            <w:vMerge/>
          </w:tcPr>
          <w:p w14:paraId="1261A355" w14:textId="77777777" w:rsidR="0083748C" w:rsidRPr="00075DC8" w:rsidRDefault="0083748C" w:rsidP="0083748C">
            <w:pPr>
              <w:pStyle w:val="Tabletext"/>
              <w:jc w:val="center"/>
              <w:rPr>
                <w:sz w:val="18"/>
                <w:szCs w:val="18"/>
                <w:lang w:val="fr-FR"/>
              </w:rPr>
            </w:pPr>
          </w:p>
        </w:tc>
        <w:tc>
          <w:tcPr>
            <w:tcW w:w="1019" w:type="dxa"/>
            <w:vMerge/>
          </w:tcPr>
          <w:p w14:paraId="46C3A1CF" w14:textId="77777777" w:rsidR="0083748C" w:rsidRPr="00075DC8" w:rsidRDefault="0083748C" w:rsidP="0083748C">
            <w:pPr>
              <w:pStyle w:val="Tabletext"/>
              <w:jc w:val="center"/>
              <w:rPr>
                <w:sz w:val="18"/>
                <w:szCs w:val="18"/>
                <w:lang w:val="fr-FR"/>
              </w:rPr>
            </w:pPr>
          </w:p>
        </w:tc>
        <w:tc>
          <w:tcPr>
            <w:tcW w:w="1448" w:type="dxa"/>
            <w:hideMark/>
          </w:tcPr>
          <w:p w14:paraId="5A23694D" w14:textId="77777777" w:rsidR="0083748C" w:rsidRPr="00075DC8" w:rsidRDefault="0083748C" w:rsidP="0083748C">
            <w:pPr>
              <w:pStyle w:val="Tabletext"/>
              <w:jc w:val="center"/>
              <w:rPr>
                <w:sz w:val="18"/>
                <w:szCs w:val="18"/>
                <w:lang w:val="fr-FR" w:eastAsia="ja-JP"/>
              </w:rPr>
            </w:pPr>
            <w:r w:rsidRPr="00075DC8">
              <w:rPr>
                <w:sz w:val="18"/>
                <w:szCs w:val="18"/>
                <w:lang w:val="fr-FR"/>
              </w:rPr>
              <w:t>29 à 36,5 dBW</w:t>
            </w:r>
          </w:p>
        </w:tc>
        <w:tc>
          <w:tcPr>
            <w:tcW w:w="1674" w:type="dxa"/>
            <w:hideMark/>
          </w:tcPr>
          <w:p w14:paraId="1B8B866B" w14:textId="77777777" w:rsidR="0083748C" w:rsidRPr="00075DC8" w:rsidRDefault="0083748C" w:rsidP="0083748C">
            <w:pPr>
              <w:pStyle w:val="Tabletext"/>
              <w:jc w:val="center"/>
              <w:rPr>
                <w:sz w:val="18"/>
                <w:szCs w:val="18"/>
                <w:lang w:val="fr-FR"/>
              </w:rPr>
            </w:pPr>
            <w:r w:rsidRPr="00075DC8">
              <w:rPr>
                <w:sz w:val="18"/>
                <w:szCs w:val="18"/>
                <w:lang w:val="fr-FR" w:eastAsia="ja-JP"/>
              </w:rPr>
              <w:t>−12,5</w:t>
            </w:r>
            <w:r w:rsidRPr="00075DC8">
              <w:rPr>
                <w:sz w:val="18"/>
                <w:szCs w:val="18"/>
                <w:lang w:val="fr-FR"/>
              </w:rPr>
              <w:t>…</w:t>
            </w:r>
          </w:p>
        </w:tc>
        <w:tc>
          <w:tcPr>
            <w:tcW w:w="1299" w:type="dxa"/>
            <w:hideMark/>
          </w:tcPr>
          <w:p w14:paraId="52B0695F" w14:textId="77777777" w:rsidR="0083748C" w:rsidRPr="00075DC8" w:rsidRDefault="0083748C" w:rsidP="0083748C">
            <w:pPr>
              <w:pStyle w:val="Tabletext"/>
              <w:jc w:val="center"/>
              <w:rPr>
                <w:sz w:val="18"/>
                <w:szCs w:val="18"/>
                <w:lang w:val="fr-FR" w:eastAsia="ja-JP"/>
              </w:rPr>
            </w:pPr>
            <w:r w:rsidRPr="00075DC8">
              <w:rPr>
                <w:sz w:val="18"/>
                <w:szCs w:val="18"/>
                <w:lang w:val="fr-FR" w:eastAsia="ja-JP"/>
              </w:rPr>
              <w:t>−7,5</w:t>
            </w:r>
            <w:r w:rsidRPr="00075DC8">
              <w:rPr>
                <w:sz w:val="18"/>
                <w:szCs w:val="18"/>
                <w:lang w:val="fr-FR"/>
              </w:rPr>
              <w:t>…</w:t>
            </w:r>
            <w:r w:rsidRPr="00075DC8">
              <w:rPr>
                <w:sz w:val="18"/>
                <w:szCs w:val="18"/>
                <w:lang w:val="fr-FR" w:eastAsia="ja-JP"/>
              </w:rPr>
              <w:t>12,5</w:t>
            </w:r>
          </w:p>
        </w:tc>
        <w:tc>
          <w:tcPr>
            <w:tcW w:w="1037" w:type="dxa"/>
            <w:gridSpan w:val="2"/>
            <w:vMerge/>
          </w:tcPr>
          <w:p w14:paraId="54C74BAF" w14:textId="77777777" w:rsidR="0083748C" w:rsidRPr="00075DC8" w:rsidRDefault="0083748C" w:rsidP="0083748C">
            <w:pPr>
              <w:pStyle w:val="Tabletext"/>
              <w:jc w:val="center"/>
              <w:rPr>
                <w:sz w:val="18"/>
                <w:szCs w:val="18"/>
                <w:lang w:val="fr-FR"/>
              </w:rPr>
            </w:pPr>
          </w:p>
        </w:tc>
        <w:tc>
          <w:tcPr>
            <w:tcW w:w="969" w:type="dxa"/>
            <w:vMerge/>
          </w:tcPr>
          <w:p w14:paraId="7CAF612C" w14:textId="77777777" w:rsidR="0083748C" w:rsidRPr="00075DC8" w:rsidRDefault="0083748C" w:rsidP="0083748C">
            <w:pPr>
              <w:pStyle w:val="Tabletext"/>
              <w:jc w:val="center"/>
              <w:rPr>
                <w:sz w:val="18"/>
                <w:szCs w:val="18"/>
                <w:lang w:val="fr-FR"/>
              </w:rPr>
            </w:pPr>
          </w:p>
        </w:tc>
        <w:tc>
          <w:tcPr>
            <w:tcW w:w="1107" w:type="dxa"/>
            <w:gridSpan w:val="2"/>
            <w:vMerge/>
          </w:tcPr>
          <w:p w14:paraId="6F2FC4B3" w14:textId="77777777" w:rsidR="0083748C" w:rsidRPr="00075DC8" w:rsidRDefault="0083748C" w:rsidP="0083748C">
            <w:pPr>
              <w:pStyle w:val="Tabletext"/>
              <w:jc w:val="center"/>
              <w:rPr>
                <w:sz w:val="18"/>
                <w:szCs w:val="18"/>
                <w:lang w:val="fr-FR"/>
              </w:rPr>
            </w:pPr>
          </w:p>
        </w:tc>
        <w:tc>
          <w:tcPr>
            <w:tcW w:w="975" w:type="dxa"/>
            <w:vMerge/>
          </w:tcPr>
          <w:p w14:paraId="169A00A4" w14:textId="77777777" w:rsidR="0083748C" w:rsidRPr="00075DC8" w:rsidRDefault="0083748C" w:rsidP="0083748C">
            <w:pPr>
              <w:pStyle w:val="Tabletext"/>
              <w:jc w:val="center"/>
              <w:rPr>
                <w:sz w:val="18"/>
                <w:szCs w:val="18"/>
                <w:lang w:val="fr-FR"/>
              </w:rPr>
            </w:pPr>
          </w:p>
        </w:tc>
      </w:tr>
      <w:tr w:rsidR="0083748C" w:rsidRPr="00075DC8" w14:paraId="6728E667" w14:textId="77777777" w:rsidTr="00BE55F8">
        <w:trPr>
          <w:trHeight w:val="20"/>
          <w:jc w:val="center"/>
        </w:trPr>
        <w:tc>
          <w:tcPr>
            <w:tcW w:w="2041" w:type="dxa"/>
            <w:tcMar>
              <w:top w:w="0" w:type="dxa"/>
              <w:left w:w="57" w:type="dxa"/>
              <w:bottom w:w="0" w:type="dxa"/>
              <w:right w:w="57" w:type="dxa"/>
            </w:tcMar>
            <w:hideMark/>
          </w:tcPr>
          <w:p w14:paraId="6FEE42B0" w14:textId="77777777" w:rsidR="0083748C" w:rsidRPr="00075DC8" w:rsidRDefault="0083748C" w:rsidP="00ED4837">
            <w:pPr>
              <w:pStyle w:val="Tabletext"/>
              <w:jc w:val="left"/>
              <w:rPr>
                <w:sz w:val="18"/>
                <w:szCs w:val="18"/>
                <w:lang w:val="fr-FR"/>
              </w:rPr>
            </w:pPr>
            <w:r w:rsidRPr="00075DC8">
              <w:rPr>
                <w:sz w:val="18"/>
                <w:szCs w:val="18"/>
                <w:lang w:val="fr-FR" w:eastAsia="ja-JP"/>
              </w:rPr>
              <w:t>Plage des densités</w:t>
            </w:r>
            <w:r w:rsidRPr="00075DC8">
              <w:rPr>
                <w:sz w:val="18"/>
                <w:szCs w:val="18"/>
                <w:lang w:val="fr-FR"/>
              </w:rPr>
              <w:t xml:space="preserve"> de p.i.r.e. (dBW/MHz)</w:t>
            </w:r>
            <w:r w:rsidRPr="00075DC8">
              <w:rPr>
                <w:sz w:val="18"/>
                <w:szCs w:val="18"/>
                <w:vertAlign w:val="superscript"/>
                <w:lang w:val="fr-FR" w:eastAsia="ja-JP"/>
              </w:rPr>
              <w:t>(1)</w:t>
            </w:r>
          </w:p>
        </w:tc>
        <w:tc>
          <w:tcPr>
            <w:tcW w:w="982" w:type="dxa"/>
            <w:vMerge/>
          </w:tcPr>
          <w:p w14:paraId="22814FCD" w14:textId="77777777" w:rsidR="0083748C" w:rsidRPr="00075DC8" w:rsidRDefault="0083748C" w:rsidP="0083748C">
            <w:pPr>
              <w:pStyle w:val="Tabletext"/>
              <w:jc w:val="center"/>
              <w:rPr>
                <w:sz w:val="18"/>
                <w:szCs w:val="18"/>
                <w:lang w:val="fr-FR"/>
              </w:rPr>
            </w:pPr>
          </w:p>
        </w:tc>
        <w:tc>
          <w:tcPr>
            <w:tcW w:w="986" w:type="dxa"/>
            <w:vMerge/>
          </w:tcPr>
          <w:p w14:paraId="55DF3AAC" w14:textId="77777777" w:rsidR="0083748C" w:rsidRPr="00075DC8" w:rsidRDefault="0083748C" w:rsidP="0083748C">
            <w:pPr>
              <w:pStyle w:val="Tabletext"/>
              <w:jc w:val="center"/>
              <w:rPr>
                <w:sz w:val="18"/>
                <w:szCs w:val="18"/>
                <w:lang w:val="fr-FR"/>
              </w:rPr>
            </w:pPr>
          </w:p>
        </w:tc>
        <w:tc>
          <w:tcPr>
            <w:tcW w:w="919" w:type="dxa"/>
            <w:vMerge/>
          </w:tcPr>
          <w:p w14:paraId="6FDAB219" w14:textId="77777777" w:rsidR="0083748C" w:rsidRPr="00075DC8" w:rsidRDefault="0083748C" w:rsidP="0083748C">
            <w:pPr>
              <w:pStyle w:val="Tabletext"/>
              <w:jc w:val="center"/>
              <w:rPr>
                <w:sz w:val="18"/>
                <w:szCs w:val="18"/>
                <w:lang w:val="fr-FR"/>
              </w:rPr>
            </w:pPr>
          </w:p>
        </w:tc>
        <w:tc>
          <w:tcPr>
            <w:tcW w:w="1019" w:type="dxa"/>
            <w:vMerge/>
          </w:tcPr>
          <w:p w14:paraId="33EF4C37" w14:textId="77777777" w:rsidR="0083748C" w:rsidRPr="00075DC8" w:rsidRDefault="0083748C" w:rsidP="0083748C">
            <w:pPr>
              <w:pStyle w:val="Tabletext"/>
              <w:jc w:val="center"/>
              <w:rPr>
                <w:sz w:val="18"/>
                <w:szCs w:val="18"/>
                <w:lang w:val="fr-FR"/>
              </w:rPr>
            </w:pPr>
          </w:p>
        </w:tc>
        <w:tc>
          <w:tcPr>
            <w:tcW w:w="1448" w:type="dxa"/>
            <w:hideMark/>
          </w:tcPr>
          <w:p w14:paraId="7E4B9971" w14:textId="77777777" w:rsidR="0083748C" w:rsidRPr="00075DC8" w:rsidRDefault="0083748C" w:rsidP="0083748C">
            <w:pPr>
              <w:pStyle w:val="Tabletext"/>
              <w:jc w:val="center"/>
              <w:rPr>
                <w:sz w:val="18"/>
                <w:szCs w:val="18"/>
                <w:lang w:val="fr-FR" w:eastAsia="ja-JP"/>
              </w:rPr>
            </w:pPr>
            <w:r w:rsidRPr="00075DC8">
              <w:rPr>
                <w:sz w:val="18"/>
                <w:szCs w:val="18"/>
                <w:lang w:val="fr-FR"/>
              </w:rPr>
              <w:t>17…18</w:t>
            </w:r>
          </w:p>
        </w:tc>
        <w:tc>
          <w:tcPr>
            <w:tcW w:w="1674" w:type="dxa"/>
            <w:hideMark/>
          </w:tcPr>
          <w:p w14:paraId="354A7E7C" w14:textId="77777777" w:rsidR="0083748C" w:rsidRPr="00075DC8" w:rsidRDefault="0083748C" w:rsidP="0083748C">
            <w:pPr>
              <w:pStyle w:val="Tabletext"/>
              <w:jc w:val="center"/>
              <w:rPr>
                <w:sz w:val="18"/>
                <w:szCs w:val="18"/>
                <w:lang w:val="fr-FR" w:eastAsia="ja-JP"/>
              </w:rPr>
            </w:pPr>
            <w:r w:rsidRPr="00075DC8">
              <w:rPr>
                <w:sz w:val="18"/>
                <w:szCs w:val="18"/>
                <w:lang w:val="fr-FR" w:eastAsia="ja-JP"/>
              </w:rPr>
              <w:t>−27,3</w:t>
            </w:r>
            <w:r w:rsidRPr="00075DC8">
              <w:rPr>
                <w:sz w:val="18"/>
                <w:szCs w:val="18"/>
                <w:vertAlign w:val="superscript"/>
                <w:lang w:val="fr-FR" w:eastAsia="ja-JP"/>
              </w:rPr>
              <w:t>(5)</w:t>
            </w:r>
          </w:p>
        </w:tc>
        <w:tc>
          <w:tcPr>
            <w:tcW w:w="1299" w:type="dxa"/>
            <w:hideMark/>
          </w:tcPr>
          <w:p w14:paraId="05E32D66" w14:textId="77777777" w:rsidR="0083748C" w:rsidRPr="00075DC8" w:rsidRDefault="0083748C" w:rsidP="0083748C">
            <w:pPr>
              <w:pStyle w:val="Tabletext"/>
              <w:jc w:val="center"/>
              <w:rPr>
                <w:sz w:val="18"/>
                <w:szCs w:val="18"/>
                <w:lang w:val="fr-FR" w:eastAsia="ja-JP"/>
              </w:rPr>
            </w:pPr>
            <w:r w:rsidRPr="00075DC8">
              <w:rPr>
                <w:sz w:val="18"/>
                <w:szCs w:val="18"/>
                <w:lang w:val="fr-FR"/>
              </w:rPr>
              <w:t>−</w:t>
            </w:r>
            <w:r w:rsidRPr="00075DC8">
              <w:rPr>
                <w:sz w:val="18"/>
                <w:szCs w:val="18"/>
                <w:lang w:val="fr-FR" w:eastAsia="ja-JP"/>
              </w:rPr>
              <w:t>22,3…</w:t>
            </w:r>
            <w:r w:rsidRPr="00075DC8">
              <w:rPr>
                <w:sz w:val="18"/>
                <w:szCs w:val="18"/>
                <w:lang w:val="fr-FR"/>
              </w:rPr>
              <w:t>−</w:t>
            </w:r>
            <w:r w:rsidRPr="00075DC8">
              <w:rPr>
                <w:sz w:val="18"/>
                <w:szCs w:val="18"/>
                <w:lang w:val="fr-FR" w:eastAsia="ja-JP"/>
              </w:rPr>
              <w:t>2,3</w:t>
            </w:r>
            <w:r w:rsidRPr="00075DC8">
              <w:rPr>
                <w:sz w:val="18"/>
                <w:szCs w:val="18"/>
                <w:vertAlign w:val="superscript"/>
                <w:lang w:val="fr-FR" w:eastAsia="ja-JP"/>
              </w:rPr>
              <w:t>(5)</w:t>
            </w:r>
          </w:p>
        </w:tc>
        <w:tc>
          <w:tcPr>
            <w:tcW w:w="1037" w:type="dxa"/>
            <w:gridSpan w:val="2"/>
            <w:vMerge/>
          </w:tcPr>
          <w:p w14:paraId="77514711" w14:textId="77777777" w:rsidR="0083748C" w:rsidRPr="00075DC8" w:rsidRDefault="0083748C" w:rsidP="0083748C">
            <w:pPr>
              <w:pStyle w:val="Tabletext"/>
              <w:jc w:val="center"/>
              <w:rPr>
                <w:sz w:val="18"/>
                <w:szCs w:val="18"/>
                <w:lang w:val="fr-FR" w:eastAsia="ja-JP"/>
              </w:rPr>
            </w:pPr>
          </w:p>
        </w:tc>
        <w:tc>
          <w:tcPr>
            <w:tcW w:w="969" w:type="dxa"/>
            <w:vMerge/>
          </w:tcPr>
          <w:p w14:paraId="04204D0B" w14:textId="77777777" w:rsidR="0083748C" w:rsidRPr="00075DC8" w:rsidRDefault="0083748C" w:rsidP="0083748C">
            <w:pPr>
              <w:pStyle w:val="Tabletext"/>
              <w:jc w:val="center"/>
              <w:rPr>
                <w:sz w:val="18"/>
                <w:szCs w:val="18"/>
                <w:lang w:val="fr-FR" w:eastAsia="ja-JP"/>
              </w:rPr>
            </w:pPr>
          </w:p>
        </w:tc>
        <w:tc>
          <w:tcPr>
            <w:tcW w:w="1107" w:type="dxa"/>
            <w:gridSpan w:val="2"/>
            <w:vMerge/>
          </w:tcPr>
          <w:p w14:paraId="663847D4" w14:textId="77777777" w:rsidR="0083748C" w:rsidRPr="00075DC8" w:rsidRDefault="0083748C" w:rsidP="0083748C">
            <w:pPr>
              <w:pStyle w:val="Tabletext"/>
              <w:jc w:val="center"/>
              <w:rPr>
                <w:sz w:val="18"/>
                <w:szCs w:val="18"/>
                <w:lang w:val="fr-FR" w:eastAsia="ja-JP"/>
              </w:rPr>
            </w:pPr>
          </w:p>
        </w:tc>
        <w:tc>
          <w:tcPr>
            <w:tcW w:w="975" w:type="dxa"/>
            <w:vMerge/>
          </w:tcPr>
          <w:p w14:paraId="18288FFF" w14:textId="77777777" w:rsidR="0083748C" w:rsidRPr="00075DC8" w:rsidRDefault="0083748C" w:rsidP="0083748C">
            <w:pPr>
              <w:pStyle w:val="Tabletext"/>
              <w:jc w:val="center"/>
              <w:rPr>
                <w:sz w:val="18"/>
                <w:szCs w:val="18"/>
                <w:lang w:val="fr-FR" w:eastAsia="ja-JP"/>
              </w:rPr>
            </w:pPr>
          </w:p>
        </w:tc>
      </w:tr>
      <w:tr w:rsidR="0083748C" w:rsidRPr="00075DC8" w14:paraId="5B897520" w14:textId="77777777" w:rsidTr="00BE55F8">
        <w:trPr>
          <w:trHeight w:val="20"/>
          <w:jc w:val="center"/>
        </w:trPr>
        <w:tc>
          <w:tcPr>
            <w:tcW w:w="2041" w:type="dxa"/>
            <w:tcMar>
              <w:top w:w="0" w:type="dxa"/>
              <w:left w:w="57" w:type="dxa"/>
              <w:bottom w:w="0" w:type="dxa"/>
              <w:right w:w="57" w:type="dxa"/>
            </w:tcMar>
            <w:hideMark/>
          </w:tcPr>
          <w:p w14:paraId="271BE32C" w14:textId="77777777" w:rsidR="0083748C" w:rsidRPr="00075DC8" w:rsidRDefault="0083748C" w:rsidP="00ED4837">
            <w:pPr>
              <w:pStyle w:val="Tabletext"/>
              <w:jc w:val="left"/>
              <w:rPr>
                <w:sz w:val="18"/>
                <w:szCs w:val="18"/>
                <w:lang w:val="fr-FR"/>
              </w:rPr>
            </w:pPr>
            <w:r w:rsidRPr="00075DC8">
              <w:rPr>
                <w:sz w:val="18"/>
                <w:szCs w:val="18"/>
                <w:lang w:val="fr-FR" w:eastAsia="ja-JP"/>
              </w:rPr>
              <w:t>Facteur de bruit type du récepteur (dB)</w:t>
            </w:r>
          </w:p>
        </w:tc>
        <w:tc>
          <w:tcPr>
            <w:tcW w:w="982" w:type="dxa"/>
            <w:vMerge/>
          </w:tcPr>
          <w:p w14:paraId="73E6DC15" w14:textId="77777777" w:rsidR="0083748C" w:rsidRPr="00075DC8" w:rsidRDefault="0083748C" w:rsidP="0083748C">
            <w:pPr>
              <w:pStyle w:val="Tabletext"/>
              <w:jc w:val="center"/>
              <w:rPr>
                <w:sz w:val="18"/>
                <w:szCs w:val="18"/>
                <w:lang w:val="fr-FR"/>
              </w:rPr>
            </w:pPr>
          </w:p>
        </w:tc>
        <w:tc>
          <w:tcPr>
            <w:tcW w:w="986" w:type="dxa"/>
            <w:vMerge/>
          </w:tcPr>
          <w:p w14:paraId="7A960E4E" w14:textId="77777777" w:rsidR="0083748C" w:rsidRPr="00075DC8" w:rsidRDefault="0083748C" w:rsidP="0083748C">
            <w:pPr>
              <w:pStyle w:val="Tabletext"/>
              <w:jc w:val="center"/>
              <w:rPr>
                <w:sz w:val="18"/>
                <w:szCs w:val="18"/>
                <w:lang w:val="fr-FR"/>
              </w:rPr>
            </w:pPr>
          </w:p>
        </w:tc>
        <w:tc>
          <w:tcPr>
            <w:tcW w:w="919" w:type="dxa"/>
            <w:vMerge/>
          </w:tcPr>
          <w:p w14:paraId="69AFD020" w14:textId="77777777" w:rsidR="0083748C" w:rsidRPr="00075DC8" w:rsidRDefault="0083748C" w:rsidP="0083748C">
            <w:pPr>
              <w:pStyle w:val="Tabletext"/>
              <w:jc w:val="center"/>
              <w:rPr>
                <w:sz w:val="18"/>
                <w:szCs w:val="18"/>
                <w:lang w:val="fr-FR"/>
              </w:rPr>
            </w:pPr>
          </w:p>
        </w:tc>
        <w:tc>
          <w:tcPr>
            <w:tcW w:w="1019" w:type="dxa"/>
            <w:vMerge/>
          </w:tcPr>
          <w:p w14:paraId="18D05D54" w14:textId="77777777" w:rsidR="0083748C" w:rsidRPr="00075DC8" w:rsidRDefault="0083748C" w:rsidP="0083748C">
            <w:pPr>
              <w:pStyle w:val="Tabletext"/>
              <w:jc w:val="center"/>
              <w:rPr>
                <w:sz w:val="18"/>
                <w:szCs w:val="18"/>
                <w:lang w:val="fr-FR"/>
              </w:rPr>
            </w:pPr>
          </w:p>
        </w:tc>
        <w:tc>
          <w:tcPr>
            <w:tcW w:w="1448" w:type="dxa"/>
            <w:hideMark/>
          </w:tcPr>
          <w:p w14:paraId="0C99231B" w14:textId="77777777" w:rsidR="0083748C" w:rsidRPr="00075DC8" w:rsidRDefault="0083748C" w:rsidP="0083748C">
            <w:pPr>
              <w:pStyle w:val="Tabletext"/>
              <w:jc w:val="center"/>
              <w:rPr>
                <w:sz w:val="18"/>
                <w:szCs w:val="18"/>
                <w:lang w:val="fr-FR" w:eastAsia="ja-JP"/>
              </w:rPr>
            </w:pPr>
            <w:r w:rsidRPr="00075DC8">
              <w:rPr>
                <w:sz w:val="18"/>
                <w:szCs w:val="18"/>
                <w:lang w:val="fr-FR" w:eastAsia="ja-JP"/>
              </w:rPr>
              <w:t>6</w:t>
            </w:r>
          </w:p>
        </w:tc>
        <w:tc>
          <w:tcPr>
            <w:tcW w:w="1674" w:type="dxa"/>
            <w:hideMark/>
          </w:tcPr>
          <w:p w14:paraId="69E47023" w14:textId="77777777" w:rsidR="0083748C" w:rsidRPr="00075DC8" w:rsidRDefault="0083748C" w:rsidP="0083748C">
            <w:pPr>
              <w:pStyle w:val="Tabletext"/>
              <w:jc w:val="center"/>
              <w:rPr>
                <w:sz w:val="18"/>
                <w:szCs w:val="18"/>
                <w:lang w:val="fr-FR" w:eastAsia="ja-JP"/>
              </w:rPr>
            </w:pPr>
            <w:r w:rsidRPr="00075DC8">
              <w:rPr>
                <w:sz w:val="18"/>
                <w:szCs w:val="18"/>
                <w:lang w:val="fr-FR" w:eastAsia="ja-JP"/>
              </w:rPr>
              <w:t>8</w:t>
            </w:r>
          </w:p>
        </w:tc>
        <w:tc>
          <w:tcPr>
            <w:tcW w:w="1299" w:type="dxa"/>
            <w:hideMark/>
          </w:tcPr>
          <w:p w14:paraId="7BAEEACB" w14:textId="77777777" w:rsidR="0083748C" w:rsidRPr="00075DC8" w:rsidRDefault="0083748C" w:rsidP="0083748C">
            <w:pPr>
              <w:pStyle w:val="Tabletext"/>
              <w:jc w:val="center"/>
              <w:rPr>
                <w:sz w:val="18"/>
                <w:szCs w:val="18"/>
                <w:lang w:val="fr-FR" w:eastAsia="ja-JP"/>
              </w:rPr>
            </w:pPr>
            <w:r w:rsidRPr="00075DC8">
              <w:rPr>
                <w:sz w:val="18"/>
                <w:szCs w:val="18"/>
                <w:lang w:val="fr-FR" w:eastAsia="ja-JP"/>
              </w:rPr>
              <w:t>8</w:t>
            </w:r>
          </w:p>
        </w:tc>
        <w:tc>
          <w:tcPr>
            <w:tcW w:w="1037" w:type="dxa"/>
            <w:gridSpan w:val="2"/>
            <w:vMerge/>
          </w:tcPr>
          <w:p w14:paraId="00726629" w14:textId="77777777" w:rsidR="0083748C" w:rsidRPr="00075DC8" w:rsidRDefault="0083748C" w:rsidP="0083748C">
            <w:pPr>
              <w:pStyle w:val="Tabletext"/>
              <w:jc w:val="center"/>
              <w:rPr>
                <w:sz w:val="18"/>
                <w:szCs w:val="18"/>
                <w:lang w:val="fr-FR" w:eastAsia="ja-JP"/>
              </w:rPr>
            </w:pPr>
          </w:p>
        </w:tc>
        <w:tc>
          <w:tcPr>
            <w:tcW w:w="969" w:type="dxa"/>
            <w:vMerge/>
          </w:tcPr>
          <w:p w14:paraId="3FC5E279" w14:textId="77777777" w:rsidR="0083748C" w:rsidRPr="00075DC8" w:rsidRDefault="0083748C" w:rsidP="0083748C">
            <w:pPr>
              <w:pStyle w:val="Tabletext"/>
              <w:jc w:val="center"/>
              <w:rPr>
                <w:sz w:val="18"/>
                <w:szCs w:val="18"/>
                <w:lang w:val="fr-FR" w:eastAsia="ja-JP"/>
              </w:rPr>
            </w:pPr>
          </w:p>
        </w:tc>
        <w:tc>
          <w:tcPr>
            <w:tcW w:w="1107" w:type="dxa"/>
            <w:gridSpan w:val="2"/>
            <w:vMerge/>
          </w:tcPr>
          <w:p w14:paraId="258E22E9" w14:textId="77777777" w:rsidR="0083748C" w:rsidRPr="00075DC8" w:rsidRDefault="0083748C" w:rsidP="0083748C">
            <w:pPr>
              <w:pStyle w:val="Tabletext"/>
              <w:jc w:val="center"/>
              <w:rPr>
                <w:sz w:val="18"/>
                <w:szCs w:val="18"/>
                <w:lang w:val="fr-FR" w:eastAsia="ja-JP"/>
              </w:rPr>
            </w:pPr>
          </w:p>
        </w:tc>
        <w:tc>
          <w:tcPr>
            <w:tcW w:w="975" w:type="dxa"/>
            <w:vMerge/>
          </w:tcPr>
          <w:p w14:paraId="58DE199D" w14:textId="77777777" w:rsidR="0083748C" w:rsidRPr="00075DC8" w:rsidRDefault="0083748C" w:rsidP="0083748C">
            <w:pPr>
              <w:pStyle w:val="Tabletext"/>
              <w:jc w:val="center"/>
              <w:rPr>
                <w:sz w:val="18"/>
                <w:szCs w:val="18"/>
                <w:lang w:val="fr-FR" w:eastAsia="ja-JP"/>
              </w:rPr>
            </w:pPr>
          </w:p>
        </w:tc>
      </w:tr>
      <w:tr w:rsidR="0083748C" w:rsidRPr="00075DC8" w14:paraId="2F8BD1D1" w14:textId="77777777" w:rsidTr="00BE55F8">
        <w:trPr>
          <w:trHeight w:val="20"/>
          <w:jc w:val="center"/>
        </w:trPr>
        <w:tc>
          <w:tcPr>
            <w:tcW w:w="2041" w:type="dxa"/>
            <w:tcMar>
              <w:top w:w="0" w:type="dxa"/>
              <w:left w:w="57" w:type="dxa"/>
              <w:bottom w:w="0" w:type="dxa"/>
              <w:right w:w="57" w:type="dxa"/>
            </w:tcMar>
            <w:hideMark/>
          </w:tcPr>
          <w:p w14:paraId="435F2557" w14:textId="77777777" w:rsidR="0083748C" w:rsidRPr="00075DC8" w:rsidRDefault="0083748C" w:rsidP="00ED4837">
            <w:pPr>
              <w:pStyle w:val="Tabletext"/>
              <w:jc w:val="left"/>
              <w:rPr>
                <w:sz w:val="18"/>
                <w:szCs w:val="18"/>
                <w:lang w:val="fr-FR"/>
              </w:rPr>
            </w:pPr>
            <w:r w:rsidRPr="00075DC8">
              <w:rPr>
                <w:sz w:val="18"/>
                <w:szCs w:val="18"/>
                <w:lang w:val="fr-FR" w:eastAsia="ja-JP"/>
              </w:rPr>
              <w:t>Densité type de puissance de bruit du récepteur (=</w:t>
            </w:r>
            <w:r w:rsidRPr="00075DC8">
              <w:rPr>
                <w:i/>
                <w:iCs/>
                <w:sz w:val="18"/>
                <w:szCs w:val="18"/>
                <w:lang w:val="fr-FR"/>
              </w:rPr>
              <w:t>N</w:t>
            </w:r>
            <w:r w:rsidRPr="00075DC8">
              <w:rPr>
                <w:i/>
                <w:iCs/>
                <w:sz w:val="18"/>
                <w:szCs w:val="18"/>
                <w:vertAlign w:val="subscript"/>
                <w:lang w:val="fr-FR"/>
              </w:rPr>
              <w:t>RX</w:t>
            </w:r>
            <w:r w:rsidRPr="00075DC8">
              <w:rPr>
                <w:sz w:val="18"/>
                <w:szCs w:val="18"/>
                <w:lang w:val="fr-FR" w:eastAsia="ja-JP"/>
              </w:rPr>
              <w:t>)</w:t>
            </w:r>
            <w:r w:rsidRPr="00075DC8">
              <w:rPr>
                <w:sz w:val="18"/>
                <w:szCs w:val="18"/>
                <w:lang w:val="fr-FR"/>
              </w:rPr>
              <w:t xml:space="preserve"> (dBW/MHz)</w:t>
            </w:r>
          </w:p>
        </w:tc>
        <w:tc>
          <w:tcPr>
            <w:tcW w:w="982" w:type="dxa"/>
            <w:vMerge/>
          </w:tcPr>
          <w:p w14:paraId="342856D8" w14:textId="77777777" w:rsidR="0083748C" w:rsidRPr="00075DC8" w:rsidRDefault="0083748C" w:rsidP="0083748C">
            <w:pPr>
              <w:pStyle w:val="Tabletext"/>
              <w:jc w:val="center"/>
              <w:rPr>
                <w:sz w:val="18"/>
                <w:szCs w:val="18"/>
                <w:lang w:val="fr-FR"/>
              </w:rPr>
            </w:pPr>
          </w:p>
        </w:tc>
        <w:tc>
          <w:tcPr>
            <w:tcW w:w="986" w:type="dxa"/>
            <w:vMerge/>
          </w:tcPr>
          <w:p w14:paraId="0A9866F3" w14:textId="77777777" w:rsidR="0083748C" w:rsidRPr="00075DC8" w:rsidRDefault="0083748C" w:rsidP="0083748C">
            <w:pPr>
              <w:pStyle w:val="Tabletext"/>
              <w:jc w:val="center"/>
              <w:rPr>
                <w:sz w:val="18"/>
                <w:szCs w:val="18"/>
                <w:lang w:val="fr-FR"/>
              </w:rPr>
            </w:pPr>
          </w:p>
        </w:tc>
        <w:tc>
          <w:tcPr>
            <w:tcW w:w="919" w:type="dxa"/>
            <w:vMerge/>
          </w:tcPr>
          <w:p w14:paraId="13B240E3" w14:textId="77777777" w:rsidR="0083748C" w:rsidRPr="00075DC8" w:rsidRDefault="0083748C" w:rsidP="0083748C">
            <w:pPr>
              <w:pStyle w:val="Tabletext"/>
              <w:jc w:val="center"/>
              <w:rPr>
                <w:sz w:val="18"/>
                <w:szCs w:val="18"/>
                <w:lang w:val="fr-FR"/>
              </w:rPr>
            </w:pPr>
          </w:p>
        </w:tc>
        <w:tc>
          <w:tcPr>
            <w:tcW w:w="1019" w:type="dxa"/>
            <w:vMerge/>
          </w:tcPr>
          <w:p w14:paraId="386FF851" w14:textId="77777777" w:rsidR="0083748C" w:rsidRPr="00075DC8" w:rsidRDefault="0083748C" w:rsidP="0083748C">
            <w:pPr>
              <w:pStyle w:val="Tabletext"/>
              <w:jc w:val="center"/>
              <w:rPr>
                <w:sz w:val="18"/>
                <w:szCs w:val="18"/>
                <w:lang w:val="fr-FR"/>
              </w:rPr>
            </w:pPr>
          </w:p>
        </w:tc>
        <w:tc>
          <w:tcPr>
            <w:tcW w:w="1448" w:type="dxa"/>
            <w:hideMark/>
          </w:tcPr>
          <w:p w14:paraId="3A960994" w14:textId="77777777" w:rsidR="0083748C" w:rsidRPr="00075DC8" w:rsidRDefault="0083748C" w:rsidP="0083748C">
            <w:pPr>
              <w:pStyle w:val="Tabletext"/>
              <w:jc w:val="center"/>
              <w:rPr>
                <w:sz w:val="18"/>
                <w:szCs w:val="18"/>
                <w:lang w:val="fr-FR" w:eastAsia="ja-JP"/>
              </w:rPr>
            </w:pPr>
            <w:r w:rsidRPr="00075DC8">
              <w:rPr>
                <w:sz w:val="18"/>
                <w:szCs w:val="18"/>
                <w:lang w:val="fr-FR" w:eastAsia="ja-JP"/>
              </w:rPr>
              <w:t>−138</w:t>
            </w:r>
          </w:p>
        </w:tc>
        <w:tc>
          <w:tcPr>
            <w:tcW w:w="1674" w:type="dxa"/>
            <w:hideMark/>
          </w:tcPr>
          <w:p w14:paraId="28FA378D" w14:textId="77777777" w:rsidR="0083748C" w:rsidRPr="00075DC8" w:rsidRDefault="0083748C" w:rsidP="0083748C">
            <w:pPr>
              <w:pStyle w:val="Tabletext"/>
              <w:jc w:val="center"/>
              <w:rPr>
                <w:sz w:val="18"/>
                <w:szCs w:val="18"/>
                <w:lang w:val="fr-FR" w:eastAsia="ja-JP"/>
              </w:rPr>
            </w:pPr>
            <w:r w:rsidRPr="00075DC8">
              <w:rPr>
                <w:sz w:val="18"/>
                <w:szCs w:val="18"/>
                <w:lang w:val="fr-FR" w:eastAsia="ja-JP"/>
              </w:rPr>
              <w:t>−136</w:t>
            </w:r>
          </w:p>
        </w:tc>
        <w:tc>
          <w:tcPr>
            <w:tcW w:w="1299" w:type="dxa"/>
            <w:hideMark/>
          </w:tcPr>
          <w:p w14:paraId="2231EC53" w14:textId="77777777" w:rsidR="0083748C" w:rsidRPr="00075DC8" w:rsidRDefault="0083748C" w:rsidP="0083748C">
            <w:pPr>
              <w:pStyle w:val="Tabletext"/>
              <w:jc w:val="center"/>
              <w:rPr>
                <w:sz w:val="18"/>
                <w:szCs w:val="18"/>
                <w:lang w:val="fr-FR" w:eastAsia="ja-JP"/>
              </w:rPr>
            </w:pPr>
            <w:r w:rsidRPr="00075DC8">
              <w:rPr>
                <w:sz w:val="18"/>
                <w:szCs w:val="18"/>
                <w:lang w:val="fr-FR" w:eastAsia="ja-JP"/>
              </w:rPr>
              <w:t>−136</w:t>
            </w:r>
          </w:p>
        </w:tc>
        <w:tc>
          <w:tcPr>
            <w:tcW w:w="1037" w:type="dxa"/>
            <w:gridSpan w:val="2"/>
            <w:vMerge/>
          </w:tcPr>
          <w:p w14:paraId="7043E64B" w14:textId="77777777" w:rsidR="0083748C" w:rsidRPr="00075DC8" w:rsidRDefault="0083748C" w:rsidP="0083748C">
            <w:pPr>
              <w:pStyle w:val="Tabletext"/>
              <w:jc w:val="center"/>
              <w:rPr>
                <w:sz w:val="18"/>
                <w:szCs w:val="18"/>
                <w:lang w:val="fr-FR" w:eastAsia="ja-JP"/>
              </w:rPr>
            </w:pPr>
          </w:p>
        </w:tc>
        <w:tc>
          <w:tcPr>
            <w:tcW w:w="969" w:type="dxa"/>
            <w:vMerge/>
          </w:tcPr>
          <w:p w14:paraId="77E6C9A6" w14:textId="77777777" w:rsidR="0083748C" w:rsidRPr="00075DC8" w:rsidRDefault="0083748C" w:rsidP="0083748C">
            <w:pPr>
              <w:pStyle w:val="Tabletext"/>
              <w:jc w:val="center"/>
              <w:rPr>
                <w:sz w:val="18"/>
                <w:szCs w:val="18"/>
                <w:lang w:val="fr-FR" w:eastAsia="ja-JP"/>
              </w:rPr>
            </w:pPr>
          </w:p>
        </w:tc>
        <w:tc>
          <w:tcPr>
            <w:tcW w:w="1107" w:type="dxa"/>
            <w:gridSpan w:val="2"/>
            <w:vMerge/>
          </w:tcPr>
          <w:p w14:paraId="6BD2CFA0" w14:textId="77777777" w:rsidR="0083748C" w:rsidRPr="00075DC8" w:rsidRDefault="0083748C" w:rsidP="0083748C">
            <w:pPr>
              <w:pStyle w:val="Tabletext"/>
              <w:jc w:val="center"/>
              <w:rPr>
                <w:sz w:val="18"/>
                <w:szCs w:val="18"/>
                <w:lang w:val="fr-FR" w:eastAsia="ja-JP"/>
              </w:rPr>
            </w:pPr>
          </w:p>
        </w:tc>
        <w:tc>
          <w:tcPr>
            <w:tcW w:w="975" w:type="dxa"/>
            <w:vMerge/>
          </w:tcPr>
          <w:p w14:paraId="117423BD" w14:textId="77777777" w:rsidR="0083748C" w:rsidRPr="00075DC8" w:rsidRDefault="0083748C" w:rsidP="0083748C">
            <w:pPr>
              <w:pStyle w:val="Tabletext"/>
              <w:jc w:val="center"/>
              <w:rPr>
                <w:sz w:val="18"/>
                <w:szCs w:val="18"/>
                <w:lang w:val="fr-FR" w:eastAsia="ja-JP"/>
              </w:rPr>
            </w:pPr>
          </w:p>
        </w:tc>
      </w:tr>
      <w:tr w:rsidR="0083748C" w:rsidRPr="00075DC8" w14:paraId="50E6EDB9" w14:textId="77777777" w:rsidTr="00BE5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jc w:val="center"/>
        </w:trPr>
        <w:tc>
          <w:tcPr>
            <w:tcW w:w="2041" w:type="dxa"/>
            <w:tcBorders>
              <w:top w:val="single" w:sz="4" w:space="0" w:color="auto"/>
              <w:left w:val="single" w:sz="4" w:space="0" w:color="auto"/>
              <w:bottom w:val="single" w:sz="4" w:space="0" w:color="auto"/>
            </w:tcBorders>
            <w:tcMar>
              <w:top w:w="0" w:type="dxa"/>
              <w:left w:w="57" w:type="dxa"/>
              <w:bottom w:w="0" w:type="dxa"/>
              <w:right w:w="57" w:type="dxa"/>
            </w:tcMar>
            <w:hideMark/>
          </w:tcPr>
          <w:p w14:paraId="4FE99243" w14:textId="64582D3C" w:rsidR="0083748C" w:rsidRPr="00075DC8" w:rsidRDefault="0083748C" w:rsidP="00ED4837">
            <w:pPr>
              <w:pStyle w:val="Tabletext"/>
              <w:jc w:val="left"/>
              <w:rPr>
                <w:sz w:val="18"/>
                <w:szCs w:val="18"/>
                <w:lang w:val="fr-FR"/>
              </w:rPr>
            </w:pPr>
            <w:r w:rsidRPr="00075DC8">
              <w:rPr>
                <w:sz w:val="18"/>
                <w:szCs w:val="18"/>
                <w:lang w:val="fr-FR" w:eastAsia="ja-JP"/>
              </w:rPr>
              <w:t>Niveau normalisé à l</w:t>
            </w:r>
            <w:r w:rsidR="001F6A0D" w:rsidRPr="00075DC8">
              <w:rPr>
                <w:sz w:val="18"/>
                <w:szCs w:val="18"/>
                <w:lang w:val="fr-FR" w:eastAsia="ja-JP"/>
              </w:rPr>
              <w:t>'</w:t>
            </w:r>
            <w:r w:rsidRPr="00075DC8">
              <w:rPr>
                <w:sz w:val="18"/>
                <w:szCs w:val="18"/>
                <w:lang w:val="fr-FR" w:eastAsia="ja-JP"/>
              </w:rPr>
              <w:t>entrée du récepteur pour un taux BER</w:t>
            </w:r>
            <w:r w:rsidRPr="00075DC8">
              <w:rPr>
                <w:sz w:val="18"/>
                <w:szCs w:val="18"/>
                <w:lang w:val="fr-FR"/>
              </w:rPr>
              <w:t xml:space="preserve"> de 1 × 10</w:t>
            </w:r>
            <w:r w:rsidRPr="00075DC8">
              <w:rPr>
                <w:sz w:val="18"/>
                <w:szCs w:val="18"/>
                <w:vertAlign w:val="superscript"/>
                <w:lang w:val="fr-FR"/>
              </w:rPr>
              <w:t>−6</w:t>
            </w:r>
            <w:r w:rsidRPr="00075DC8">
              <w:rPr>
                <w:sz w:val="18"/>
                <w:szCs w:val="18"/>
                <w:lang w:val="fr-FR"/>
              </w:rPr>
              <w:t xml:space="preserve"> (dBW/MHz) </w:t>
            </w:r>
          </w:p>
        </w:tc>
        <w:tc>
          <w:tcPr>
            <w:tcW w:w="982" w:type="dxa"/>
            <w:vMerge/>
            <w:tcBorders>
              <w:bottom w:val="single" w:sz="4" w:space="0" w:color="auto"/>
            </w:tcBorders>
          </w:tcPr>
          <w:p w14:paraId="4E9CE75C" w14:textId="77777777" w:rsidR="0083748C" w:rsidRPr="00075DC8" w:rsidRDefault="0083748C" w:rsidP="0083748C">
            <w:pPr>
              <w:pStyle w:val="Tabletext"/>
              <w:jc w:val="center"/>
              <w:rPr>
                <w:sz w:val="18"/>
                <w:szCs w:val="18"/>
                <w:lang w:val="fr-FR"/>
              </w:rPr>
            </w:pPr>
          </w:p>
        </w:tc>
        <w:tc>
          <w:tcPr>
            <w:tcW w:w="986" w:type="dxa"/>
            <w:vMerge/>
            <w:tcBorders>
              <w:bottom w:val="single" w:sz="4" w:space="0" w:color="auto"/>
            </w:tcBorders>
          </w:tcPr>
          <w:p w14:paraId="74649826" w14:textId="77777777" w:rsidR="0083748C" w:rsidRPr="00075DC8" w:rsidRDefault="0083748C" w:rsidP="0083748C">
            <w:pPr>
              <w:pStyle w:val="Tabletext"/>
              <w:jc w:val="center"/>
              <w:rPr>
                <w:sz w:val="18"/>
                <w:szCs w:val="18"/>
                <w:lang w:val="fr-FR"/>
              </w:rPr>
            </w:pPr>
          </w:p>
        </w:tc>
        <w:tc>
          <w:tcPr>
            <w:tcW w:w="919" w:type="dxa"/>
            <w:vMerge/>
            <w:tcBorders>
              <w:bottom w:val="single" w:sz="4" w:space="0" w:color="auto"/>
            </w:tcBorders>
          </w:tcPr>
          <w:p w14:paraId="522DE0F1" w14:textId="77777777" w:rsidR="0083748C" w:rsidRPr="00075DC8" w:rsidRDefault="0083748C" w:rsidP="0083748C">
            <w:pPr>
              <w:pStyle w:val="Tabletext"/>
              <w:jc w:val="center"/>
              <w:rPr>
                <w:sz w:val="18"/>
                <w:szCs w:val="18"/>
                <w:lang w:val="fr-FR" w:eastAsia="ja-JP"/>
              </w:rPr>
            </w:pPr>
          </w:p>
        </w:tc>
        <w:tc>
          <w:tcPr>
            <w:tcW w:w="1019" w:type="dxa"/>
            <w:vMerge/>
            <w:tcBorders>
              <w:bottom w:val="single" w:sz="4" w:space="0" w:color="auto"/>
            </w:tcBorders>
          </w:tcPr>
          <w:p w14:paraId="451B5032" w14:textId="77777777" w:rsidR="0083748C" w:rsidRPr="00075DC8" w:rsidRDefault="0083748C" w:rsidP="0083748C">
            <w:pPr>
              <w:pStyle w:val="Tabletext"/>
              <w:jc w:val="center"/>
              <w:rPr>
                <w:sz w:val="18"/>
                <w:szCs w:val="18"/>
                <w:lang w:val="fr-FR"/>
              </w:rPr>
            </w:pPr>
          </w:p>
        </w:tc>
        <w:tc>
          <w:tcPr>
            <w:tcW w:w="1448" w:type="dxa"/>
            <w:tcBorders>
              <w:top w:val="single" w:sz="4" w:space="0" w:color="auto"/>
              <w:bottom w:val="single" w:sz="4" w:space="0" w:color="auto"/>
              <w:right w:val="single" w:sz="4" w:space="0" w:color="auto"/>
            </w:tcBorders>
            <w:hideMark/>
          </w:tcPr>
          <w:p w14:paraId="43E0756A" w14:textId="77777777" w:rsidR="0083748C" w:rsidRPr="00075DC8" w:rsidRDefault="0083748C" w:rsidP="0083748C">
            <w:pPr>
              <w:pStyle w:val="Tabletext"/>
              <w:jc w:val="center"/>
              <w:rPr>
                <w:sz w:val="18"/>
                <w:szCs w:val="18"/>
                <w:lang w:val="fr-FR" w:eastAsia="ja-JP"/>
              </w:rPr>
            </w:pPr>
            <w:r w:rsidRPr="00075DC8">
              <w:rPr>
                <w:sz w:val="18"/>
                <w:szCs w:val="18"/>
                <w:lang w:val="fr-FR" w:eastAsia="ja-JP"/>
              </w:rPr>
              <w:t>−130</w:t>
            </w:r>
          </w:p>
        </w:tc>
        <w:tc>
          <w:tcPr>
            <w:tcW w:w="1674" w:type="dxa"/>
            <w:tcBorders>
              <w:top w:val="single" w:sz="4" w:space="0" w:color="auto"/>
              <w:left w:val="single" w:sz="4" w:space="0" w:color="auto"/>
              <w:bottom w:val="single" w:sz="4" w:space="0" w:color="auto"/>
              <w:right w:val="single" w:sz="4" w:space="0" w:color="auto"/>
            </w:tcBorders>
            <w:hideMark/>
          </w:tcPr>
          <w:p w14:paraId="150548E4" w14:textId="77777777" w:rsidR="0083748C" w:rsidRPr="00075DC8" w:rsidRDefault="0083748C" w:rsidP="0083748C">
            <w:pPr>
              <w:pStyle w:val="Tabletext"/>
              <w:jc w:val="center"/>
              <w:rPr>
                <w:sz w:val="18"/>
                <w:szCs w:val="18"/>
                <w:lang w:val="fr-FR" w:eastAsia="ja-JP"/>
              </w:rPr>
            </w:pPr>
            <w:r w:rsidRPr="00075DC8">
              <w:rPr>
                <w:sz w:val="18"/>
                <w:szCs w:val="18"/>
                <w:lang w:val="fr-FR" w:eastAsia="ja-JP"/>
              </w:rPr>
              <w:t>−122,5…</w:t>
            </w:r>
            <w:r w:rsidRPr="00075DC8">
              <w:rPr>
                <w:sz w:val="18"/>
                <w:szCs w:val="18"/>
                <w:lang w:val="fr-FR" w:eastAsia="ja-JP"/>
              </w:rPr>
              <w:br/>
              <w:t>−115,5</w:t>
            </w:r>
          </w:p>
        </w:tc>
        <w:tc>
          <w:tcPr>
            <w:tcW w:w="1299" w:type="dxa"/>
            <w:tcBorders>
              <w:top w:val="single" w:sz="4" w:space="0" w:color="auto"/>
              <w:left w:val="single" w:sz="4" w:space="0" w:color="auto"/>
              <w:bottom w:val="single" w:sz="4" w:space="0" w:color="auto"/>
            </w:tcBorders>
            <w:hideMark/>
          </w:tcPr>
          <w:p w14:paraId="06C9FD17" w14:textId="77777777" w:rsidR="0083748C" w:rsidRPr="00075DC8" w:rsidRDefault="0083748C" w:rsidP="0083748C">
            <w:pPr>
              <w:pStyle w:val="Tabletext"/>
              <w:jc w:val="center"/>
              <w:rPr>
                <w:sz w:val="18"/>
                <w:szCs w:val="18"/>
                <w:lang w:val="fr-FR"/>
              </w:rPr>
            </w:pPr>
            <w:r w:rsidRPr="00075DC8">
              <w:rPr>
                <w:sz w:val="18"/>
                <w:szCs w:val="18"/>
                <w:lang w:val="fr-FR" w:eastAsia="ja-JP"/>
              </w:rPr>
              <w:t>−122,5…</w:t>
            </w:r>
            <w:r w:rsidRPr="00075DC8">
              <w:rPr>
                <w:sz w:val="18"/>
                <w:szCs w:val="18"/>
                <w:lang w:val="fr-FR" w:eastAsia="ja-JP"/>
              </w:rPr>
              <w:br/>
              <w:t>−115,5</w:t>
            </w:r>
          </w:p>
        </w:tc>
        <w:tc>
          <w:tcPr>
            <w:tcW w:w="1037" w:type="dxa"/>
            <w:gridSpan w:val="2"/>
            <w:vMerge/>
            <w:tcBorders>
              <w:bottom w:val="single" w:sz="4" w:space="0" w:color="auto"/>
            </w:tcBorders>
          </w:tcPr>
          <w:p w14:paraId="0DFF1FEB" w14:textId="77777777" w:rsidR="0083748C" w:rsidRPr="00075DC8" w:rsidRDefault="0083748C" w:rsidP="0083748C">
            <w:pPr>
              <w:pStyle w:val="Tabletext"/>
              <w:jc w:val="center"/>
              <w:rPr>
                <w:sz w:val="18"/>
                <w:szCs w:val="18"/>
                <w:lang w:val="fr-FR" w:eastAsia="ja-JP"/>
              </w:rPr>
            </w:pPr>
          </w:p>
        </w:tc>
        <w:tc>
          <w:tcPr>
            <w:tcW w:w="969" w:type="dxa"/>
            <w:vMerge/>
            <w:tcBorders>
              <w:bottom w:val="single" w:sz="4" w:space="0" w:color="auto"/>
            </w:tcBorders>
          </w:tcPr>
          <w:p w14:paraId="0F783591" w14:textId="77777777" w:rsidR="0083748C" w:rsidRPr="00075DC8" w:rsidRDefault="0083748C" w:rsidP="0083748C">
            <w:pPr>
              <w:pStyle w:val="Tabletext"/>
              <w:jc w:val="center"/>
              <w:rPr>
                <w:sz w:val="18"/>
                <w:szCs w:val="18"/>
                <w:lang w:val="fr-FR" w:eastAsia="ja-JP"/>
              </w:rPr>
            </w:pPr>
          </w:p>
        </w:tc>
        <w:tc>
          <w:tcPr>
            <w:tcW w:w="1107" w:type="dxa"/>
            <w:gridSpan w:val="2"/>
            <w:vMerge/>
            <w:tcBorders>
              <w:bottom w:val="single" w:sz="4" w:space="0" w:color="auto"/>
            </w:tcBorders>
          </w:tcPr>
          <w:p w14:paraId="11ABC230" w14:textId="77777777" w:rsidR="0083748C" w:rsidRPr="00075DC8" w:rsidRDefault="0083748C" w:rsidP="0083748C">
            <w:pPr>
              <w:pStyle w:val="Tabletext"/>
              <w:jc w:val="center"/>
              <w:rPr>
                <w:sz w:val="18"/>
                <w:szCs w:val="18"/>
                <w:lang w:val="fr-FR" w:eastAsia="ja-JP"/>
              </w:rPr>
            </w:pPr>
          </w:p>
        </w:tc>
        <w:tc>
          <w:tcPr>
            <w:tcW w:w="975" w:type="dxa"/>
            <w:vMerge/>
            <w:tcBorders>
              <w:bottom w:val="single" w:sz="4" w:space="0" w:color="auto"/>
            </w:tcBorders>
          </w:tcPr>
          <w:p w14:paraId="05455BFF" w14:textId="77777777" w:rsidR="0083748C" w:rsidRPr="00075DC8" w:rsidRDefault="0083748C" w:rsidP="0083748C">
            <w:pPr>
              <w:pStyle w:val="Tabletext"/>
              <w:rPr>
                <w:lang w:val="fr-FR" w:eastAsia="ja-JP"/>
              </w:rPr>
            </w:pPr>
          </w:p>
        </w:tc>
      </w:tr>
      <w:tr w:rsidR="0083748C" w:rsidRPr="00075DC8" w14:paraId="4A0A975F" w14:textId="77777777" w:rsidTr="00BE5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0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3AB2DD" w14:textId="468BFA2A" w:rsidR="00725E50" w:rsidRPr="00075DC8" w:rsidRDefault="00725E50" w:rsidP="00ED4837">
            <w:pPr>
              <w:pStyle w:val="Tabletext"/>
              <w:jc w:val="left"/>
              <w:rPr>
                <w:sz w:val="18"/>
                <w:szCs w:val="18"/>
                <w:lang w:val="fr-FR" w:eastAsia="ja-JP"/>
              </w:rPr>
            </w:pPr>
            <w:r w:rsidRPr="00075DC8">
              <w:rPr>
                <w:sz w:val="18"/>
                <w:szCs w:val="18"/>
                <w:lang w:val="fr-FR" w:eastAsia="ja-JP"/>
              </w:rPr>
              <w:t xml:space="preserve">Densité nominale de puissance de brouillage de longue durée </w:t>
            </w:r>
            <w:r w:rsidRPr="00075DC8">
              <w:rPr>
                <w:sz w:val="18"/>
                <w:szCs w:val="18"/>
                <w:lang w:val="fr-FR"/>
              </w:rPr>
              <w:t>(dBW/MHz)</w:t>
            </w:r>
            <w:r w:rsidRPr="00075DC8">
              <w:rPr>
                <w:sz w:val="18"/>
                <w:szCs w:val="18"/>
                <w:vertAlign w:val="superscript"/>
                <w:lang w:val="fr-FR" w:eastAsia="ja-JP"/>
              </w:rPr>
              <w:t>(2)</w:t>
            </w:r>
          </w:p>
        </w:tc>
        <w:tc>
          <w:tcPr>
            <w:tcW w:w="982" w:type="dxa"/>
            <w:tcBorders>
              <w:top w:val="single" w:sz="4" w:space="0" w:color="auto"/>
              <w:left w:val="single" w:sz="4" w:space="0" w:color="auto"/>
              <w:bottom w:val="single" w:sz="4" w:space="0" w:color="auto"/>
              <w:right w:val="single" w:sz="4" w:space="0" w:color="auto"/>
            </w:tcBorders>
            <w:hideMark/>
          </w:tcPr>
          <w:p w14:paraId="54ECAE43" w14:textId="77777777" w:rsidR="00725E50" w:rsidRPr="00075DC8" w:rsidRDefault="00725E50" w:rsidP="0083748C">
            <w:pPr>
              <w:pStyle w:val="Tabletext"/>
              <w:jc w:val="center"/>
              <w:rPr>
                <w:sz w:val="18"/>
                <w:szCs w:val="18"/>
                <w:lang w:val="fr-FR" w:eastAsia="ja-JP"/>
              </w:rPr>
            </w:pPr>
            <w:r w:rsidRPr="00075DC8">
              <w:rPr>
                <w:i/>
                <w:iCs/>
                <w:sz w:val="18"/>
                <w:szCs w:val="18"/>
                <w:lang w:val="fr-FR"/>
              </w:rPr>
              <w:t>N</w:t>
            </w:r>
            <w:r w:rsidRPr="00075DC8">
              <w:rPr>
                <w:i/>
                <w:iCs/>
                <w:sz w:val="18"/>
                <w:szCs w:val="18"/>
                <w:vertAlign w:val="subscript"/>
                <w:lang w:val="fr-FR"/>
              </w:rPr>
              <w:t>RX</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c>
          <w:tcPr>
            <w:tcW w:w="986" w:type="dxa"/>
            <w:tcBorders>
              <w:top w:val="single" w:sz="4" w:space="0" w:color="auto"/>
              <w:left w:val="single" w:sz="4" w:space="0" w:color="auto"/>
              <w:bottom w:val="single" w:sz="4" w:space="0" w:color="auto"/>
              <w:right w:val="single" w:sz="4" w:space="0" w:color="auto"/>
            </w:tcBorders>
            <w:hideMark/>
          </w:tcPr>
          <w:p w14:paraId="16E62259" w14:textId="77777777" w:rsidR="00725E50" w:rsidRPr="00075DC8" w:rsidRDefault="00725E50" w:rsidP="0083748C">
            <w:pPr>
              <w:pStyle w:val="Tabletext"/>
              <w:jc w:val="center"/>
              <w:rPr>
                <w:sz w:val="18"/>
                <w:szCs w:val="18"/>
                <w:lang w:val="fr-FR" w:eastAsia="ja-JP"/>
              </w:rPr>
            </w:pPr>
            <w:r w:rsidRPr="00075DC8">
              <w:rPr>
                <w:i/>
                <w:iCs/>
                <w:sz w:val="18"/>
                <w:szCs w:val="18"/>
                <w:lang w:val="fr-FR"/>
              </w:rPr>
              <w:t>N</w:t>
            </w:r>
            <w:r w:rsidRPr="00075DC8">
              <w:rPr>
                <w:i/>
                <w:iCs/>
                <w:sz w:val="18"/>
                <w:szCs w:val="18"/>
                <w:vertAlign w:val="subscript"/>
                <w:lang w:val="fr-FR"/>
              </w:rPr>
              <w:t>RX</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c>
          <w:tcPr>
            <w:tcW w:w="919" w:type="dxa"/>
            <w:tcBorders>
              <w:top w:val="single" w:sz="4" w:space="0" w:color="auto"/>
              <w:left w:val="single" w:sz="4" w:space="0" w:color="auto"/>
              <w:bottom w:val="single" w:sz="4" w:space="0" w:color="auto"/>
              <w:right w:val="single" w:sz="4" w:space="0" w:color="auto"/>
            </w:tcBorders>
            <w:hideMark/>
          </w:tcPr>
          <w:p w14:paraId="15C07A4A" w14:textId="77777777" w:rsidR="00725E50" w:rsidRPr="00075DC8" w:rsidRDefault="00725E50" w:rsidP="0083748C">
            <w:pPr>
              <w:pStyle w:val="Tabletext"/>
              <w:jc w:val="center"/>
              <w:rPr>
                <w:sz w:val="18"/>
                <w:szCs w:val="18"/>
                <w:lang w:val="fr-FR" w:eastAsia="ja-JP"/>
              </w:rPr>
            </w:pPr>
            <w:r w:rsidRPr="00075DC8">
              <w:rPr>
                <w:i/>
                <w:iCs/>
                <w:sz w:val="18"/>
                <w:szCs w:val="18"/>
                <w:lang w:val="fr-FR"/>
              </w:rPr>
              <w:t>N</w:t>
            </w:r>
            <w:r w:rsidRPr="00075DC8">
              <w:rPr>
                <w:i/>
                <w:iCs/>
                <w:sz w:val="18"/>
                <w:szCs w:val="18"/>
                <w:vertAlign w:val="subscript"/>
                <w:lang w:val="fr-FR"/>
              </w:rPr>
              <w:t>RX</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c>
          <w:tcPr>
            <w:tcW w:w="1019" w:type="dxa"/>
            <w:tcBorders>
              <w:top w:val="single" w:sz="4" w:space="0" w:color="auto"/>
              <w:left w:val="single" w:sz="4" w:space="0" w:color="auto"/>
              <w:bottom w:val="single" w:sz="4" w:space="0" w:color="auto"/>
              <w:right w:val="single" w:sz="4" w:space="0" w:color="auto"/>
            </w:tcBorders>
            <w:hideMark/>
          </w:tcPr>
          <w:p w14:paraId="14202714" w14:textId="77777777" w:rsidR="00725E50" w:rsidRPr="00075DC8" w:rsidRDefault="00725E50" w:rsidP="0083748C">
            <w:pPr>
              <w:pStyle w:val="Tabletext"/>
              <w:jc w:val="center"/>
              <w:rPr>
                <w:sz w:val="18"/>
                <w:szCs w:val="18"/>
                <w:lang w:val="fr-FR" w:eastAsia="ja-JP"/>
              </w:rPr>
            </w:pPr>
            <w:r w:rsidRPr="00075DC8">
              <w:rPr>
                <w:i/>
                <w:iCs/>
                <w:sz w:val="18"/>
                <w:szCs w:val="18"/>
                <w:lang w:val="fr-FR"/>
              </w:rPr>
              <w:t>N</w:t>
            </w:r>
            <w:r w:rsidRPr="00075DC8">
              <w:rPr>
                <w:i/>
                <w:iCs/>
                <w:sz w:val="18"/>
                <w:szCs w:val="18"/>
                <w:vertAlign w:val="subscript"/>
                <w:lang w:val="fr-FR"/>
              </w:rPr>
              <w:t>RX</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c>
          <w:tcPr>
            <w:tcW w:w="1448" w:type="dxa"/>
            <w:tcBorders>
              <w:top w:val="single" w:sz="4" w:space="0" w:color="auto"/>
              <w:left w:val="single" w:sz="4" w:space="0" w:color="auto"/>
              <w:bottom w:val="single" w:sz="4" w:space="0" w:color="auto"/>
              <w:right w:val="single" w:sz="4" w:space="0" w:color="auto"/>
            </w:tcBorders>
            <w:hideMark/>
          </w:tcPr>
          <w:p w14:paraId="3087D49A"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−138</w:t>
            </w:r>
            <w:r w:rsidRPr="00075DC8">
              <w:rPr>
                <w:sz w:val="18"/>
                <w:szCs w:val="18"/>
                <w:lang w:val="fr-FR"/>
              </w:rPr>
              <w:t xml:space="preserve"> + </w:t>
            </w:r>
            <w:r w:rsidRPr="00075DC8">
              <w:rPr>
                <w:i/>
                <w:sz w:val="18"/>
                <w:szCs w:val="18"/>
                <w:lang w:val="fr-FR"/>
              </w:rPr>
              <w:t>I</w:t>
            </w:r>
            <w:r w:rsidRPr="00075DC8">
              <w:rPr>
                <w:sz w:val="18"/>
                <w:szCs w:val="18"/>
                <w:lang w:val="fr-FR"/>
              </w:rPr>
              <w:t>/</w:t>
            </w:r>
            <w:r w:rsidRPr="00075DC8">
              <w:rPr>
                <w:i/>
                <w:sz w:val="18"/>
                <w:szCs w:val="18"/>
                <w:lang w:val="fr-FR"/>
              </w:rPr>
              <w:t>N</w:t>
            </w:r>
          </w:p>
        </w:tc>
        <w:tc>
          <w:tcPr>
            <w:tcW w:w="1674" w:type="dxa"/>
            <w:tcBorders>
              <w:top w:val="single" w:sz="4" w:space="0" w:color="auto"/>
              <w:left w:val="single" w:sz="4" w:space="0" w:color="auto"/>
              <w:bottom w:val="single" w:sz="4" w:space="0" w:color="auto"/>
              <w:right w:val="single" w:sz="4" w:space="0" w:color="auto"/>
            </w:tcBorders>
            <w:hideMark/>
          </w:tcPr>
          <w:p w14:paraId="65F3E379"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−136</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c>
          <w:tcPr>
            <w:tcW w:w="1299" w:type="dxa"/>
            <w:tcBorders>
              <w:top w:val="single" w:sz="4" w:space="0" w:color="auto"/>
              <w:left w:val="single" w:sz="4" w:space="0" w:color="auto"/>
              <w:bottom w:val="single" w:sz="4" w:space="0" w:color="auto"/>
              <w:right w:val="single" w:sz="4" w:space="0" w:color="auto"/>
            </w:tcBorders>
            <w:hideMark/>
          </w:tcPr>
          <w:p w14:paraId="586A7664" w14:textId="77777777" w:rsidR="00725E50" w:rsidRPr="00075DC8" w:rsidRDefault="00725E50" w:rsidP="0083748C">
            <w:pPr>
              <w:pStyle w:val="Tabletext"/>
              <w:jc w:val="center"/>
              <w:rPr>
                <w:sz w:val="18"/>
                <w:szCs w:val="18"/>
                <w:lang w:val="fr-FR" w:eastAsia="ja-JP"/>
              </w:rPr>
            </w:pPr>
            <w:r w:rsidRPr="00075DC8">
              <w:rPr>
                <w:sz w:val="18"/>
                <w:szCs w:val="18"/>
                <w:lang w:val="fr-FR" w:eastAsia="ja-JP"/>
              </w:rPr>
              <w:t>−136</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c>
          <w:tcPr>
            <w:tcW w:w="1037" w:type="dxa"/>
            <w:gridSpan w:val="2"/>
            <w:tcBorders>
              <w:top w:val="single" w:sz="4" w:space="0" w:color="auto"/>
              <w:left w:val="single" w:sz="4" w:space="0" w:color="auto"/>
              <w:bottom w:val="single" w:sz="4" w:space="0" w:color="auto"/>
              <w:right w:val="single" w:sz="4" w:space="0" w:color="auto"/>
            </w:tcBorders>
            <w:hideMark/>
          </w:tcPr>
          <w:p w14:paraId="074CC794" w14:textId="77777777" w:rsidR="00725E50" w:rsidRPr="00075DC8" w:rsidRDefault="00725E50" w:rsidP="0083748C">
            <w:pPr>
              <w:pStyle w:val="Tabletext"/>
              <w:jc w:val="center"/>
              <w:rPr>
                <w:sz w:val="18"/>
                <w:szCs w:val="18"/>
                <w:lang w:val="fr-FR" w:eastAsia="ja-JP"/>
              </w:rPr>
            </w:pPr>
            <w:r w:rsidRPr="00075DC8">
              <w:rPr>
                <w:i/>
                <w:iCs/>
                <w:sz w:val="18"/>
                <w:szCs w:val="18"/>
                <w:lang w:val="fr-FR"/>
              </w:rPr>
              <w:t>N</w:t>
            </w:r>
            <w:r w:rsidRPr="00075DC8">
              <w:rPr>
                <w:i/>
                <w:iCs/>
                <w:sz w:val="18"/>
                <w:szCs w:val="18"/>
                <w:vertAlign w:val="subscript"/>
                <w:lang w:val="fr-FR"/>
              </w:rPr>
              <w:t>RX</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c>
          <w:tcPr>
            <w:tcW w:w="969" w:type="dxa"/>
            <w:tcBorders>
              <w:top w:val="single" w:sz="4" w:space="0" w:color="auto"/>
              <w:left w:val="single" w:sz="4" w:space="0" w:color="auto"/>
              <w:bottom w:val="single" w:sz="4" w:space="0" w:color="auto"/>
              <w:right w:val="single" w:sz="4" w:space="0" w:color="auto"/>
            </w:tcBorders>
            <w:hideMark/>
          </w:tcPr>
          <w:p w14:paraId="279125CD" w14:textId="77777777" w:rsidR="00725E50" w:rsidRPr="00075DC8" w:rsidRDefault="00725E50" w:rsidP="0083748C">
            <w:pPr>
              <w:pStyle w:val="Tabletext"/>
              <w:jc w:val="center"/>
              <w:rPr>
                <w:sz w:val="18"/>
                <w:szCs w:val="18"/>
                <w:lang w:val="fr-FR" w:eastAsia="ja-JP"/>
              </w:rPr>
            </w:pPr>
            <w:r w:rsidRPr="00075DC8">
              <w:rPr>
                <w:i/>
                <w:iCs/>
                <w:sz w:val="18"/>
                <w:szCs w:val="18"/>
                <w:lang w:val="fr-FR"/>
              </w:rPr>
              <w:t>N</w:t>
            </w:r>
            <w:r w:rsidRPr="00075DC8">
              <w:rPr>
                <w:i/>
                <w:iCs/>
                <w:sz w:val="18"/>
                <w:szCs w:val="18"/>
                <w:vertAlign w:val="subscript"/>
                <w:lang w:val="fr-FR"/>
              </w:rPr>
              <w:t>RX</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c>
          <w:tcPr>
            <w:tcW w:w="1107" w:type="dxa"/>
            <w:gridSpan w:val="2"/>
            <w:tcBorders>
              <w:top w:val="single" w:sz="4" w:space="0" w:color="auto"/>
              <w:left w:val="single" w:sz="4" w:space="0" w:color="auto"/>
              <w:bottom w:val="single" w:sz="4" w:space="0" w:color="auto"/>
              <w:right w:val="single" w:sz="4" w:space="0" w:color="auto"/>
            </w:tcBorders>
            <w:hideMark/>
          </w:tcPr>
          <w:p w14:paraId="0663E352" w14:textId="77777777" w:rsidR="00725E50" w:rsidRPr="00075DC8" w:rsidRDefault="00725E50" w:rsidP="0083748C">
            <w:pPr>
              <w:pStyle w:val="Tabletext"/>
              <w:jc w:val="center"/>
              <w:rPr>
                <w:sz w:val="18"/>
                <w:szCs w:val="18"/>
                <w:lang w:val="fr-FR" w:eastAsia="ja-JP"/>
              </w:rPr>
            </w:pPr>
            <w:r w:rsidRPr="00075DC8">
              <w:rPr>
                <w:i/>
                <w:iCs/>
                <w:sz w:val="18"/>
                <w:szCs w:val="18"/>
                <w:lang w:val="fr-FR"/>
              </w:rPr>
              <w:t>N</w:t>
            </w:r>
            <w:r w:rsidRPr="00075DC8">
              <w:rPr>
                <w:i/>
                <w:iCs/>
                <w:sz w:val="18"/>
                <w:szCs w:val="18"/>
                <w:vertAlign w:val="subscript"/>
                <w:lang w:val="fr-FR"/>
              </w:rPr>
              <w:t>RX</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c>
          <w:tcPr>
            <w:tcW w:w="975" w:type="dxa"/>
            <w:tcBorders>
              <w:top w:val="single" w:sz="4" w:space="0" w:color="auto"/>
              <w:left w:val="single" w:sz="4" w:space="0" w:color="auto"/>
              <w:bottom w:val="single" w:sz="4" w:space="0" w:color="auto"/>
              <w:right w:val="single" w:sz="4" w:space="0" w:color="auto"/>
            </w:tcBorders>
            <w:hideMark/>
          </w:tcPr>
          <w:p w14:paraId="41147CF5" w14:textId="77777777" w:rsidR="00725E50" w:rsidRPr="00075DC8" w:rsidRDefault="00725E50" w:rsidP="0083748C">
            <w:pPr>
              <w:pStyle w:val="Tabletext"/>
              <w:jc w:val="center"/>
              <w:rPr>
                <w:sz w:val="18"/>
                <w:szCs w:val="18"/>
                <w:lang w:val="fr-FR" w:eastAsia="ja-JP"/>
              </w:rPr>
            </w:pPr>
            <w:r w:rsidRPr="00075DC8">
              <w:rPr>
                <w:i/>
                <w:iCs/>
                <w:sz w:val="18"/>
                <w:szCs w:val="18"/>
                <w:lang w:val="fr-FR"/>
              </w:rPr>
              <w:t>N</w:t>
            </w:r>
            <w:r w:rsidRPr="00075DC8">
              <w:rPr>
                <w:i/>
                <w:iCs/>
                <w:sz w:val="18"/>
                <w:szCs w:val="18"/>
                <w:vertAlign w:val="subscript"/>
                <w:lang w:val="fr-FR"/>
              </w:rPr>
              <w:t>RX</w:t>
            </w:r>
            <w:r w:rsidRPr="00075DC8">
              <w:rPr>
                <w:sz w:val="18"/>
                <w:szCs w:val="18"/>
                <w:lang w:val="fr-FR"/>
              </w:rPr>
              <w:t xml:space="preserve"> + </w:t>
            </w:r>
            <w:r w:rsidRPr="00075DC8">
              <w:rPr>
                <w:i/>
                <w:sz w:val="18"/>
                <w:szCs w:val="18"/>
                <w:lang w:val="fr-FR"/>
              </w:rPr>
              <w:t>I</w:t>
            </w:r>
            <w:r w:rsidRPr="00075DC8">
              <w:rPr>
                <w:iCs/>
                <w:sz w:val="18"/>
                <w:szCs w:val="18"/>
                <w:lang w:val="fr-FR"/>
              </w:rPr>
              <w:t>/</w:t>
            </w:r>
            <w:r w:rsidRPr="00075DC8">
              <w:rPr>
                <w:i/>
                <w:sz w:val="18"/>
                <w:szCs w:val="18"/>
                <w:lang w:val="fr-FR"/>
              </w:rPr>
              <w:t>N</w:t>
            </w:r>
          </w:p>
        </w:tc>
      </w:tr>
      <w:tr w:rsidR="00725E50" w:rsidRPr="00075DC8" w14:paraId="2FA83805" w14:textId="77777777" w:rsidTr="00BE5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4456" w:type="dxa"/>
            <w:gridSpan w:val="14"/>
            <w:tcBorders>
              <w:top w:val="single" w:sz="4" w:space="0" w:color="auto"/>
              <w:left w:val="nil"/>
              <w:bottom w:val="nil"/>
              <w:right w:val="nil"/>
            </w:tcBorders>
            <w:tcMar>
              <w:top w:w="0" w:type="dxa"/>
              <w:left w:w="57" w:type="dxa"/>
              <w:bottom w:w="0" w:type="dxa"/>
              <w:right w:w="57" w:type="dxa"/>
            </w:tcMar>
            <w:hideMark/>
          </w:tcPr>
          <w:p w14:paraId="135E0596" w14:textId="020083CA" w:rsidR="00725E50" w:rsidRPr="00075DC8" w:rsidRDefault="00725E50" w:rsidP="00862A2C">
            <w:pPr>
              <w:pStyle w:val="Tabletext"/>
              <w:rPr>
                <w:sz w:val="18"/>
                <w:szCs w:val="18"/>
                <w:lang w:val="fr-FR"/>
              </w:rPr>
            </w:pPr>
            <w:r w:rsidRPr="00075DC8">
              <w:rPr>
                <w:sz w:val="18"/>
                <w:szCs w:val="18"/>
                <w:lang w:val="fr-FR"/>
              </w:rPr>
              <w:t>NOTE – </w:t>
            </w:r>
            <w:r w:rsidRPr="00075DC8">
              <w:rPr>
                <w:sz w:val="18"/>
                <w:szCs w:val="18"/>
                <w:lang w:val="fr-FR" w:eastAsia="ja-JP"/>
              </w:rPr>
              <w:t>L</w:t>
            </w:r>
            <w:r w:rsidR="001F6A0D" w:rsidRPr="00075DC8">
              <w:rPr>
                <w:sz w:val="18"/>
                <w:szCs w:val="18"/>
                <w:lang w:val="fr-FR" w:eastAsia="ja-JP"/>
              </w:rPr>
              <w:t>'</w:t>
            </w:r>
            <w:r w:rsidRPr="00075DC8">
              <w:rPr>
                <w:sz w:val="18"/>
                <w:szCs w:val="18"/>
                <w:lang w:val="fr-FR" w:eastAsia="ja-JP"/>
              </w:rPr>
              <w:t>ensemble prévu des paramètres, pour deux systèmes de référence pour les études de partage ou de compatibilité, est à l</w:t>
            </w:r>
            <w:r w:rsidR="001F6A0D" w:rsidRPr="00075DC8">
              <w:rPr>
                <w:sz w:val="18"/>
                <w:szCs w:val="18"/>
                <w:lang w:val="fr-FR" w:eastAsia="ja-JP"/>
              </w:rPr>
              <w:t>'</w:t>
            </w:r>
            <w:r w:rsidRPr="00075DC8">
              <w:rPr>
                <w:sz w:val="18"/>
                <w:szCs w:val="18"/>
                <w:lang w:val="fr-FR" w:eastAsia="ja-JP"/>
              </w:rPr>
              <w:t>heure actuelle partiellement ou totalement indisponible. Provisoirement, les paramètres indiqués à l</w:t>
            </w:r>
            <w:r w:rsidR="001F6A0D" w:rsidRPr="00075DC8">
              <w:rPr>
                <w:sz w:val="18"/>
                <w:szCs w:val="18"/>
                <w:lang w:val="fr-FR" w:eastAsia="ja-JP"/>
              </w:rPr>
              <w:t>'</w:t>
            </w:r>
            <w:r w:rsidRPr="00075DC8">
              <w:rPr>
                <w:sz w:val="18"/>
                <w:szCs w:val="18"/>
                <w:lang w:val="fr-FR" w:eastAsia="ja-JP"/>
              </w:rPr>
              <w:t>Annexe 3 pour les mêmes bandes peuvent être employés.</w:t>
            </w:r>
          </w:p>
          <w:p w14:paraId="1908F874" w14:textId="5C549553" w:rsidR="00725E50" w:rsidRPr="00075DC8" w:rsidRDefault="00725E50" w:rsidP="00862A2C">
            <w:pPr>
              <w:pStyle w:val="Tabletext"/>
              <w:spacing w:before="20" w:after="20"/>
              <w:ind w:left="284" w:hanging="284"/>
              <w:rPr>
                <w:rFonts w:ascii="TimesNewRoman,Bold" w:hAnsi="TimesNewRoman,Bold" w:cs="TimesNewRoman,Bold"/>
                <w:b/>
                <w:bCs/>
                <w:sz w:val="18"/>
                <w:szCs w:val="18"/>
                <w:lang w:val="fr-FR" w:eastAsia="zh-CN"/>
              </w:rPr>
            </w:pPr>
            <w:r w:rsidRPr="00075DC8">
              <w:rPr>
                <w:sz w:val="18"/>
                <w:szCs w:val="18"/>
                <w:vertAlign w:val="superscript"/>
                <w:lang w:val="fr-FR" w:eastAsia="zh-CN"/>
              </w:rPr>
              <w:t>(1)</w:t>
            </w:r>
            <w:r w:rsidRPr="00075DC8">
              <w:rPr>
                <w:sz w:val="18"/>
                <w:szCs w:val="18"/>
                <w:lang w:val="fr-FR" w:eastAsia="zh-CN"/>
              </w:rPr>
              <w:tab/>
            </w:r>
            <w:r w:rsidRPr="00075DC8">
              <w:rPr>
                <w:sz w:val="18"/>
                <w:szCs w:val="18"/>
                <w:lang w:val="fr-FR"/>
              </w:rPr>
              <w:t>Pour calculer les valeurs des densités de puissance au niveau de l</w:t>
            </w:r>
            <w:r w:rsidR="001F6A0D" w:rsidRPr="00075DC8">
              <w:rPr>
                <w:sz w:val="18"/>
                <w:szCs w:val="18"/>
                <w:lang w:val="fr-FR"/>
              </w:rPr>
              <w:t>'</w:t>
            </w:r>
            <w:r w:rsidRPr="00075DC8">
              <w:rPr>
                <w:sz w:val="18"/>
                <w:szCs w:val="18"/>
                <w:lang w:val="fr-FR"/>
              </w:rPr>
              <w:t>émetteur ou des densités de p.i.r.e., il est nécessaire de définir l</w:t>
            </w:r>
            <w:r w:rsidR="001F6A0D" w:rsidRPr="00075DC8">
              <w:rPr>
                <w:sz w:val="18"/>
                <w:szCs w:val="18"/>
                <w:lang w:val="fr-FR"/>
              </w:rPr>
              <w:t>'</w:t>
            </w:r>
            <w:r w:rsidRPr="00075DC8">
              <w:rPr>
                <w:sz w:val="18"/>
                <w:szCs w:val="18"/>
                <w:lang w:val="fr-FR"/>
              </w:rPr>
              <w:t>espacement des canaux/ la largeur de bande. Dans ces tableaux, l</w:t>
            </w:r>
            <w:r w:rsidR="001F6A0D" w:rsidRPr="00075DC8">
              <w:rPr>
                <w:sz w:val="18"/>
                <w:szCs w:val="18"/>
                <w:lang w:val="fr-FR"/>
              </w:rPr>
              <w:t>'</w:t>
            </w:r>
            <w:r w:rsidRPr="00075DC8">
              <w:rPr>
                <w:sz w:val="18"/>
                <w:szCs w:val="18"/>
                <w:lang w:val="fr-FR"/>
              </w:rPr>
              <w:t xml:space="preserve">espacement des canaux est indiqué en </w:t>
            </w:r>
            <w:r w:rsidRPr="00075DC8">
              <w:rPr>
                <w:b/>
                <w:bCs/>
                <w:sz w:val="18"/>
                <w:szCs w:val="18"/>
                <w:lang w:val="fr-FR"/>
              </w:rPr>
              <w:t>caractères gras</w:t>
            </w:r>
            <w:r w:rsidRPr="00075DC8">
              <w:rPr>
                <w:sz w:val="18"/>
                <w:szCs w:val="18"/>
                <w:lang w:val="fr-FR"/>
              </w:rPr>
              <w:t>. Lorsqu</w:t>
            </w:r>
            <w:r w:rsidR="001F6A0D" w:rsidRPr="00075DC8">
              <w:rPr>
                <w:sz w:val="18"/>
                <w:szCs w:val="18"/>
                <w:lang w:val="fr-FR"/>
              </w:rPr>
              <w:t>'</w:t>
            </w:r>
            <w:r w:rsidRPr="00075DC8">
              <w:rPr>
                <w:sz w:val="18"/>
                <w:szCs w:val="18"/>
                <w:lang w:val="fr-FR"/>
              </w:rPr>
              <w:t>une valeur modale (mode) est fournie, elle doit être considérée à titre indicatif dans la plage spécifiée et</w:t>
            </w:r>
            <w:r w:rsidRPr="00075DC8">
              <w:rPr>
                <w:sz w:val="18"/>
                <w:szCs w:val="18"/>
                <w:lang w:val="fr-FR" w:eastAsia="ja-JP"/>
              </w:rPr>
              <w:t>, par la suite, il pourra être nécessaire d</w:t>
            </w:r>
            <w:r w:rsidR="001F6A0D" w:rsidRPr="00075DC8">
              <w:rPr>
                <w:sz w:val="18"/>
                <w:szCs w:val="18"/>
                <w:lang w:val="fr-FR" w:eastAsia="ja-JP"/>
              </w:rPr>
              <w:t>'</w:t>
            </w:r>
            <w:r w:rsidRPr="00075DC8">
              <w:rPr>
                <w:sz w:val="18"/>
                <w:szCs w:val="18"/>
                <w:lang w:val="fr-FR" w:eastAsia="ja-JP"/>
              </w:rPr>
              <w:t>effectuer</w:t>
            </w:r>
            <w:r w:rsidRPr="00075DC8">
              <w:rPr>
                <w:sz w:val="18"/>
                <w:szCs w:val="18"/>
                <w:lang w:val="fr-FR"/>
              </w:rPr>
              <w:t xml:space="preserve"> une analyse de la sensibilité, selon le cas, pour évaluer un potentiel de brouillage donné dû aux variations dans la plage spécifiée</w:t>
            </w:r>
            <w:r w:rsidRPr="00075DC8">
              <w:rPr>
                <w:sz w:val="18"/>
                <w:szCs w:val="18"/>
                <w:lang w:val="fr-FR" w:eastAsia="zh-CN"/>
              </w:rPr>
              <w:t>.</w:t>
            </w:r>
          </w:p>
          <w:p w14:paraId="08302D05" w14:textId="16E08DBA" w:rsidR="00725E50" w:rsidRPr="00075DC8" w:rsidRDefault="00725E50" w:rsidP="00862A2C">
            <w:pPr>
              <w:pStyle w:val="Tabletext"/>
              <w:spacing w:before="20" w:after="20"/>
              <w:ind w:left="284" w:hanging="284"/>
              <w:rPr>
                <w:sz w:val="18"/>
                <w:szCs w:val="18"/>
                <w:lang w:val="fr-FR" w:eastAsia="zh-CN"/>
              </w:rPr>
            </w:pPr>
            <w:r w:rsidRPr="00075DC8">
              <w:rPr>
                <w:sz w:val="18"/>
                <w:szCs w:val="18"/>
                <w:vertAlign w:val="superscript"/>
                <w:lang w:val="fr-FR" w:eastAsia="zh-CN"/>
              </w:rPr>
              <w:t>(2)</w:t>
            </w:r>
            <w:r w:rsidRPr="00075DC8">
              <w:rPr>
                <w:sz w:val="18"/>
                <w:szCs w:val="18"/>
                <w:lang w:val="fr-FR" w:eastAsia="zh-CN"/>
              </w:rPr>
              <w:tab/>
            </w:r>
            <w:r w:rsidRPr="00075DC8">
              <w:rPr>
                <w:sz w:val="18"/>
                <w:szCs w:val="18"/>
                <w:lang w:val="fr-FR"/>
              </w:rPr>
              <w:t>La densité nominale de puissance de brouillage de longue durée est définie par la «densité de puissance de bruit du récepteur + (</w:t>
            </w:r>
            <w:r w:rsidRPr="00075DC8">
              <w:rPr>
                <w:i/>
                <w:iCs/>
                <w:sz w:val="18"/>
                <w:szCs w:val="18"/>
                <w:lang w:val="fr-FR"/>
              </w:rPr>
              <w:t>I</w:t>
            </w:r>
            <w:r w:rsidRPr="00075DC8">
              <w:rPr>
                <w:sz w:val="18"/>
                <w:szCs w:val="18"/>
                <w:lang w:val="fr-FR"/>
              </w:rPr>
              <w:t>/</w:t>
            </w:r>
            <w:r w:rsidRPr="00075DC8">
              <w:rPr>
                <w:i/>
                <w:iCs/>
                <w:sz w:val="18"/>
                <w:szCs w:val="18"/>
                <w:lang w:val="fr-FR"/>
              </w:rPr>
              <w:t>N</w:t>
            </w:r>
            <w:r w:rsidRPr="00075DC8">
              <w:rPr>
                <w:sz w:val="18"/>
                <w:szCs w:val="18"/>
                <w:lang w:val="fr-FR"/>
              </w:rPr>
              <w:t xml:space="preserve"> requis)» comme décrit au </w:t>
            </w:r>
            <w:r w:rsidR="008B1840" w:rsidRPr="00075DC8">
              <w:rPr>
                <w:sz w:val="18"/>
                <w:szCs w:val="18"/>
                <w:lang w:val="fr-FR"/>
              </w:rPr>
              <w:t>§ </w:t>
            </w:r>
            <w:r w:rsidRPr="00075DC8">
              <w:rPr>
                <w:sz w:val="18"/>
                <w:szCs w:val="18"/>
                <w:lang w:val="fr-FR"/>
              </w:rPr>
              <w:t>4.13 de l</w:t>
            </w:r>
            <w:r w:rsidR="001F6A0D" w:rsidRPr="00075DC8">
              <w:rPr>
                <w:sz w:val="18"/>
                <w:szCs w:val="18"/>
                <w:lang w:val="fr-FR"/>
              </w:rPr>
              <w:t>'</w:t>
            </w:r>
            <w:r w:rsidRPr="00075DC8">
              <w:rPr>
                <w:sz w:val="18"/>
                <w:szCs w:val="18"/>
                <w:lang w:val="fr-FR"/>
              </w:rPr>
              <w:t>Annexe 2 (voir aussi le </w:t>
            </w:r>
            <w:r w:rsidR="008B1840" w:rsidRPr="00075DC8">
              <w:rPr>
                <w:sz w:val="18"/>
                <w:szCs w:val="18"/>
                <w:lang w:val="fr-FR"/>
              </w:rPr>
              <w:t>§ </w:t>
            </w:r>
            <w:r w:rsidRPr="00075DC8">
              <w:rPr>
                <w:sz w:val="18"/>
                <w:szCs w:val="18"/>
                <w:lang w:val="fr-FR"/>
              </w:rPr>
              <w:t>4.1 de l</w:t>
            </w:r>
            <w:r w:rsidR="001F6A0D" w:rsidRPr="00075DC8">
              <w:rPr>
                <w:sz w:val="18"/>
                <w:szCs w:val="18"/>
                <w:lang w:val="fr-FR"/>
              </w:rPr>
              <w:t>'</w:t>
            </w:r>
            <w:r w:rsidRPr="00075DC8">
              <w:rPr>
                <w:sz w:val="18"/>
                <w:szCs w:val="18"/>
                <w:lang w:val="fr-FR"/>
              </w:rPr>
              <w:t>Annexe 1)</w:t>
            </w:r>
            <w:r w:rsidRPr="00075DC8">
              <w:rPr>
                <w:sz w:val="18"/>
                <w:szCs w:val="18"/>
                <w:lang w:val="fr-FR" w:eastAsia="zh-CN"/>
              </w:rPr>
              <w:t>.</w:t>
            </w:r>
          </w:p>
          <w:p w14:paraId="3B3BD91B" w14:textId="5FB88B2C" w:rsidR="00725E50" w:rsidRPr="00075DC8" w:rsidRDefault="00725E50" w:rsidP="00862A2C">
            <w:pPr>
              <w:pStyle w:val="Tabletext"/>
              <w:spacing w:before="20" w:after="20"/>
              <w:rPr>
                <w:sz w:val="18"/>
                <w:szCs w:val="18"/>
                <w:lang w:val="fr-FR"/>
              </w:rPr>
            </w:pPr>
            <w:r w:rsidRPr="00075DC8">
              <w:rPr>
                <w:sz w:val="18"/>
                <w:szCs w:val="18"/>
                <w:vertAlign w:val="superscript"/>
                <w:lang w:val="fr-FR" w:eastAsia="zh-CN"/>
              </w:rPr>
              <w:t>(3)</w:t>
            </w:r>
            <w:r w:rsidRPr="00075DC8">
              <w:rPr>
                <w:sz w:val="18"/>
                <w:szCs w:val="18"/>
                <w:lang w:val="fr-FR" w:eastAsia="zh-CN"/>
              </w:rPr>
              <w:tab/>
            </w:r>
            <w:r w:rsidRPr="00075DC8">
              <w:rPr>
                <w:sz w:val="18"/>
                <w:szCs w:val="18"/>
                <w:lang w:val="fr-FR"/>
              </w:rPr>
              <w:t>Cette valeur d</w:t>
            </w:r>
            <w:r w:rsidR="001F6A0D" w:rsidRPr="00075DC8">
              <w:rPr>
                <w:sz w:val="18"/>
                <w:szCs w:val="18"/>
                <w:lang w:val="fr-FR"/>
              </w:rPr>
              <w:t>'</w:t>
            </w:r>
            <w:r w:rsidRPr="00075DC8">
              <w:rPr>
                <w:sz w:val="18"/>
                <w:szCs w:val="18"/>
                <w:lang w:val="fr-FR"/>
              </w:rPr>
              <w:t>espacement des canaux n</w:t>
            </w:r>
            <w:r w:rsidR="001F6A0D" w:rsidRPr="00075DC8">
              <w:rPr>
                <w:sz w:val="18"/>
                <w:szCs w:val="18"/>
                <w:lang w:val="fr-FR"/>
              </w:rPr>
              <w:t>'</w:t>
            </w:r>
            <w:r w:rsidRPr="00075DC8">
              <w:rPr>
                <w:sz w:val="18"/>
                <w:szCs w:val="18"/>
                <w:lang w:val="fr-FR"/>
              </w:rPr>
              <w:t>est pas spécifiée dans la Recommandation de référence.</w:t>
            </w:r>
          </w:p>
          <w:p w14:paraId="0204B4CF" w14:textId="77777777" w:rsidR="00725E50" w:rsidRPr="00075DC8" w:rsidRDefault="00725E50" w:rsidP="00862A2C">
            <w:pPr>
              <w:pStyle w:val="Tabletext"/>
              <w:spacing w:before="20" w:after="20"/>
              <w:rPr>
                <w:sz w:val="18"/>
                <w:szCs w:val="18"/>
                <w:lang w:val="fr-FR"/>
              </w:rPr>
            </w:pPr>
            <w:r w:rsidRPr="00075DC8">
              <w:rPr>
                <w:sz w:val="18"/>
                <w:szCs w:val="18"/>
                <w:vertAlign w:val="superscript"/>
                <w:lang w:val="fr-FR"/>
              </w:rPr>
              <w:t>(4)</w:t>
            </w:r>
            <w:r w:rsidRPr="00075DC8">
              <w:rPr>
                <w:sz w:val="18"/>
                <w:szCs w:val="18"/>
                <w:lang w:val="fr-FR"/>
              </w:rPr>
              <w:tab/>
              <w:t>Largeur de bande du bloc de fréquences.</w:t>
            </w:r>
          </w:p>
          <w:p w14:paraId="09990E11" w14:textId="30635191" w:rsidR="00725E50" w:rsidRPr="00075DC8" w:rsidRDefault="00725E50" w:rsidP="00862A2C">
            <w:pPr>
              <w:pStyle w:val="Tabletext"/>
              <w:spacing w:before="20" w:after="20"/>
              <w:ind w:left="284" w:hanging="284"/>
              <w:rPr>
                <w:sz w:val="18"/>
                <w:szCs w:val="18"/>
                <w:lang w:val="fr-FR"/>
              </w:rPr>
            </w:pPr>
            <w:r w:rsidRPr="00075DC8">
              <w:rPr>
                <w:sz w:val="18"/>
                <w:szCs w:val="18"/>
                <w:vertAlign w:val="superscript"/>
                <w:lang w:val="fr-FR"/>
              </w:rPr>
              <w:t>(5)</w:t>
            </w:r>
            <w:r w:rsidRPr="00075DC8">
              <w:rPr>
                <w:sz w:val="18"/>
                <w:szCs w:val="18"/>
                <w:lang w:val="fr-FR"/>
              </w:rPr>
              <w:tab/>
              <w:t>Ces valeurs des densités de puissance au niveau de l</w:t>
            </w:r>
            <w:r w:rsidR="001F6A0D" w:rsidRPr="00075DC8">
              <w:rPr>
                <w:sz w:val="18"/>
                <w:szCs w:val="18"/>
                <w:lang w:val="fr-FR"/>
              </w:rPr>
              <w:t>'</w:t>
            </w:r>
            <w:r w:rsidRPr="00075DC8">
              <w:rPr>
                <w:sz w:val="18"/>
                <w:szCs w:val="18"/>
                <w:lang w:val="fr-FR"/>
              </w:rPr>
              <w:t>émetteur ou des densités de p.i.r.e. ont été calculées à partir d</w:t>
            </w:r>
            <w:r w:rsidR="001F6A0D" w:rsidRPr="00075DC8">
              <w:rPr>
                <w:sz w:val="18"/>
                <w:szCs w:val="18"/>
                <w:lang w:val="fr-FR"/>
              </w:rPr>
              <w:t>'</w:t>
            </w:r>
            <w:r w:rsidRPr="00075DC8">
              <w:rPr>
                <w:sz w:val="18"/>
                <w:szCs w:val="18"/>
                <w:lang w:val="fr-FR"/>
              </w:rPr>
              <w:t>un espacement des canaux (largeur de bande) de 30 MHz dans un bloc de fréquences de 60 MHz.</w:t>
            </w:r>
          </w:p>
          <w:p w14:paraId="4FBD63BD" w14:textId="77777777" w:rsidR="00725E50" w:rsidRPr="00075DC8" w:rsidRDefault="00725E50" w:rsidP="00862A2C">
            <w:pPr>
              <w:pStyle w:val="Tabletext"/>
              <w:spacing w:before="20" w:after="20"/>
              <w:ind w:left="284" w:hanging="284"/>
              <w:rPr>
                <w:sz w:val="18"/>
                <w:szCs w:val="18"/>
                <w:lang w:val="fr-FR"/>
              </w:rPr>
            </w:pPr>
            <w:r w:rsidRPr="00075DC8">
              <w:rPr>
                <w:sz w:val="18"/>
                <w:szCs w:val="18"/>
                <w:vertAlign w:val="superscript"/>
                <w:lang w:val="fr-FR"/>
              </w:rPr>
              <w:t>(6)</w:t>
            </w:r>
            <w:r w:rsidRPr="00075DC8">
              <w:rPr>
                <w:sz w:val="18"/>
                <w:szCs w:val="18"/>
                <w:lang w:val="fr-FR"/>
              </w:rPr>
              <w:tab/>
            </w:r>
            <w:r w:rsidRPr="00075DC8">
              <w:rPr>
                <w:sz w:val="18"/>
                <w:szCs w:val="18"/>
                <w:lang w:val="fr-FR" w:eastAsia="ja-JP"/>
              </w:rPr>
              <w:t>Le format de modulation est habituellement modifié dynamiquement en fonction de la dégradation de la propagation.</w:t>
            </w:r>
          </w:p>
        </w:tc>
      </w:tr>
    </w:tbl>
    <w:p w14:paraId="6379F7B9" w14:textId="77777777" w:rsidR="00725E50" w:rsidRPr="00075DC8" w:rsidRDefault="00725E50" w:rsidP="00862A2C">
      <w:pPr>
        <w:pStyle w:val="Tablefin"/>
        <w:rPr>
          <w:lang w:val="fr-FR"/>
        </w:rPr>
        <w:sectPr w:rsidR="00725E50" w:rsidRPr="00075DC8" w:rsidSect="00725E50">
          <w:headerReference w:type="even" r:id="rId116"/>
          <w:headerReference w:type="default" r:id="rId117"/>
          <w:pgSz w:w="16834" w:h="11907" w:orient="landscape" w:code="9"/>
          <w:pgMar w:top="1134" w:right="1418" w:bottom="1134" w:left="1134" w:header="720" w:footer="482" w:gutter="0"/>
          <w:paperSrc w:first="15" w:other="15"/>
          <w:cols w:space="720"/>
          <w:docGrid w:linePitch="326"/>
        </w:sectPr>
      </w:pPr>
    </w:p>
    <w:p w14:paraId="5921613A" w14:textId="6FC0E91C" w:rsidR="00725E50" w:rsidRPr="0018094D" w:rsidRDefault="00725E50" w:rsidP="0018094D">
      <w:pPr>
        <w:pStyle w:val="AppendixNoTitle"/>
        <w:outlineLvl w:val="0"/>
      </w:pPr>
      <w:bookmarkStart w:id="91" w:name="_Toc37843628"/>
      <w:bookmarkStart w:id="92" w:name="_Toc198643850"/>
      <w:r w:rsidRPr="0018094D">
        <w:lastRenderedPageBreak/>
        <w:t xml:space="preserve">Pièce </w:t>
      </w:r>
      <w:proofErr w:type="spellStart"/>
      <w:r w:rsidRPr="0018094D">
        <w:t>jointe</w:t>
      </w:r>
      <w:proofErr w:type="spellEnd"/>
      <w:r w:rsidRPr="0018094D">
        <w:t xml:space="preserve"> 1 </w:t>
      </w:r>
      <w:r w:rsidRPr="0018094D">
        <w:br/>
        <w:t xml:space="preserve">à </w:t>
      </w:r>
      <w:proofErr w:type="spellStart"/>
      <w:r w:rsidRPr="0018094D">
        <w:t>l</w:t>
      </w:r>
      <w:r w:rsidR="001F6A0D" w:rsidRPr="0018094D">
        <w:t>'</w:t>
      </w:r>
      <w:r w:rsidRPr="0018094D">
        <w:t>Annexe</w:t>
      </w:r>
      <w:proofErr w:type="spellEnd"/>
      <w:r w:rsidRPr="0018094D">
        <w:t xml:space="preserve"> 2</w:t>
      </w:r>
      <w:r w:rsidRPr="0018094D">
        <w:br/>
      </w:r>
      <w:r w:rsidRPr="0018094D">
        <w:br/>
      </w:r>
      <w:proofErr w:type="spellStart"/>
      <w:r w:rsidRPr="0018094D">
        <w:t>Exemples</w:t>
      </w:r>
      <w:proofErr w:type="spellEnd"/>
      <w:r w:rsidRPr="0018094D">
        <w:t xml:space="preserve"> </w:t>
      </w:r>
      <w:proofErr w:type="spellStart"/>
      <w:r w:rsidRPr="0018094D">
        <w:t>d</w:t>
      </w:r>
      <w:r w:rsidR="001F6A0D" w:rsidRPr="0018094D">
        <w:t>'</w:t>
      </w:r>
      <w:r w:rsidRPr="0018094D">
        <w:t>études</w:t>
      </w:r>
      <w:proofErr w:type="spellEnd"/>
      <w:r w:rsidRPr="0018094D">
        <w:t xml:space="preserve"> de distribution </w:t>
      </w:r>
      <w:proofErr w:type="spellStart"/>
      <w:r w:rsidRPr="0018094D">
        <w:t>statistique</w:t>
      </w:r>
      <w:bookmarkEnd w:id="91"/>
      <w:bookmarkEnd w:id="92"/>
      <w:proofErr w:type="spellEnd"/>
    </w:p>
    <w:p w14:paraId="709BD2EC" w14:textId="78F7CA90" w:rsidR="00725E50" w:rsidRPr="00075DC8" w:rsidRDefault="00725E50" w:rsidP="00725E50">
      <w:pPr>
        <w:pStyle w:val="Normalaftertitle"/>
        <w:rPr>
          <w:lang w:val="fr-FR" w:eastAsia="ja-JP"/>
        </w:rPr>
      </w:pPr>
      <w:r w:rsidRPr="00075DC8">
        <w:rPr>
          <w:lang w:val="fr-FR" w:eastAsia="ja-JP"/>
        </w:rPr>
        <w:t>Les exemples suivants ont été obtenus lors de l</w:t>
      </w:r>
      <w:r w:rsidR="001F6A0D" w:rsidRPr="00075DC8">
        <w:rPr>
          <w:lang w:val="fr-FR" w:eastAsia="ja-JP"/>
        </w:rPr>
        <w:t>'</w:t>
      </w:r>
      <w:r w:rsidRPr="00075DC8">
        <w:rPr>
          <w:lang w:val="fr-FR" w:eastAsia="ja-JP"/>
        </w:rPr>
        <w:t>analyse de quelques réseaux de point à point dans les réseaux d</w:t>
      </w:r>
      <w:r w:rsidR="001F6A0D" w:rsidRPr="00075DC8">
        <w:rPr>
          <w:lang w:val="fr-FR" w:eastAsia="ja-JP"/>
        </w:rPr>
        <w:t>'</w:t>
      </w:r>
      <w:r w:rsidRPr="00075DC8">
        <w:rPr>
          <w:lang w:val="fr-FR" w:eastAsia="ja-JP"/>
        </w:rPr>
        <w:t>infrastructure mobiles, dans lesquels les fonctions sont liées à la statistique des stations de base mobiles sur le territoire d</w:t>
      </w:r>
      <w:r w:rsidR="001F6A0D" w:rsidRPr="00075DC8">
        <w:rPr>
          <w:lang w:val="fr-FR" w:eastAsia="ja-JP"/>
        </w:rPr>
        <w:t>'</w:t>
      </w:r>
      <w:r w:rsidRPr="00075DC8">
        <w:rPr>
          <w:lang w:val="fr-FR" w:eastAsia="ja-JP"/>
        </w:rPr>
        <w:t>une administration. Ces réseaux sont décrits comme suit:</w:t>
      </w:r>
    </w:p>
    <w:p w14:paraId="24F7944F" w14:textId="379D4B9E" w:rsidR="00725E50" w:rsidRPr="00075DC8" w:rsidRDefault="00725E50" w:rsidP="00725E50">
      <w:pPr>
        <w:pStyle w:val="enumlev1"/>
        <w:rPr>
          <w:lang w:val="fr-FR"/>
        </w:rPr>
      </w:pPr>
      <w:r w:rsidRPr="00075DC8">
        <w:rPr>
          <w:lang w:val="fr-FR"/>
        </w:rPr>
        <w:t>–</w:t>
      </w:r>
      <w:r w:rsidRPr="00075DC8">
        <w:rPr>
          <w:lang w:val="fr-FR"/>
        </w:rPr>
        <w:tab/>
        <w:t>1 335 liaisons d</w:t>
      </w:r>
      <w:r w:rsidR="001F6A0D" w:rsidRPr="00075DC8">
        <w:rPr>
          <w:lang w:val="fr-FR"/>
        </w:rPr>
        <w:t>'</w:t>
      </w:r>
      <w:r w:rsidRPr="00075DC8">
        <w:rPr>
          <w:lang w:val="fr-FR"/>
        </w:rPr>
        <w:t>une longueur de 16 à 0,4 km dans la bande de 11 GHz;</w:t>
      </w:r>
    </w:p>
    <w:p w14:paraId="490155D1" w14:textId="219D56D8" w:rsidR="00725E50" w:rsidRPr="00075DC8" w:rsidRDefault="00725E50" w:rsidP="00725E50">
      <w:pPr>
        <w:pStyle w:val="enumlev1"/>
        <w:rPr>
          <w:lang w:val="fr-FR"/>
        </w:rPr>
      </w:pPr>
      <w:r w:rsidRPr="00075DC8">
        <w:rPr>
          <w:lang w:val="fr-FR"/>
        </w:rPr>
        <w:t>–</w:t>
      </w:r>
      <w:r w:rsidRPr="00075DC8">
        <w:rPr>
          <w:lang w:val="fr-FR"/>
        </w:rPr>
        <w:tab/>
        <w:t>1 285 liaisons d</w:t>
      </w:r>
      <w:r w:rsidR="001F6A0D" w:rsidRPr="00075DC8">
        <w:rPr>
          <w:lang w:val="fr-FR"/>
        </w:rPr>
        <w:t>'</w:t>
      </w:r>
      <w:r w:rsidRPr="00075DC8">
        <w:rPr>
          <w:lang w:val="fr-FR"/>
        </w:rPr>
        <w:t>une longueur de 8,7 à 0,1 km dans la bande de 15 GHz;</w:t>
      </w:r>
    </w:p>
    <w:p w14:paraId="534618D4" w14:textId="6697B4FC" w:rsidR="00725E50" w:rsidRPr="00075DC8" w:rsidRDefault="00725E50" w:rsidP="00725E50">
      <w:pPr>
        <w:pStyle w:val="enumlev1"/>
        <w:rPr>
          <w:lang w:val="fr-FR"/>
        </w:rPr>
      </w:pPr>
      <w:r w:rsidRPr="00075DC8">
        <w:rPr>
          <w:lang w:val="fr-FR"/>
        </w:rPr>
        <w:t>–</w:t>
      </w:r>
      <w:r w:rsidRPr="00075DC8">
        <w:rPr>
          <w:lang w:val="fr-FR"/>
        </w:rPr>
        <w:tab/>
        <w:t>1 058 liaisons d</w:t>
      </w:r>
      <w:r w:rsidR="001F6A0D" w:rsidRPr="00075DC8">
        <w:rPr>
          <w:lang w:val="fr-FR"/>
        </w:rPr>
        <w:t>'</w:t>
      </w:r>
      <w:r w:rsidRPr="00075DC8">
        <w:rPr>
          <w:lang w:val="fr-FR"/>
        </w:rPr>
        <w:t>une longueur de 5,1 à 0,1 km dans la bande de 18 GHz.</w:t>
      </w:r>
    </w:p>
    <w:p w14:paraId="4333580E" w14:textId="77777777" w:rsidR="00725E50" w:rsidRPr="00075DC8" w:rsidRDefault="00725E50" w:rsidP="00725E50">
      <w:pPr>
        <w:rPr>
          <w:lang w:val="fr-FR" w:eastAsia="ja-JP"/>
        </w:rPr>
      </w:pPr>
      <w:r w:rsidRPr="00075DC8">
        <w:rPr>
          <w:lang w:val="fr-FR" w:eastAsia="ja-JP"/>
        </w:rPr>
        <w:t>Les distributions statistiques qui ont été obtenues pour leurs p.i.r.e. sont présentées dans le Tableau 16.</w:t>
      </w:r>
    </w:p>
    <w:p w14:paraId="23C5DF2A" w14:textId="77777777" w:rsidR="00725E50" w:rsidRPr="00075DC8" w:rsidRDefault="00725E50" w:rsidP="00725E50">
      <w:pPr>
        <w:pStyle w:val="TableNo"/>
        <w:rPr>
          <w:lang w:val="fr-FR" w:eastAsia="ja-JP"/>
        </w:rPr>
      </w:pPr>
      <w:r w:rsidRPr="00075DC8">
        <w:rPr>
          <w:lang w:val="fr-FR" w:eastAsia="ja-JP"/>
        </w:rPr>
        <w:t>TABLEAU 16</w:t>
      </w:r>
    </w:p>
    <w:p w14:paraId="790F0C12" w14:textId="5987DC3B" w:rsidR="00725E50" w:rsidRPr="00075DC8" w:rsidRDefault="00725E50" w:rsidP="00725E50">
      <w:pPr>
        <w:pStyle w:val="Tabletitle"/>
        <w:rPr>
          <w:lang w:val="fr-FR" w:eastAsia="ja-JP"/>
        </w:rPr>
      </w:pPr>
      <w:r w:rsidRPr="00075DC8">
        <w:rPr>
          <w:lang w:val="fr-FR" w:eastAsia="ja-JP"/>
        </w:rPr>
        <w:t>Différence entre le maximum théorique et la dispersion statistique des données réelles</w:t>
      </w:r>
      <w:r w:rsidRPr="00075DC8">
        <w:rPr>
          <w:lang w:val="fr-FR" w:eastAsia="ja-JP"/>
        </w:rPr>
        <w:br/>
        <w:t>pour les p.i.r.e. (pour trois systèmes au sein d</w:t>
      </w:r>
      <w:r w:rsidR="001F6A0D" w:rsidRPr="00075DC8">
        <w:rPr>
          <w:lang w:val="fr-FR" w:eastAsia="ja-JP"/>
        </w:rPr>
        <w:t>'</w:t>
      </w:r>
      <w:r w:rsidRPr="00075DC8">
        <w:rPr>
          <w:lang w:val="fr-FR" w:eastAsia="ja-JP"/>
        </w:rPr>
        <w:t>une administration)</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895"/>
        <w:gridCol w:w="1895"/>
        <w:gridCol w:w="1895"/>
      </w:tblGrid>
      <w:tr w:rsidR="00725E50" w:rsidRPr="00075DC8" w14:paraId="666EB137" w14:textId="77777777" w:rsidTr="00ED4837">
        <w:trPr>
          <w:jc w:val="center"/>
        </w:trPr>
        <w:tc>
          <w:tcPr>
            <w:tcW w:w="3912" w:type="dxa"/>
            <w:tcBorders>
              <w:top w:val="single" w:sz="4" w:space="0" w:color="auto"/>
              <w:left w:val="single" w:sz="4" w:space="0" w:color="auto"/>
              <w:bottom w:val="single" w:sz="4" w:space="0" w:color="auto"/>
              <w:right w:val="single" w:sz="4" w:space="0" w:color="auto"/>
            </w:tcBorders>
            <w:vAlign w:val="center"/>
            <w:hideMark/>
          </w:tcPr>
          <w:p w14:paraId="514F091F" w14:textId="77777777" w:rsidR="00725E50" w:rsidRPr="00075DC8" w:rsidRDefault="00725E50" w:rsidP="00ED4837">
            <w:pPr>
              <w:pStyle w:val="Tablehead"/>
              <w:rPr>
                <w:lang w:val="fr-FR" w:eastAsia="ja-JP"/>
              </w:rPr>
            </w:pPr>
            <w:r w:rsidRPr="00075DC8">
              <w:rPr>
                <w:lang w:val="fr-FR" w:eastAsia="ja-JP"/>
              </w:rPr>
              <w:t xml:space="preserve">Bande de fréquences </w:t>
            </w:r>
            <w:r w:rsidRPr="00075DC8">
              <w:rPr>
                <w:lang w:val="fr-FR" w:eastAsia="ja-JP"/>
              </w:rPr>
              <w:br/>
              <w:t>(GHz)</w:t>
            </w:r>
          </w:p>
        </w:tc>
        <w:tc>
          <w:tcPr>
            <w:tcW w:w="1871" w:type="dxa"/>
            <w:tcBorders>
              <w:top w:val="single" w:sz="4" w:space="0" w:color="auto"/>
              <w:left w:val="single" w:sz="4" w:space="0" w:color="auto"/>
              <w:bottom w:val="single" w:sz="4" w:space="0" w:color="auto"/>
              <w:right w:val="single" w:sz="4" w:space="0" w:color="auto"/>
            </w:tcBorders>
            <w:vAlign w:val="center"/>
            <w:hideMark/>
          </w:tcPr>
          <w:p w14:paraId="601DCA65" w14:textId="77777777" w:rsidR="00725E50" w:rsidRPr="00075DC8" w:rsidRDefault="00725E50" w:rsidP="00ED4837">
            <w:pPr>
              <w:pStyle w:val="Tablehead"/>
              <w:rPr>
                <w:lang w:val="fr-FR" w:eastAsia="ja-JP"/>
              </w:rPr>
            </w:pPr>
            <w:r w:rsidRPr="00075DC8">
              <w:rPr>
                <w:lang w:val="fr-FR" w:eastAsia="ja-JP"/>
              </w:rPr>
              <w:t>10,715-10,955</w:t>
            </w:r>
            <w:r w:rsidRPr="00075DC8">
              <w:rPr>
                <w:lang w:val="fr-FR" w:eastAsia="ja-JP"/>
              </w:rPr>
              <w:br/>
              <w:t>11,245-11,485</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1EA6040" w14:textId="77777777" w:rsidR="00725E50" w:rsidRPr="00075DC8" w:rsidRDefault="00725E50" w:rsidP="00ED4837">
            <w:pPr>
              <w:pStyle w:val="Tablehead"/>
              <w:rPr>
                <w:lang w:val="fr-FR" w:eastAsia="ja-JP"/>
              </w:rPr>
            </w:pPr>
            <w:r w:rsidRPr="00075DC8">
              <w:rPr>
                <w:lang w:val="fr-FR" w:eastAsia="ja-JP"/>
              </w:rPr>
              <w:t>14,5-14,660</w:t>
            </w:r>
            <w:r w:rsidRPr="00075DC8">
              <w:rPr>
                <w:lang w:val="fr-FR" w:eastAsia="ja-JP"/>
              </w:rPr>
              <w:br/>
              <w:t>14,970-15,130</w:t>
            </w:r>
          </w:p>
        </w:tc>
        <w:tc>
          <w:tcPr>
            <w:tcW w:w="1871" w:type="dxa"/>
            <w:tcBorders>
              <w:top w:val="single" w:sz="4" w:space="0" w:color="auto"/>
              <w:left w:val="single" w:sz="4" w:space="0" w:color="auto"/>
              <w:bottom w:val="single" w:sz="4" w:space="0" w:color="auto"/>
              <w:right w:val="single" w:sz="4" w:space="0" w:color="auto"/>
            </w:tcBorders>
            <w:hideMark/>
          </w:tcPr>
          <w:p w14:paraId="477B761A" w14:textId="77777777" w:rsidR="00725E50" w:rsidRPr="00075DC8" w:rsidRDefault="00725E50" w:rsidP="00ED4837">
            <w:pPr>
              <w:pStyle w:val="Tablehead"/>
              <w:rPr>
                <w:lang w:val="fr-FR" w:eastAsia="ja-JP"/>
              </w:rPr>
            </w:pPr>
            <w:r w:rsidRPr="00075DC8">
              <w:rPr>
                <w:lang w:val="fr-FR" w:eastAsia="ja-JP"/>
              </w:rPr>
              <w:t>17,850-17,970</w:t>
            </w:r>
            <w:r w:rsidRPr="00075DC8">
              <w:rPr>
                <w:lang w:val="fr-FR" w:eastAsia="ja-JP"/>
              </w:rPr>
              <w:br/>
              <w:t>18,600-18,720</w:t>
            </w:r>
          </w:p>
        </w:tc>
      </w:tr>
      <w:tr w:rsidR="00725E50" w:rsidRPr="00075DC8" w14:paraId="1824B2B4" w14:textId="77777777" w:rsidTr="00862A2C">
        <w:trPr>
          <w:jc w:val="center"/>
        </w:trPr>
        <w:tc>
          <w:tcPr>
            <w:tcW w:w="3912" w:type="dxa"/>
            <w:tcBorders>
              <w:top w:val="single" w:sz="4" w:space="0" w:color="auto"/>
              <w:left w:val="single" w:sz="4" w:space="0" w:color="auto"/>
              <w:bottom w:val="single" w:sz="4" w:space="0" w:color="auto"/>
              <w:right w:val="single" w:sz="4" w:space="0" w:color="auto"/>
            </w:tcBorders>
            <w:hideMark/>
          </w:tcPr>
          <w:p w14:paraId="3F9168CB" w14:textId="77777777" w:rsidR="00725E50" w:rsidRPr="00075DC8" w:rsidRDefault="00725E50" w:rsidP="00862A2C">
            <w:pPr>
              <w:pStyle w:val="Tabletext"/>
              <w:jc w:val="left"/>
              <w:rPr>
                <w:lang w:val="fr-FR"/>
              </w:rPr>
            </w:pPr>
            <w:r w:rsidRPr="00075DC8">
              <w:rPr>
                <w:lang w:val="fr-FR"/>
              </w:rPr>
              <w:t>Maximum théorique</w:t>
            </w:r>
            <w:r w:rsidRPr="00075DC8">
              <w:rPr>
                <w:vertAlign w:val="superscript"/>
                <w:lang w:val="fr-FR"/>
              </w:rPr>
              <w:t>(1)</w:t>
            </w:r>
          </w:p>
        </w:tc>
        <w:tc>
          <w:tcPr>
            <w:tcW w:w="1871" w:type="dxa"/>
            <w:tcBorders>
              <w:top w:val="single" w:sz="4" w:space="0" w:color="auto"/>
              <w:left w:val="single" w:sz="4" w:space="0" w:color="auto"/>
              <w:bottom w:val="single" w:sz="4" w:space="0" w:color="auto"/>
              <w:right w:val="single" w:sz="4" w:space="0" w:color="auto"/>
            </w:tcBorders>
            <w:hideMark/>
          </w:tcPr>
          <w:p w14:paraId="486DF71B" w14:textId="77777777" w:rsidR="00725E50" w:rsidRPr="00075DC8" w:rsidRDefault="00725E50" w:rsidP="00862A2C">
            <w:pPr>
              <w:pStyle w:val="Tabletext"/>
              <w:jc w:val="center"/>
              <w:rPr>
                <w:lang w:val="fr-FR"/>
              </w:rPr>
            </w:pPr>
            <w:r w:rsidRPr="00075DC8">
              <w:rPr>
                <w:lang w:val="fr-FR"/>
              </w:rPr>
              <w:t>40,3</w:t>
            </w:r>
          </w:p>
        </w:tc>
        <w:tc>
          <w:tcPr>
            <w:tcW w:w="1871" w:type="dxa"/>
            <w:tcBorders>
              <w:top w:val="single" w:sz="4" w:space="0" w:color="auto"/>
              <w:left w:val="single" w:sz="4" w:space="0" w:color="auto"/>
              <w:bottom w:val="single" w:sz="4" w:space="0" w:color="auto"/>
              <w:right w:val="single" w:sz="4" w:space="0" w:color="auto"/>
            </w:tcBorders>
            <w:hideMark/>
          </w:tcPr>
          <w:p w14:paraId="3DADABF6" w14:textId="77777777" w:rsidR="00725E50" w:rsidRPr="00075DC8" w:rsidRDefault="00725E50" w:rsidP="00862A2C">
            <w:pPr>
              <w:pStyle w:val="Tabletext"/>
              <w:jc w:val="center"/>
              <w:rPr>
                <w:lang w:val="fr-FR"/>
              </w:rPr>
            </w:pPr>
            <w:r w:rsidRPr="00075DC8">
              <w:rPr>
                <w:lang w:val="fr-FR"/>
              </w:rPr>
              <w:t>38,1</w:t>
            </w:r>
          </w:p>
        </w:tc>
        <w:tc>
          <w:tcPr>
            <w:tcW w:w="1871" w:type="dxa"/>
            <w:tcBorders>
              <w:top w:val="single" w:sz="4" w:space="0" w:color="auto"/>
              <w:left w:val="single" w:sz="4" w:space="0" w:color="auto"/>
              <w:bottom w:val="single" w:sz="4" w:space="0" w:color="auto"/>
              <w:right w:val="single" w:sz="4" w:space="0" w:color="auto"/>
            </w:tcBorders>
            <w:hideMark/>
          </w:tcPr>
          <w:p w14:paraId="4AAADE73" w14:textId="77777777" w:rsidR="00725E50" w:rsidRPr="00075DC8" w:rsidRDefault="00725E50" w:rsidP="00862A2C">
            <w:pPr>
              <w:pStyle w:val="Tabletext"/>
              <w:jc w:val="center"/>
              <w:rPr>
                <w:lang w:val="fr-FR"/>
              </w:rPr>
            </w:pPr>
            <w:r w:rsidRPr="00075DC8">
              <w:rPr>
                <w:lang w:val="fr-FR"/>
              </w:rPr>
              <w:t>35</w:t>
            </w:r>
          </w:p>
        </w:tc>
      </w:tr>
      <w:tr w:rsidR="00725E50" w:rsidRPr="00075DC8" w14:paraId="2D00946A" w14:textId="77777777" w:rsidTr="00862A2C">
        <w:trPr>
          <w:jc w:val="center"/>
        </w:trPr>
        <w:tc>
          <w:tcPr>
            <w:tcW w:w="3912" w:type="dxa"/>
            <w:tcBorders>
              <w:top w:val="single" w:sz="4" w:space="0" w:color="auto"/>
              <w:left w:val="single" w:sz="4" w:space="0" w:color="auto"/>
              <w:bottom w:val="single" w:sz="4" w:space="0" w:color="auto"/>
              <w:right w:val="single" w:sz="4" w:space="0" w:color="auto"/>
            </w:tcBorders>
            <w:hideMark/>
          </w:tcPr>
          <w:p w14:paraId="52E85D76" w14:textId="77777777" w:rsidR="00725E50" w:rsidRPr="00075DC8" w:rsidRDefault="00725E50" w:rsidP="00862A2C">
            <w:pPr>
              <w:pStyle w:val="Tabletext"/>
              <w:jc w:val="left"/>
              <w:rPr>
                <w:lang w:val="fr-FR"/>
              </w:rPr>
            </w:pPr>
            <w:r w:rsidRPr="00075DC8">
              <w:rPr>
                <w:lang w:val="fr-FR"/>
              </w:rPr>
              <w:t>Maximum des données réelles</w:t>
            </w:r>
          </w:p>
        </w:tc>
        <w:tc>
          <w:tcPr>
            <w:tcW w:w="1871" w:type="dxa"/>
            <w:tcBorders>
              <w:top w:val="single" w:sz="4" w:space="0" w:color="auto"/>
              <w:left w:val="single" w:sz="4" w:space="0" w:color="auto"/>
              <w:bottom w:val="single" w:sz="4" w:space="0" w:color="auto"/>
              <w:right w:val="single" w:sz="4" w:space="0" w:color="auto"/>
            </w:tcBorders>
            <w:hideMark/>
          </w:tcPr>
          <w:p w14:paraId="375648F1" w14:textId="77777777" w:rsidR="00725E50" w:rsidRPr="00075DC8" w:rsidRDefault="00725E50" w:rsidP="00862A2C">
            <w:pPr>
              <w:pStyle w:val="Tabletext"/>
              <w:jc w:val="center"/>
              <w:rPr>
                <w:lang w:val="fr-FR"/>
              </w:rPr>
            </w:pPr>
            <w:r w:rsidRPr="00075DC8">
              <w:rPr>
                <w:lang w:val="fr-FR"/>
              </w:rPr>
              <w:t>38,8</w:t>
            </w:r>
          </w:p>
        </w:tc>
        <w:tc>
          <w:tcPr>
            <w:tcW w:w="1871" w:type="dxa"/>
            <w:tcBorders>
              <w:top w:val="single" w:sz="4" w:space="0" w:color="auto"/>
              <w:left w:val="single" w:sz="4" w:space="0" w:color="auto"/>
              <w:bottom w:val="single" w:sz="4" w:space="0" w:color="auto"/>
              <w:right w:val="single" w:sz="4" w:space="0" w:color="auto"/>
            </w:tcBorders>
            <w:hideMark/>
          </w:tcPr>
          <w:p w14:paraId="04390D90" w14:textId="77777777" w:rsidR="00725E50" w:rsidRPr="00075DC8" w:rsidRDefault="00725E50" w:rsidP="00862A2C">
            <w:pPr>
              <w:pStyle w:val="Tabletext"/>
              <w:jc w:val="center"/>
              <w:rPr>
                <w:lang w:val="fr-FR"/>
              </w:rPr>
            </w:pPr>
            <w:r w:rsidRPr="00075DC8">
              <w:rPr>
                <w:lang w:val="fr-FR"/>
              </w:rPr>
              <w:t>35,4</w:t>
            </w:r>
          </w:p>
        </w:tc>
        <w:tc>
          <w:tcPr>
            <w:tcW w:w="1871" w:type="dxa"/>
            <w:tcBorders>
              <w:top w:val="single" w:sz="4" w:space="0" w:color="auto"/>
              <w:left w:val="single" w:sz="4" w:space="0" w:color="auto"/>
              <w:bottom w:val="single" w:sz="4" w:space="0" w:color="auto"/>
              <w:right w:val="single" w:sz="4" w:space="0" w:color="auto"/>
            </w:tcBorders>
            <w:hideMark/>
          </w:tcPr>
          <w:p w14:paraId="1BC9EFC8" w14:textId="77777777" w:rsidR="00725E50" w:rsidRPr="00075DC8" w:rsidRDefault="00725E50" w:rsidP="00862A2C">
            <w:pPr>
              <w:pStyle w:val="Tabletext"/>
              <w:jc w:val="center"/>
              <w:rPr>
                <w:lang w:val="fr-FR"/>
              </w:rPr>
            </w:pPr>
            <w:r w:rsidRPr="00075DC8">
              <w:rPr>
                <w:lang w:val="fr-FR"/>
              </w:rPr>
              <w:t>33</w:t>
            </w:r>
          </w:p>
        </w:tc>
      </w:tr>
      <w:tr w:rsidR="00725E50" w:rsidRPr="00075DC8" w14:paraId="40BCD8E9" w14:textId="77777777" w:rsidTr="00862A2C">
        <w:trPr>
          <w:jc w:val="center"/>
        </w:trPr>
        <w:tc>
          <w:tcPr>
            <w:tcW w:w="3912" w:type="dxa"/>
            <w:tcBorders>
              <w:top w:val="single" w:sz="4" w:space="0" w:color="auto"/>
              <w:left w:val="single" w:sz="4" w:space="0" w:color="auto"/>
              <w:bottom w:val="single" w:sz="4" w:space="0" w:color="auto"/>
              <w:right w:val="single" w:sz="4" w:space="0" w:color="auto"/>
            </w:tcBorders>
            <w:hideMark/>
          </w:tcPr>
          <w:p w14:paraId="0A4A684C" w14:textId="77777777" w:rsidR="00725E50" w:rsidRPr="00075DC8" w:rsidRDefault="00725E50" w:rsidP="00862A2C">
            <w:pPr>
              <w:pStyle w:val="Tabletext"/>
              <w:jc w:val="left"/>
              <w:rPr>
                <w:lang w:val="fr-FR"/>
              </w:rPr>
            </w:pPr>
            <w:r w:rsidRPr="00075DC8">
              <w:rPr>
                <w:lang w:val="fr-FR"/>
              </w:rPr>
              <w:t>Moyenne des données réelles (</w:t>
            </w:r>
            <w:r w:rsidRPr="00075DC8">
              <w:rPr>
                <w:lang w:val="fr-FR"/>
              </w:rPr>
              <w:sym w:font="Symbol" w:char="F06D"/>
            </w:r>
            <w:r w:rsidRPr="00075DC8">
              <w:rPr>
                <w:lang w:val="fr-FR"/>
              </w:rPr>
              <w:t>)</w:t>
            </w:r>
          </w:p>
        </w:tc>
        <w:tc>
          <w:tcPr>
            <w:tcW w:w="1871" w:type="dxa"/>
            <w:tcBorders>
              <w:top w:val="single" w:sz="4" w:space="0" w:color="auto"/>
              <w:left w:val="single" w:sz="4" w:space="0" w:color="auto"/>
              <w:bottom w:val="single" w:sz="4" w:space="0" w:color="auto"/>
              <w:right w:val="single" w:sz="4" w:space="0" w:color="auto"/>
            </w:tcBorders>
            <w:hideMark/>
          </w:tcPr>
          <w:p w14:paraId="638FF184" w14:textId="77777777" w:rsidR="00725E50" w:rsidRPr="00075DC8" w:rsidRDefault="00725E50" w:rsidP="00862A2C">
            <w:pPr>
              <w:pStyle w:val="Tabletext"/>
              <w:jc w:val="center"/>
              <w:rPr>
                <w:lang w:val="fr-FR"/>
              </w:rPr>
            </w:pPr>
            <w:r w:rsidRPr="00075DC8">
              <w:rPr>
                <w:lang w:val="fr-FR"/>
              </w:rPr>
              <w:t>31,7</w:t>
            </w:r>
          </w:p>
        </w:tc>
        <w:tc>
          <w:tcPr>
            <w:tcW w:w="1871" w:type="dxa"/>
            <w:tcBorders>
              <w:top w:val="single" w:sz="4" w:space="0" w:color="auto"/>
              <w:left w:val="single" w:sz="4" w:space="0" w:color="auto"/>
              <w:bottom w:val="single" w:sz="4" w:space="0" w:color="auto"/>
              <w:right w:val="single" w:sz="4" w:space="0" w:color="auto"/>
            </w:tcBorders>
            <w:hideMark/>
          </w:tcPr>
          <w:p w14:paraId="243140DA" w14:textId="77777777" w:rsidR="00725E50" w:rsidRPr="00075DC8" w:rsidRDefault="00725E50" w:rsidP="00862A2C">
            <w:pPr>
              <w:pStyle w:val="Tabletext"/>
              <w:jc w:val="center"/>
              <w:rPr>
                <w:lang w:val="fr-FR"/>
              </w:rPr>
            </w:pPr>
            <w:r w:rsidRPr="00075DC8">
              <w:rPr>
                <w:lang w:val="fr-FR"/>
              </w:rPr>
              <w:t>28,4</w:t>
            </w:r>
          </w:p>
        </w:tc>
        <w:tc>
          <w:tcPr>
            <w:tcW w:w="1871" w:type="dxa"/>
            <w:tcBorders>
              <w:top w:val="single" w:sz="4" w:space="0" w:color="auto"/>
              <w:left w:val="single" w:sz="4" w:space="0" w:color="auto"/>
              <w:bottom w:val="single" w:sz="4" w:space="0" w:color="auto"/>
              <w:right w:val="single" w:sz="4" w:space="0" w:color="auto"/>
            </w:tcBorders>
            <w:hideMark/>
          </w:tcPr>
          <w:p w14:paraId="1091B441" w14:textId="77777777" w:rsidR="00725E50" w:rsidRPr="00075DC8" w:rsidRDefault="00725E50" w:rsidP="00862A2C">
            <w:pPr>
              <w:pStyle w:val="Tabletext"/>
              <w:jc w:val="center"/>
              <w:rPr>
                <w:lang w:val="fr-FR"/>
              </w:rPr>
            </w:pPr>
            <w:r w:rsidRPr="00075DC8">
              <w:rPr>
                <w:lang w:val="fr-FR"/>
              </w:rPr>
              <w:t>22,8</w:t>
            </w:r>
          </w:p>
        </w:tc>
      </w:tr>
      <w:tr w:rsidR="00725E50" w:rsidRPr="00075DC8" w14:paraId="11AE537A" w14:textId="77777777" w:rsidTr="00862A2C">
        <w:trPr>
          <w:jc w:val="center"/>
        </w:trPr>
        <w:tc>
          <w:tcPr>
            <w:tcW w:w="3912" w:type="dxa"/>
            <w:tcBorders>
              <w:top w:val="single" w:sz="4" w:space="0" w:color="auto"/>
              <w:left w:val="single" w:sz="4" w:space="0" w:color="auto"/>
              <w:bottom w:val="single" w:sz="4" w:space="0" w:color="auto"/>
              <w:right w:val="single" w:sz="4" w:space="0" w:color="auto"/>
            </w:tcBorders>
            <w:hideMark/>
          </w:tcPr>
          <w:p w14:paraId="27DA3E6F" w14:textId="77777777" w:rsidR="00725E50" w:rsidRPr="00075DC8" w:rsidRDefault="00725E50" w:rsidP="00862A2C">
            <w:pPr>
              <w:pStyle w:val="Tabletext"/>
              <w:jc w:val="left"/>
              <w:rPr>
                <w:lang w:val="fr-FR"/>
              </w:rPr>
            </w:pPr>
            <w:r w:rsidRPr="00075DC8">
              <w:rPr>
                <w:lang w:val="fr-FR"/>
              </w:rPr>
              <w:t>Écart type des données réelles (</w:t>
            </w:r>
            <w:r w:rsidRPr="00075DC8">
              <w:rPr>
                <w:lang w:val="fr-FR"/>
              </w:rPr>
              <w:sym w:font="Symbol" w:char="F073"/>
            </w:r>
            <w:r w:rsidRPr="00075DC8">
              <w:rPr>
                <w:lang w:val="fr-FR"/>
              </w:rPr>
              <w:t>)</w:t>
            </w:r>
          </w:p>
        </w:tc>
        <w:tc>
          <w:tcPr>
            <w:tcW w:w="1871" w:type="dxa"/>
            <w:tcBorders>
              <w:top w:val="single" w:sz="4" w:space="0" w:color="auto"/>
              <w:left w:val="single" w:sz="4" w:space="0" w:color="auto"/>
              <w:bottom w:val="single" w:sz="4" w:space="0" w:color="auto"/>
              <w:right w:val="single" w:sz="4" w:space="0" w:color="auto"/>
            </w:tcBorders>
            <w:hideMark/>
          </w:tcPr>
          <w:p w14:paraId="7A99EF5A" w14:textId="77777777" w:rsidR="00725E50" w:rsidRPr="00075DC8" w:rsidRDefault="00725E50" w:rsidP="00862A2C">
            <w:pPr>
              <w:pStyle w:val="Tabletext"/>
              <w:jc w:val="center"/>
              <w:rPr>
                <w:lang w:val="fr-FR"/>
              </w:rPr>
            </w:pPr>
            <w:r w:rsidRPr="00075DC8">
              <w:rPr>
                <w:lang w:val="fr-FR"/>
              </w:rPr>
              <w:t>3,2</w:t>
            </w:r>
          </w:p>
        </w:tc>
        <w:tc>
          <w:tcPr>
            <w:tcW w:w="1871" w:type="dxa"/>
            <w:tcBorders>
              <w:top w:val="single" w:sz="4" w:space="0" w:color="auto"/>
              <w:left w:val="single" w:sz="4" w:space="0" w:color="auto"/>
              <w:bottom w:val="single" w:sz="4" w:space="0" w:color="auto"/>
              <w:right w:val="single" w:sz="4" w:space="0" w:color="auto"/>
            </w:tcBorders>
            <w:hideMark/>
          </w:tcPr>
          <w:p w14:paraId="7E805763" w14:textId="77777777" w:rsidR="00725E50" w:rsidRPr="00075DC8" w:rsidRDefault="00725E50" w:rsidP="00862A2C">
            <w:pPr>
              <w:pStyle w:val="Tabletext"/>
              <w:jc w:val="center"/>
              <w:rPr>
                <w:lang w:val="fr-FR"/>
              </w:rPr>
            </w:pPr>
            <w:r w:rsidRPr="00075DC8">
              <w:rPr>
                <w:lang w:val="fr-FR"/>
              </w:rPr>
              <w:t>3,2</w:t>
            </w:r>
          </w:p>
        </w:tc>
        <w:tc>
          <w:tcPr>
            <w:tcW w:w="1871" w:type="dxa"/>
            <w:tcBorders>
              <w:top w:val="single" w:sz="4" w:space="0" w:color="auto"/>
              <w:left w:val="single" w:sz="4" w:space="0" w:color="auto"/>
              <w:bottom w:val="single" w:sz="4" w:space="0" w:color="auto"/>
              <w:right w:val="single" w:sz="4" w:space="0" w:color="auto"/>
            </w:tcBorders>
            <w:hideMark/>
          </w:tcPr>
          <w:p w14:paraId="1CA56F5F" w14:textId="77777777" w:rsidR="00725E50" w:rsidRPr="00075DC8" w:rsidRDefault="00725E50" w:rsidP="00862A2C">
            <w:pPr>
              <w:pStyle w:val="Tabletext"/>
              <w:jc w:val="center"/>
              <w:rPr>
                <w:lang w:val="fr-FR"/>
              </w:rPr>
            </w:pPr>
            <w:r w:rsidRPr="00075DC8">
              <w:rPr>
                <w:lang w:val="fr-FR"/>
              </w:rPr>
              <w:t>4,3</w:t>
            </w:r>
          </w:p>
        </w:tc>
      </w:tr>
      <w:tr w:rsidR="00725E50" w:rsidRPr="00075DC8" w14:paraId="31B944A5" w14:textId="77777777" w:rsidTr="00862A2C">
        <w:trPr>
          <w:jc w:val="center"/>
        </w:trPr>
        <w:tc>
          <w:tcPr>
            <w:tcW w:w="3912" w:type="dxa"/>
            <w:tcBorders>
              <w:top w:val="single" w:sz="4" w:space="0" w:color="auto"/>
              <w:left w:val="single" w:sz="4" w:space="0" w:color="auto"/>
              <w:bottom w:val="single" w:sz="4" w:space="0" w:color="auto"/>
              <w:right w:val="single" w:sz="4" w:space="0" w:color="auto"/>
            </w:tcBorders>
            <w:hideMark/>
          </w:tcPr>
          <w:p w14:paraId="67C51921" w14:textId="77777777" w:rsidR="00725E50" w:rsidRPr="00075DC8" w:rsidRDefault="00725E50" w:rsidP="00862A2C">
            <w:pPr>
              <w:pStyle w:val="Tabletext"/>
              <w:jc w:val="left"/>
              <w:rPr>
                <w:lang w:val="fr-FR"/>
              </w:rPr>
            </w:pPr>
            <w:r w:rsidRPr="00075DC8">
              <w:rPr>
                <w:lang w:val="fr-FR"/>
              </w:rPr>
              <w:t>Différence entre le maximum théorique et le maximum des données réelles</w:t>
            </w:r>
          </w:p>
        </w:tc>
        <w:tc>
          <w:tcPr>
            <w:tcW w:w="1871" w:type="dxa"/>
            <w:tcBorders>
              <w:top w:val="single" w:sz="4" w:space="0" w:color="auto"/>
              <w:left w:val="single" w:sz="4" w:space="0" w:color="auto"/>
              <w:bottom w:val="single" w:sz="4" w:space="0" w:color="auto"/>
              <w:right w:val="single" w:sz="4" w:space="0" w:color="auto"/>
            </w:tcBorders>
            <w:hideMark/>
          </w:tcPr>
          <w:p w14:paraId="0F61EE78" w14:textId="77777777" w:rsidR="00725E50" w:rsidRPr="00075DC8" w:rsidRDefault="00725E50" w:rsidP="00862A2C">
            <w:pPr>
              <w:pStyle w:val="Tabletext"/>
              <w:jc w:val="center"/>
              <w:rPr>
                <w:lang w:val="fr-FR"/>
              </w:rPr>
            </w:pPr>
            <w:r w:rsidRPr="00075DC8">
              <w:rPr>
                <w:lang w:val="fr-FR"/>
              </w:rPr>
              <w:t>1,5</w:t>
            </w:r>
          </w:p>
        </w:tc>
        <w:tc>
          <w:tcPr>
            <w:tcW w:w="1871" w:type="dxa"/>
            <w:tcBorders>
              <w:top w:val="single" w:sz="4" w:space="0" w:color="auto"/>
              <w:left w:val="single" w:sz="4" w:space="0" w:color="auto"/>
              <w:bottom w:val="single" w:sz="4" w:space="0" w:color="auto"/>
              <w:right w:val="single" w:sz="4" w:space="0" w:color="auto"/>
            </w:tcBorders>
            <w:hideMark/>
          </w:tcPr>
          <w:p w14:paraId="3B061F27" w14:textId="77777777" w:rsidR="00725E50" w:rsidRPr="00075DC8" w:rsidRDefault="00725E50" w:rsidP="00862A2C">
            <w:pPr>
              <w:pStyle w:val="Tabletext"/>
              <w:jc w:val="center"/>
              <w:rPr>
                <w:lang w:val="fr-FR"/>
              </w:rPr>
            </w:pPr>
            <w:r w:rsidRPr="00075DC8">
              <w:rPr>
                <w:lang w:val="fr-FR"/>
              </w:rPr>
              <w:t>2,7</w:t>
            </w:r>
          </w:p>
        </w:tc>
        <w:tc>
          <w:tcPr>
            <w:tcW w:w="1871" w:type="dxa"/>
            <w:tcBorders>
              <w:top w:val="single" w:sz="4" w:space="0" w:color="auto"/>
              <w:left w:val="single" w:sz="4" w:space="0" w:color="auto"/>
              <w:bottom w:val="single" w:sz="4" w:space="0" w:color="auto"/>
              <w:right w:val="single" w:sz="4" w:space="0" w:color="auto"/>
            </w:tcBorders>
            <w:hideMark/>
          </w:tcPr>
          <w:p w14:paraId="74E5DF6D" w14:textId="77777777" w:rsidR="00725E50" w:rsidRPr="00075DC8" w:rsidRDefault="00725E50" w:rsidP="00862A2C">
            <w:pPr>
              <w:pStyle w:val="Tabletext"/>
              <w:jc w:val="center"/>
              <w:rPr>
                <w:lang w:val="fr-FR"/>
              </w:rPr>
            </w:pPr>
            <w:r w:rsidRPr="00075DC8">
              <w:rPr>
                <w:lang w:val="fr-FR"/>
              </w:rPr>
              <w:t>2</w:t>
            </w:r>
          </w:p>
        </w:tc>
      </w:tr>
      <w:tr w:rsidR="00725E50" w:rsidRPr="00075DC8" w14:paraId="654D17B1" w14:textId="77777777" w:rsidTr="00862A2C">
        <w:trPr>
          <w:jc w:val="center"/>
        </w:trPr>
        <w:tc>
          <w:tcPr>
            <w:tcW w:w="3912" w:type="dxa"/>
            <w:tcBorders>
              <w:top w:val="single" w:sz="4" w:space="0" w:color="auto"/>
              <w:left w:val="single" w:sz="4" w:space="0" w:color="auto"/>
              <w:bottom w:val="single" w:sz="4" w:space="0" w:color="auto"/>
              <w:right w:val="single" w:sz="4" w:space="0" w:color="auto"/>
            </w:tcBorders>
            <w:hideMark/>
          </w:tcPr>
          <w:p w14:paraId="2B8B4516" w14:textId="77777777" w:rsidR="00725E50" w:rsidRPr="00075DC8" w:rsidRDefault="00725E50" w:rsidP="00862A2C">
            <w:pPr>
              <w:pStyle w:val="Tabletext"/>
              <w:jc w:val="left"/>
              <w:rPr>
                <w:lang w:val="fr-FR"/>
              </w:rPr>
            </w:pPr>
            <w:r w:rsidRPr="00075DC8">
              <w:rPr>
                <w:lang w:val="fr-FR"/>
              </w:rPr>
              <w:sym w:font="Symbol" w:char="F06D"/>
            </w:r>
            <w:r w:rsidRPr="00075DC8">
              <w:rPr>
                <w:lang w:val="fr-FR"/>
              </w:rPr>
              <w:t xml:space="preserve"> + 2</w:t>
            </w:r>
            <w:r w:rsidRPr="00075DC8">
              <w:rPr>
                <w:lang w:val="fr-FR"/>
              </w:rPr>
              <w:sym w:font="Symbol" w:char="F073"/>
            </w:r>
          </w:p>
        </w:tc>
        <w:tc>
          <w:tcPr>
            <w:tcW w:w="1871" w:type="dxa"/>
            <w:tcBorders>
              <w:top w:val="single" w:sz="4" w:space="0" w:color="auto"/>
              <w:left w:val="single" w:sz="4" w:space="0" w:color="auto"/>
              <w:bottom w:val="single" w:sz="4" w:space="0" w:color="auto"/>
              <w:right w:val="single" w:sz="4" w:space="0" w:color="auto"/>
            </w:tcBorders>
            <w:hideMark/>
          </w:tcPr>
          <w:p w14:paraId="18E619FD" w14:textId="77777777" w:rsidR="00725E50" w:rsidRPr="00075DC8" w:rsidRDefault="00725E50" w:rsidP="00862A2C">
            <w:pPr>
              <w:pStyle w:val="Tabletext"/>
              <w:jc w:val="center"/>
              <w:rPr>
                <w:lang w:val="fr-FR"/>
              </w:rPr>
            </w:pPr>
            <w:r w:rsidRPr="00075DC8">
              <w:rPr>
                <w:lang w:val="fr-FR"/>
              </w:rPr>
              <w:t>38,1</w:t>
            </w:r>
          </w:p>
        </w:tc>
        <w:tc>
          <w:tcPr>
            <w:tcW w:w="1871" w:type="dxa"/>
            <w:tcBorders>
              <w:top w:val="single" w:sz="4" w:space="0" w:color="auto"/>
              <w:left w:val="single" w:sz="4" w:space="0" w:color="auto"/>
              <w:bottom w:val="single" w:sz="4" w:space="0" w:color="auto"/>
              <w:right w:val="single" w:sz="4" w:space="0" w:color="auto"/>
            </w:tcBorders>
            <w:hideMark/>
          </w:tcPr>
          <w:p w14:paraId="4E7FACD7" w14:textId="77777777" w:rsidR="00725E50" w:rsidRPr="00075DC8" w:rsidRDefault="00725E50" w:rsidP="00862A2C">
            <w:pPr>
              <w:pStyle w:val="Tabletext"/>
              <w:jc w:val="center"/>
              <w:rPr>
                <w:lang w:val="fr-FR"/>
              </w:rPr>
            </w:pPr>
            <w:r w:rsidRPr="00075DC8">
              <w:rPr>
                <w:lang w:val="fr-FR"/>
              </w:rPr>
              <w:t>34,8</w:t>
            </w:r>
          </w:p>
        </w:tc>
        <w:tc>
          <w:tcPr>
            <w:tcW w:w="1871" w:type="dxa"/>
            <w:tcBorders>
              <w:top w:val="single" w:sz="4" w:space="0" w:color="auto"/>
              <w:left w:val="single" w:sz="4" w:space="0" w:color="auto"/>
              <w:bottom w:val="single" w:sz="4" w:space="0" w:color="auto"/>
              <w:right w:val="single" w:sz="4" w:space="0" w:color="auto"/>
            </w:tcBorders>
            <w:hideMark/>
          </w:tcPr>
          <w:p w14:paraId="13169B36" w14:textId="77777777" w:rsidR="00725E50" w:rsidRPr="00075DC8" w:rsidRDefault="00725E50" w:rsidP="00862A2C">
            <w:pPr>
              <w:pStyle w:val="Tabletext"/>
              <w:jc w:val="center"/>
              <w:rPr>
                <w:lang w:val="fr-FR"/>
              </w:rPr>
            </w:pPr>
            <w:r w:rsidRPr="00075DC8">
              <w:rPr>
                <w:lang w:val="fr-FR"/>
              </w:rPr>
              <w:t>31,4</w:t>
            </w:r>
          </w:p>
        </w:tc>
      </w:tr>
      <w:tr w:rsidR="00725E50" w:rsidRPr="00075DC8" w14:paraId="0C6E6039" w14:textId="77777777" w:rsidTr="00862A2C">
        <w:trPr>
          <w:jc w:val="center"/>
        </w:trPr>
        <w:tc>
          <w:tcPr>
            <w:tcW w:w="3912" w:type="dxa"/>
            <w:tcBorders>
              <w:top w:val="single" w:sz="4" w:space="0" w:color="auto"/>
              <w:left w:val="single" w:sz="4" w:space="0" w:color="auto"/>
              <w:bottom w:val="single" w:sz="4" w:space="0" w:color="auto"/>
              <w:right w:val="single" w:sz="4" w:space="0" w:color="auto"/>
            </w:tcBorders>
            <w:hideMark/>
          </w:tcPr>
          <w:p w14:paraId="5992E087" w14:textId="77777777" w:rsidR="00725E50" w:rsidRPr="00075DC8" w:rsidRDefault="00725E50" w:rsidP="00862A2C">
            <w:pPr>
              <w:pStyle w:val="Tabletext"/>
              <w:jc w:val="left"/>
              <w:rPr>
                <w:lang w:val="fr-FR"/>
              </w:rPr>
            </w:pPr>
            <w:r w:rsidRPr="00075DC8">
              <w:rPr>
                <w:lang w:val="fr-FR"/>
              </w:rPr>
              <w:t>Maximum théorique (</w:t>
            </w:r>
            <w:r w:rsidRPr="00075DC8">
              <w:rPr>
                <w:lang w:val="fr-FR"/>
              </w:rPr>
              <w:sym w:font="Symbol" w:char="F06D"/>
            </w:r>
            <w:r w:rsidRPr="00075DC8">
              <w:rPr>
                <w:lang w:val="fr-FR"/>
              </w:rPr>
              <w:t xml:space="preserve"> + 2</w:t>
            </w:r>
            <w:r w:rsidRPr="00075DC8">
              <w:rPr>
                <w:lang w:val="fr-FR"/>
              </w:rPr>
              <w:sym w:font="Symbol" w:char="F073"/>
            </w:r>
            <w:r w:rsidRPr="00075DC8">
              <w:rPr>
                <w:lang w:val="fr-FR"/>
              </w:rPr>
              <w:t>)</w:t>
            </w:r>
          </w:p>
        </w:tc>
        <w:tc>
          <w:tcPr>
            <w:tcW w:w="1871" w:type="dxa"/>
            <w:tcBorders>
              <w:top w:val="single" w:sz="4" w:space="0" w:color="auto"/>
              <w:left w:val="single" w:sz="4" w:space="0" w:color="auto"/>
              <w:bottom w:val="single" w:sz="4" w:space="0" w:color="auto"/>
              <w:right w:val="single" w:sz="4" w:space="0" w:color="auto"/>
            </w:tcBorders>
            <w:hideMark/>
          </w:tcPr>
          <w:p w14:paraId="72BC8537" w14:textId="77777777" w:rsidR="00725E50" w:rsidRPr="00075DC8" w:rsidRDefault="00725E50" w:rsidP="00862A2C">
            <w:pPr>
              <w:pStyle w:val="Tabletext"/>
              <w:jc w:val="center"/>
              <w:rPr>
                <w:lang w:val="fr-FR"/>
              </w:rPr>
            </w:pPr>
            <w:r w:rsidRPr="00075DC8">
              <w:rPr>
                <w:lang w:val="fr-FR"/>
              </w:rPr>
              <w:t>2,2</w:t>
            </w:r>
          </w:p>
        </w:tc>
        <w:tc>
          <w:tcPr>
            <w:tcW w:w="1871" w:type="dxa"/>
            <w:tcBorders>
              <w:top w:val="single" w:sz="4" w:space="0" w:color="auto"/>
              <w:left w:val="single" w:sz="4" w:space="0" w:color="auto"/>
              <w:bottom w:val="single" w:sz="4" w:space="0" w:color="auto"/>
              <w:right w:val="single" w:sz="4" w:space="0" w:color="auto"/>
            </w:tcBorders>
            <w:hideMark/>
          </w:tcPr>
          <w:p w14:paraId="454F7795" w14:textId="77777777" w:rsidR="00725E50" w:rsidRPr="00075DC8" w:rsidRDefault="00725E50" w:rsidP="00862A2C">
            <w:pPr>
              <w:pStyle w:val="Tabletext"/>
              <w:jc w:val="center"/>
              <w:rPr>
                <w:lang w:val="fr-FR"/>
              </w:rPr>
            </w:pPr>
            <w:r w:rsidRPr="00075DC8">
              <w:rPr>
                <w:lang w:val="fr-FR"/>
              </w:rPr>
              <w:t>3,3</w:t>
            </w:r>
          </w:p>
        </w:tc>
        <w:tc>
          <w:tcPr>
            <w:tcW w:w="1871" w:type="dxa"/>
            <w:tcBorders>
              <w:top w:val="single" w:sz="4" w:space="0" w:color="auto"/>
              <w:left w:val="single" w:sz="4" w:space="0" w:color="auto"/>
              <w:bottom w:val="single" w:sz="4" w:space="0" w:color="auto"/>
              <w:right w:val="single" w:sz="4" w:space="0" w:color="auto"/>
            </w:tcBorders>
            <w:hideMark/>
          </w:tcPr>
          <w:p w14:paraId="14AB587D" w14:textId="77777777" w:rsidR="00725E50" w:rsidRPr="00075DC8" w:rsidRDefault="00725E50" w:rsidP="00862A2C">
            <w:pPr>
              <w:pStyle w:val="Tabletext"/>
              <w:jc w:val="center"/>
              <w:rPr>
                <w:lang w:val="fr-FR"/>
              </w:rPr>
            </w:pPr>
            <w:r w:rsidRPr="00075DC8">
              <w:rPr>
                <w:lang w:val="fr-FR"/>
              </w:rPr>
              <w:t>3,6</w:t>
            </w:r>
          </w:p>
        </w:tc>
      </w:tr>
      <w:tr w:rsidR="00725E50" w:rsidRPr="00075DC8" w14:paraId="5A9A3270" w14:textId="77777777" w:rsidTr="00862A2C">
        <w:trPr>
          <w:jc w:val="center"/>
        </w:trPr>
        <w:tc>
          <w:tcPr>
            <w:tcW w:w="3912" w:type="dxa"/>
            <w:tcBorders>
              <w:top w:val="single" w:sz="4" w:space="0" w:color="auto"/>
              <w:left w:val="single" w:sz="4" w:space="0" w:color="auto"/>
              <w:bottom w:val="single" w:sz="4" w:space="0" w:color="auto"/>
              <w:right w:val="single" w:sz="4" w:space="0" w:color="auto"/>
            </w:tcBorders>
            <w:hideMark/>
          </w:tcPr>
          <w:p w14:paraId="016E0FA7" w14:textId="77777777" w:rsidR="00725E50" w:rsidRPr="00075DC8" w:rsidRDefault="00725E50" w:rsidP="00862A2C">
            <w:pPr>
              <w:pStyle w:val="Tabletext"/>
              <w:jc w:val="left"/>
              <w:rPr>
                <w:lang w:val="fr-FR"/>
              </w:rPr>
            </w:pPr>
            <w:r w:rsidRPr="00075DC8">
              <w:rPr>
                <w:lang w:val="fr-FR"/>
              </w:rPr>
              <w:sym w:font="Symbol" w:char="F06D"/>
            </w:r>
            <w:r w:rsidRPr="00075DC8">
              <w:rPr>
                <w:lang w:val="fr-FR"/>
              </w:rPr>
              <w:t xml:space="preserve"> + 1,64</w:t>
            </w:r>
            <w:r w:rsidRPr="00075DC8">
              <w:rPr>
                <w:lang w:val="fr-FR"/>
              </w:rPr>
              <w:sym w:font="Symbol" w:char="F073"/>
            </w:r>
          </w:p>
        </w:tc>
        <w:tc>
          <w:tcPr>
            <w:tcW w:w="1871" w:type="dxa"/>
            <w:tcBorders>
              <w:top w:val="single" w:sz="4" w:space="0" w:color="auto"/>
              <w:left w:val="single" w:sz="4" w:space="0" w:color="auto"/>
              <w:bottom w:val="single" w:sz="4" w:space="0" w:color="auto"/>
              <w:right w:val="single" w:sz="4" w:space="0" w:color="auto"/>
            </w:tcBorders>
            <w:hideMark/>
          </w:tcPr>
          <w:p w14:paraId="765B1BD5" w14:textId="77777777" w:rsidR="00725E50" w:rsidRPr="00075DC8" w:rsidRDefault="00725E50" w:rsidP="00862A2C">
            <w:pPr>
              <w:pStyle w:val="Tabletext"/>
              <w:jc w:val="center"/>
              <w:rPr>
                <w:lang w:val="fr-FR"/>
              </w:rPr>
            </w:pPr>
            <w:r w:rsidRPr="00075DC8">
              <w:rPr>
                <w:lang w:val="fr-FR"/>
              </w:rPr>
              <w:t>37</w:t>
            </w:r>
          </w:p>
        </w:tc>
        <w:tc>
          <w:tcPr>
            <w:tcW w:w="1871" w:type="dxa"/>
            <w:tcBorders>
              <w:top w:val="single" w:sz="4" w:space="0" w:color="auto"/>
              <w:left w:val="single" w:sz="4" w:space="0" w:color="auto"/>
              <w:bottom w:val="single" w:sz="4" w:space="0" w:color="auto"/>
              <w:right w:val="single" w:sz="4" w:space="0" w:color="auto"/>
            </w:tcBorders>
            <w:hideMark/>
          </w:tcPr>
          <w:p w14:paraId="2047B3FE" w14:textId="77777777" w:rsidR="00725E50" w:rsidRPr="00075DC8" w:rsidRDefault="00725E50" w:rsidP="00862A2C">
            <w:pPr>
              <w:pStyle w:val="Tabletext"/>
              <w:jc w:val="center"/>
              <w:rPr>
                <w:lang w:val="fr-FR"/>
              </w:rPr>
            </w:pPr>
            <w:r w:rsidRPr="00075DC8">
              <w:rPr>
                <w:lang w:val="fr-FR"/>
              </w:rPr>
              <w:t>33,7</w:t>
            </w:r>
          </w:p>
        </w:tc>
        <w:tc>
          <w:tcPr>
            <w:tcW w:w="1871" w:type="dxa"/>
            <w:tcBorders>
              <w:top w:val="single" w:sz="4" w:space="0" w:color="auto"/>
              <w:left w:val="single" w:sz="4" w:space="0" w:color="auto"/>
              <w:bottom w:val="single" w:sz="4" w:space="0" w:color="auto"/>
              <w:right w:val="single" w:sz="4" w:space="0" w:color="auto"/>
            </w:tcBorders>
            <w:hideMark/>
          </w:tcPr>
          <w:p w14:paraId="79D0CECB" w14:textId="77777777" w:rsidR="00725E50" w:rsidRPr="00075DC8" w:rsidRDefault="00725E50" w:rsidP="00862A2C">
            <w:pPr>
              <w:pStyle w:val="Tabletext"/>
              <w:jc w:val="center"/>
              <w:rPr>
                <w:lang w:val="fr-FR"/>
              </w:rPr>
            </w:pPr>
            <w:r w:rsidRPr="00075DC8">
              <w:rPr>
                <w:lang w:val="fr-FR"/>
              </w:rPr>
              <w:t>29,9</w:t>
            </w:r>
          </w:p>
        </w:tc>
      </w:tr>
      <w:tr w:rsidR="00725E50" w:rsidRPr="00075DC8" w14:paraId="02135D57" w14:textId="77777777" w:rsidTr="00862A2C">
        <w:trPr>
          <w:jc w:val="center"/>
        </w:trPr>
        <w:tc>
          <w:tcPr>
            <w:tcW w:w="3912" w:type="dxa"/>
            <w:tcBorders>
              <w:top w:val="single" w:sz="4" w:space="0" w:color="auto"/>
              <w:left w:val="single" w:sz="4" w:space="0" w:color="auto"/>
              <w:bottom w:val="single" w:sz="4" w:space="0" w:color="auto"/>
              <w:right w:val="single" w:sz="4" w:space="0" w:color="auto"/>
            </w:tcBorders>
            <w:hideMark/>
          </w:tcPr>
          <w:p w14:paraId="688DD3B8" w14:textId="77777777" w:rsidR="00725E50" w:rsidRPr="00075DC8" w:rsidRDefault="00725E50" w:rsidP="00862A2C">
            <w:pPr>
              <w:pStyle w:val="Tabletext"/>
              <w:jc w:val="left"/>
              <w:rPr>
                <w:lang w:val="fr-FR"/>
              </w:rPr>
            </w:pPr>
            <w:r w:rsidRPr="00075DC8">
              <w:rPr>
                <w:lang w:val="fr-FR"/>
              </w:rPr>
              <w:t>Maximum théorique (</w:t>
            </w:r>
            <w:r w:rsidRPr="00075DC8">
              <w:rPr>
                <w:lang w:val="fr-FR"/>
              </w:rPr>
              <w:sym w:font="Symbol" w:char="F06D"/>
            </w:r>
            <w:r w:rsidRPr="00075DC8">
              <w:rPr>
                <w:lang w:val="fr-FR"/>
              </w:rPr>
              <w:t xml:space="preserve"> + 1,64</w:t>
            </w:r>
            <w:r w:rsidRPr="00075DC8">
              <w:rPr>
                <w:lang w:val="fr-FR"/>
              </w:rPr>
              <w:sym w:font="Symbol" w:char="F073"/>
            </w:r>
            <w:r w:rsidRPr="00075DC8">
              <w:rPr>
                <w:lang w:val="fr-FR"/>
              </w:rPr>
              <w:t>)</w:t>
            </w:r>
          </w:p>
        </w:tc>
        <w:tc>
          <w:tcPr>
            <w:tcW w:w="1871" w:type="dxa"/>
            <w:tcBorders>
              <w:top w:val="single" w:sz="4" w:space="0" w:color="auto"/>
              <w:left w:val="single" w:sz="4" w:space="0" w:color="auto"/>
              <w:bottom w:val="single" w:sz="4" w:space="0" w:color="auto"/>
              <w:right w:val="single" w:sz="4" w:space="0" w:color="auto"/>
            </w:tcBorders>
            <w:hideMark/>
          </w:tcPr>
          <w:p w14:paraId="24001C4D" w14:textId="77777777" w:rsidR="00725E50" w:rsidRPr="00075DC8" w:rsidRDefault="00725E50" w:rsidP="00862A2C">
            <w:pPr>
              <w:pStyle w:val="Tabletext"/>
              <w:jc w:val="center"/>
              <w:rPr>
                <w:lang w:val="fr-FR"/>
              </w:rPr>
            </w:pPr>
            <w:r w:rsidRPr="00075DC8">
              <w:rPr>
                <w:lang w:val="fr-FR"/>
              </w:rPr>
              <w:t>3,3</w:t>
            </w:r>
          </w:p>
        </w:tc>
        <w:tc>
          <w:tcPr>
            <w:tcW w:w="1871" w:type="dxa"/>
            <w:tcBorders>
              <w:top w:val="single" w:sz="4" w:space="0" w:color="auto"/>
              <w:left w:val="single" w:sz="4" w:space="0" w:color="auto"/>
              <w:bottom w:val="single" w:sz="4" w:space="0" w:color="auto"/>
              <w:right w:val="single" w:sz="4" w:space="0" w:color="auto"/>
            </w:tcBorders>
            <w:hideMark/>
          </w:tcPr>
          <w:p w14:paraId="334A8360" w14:textId="77777777" w:rsidR="00725E50" w:rsidRPr="00075DC8" w:rsidRDefault="00725E50" w:rsidP="00862A2C">
            <w:pPr>
              <w:pStyle w:val="Tabletext"/>
              <w:jc w:val="center"/>
              <w:rPr>
                <w:lang w:val="fr-FR"/>
              </w:rPr>
            </w:pPr>
            <w:r w:rsidRPr="00075DC8">
              <w:rPr>
                <w:lang w:val="fr-FR"/>
              </w:rPr>
              <w:t>4,4</w:t>
            </w:r>
          </w:p>
        </w:tc>
        <w:tc>
          <w:tcPr>
            <w:tcW w:w="1871" w:type="dxa"/>
            <w:tcBorders>
              <w:top w:val="single" w:sz="4" w:space="0" w:color="auto"/>
              <w:left w:val="single" w:sz="4" w:space="0" w:color="auto"/>
              <w:bottom w:val="single" w:sz="4" w:space="0" w:color="auto"/>
              <w:right w:val="single" w:sz="4" w:space="0" w:color="auto"/>
            </w:tcBorders>
            <w:hideMark/>
          </w:tcPr>
          <w:p w14:paraId="4C9EC5B4" w14:textId="77777777" w:rsidR="00725E50" w:rsidRPr="00075DC8" w:rsidRDefault="00725E50" w:rsidP="00862A2C">
            <w:pPr>
              <w:pStyle w:val="Tabletext"/>
              <w:jc w:val="center"/>
              <w:rPr>
                <w:lang w:val="fr-FR"/>
              </w:rPr>
            </w:pPr>
            <w:r w:rsidRPr="00075DC8">
              <w:rPr>
                <w:lang w:val="fr-FR"/>
              </w:rPr>
              <w:t>5,1</w:t>
            </w:r>
          </w:p>
        </w:tc>
      </w:tr>
      <w:tr w:rsidR="00725E50" w:rsidRPr="00075DC8" w14:paraId="15C4C043" w14:textId="77777777" w:rsidTr="00ED4837">
        <w:trPr>
          <w:jc w:val="center"/>
        </w:trPr>
        <w:tc>
          <w:tcPr>
            <w:tcW w:w="9524" w:type="dxa"/>
            <w:gridSpan w:val="4"/>
            <w:tcBorders>
              <w:top w:val="single" w:sz="4" w:space="0" w:color="auto"/>
              <w:left w:val="nil"/>
              <w:bottom w:val="nil"/>
              <w:right w:val="nil"/>
            </w:tcBorders>
            <w:vAlign w:val="center"/>
            <w:hideMark/>
          </w:tcPr>
          <w:p w14:paraId="3BF08901" w14:textId="686BBF87" w:rsidR="00725E50" w:rsidRPr="00075DC8" w:rsidRDefault="00725E50" w:rsidP="00862A2C">
            <w:pPr>
              <w:pStyle w:val="Tabletext"/>
              <w:ind w:left="284" w:hanging="284"/>
              <w:rPr>
                <w:lang w:val="fr-FR" w:eastAsia="ja-JP"/>
              </w:rPr>
            </w:pPr>
            <w:r w:rsidRPr="00075DC8">
              <w:rPr>
                <w:vertAlign w:val="superscript"/>
                <w:lang w:val="fr-FR" w:eastAsia="ja-JP"/>
              </w:rPr>
              <w:t>(1)</w:t>
            </w:r>
            <w:r w:rsidR="00862A2C" w:rsidRPr="00075DC8">
              <w:rPr>
                <w:lang w:val="fr-FR" w:eastAsia="ja-JP"/>
              </w:rPr>
              <w:tab/>
            </w:r>
            <w:r w:rsidRPr="00075DC8">
              <w:rPr>
                <w:lang w:val="fr-FR" w:eastAsia="ja-JP"/>
              </w:rPr>
              <w:t>Maximum théorique = puissance de sortie au niveau de l</w:t>
            </w:r>
            <w:r w:rsidR="001F6A0D" w:rsidRPr="00075DC8">
              <w:rPr>
                <w:lang w:val="fr-FR" w:eastAsia="ja-JP"/>
              </w:rPr>
              <w:t>'</w:t>
            </w:r>
            <w:r w:rsidRPr="00075DC8">
              <w:rPr>
                <w:lang w:val="fr-FR" w:eastAsia="ja-JP"/>
              </w:rPr>
              <w:t>émetteur (maximum) – pertes dues à la ligne d</w:t>
            </w:r>
            <w:r w:rsidR="001F6A0D" w:rsidRPr="00075DC8">
              <w:rPr>
                <w:lang w:val="fr-FR" w:eastAsia="ja-JP"/>
              </w:rPr>
              <w:t>'</w:t>
            </w:r>
            <w:r w:rsidRPr="00075DC8">
              <w:rPr>
                <w:lang w:val="fr-FR" w:eastAsia="ja-JP"/>
              </w:rPr>
              <w:t>alimentation ou au multiplexeur (minimum) + gain d</w:t>
            </w:r>
            <w:r w:rsidR="001F6A0D" w:rsidRPr="00075DC8">
              <w:rPr>
                <w:lang w:val="fr-FR" w:eastAsia="ja-JP"/>
              </w:rPr>
              <w:t>'</w:t>
            </w:r>
            <w:r w:rsidRPr="00075DC8">
              <w:rPr>
                <w:lang w:val="fr-FR" w:eastAsia="ja-JP"/>
              </w:rPr>
              <w:t>antenne (maximum), cette valeur ne pouvant pas devenir le maximum des données réelles.</w:t>
            </w:r>
          </w:p>
        </w:tc>
      </w:tr>
    </w:tbl>
    <w:p w14:paraId="6EB59758" w14:textId="77777777" w:rsidR="00862A2C" w:rsidRPr="00075DC8" w:rsidRDefault="00862A2C" w:rsidP="00862A2C">
      <w:pPr>
        <w:pStyle w:val="Tablefin"/>
        <w:rPr>
          <w:lang w:val="fr-FR" w:eastAsia="ja-JP"/>
        </w:rPr>
      </w:pPr>
    </w:p>
    <w:p w14:paraId="38108D1A" w14:textId="48AD5176" w:rsidR="00725E50" w:rsidRPr="00075DC8" w:rsidRDefault="00725E50" w:rsidP="00862A2C">
      <w:pPr>
        <w:rPr>
          <w:lang w:val="fr-FR" w:eastAsia="ja-JP"/>
        </w:rPr>
      </w:pPr>
      <w:r w:rsidRPr="00075DC8">
        <w:rPr>
          <w:lang w:val="fr-FR" w:eastAsia="ja-JP"/>
        </w:rPr>
        <w:t>Les différences entre le maximum théorique et le maximum des données réelles sont comprises entre 1,5 et 2,7 dB. Le nombre de données réelles au niveau de l</w:t>
      </w:r>
      <w:r w:rsidR="001F6A0D" w:rsidRPr="00075DC8">
        <w:rPr>
          <w:lang w:val="fr-FR" w:eastAsia="ja-JP"/>
        </w:rPr>
        <w:t>'</w:t>
      </w:r>
      <w:r w:rsidRPr="00075DC8">
        <w:rPr>
          <w:lang w:val="fr-FR" w:eastAsia="ja-JP"/>
        </w:rPr>
        <w:t>émetteur pour ces systèmes dépasse 2 000. En supposant qu</w:t>
      </w:r>
      <w:r w:rsidR="001F6A0D" w:rsidRPr="00075DC8">
        <w:rPr>
          <w:lang w:val="fr-FR" w:eastAsia="ja-JP"/>
        </w:rPr>
        <w:t>'</w:t>
      </w:r>
      <w:r w:rsidRPr="00075DC8">
        <w:rPr>
          <w:lang w:val="fr-FR" w:eastAsia="ja-JP"/>
        </w:rPr>
        <w:t>un ensemble de plus de 2 000 données suit une distribution normale, on a calculé les valeurs de 2 </w:t>
      </w:r>
      <w:r w:rsidRPr="00075DC8">
        <w:rPr>
          <w:lang w:val="fr-FR" w:eastAsia="ja-JP"/>
        </w:rPr>
        <w:sym w:font="Symbol" w:char="F073"/>
      </w:r>
      <w:r w:rsidRPr="00075DC8">
        <w:rPr>
          <w:lang w:val="fr-FR" w:eastAsia="ja-JP"/>
        </w:rPr>
        <w:t xml:space="preserve"> et de 1,64 </w:t>
      </w:r>
      <w:r w:rsidRPr="00075DC8">
        <w:rPr>
          <w:lang w:val="fr-FR" w:eastAsia="ja-JP"/>
        </w:rPr>
        <w:sym w:font="Symbol" w:char="F073"/>
      </w:r>
      <w:r w:rsidRPr="00075DC8">
        <w:rPr>
          <w:lang w:val="fr-FR" w:eastAsia="ja-JP"/>
        </w:rPr>
        <w:t xml:space="preserve">, </w:t>
      </w:r>
      <w:r w:rsidRPr="00075DC8">
        <w:rPr>
          <w:lang w:val="fr-FR" w:eastAsia="ja-JP"/>
        </w:rPr>
        <w:sym w:font="Symbol" w:char="F073"/>
      </w:r>
      <w:r w:rsidRPr="00075DC8">
        <w:rPr>
          <w:lang w:val="fr-FR" w:eastAsia="ja-JP"/>
        </w:rPr>
        <w:t xml:space="preserve"> étant l</w:t>
      </w:r>
      <w:r w:rsidR="001F6A0D" w:rsidRPr="00075DC8">
        <w:rPr>
          <w:lang w:val="fr-FR" w:eastAsia="ja-JP"/>
        </w:rPr>
        <w:t>'</w:t>
      </w:r>
      <w:r w:rsidRPr="00075DC8">
        <w:rPr>
          <w:lang w:val="fr-FR" w:eastAsia="ja-JP"/>
        </w:rPr>
        <w:t>écart type et μ étant la moyenne. Environ 95% des données sont situées à moins de 2 σ de la moyenne et environ 90% des données sont situées à moins de 1,64 σ de la moyenne. La p.i.r.e. est inférieure au maximum théorique de 3 dB environ pour 95% des données et de 4 dB environ pour 90% des données.</w:t>
      </w:r>
    </w:p>
    <w:p w14:paraId="6E01F236" w14:textId="73C0B65C" w:rsidR="00725E50" w:rsidRPr="00075DC8" w:rsidRDefault="00725E50" w:rsidP="00E9047B">
      <w:pPr>
        <w:keepNext/>
        <w:rPr>
          <w:lang w:val="fr-FR" w:eastAsia="ja-JP"/>
        </w:rPr>
      </w:pPr>
      <w:r w:rsidRPr="00075DC8">
        <w:rPr>
          <w:lang w:val="fr-FR" w:eastAsia="ja-JP"/>
        </w:rPr>
        <w:lastRenderedPageBreak/>
        <w:t>Il convient de noter qu</w:t>
      </w:r>
      <w:r w:rsidR="001F6A0D" w:rsidRPr="00075DC8">
        <w:rPr>
          <w:lang w:val="fr-FR" w:eastAsia="ja-JP"/>
        </w:rPr>
        <w:t>'</w:t>
      </w:r>
      <w:r w:rsidRPr="00075DC8">
        <w:rPr>
          <w:lang w:val="fr-FR" w:eastAsia="ja-JP"/>
        </w:rPr>
        <w:t>une telle analyse peut conduire à des résultats quelque peu différents suivant la distribution statistique des données.</w:t>
      </w:r>
    </w:p>
    <w:p w14:paraId="5BB604AA" w14:textId="77777777" w:rsidR="00725E50" w:rsidRPr="00075DC8" w:rsidRDefault="00725E50" w:rsidP="00E9047B">
      <w:pPr>
        <w:keepNext/>
        <w:rPr>
          <w:lang w:val="fr-FR" w:eastAsia="ja-JP"/>
        </w:rPr>
      </w:pPr>
      <w:r w:rsidRPr="00075DC8">
        <w:rPr>
          <w:lang w:val="fr-FR" w:eastAsia="ja-JP"/>
        </w:rPr>
        <w:t>Toutefois, il est prouvé que, dans des exemples pratiques, il y a une petite différence entre le maximum théorique et les valeurs maximales des données réelles.</w:t>
      </w:r>
    </w:p>
    <w:p w14:paraId="28E6B8A5" w14:textId="77777777" w:rsidR="00862A2C" w:rsidRPr="00075DC8" w:rsidRDefault="00862A2C" w:rsidP="00862A2C">
      <w:pPr>
        <w:rPr>
          <w:lang w:val="fr-FR" w:eastAsia="ja-JP"/>
        </w:rPr>
      </w:pPr>
    </w:p>
    <w:p w14:paraId="452E4923" w14:textId="77777777" w:rsidR="00862A2C" w:rsidRPr="00075DC8" w:rsidRDefault="00862A2C" w:rsidP="00862A2C">
      <w:pPr>
        <w:rPr>
          <w:lang w:val="fr-FR" w:eastAsia="ja-JP"/>
        </w:rPr>
      </w:pPr>
    </w:p>
    <w:p w14:paraId="70DDE21E" w14:textId="77777777" w:rsidR="00725E50" w:rsidRPr="00075DC8" w:rsidRDefault="00725E50" w:rsidP="00862A2C">
      <w:pPr>
        <w:pStyle w:val="AnnexNoTitle"/>
        <w:outlineLvl w:val="0"/>
        <w:rPr>
          <w:lang w:val="fr-FR" w:eastAsia="ja-JP"/>
        </w:rPr>
      </w:pPr>
      <w:bookmarkStart w:id="93" w:name="_Toc37843629"/>
      <w:bookmarkStart w:id="94" w:name="_Toc198643851"/>
      <w:r w:rsidRPr="00075DC8">
        <w:rPr>
          <w:lang w:val="fr-FR" w:eastAsia="ja-JP"/>
        </w:rPr>
        <w:t>Annexe 3</w:t>
      </w:r>
      <w:r w:rsidRPr="00075DC8">
        <w:rPr>
          <w:lang w:val="fr-FR" w:eastAsia="ja-JP"/>
        </w:rPr>
        <w:br/>
      </w:r>
      <w:r w:rsidRPr="00075DC8">
        <w:rPr>
          <w:lang w:val="fr-FR" w:eastAsia="ja-JP"/>
        </w:rPr>
        <w:br/>
        <w:t>Autres paramètres des systèmes propres au service fixe</w:t>
      </w:r>
      <w:bookmarkEnd w:id="93"/>
      <w:bookmarkEnd w:id="94"/>
      <w:r w:rsidRPr="00075DC8">
        <w:rPr>
          <w:lang w:val="fr-FR" w:eastAsia="ja-JP"/>
        </w:rPr>
        <w:t xml:space="preserve"> </w:t>
      </w:r>
    </w:p>
    <w:p w14:paraId="0B389C7A" w14:textId="0003E40E" w:rsidR="00725E50" w:rsidRPr="00075DC8" w:rsidRDefault="00725E50" w:rsidP="00725E50">
      <w:pPr>
        <w:pStyle w:val="Normalaftertitle"/>
        <w:rPr>
          <w:lang w:val="fr-FR" w:eastAsia="ja-JP"/>
        </w:rPr>
      </w:pPr>
      <w:r w:rsidRPr="00075DC8">
        <w:rPr>
          <w:lang w:val="fr-FR" w:eastAsia="ja-JP"/>
        </w:rPr>
        <w:t>Les informations dans la présente Annexe concernent toujours les systèmes réels mis en place au cours du temps. Certains de ces paramètres peuvent être obsolètes, mais aucun nouvel ensemble complet de paramètres n</w:t>
      </w:r>
      <w:r w:rsidR="001F6A0D" w:rsidRPr="00075DC8">
        <w:rPr>
          <w:lang w:val="fr-FR" w:eastAsia="ja-JP"/>
        </w:rPr>
        <w:t>'</w:t>
      </w:r>
      <w:r w:rsidRPr="00075DC8">
        <w:rPr>
          <w:lang w:val="fr-FR" w:eastAsia="ja-JP"/>
        </w:rPr>
        <w:t>a encore été présenté par les administrations. Ils peuvent encore être employés provisoirement lorsque des données pour les systèmes de référence, pour les bandes considérées, ne figurent pas dans les tableaux de l</w:t>
      </w:r>
      <w:r w:rsidR="001F6A0D" w:rsidRPr="00075DC8">
        <w:rPr>
          <w:lang w:val="fr-FR" w:eastAsia="ja-JP"/>
        </w:rPr>
        <w:t>'</w:t>
      </w:r>
      <w:r w:rsidRPr="00075DC8">
        <w:rPr>
          <w:lang w:val="fr-FR" w:eastAsia="ja-JP"/>
        </w:rPr>
        <w:t>Annexe 2.</w:t>
      </w:r>
    </w:p>
    <w:p w14:paraId="15D7A64D" w14:textId="77777777" w:rsidR="00725E50" w:rsidRPr="00075DC8" w:rsidRDefault="00725E50" w:rsidP="00725E50">
      <w:pPr>
        <w:rPr>
          <w:lang w:val="fr-FR" w:eastAsia="ja-JP"/>
        </w:rPr>
      </w:pPr>
      <w:r w:rsidRPr="00075DC8">
        <w:rPr>
          <w:lang w:val="fr-FR" w:eastAsia="ja-JP"/>
        </w:rPr>
        <w:t>La présente Annexe est fondée sur le Rapport UIT-R F.2108. Les termes suivants sont mis à jour:</w:t>
      </w:r>
    </w:p>
    <w:p w14:paraId="0D13915F" w14:textId="77777777" w:rsidR="00725E50" w:rsidRPr="00075DC8" w:rsidRDefault="00725E50" w:rsidP="00725E50">
      <w:pPr>
        <w:pStyle w:val="enumlev1"/>
        <w:rPr>
          <w:lang w:val="fr-FR" w:eastAsia="ja-JP"/>
        </w:rPr>
      </w:pPr>
      <w:r w:rsidRPr="00075DC8">
        <w:rPr>
          <w:lang w:val="fr-FR" w:eastAsia="ja-JP"/>
        </w:rPr>
        <w:t>–</w:t>
      </w:r>
      <w:r w:rsidRPr="00075DC8">
        <w:rPr>
          <w:lang w:val="fr-FR" w:eastAsia="ja-JP"/>
        </w:rPr>
        <w:tab/>
        <w:t>Les termes «concentrateur», «station de base» et «station centrale» ont été remplacés par le terme unique «station centrale».</w:t>
      </w:r>
    </w:p>
    <w:p w14:paraId="42BCA23C" w14:textId="77777777" w:rsidR="00725E50" w:rsidRPr="00075DC8" w:rsidRDefault="00725E50" w:rsidP="00725E50">
      <w:pPr>
        <w:pStyle w:val="enumlev1"/>
        <w:rPr>
          <w:lang w:val="fr-FR" w:eastAsia="ja-JP"/>
        </w:rPr>
      </w:pPr>
      <w:r w:rsidRPr="00075DC8">
        <w:rPr>
          <w:lang w:val="fr-FR" w:eastAsia="ja-JP"/>
        </w:rPr>
        <w:t>–</w:t>
      </w:r>
      <w:r w:rsidRPr="00075DC8">
        <w:rPr>
          <w:lang w:val="fr-FR" w:eastAsia="ja-JP"/>
        </w:rPr>
        <w:tab/>
        <w:t>Les termes «station distante», «station de sortie» et «station terminale» ont été remplacés par le terme unique «station terminale».</w:t>
      </w:r>
    </w:p>
    <w:p w14:paraId="59A89E87" w14:textId="71D1A556" w:rsidR="00725E50" w:rsidRPr="00075DC8" w:rsidRDefault="00725E50" w:rsidP="00725E50">
      <w:pPr>
        <w:rPr>
          <w:szCs w:val="22"/>
          <w:lang w:val="fr-FR" w:eastAsia="ja-JP"/>
        </w:rPr>
      </w:pPr>
      <w:r w:rsidRPr="00075DC8">
        <w:rPr>
          <w:szCs w:val="22"/>
          <w:lang w:val="fr-FR" w:eastAsia="ja-JP"/>
        </w:rPr>
        <w:t xml:space="preserve">Pour chacune des gammes de fréquences dans les Tableaux 17 à 20, il y a deux colonnes qui renvoient à des valeurs représentatives de systèmes simples et de systèmes plus complexes, respectivement (voir le </w:t>
      </w:r>
      <w:r w:rsidR="008B1840" w:rsidRPr="00075DC8">
        <w:rPr>
          <w:szCs w:val="22"/>
          <w:lang w:val="fr-FR" w:eastAsia="ja-JP"/>
        </w:rPr>
        <w:t>§ </w:t>
      </w:r>
      <w:r w:rsidRPr="00075DC8">
        <w:rPr>
          <w:szCs w:val="22"/>
          <w:lang w:val="fr-FR" w:eastAsia="ja-JP"/>
        </w:rPr>
        <w:t>4.3 de l</w:t>
      </w:r>
      <w:r w:rsidR="001F6A0D" w:rsidRPr="00075DC8">
        <w:rPr>
          <w:szCs w:val="22"/>
          <w:lang w:val="fr-FR" w:eastAsia="ja-JP"/>
        </w:rPr>
        <w:t>'</w:t>
      </w:r>
      <w:r w:rsidRPr="00075DC8">
        <w:rPr>
          <w:szCs w:val="22"/>
          <w:lang w:val="fr-FR" w:eastAsia="ja-JP"/>
        </w:rPr>
        <w:t>Annexe 2).</w:t>
      </w:r>
    </w:p>
    <w:p w14:paraId="35F2E392" w14:textId="77777777" w:rsidR="00862A2C" w:rsidRPr="00075DC8" w:rsidRDefault="00862A2C" w:rsidP="00725E50">
      <w:pPr>
        <w:rPr>
          <w:szCs w:val="22"/>
          <w:lang w:val="fr-FR" w:eastAsia="ja-JP"/>
        </w:rPr>
      </w:pPr>
    </w:p>
    <w:p w14:paraId="34D68CDE" w14:textId="77777777" w:rsidR="00725E50" w:rsidRPr="00075DC8" w:rsidRDefault="00725E50" w:rsidP="00725E50">
      <w:pPr>
        <w:rPr>
          <w:lang w:val="fr-FR"/>
        </w:rPr>
        <w:sectPr w:rsidR="00725E50" w:rsidRPr="00075DC8" w:rsidSect="00725E50">
          <w:headerReference w:type="even" r:id="rId118"/>
          <w:headerReference w:type="default" r:id="rId119"/>
          <w:pgSz w:w="11907" w:h="16834" w:code="9"/>
          <w:pgMar w:top="1418" w:right="1134" w:bottom="1134" w:left="1134" w:header="720" w:footer="482" w:gutter="0"/>
          <w:paperSrc w:first="15" w:other="15"/>
          <w:cols w:space="720"/>
          <w:docGrid w:linePitch="326"/>
        </w:sectPr>
      </w:pPr>
    </w:p>
    <w:p w14:paraId="25E6E2BD" w14:textId="77777777" w:rsidR="00725E50" w:rsidRPr="00075DC8" w:rsidRDefault="00725E50" w:rsidP="00725E50">
      <w:pPr>
        <w:pStyle w:val="TableNo"/>
        <w:rPr>
          <w:lang w:val="fr-FR" w:eastAsia="ja-JP"/>
        </w:rPr>
      </w:pPr>
      <w:r w:rsidRPr="00075DC8">
        <w:rPr>
          <w:lang w:val="fr-FR" w:eastAsia="ja-JP"/>
        </w:rPr>
        <w:lastRenderedPageBreak/>
        <w:t>TABLEAU 17</w:t>
      </w:r>
    </w:p>
    <w:p w14:paraId="25952815" w14:textId="77777777" w:rsidR="00725E50" w:rsidRPr="00075DC8" w:rsidRDefault="00725E50" w:rsidP="00725E50">
      <w:pPr>
        <w:pStyle w:val="Tabletitle"/>
        <w:rPr>
          <w:lang w:val="fr-FR" w:eastAsia="ja-JP"/>
        </w:rPr>
      </w:pPr>
      <w:r w:rsidRPr="00075DC8">
        <w:rPr>
          <w:lang w:val="fr-FR" w:eastAsia="ja-JP"/>
        </w:rPr>
        <w:t>Paramètres des systèmes du service fixe de point à point dans les bandes attribuées inférieures à 3 GHz</w:t>
      </w:r>
    </w:p>
    <w:tbl>
      <w:tblPr>
        <w:tblW w:w="14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5"/>
        <w:gridCol w:w="1344"/>
        <w:gridCol w:w="1343"/>
        <w:gridCol w:w="1271"/>
        <w:gridCol w:w="1271"/>
        <w:gridCol w:w="1200"/>
        <w:gridCol w:w="1202"/>
        <w:gridCol w:w="1270"/>
        <w:gridCol w:w="1272"/>
        <w:gridCol w:w="1352"/>
      </w:tblGrid>
      <w:tr w:rsidR="00725E50" w:rsidRPr="00075DC8" w14:paraId="35143720" w14:textId="77777777" w:rsidTr="00D11437">
        <w:trPr>
          <w:jc w:val="center"/>
        </w:trPr>
        <w:tc>
          <w:tcPr>
            <w:tcW w:w="2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62F62AD" w14:textId="77777777" w:rsidR="00725E50" w:rsidRPr="00075DC8" w:rsidRDefault="00725E50" w:rsidP="00ED4837">
            <w:pPr>
              <w:pStyle w:val="Tablehead"/>
              <w:rPr>
                <w:sz w:val="20"/>
                <w:lang w:val="fr-FR" w:eastAsia="ja-JP"/>
              </w:rPr>
            </w:pPr>
            <w:r w:rsidRPr="00075DC8">
              <w:rPr>
                <w:sz w:val="20"/>
                <w:lang w:val="fr-FR" w:eastAsia="ja-JP"/>
              </w:rPr>
              <w:t>Gamme de fréquences</w:t>
            </w:r>
            <w:r w:rsidRPr="00075DC8">
              <w:rPr>
                <w:sz w:val="20"/>
                <w:lang w:val="fr-FR" w:eastAsia="ja-JP"/>
              </w:rPr>
              <w:br/>
              <w:t>(GHz)</w:t>
            </w:r>
          </w:p>
        </w:tc>
        <w:tc>
          <w:tcPr>
            <w:tcW w:w="2687" w:type="dxa"/>
            <w:gridSpan w:val="2"/>
            <w:tcBorders>
              <w:top w:val="single" w:sz="4" w:space="0" w:color="auto"/>
              <w:left w:val="single" w:sz="4" w:space="0" w:color="auto"/>
              <w:bottom w:val="single" w:sz="4" w:space="0" w:color="auto"/>
              <w:right w:val="single" w:sz="4" w:space="0" w:color="auto"/>
            </w:tcBorders>
            <w:vAlign w:val="center"/>
            <w:hideMark/>
          </w:tcPr>
          <w:p w14:paraId="42E977C4" w14:textId="77777777" w:rsidR="00725E50" w:rsidRPr="00075DC8" w:rsidRDefault="00725E50" w:rsidP="00ED4837">
            <w:pPr>
              <w:pStyle w:val="Tablehead"/>
              <w:rPr>
                <w:sz w:val="20"/>
                <w:lang w:val="fr-FR" w:eastAsia="ja-JP"/>
              </w:rPr>
            </w:pPr>
            <w:r w:rsidRPr="00075DC8">
              <w:rPr>
                <w:sz w:val="20"/>
                <w:lang w:val="fr-FR" w:eastAsia="ja-JP"/>
              </w:rPr>
              <w:t>0,4061-0,450</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14:paraId="11A469C8" w14:textId="77777777" w:rsidR="00725E50" w:rsidRPr="00075DC8" w:rsidRDefault="00725E50" w:rsidP="00ED4837">
            <w:pPr>
              <w:pStyle w:val="Tablehead"/>
              <w:rPr>
                <w:sz w:val="20"/>
                <w:lang w:val="fr-FR" w:eastAsia="ja-JP"/>
              </w:rPr>
            </w:pPr>
            <w:r w:rsidRPr="00075DC8">
              <w:rPr>
                <w:sz w:val="20"/>
                <w:lang w:val="fr-FR" w:eastAsia="ja-JP"/>
              </w:rPr>
              <w:t>1,350-1,530</w:t>
            </w:r>
          </w:p>
        </w:tc>
        <w:tc>
          <w:tcPr>
            <w:tcW w:w="2402" w:type="dxa"/>
            <w:gridSpan w:val="2"/>
            <w:tcBorders>
              <w:top w:val="single" w:sz="4" w:space="0" w:color="auto"/>
              <w:left w:val="single" w:sz="4" w:space="0" w:color="auto"/>
              <w:bottom w:val="single" w:sz="4" w:space="0" w:color="auto"/>
              <w:right w:val="single" w:sz="4" w:space="0" w:color="auto"/>
            </w:tcBorders>
            <w:vAlign w:val="center"/>
            <w:hideMark/>
          </w:tcPr>
          <w:p w14:paraId="6B7ACD62" w14:textId="77777777" w:rsidR="00725E50" w:rsidRPr="00075DC8" w:rsidRDefault="00725E50" w:rsidP="00ED4837">
            <w:pPr>
              <w:pStyle w:val="Tablehead"/>
              <w:rPr>
                <w:sz w:val="20"/>
                <w:lang w:val="fr-FR" w:eastAsia="ja-JP"/>
              </w:rPr>
            </w:pPr>
            <w:r w:rsidRPr="00075DC8">
              <w:rPr>
                <w:sz w:val="20"/>
                <w:lang w:val="fr-FR" w:eastAsia="ja-JP"/>
              </w:rPr>
              <w:t>1,700-2,100</w:t>
            </w:r>
            <w:r w:rsidRPr="00075DC8">
              <w:rPr>
                <w:sz w:val="20"/>
                <w:lang w:val="fr-FR" w:eastAsia="ja-JP"/>
              </w:rPr>
              <w:br/>
              <w:t>1,900-2,300</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14:paraId="61261D7D" w14:textId="77777777" w:rsidR="00725E50" w:rsidRPr="00075DC8" w:rsidRDefault="00725E50" w:rsidP="00ED4837">
            <w:pPr>
              <w:pStyle w:val="Tablehead"/>
              <w:rPr>
                <w:sz w:val="20"/>
                <w:lang w:val="fr-FR" w:eastAsia="ja-JP"/>
              </w:rPr>
            </w:pPr>
            <w:r w:rsidRPr="00075DC8">
              <w:rPr>
                <w:sz w:val="20"/>
                <w:lang w:val="fr-FR" w:eastAsia="ja-JP"/>
              </w:rPr>
              <w:t>1,900-2,300</w:t>
            </w:r>
          </w:p>
        </w:tc>
        <w:tc>
          <w:tcPr>
            <w:tcW w:w="1352" w:type="dxa"/>
            <w:tcBorders>
              <w:top w:val="single" w:sz="4" w:space="0" w:color="auto"/>
              <w:left w:val="single" w:sz="4" w:space="0" w:color="auto"/>
              <w:bottom w:val="single" w:sz="4" w:space="0" w:color="auto"/>
              <w:right w:val="single" w:sz="4" w:space="0" w:color="auto"/>
            </w:tcBorders>
            <w:vAlign w:val="center"/>
            <w:hideMark/>
          </w:tcPr>
          <w:p w14:paraId="0E462C0A" w14:textId="77777777" w:rsidR="00725E50" w:rsidRPr="00075DC8" w:rsidRDefault="00725E50" w:rsidP="00ED4837">
            <w:pPr>
              <w:pStyle w:val="Tablehead"/>
              <w:rPr>
                <w:sz w:val="20"/>
                <w:lang w:val="fr-FR" w:eastAsia="ja-JP"/>
              </w:rPr>
            </w:pPr>
            <w:r w:rsidRPr="00075DC8">
              <w:rPr>
                <w:sz w:val="20"/>
                <w:lang w:val="fr-FR" w:eastAsia="ja-JP"/>
              </w:rPr>
              <w:t>2,290-2,670</w:t>
            </w:r>
          </w:p>
        </w:tc>
      </w:tr>
      <w:tr w:rsidR="00725E50" w:rsidRPr="00075DC8" w14:paraId="58B1D558" w14:textId="77777777" w:rsidTr="00D11437">
        <w:trPr>
          <w:jc w:val="center"/>
        </w:trPr>
        <w:tc>
          <w:tcPr>
            <w:tcW w:w="2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393A901" w14:textId="77777777" w:rsidR="00725E50" w:rsidRPr="00075DC8" w:rsidRDefault="00725E50" w:rsidP="00ED4837">
            <w:pPr>
              <w:pStyle w:val="Tabletext"/>
              <w:jc w:val="left"/>
              <w:rPr>
                <w:sz w:val="20"/>
                <w:lang w:val="fr-FR" w:eastAsia="ja-JP"/>
              </w:rPr>
            </w:pPr>
            <w:r w:rsidRPr="00075DC8">
              <w:rPr>
                <w:sz w:val="20"/>
                <w:lang w:val="fr-FR" w:eastAsia="ja-JP"/>
              </w:rPr>
              <w:t xml:space="preserve">Recommandation UIT-R de référence </w:t>
            </w:r>
          </w:p>
        </w:tc>
        <w:tc>
          <w:tcPr>
            <w:tcW w:w="2687" w:type="dxa"/>
            <w:gridSpan w:val="2"/>
            <w:tcBorders>
              <w:top w:val="single" w:sz="4" w:space="0" w:color="auto"/>
              <w:left w:val="single" w:sz="4" w:space="0" w:color="auto"/>
              <w:bottom w:val="single" w:sz="4" w:space="0" w:color="auto"/>
              <w:right w:val="single" w:sz="4" w:space="0" w:color="auto"/>
            </w:tcBorders>
            <w:hideMark/>
          </w:tcPr>
          <w:p w14:paraId="32C77829" w14:textId="77777777" w:rsidR="00725E50" w:rsidRPr="00075DC8" w:rsidRDefault="00725E50" w:rsidP="00ED4837">
            <w:pPr>
              <w:pStyle w:val="Tabletext"/>
              <w:jc w:val="center"/>
              <w:rPr>
                <w:sz w:val="20"/>
                <w:lang w:val="fr-FR" w:eastAsia="ja-JP"/>
              </w:rPr>
            </w:pPr>
            <w:r w:rsidRPr="00075DC8">
              <w:rPr>
                <w:sz w:val="20"/>
                <w:lang w:val="fr-FR" w:eastAsia="ja-JP"/>
              </w:rPr>
              <w:t>F.1567</w:t>
            </w:r>
          </w:p>
        </w:tc>
        <w:tc>
          <w:tcPr>
            <w:tcW w:w="2542" w:type="dxa"/>
            <w:gridSpan w:val="2"/>
            <w:tcBorders>
              <w:top w:val="single" w:sz="4" w:space="0" w:color="auto"/>
              <w:left w:val="single" w:sz="4" w:space="0" w:color="auto"/>
              <w:bottom w:val="single" w:sz="4" w:space="0" w:color="auto"/>
              <w:right w:val="single" w:sz="4" w:space="0" w:color="auto"/>
            </w:tcBorders>
            <w:hideMark/>
          </w:tcPr>
          <w:p w14:paraId="29598CD8" w14:textId="77777777" w:rsidR="00725E50" w:rsidRPr="00075DC8" w:rsidRDefault="00725E50" w:rsidP="00ED4837">
            <w:pPr>
              <w:pStyle w:val="Tabletext"/>
              <w:jc w:val="center"/>
              <w:rPr>
                <w:sz w:val="20"/>
                <w:lang w:val="fr-FR" w:eastAsia="ja-JP"/>
              </w:rPr>
            </w:pPr>
            <w:r w:rsidRPr="00075DC8">
              <w:rPr>
                <w:sz w:val="20"/>
                <w:lang w:val="fr-FR" w:eastAsia="ja-JP"/>
              </w:rPr>
              <w:t>F.1242</w:t>
            </w:r>
          </w:p>
        </w:tc>
        <w:tc>
          <w:tcPr>
            <w:tcW w:w="2402" w:type="dxa"/>
            <w:gridSpan w:val="2"/>
            <w:tcBorders>
              <w:top w:val="single" w:sz="4" w:space="0" w:color="auto"/>
              <w:left w:val="single" w:sz="4" w:space="0" w:color="auto"/>
              <w:bottom w:val="single" w:sz="4" w:space="0" w:color="auto"/>
              <w:right w:val="single" w:sz="4" w:space="0" w:color="auto"/>
            </w:tcBorders>
            <w:hideMark/>
          </w:tcPr>
          <w:p w14:paraId="6B7D0D0A" w14:textId="77777777" w:rsidR="00725E50" w:rsidRPr="00075DC8" w:rsidRDefault="00725E50" w:rsidP="00ED4837">
            <w:pPr>
              <w:pStyle w:val="Tabletext"/>
              <w:jc w:val="center"/>
              <w:rPr>
                <w:sz w:val="20"/>
                <w:lang w:val="fr-FR" w:eastAsia="ja-JP"/>
              </w:rPr>
            </w:pPr>
            <w:r w:rsidRPr="00075DC8">
              <w:rPr>
                <w:sz w:val="20"/>
                <w:lang w:val="fr-FR" w:eastAsia="ja-JP"/>
              </w:rPr>
              <w:t>F.382</w:t>
            </w:r>
          </w:p>
        </w:tc>
        <w:tc>
          <w:tcPr>
            <w:tcW w:w="2542" w:type="dxa"/>
            <w:gridSpan w:val="2"/>
            <w:tcBorders>
              <w:top w:val="single" w:sz="4" w:space="0" w:color="auto"/>
              <w:left w:val="single" w:sz="4" w:space="0" w:color="auto"/>
              <w:bottom w:val="single" w:sz="4" w:space="0" w:color="auto"/>
              <w:right w:val="single" w:sz="4" w:space="0" w:color="auto"/>
            </w:tcBorders>
            <w:hideMark/>
          </w:tcPr>
          <w:p w14:paraId="376A18EB" w14:textId="77777777" w:rsidR="00725E50" w:rsidRPr="00075DC8" w:rsidRDefault="00725E50" w:rsidP="00ED4837">
            <w:pPr>
              <w:pStyle w:val="Tabletext"/>
              <w:jc w:val="center"/>
              <w:rPr>
                <w:sz w:val="20"/>
                <w:lang w:val="fr-FR" w:eastAsia="ja-JP"/>
              </w:rPr>
            </w:pPr>
            <w:r w:rsidRPr="00075DC8">
              <w:rPr>
                <w:sz w:val="20"/>
                <w:lang w:val="fr-FR" w:eastAsia="ja-JP"/>
              </w:rPr>
              <w:t>F.1098</w:t>
            </w:r>
          </w:p>
        </w:tc>
        <w:tc>
          <w:tcPr>
            <w:tcW w:w="1352" w:type="dxa"/>
            <w:tcBorders>
              <w:top w:val="single" w:sz="4" w:space="0" w:color="auto"/>
              <w:left w:val="single" w:sz="4" w:space="0" w:color="auto"/>
              <w:bottom w:val="single" w:sz="4" w:space="0" w:color="auto"/>
              <w:right w:val="single" w:sz="4" w:space="0" w:color="auto"/>
            </w:tcBorders>
            <w:hideMark/>
          </w:tcPr>
          <w:p w14:paraId="7C4AB294" w14:textId="77777777" w:rsidR="00725E50" w:rsidRPr="00075DC8" w:rsidRDefault="00725E50" w:rsidP="00ED4837">
            <w:pPr>
              <w:pStyle w:val="Tabletext"/>
              <w:jc w:val="center"/>
              <w:rPr>
                <w:sz w:val="20"/>
                <w:lang w:val="fr-FR" w:eastAsia="ja-JP"/>
              </w:rPr>
            </w:pPr>
            <w:r w:rsidRPr="00075DC8">
              <w:rPr>
                <w:sz w:val="20"/>
                <w:lang w:val="fr-FR" w:eastAsia="ja-JP"/>
              </w:rPr>
              <w:t>F.1243</w:t>
            </w:r>
          </w:p>
        </w:tc>
      </w:tr>
      <w:tr w:rsidR="00725E50" w:rsidRPr="00075DC8" w14:paraId="18AA969D" w14:textId="77777777" w:rsidTr="00D11437">
        <w:trPr>
          <w:jc w:val="center"/>
        </w:trPr>
        <w:tc>
          <w:tcPr>
            <w:tcW w:w="2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527B4B" w14:textId="77777777" w:rsidR="00725E50" w:rsidRPr="00075DC8" w:rsidRDefault="00725E50" w:rsidP="00ED4837">
            <w:pPr>
              <w:pStyle w:val="Tabletext"/>
              <w:jc w:val="left"/>
              <w:rPr>
                <w:sz w:val="20"/>
                <w:lang w:val="fr-FR" w:eastAsia="ja-JP"/>
              </w:rPr>
            </w:pPr>
            <w:r w:rsidRPr="00075DC8">
              <w:rPr>
                <w:sz w:val="20"/>
                <w:lang w:val="fr-FR" w:eastAsia="ja-JP"/>
              </w:rPr>
              <w:t>Modulation</w:t>
            </w:r>
          </w:p>
        </w:tc>
        <w:tc>
          <w:tcPr>
            <w:tcW w:w="1344" w:type="dxa"/>
            <w:tcBorders>
              <w:top w:val="single" w:sz="4" w:space="0" w:color="auto"/>
              <w:left w:val="single" w:sz="4" w:space="0" w:color="auto"/>
              <w:bottom w:val="single" w:sz="4" w:space="0" w:color="auto"/>
              <w:right w:val="single" w:sz="4" w:space="0" w:color="auto"/>
            </w:tcBorders>
            <w:hideMark/>
          </w:tcPr>
          <w:p w14:paraId="2C50BC6C" w14:textId="77777777" w:rsidR="00725E50" w:rsidRPr="00075DC8" w:rsidRDefault="00725E50" w:rsidP="00ED4837">
            <w:pPr>
              <w:pStyle w:val="Tabletext"/>
              <w:jc w:val="center"/>
              <w:rPr>
                <w:sz w:val="20"/>
                <w:lang w:val="fr-FR" w:eastAsia="ja-JP"/>
              </w:rPr>
            </w:pPr>
            <w:r w:rsidRPr="00075DC8">
              <w:rPr>
                <w:sz w:val="20"/>
                <w:lang w:val="fr-FR" w:eastAsia="ja-JP"/>
              </w:rPr>
              <w:t>MDPQ</w:t>
            </w:r>
          </w:p>
        </w:tc>
        <w:tc>
          <w:tcPr>
            <w:tcW w:w="1343" w:type="dxa"/>
            <w:tcBorders>
              <w:top w:val="single" w:sz="4" w:space="0" w:color="auto"/>
              <w:left w:val="single" w:sz="4" w:space="0" w:color="auto"/>
              <w:bottom w:val="single" w:sz="4" w:space="0" w:color="auto"/>
              <w:right w:val="single" w:sz="4" w:space="0" w:color="auto"/>
            </w:tcBorders>
            <w:hideMark/>
          </w:tcPr>
          <w:p w14:paraId="30593C59" w14:textId="77777777" w:rsidR="00725E50" w:rsidRPr="00075DC8" w:rsidRDefault="00725E50" w:rsidP="00ED4837">
            <w:pPr>
              <w:pStyle w:val="Tabletext"/>
              <w:jc w:val="center"/>
              <w:rPr>
                <w:sz w:val="20"/>
                <w:lang w:val="fr-FR" w:eastAsia="ja-JP"/>
              </w:rPr>
            </w:pPr>
            <w:r w:rsidRPr="00075DC8">
              <w:rPr>
                <w:sz w:val="20"/>
                <w:lang w:val="fr-FR" w:eastAsia="ja-JP"/>
              </w:rPr>
              <w:t>32-MAQ</w:t>
            </w:r>
          </w:p>
        </w:tc>
        <w:tc>
          <w:tcPr>
            <w:tcW w:w="1271" w:type="dxa"/>
            <w:tcBorders>
              <w:top w:val="single" w:sz="4" w:space="0" w:color="auto"/>
              <w:left w:val="single" w:sz="4" w:space="0" w:color="auto"/>
              <w:bottom w:val="single" w:sz="4" w:space="0" w:color="auto"/>
              <w:right w:val="single" w:sz="4" w:space="0" w:color="auto"/>
            </w:tcBorders>
            <w:hideMark/>
          </w:tcPr>
          <w:p w14:paraId="6A6CF640" w14:textId="77777777" w:rsidR="00725E50" w:rsidRPr="00075DC8" w:rsidRDefault="00725E50" w:rsidP="00ED4837">
            <w:pPr>
              <w:pStyle w:val="Tabletext"/>
              <w:jc w:val="center"/>
              <w:rPr>
                <w:sz w:val="20"/>
                <w:lang w:val="fr-FR" w:eastAsia="ja-JP"/>
              </w:rPr>
            </w:pPr>
            <w:r w:rsidRPr="00075DC8">
              <w:rPr>
                <w:sz w:val="20"/>
                <w:lang w:val="fr-FR" w:eastAsia="ja-JP"/>
              </w:rPr>
              <w:t>MDM</w:t>
            </w:r>
          </w:p>
        </w:tc>
        <w:tc>
          <w:tcPr>
            <w:tcW w:w="1271" w:type="dxa"/>
            <w:tcBorders>
              <w:top w:val="single" w:sz="4" w:space="0" w:color="auto"/>
              <w:left w:val="single" w:sz="4" w:space="0" w:color="auto"/>
              <w:bottom w:val="single" w:sz="4" w:space="0" w:color="auto"/>
              <w:right w:val="single" w:sz="4" w:space="0" w:color="auto"/>
            </w:tcBorders>
            <w:hideMark/>
          </w:tcPr>
          <w:p w14:paraId="712FDFDF" w14:textId="77777777" w:rsidR="00725E50" w:rsidRPr="00075DC8" w:rsidRDefault="00725E50" w:rsidP="00ED4837">
            <w:pPr>
              <w:pStyle w:val="Tabletext"/>
              <w:jc w:val="center"/>
              <w:rPr>
                <w:sz w:val="20"/>
                <w:lang w:val="fr-FR" w:eastAsia="ja-JP"/>
              </w:rPr>
            </w:pPr>
            <w:r w:rsidRPr="00075DC8">
              <w:rPr>
                <w:sz w:val="20"/>
                <w:lang w:val="fr-FR" w:eastAsia="ja-JP"/>
              </w:rPr>
              <w:t>MDPQ</w:t>
            </w:r>
          </w:p>
        </w:tc>
        <w:tc>
          <w:tcPr>
            <w:tcW w:w="1200" w:type="dxa"/>
            <w:tcBorders>
              <w:top w:val="single" w:sz="4" w:space="0" w:color="auto"/>
              <w:left w:val="single" w:sz="4" w:space="0" w:color="auto"/>
              <w:bottom w:val="single" w:sz="4" w:space="0" w:color="auto"/>
              <w:right w:val="single" w:sz="4" w:space="0" w:color="auto"/>
            </w:tcBorders>
            <w:hideMark/>
          </w:tcPr>
          <w:p w14:paraId="54AC5A0F" w14:textId="77777777" w:rsidR="00725E50" w:rsidRPr="00075DC8" w:rsidRDefault="00725E50" w:rsidP="00ED4837">
            <w:pPr>
              <w:pStyle w:val="Tabletext"/>
              <w:jc w:val="center"/>
              <w:rPr>
                <w:sz w:val="20"/>
                <w:lang w:val="fr-FR" w:eastAsia="ja-JP"/>
              </w:rPr>
            </w:pPr>
            <w:r w:rsidRPr="00075DC8">
              <w:rPr>
                <w:sz w:val="20"/>
                <w:lang w:val="fr-FR" w:eastAsia="ja-JP"/>
              </w:rPr>
              <w:t>MDP-4 décalée</w:t>
            </w:r>
          </w:p>
        </w:tc>
        <w:tc>
          <w:tcPr>
            <w:tcW w:w="1202" w:type="dxa"/>
            <w:tcBorders>
              <w:top w:val="single" w:sz="4" w:space="0" w:color="auto"/>
              <w:left w:val="single" w:sz="4" w:space="0" w:color="auto"/>
              <w:bottom w:val="single" w:sz="4" w:space="0" w:color="auto"/>
              <w:right w:val="single" w:sz="4" w:space="0" w:color="auto"/>
            </w:tcBorders>
            <w:hideMark/>
          </w:tcPr>
          <w:p w14:paraId="7307C897" w14:textId="77777777" w:rsidR="00725E50" w:rsidRPr="00075DC8" w:rsidRDefault="00725E50" w:rsidP="00ED4837">
            <w:pPr>
              <w:pStyle w:val="Tabletext"/>
              <w:jc w:val="center"/>
              <w:rPr>
                <w:sz w:val="20"/>
                <w:lang w:val="fr-FR" w:eastAsia="ja-JP"/>
              </w:rPr>
            </w:pPr>
            <w:r w:rsidRPr="00075DC8">
              <w:rPr>
                <w:sz w:val="20"/>
                <w:lang w:val="fr-FR" w:eastAsia="ja-JP"/>
              </w:rPr>
              <w:t>MDPQ</w:t>
            </w:r>
          </w:p>
        </w:tc>
        <w:tc>
          <w:tcPr>
            <w:tcW w:w="1270" w:type="dxa"/>
            <w:tcBorders>
              <w:top w:val="single" w:sz="4" w:space="0" w:color="auto"/>
              <w:left w:val="single" w:sz="4" w:space="0" w:color="auto"/>
              <w:bottom w:val="single" w:sz="4" w:space="0" w:color="auto"/>
              <w:right w:val="single" w:sz="4" w:space="0" w:color="auto"/>
            </w:tcBorders>
            <w:hideMark/>
          </w:tcPr>
          <w:p w14:paraId="0CA72C37" w14:textId="77777777" w:rsidR="00725E50" w:rsidRPr="00075DC8" w:rsidRDefault="00725E50" w:rsidP="00ED4837">
            <w:pPr>
              <w:pStyle w:val="Tabletext"/>
              <w:jc w:val="center"/>
              <w:rPr>
                <w:sz w:val="20"/>
                <w:lang w:val="fr-FR" w:eastAsia="ja-JP"/>
              </w:rPr>
            </w:pPr>
            <w:r w:rsidRPr="00075DC8">
              <w:rPr>
                <w:sz w:val="20"/>
                <w:lang w:val="fr-FR" w:eastAsia="ja-JP"/>
              </w:rPr>
              <w:t>MDPQ</w:t>
            </w:r>
          </w:p>
        </w:tc>
        <w:tc>
          <w:tcPr>
            <w:tcW w:w="1272" w:type="dxa"/>
            <w:tcBorders>
              <w:top w:val="single" w:sz="4" w:space="0" w:color="auto"/>
              <w:left w:val="single" w:sz="4" w:space="0" w:color="auto"/>
              <w:bottom w:val="single" w:sz="4" w:space="0" w:color="auto"/>
              <w:right w:val="single" w:sz="4" w:space="0" w:color="auto"/>
            </w:tcBorders>
            <w:hideMark/>
          </w:tcPr>
          <w:p w14:paraId="0457E811" w14:textId="77777777" w:rsidR="00725E50" w:rsidRPr="00075DC8" w:rsidRDefault="00725E50" w:rsidP="00ED4837">
            <w:pPr>
              <w:pStyle w:val="Tabletext"/>
              <w:jc w:val="center"/>
              <w:rPr>
                <w:sz w:val="20"/>
                <w:lang w:val="fr-FR" w:eastAsia="ja-JP"/>
              </w:rPr>
            </w:pPr>
            <w:r w:rsidRPr="00075DC8">
              <w:rPr>
                <w:sz w:val="20"/>
                <w:lang w:val="fr-FR" w:eastAsia="ja-JP"/>
              </w:rPr>
              <w:t>MAQ-256</w:t>
            </w:r>
          </w:p>
        </w:tc>
        <w:tc>
          <w:tcPr>
            <w:tcW w:w="1352" w:type="dxa"/>
            <w:tcBorders>
              <w:top w:val="single" w:sz="4" w:space="0" w:color="auto"/>
              <w:left w:val="single" w:sz="4" w:space="0" w:color="auto"/>
              <w:bottom w:val="single" w:sz="4" w:space="0" w:color="auto"/>
              <w:right w:val="single" w:sz="4" w:space="0" w:color="auto"/>
            </w:tcBorders>
            <w:hideMark/>
          </w:tcPr>
          <w:p w14:paraId="3B6E7C7D" w14:textId="77777777" w:rsidR="00725E50" w:rsidRPr="00075DC8" w:rsidRDefault="00725E50" w:rsidP="00ED4837">
            <w:pPr>
              <w:pStyle w:val="Tabletext"/>
              <w:jc w:val="center"/>
              <w:rPr>
                <w:sz w:val="20"/>
                <w:lang w:val="fr-FR" w:eastAsia="ja-JP"/>
              </w:rPr>
            </w:pPr>
            <w:r w:rsidRPr="00075DC8">
              <w:rPr>
                <w:sz w:val="20"/>
                <w:lang w:val="fr-FR" w:eastAsia="ja-JP"/>
              </w:rPr>
              <w:t>MDM</w:t>
            </w:r>
          </w:p>
        </w:tc>
      </w:tr>
      <w:tr w:rsidR="00725E50" w:rsidRPr="00075DC8" w14:paraId="2BA1468D" w14:textId="77777777" w:rsidTr="00D11437">
        <w:trPr>
          <w:jc w:val="center"/>
        </w:trPr>
        <w:tc>
          <w:tcPr>
            <w:tcW w:w="2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360B849" w14:textId="77777777" w:rsidR="00725E50" w:rsidRPr="00075DC8" w:rsidRDefault="00725E50" w:rsidP="00ED4837">
            <w:pPr>
              <w:pStyle w:val="Tabletext"/>
              <w:jc w:val="left"/>
              <w:rPr>
                <w:sz w:val="20"/>
                <w:lang w:val="fr-FR" w:eastAsia="ja-JP"/>
              </w:rPr>
            </w:pPr>
            <w:r w:rsidRPr="00075DC8">
              <w:rPr>
                <w:sz w:val="20"/>
                <w:lang w:val="fr-FR" w:eastAsia="ja-JP"/>
              </w:rPr>
              <w:t xml:space="preserve">Espacement des canaux et largeur de bande de bruit du récepteur (MHz) </w:t>
            </w:r>
          </w:p>
        </w:tc>
        <w:tc>
          <w:tcPr>
            <w:tcW w:w="1344" w:type="dxa"/>
            <w:tcBorders>
              <w:top w:val="single" w:sz="4" w:space="0" w:color="auto"/>
              <w:left w:val="single" w:sz="4" w:space="0" w:color="auto"/>
              <w:bottom w:val="single" w:sz="4" w:space="0" w:color="auto"/>
              <w:right w:val="single" w:sz="4" w:space="0" w:color="auto"/>
            </w:tcBorders>
            <w:hideMark/>
          </w:tcPr>
          <w:p w14:paraId="108AABA7" w14:textId="77777777" w:rsidR="00725E50" w:rsidRPr="00075DC8" w:rsidRDefault="00725E50" w:rsidP="00ED4837">
            <w:pPr>
              <w:pStyle w:val="Tabletext"/>
              <w:jc w:val="center"/>
              <w:rPr>
                <w:sz w:val="20"/>
                <w:lang w:val="fr-FR" w:eastAsia="ja-JP"/>
              </w:rPr>
            </w:pPr>
            <w:r w:rsidRPr="00075DC8">
              <w:rPr>
                <w:sz w:val="20"/>
                <w:lang w:val="fr-FR" w:eastAsia="ja-JP"/>
              </w:rPr>
              <w:t xml:space="preserve">0,05; 0,1; 0,15; 0,2; </w:t>
            </w:r>
            <w:r w:rsidRPr="00075DC8">
              <w:rPr>
                <w:b/>
                <w:sz w:val="20"/>
                <w:lang w:val="fr-FR" w:eastAsia="ja-JP"/>
              </w:rPr>
              <w:t>0,25</w:t>
            </w:r>
            <w:r w:rsidRPr="00075DC8">
              <w:rPr>
                <w:sz w:val="20"/>
                <w:lang w:val="fr-FR" w:eastAsia="ja-JP"/>
              </w:rPr>
              <w:t xml:space="preserve">; 0,3; 0,5; 0,6; 0,75; 1; 1,75; </w:t>
            </w:r>
            <w:r w:rsidRPr="00075DC8">
              <w:rPr>
                <w:b/>
                <w:sz w:val="20"/>
                <w:lang w:val="fr-FR" w:eastAsia="ja-JP"/>
              </w:rPr>
              <w:t>3,5</w:t>
            </w:r>
          </w:p>
        </w:tc>
        <w:tc>
          <w:tcPr>
            <w:tcW w:w="1343" w:type="dxa"/>
            <w:tcBorders>
              <w:top w:val="single" w:sz="4" w:space="0" w:color="auto"/>
              <w:left w:val="single" w:sz="4" w:space="0" w:color="auto"/>
              <w:bottom w:val="single" w:sz="4" w:space="0" w:color="auto"/>
              <w:right w:val="single" w:sz="4" w:space="0" w:color="auto"/>
            </w:tcBorders>
            <w:hideMark/>
          </w:tcPr>
          <w:p w14:paraId="32E7E50F" w14:textId="77777777" w:rsidR="00725E50" w:rsidRPr="00075DC8" w:rsidRDefault="00725E50" w:rsidP="00ED4837">
            <w:pPr>
              <w:pStyle w:val="Tabletext"/>
              <w:jc w:val="center"/>
              <w:rPr>
                <w:sz w:val="20"/>
                <w:lang w:val="fr-FR" w:eastAsia="ja-JP"/>
              </w:rPr>
            </w:pPr>
            <w:r w:rsidRPr="00075DC8">
              <w:rPr>
                <w:sz w:val="20"/>
                <w:lang w:val="fr-FR" w:eastAsia="ja-JP"/>
              </w:rPr>
              <w:t xml:space="preserve">0,05; 0,1; 0,15; </w:t>
            </w:r>
            <w:r w:rsidRPr="00075DC8">
              <w:rPr>
                <w:b/>
                <w:sz w:val="20"/>
                <w:lang w:val="fr-FR" w:eastAsia="ja-JP"/>
              </w:rPr>
              <w:t>0,2</w:t>
            </w:r>
            <w:r w:rsidRPr="00075DC8">
              <w:rPr>
                <w:sz w:val="20"/>
                <w:lang w:val="fr-FR" w:eastAsia="ja-JP"/>
              </w:rPr>
              <w:t xml:space="preserve">; 0,25; 0,3; 0,5; 0,6; 0,75; 1; </w:t>
            </w:r>
            <w:r w:rsidRPr="00075DC8">
              <w:rPr>
                <w:b/>
                <w:sz w:val="20"/>
                <w:lang w:val="fr-FR" w:eastAsia="ja-JP"/>
              </w:rPr>
              <w:t>1,75</w:t>
            </w:r>
            <w:r w:rsidRPr="00075DC8">
              <w:rPr>
                <w:sz w:val="20"/>
                <w:lang w:val="fr-FR" w:eastAsia="ja-JP"/>
              </w:rPr>
              <w:t>; 3,5</w:t>
            </w:r>
          </w:p>
        </w:tc>
        <w:tc>
          <w:tcPr>
            <w:tcW w:w="1271" w:type="dxa"/>
            <w:tcBorders>
              <w:top w:val="single" w:sz="4" w:space="0" w:color="auto"/>
              <w:left w:val="single" w:sz="4" w:space="0" w:color="auto"/>
              <w:bottom w:val="single" w:sz="4" w:space="0" w:color="auto"/>
              <w:right w:val="single" w:sz="4" w:space="0" w:color="auto"/>
            </w:tcBorders>
            <w:hideMark/>
          </w:tcPr>
          <w:p w14:paraId="054B3D8E" w14:textId="77777777" w:rsidR="00725E50" w:rsidRPr="00075DC8" w:rsidRDefault="00725E50" w:rsidP="00ED4837">
            <w:pPr>
              <w:pStyle w:val="Tabletext"/>
              <w:jc w:val="center"/>
              <w:rPr>
                <w:sz w:val="20"/>
                <w:lang w:val="fr-FR" w:eastAsia="ja-JP"/>
              </w:rPr>
            </w:pPr>
            <w:r w:rsidRPr="00075DC8">
              <w:rPr>
                <w:sz w:val="20"/>
                <w:lang w:val="fr-FR" w:eastAsia="ja-JP"/>
              </w:rPr>
              <w:t xml:space="preserve">0,25; 0,5; 1; </w:t>
            </w:r>
            <w:r w:rsidRPr="00075DC8">
              <w:rPr>
                <w:b/>
                <w:sz w:val="20"/>
                <w:lang w:val="fr-FR" w:eastAsia="ja-JP"/>
              </w:rPr>
              <w:t>2</w:t>
            </w:r>
            <w:r w:rsidRPr="00075DC8">
              <w:rPr>
                <w:sz w:val="20"/>
                <w:lang w:val="fr-FR" w:eastAsia="ja-JP"/>
              </w:rPr>
              <w:t>; 3,5</w:t>
            </w:r>
          </w:p>
        </w:tc>
        <w:tc>
          <w:tcPr>
            <w:tcW w:w="1271" w:type="dxa"/>
            <w:tcBorders>
              <w:top w:val="single" w:sz="4" w:space="0" w:color="auto"/>
              <w:left w:val="single" w:sz="4" w:space="0" w:color="auto"/>
              <w:bottom w:val="single" w:sz="4" w:space="0" w:color="auto"/>
              <w:right w:val="single" w:sz="4" w:space="0" w:color="auto"/>
            </w:tcBorders>
            <w:hideMark/>
          </w:tcPr>
          <w:p w14:paraId="3285208B" w14:textId="77777777" w:rsidR="00725E50" w:rsidRPr="00075DC8" w:rsidRDefault="00725E50" w:rsidP="00ED4837">
            <w:pPr>
              <w:pStyle w:val="Tabletext"/>
              <w:jc w:val="center"/>
              <w:rPr>
                <w:sz w:val="20"/>
                <w:lang w:val="fr-FR" w:eastAsia="ja-JP"/>
              </w:rPr>
            </w:pPr>
            <w:r w:rsidRPr="00075DC8">
              <w:rPr>
                <w:sz w:val="20"/>
                <w:lang w:val="fr-FR" w:eastAsia="ja-JP"/>
              </w:rPr>
              <w:t xml:space="preserve">0,25; 0,5; </w:t>
            </w:r>
            <w:r w:rsidRPr="00075DC8">
              <w:rPr>
                <w:b/>
                <w:sz w:val="20"/>
                <w:lang w:val="fr-FR" w:eastAsia="ja-JP"/>
              </w:rPr>
              <w:t>1</w:t>
            </w:r>
            <w:r w:rsidRPr="00075DC8">
              <w:rPr>
                <w:sz w:val="20"/>
                <w:lang w:val="fr-FR" w:eastAsia="ja-JP"/>
              </w:rPr>
              <w:t xml:space="preserve">; </w:t>
            </w:r>
            <w:r w:rsidRPr="00075DC8">
              <w:rPr>
                <w:b/>
                <w:sz w:val="20"/>
                <w:lang w:val="fr-FR" w:eastAsia="ja-JP"/>
              </w:rPr>
              <w:t>2</w:t>
            </w:r>
            <w:r w:rsidRPr="00075DC8">
              <w:rPr>
                <w:sz w:val="20"/>
                <w:lang w:val="fr-FR" w:eastAsia="ja-JP"/>
              </w:rPr>
              <w:t xml:space="preserve">; </w:t>
            </w:r>
            <w:r w:rsidRPr="00075DC8">
              <w:rPr>
                <w:b/>
                <w:sz w:val="20"/>
                <w:lang w:val="fr-FR" w:eastAsia="ja-JP"/>
              </w:rPr>
              <w:t>3,5</w:t>
            </w:r>
          </w:p>
        </w:tc>
        <w:tc>
          <w:tcPr>
            <w:tcW w:w="1200" w:type="dxa"/>
            <w:tcBorders>
              <w:top w:val="single" w:sz="4" w:space="0" w:color="auto"/>
              <w:left w:val="single" w:sz="4" w:space="0" w:color="auto"/>
              <w:bottom w:val="single" w:sz="4" w:space="0" w:color="auto"/>
              <w:right w:val="single" w:sz="4" w:space="0" w:color="auto"/>
            </w:tcBorders>
            <w:hideMark/>
          </w:tcPr>
          <w:p w14:paraId="383E3190" w14:textId="77777777" w:rsidR="00725E50" w:rsidRPr="00075DC8" w:rsidRDefault="00725E50" w:rsidP="00ED4837">
            <w:pPr>
              <w:pStyle w:val="Tabletext"/>
              <w:jc w:val="center"/>
              <w:rPr>
                <w:b/>
                <w:sz w:val="20"/>
                <w:lang w:val="fr-FR" w:eastAsia="ja-JP"/>
              </w:rPr>
            </w:pPr>
            <w:r w:rsidRPr="00075DC8">
              <w:rPr>
                <w:b/>
                <w:sz w:val="20"/>
                <w:lang w:val="fr-FR" w:eastAsia="ja-JP"/>
              </w:rPr>
              <w:t>29</w:t>
            </w:r>
          </w:p>
        </w:tc>
        <w:tc>
          <w:tcPr>
            <w:tcW w:w="1202" w:type="dxa"/>
            <w:tcBorders>
              <w:top w:val="single" w:sz="4" w:space="0" w:color="auto"/>
              <w:left w:val="single" w:sz="4" w:space="0" w:color="auto"/>
              <w:bottom w:val="single" w:sz="4" w:space="0" w:color="auto"/>
              <w:right w:val="single" w:sz="4" w:space="0" w:color="auto"/>
            </w:tcBorders>
            <w:hideMark/>
          </w:tcPr>
          <w:p w14:paraId="45003C93" w14:textId="77777777" w:rsidR="00725E50" w:rsidRPr="00075DC8" w:rsidRDefault="00725E50" w:rsidP="00ED4837">
            <w:pPr>
              <w:pStyle w:val="Tabletext"/>
              <w:jc w:val="center"/>
              <w:rPr>
                <w:b/>
                <w:sz w:val="20"/>
                <w:lang w:val="fr-FR" w:eastAsia="ja-JP"/>
              </w:rPr>
            </w:pPr>
            <w:r w:rsidRPr="00075DC8">
              <w:rPr>
                <w:b/>
                <w:sz w:val="20"/>
                <w:lang w:val="fr-FR" w:eastAsia="ja-JP"/>
              </w:rPr>
              <w:t>29</w:t>
            </w:r>
          </w:p>
        </w:tc>
        <w:tc>
          <w:tcPr>
            <w:tcW w:w="1270" w:type="dxa"/>
            <w:tcBorders>
              <w:top w:val="single" w:sz="4" w:space="0" w:color="auto"/>
              <w:left w:val="single" w:sz="4" w:space="0" w:color="auto"/>
              <w:bottom w:val="single" w:sz="4" w:space="0" w:color="auto"/>
              <w:right w:val="single" w:sz="4" w:space="0" w:color="auto"/>
            </w:tcBorders>
            <w:hideMark/>
          </w:tcPr>
          <w:p w14:paraId="3520B662" w14:textId="77777777" w:rsidR="00725E50" w:rsidRPr="00075DC8" w:rsidRDefault="00725E50" w:rsidP="00ED4837">
            <w:pPr>
              <w:pStyle w:val="Tabletext"/>
              <w:jc w:val="center"/>
              <w:rPr>
                <w:sz w:val="20"/>
                <w:lang w:val="fr-FR" w:eastAsia="ja-JP"/>
              </w:rPr>
            </w:pPr>
            <w:r w:rsidRPr="00075DC8">
              <w:rPr>
                <w:sz w:val="20"/>
                <w:lang w:val="fr-FR" w:eastAsia="ja-JP"/>
              </w:rPr>
              <w:t>1,75;</w:t>
            </w:r>
            <w:r w:rsidRPr="00075DC8">
              <w:rPr>
                <w:b/>
                <w:sz w:val="20"/>
                <w:lang w:val="fr-FR" w:eastAsia="ja-JP"/>
              </w:rPr>
              <w:t xml:space="preserve"> 2,5</w:t>
            </w:r>
            <w:r w:rsidRPr="00075DC8">
              <w:rPr>
                <w:sz w:val="20"/>
                <w:lang w:val="fr-FR" w:eastAsia="ja-JP"/>
              </w:rPr>
              <w:t xml:space="preserve">; 3,5; </w:t>
            </w:r>
            <w:r w:rsidRPr="00075DC8">
              <w:rPr>
                <w:b/>
                <w:sz w:val="20"/>
                <w:lang w:val="fr-FR" w:eastAsia="ja-JP"/>
              </w:rPr>
              <w:t>7</w:t>
            </w:r>
            <w:r w:rsidRPr="00075DC8">
              <w:rPr>
                <w:sz w:val="20"/>
                <w:lang w:val="fr-FR" w:eastAsia="ja-JP"/>
              </w:rPr>
              <w:t>; 10; </w:t>
            </w:r>
            <w:r w:rsidRPr="00075DC8">
              <w:rPr>
                <w:b/>
                <w:sz w:val="20"/>
                <w:lang w:val="fr-FR" w:eastAsia="ja-JP"/>
              </w:rPr>
              <w:t>14</w:t>
            </w:r>
          </w:p>
        </w:tc>
        <w:tc>
          <w:tcPr>
            <w:tcW w:w="1272" w:type="dxa"/>
            <w:tcBorders>
              <w:top w:val="single" w:sz="4" w:space="0" w:color="auto"/>
              <w:left w:val="single" w:sz="4" w:space="0" w:color="auto"/>
              <w:bottom w:val="single" w:sz="4" w:space="0" w:color="auto"/>
              <w:right w:val="single" w:sz="4" w:space="0" w:color="auto"/>
            </w:tcBorders>
            <w:hideMark/>
          </w:tcPr>
          <w:p w14:paraId="4301A56B" w14:textId="77777777" w:rsidR="00725E50" w:rsidRPr="00075DC8" w:rsidRDefault="00725E50" w:rsidP="00ED4837">
            <w:pPr>
              <w:pStyle w:val="Tabletext"/>
              <w:jc w:val="center"/>
              <w:rPr>
                <w:sz w:val="20"/>
                <w:lang w:val="fr-FR" w:eastAsia="ja-JP"/>
              </w:rPr>
            </w:pPr>
            <w:r w:rsidRPr="00075DC8">
              <w:rPr>
                <w:sz w:val="20"/>
                <w:lang w:val="fr-FR" w:eastAsia="ja-JP"/>
              </w:rPr>
              <w:t xml:space="preserve">1,75; 2,5; </w:t>
            </w:r>
            <w:r w:rsidRPr="00075DC8">
              <w:rPr>
                <w:b/>
                <w:sz w:val="20"/>
                <w:lang w:val="fr-FR" w:eastAsia="ja-JP"/>
              </w:rPr>
              <w:t>3,5</w:t>
            </w:r>
            <w:r w:rsidRPr="00075DC8">
              <w:rPr>
                <w:sz w:val="20"/>
                <w:lang w:val="fr-FR" w:eastAsia="ja-JP"/>
              </w:rPr>
              <w:t>; 7; 10; 14</w:t>
            </w:r>
          </w:p>
        </w:tc>
        <w:tc>
          <w:tcPr>
            <w:tcW w:w="1352" w:type="dxa"/>
            <w:tcBorders>
              <w:top w:val="single" w:sz="4" w:space="0" w:color="auto"/>
              <w:left w:val="single" w:sz="4" w:space="0" w:color="auto"/>
              <w:bottom w:val="single" w:sz="4" w:space="0" w:color="auto"/>
              <w:right w:val="single" w:sz="4" w:space="0" w:color="auto"/>
            </w:tcBorders>
            <w:hideMark/>
          </w:tcPr>
          <w:p w14:paraId="3133CF37" w14:textId="77777777" w:rsidR="00725E50" w:rsidRPr="00075DC8" w:rsidRDefault="00725E50" w:rsidP="00ED4837">
            <w:pPr>
              <w:pStyle w:val="Tabletext"/>
              <w:jc w:val="center"/>
              <w:rPr>
                <w:sz w:val="20"/>
                <w:lang w:val="fr-FR" w:eastAsia="ja-JP"/>
              </w:rPr>
            </w:pPr>
            <w:r w:rsidRPr="00075DC8">
              <w:rPr>
                <w:sz w:val="20"/>
                <w:lang w:val="fr-FR" w:eastAsia="ja-JP"/>
              </w:rPr>
              <w:t>0,25; 0,5; 1; 1,75; 2; 2,5; 3,5; 7; </w:t>
            </w:r>
            <w:r w:rsidRPr="00075DC8">
              <w:rPr>
                <w:b/>
                <w:sz w:val="20"/>
                <w:lang w:val="fr-FR" w:eastAsia="ja-JP"/>
              </w:rPr>
              <w:t>14</w:t>
            </w:r>
          </w:p>
        </w:tc>
      </w:tr>
      <w:tr w:rsidR="00725E50" w:rsidRPr="00075DC8" w14:paraId="2C834A64" w14:textId="77777777" w:rsidTr="00D11437">
        <w:trPr>
          <w:jc w:val="center"/>
        </w:trPr>
        <w:tc>
          <w:tcPr>
            <w:tcW w:w="2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51C5355" w14:textId="0A3EF1AC" w:rsidR="00725E50" w:rsidRPr="00075DC8" w:rsidRDefault="00725E50" w:rsidP="00ED4837">
            <w:pPr>
              <w:pStyle w:val="Tabletext"/>
              <w:jc w:val="left"/>
              <w:rPr>
                <w:sz w:val="20"/>
                <w:lang w:val="fr-FR" w:eastAsia="ja-JP"/>
              </w:rPr>
            </w:pPr>
            <w:r w:rsidRPr="00075DC8">
              <w:rPr>
                <w:sz w:val="20"/>
                <w:lang w:val="fr-FR" w:eastAsia="ja-JP"/>
              </w:rPr>
              <w:t>Plage maximale des puissances de sortie au niveau de l</w:t>
            </w:r>
            <w:r w:rsidR="001F6A0D" w:rsidRPr="00075DC8">
              <w:rPr>
                <w:sz w:val="20"/>
                <w:lang w:val="fr-FR" w:eastAsia="ja-JP"/>
              </w:rPr>
              <w:t>'</w:t>
            </w:r>
            <w:r w:rsidRPr="00075DC8">
              <w:rPr>
                <w:sz w:val="20"/>
                <w:lang w:val="fr-FR" w:eastAsia="ja-JP"/>
              </w:rPr>
              <w:t xml:space="preserve">émetteur (dBW) </w:t>
            </w:r>
          </w:p>
        </w:tc>
        <w:tc>
          <w:tcPr>
            <w:tcW w:w="1344" w:type="dxa"/>
            <w:tcBorders>
              <w:top w:val="single" w:sz="4" w:space="0" w:color="auto"/>
              <w:left w:val="single" w:sz="4" w:space="0" w:color="auto"/>
              <w:bottom w:val="single" w:sz="4" w:space="0" w:color="auto"/>
              <w:right w:val="single" w:sz="4" w:space="0" w:color="auto"/>
            </w:tcBorders>
            <w:hideMark/>
          </w:tcPr>
          <w:p w14:paraId="0AB5C1FE" w14:textId="77777777" w:rsidR="00725E50" w:rsidRPr="00075DC8" w:rsidRDefault="00725E50" w:rsidP="00ED4837">
            <w:pPr>
              <w:pStyle w:val="Tabletext"/>
              <w:jc w:val="center"/>
              <w:rPr>
                <w:sz w:val="20"/>
                <w:lang w:val="fr-FR" w:eastAsia="ja-JP"/>
              </w:rPr>
            </w:pPr>
            <w:r w:rsidRPr="00075DC8">
              <w:rPr>
                <w:sz w:val="20"/>
                <w:lang w:val="fr-FR" w:eastAsia="ja-JP"/>
              </w:rPr>
              <w:t>7</w:t>
            </w:r>
          </w:p>
        </w:tc>
        <w:tc>
          <w:tcPr>
            <w:tcW w:w="1343" w:type="dxa"/>
            <w:tcBorders>
              <w:top w:val="single" w:sz="4" w:space="0" w:color="auto"/>
              <w:left w:val="single" w:sz="4" w:space="0" w:color="auto"/>
              <w:bottom w:val="single" w:sz="4" w:space="0" w:color="auto"/>
              <w:right w:val="single" w:sz="4" w:space="0" w:color="auto"/>
            </w:tcBorders>
            <w:hideMark/>
          </w:tcPr>
          <w:p w14:paraId="79DFE624" w14:textId="77777777" w:rsidR="00725E50" w:rsidRPr="00075DC8" w:rsidRDefault="00725E50" w:rsidP="00ED4837">
            <w:pPr>
              <w:pStyle w:val="Tabletext"/>
              <w:jc w:val="center"/>
              <w:rPr>
                <w:sz w:val="20"/>
                <w:lang w:val="fr-FR" w:eastAsia="ja-JP"/>
              </w:rPr>
            </w:pPr>
            <w:r w:rsidRPr="00075DC8">
              <w:rPr>
                <w:sz w:val="20"/>
                <w:lang w:val="fr-FR" w:eastAsia="ja-JP"/>
              </w:rPr>
              <w:t>0</w:t>
            </w:r>
          </w:p>
        </w:tc>
        <w:tc>
          <w:tcPr>
            <w:tcW w:w="1271" w:type="dxa"/>
            <w:tcBorders>
              <w:top w:val="single" w:sz="4" w:space="0" w:color="auto"/>
              <w:left w:val="single" w:sz="4" w:space="0" w:color="auto"/>
              <w:bottom w:val="single" w:sz="4" w:space="0" w:color="auto"/>
              <w:right w:val="single" w:sz="4" w:space="0" w:color="auto"/>
            </w:tcBorders>
            <w:hideMark/>
          </w:tcPr>
          <w:p w14:paraId="1D8CEE1D" w14:textId="77777777" w:rsidR="00725E50" w:rsidRPr="00075DC8" w:rsidRDefault="00725E50" w:rsidP="00ED4837">
            <w:pPr>
              <w:pStyle w:val="Tabletext"/>
              <w:jc w:val="center"/>
              <w:rPr>
                <w:sz w:val="20"/>
                <w:lang w:val="fr-FR" w:eastAsia="ja-JP"/>
              </w:rPr>
            </w:pPr>
            <w:r w:rsidRPr="00075DC8">
              <w:rPr>
                <w:sz w:val="20"/>
                <w:lang w:val="fr-FR" w:eastAsia="ja-JP"/>
              </w:rPr>
              <w:t>7</w:t>
            </w:r>
          </w:p>
        </w:tc>
        <w:tc>
          <w:tcPr>
            <w:tcW w:w="1271" w:type="dxa"/>
            <w:tcBorders>
              <w:top w:val="single" w:sz="4" w:space="0" w:color="auto"/>
              <w:left w:val="single" w:sz="4" w:space="0" w:color="auto"/>
              <w:bottom w:val="single" w:sz="4" w:space="0" w:color="auto"/>
              <w:right w:val="single" w:sz="4" w:space="0" w:color="auto"/>
            </w:tcBorders>
            <w:hideMark/>
          </w:tcPr>
          <w:p w14:paraId="42978BE7" w14:textId="77777777" w:rsidR="00725E50" w:rsidRPr="00075DC8" w:rsidRDefault="00725E50" w:rsidP="00ED4837">
            <w:pPr>
              <w:pStyle w:val="Tabletext"/>
              <w:jc w:val="center"/>
              <w:rPr>
                <w:sz w:val="20"/>
                <w:lang w:val="fr-FR" w:eastAsia="ja-JP"/>
              </w:rPr>
            </w:pPr>
            <w:r w:rsidRPr="00075DC8">
              <w:rPr>
                <w:sz w:val="20"/>
                <w:lang w:val="fr-FR" w:eastAsia="ja-JP"/>
              </w:rPr>
              <w:t>0…7</w:t>
            </w:r>
          </w:p>
        </w:tc>
        <w:tc>
          <w:tcPr>
            <w:tcW w:w="1200" w:type="dxa"/>
            <w:tcBorders>
              <w:top w:val="single" w:sz="4" w:space="0" w:color="auto"/>
              <w:left w:val="single" w:sz="4" w:space="0" w:color="auto"/>
              <w:bottom w:val="single" w:sz="4" w:space="0" w:color="auto"/>
              <w:right w:val="single" w:sz="4" w:space="0" w:color="auto"/>
            </w:tcBorders>
            <w:hideMark/>
          </w:tcPr>
          <w:p w14:paraId="4ADEEDB1" w14:textId="77777777" w:rsidR="00725E50" w:rsidRPr="00075DC8" w:rsidRDefault="00725E50" w:rsidP="00ED4837">
            <w:pPr>
              <w:pStyle w:val="Tabletext"/>
              <w:jc w:val="center"/>
              <w:rPr>
                <w:sz w:val="20"/>
                <w:lang w:val="fr-FR" w:eastAsia="ja-JP"/>
              </w:rPr>
            </w:pPr>
            <w:r w:rsidRPr="00075DC8">
              <w:rPr>
                <w:sz w:val="20"/>
                <w:lang w:val="fr-FR" w:eastAsia="ja-JP"/>
              </w:rPr>
              <w:t>7</w:t>
            </w:r>
          </w:p>
        </w:tc>
        <w:tc>
          <w:tcPr>
            <w:tcW w:w="1202" w:type="dxa"/>
            <w:tcBorders>
              <w:top w:val="single" w:sz="4" w:space="0" w:color="auto"/>
              <w:left w:val="single" w:sz="4" w:space="0" w:color="auto"/>
              <w:bottom w:val="single" w:sz="4" w:space="0" w:color="auto"/>
              <w:right w:val="single" w:sz="4" w:space="0" w:color="auto"/>
            </w:tcBorders>
            <w:hideMark/>
          </w:tcPr>
          <w:p w14:paraId="655171CB" w14:textId="77777777" w:rsidR="00725E50" w:rsidRPr="00075DC8" w:rsidRDefault="00725E50" w:rsidP="00ED4837">
            <w:pPr>
              <w:pStyle w:val="Tabletext"/>
              <w:jc w:val="center"/>
              <w:rPr>
                <w:sz w:val="20"/>
                <w:lang w:val="fr-FR" w:eastAsia="ja-JP"/>
              </w:rPr>
            </w:pPr>
            <w:r w:rsidRPr="00075DC8">
              <w:rPr>
                <w:sz w:val="20"/>
                <w:lang w:val="fr-FR" w:eastAsia="ja-JP"/>
              </w:rPr>
              <w:t>3</w:t>
            </w:r>
          </w:p>
        </w:tc>
        <w:tc>
          <w:tcPr>
            <w:tcW w:w="1270" w:type="dxa"/>
            <w:tcBorders>
              <w:top w:val="single" w:sz="4" w:space="0" w:color="auto"/>
              <w:left w:val="single" w:sz="4" w:space="0" w:color="auto"/>
              <w:bottom w:val="single" w:sz="4" w:space="0" w:color="auto"/>
              <w:right w:val="single" w:sz="4" w:space="0" w:color="auto"/>
            </w:tcBorders>
            <w:hideMark/>
          </w:tcPr>
          <w:p w14:paraId="0087786E" w14:textId="77777777" w:rsidR="00725E50" w:rsidRPr="00075DC8" w:rsidRDefault="00725E50" w:rsidP="00ED4837">
            <w:pPr>
              <w:pStyle w:val="Tabletext"/>
              <w:jc w:val="center"/>
              <w:rPr>
                <w:sz w:val="20"/>
                <w:lang w:val="fr-FR" w:eastAsia="ja-JP"/>
              </w:rPr>
            </w:pPr>
            <w:r w:rsidRPr="00075DC8">
              <w:rPr>
                <w:sz w:val="20"/>
                <w:lang w:val="fr-FR" w:eastAsia="ja-JP"/>
              </w:rPr>
              <w:t>−9…7</w:t>
            </w:r>
          </w:p>
        </w:tc>
        <w:tc>
          <w:tcPr>
            <w:tcW w:w="1272" w:type="dxa"/>
            <w:tcBorders>
              <w:top w:val="single" w:sz="4" w:space="0" w:color="auto"/>
              <w:left w:val="single" w:sz="4" w:space="0" w:color="auto"/>
              <w:bottom w:val="single" w:sz="4" w:space="0" w:color="auto"/>
              <w:right w:val="single" w:sz="4" w:space="0" w:color="auto"/>
            </w:tcBorders>
            <w:hideMark/>
          </w:tcPr>
          <w:p w14:paraId="6823B4DA" w14:textId="77777777" w:rsidR="00725E50" w:rsidRPr="00075DC8" w:rsidRDefault="00725E50" w:rsidP="00ED4837">
            <w:pPr>
              <w:pStyle w:val="Tabletext"/>
              <w:jc w:val="center"/>
              <w:rPr>
                <w:sz w:val="20"/>
                <w:lang w:val="fr-FR" w:eastAsia="ja-JP"/>
              </w:rPr>
            </w:pPr>
            <w:r w:rsidRPr="00075DC8">
              <w:rPr>
                <w:sz w:val="20"/>
                <w:lang w:val="fr-FR" w:eastAsia="ja-JP"/>
              </w:rPr>
              <w:t>−1…2</w:t>
            </w:r>
          </w:p>
        </w:tc>
        <w:tc>
          <w:tcPr>
            <w:tcW w:w="1352" w:type="dxa"/>
            <w:tcBorders>
              <w:top w:val="single" w:sz="4" w:space="0" w:color="auto"/>
              <w:left w:val="single" w:sz="4" w:space="0" w:color="auto"/>
              <w:bottom w:val="single" w:sz="4" w:space="0" w:color="auto"/>
              <w:right w:val="single" w:sz="4" w:space="0" w:color="auto"/>
            </w:tcBorders>
            <w:hideMark/>
          </w:tcPr>
          <w:p w14:paraId="3CDE056F" w14:textId="77777777" w:rsidR="00725E50" w:rsidRPr="00075DC8" w:rsidRDefault="00725E50" w:rsidP="00ED4837">
            <w:pPr>
              <w:pStyle w:val="Tabletext"/>
              <w:jc w:val="center"/>
              <w:rPr>
                <w:sz w:val="20"/>
                <w:lang w:val="fr-FR" w:eastAsia="ja-JP"/>
              </w:rPr>
            </w:pPr>
            <w:r w:rsidRPr="00075DC8">
              <w:rPr>
                <w:sz w:val="20"/>
                <w:lang w:val="fr-FR" w:eastAsia="ja-JP"/>
              </w:rPr>
              <w:t>5</w:t>
            </w:r>
          </w:p>
        </w:tc>
      </w:tr>
      <w:tr w:rsidR="00725E50" w:rsidRPr="00075DC8" w14:paraId="1C347D05" w14:textId="77777777" w:rsidTr="00D11437">
        <w:trPr>
          <w:jc w:val="center"/>
        </w:trPr>
        <w:tc>
          <w:tcPr>
            <w:tcW w:w="2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C9BAB7" w14:textId="7F253C5C" w:rsidR="00725E50" w:rsidRPr="00075DC8" w:rsidRDefault="00725E50" w:rsidP="00ED4837">
            <w:pPr>
              <w:pStyle w:val="Tabletext"/>
              <w:jc w:val="left"/>
              <w:rPr>
                <w:sz w:val="20"/>
                <w:lang w:val="fr-FR" w:eastAsia="ja-JP"/>
              </w:rPr>
            </w:pPr>
            <w:r w:rsidRPr="00075DC8">
              <w:rPr>
                <w:sz w:val="20"/>
                <w:lang w:val="fr-FR" w:eastAsia="ja-JP"/>
              </w:rPr>
              <w:t>Plage maximale des densités de puissance de sortie au niveau de l</w:t>
            </w:r>
            <w:r w:rsidR="001F6A0D" w:rsidRPr="00075DC8">
              <w:rPr>
                <w:sz w:val="20"/>
                <w:lang w:val="fr-FR" w:eastAsia="ja-JP"/>
              </w:rPr>
              <w:t>'</w:t>
            </w:r>
            <w:r w:rsidRPr="00075DC8">
              <w:rPr>
                <w:sz w:val="20"/>
                <w:lang w:val="fr-FR" w:eastAsia="ja-JP"/>
              </w:rPr>
              <w:t>émetteur (dBW/MHz)</w:t>
            </w:r>
            <w:r w:rsidRPr="00075DC8">
              <w:rPr>
                <w:sz w:val="20"/>
                <w:vertAlign w:val="superscript"/>
                <w:lang w:val="fr-FR" w:eastAsia="ja-JP"/>
              </w:rPr>
              <w:t>(1)</w:t>
            </w:r>
          </w:p>
        </w:tc>
        <w:tc>
          <w:tcPr>
            <w:tcW w:w="1344" w:type="dxa"/>
            <w:tcBorders>
              <w:top w:val="single" w:sz="4" w:space="0" w:color="auto"/>
              <w:left w:val="single" w:sz="4" w:space="0" w:color="auto"/>
              <w:bottom w:val="single" w:sz="4" w:space="0" w:color="auto"/>
              <w:right w:val="single" w:sz="4" w:space="0" w:color="auto"/>
            </w:tcBorders>
            <w:hideMark/>
          </w:tcPr>
          <w:p w14:paraId="2D0CD6E6" w14:textId="77777777" w:rsidR="00725E50" w:rsidRPr="00075DC8" w:rsidRDefault="00725E50" w:rsidP="00ED4837">
            <w:pPr>
              <w:pStyle w:val="Tabletext"/>
              <w:jc w:val="center"/>
              <w:rPr>
                <w:sz w:val="20"/>
                <w:lang w:val="fr-FR" w:eastAsia="ja-JP"/>
              </w:rPr>
            </w:pPr>
            <w:r w:rsidRPr="00075DC8">
              <w:rPr>
                <w:sz w:val="20"/>
                <w:lang w:val="fr-FR" w:eastAsia="ja-JP"/>
              </w:rPr>
              <w:t>1,6…13</w:t>
            </w:r>
          </w:p>
        </w:tc>
        <w:tc>
          <w:tcPr>
            <w:tcW w:w="1343" w:type="dxa"/>
            <w:tcBorders>
              <w:top w:val="single" w:sz="4" w:space="0" w:color="auto"/>
              <w:left w:val="single" w:sz="4" w:space="0" w:color="auto"/>
              <w:bottom w:val="single" w:sz="4" w:space="0" w:color="auto"/>
              <w:right w:val="single" w:sz="4" w:space="0" w:color="auto"/>
            </w:tcBorders>
            <w:hideMark/>
          </w:tcPr>
          <w:p w14:paraId="609CF5EB" w14:textId="77777777" w:rsidR="00725E50" w:rsidRPr="00075DC8" w:rsidRDefault="00725E50" w:rsidP="00ED4837">
            <w:pPr>
              <w:pStyle w:val="Tabletext"/>
              <w:jc w:val="center"/>
              <w:rPr>
                <w:sz w:val="20"/>
                <w:lang w:val="fr-FR" w:eastAsia="ja-JP"/>
              </w:rPr>
            </w:pPr>
            <w:r w:rsidRPr="00075DC8">
              <w:rPr>
                <w:sz w:val="20"/>
                <w:lang w:val="fr-FR" w:eastAsia="ja-JP"/>
              </w:rPr>
              <w:t>−2,4…7,0</w:t>
            </w:r>
          </w:p>
        </w:tc>
        <w:tc>
          <w:tcPr>
            <w:tcW w:w="1271" w:type="dxa"/>
            <w:tcBorders>
              <w:top w:val="single" w:sz="4" w:space="0" w:color="auto"/>
              <w:left w:val="single" w:sz="4" w:space="0" w:color="auto"/>
              <w:bottom w:val="single" w:sz="4" w:space="0" w:color="auto"/>
              <w:right w:val="single" w:sz="4" w:space="0" w:color="auto"/>
            </w:tcBorders>
            <w:hideMark/>
          </w:tcPr>
          <w:p w14:paraId="00931357" w14:textId="77777777" w:rsidR="00725E50" w:rsidRPr="00075DC8" w:rsidRDefault="00725E50" w:rsidP="00ED4837">
            <w:pPr>
              <w:pStyle w:val="Tabletext"/>
              <w:jc w:val="center"/>
              <w:rPr>
                <w:sz w:val="20"/>
                <w:lang w:val="fr-FR" w:eastAsia="ja-JP"/>
              </w:rPr>
            </w:pPr>
            <w:r w:rsidRPr="00075DC8">
              <w:rPr>
                <w:sz w:val="20"/>
                <w:lang w:val="fr-FR" w:eastAsia="ja-JP"/>
              </w:rPr>
              <w:t>4,0</w:t>
            </w:r>
          </w:p>
        </w:tc>
        <w:tc>
          <w:tcPr>
            <w:tcW w:w="1271" w:type="dxa"/>
            <w:tcBorders>
              <w:top w:val="single" w:sz="4" w:space="0" w:color="auto"/>
              <w:left w:val="single" w:sz="4" w:space="0" w:color="auto"/>
              <w:bottom w:val="single" w:sz="4" w:space="0" w:color="auto"/>
              <w:right w:val="single" w:sz="4" w:space="0" w:color="auto"/>
            </w:tcBorders>
            <w:hideMark/>
          </w:tcPr>
          <w:p w14:paraId="2559915A" w14:textId="77777777" w:rsidR="00725E50" w:rsidRPr="00075DC8" w:rsidRDefault="00725E50" w:rsidP="00ED4837">
            <w:pPr>
              <w:pStyle w:val="Tabletext"/>
              <w:jc w:val="center"/>
              <w:rPr>
                <w:sz w:val="20"/>
                <w:lang w:val="fr-FR" w:eastAsia="ja-JP"/>
              </w:rPr>
            </w:pPr>
            <w:r w:rsidRPr="00075DC8">
              <w:rPr>
                <w:sz w:val="20"/>
                <w:lang w:val="fr-FR" w:eastAsia="ja-JP"/>
              </w:rPr>
              <w:t>−3,0…7</w:t>
            </w:r>
          </w:p>
        </w:tc>
        <w:tc>
          <w:tcPr>
            <w:tcW w:w="1200" w:type="dxa"/>
            <w:tcBorders>
              <w:top w:val="single" w:sz="4" w:space="0" w:color="auto"/>
              <w:left w:val="single" w:sz="4" w:space="0" w:color="auto"/>
              <w:bottom w:val="single" w:sz="4" w:space="0" w:color="auto"/>
              <w:right w:val="single" w:sz="4" w:space="0" w:color="auto"/>
            </w:tcBorders>
            <w:hideMark/>
          </w:tcPr>
          <w:p w14:paraId="7829EBA1" w14:textId="77777777" w:rsidR="00725E50" w:rsidRPr="00075DC8" w:rsidRDefault="00725E50" w:rsidP="00ED4837">
            <w:pPr>
              <w:pStyle w:val="Tabletext"/>
              <w:jc w:val="center"/>
              <w:rPr>
                <w:sz w:val="20"/>
                <w:lang w:val="fr-FR" w:eastAsia="ja-JP"/>
              </w:rPr>
            </w:pPr>
            <w:r w:rsidRPr="00075DC8">
              <w:rPr>
                <w:sz w:val="20"/>
                <w:lang w:val="fr-FR" w:eastAsia="ja-JP"/>
              </w:rPr>
              <w:t>−7,6</w:t>
            </w:r>
          </w:p>
        </w:tc>
        <w:tc>
          <w:tcPr>
            <w:tcW w:w="1202" w:type="dxa"/>
            <w:tcBorders>
              <w:top w:val="single" w:sz="4" w:space="0" w:color="auto"/>
              <w:left w:val="single" w:sz="4" w:space="0" w:color="auto"/>
              <w:bottom w:val="single" w:sz="4" w:space="0" w:color="auto"/>
              <w:right w:val="single" w:sz="4" w:space="0" w:color="auto"/>
            </w:tcBorders>
            <w:hideMark/>
          </w:tcPr>
          <w:p w14:paraId="7B418532" w14:textId="77777777" w:rsidR="00725E50" w:rsidRPr="00075DC8" w:rsidRDefault="00725E50" w:rsidP="00ED4837">
            <w:pPr>
              <w:pStyle w:val="Tabletext"/>
              <w:jc w:val="center"/>
              <w:rPr>
                <w:sz w:val="20"/>
                <w:lang w:val="fr-FR" w:eastAsia="ja-JP"/>
              </w:rPr>
            </w:pPr>
            <w:r w:rsidRPr="00075DC8">
              <w:rPr>
                <w:sz w:val="20"/>
                <w:lang w:val="fr-FR" w:eastAsia="ja-JP"/>
              </w:rPr>
              <w:t>−12</w:t>
            </w:r>
          </w:p>
        </w:tc>
        <w:tc>
          <w:tcPr>
            <w:tcW w:w="1270" w:type="dxa"/>
            <w:tcBorders>
              <w:top w:val="single" w:sz="4" w:space="0" w:color="auto"/>
              <w:left w:val="single" w:sz="4" w:space="0" w:color="auto"/>
              <w:bottom w:val="single" w:sz="4" w:space="0" w:color="auto"/>
              <w:right w:val="single" w:sz="4" w:space="0" w:color="auto"/>
            </w:tcBorders>
            <w:hideMark/>
          </w:tcPr>
          <w:p w14:paraId="1B9FC195" w14:textId="77777777" w:rsidR="00725E50" w:rsidRPr="00075DC8" w:rsidRDefault="00725E50" w:rsidP="00ED4837">
            <w:pPr>
              <w:pStyle w:val="Tabletext"/>
              <w:jc w:val="center"/>
              <w:rPr>
                <w:sz w:val="20"/>
                <w:lang w:val="fr-FR" w:eastAsia="ja-JP"/>
              </w:rPr>
            </w:pPr>
            <w:r w:rsidRPr="00075DC8">
              <w:rPr>
                <w:sz w:val="20"/>
                <w:lang w:val="fr-FR" w:eastAsia="ja-JP"/>
              </w:rPr>
              <w:t>−14…−1,5</w:t>
            </w:r>
          </w:p>
        </w:tc>
        <w:tc>
          <w:tcPr>
            <w:tcW w:w="1272" w:type="dxa"/>
            <w:tcBorders>
              <w:top w:val="single" w:sz="4" w:space="0" w:color="auto"/>
              <w:left w:val="single" w:sz="4" w:space="0" w:color="auto"/>
              <w:bottom w:val="single" w:sz="4" w:space="0" w:color="auto"/>
              <w:right w:val="single" w:sz="4" w:space="0" w:color="auto"/>
            </w:tcBorders>
            <w:hideMark/>
          </w:tcPr>
          <w:p w14:paraId="5AD232B1" w14:textId="77777777" w:rsidR="00725E50" w:rsidRPr="00075DC8" w:rsidRDefault="00725E50" w:rsidP="00ED4837">
            <w:pPr>
              <w:pStyle w:val="Tabletext"/>
              <w:jc w:val="center"/>
              <w:rPr>
                <w:sz w:val="20"/>
                <w:lang w:val="fr-FR" w:eastAsia="ja-JP"/>
              </w:rPr>
            </w:pPr>
            <w:r w:rsidRPr="00075DC8">
              <w:rPr>
                <w:sz w:val="20"/>
                <w:lang w:val="fr-FR" w:eastAsia="ja-JP"/>
              </w:rPr>
              <w:t>−6,4…−3,4</w:t>
            </w:r>
          </w:p>
        </w:tc>
        <w:tc>
          <w:tcPr>
            <w:tcW w:w="1352" w:type="dxa"/>
            <w:tcBorders>
              <w:top w:val="single" w:sz="4" w:space="0" w:color="auto"/>
              <w:left w:val="single" w:sz="4" w:space="0" w:color="auto"/>
              <w:bottom w:val="single" w:sz="4" w:space="0" w:color="auto"/>
              <w:right w:val="single" w:sz="4" w:space="0" w:color="auto"/>
            </w:tcBorders>
            <w:hideMark/>
          </w:tcPr>
          <w:p w14:paraId="4CEF87AB" w14:textId="77777777" w:rsidR="00725E50" w:rsidRPr="00075DC8" w:rsidRDefault="00725E50" w:rsidP="00ED4837">
            <w:pPr>
              <w:pStyle w:val="Tabletext"/>
              <w:jc w:val="center"/>
              <w:rPr>
                <w:sz w:val="20"/>
                <w:lang w:val="fr-FR" w:eastAsia="ja-JP"/>
              </w:rPr>
            </w:pPr>
            <w:r w:rsidRPr="00075DC8">
              <w:rPr>
                <w:sz w:val="20"/>
                <w:lang w:val="fr-FR" w:eastAsia="ja-JP"/>
              </w:rPr>
              <w:t>−6,5</w:t>
            </w:r>
          </w:p>
        </w:tc>
      </w:tr>
      <w:tr w:rsidR="00725E50" w:rsidRPr="00075DC8" w14:paraId="33EEC15A" w14:textId="77777777" w:rsidTr="00D11437">
        <w:trPr>
          <w:jc w:val="center"/>
        </w:trPr>
        <w:tc>
          <w:tcPr>
            <w:tcW w:w="2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ACF0C0" w14:textId="047E6E7E" w:rsidR="00725E50" w:rsidRPr="00075DC8" w:rsidRDefault="00725E50" w:rsidP="00ED4837">
            <w:pPr>
              <w:pStyle w:val="Tabletext"/>
              <w:jc w:val="left"/>
              <w:rPr>
                <w:sz w:val="20"/>
                <w:lang w:val="fr-FR" w:eastAsia="ja-JP"/>
              </w:rPr>
            </w:pPr>
            <w:r w:rsidRPr="00075DC8">
              <w:rPr>
                <w:sz w:val="20"/>
                <w:lang w:val="fr-FR" w:eastAsia="ja-JP"/>
              </w:rPr>
              <w:t>Plage minimale des pertes dues à la ligne d</w:t>
            </w:r>
            <w:r w:rsidR="001F6A0D" w:rsidRPr="00075DC8">
              <w:rPr>
                <w:sz w:val="20"/>
                <w:lang w:val="fr-FR" w:eastAsia="ja-JP"/>
              </w:rPr>
              <w:t>'</w:t>
            </w:r>
            <w:r w:rsidRPr="00075DC8">
              <w:rPr>
                <w:sz w:val="20"/>
                <w:lang w:val="fr-FR" w:eastAsia="ja-JP"/>
              </w:rPr>
              <w:t xml:space="preserve">alimentation ou au multiplexeur (dB) </w:t>
            </w:r>
          </w:p>
        </w:tc>
        <w:tc>
          <w:tcPr>
            <w:tcW w:w="1344" w:type="dxa"/>
            <w:tcBorders>
              <w:top w:val="single" w:sz="4" w:space="0" w:color="auto"/>
              <w:left w:val="single" w:sz="4" w:space="0" w:color="auto"/>
              <w:bottom w:val="single" w:sz="4" w:space="0" w:color="auto"/>
              <w:right w:val="single" w:sz="4" w:space="0" w:color="auto"/>
            </w:tcBorders>
            <w:hideMark/>
          </w:tcPr>
          <w:p w14:paraId="199CB79D" w14:textId="77777777" w:rsidR="00725E50" w:rsidRPr="00075DC8" w:rsidRDefault="00725E50" w:rsidP="00ED4837">
            <w:pPr>
              <w:pStyle w:val="Tabletext"/>
              <w:jc w:val="center"/>
              <w:rPr>
                <w:sz w:val="20"/>
                <w:lang w:val="fr-FR" w:eastAsia="ja-JP"/>
              </w:rPr>
            </w:pPr>
            <w:r w:rsidRPr="00075DC8">
              <w:rPr>
                <w:sz w:val="20"/>
                <w:lang w:val="fr-FR" w:eastAsia="ja-JP"/>
              </w:rPr>
              <w:t>2</w:t>
            </w:r>
          </w:p>
        </w:tc>
        <w:tc>
          <w:tcPr>
            <w:tcW w:w="1343" w:type="dxa"/>
            <w:tcBorders>
              <w:top w:val="single" w:sz="4" w:space="0" w:color="auto"/>
              <w:left w:val="single" w:sz="4" w:space="0" w:color="auto"/>
              <w:bottom w:val="single" w:sz="4" w:space="0" w:color="auto"/>
              <w:right w:val="single" w:sz="4" w:space="0" w:color="auto"/>
            </w:tcBorders>
            <w:hideMark/>
          </w:tcPr>
          <w:p w14:paraId="2C3CCEEA" w14:textId="77777777" w:rsidR="00725E50" w:rsidRPr="00075DC8" w:rsidRDefault="00725E50" w:rsidP="00ED4837">
            <w:pPr>
              <w:pStyle w:val="Tabletext"/>
              <w:jc w:val="center"/>
              <w:rPr>
                <w:sz w:val="20"/>
                <w:lang w:val="fr-FR" w:eastAsia="ja-JP"/>
              </w:rPr>
            </w:pPr>
            <w:r w:rsidRPr="00075DC8">
              <w:rPr>
                <w:sz w:val="20"/>
                <w:lang w:val="fr-FR" w:eastAsia="ja-JP"/>
              </w:rPr>
              <w:t>2</w:t>
            </w:r>
          </w:p>
        </w:tc>
        <w:tc>
          <w:tcPr>
            <w:tcW w:w="1271" w:type="dxa"/>
            <w:tcBorders>
              <w:top w:val="single" w:sz="4" w:space="0" w:color="auto"/>
              <w:left w:val="single" w:sz="4" w:space="0" w:color="auto"/>
              <w:bottom w:val="single" w:sz="4" w:space="0" w:color="auto"/>
              <w:right w:val="single" w:sz="4" w:space="0" w:color="auto"/>
            </w:tcBorders>
            <w:hideMark/>
          </w:tcPr>
          <w:p w14:paraId="33DAA86C" w14:textId="77777777" w:rsidR="00725E50" w:rsidRPr="00075DC8" w:rsidRDefault="00725E50" w:rsidP="00ED4837">
            <w:pPr>
              <w:pStyle w:val="Tabletext"/>
              <w:jc w:val="center"/>
              <w:rPr>
                <w:sz w:val="20"/>
                <w:lang w:val="fr-FR" w:eastAsia="ja-JP"/>
              </w:rPr>
            </w:pPr>
            <w:r w:rsidRPr="00075DC8">
              <w:rPr>
                <w:sz w:val="20"/>
                <w:lang w:val="fr-FR" w:eastAsia="ja-JP"/>
              </w:rPr>
              <w:t>5</w:t>
            </w:r>
          </w:p>
        </w:tc>
        <w:tc>
          <w:tcPr>
            <w:tcW w:w="1271" w:type="dxa"/>
            <w:tcBorders>
              <w:top w:val="single" w:sz="4" w:space="0" w:color="auto"/>
              <w:left w:val="single" w:sz="4" w:space="0" w:color="auto"/>
              <w:bottom w:val="single" w:sz="4" w:space="0" w:color="auto"/>
              <w:right w:val="single" w:sz="4" w:space="0" w:color="auto"/>
            </w:tcBorders>
            <w:hideMark/>
          </w:tcPr>
          <w:p w14:paraId="667C00A9" w14:textId="77777777" w:rsidR="00725E50" w:rsidRPr="00075DC8" w:rsidRDefault="00725E50" w:rsidP="00ED4837">
            <w:pPr>
              <w:pStyle w:val="Tabletext"/>
              <w:jc w:val="center"/>
              <w:rPr>
                <w:sz w:val="20"/>
                <w:lang w:val="fr-FR" w:eastAsia="ja-JP"/>
              </w:rPr>
            </w:pPr>
            <w:r w:rsidRPr="00075DC8">
              <w:rPr>
                <w:sz w:val="20"/>
                <w:lang w:val="fr-FR" w:eastAsia="ja-JP"/>
              </w:rPr>
              <w:t>1…5</w:t>
            </w:r>
          </w:p>
        </w:tc>
        <w:tc>
          <w:tcPr>
            <w:tcW w:w="1200" w:type="dxa"/>
            <w:tcBorders>
              <w:top w:val="single" w:sz="4" w:space="0" w:color="auto"/>
              <w:left w:val="single" w:sz="4" w:space="0" w:color="auto"/>
              <w:bottom w:val="single" w:sz="4" w:space="0" w:color="auto"/>
              <w:right w:val="single" w:sz="4" w:space="0" w:color="auto"/>
            </w:tcBorders>
            <w:hideMark/>
          </w:tcPr>
          <w:p w14:paraId="3E3253E6" w14:textId="77777777" w:rsidR="00725E50" w:rsidRPr="00075DC8" w:rsidRDefault="00725E50" w:rsidP="00ED4837">
            <w:pPr>
              <w:pStyle w:val="Tabletext"/>
              <w:jc w:val="center"/>
              <w:rPr>
                <w:sz w:val="20"/>
                <w:lang w:val="fr-FR" w:eastAsia="ja-JP"/>
              </w:rPr>
            </w:pPr>
            <w:r w:rsidRPr="00075DC8">
              <w:rPr>
                <w:sz w:val="20"/>
                <w:lang w:val="fr-FR" w:eastAsia="ja-JP"/>
              </w:rPr>
              <w:t>3</w:t>
            </w:r>
          </w:p>
        </w:tc>
        <w:tc>
          <w:tcPr>
            <w:tcW w:w="1202" w:type="dxa"/>
            <w:tcBorders>
              <w:top w:val="single" w:sz="4" w:space="0" w:color="auto"/>
              <w:left w:val="single" w:sz="4" w:space="0" w:color="auto"/>
              <w:bottom w:val="single" w:sz="4" w:space="0" w:color="auto"/>
              <w:right w:val="single" w:sz="4" w:space="0" w:color="auto"/>
            </w:tcBorders>
            <w:hideMark/>
          </w:tcPr>
          <w:p w14:paraId="2BC965BD" w14:textId="77777777" w:rsidR="00725E50" w:rsidRPr="00075DC8" w:rsidRDefault="00725E50" w:rsidP="00ED4837">
            <w:pPr>
              <w:pStyle w:val="Tabletext"/>
              <w:jc w:val="center"/>
              <w:rPr>
                <w:sz w:val="20"/>
                <w:lang w:val="fr-FR" w:eastAsia="ja-JP"/>
              </w:rPr>
            </w:pPr>
            <w:r w:rsidRPr="00075DC8">
              <w:rPr>
                <w:sz w:val="20"/>
                <w:lang w:val="fr-FR" w:eastAsia="ja-JP"/>
              </w:rPr>
              <w:t>1</w:t>
            </w:r>
          </w:p>
        </w:tc>
        <w:tc>
          <w:tcPr>
            <w:tcW w:w="1270" w:type="dxa"/>
            <w:tcBorders>
              <w:top w:val="single" w:sz="4" w:space="0" w:color="auto"/>
              <w:left w:val="single" w:sz="4" w:space="0" w:color="auto"/>
              <w:bottom w:val="single" w:sz="4" w:space="0" w:color="auto"/>
              <w:right w:val="single" w:sz="4" w:space="0" w:color="auto"/>
            </w:tcBorders>
            <w:hideMark/>
          </w:tcPr>
          <w:p w14:paraId="6850CC90" w14:textId="77777777" w:rsidR="00725E50" w:rsidRPr="00075DC8" w:rsidRDefault="00725E50" w:rsidP="00ED4837">
            <w:pPr>
              <w:pStyle w:val="Tabletext"/>
              <w:jc w:val="center"/>
              <w:rPr>
                <w:sz w:val="20"/>
                <w:lang w:val="fr-FR" w:eastAsia="ja-JP"/>
              </w:rPr>
            </w:pPr>
            <w:r w:rsidRPr="00075DC8">
              <w:rPr>
                <w:sz w:val="20"/>
                <w:lang w:val="fr-FR" w:eastAsia="ja-JP"/>
              </w:rPr>
              <w:t>3…6</w:t>
            </w:r>
          </w:p>
        </w:tc>
        <w:tc>
          <w:tcPr>
            <w:tcW w:w="1272" w:type="dxa"/>
            <w:tcBorders>
              <w:top w:val="single" w:sz="4" w:space="0" w:color="auto"/>
              <w:left w:val="single" w:sz="4" w:space="0" w:color="auto"/>
              <w:bottom w:val="single" w:sz="4" w:space="0" w:color="auto"/>
              <w:right w:val="single" w:sz="4" w:space="0" w:color="auto"/>
            </w:tcBorders>
            <w:hideMark/>
          </w:tcPr>
          <w:p w14:paraId="7EC4A665" w14:textId="77777777" w:rsidR="00725E50" w:rsidRPr="00075DC8" w:rsidRDefault="00725E50" w:rsidP="00ED4837">
            <w:pPr>
              <w:pStyle w:val="Tabletext"/>
              <w:jc w:val="center"/>
              <w:rPr>
                <w:sz w:val="20"/>
                <w:lang w:val="fr-FR" w:eastAsia="ja-JP"/>
              </w:rPr>
            </w:pPr>
            <w:r w:rsidRPr="00075DC8">
              <w:rPr>
                <w:sz w:val="20"/>
                <w:lang w:val="fr-FR" w:eastAsia="ja-JP"/>
              </w:rPr>
              <w:t>0…2</w:t>
            </w:r>
          </w:p>
        </w:tc>
        <w:tc>
          <w:tcPr>
            <w:tcW w:w="1352" w:type="dxa"/>
            <w:tcBorders>
              <w:top w:val="single" w:sz="4" w:space="0" w:color="auto"/>
              <w:left w:val="single" w:sz="4" w:space="0" w:color="auto"/>
              <w:bottom w:val="single" w:sz="4" w:space="0" w:color="auto"/>
              <w:right w:val="single" w:sz="4" w:space="0" w:color="auto"/>
            </w:tcBorders>
            <w:hideMark/>
          </w:tcPr>
          <w:p w14:paraId="59307B15" w14:textId="77777777" w:rsidR="00725E50" w:rsidRPr="00075DC8" w:rsidRDefault="00725E50" w:rsidP="00ED4837">
            <w:pPr>
              <w:pStyle w:val="Tabletext"/>
              <w:jc w:val="center"/>
              <w:rPr>
                <w:sz w:val="20"/>
                <w:lang w:val="fr-FR" w:eastAsia="ja-JP"/>
              </w:rPr>
            </w:pPr>
            <w:r w:rsidRPr="00075DC8">
              <w:rPr>
                <w:sz w:val="20"/>
                <w:lang w:val="fr-FR" w:eastAsia="ja-JP"/>
              </w:rPr>
              <w:t>4</w:t>
            </w:r>
          </w:p>
        </w:tc>
      </w:tr>
      <w:tr w:rsidR="00725E50" w:rsidRPr="00075DC8" w14:paraId="51A53ECD" w14:textId="77777777" w:rsidTr="00D11437">
        <w:trPr>
          <w:jc w:val="center"/>
        </w:trPr>
        <w:tc>
          <w:tcPr>
            <w:tcW w:w="2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97C62AC" w14:textId="17C8B52C" w:rsidR="00725E50" w:rsidRPr="00075DC8" w:rsidRDefault="00725E50" w:rsidP="00ED4837">
            <w:pPr>
              <w:pStyle w:val="Tabletext"/>
              <w:jc w:val="left"/>
              <w:rPr>
                <w:sz w:val="20"/>
                <w:lang w:val="fr-FR" w:eastAsia="ja-JP"/>
              </w:rPr>
            </w:pPr>
            <w:r w:rsidRPr="00075DC8">
              <w:rPr>
                <w:sz w:val="20"/>
                <w:lang w:val="fr-FR" w:eastAsia="ja-JP"/>
              </w:rPr>
              <w:t>Plage maximale des gains d</w:t>
            </w:r>
            <w:r w:rsidR="001F6A0D" w:rsidRPr="00075DC8">
              <w:rPr>
                <w:sz w:val="20"/>
                <w:lang w:val="fr-FR" w:eastAsia="ja-JP"/>
              </w:rPr>
              <w:t>'</w:t>
            </w:r>
            <w:r w:rsidRPr="00075DC8">
              <w:rPr>
                <w:sz w:val="20"/>
                <w:lang w:val="fr-FR" w:eastAsia="ja-JP"/>
              </w:rPr>
              <w:t>antenne (dBi)</w:t>
            </w:r>
          </w:p>
        </w:tc>
        <w:tc>
          <w:tcPr>
            <w:tcW w:w="1344" w:type="dxa"/>
            <w:tcBorders>
              <w:top w:val="single" w:sz="4" w:space="0" w:color="auto"/>
              <w:left w:val="single" w:sz="4" w:space="0" w:color="auto"/>
              <w:bottom w:val="single" w:sz="4" w:space="0" w:color="auto"/>
              <w:right w:val="single" w:sz="4" w:space="0" w:color="auto"/>
            </w:tcBorders>
            <w:hideMark/>
          </w:tcPr>
          <w:p w14:paraId="63E25D8A" w14:textId="77777777" w:rsidR="00725E50" w:rsidRPr="00075DC8" w:rsidRDefault="00725E50" w:rsidP="00ED4837">
            <w:pPr>
              <w:pStyle w:val="Tabletext"/>
              <w:jc w:val="center"/>
              <w:rPr>
                <w:sz w:val="20"/>
                <w:lang w:val="fr-FR" w:eastAsia="ja-JP"/>
              </w:rPr>
            </w:pPr>
            <w:r w:rsidRPr="00075DC8">
              <w:rPr>
                <w:sz w:val="20"/>
                <w:lang w:val="fr-FR" w:eastAsia="ja-JP"/>
              </w:rPr>
              <w:t>25</w:t>
            </w:r>
          </w:p>
        </w:tc>
        <w:tc>
          <w:tcPr>
            <w:tcW w:w="1343" w:type="dxa"/>
            <w:tcBorders>
              <w:top w:val="single" w:sz="4" w:space="0" w:color="auto"/>
              <w:left w:val="single" w:sz="4" w:space="0" w:color="auto"/>
              <w:bottom w:val="single" w:sz="4" w:space="0" w:color="auto"/>
              <w:right w:val="single" w:sz="4" w:space="0" w:color="auto"/>
            </w:tcBorders>
            <w:hideMark/>
          </w:tcPr>
          <w:p w14:paraId="7E2B570A" w14:textId="77777777" w:rsidR="00725E50" w:rsidRPr="00075DC8" w:rsidRDefault="00725E50" w:rsidP="00ED4837">
            <w:pPr>
              <w:pStyle w:val="Tabletext"/>
              <w:jc w:val="center"/>
              <w:rPr>
                <w:sz w:val="20"/>
                <w:lang w:val="fr-FR" w:eastAsia="ja-JP"/>
              </w:rPr>
            </w:pPr>
            <w:r w:rsidRPr="00075DC8">
              <w:rPr>
                <w:sz w:val="20"/>
                <w:lang w:val="fr-FR" w:eastAsia="ja-JP"/>
              </w:rPr>
              <w:t>25</w:t>
            </w:r>
          </w:p>
        </w:tc>
        <w:tc>
          <w:tcPr>
            <w:tcW w:w="1271" w:type="dxa"/>
            <w:tcBorders>
              <w:top w:val="single" w:sz="4" w:space="0" w:color="auto"/>
              <w:left w:val="single" w:sz="4" w:space="0" w:color="auto"/>
              <w:bottom w:val="single" w:sz="4" w:space="0" w:color="auto"/>
              <w:right w:val="single" w:sz="4" w:space="0" w:color="auto"/>
            </w:tcBorders>
            <w:hideMark/>
          </w:tcPr>
          <w:p w14:paraId="5FB707A7" w14:textId="77777777" w:rsidR="00725E50" w:rsidRPr="00075DC8" w:rsidRDefault="00725E50" w:rsidP="00ED4837">
            <w:pPr>
              <w:pStyle w:val="Tabletext"/>
              <w:jc w:val="center"/>
              <w:rPr>
                <w:sz w:val="20"/>
                <w:lang w:val="fr-FR" w:eastAsia="ja-JP"/>
              </w:rPr>
            </w:pPr>
            <w:r w:rsidRPr="00075DC8">
              <w:rPr>
                <w:sz w:val="20"/>
                <w:lang w:val="fr-FR" w:eastAsia="ja-JP"/>
              </w:rPr>
              <w:t>16</w:t>
            </w:r>
          </w:p>
        </w:tc>
        <w:tc>
          <w:tcPr>
            <w:tcW w:w="1271" w:type="dxa"/>
            <w:tcBorders>
              <w:top w:val="single" w:sz="4" w:space="0" w:color="auto"/>
              <w:left w:val="single" w:sz="4" w:space="0" w:color="auto"/>
              <w:bottom w:val="single" w:sz="4" w:space="0" w:color="auto"/>
              <w:right w:val="single" w:sz="4" w:space="0" w:color="auto"/>
            </w:tcBorders>
            <w:hideMark/>
          </w:tcPr>
          <w:p w14:paraId="0BAD769A" w14:textId="77777777" w:rsidR="00725E50" w:rsidRPr="00075DC8" w:rsidRDefault="00725E50" w:rsidP="00ED4837">
            <w:pPr>
              <w:pStyle w:val="Tabletext"/>
              <w:jc w:val="center"/>
              <w:rPr>
                <w:sz w:val="20"/>
                <w:lang w:val="fr-FR" w:eastAsia="ja-JP"/>
              </w:rPr>
            </w:pPr>
            <w:r w:rsidRPr="00075DC8">
              <w:rPr>
                <w:sz w:val="20"/>
                <w:lang w:val="fr-FR" w:eastAsia="ja-JP"/>
              </w:rPr>
              <w:t>16…33</w:t>
            </w:r>
          </w:p>
        </w:tc>
        <w:tc>
          <w:tcPr>
            <w:tcW w:w="1200" w:type="dxa"/>
            <w:tcBorders>
              <w:top w:val="single" w:sz="4" w:space="0" w:color="auto"/>
              <w:left w:val="single" w:sz="4" w:space="0" w:color="auto"/>
              <w:bottom w:val="single" w:sz="4" w:space="0" w:color="auto"/>
              <w:right w:val="single" w:sz="4" w:space="0" w:color="auto"/>
            </w:tcBorders>
            <w:hideMark/>
          </w:tcPr>
          <w:p w14:paraId="18AB98C3" w14:textId="77777777" w:rsidR="00725E50" w:rsidRPr="00075DC8" w:rsidRDefault="00725E50" w:rsidP="00ED4837">
            <w:pPr>
              <w:pStyle w:val="Tabletext"/>
              <w:jc w:val="center"/>
              <w:rPr>
                <w:sz w:val="20"/>
                <w:lang w:val="fr-FR" w:eastAsia="ja-JP"/>
              </w:rPr>
            </w:pPr>
            <w:r w:rsidRPr="00075DC8">
              <w:rPr>
                <w:sz w:val="20"/>
                <w:lang w:val="fr-FR" w:eastAsia="ja-JP"/>
              </w:rPr>
              <w:t>33</w:t>
            </w:r>
          </w:p>
        </w:tc>
        <w:tc>
          <w:tcPr>
            <w:tcW w:w="1202" w:type="dxa"/>
            <w:tcBorders>
              <w:top w:val="single" w:sz="4" w:space="0" w:color="auto"/>
              <w:left w:val="single" w:sz="4" w:space="0" w:color="auto"/>
              <w:bottom w:val="single" w:sz="4" w:space="0" w:color="auto"/>
              <w:right w:val="single" w:sz="4" w:space="0" w:color="auto"/>
            </w:tcBorders>
            <w:hideMark/>
          </w:tcPr>
          <w:p w14:paraId="0A1027C4" w14:textId="77777777" w:rsidR="00725E50" w:rsidRPr="00075DC8" w:rsidRDefault="00725E50" w:rsidP="00ED4837">
            <w:pPr>
              <w:pStyle w:val="Tabletext"/>
              <w:jc w:val="center"/>
              <w:rPr>
                <w:sz w:val="20"/>
                <w:lang w:val="fr-FR" w:eastAsia="ja-JP"/>
              </w:rPr>
            </w:pPr>
            <w:r w:rsidRPr="00075DC8">
              <w:rPr>
                <w:sz w:val="20"/>
                <w:lang w:val="fr-FR" w:eastAsia="ja-JP"/>
              </w:rPr>
              <w:t>31</w:t>
            </w:r>
          </w:p>
        </w:tc>
        <w:tc>
          <w:tcPr>
            <w:tcW w:w="1270" w:type="dxa"/>
            <w:tcBorders>
              <w:top w:val="single" w:sz="4" w:space="0" w:color="auto"/>
              <w:left w:val="single" w:sz="4" w:space="0" w:color="auto"/>
              <w:bottom w:val="single" w:sz="4" w:space="0" w:color="auto"/>
              <w:right w:val="single" w:sz="4" w:space="0" w:color="auto"/>
            </w:tcBorders>
            <w:hideMark/>
          </w:tcPr>
          <w:p w14:paraId="28D24326" w14:textId="77777777" w:rsidR="00725E50" w:rsidRPr="00075DC8" w:rsidRDefault="00725E50" w:rsidP="00ED4837">
            <w:pPr>
              <w:pStyle w:val="Tabletext"/>
              <w:jc w:val="center"/>
              <w:rPr>
                <w:sz w:val="20"/>
                <w:lang w:val="fr-FR" w:eastAsia="ja-JP"/>
              </w:rPr>
            </w:pPr>
            <w:r w:rsidRPr="00075DC8">
              <w:rPr>
                <w:sz w:val="20"/>
                <w:lang w:val="fr-FR" w:eastAsia="ja-JP"/>
              </w:rPr>
              <w:t>28…30</w:t>
            </w:r>
          </w:p>
        </w:tc>
        <w:tc>
          <w:tcPr>
            <w:tcW w:w="1272" w:type="dxa"/>
            <w:tcBorders>
              <w:top w:val="single" w:sz="4" w:space="0" w:color="auto"/>
              <w:left w:val="single" w:sz="4" w:space="0" w:color="auto"/>
              <w:bottom w:val="single" w:sz="4" w:space="0" w:color="auto"/>
              <w:right w:val="single" w:sz="4" w:space="0" w:color="auto"/>
            </w:tcBorders>
            <w:hideMark/>
          </w:tcPr>
          <w:p w14:paraId="2566E472" w14:textId="77777777" w:rsidR="00725E50" w:rsidRPr="00075DC8" w:rsidRDefault="00725E50" w:rsidP="00ED4837">
            <w:pPr>
              <w:pStyle w:val="Tabletext"/>
              <w:jc w:val="center"/>
              <w:rPr>
                <w:sz w:val="20"/>
                <w:lang w:val="fr-FR" w:eastAsia="ja-JP"/>
              </w:rPr>
            </w:pPr>
            <w:r w:rsidRPr="00075DC8">
              <w:rPr>
                <w:sz w:val="20"/>
                <w:lang w:val="fr-FR" w:eastAsia="ja-JP"/>
              </w:rPr>
              <w:t>33…38</w:t>
            </w:r>
          </w:p>
        </w:tc>
        <w:tc>
          <w:tcPr>
            <w:tcW w:w="1352" w:type="dxa"/>
            <w:tcBorders>
              <w:top w:val="single" w:sz="4" w:space="0" w:color="auto"/>
              <w:left w:val="single" w:sz="4" w:space="0" w:color="auto"/>
              <w:bottom w:val="single" w:sz="4" w:space="0" w:color="auto"/>
              <w:right w:val="single" w:sz="4" w:space="0" w:color="auto"/>
            </w:tcBorders>
            <w:hideMark/>
          </w:tcPr>
          <w:p w14:paraId="7756A282" w14:textId="77777777" w:rsidR="00725E50" w:rsidRPr="00075DC8" w:rsidRDefault="00725E50" w:rsidP="00ED4837">
            <w:pPr>
              <w:pStyle w:val="Tabletext"/>
              <w:jc w:val="center"/>
              <w:rPr>
                <w:sz w:val="20"/>
                <w:lang w:val="fr-FR" w:eastAsia="ja-JP"/>
              </w:rPr>
            </w:pPr>
            <w:r w:rsidRPr="00075DC8">
              <w:rPr>
                <w:sz w:val="20"/>
                <w:lang w:val="fr-FR" w:eastAsia="ja-JP"/>
              </w:rPr>
              <w:t>25</w:t>
            </w:r>
          </w:p>
        </w:tc>
      </w:tr>
      <w:tr w:rsidR="00725E50" w:rsidRPr="00075DC8" w14:paraId="10AE6172" w14:textId="77777777" w:rsidTr="00D11437">
        <w:trPr>
          <w:jc w:val="center"/>
        </w:trPr>
        <w:tc>
          <w:tcPr>
            <w:tcW w:w="2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B6715C4" w14:textId="77777777" w:rsidR="00725E50" w:rsidRPr="00075DC8" w:rsidRDefault="00725E50" w:rsidP="00ED4837">
            <w:pPr>
              <w:pStyle w:val="Tabletext"/>
              <w:jc w:val="left"/>
              <w:rPr>
                <w:sz w:val="20"/>
                <w:lang w:val="fr-FR" w:eastAsia="ja-JP"/>
              </w:rPr>
            </w:pPr>
            <w:r w:rsidRPr="00075DC8">
              <w:rPr>
                <w:sz w:val="20"/>
                <w:lang w:val="fr-FR" w:eastAsia="ja-JP"/>
              </w:rPr>
              <w:t>Plage maximale des p.i.r.e. (dBW)</w:t>
            </w:r>
            <w:r w:rsidRPr="00075DC8">
              <w:rPr>
                <w:sz w:val="20"/>
                <w:vertAlign w:val="superscript"/>
                <w:lang w:val="fr-FR" w:eastAsia="ja-JP"/>
              </w:rPr>
              <w:t xml:space="preserve"> </w:t>
            </w:r>
          </w:p>
        </w:tc>
        <w:tc>
          <w:tcPr>
            <w:tcW w:w="1344" w:type="dxa"/>
            <w:tcBorders>
              <w:top w:val="single" w:sz="4" w:space="0" w:color="auto"/>
              <w:left w:val="single" w:sz="4" w:space="0" w:color="auto"/>
              <w:bottom w:val="single" w:sz="4" w:space="0" w:color="auto"/>
              <w:right w:val="single" w:sz="4" w:space="0" w:color="auto"/>
            </w:tcBorders>
            <w:hideMark/>
          </w:tcPr>
          <w:p w14:paraId="4CBACB22" w14:textId="77777777" w:rsidR="00725E50" w:rsidRPr="00075DC8" w:rsidRDefault="00725E50" w:rsidP="00ED4837">
            <w:pPr>
              <w:pStyle w:val="Tabletext"/>
              <w:jc w:val="center"/>
              <w:rPr>
                <w:sz w:val="20"/>
                <w:lang w:val="fr-FR" w:eastAsia="ja-JP"/>
              </w:rPr>
            </w:pPr>
            <w:r w:rsidRPr="00075DC8">
              <w:rPr>
                <w:sz w:val="20"/>
                <w:lang w:val="fr-FR" w:eastAsia="ja-JP"/>
              </w:rPr>
              <w:t>30</w:t>
            </w:r>
          </w:p>
        </w:tc>
        <w:tc>
          <w:tcPr>
            <w:tcW w:w="1343" w:type="dxa"/>
            <w:tcBorders>
              <w:top w:val="single" w:sz="4" w:space="0" w:color="auto"/>
              <w:left w:val="single" w:sz="4" w:space="0" w:color="auto"/>
              <w:bottom w:val="single" w:sz="4" w:space="0" w:color="auto"/>
              <w:right w:val="single" w:sz="4" w:space="0" w:color="auto"/>
            </w:tcBorders>
            <w:hideMark/>
          </w:tcPr>
          <w:p w14:paraId="350FA368" w14:textId="77777777" w:rsidR="00725E50" w:rsidRPr="00075DC8" w:rsidRDefault="00725E50" w:rsidP="00ED4837">
            <w:pPr>
              <w:pStyle w:val="Tabletext"/>
              <w:jc w:val="center"/>
              <w:rPr>
                <w:sz w:val="20"/>
                <w:lang w:val="fr-FR" w:eastAsia="ja-JP"/>
              </w:rPr>
            </w:pPr>
            <w:r w:rsidRPr="00075DC8">
              <w:rPr>
                <w:sz w:val="20"/>
                <w:lang w:val="fr-FR" w:eastAsia="ja-JP"/>
              </w:rPr>
              <w:t>23</w:t>
            </w:r>
          </w:p>
        </w:tc>
        <w:tc>
          <w:tcPr>
            <w:tcW w:w="1271" w:type="dxa"/>
            <w:tcBorders>
              <w:top w:val="single" w:sz="4" w:space="0" w:color="auto"/>
              <w:left w:val="single" w:sz="4" w:space="0" w:color="auto"/>
              <w:bottom w:val="single" w:sz="4" w:space="0" w:color="auto"/>
              <w:right w:val="single" w:sz="4" w:space="0" w:color="auto"/>
            </w:tcBorders>
            <w:hideMark/>
          </w:tcPr>
          <w:p w14:paraId="33FC8E45" w14:textId="77777777" w:rsidR="00725E50" w:rsidRPr="00075DC8" w:rsidRDefault="00725E50" w:rsidP="00ED4837">
            <w:pPr>
              <w:pStyle w:val="Tabletext"/>
              <w:jc w:val="center"/>
              <w:rPr>
                <w:sz w:val="20"/>
                <w:lang w:val="fr-FR" w:eastAsia="ja-JP"/>
              </w:rPr>
            </w:pPr>
            <w:r w:rsidRPr="00075DC8">
              <w:rPr>
                <w:sz w:val="20"/>
                <w:lang w:val="fr-FR" w:eastAsia="ja-JP"/>
              </w:rPr>
              <w:t>20</w:t>
            </w:r>
          </w:p>
        </w:tc>
        <w:tc>
          <w:tcPr>
            <w:tcW w:w="1271" w:type="dxa"/>
            <w:tcBorders>
              <w:top w:val="single" w:sz="4" w:space="0" w:color="auto"/>
              <w:left w:val="single" w:sz="4" w:space="0" w:color="auto"/>
              <w:bottom w:val="single" w:sz="4" w:space="0" w:color="auto"/>
              <w:right w:val="single" w:sz="4" w:space="0" w:color="auto"/>
            </w:tcBorders>
            <w:hideMark/>
          </w:tcPr>
          <w:p w14:paraId="7AEABD76" w14:textId="77777777" w:rsidR="00725E50" w:rsidRPr="00075DC8" w:rsidRDefault="00725E50" w:rsidP="00ED4837">
            <w:pPr>
              <w:pStyle w:val="Tabletext"/>
              <w:jc w:val="center"/>
              <w:rPr>
                <w:sz w:val="20"/>
                <w:lang w:val="fr-FR" w:eastAsia="ja-JP"/>
              </w:rPr>
            </w:pPr>
            <w:r w:rsidRPr="00075DC8">
              <w:rPr>
                <w:sz w:val="20"/>
                <w:lang w:val="fr-FR" w:eastAsia="ja-JP"/>
              </w:rPr>
              <w:t>20…39</w:t>
            </w:r>
          </w:p>
        </w:tc>
        <w:tc>
          <w:tcPr>
            <w:tcW w:w="1200" w:type="dxa"/>
            <w:tcBorders>
              <w:top w:val="single" w:sz="4" w:space="0" w:color="auto"/>
              <w:left w:val="single" w:sz="4" w:space="0" w:color="auto"/>
              <w:bottom w:val="single" w:sz="4" w:space="0" w:color="auto"/>
              <w:right w:val="single" w:sz="4" w:space="0" w:color="auto"/>
            </w:tcBorders>
            <w:hideMark/>
          </w:tcPr>
          <w:p w14:paraId="1A735440" w14:textId="77777777" w:rsidR="00725E50" w:rsidRPr="00075DC8" w:rsidRDefault="00725E50" w:rsidP="00ED4837">
            <w:pPr>
              <w:pStyle w:val="Tabletext"/>
              <w:jc w:val="center"/>
              <w:rPr>
                <w:sz w:val="20"/>
                <w:lang w:val="fr-FR" w:eastAsia="ja-JP"/>
              </w:rPr>
            </w:pPr>
            <w:r w:rsidRPr="00075DC8">
              <w:rPr>
                <w:sz w:val="20"/>
                <w:lang w:val="fr-FR" w:eastAsia="ja-JP"/>
              </w:rPr>
              <w:t>40</w:t>
            </w:r>
          </w:p>
        </w:tc>
        <w:tc>
          <w:tcPr>
            <w:tcW w:w="1202" w:type="dxa"/>
            <w:tcBorders>
              <w:top w:val="single" w:sz="4" w:space="0" w:color="auto"/>
              <w:left w:val="single" w:sz="4" w:space="0" w:color="auto"/>
              <w:bottom w:val="single" w:sz="4" w:space="0" w:color="auto"/>
              <w:right w:val="single" w:sz="4" w:space="0" w:color="auto"/>
            </w:tcBorders>
            <w:hideMark/>
          </w:tcPr>
          <w:p w14:paraId="5573E2CE" w14:textId="77777777" w:rsidR="00725E50" w:rsidRPr="00075DC8" w:rsidRDefault="00725E50" w:rsidP="00ED4837">
            <w:pPr>
              <w:pStyle w:val="Tabletext"/>
              <w:jc w:val="center"/>
              <w:rPr>
                <w:sz w:val="20"/>
                <w:lang w:val="fr-FR" w:eastAsia="ja-JP"/>
              </w:rPr>
            </w:pPr>
            <w:r w:rsidRPr="00075DC8">
              <w:rPr>
                <w:sz w:val="20"/>
                <w:lang w:val="fr-FR" w:eastAsia="ja-JP"/>
              </w:rPr>
              <w:t>34</w:t>
            </w:r>
          </w:p>
        </w:tc>
        <w:tc>
          <w:tcPr>
            <w:tcW w:w="1270" w:type="dxa"/>
            <w:tcBorders>
              <w:top w:val="single" w:sz="4" w:space="0" w:color="auto"/>
              <w:left w:val="single" w:sz="4" w:space="0" w:color="auto"/>
              <w:bottom w:val="single" w:sz="4" w:space="0" w:color="auto"/>
              <w:right w:val="single" w:sz="4" w:space="0" w:color="auto"/>
            </w:tcBorders>
            <w:hideMark/>
          </w:tcPr>
          <w:p w14:paraId="59D0E495" w14:textId="77777777" w:rsidR="00725E50" w:rsidRPr="00075DC8" w:rsidRDefault="00725E50" w:rsidP="00ED4837">
            <w:pPr>
              <w:pStyle w:val="Tabletext"/>
              <w:jc w:val="center"/>
              <w:rPr>
                <w:sz w:val="20"/>
                <w:lang w:val="fr-FR" w:eastAsia="ja-JP"/>
              </w:rPr>
            </w:pPr>
            <w:r w:rsidRPr="00075DC8">
              <w:rPr>
                <w:sz w:val="20"/>
                <w:lang w:val="fr-FR" w:eastAsia="ja-JP"/>
              </w:rPr>
              <w:t>14…30</w:t>
            </w:r>
          </w:p>
        </w:tc>
        <w:tc>
          <w:tcPr>
            <w:tcW w:w="1272" w:type="dxa"/>
            <w:tcBorders>
              <w:top w:val="single" w:sz="4" w:space="0" w:color="auto"/>
              <w:left w:val="single" w:sz="4" w:space="0" w:color="auto"/>
              <w:bottom w:val="single" w:sz="4" w:space="0" w:color="auto"/>
              <w:right w:val="single" w:sz="4" w:space="0" w:color="auto"/>
            </w:tcBorders>
            <w:hideMark/>
          </w:tcPr>
          <w:p w14:paraId="3DDE099C" w14:textId="77777777" w:rsidR="00725E50" w:rsidRPr="00075DC8" w:rsidRDefault="00725E50" w:rsidP="00ED4837">
            <w:pPr>
              <w:pStyle w:val="Tabletext"/>
              <w:jc w:val="center"/>
              <w:rPr>
                <w:sz w:val="20"/>
                <w:lang w:val="fr-FR" w:eastAsia="ja-JP"/>
              </w:rPr>
            </w:pPr>
            <w:r w:rsidRPr="00075DC8">
              <w:rPr>
                <w:sz w:val="20"/>
                <w:lang w:val="fr-FR" w:eastAsia="ja-JP"/>
              </w:rPr>
              <w:t>32…40</w:t>
            </w:r>
          </w:p>
        </w:tc>
        <w:tc>
          <w:tcPr>
            <w:tcW w:w="1352" w:type="dxa"/>
            <w:tcBorders>
              <w:top w:val="single" w:sz="4" w:space="0" w:color="auto"/>
              <w:left w:val="single" w:sz="4" w:space="0" w:color="auto"/>
              <w:bottom w:val="single" w:sz="4" w:space="0" w:color="auto"/>
              <w:right w:val="single" w:sz="4" w:space="0" w:color="auto"/>
            </w:tcBorders>
            <w:hideMark/>
          </w:tcPr>
          <w:p w14:paraId="0A238B94" w14:textId="77777777" w:rsidR="00725E50" w:rsidRPr="00075DC8" w:rsidRDefault="00725E50" w:rsidP="00ED4837">
            <w:pPr>
              <w:pStyle w:val="Tabletext"/>
              <w:jc w:val="center"/>
              <w:rPr>
                <w:sz w:val="20"/>
                <w:lang w:val="fr-FR" w:eastAsia="ja-JP"/>
              </w:rPr>
            </w:pPr>
            <w:r w:rsidRPr="00075DC8">
              <w:rPr>
                <w:sz w:val="20"/>
                <w:lang w:val="fr-FR" w:eastAsia="ja-JP"/>
              </w:rPr>
              <w:t>26</w:t>
            </w:r>
          </w:p>
        </w:tc>
      </w:tr>
      <w:tr w:rsidR="00725E50" w:rsidRPr="00075DC8" w14:paraId="60C48B63" w14:textId="77777777" w:rsidTr="00D11437">
        <w:trPr>
          <w:jc w:val="center"/>
        </w:trPr>
        <w:tc>
          <w:tcPr>
            <w:tcW w:w="2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CDCFA21" w14:textId="77777777" w:rsidR="00725E50" w:rsidRPr="00075DC8" w:rsidRDefault="00725E50" w:rsidP="00ED4837">
            <w:pPr>
              <w:pStyle w:val="Tabletext"/>
              <w:jc w:val="left"/>
              <w:rPr>
                <w:sz w:val="20"/>
                <w:lang w:val="fr-FR" w:eastAsia="ja-JP"/>
              </w:rPr>
            </w:pPr>
            <w:r w:rsidRPr="00075DC8">
              <w:rPr>
                <w:sz w:val="20"/>
                <w:lang w:val="fr-FR" w:eastAsia="ja-JP"/>
              </w:rPr>
              <w:t>Plage maximale des densités de p.i.r.e. (dBW/MHz)</w:t>
            </w:r>
            <w:r w:rsidRPr="00075DC8">
              <w:rPr>
                <w:sz w:val="20"/>
                <w:vertAlign w:val="superscript"/>
                <w:lang w:val="fr-FR" w:eastAsia="ja-JP"/>
              </w:rPr>
              <w:t>(1)</w:t>
            </w:r>
          </w:p>
        </w:tc>
        <w:tc>
          <w:tcPr>
            <w:tcW w:w="1344" w:type="dxa"/>
            <w:tcBorders>
              <w:top w:val="single" w:sz="4" w:space="0" w:color="auto"/>
              <w:left w:val="single" w:sz="4" w:space="0" w:color="auto"/>
              <w:bottom w:val="single" w:sz="4" w:space="0" w:color="auto"/>
              <w:right w:val="single" w:sz="4" w:space="0" w:color="auto"/>
            </w:tcBorders>
            <w:hideMark/>
          </w:tcPr>
          <w:p w14:paraId="147481CF" w14:textId="77777777" w:rsidR="00725E50" w:rsidRPr="00075DC8" w:rsidRDefault="00725E50" w:rsidP="00ED4837">
            <w:pPr>
              <w:pStyle w:val="Tabletext"/>
              <w:jc w:val="center"/>
              <w:rPr>
                <w:sz w:val="20"/>
                <w:lang w:val="fr-FR" w:eastAsia="ja-JP"/>
              </w:rPr>
            </w:pPr>
            <w:r w:rsidRPr="00075DC8">
              <w:rPr>
                <w:sz w:val="20"/>
                <w:lang w:val="fr-FR" w:eastAsia="ja-JP"/>
              </w:rPr>
              <w:t>25…36</w:t>
            </w:r>
          </w:p>
        </w:tc>
        <w:tc>
          <w:tcPr>
            <w:tcW w:w="1343" w:type="dxa"/>
            <w:tcBorders>
              <w:top w:val="single" w:sz="4" w:space="0" w:color="auto"/>
              <w:left w:val="single" w:sz="4" w:space="0" w:color="auto"/>
              <w:bottom w:val="single" w:sz="4" w:space="0" w:color="auto"/>
              <w:right w:val="single" w:sz="4" w:space="0" w:color="auto"/>
            </w:tcBorders>
            <w:hideMark/>
          </w:tcPr>
          <w:p w14:paraId="54A4900E" w14:textId="77777777" w:rsidR="00725E50" w:rsidRPr="00075DC8" w:rsidRDefault="00725E50" w:rsidP="00ED4837">
            <w:pPr>
              <w:pStyle w:val="Tabletext"/>
              <w:jc w:val="center"/>
              <w:rPr>
                <w:sz w:val="20"/>
                <w:lang w:val="fr-FR" w:eastAsia="ja-JP"/>
              </w:rPr>
            </w:pPr>
            <w:r w:rsidRPr="00075DC8">
              <w:rPr>
                <w:sz w:val="20"/>
                <w:lang w:val="fr-FR" w:eastAsia="ja-JP"/>
              </w:rPr>
              <w:t>21…30</w:t>
            </w:r>
          </w:p>
        </w:tc>
        <w:tc>
          <w:tcPr>
            <w:tcW w:w="1271" w:type="dxa"/>
            <w:tcBorders>
              <w:top w:val="single" w:sz="4" w:space="0" w:color="auto"/>
              <w:left w:val="single" w:sz="4" w:space="0" w:color="auto"/>
              <w:bottom w:val="single" w:sz="4" w:space="0" w:color="auto"/>
              <w:right w:val="single" w:sz="4" w:space="0" w:color="auto"/>
            </w:tcBorders>
            <w:hideMark/>
          </w:tcPr>
          <w:p w14:paraId="48374938" w14:textId="77777777" w:rsidR="00725E50" w:rsidRPr="00075DC8" w:rsidRDefault="00725E50" w:rsidP="00ED4837">
            <w:pPr>
              <w:pStyle w:val="Tabletext"/>
              <w:jc w:val="center"/>
              <w:rPr>
                <w:sz w:val="20"/>
                <w:lang w:val="fr-FR" w:eastAsia="ja-JP"/>
              </w:rPr>
            </w:pPr>
            <w:r w:rsidRPr="00075DC8">
              <w:rPr>
                <w:sz w:val="20"/>
                <w:lang w:val="fr-FR" w:eastAsia="ja-JP"/>
              </w:rPr>
              <w:t>17</w:t>
            </w:r>
          </w:p>
        </w:tc>
        <w:tc>
          <w:tcPr>
            <w:tcW w:w="1271" w:type="dxa"/>
            <w:tcBorders>
              <w:top w:val="single" w:sz="4" w:space="0" w:color="auto"/>
              <w:left w:val="single" w:sz="4" w:space="0" w:color="auto"/>
              <w:bottom w:val="single" w:sz="4" w:space="0" w:color="auto"/>
              <w:right w:val="single" w:sz="4" w:space="0" w:color="auto"/>
            </w:tcBorders>
            <w:hideMark/>
          </w:tcPr>
          <w:p w14:paraId="0C00C4E9" w14:textId="77777777" w:rsidR="00725E50" w:rsidRPr="00075DC8" w:rsidRDefault="00725E50" w:rsidP="00ED4837">
            <w:pPr>
              <w:pStyle w:val="Tabletext"/>
              <w:jc w:val="center"/>
              <w:rPr>
                <w:sz w:val="20"/>
                <w:lang w:val="fr-FR" w:eastAsia="ja-JP"/>
              </w:rPr>
            </w:pPr>
            <w:r w:rsidRPr="00075DC8">
              <w:rPr>
                <w:sz w:val="20"/>
                <w:lang w:val="fr-FR" w:eastAsia="ja-JP"/>
              </w:rPr>
              <w:t>17…39</w:t>
            </w:r>
          </w:p>
        </w:tc>
        <w:tc>
          <w:tcPr>
            <w:tcW w:w="1200" w:type="dxa"/>
            <w:tcBorders>
              <w:top w:val="single" w:sz="4" w:space="0" w:color="auto"/>
              <w:left w:val="single" w:sz="4" w:space="0" w:color="auto"/>
              <w:bottom w:val="single" w:sz="4" w:space="0" w:color="auto"/>
              <w:right w:val="single" w:sz="4" w:space="0" w:color="auto"/>
            </w:tcBorders>
            <w:hideMark/>
          </w:tcPr>
          <w:p w14:paraId="148ED0C6" w14:textId="77777777" w:rsidR="00725E50" w:rsidRPr="00075DC8" w:rsidRDefault="00725E50" w:rsidP="00ED4837">
            <w:pPr>
              <w:pStyle w:val="Tabletext"/>
              <w:jc w:val="center"/>
              <w:rPr>
                <w:sz w:val="20"/>
                <w:lang w:val="fr-FR" w:eastAsia="ja-JP"/>
              </w:rPr>
            </w:pPr>
            <w:r w:rsidRPr="00075DC8">
              <w:rPr>
                <w:sz w:val="20"/>
                <w:lang w:val="fr-FR" w:eastAsia="ja-JP"/>
              </w:rPr>
              <w:t>25</w:t>
            </w:r>
          </w:p>
        </w:tc>
        <w:tc>
          <w:tcPr>
            <w:tcW w:w="1202" w:type="dxa"/>
            <w:tcBorders>
              <w:top w:val="single" w:sz="4" w:space="0" w:color="auto"/>
              <w:left w:val="single" w:sz="4" w:space="0" w:color="auto"/>
              <w:bottom w:val="single" w:sz="4" w:space="0" w:color="auto"/>
              <w:right w:val="single" w:sz="4" w:space="0" w:color="auto"/>
            </w:tcBorders>
            <w:hideMark/>
          </w:tcPr>
          <w:p w14:paraId="45EC0343" w14:textId="77777777" w:rsidR="00725E50" w:rsidRPr="00075DC8" w:rsidRDefault="00725E50" w:rsidP="00ED4837">
            <w:pPr>
              <w:pStyle w:val="Tabletext"/>
              <w:jc w:val="center"/>
              <w:rPr>
                <w:sz w:val="20"/>
                <w:lang w:val="fr-FR" w:eastAsia="ja-JP"/>
              </w:rPr>
            </w:pPr>
            <w:r w:rsidRPr="00075DC8">
              <w:rPr>
                <w:sz w:val="20"/>
                <w:lang w:val="fr-FR" w:eastAsia="ja-JP"/>
              </w:rPr>
              <w:t>19</w:t>
            </w:r>
          </w:p>
        </w:tc>
        <w:tc>
          <w:tcPr>
            <w:tcW w:w="1270" w:type="dxa"/>
            <w:tcBorders>
              <w:top w:val="single" w:sz="4" w:space="0" w:color="auto"/>
              <w:left w:val="single" w:sz="4" w:space="0" w:color="auto"/>
              <w:bottom w:val="single" w:sz="4" w:space="0" w:color="auto"/>
              <w:right w:val="single" w:sz="4" w:space="0" w:color="auto"/>
            </w:tcBorders>
            <w:hideMark/>
          </w:tcPr>
          <w:p w14:paraId="0A45F82F" w14:textId="77777777" w:rsidR="00725E50" w:rsidRPr="00075DC8" w:rsidRDefault="00725E50" w:rsidP="00ED4837">
            <w:pPr>
              <w:pStyle w:val="Tabletext"/>
              <w:jc w:val="center"/>
              <w:rPr>
                <w:sz w:val="20"/>
                <w:lang w:val="fr-FR" w:eastAsia="ja-JP"/>
              </w:rPr>
            </w:pPr>
            <w:r w:rsidRPr="00075DC8">
              <w:rPr>
                <w:sz w:val="20"/>
                <w:lang w:val="fr-FR" w:eastAsia="ja-JP"/>
              </w:rPr>
              <w:t>10…19</w:t>
            </w:r>
          </w:p>
        </w:tc>
        <w:tc>
          <w:tcPr>
            <w:tcW w:w="1272" w:type="dxa"/>
            <w:tcBorders>
              <w:top w:val="single" w:sz="4" w:space="0" w:color="auto"/>
              <w:left w:val="single" w:sz="4" w:space="0" w:color="auto"/>
              <w:bottom w:val="single" w:sz="4" w:space="0" w:color="auto"/>
              <w:right w:val="single" w:sz="4" w:space="0" w:color="auto"/>
            </w:tcBorders>
            <w:hideMark/>
          </w:tcPr>
          <w:p w14:paraId="394EEA8E" w14:textId="77777777" w:rsidR="00725E50" w:rsidRPr="00075DC8" w:rsidRDefault="00725E50" w:rsidP="00ED4837">
            <w:pPr>
              <w:pStyle w:val="Tabletext"/>
              <w:jc w:val="center"/>
              <w:rPr>
                <w:sz w:val="20"/>
                <w:lang w:val="fr-FR" w:eastAsia="ja-JP"/>
              </w:rPr>
            </w:pPr>
            <w:r w:rsidRPr="00075DC8">
              <w:rPr>
                <w:sz w:val="20"/>
                <w:lang w:val="fr-FR" w:eastAsia="ja-JP"/>
              </w:rPr>
              <w:t>27…35</w:t>
            </w:r>
          </w:p>
        </w:tc>
        <w:tc>
          <w:tcPr>
            <w:tcW w:w="1352" w:type="dxa"/>
            <w:tcBorders>
              <w:top w:val="single" w:sz="4" w:space="0" w:color="auto"/>
              <w:left w:val="single" w:sz="4" w:space="0" w:color="auto"/>
              <w:bottom w:val="single" w:sz="4" w:space="0" w:color="auto"/>
              <w:right w:val="single" w:sz="4" w:space="0" w:color="auto"/>
            </w:tcBorders>
            <w:hideMark/>
          </w:tcPr>
          <w:p w14:paraId="23892E5E" w14:textId="77777777" w:rsidR="00725E50" w:rsidRPr="00075DC8" w:rsidRDefault="00725E50" w:rsidP="00ED4837">
            <w:pPr>
              <w:pStyle w:val="Tabletext"/>
              <w:jc w:val="center"/>
              <w:rPr>
                <w:sz w:val="20"/>
                <w:lang w:val="fr-FR" w:eastAsia="ja-JP"/>
              </w:rPr>
            </w:pPr>
            <w:r w:rsidRPr="00075DC8">
              <w:rPr>
                <w:sz w:val="20"/>
                <w:lang w:val="fr-FR" w:eastAsia="ja-JP"/>
              </w:rPr>
              <w:t>15</w:t>
            </w:r>
          </w:p>
        </w:tc>
      </w:tr>
      <w:tr w:rsidR="00725E50" w:rsidRPr="00075DC8" w14:paraId="61659057" w14:textId="77777777" w:rsidTr="00D11437">
        <w:trPr>
          <w:jc w:val="center"/>
        </w:trPr>
        <w:tc>
          <w:tcPr>
            <w:tcW w:w="2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F243A7D" w14:textId="77777777" w:rsidR="00725E50" w:rsidRPr="00075DC8" w:rsidRDefault="00725E50" w:rsidP="00ED4837">
            <w:pPr>
              <w:pStyle w:val="Tabletext"/>
              <w:jc w:val="left"/>
              <w:rPr>
                <w:sz w:val="20"/>
                <w:lang w:val="fr-FR" w:eastAsia="ja-JP"/>
              </w:rPr>
            </w:pPr>
            <w:r w:rsidRPr="00075DC8">
              <w:rPr>
                <w:sz w:val="20"/>
                <w:lang w:val="fr-FR" w:eastAsia="ja-JP"/>
              </w:rPr>
              <w:t xml:space="preserve">Facteur de bruit du récepteur (dB) </w:t>
            </w:r>
          </w:p>
        </w:tc>
        <w:tc>
          <w:tcPr>
            <w:tcW w:w="1344" w:type="dxa"/>
            <w:tcBorders>
              <w:top w:val="single" w:sz="4" w:space="0" w:color="auto"/>
              <w:left w:val="single" w:sz="4" w:space="0" w:color="auto"/>
              <w:bottom w:val="single" w:sz="4" w:space="0" w:color="auto"/>
              <w:right w:val="single" w:sz="4" w:space="0" w:color="auto"/>
            </w:tcBorders>
            <w:hideMark/>
          </w:tcPr>
          <w:p w14:paraId="5BE4D255" w14:textId="77777777" w:rsidR="00725E50" w:rsidRPr="00075DC8" w:rsidRDefault="00725E50" w:rsidP="00ED4837">
            <w:pPr>
              <w:pStyle w:val="Tabletext"/>
              <w:jc w:val="center"/>
              <w:rPr>
                <w:sz w:val="20"/>
                <w:lang w:val="fr-FR" w:eastAsia="ja-JP"/>
              </w:rPr>
            </w:pPr>
            <w:r w:rsidRPr="00075DC8">
              <w:rPr>
                <w:sz w:val="20"/>
                <w:lang w:val="fr-FR" w:eastAsia="ja-JP"/>
              </w:rPr>
              <w:t>5</w:t>
            </w:r>
          </w:p>
        </w:tc>
        <w:tc>
          <w:tcPr>
            <w:tcW w:w="1343" w:type="dxa"/>
            <w:tcBorders>
              <w:top w:val="single" w:sz="4" w:space="0" w:color="auto"/>
              <w:left w:val="single" w:sz="4" w:space="0" w:color="auto"/>
              <w:bottom w:val="single" w:sz="4" w:space="0" w:color="auto"/>
              <w:right w:val="single" w:sz="4" w:space="0" w:color="auto"/>
            </w:tcBorders>
            <w:hideMark/>
          </w:tcPr>
          <w:p w14:paraId="7465E9B5" w14:textId="77777777" w:rsidR="00725E50" w:rsidRPr="00075DC8" w:rsidRDefault="00725E50" w:rsidP="00ED4837">
            <w:pPr>
              <w:pStyle w:val="Tabletext"/>
              <w:jc w:val="center"/>
              <w:rPr>
                <w:sz w:val="20"/>
                <w:lang w:val="fr-FR" w:eastAsia="ja-JP"/>
              </w:rPr>
            </w:pPr>
            <w:r w:rsidRPr="00075DC8">
              <w:rPr>
                <w:sz w:val="20"/>
                <w:lang w:val="fr-FR" w:eastAsia="ja-JP"/>
              </w:rPr>
              <w:t>3,5</w:t>
            </w:r>
          </w:p>
        </w:tc>
        <w:tc>
          <w:tcPr>
            <w:tcW w:w="1271" w:type="dxa"/>
            <w:tcBorders>
              <w:top w:val="single" w:sz="4" w:space="0" w:color="auto"/>
              <w:left w:val="single" w:sz="4" w:space="0" w:color="auto"/>
              <w:bottom w:val="single" w:sz="4" w:space="0" w:color="auto"/>
              <w:right w:val="single" w:sz="4" w:space="0" w:color="auto"/>
            </w:tcBorders>
            <w:hideMark/>
          </w:tcPr>
          <w:p w14:paraId="04C3B500" w14:textId="77777777" w:rsidR="00725E50" w:rsidRPr="00075DC8" w:rsidRDefault="00725E50" w:rsidP="00ED4837">
            <w:pPr>
              <w:pStyle w:val="Tabletext"/>
              <w:jc w:val="center"/>
              <w:rPr>
                <w:sz w:val="20"/>
                <w:lang w:val="fr-FR" w:eastAsia="ja-JP"/>
              </w:rPr>
            </w:pPr>
            <w:r w:rsidRPr="00075DC8">
              <w:rPr>
                <w:sz w:val="20"/>
                <w:lang w:val="fr-FR" w:eastAsia="ja-JP"/>
              </w:rPr>
              <w:t>4</w:t>
            </w:r>
          </w:p>
        </w:tc>
        <w:tc>
          <w:tcPr>
            <w:tcW w:w="1271" w:type="dxa"/>
            <w:tcBorders>
              <w:top w:val="single" w:sz="4" w:space="0" w:color="auto"/>
              <w:left w:val="single" w:sz="4" w:space="0" w:color="auto"/>
              <w:bottom w:val="single" w:sz="4" w:space="0" w:color="auto"/>
              <w:right w:val="single" w:sz="4" w:space="0" w:color="auto"/>
            </w:tcBorders>
            <w:hideMark/>
          </w:tcPr>
          <w:p w14:paraId="6303785F" w14:textId="77777777" w:rsidR="00725E50" w:rsidRPr="00075DC8" w:rsidRDefault="00725E50" w:rsidP="00ED4837">
            <w:pPr>
              <w:pStyle w:val="Tabletext"/>
              <w:jc w:val="center"/>
              <w:rPr>
                <w:sz w:val="20"/>
                <w:lang w:val="fr-FR" w:eastAsia="ja-JP"/>
              </w:rPr>
            </w:pPr>
            <w:r w:rsidRPr="00075DC8">
              <w:rPr>
                <w:sz w:val="20"/>
                <w:lang w:val="fr-FR" w:eastAsia="ja-JP"/>
              </w:rPr>
              <w:t>4…7</w:t>
            </w:r>
          </w:p>
        </w:tc>
        <w:tc>
          <w:tcPr>
            <w:tcW w:w="1200" w:type="dxa"/>
            <w:tcBorders>
              <w:top w:val="single" w:sz="4" w:space="0" w:color="auto"/>
              <w:left w:val="single" w:sz="4" w:space="0" w:color="auto"/>
              <w:bottom w:val="single" w:sz="4" w:space="0" w:color="auto"/>
              <w:right w:val="single" w:sz="4" w:space="0" w:color="auto"/>
            </w:tcBorders>
            <w:hideMark/>
          </w:tcPr>
          <w:p w14:paraId="172DB745" w14:textId="77777777" w:rsidR="00725E50" w:rsidRPr="00075DC8" w:rsidRDefault="00725E50" w:rsidP="00ED4837">
            <w:pPr>
              <w:pStyle w:val="Tabletext"/>
              <w:jc w:val="center"/>
              <w:rPr>
                <w:sz w:val="20"/>
                <w:lang w:val="fr-FR" w:eastAsia="ja-JP"/>
              </w:rPr>
            </w:pPr>
            <w:r w:rsidRPr="00075DC8">
              <w:rPr>
                <w:sz w:val="20"/>
                <w:lang w:val="fr-FR" w:eastAsia="ja-JP"/>
              </w:rPr>
              <w:t>4</w:t>
            </w:r>
          </w:p>
        </w:tc>
        <w:tc>
          <w:tcPr>
            <w:tcW w:w="1202" w:type="dxa"/>
            <w:tcBorders>
              <w:top w:val="single" w:sz="4" w:space="0" w:color="auto"/>
              <w:left w:val="single" w:sz="4" w:space="0" w:color="auto"/>
              <w:bottom w:val="single" w:sz="4" w:space="0" w:color="auto"/>
              <w:right w:val="single" w:sz="4" w:space="0" w:color="auto"/>
            </w:tcBorders>
            <w:hideMark/>
          </w:tcPr>
          <w:p w14:paraId="4FDC94FA" w14:textId="77777777" w:rsidR="00725E50" w:rsidRPr="00075DC8" w:rsidRDefault="00725E50" w:rsidP="00ED4837">
            <w:pPr>
              <w:pStyle w:val="Tabletext"/>
              <w:jc w:val="center"/>
              <w:rPr>
                <w:sz w:val="20"/>
                <w:lang w:val="fr-FR" w:eastAsia="ja-JP"/>
              </w:rPr>
            </w:pPr>
            <w:r w:rsidRPr="00075DC8">
              <w:rPr>
                <w:sz w:val="20"/>
                <w:lang w:val="fr-FR" w:eastAsia="ja-JP"/>
              </w:rPr>
              <w:t>4</w:t>
            </w:r>
          </w:p>
        </w:tc>
        <w:tc>
          <w:tcPr>
            <w:tcW w:w="1270" w:type="dxa"/>
            <w:tcBorders>
              <w:top w:val="single" w:sz="4" w:space="0" w:color="auto"/>
              <w:left w:val="single" w:sz="4" w:space="0" w:color="auto"/>
              <w:bottom w:val="single" w:sz="4" w:space="0" w:color="auto"/>
              <w:right w:val="single" w:sz="4" w:space="0" w:color="auto"/>
            </w:tcBorders>
            <w:hideMark/>
          </w:tcPr>
          <w:p w14:paraId="5C4C1C87" w14:textId="77777777" w:rsidR="00725E50" w:rsidRPr="00075DC8" w:rsidRDefault="00725E50" w:rsidP="00ED4837">
            <w:pPr>
              <w:pStyle w:val="Tabletext"/>
              <w:jc w:val="center"/>
              <w:rPr>
                <w:sz w:val="20"/>
                <w:lang w:val="fr-FR" w:eastAsia="ja-JP"/>
              </w:rPr>
            </w:pPr>
            <w:r w:rsidRPr="00075DC8">
              <w:rPr>
                <w:sz w:val="20"/>
                <w:lang w:val="fr-FR" w:eastAsia="ja-JP"/>
              </w:rPr>
              <w:t>4…6</w:t>
            </w:r>
          </w:p>
        </w:tc>
        <w:tc>
          <w:tcPr>
            <w:tcW w:w="1272" w:type="dxa"/>
            <w:tcBorders>
              <w:top w:val="single" w:sz="4" w:space="0" w:color="auto"/>
              <w:left w:val="single" w:sz="4" w:space="0" w:color="auto"/>
              <w:bottom w:val="single" w:sz="4" w:space="0" w:color="auto"/>
              <w:right w:val="single" w:sz="4" w:space="0" w:color="auto"/>
            </w:tcBorders>
            <w:hideMark/>
          </w:tcPr>
          <w:p w14:paraId="6EEF3B7C" w14:textId="77777777" w:rsidR="00725E50" w:rsidRPr="00075DC8" w:rsidRDefault="00725E50" w:rsidP="00ED4837">
            <w:pPr>
              <w:pStyle w:val="Tabletext"/>
              <w:jc w:val="center"/>
              <w:rPr>
                <w:sz w:val="20"/>
                <w:lang w:val="fr-FR" w:eastAsia="ja-JP"/>
              </w:rPr>
            </w:pPr>
            <w:r w:rsidRPr="00075DC8">
              <w:rPr>
                <w:sz w:val="20"/>
                <w:lang w:val="fr-FR" w:eastAsia="ja-JP"/>
              </w:rPr>
              <w:t>3…4</w:t>
            </w:r>
          </w:p>
        </w:tc>
        <w:tc>
          <w:tcPr>
            <w:tcW w:w="1352" w:type="dxa"/>
            <w:tcBorders>
              <w:top w:val="single" w:sz="4" w:space="0" w:color="auto"/>
              <w:left w:val="single" w:sz="4" w:space="0" w:color="auto"/>
              <w:bottom w:val="single" w:sz="4" w:space="0" w:color="auto"/>
              <w:right w:val="single" w:sz="4" w:space="0" w:color="auto"/>
            </w:tcBorders>
            <w:hideMark/>
          </w:tcPr>
          <w:p w14:paraId="6AC9F915" w14:textId="77777777" w:rsidR="00725E50" w:rsidRPr="00075DC8" w:rsidRDefault="00725E50" w:rsidP="00ED4837">
            <w:pPr>
              <w:pStyle w:val="Tabletext"/>
              <w:jc w:val="center"/>
              <w:rPr>
                <w:sz w:val="20"/>
                <w:lang w:val="fr-FR" w:eastAsia="ja-JP"/>
              </w:rPr>
            </w:pPr>
            <w:r w:rsidRPr="00075DC8">
              <w:rPr>
                <w:sz w:val="20"/>
                <w:lang w:val="fr-FR" w:eastAsia="ja-JP"/>
              </w:rPr>
              <w:t>4</w:t>
            </w:r>
          </w:p>
        </w:tc>
      </w:tr>
      <w:tr w:rsidR="00D11437" w:rsidRPr="00075DC8" w14:paraId="52B34679" w14:textId="77777777" w:rsidTr="00D11437">
        <w:trPr>
          <w:jc w:val="center"/>
        </w:trPr>
        <w:tc>
          <w:tcPr>
            <w:tcW w:w="2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6910131" w14:textId="3A037825" w:rsidR="00D11437" w:rsidRPr="00075DC8" w:rsidRDefault="00D11437" w:rsidP="00D11437">
            <w:pPr>
              <w:pStyle w:val="Tabletext"/>
              <w:jc w:val="left"/>
              <w:rPr>
                <w:sz w:val="20"/>
                <w:lang w:val="fr-FR" w:eastAsia="ja-JP"/>
              </w:rPr>
            </w:pPr>
            <w:r w:rsidRPr="00075DC8">
              <w:rPr>
                <w:sz w:val="20"/>
                <w:lang w:val="fr-FR" w:eastAsia="ja-JP"/>
              </w:rPr>
              <w:t>Densité type de puissance de bruit du récepteur (=</w:t>
            </w:r>
            <w:r w:rsidRPr="00075DC8">
              <w:rPr>
                <w:i/>
                <w:iCs/>
                <w:sz w:val="20"/>
                <w:lang w:val="fr-FR" w:eastAsia="ja-JP"/>
              </w:rPr>
              <w:t>N</w:t>
            </w:r>
            <w:r w:rsidRPr="00075DC8">
              <w:rPr>
                <w:i/>
                <w:iCs/>
                <w:sz w:val="20"/>
                <w:vertAlign w:val="subscript"/>
                <w:lang w:val="fr-FR" w:eastAsia="ja-JP"/>
              </w:rPr>
              <w:t>RX</w:t>
            </w:r>
            <w:r w:rsidRPr="00075DC8">
              <w:rPr>
                <w:sz w:val="20"/>
                <w:lang w:val="fr-FR" w:eastAsia="ja-JP"/>
              </w:rPr>
              <w:t>) (dBW/MHz)</w:t>
            </w:r>
          </w:p>
        </w:tc>
        <w:tc>
          <w:tcPr>
            <w:tcW w:w="1344" w:type="dxa"/>
            <w:tcBorders>
              <w:top w:val="single" w:sz="4" w:space="0" w:color="auto"/>
              <w:left w:val="single" w:sz="4" w:space="0" w:color="auto"/>
              <w:bottom w:val="single" w:sz="4" w:space="0" w:color="auto"/>
              <w:right w:val="single" w:sz="4" w:space="0" w:color="auto"/>
            </w:tcBorders>
          </w:tcPr>
          <w:p w14:paraId="53E77BAF" w14:textId="3224FA6F" w:rsidR="00D11437" w:rsidRPr="00075DC8" w:rsidRDefault="00D11437" w:rsidP="00D11437">
            <w:pPr>
              <w:pStyle w:val="Tabletext"/>
              <w:jc w:val="center"/>
              <w:rPr>
                <w:sz w:val="20"/>
                <w:lang w:val="fr-FR" w:eastAsia="ja-JP"/>
              </w:rPr>
            </w:pPr>
            <w:r w:rsidRPr="00075DC8">
              <w:rPr>
                <w:sz w:val="20"/>
                <w:lang w:val="fr-FR" w:eastAsia="ja-JP"/>
              </w:rPr>
              <w:t>−139</w:t>
            </w:r>
          </w:p>
        </w:tc>
        <w:tc>
          <w:tcPr>
            <w:tcW w:w="1343" w:type="dxa"/>
            <w:tcBorders>
              <w:top w:val="single" w:sz="4" w:space="0" w:color="auto"/>
              <w:left w:val="single" w:sz="4" w:space="0" w:color="auto"/>
              <w:bottom w:val="single" w:sz="4" w:space="0" w:color="auto"/>
              <w:right w:val="single" w:sz="4" w:space="0" w:color="auto"/>
            </w:tcBorders>
          </w:tcPr>
          <w:p w14:paraId="7280BBF7" w14:textId="4FA849BE" w:rsidR="00D11437" w:rsidRPr="00075DC8" w:rsidRDefault="00D11437" w:rsidP="00D11437">
            <w:pPr>
              <w:pStyle w:val="Tabletext"/>
              <w:jc w:val="center"/>
              <w:rPr>
                <w:sz w:val="20"/>
                <w:lang w:val="fr-FR" w:eastAsia="ja-JP"/>
              </w:rPr>
            </w:pPr>
            <w:r w:rsidRPr="00075DC8">
              <w:rPr>
                <w:sz w:val="20"/>
                <w:lang w:val="fr-FR" w:eastAsia="ja-JP"/>
              </w:rPr>
              <w:t>−140,5</w:t>
            </w:r>
          </w:p>
        </w:tc>
        <w:tc>
          <w:tcPr>
            <w:tcW w:w="1271" w:type="dxa"/>
            <w:tcBorders>
              <w:top w:val="single" w:sz="4" w:space="0" w:color="auto"/>
              <w:left w:val="single" w:sz="4" w:space="0" w:color="auto"/>
              <w:bottom w:val="single" w:sz="4" w:space="0" w:color="auto"/>
              <w:right w:val="single" w:sz="4" w:space="0" w:color="auto"/>
            </w:tcBorders>
          </w:tcPr>
          <w:p w14:paraId="4FB7F94D" w14:textId="0621DA90" w:rsidR="00D11437" w:rsidRPr="00075DC8" w:rsidRDefault="00D11437" w:rsidP="00D11437">
            <w:pPr>
              <w:pStyle w:val="Tabletext"/>
              <w:jc w:val="center"/>
              <w:rPr>
                <w:sz w:val="20"/>
                <w:lang w:val="fr-FR" w:eastAsia="ja-JP"/>
              </w:rPr>
            </w:pPr>
            <w:r w:rsidRPr="00075DC8">
              <w:rPr>
                <w:sz w:val="20"/>
                <w:lang w:val="fr-FR" w:eastAsia="ja-JP"/>
              </w:rPr>
              <w:t>−140</w:t>
            </w:r>
          </w:p>
        </w:tc>
        <w:tc>
          <w:tcPr>
            <w:tcW w:w="1271" w:type="dxa"/>
            <w:tcBorders>
              <w:top w:val="single" w:sz="4" w:space="0" w:color="auto"/>
              <w:left w:val="single" w:sz="4" w:space="0" w:color="auto"/>
              <w:bottom w:val="single" w:sz="4" w:space="0" w:color="auto"/>
              <w:right w:val="single" w:sz="4" w:space="0" w:color="auto"/>
            </w:tcBorders>
          </w:tcPr>
          <w:p w14:paraId="5FE3E180" w14:textId="5BCA864D" w:rsidR="00D11437" w:rsidRPr="00075DC8" w:rsidRDefault="00D11437" w:rsidP="00D11437">
            <w:pPr>
              <w:pStyle w:val="Tabletext"/>
              <w:jc w:val="center"/>
              <w:rPr>
                <w:sz w:val="20"/>
                <w:lang w:val="fr-FR" w:eastAsia="ja-JP"/>
              </w:rPr>
            </w:pPr>
            <w:r w:rsidRPr="00075DC8">
              <w:rPr>
                <w:sz w:val="20"/>
                <w:lang w:val="fr-FR" w:eastAsia="ja-JP"/>
              </w:rPr>
              <w:t>−140…−137</w:t>
            </w:r>
          </w:p>
        </w:tc>
        <w:tc>
          <w:tcPr>
            <w:tcW w:w="1200" w:type="dxa"/>
            <w:tcBorders>
              <w:top w:val="single" w:sz="4" w:space="0" w:color="auto"/>
              <w:left w:val="single" w:sz="4" w:space="0" w:color="auto"/>
              <w:bottom w:val="single" w:sz="4" w:space="0" w:color="auto"/>
              <w:right w:val="single" w:sz="4" w:space="0" w:color="auto"/>
            </w:tcBorders>
          </w:tcPr>
          <w:p w14:paraId="444EE63C" w14:textId="038F1676" w:rsidR="00D11437" w:rsidRPr="00075DC8" w:rsidRDefault="00D11437" w:rsidP="00D11437">
            <w:pPr>
              <w:pStyle w:val="Tabletext"/>
              <w:jc w:val="center"/>
              <w:rPr>
                <w:sz w:val="20"/>
                <w:lang w:val="fr-FR" w:eastAsia="ja-JP"/>
              </w:rPr>
            </w:pPr>
            <w:r w:rsidRPr="00075DC8">
              <w:rPr>
                <w:sz w:val="20"/>
                <w:lang w:val="fr-FR" w:eastAsia="ja-JP"/>
              </w:rPr>
              <w:t>−140</w:t>
            </w:r>
          </w:p>
        </w:tc>
        <w:tc>
          <w:tcPr>
            <w:tcW w:w="1202" w:type="dxa"/>
            <w:tcBorders>
              <w:top w:val="single" w:sz="4" w:space="0" w:color="auto"/>
              <w:left w:val="single" w:sz="4" w:space="0" w:color="auto"/>
              <w:bottom w:val="single" w:sz="4" w:space="0" w:color="auto"/>
              <w:right w:val="single" w:sz="4" w:space="0" w:color="auto"/>
            </w:tcBorders>
          </w:tcPr>
          <w:p w14:paraId="21E35381" w14:textId="235D6238" w:rsidR="00D11437" w:rsidRPr="00075DC8" w:rsidRDefault="00D11437" w:rsidP="00D11437">
            <w:pPr>
              <w:pStyle w:val="Tabletext"/>
              <w:jc w:val="center"/>
              <w:rPr>
                <w:sz w:val="20"/>
                <w:lang w:val="fr-FR" w:eastAsia="ja-JP"/>
              </w:rPr>
            </w:pPr>
            <w:r w:rsidRPr="00075DC8">
              <w:rPr>
                <w:sz w:val="20"/>
                <w:lang w:val="fr-FR" w:eastAsia="ja-JP"/>
              </w:rPr>
              <w:t>−140</w:t>
            </w:r>
          </w:p>
        </w:tc>
        <w:tc>
          <w:tcPr>
            <w:tcW w:w="1270" w:type="dxa"/>
            <w:tcBorders>
              <w:top w:val="single" w:sz="4" w:space="0" w:color="auto"/>
              <w:left w:val="single" w:sz="4" w:space="0" w:color="auto"/>
              <w:bottom w:val="single" w:sz="4" w:space="0" w:color="auto"/>
              <w:right w:val="single" w:sz="4" w:space="0" w:color="auto"/>
            </w:tcBorders>
          </w:tcPr>
          <w:p w14:paraId="29074F2F" w14:textId="508DBE68" w:rsidR="00D11437" w:rsidRPr="00075DC8" w:rsidRDefault="00D11437" w:rsidP="00D11437">
            <w:pPr>
              <w:pStyle w:val="Tabletext"/>
              <w:jc w:val="center"/>
              <w:rPr>
                <w:sz w:val="20"/>
                <w:lang w:val="fr-FR" w:eastAsia="ja-JP"/>
              </w:rPr>
            </w:pPr>
            <w:r w:rsidRPr="00075DC8">
              <w:rPr>
                <w:sz w:val="20"/>
                <w:lang w:val="fr-FR" w:eastAsia="ja-JP"/>
              </w:rPr>
              <w:t>−140…−138</w:t>
            </w:r>
          </w:p>
        </w:tc>
        <w:tc>
          <w:tcPr>
            <w:tcW w:w="1272" w:type="dxa"/>
            <w:tcBorders>
              <w:top w:val="single" w:sz="4" w:space="0" w:color="auto"/>
              <w:left w:val="single" w:sz="4" w:space="0" w:color="auto"/>
              <w:bottom w:val="single" w:sz="4" w:space="0" w:color="auto"/>
              <w:right w:val="single" w:sz="4" w:space="0" w:color="auto"/>
            </w:tcBorders>
          </w:tcPr>
          <w:p w14:paraId="18759751" w14:textId="68CE813B" w:rsidR="00D11437" w:rsidRPr="00075DC8" w:rsidRDefault="00D11437" w:rsidP="00D11437">
            <w:pPr>
              <w:pStyle w:val="Tabletext"/>
              <w:jc w:val="center"/>
              <w:rPr>
                <w:sz w:val="20"/>
                <w:lang w:val="fr-FR" w:eastAsia="ja-JP"/>
              </w:rPr>
            </w:pPr>
            <w:r w:rsidRPr="00075DC8">
              <w:rPr>
                <w:sz w:val="20"/>
                <w:lang w:val="fr-FR" w:eastAsia="ja-JP"/>
              </w:rPr>
              <w:t>−141…−140</w:t>
            </w:r>
          </w:p>
        </w:tc>
        <w:tc>
          <w:tcPr>
            <w:tcW w:w="1352" w:type="dxa"/>
            <w:tcBorders>
              <w:top w:val="single" w:sz="4" w:space="0" w:color="auto"/>
              <w:left w:val="single" w:sz="4" w:space="0" w:color="auto"/>
              <w:bottom w:val="single" w:sz="4" w:space="0" w:color="auto"/>
              <w:right w:val="single" w:sz="4" w:space="0" w:color="auto"/>
            </w:tcBorders>
          </w:tcPr>
          <w:p w14:paraId="723ABEB6" w14:textId="5540B263" w:rsidR="00D11437" w:rsidRPr="00075DC8" w:rsidRDefault="00D11437" w:rsidP="00D11437">
            <w:pPr>
              <w:pStyle w:val="Tabletext"/>
              <w:jc w:val="center"/>
              <w:rPr>
                <w:sz w:val="20"/>
                <w:lang w:val="fr-FR" w:eastAsia="ja-JP"/>
              </w:rPr>
            </w:pPr>
            <w:r w:rsidRPr="00075DC8">
              <w:rPr>
                <w:sz w:val="20"/>
                <w:lang w:val="fr-FR" w:eastAsia="ja-JP"/>
              </w:rPr>
              <w:t>−140</w:t>
            </w:r>
          </w:p>
        </w:tc>
      </w:tr>
      <w:tr w:rsidR="00D11437" w:rsidRPr="00075DC8" w14:paraId="4EFA88A5" w14:textId="77777777" w:rsidTr="00D11437">
        <w:trPr>
          <w:jc w:val="center"/>
        </w:trPr>
        <w:tc>
          <w:tcPr>
            <w:tcW w:w="2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1279FB9" w14:textId="35D86CC1" w:rsidR="00D11437" w:rsidRPr="00075DC8" w:rsidRDefault="00D11437" w:rsidP="00D11437">
            <w:pPr>
              <w:pStyle w:val="Tabletext"/>
              <w:jc w:val="left"/>
              <w:rPr>
                <w:sz w:val="20"/>
                <w:lang w:val="fr-FR" w:eastAsia="ja-JP"/>
              </w:rPr>
            </w:pPr>
            <w:r w:rsidRPr="00075DC8">
              <w:rPr>
                <w:sz w:val="20"/>
                <w:lang w:val="fr-FR" w:eastAsia="ja-JP"/>
              </w:rPr>
              <w:t>Niveau normalisé à l</w:t>
            </w:r>
            <w:r w:rsidR="001F6A0D" w:rsidRPr="00075DC8">
              <w:rPr>
                <w:sz w:val="20"/>
                <w:lang w:val="fr-FR" w:eastAsia="ja-JP"/>
              </w:rPr>
              <w:t>'</w:t>
            </w:r>
            <w:r w:rsidRPr="00075DC8">
              <w:rPr>
                <w:sz w:val="20"/>
                <w:lang w:val="fr-FR" w:eastAsia="ja-JP"/>
              </w:rPr>
              <w:t>entrée du récepteur pour un taux BER de 1 × 10</w:t>
            </w:r>
            <w:r w:rsidRPr="00075DC8">
              <w:rPr>
                <w:sz w:val="20"/>
                <w:vertAlign w:val="superscript"/>
                <w:lang w:val="fr-FR" w:eastAsia="ja-JP"/>
              </w:rPr>
              <w:t>−6</w:t>
            </w:r>
            <w:r w:rsidRPr="00075DC8">
              <w:rPr>
                <w:sz w:val="20"/>
                <w:lang w:val="fr-FR" w:eastAsia="ja-JP"/>
              </w:rPr>
              <w:t xml:space="preserve"> (dBW/MHz) </w:t>
            </w:r>
          </w:p>
        </w:tc>
        <w:tc>
          <w:tcPr>
            <w:tcW w:w="1344" w:type="dxa"/>
            <w:tcBorders>
              <w:top w:val="single" w:sz="4" w:space="0" w:color="auto"/>
              <w:left w:val="single" w:sz="4" w:space="0" w:color="auto"/>
              <w:bottom w:val="single" w:sz="4" w:space="0" w:color="auto"/>
              <w:right w:val="single" w:sz="4" w:space="0" w:color="auto"/>
            </w:tcBorders>
          </w:tcPr>
          <w:p w14:paraId="58274230" w14:textId="135B4F23" w:rsidR="00D11437" w:rsidRPr="00075DC8" w:rsidRDefault="00D11437" w:rsidP="00D11437">
            <w:pPr>
              <w:pStyle w:val="Tabletext"/>
              <w:jc w:val="center"/>
              <w:rPr>
                <w:sz w:val="20"/>
                <w:lang w:val="fr-FR" w:eastAsia="ja-JP"/>
              </w:rPr>
            </w:pPr>
            <w:r w:rsidRPr="00075DC8">
              <w:rPr>
                <w:sz w:val="20"/>
                <w:lang w:val="fr-FR" w:eastAsia="ja-JP"/>
              </w:rPr>
              <w:t>−125,5</w:t>
            </w:r>
          </w:p>
        </w:tc>
        <w:tc>
          <w:tcPr>
            <w:tcW w:w="1343" w:type="dxa"/>
            <w:tcBorders>
              <w:top w:val="single" w:sz="4" w:space="0" w:color="auto"/>
              <w:left w:val="single" w:sz="4" w:space="0" w:color="auto"/>
              <w:bottom w:val="single" w:sz="4" w:space="0" w:color="auto"/>
              <w:right w:val="single" w:sz="4" w:space="0" w:color="auto"/>
            </w:tcBorders>
          </w:tcPr>
          <w:p w14:paraId="75231E4D" w14:textId="30F7B4B4" w:rsidR="00D11437" w:rsidRPr="00075DC8" w:rsidRDefault="00D11437" w:rsidP="00D11437">
            <w:pPr>
              <w:pStyle w:val="Tabletext"/>
              <w:jc w:val="center"/>
              <w:rPr>
                <w:sz w:val="20"/>
                <w:lang w:val="fr-FR" w:eastAsia="ja-JP"/>
              </w:rPr>
            </w:pPr>
            <w:r w:rsidRPr="00075DC8">
              <w:rPr>
                <w:sz w:val="20"/>
                <w:lang w:val="fr-FR" w:eastAsia="ja-JP"/>
              </w:rPr>
              <w:t>−117</w:t>
            </w:r>
          </w:p>
        </w:tc>
        <w:tc>
          <w:tcPr>
            <w:tcW w:w="1271" w:type="dxa"/>
            <w:tcBorders>
              <w:top w:val="single" w:sz="4" w:space="0" w:color="auto"/>
              <w:left w:val="single" w:sz="4" w:space="0" w:color="auto"/>
              <w:bottom w:val="single" w:sz="4" w:space="0" w:color="auto"/>
              <w:right w:val="single" w:sz="4" w:space="0" w:color="auto"/>
            </w:tcBorders>
          </w:tcPr>
          <w:p w14:paraId="5F4E5B45" w14:textId="29DC1FB4" w:rsidR="00D11437" w:rsidRPr="00075DC8" w:rsidRDefault="00D11437" w:rsidP="00D11437">
            <w:pPr>
              <w:pStyle w:val="Tabletext"/>
              <w:jc w:val="center"/>
              <w:rPr>
                <w:sz w:val="20"/>
                <w:lang w:val="fr-FR" w:eastAsia="ja-JP"/>
              </w:rPr>
            </w:pPr>
            <w:r w:rsidRPr="00075DC8">
              <w:rPr>
                <w:sz w:val="20"/>
                <w:lang w:val="fr-FR" w:eastAsia="ja-JP"/>
              </w:rPr>
              <w:t>−126,5</w:t>
            </w:r>
          </w:p>
        </w:tc>
        <w:tc>
          <w:tcPr>
            <w:tcW w:w="1271" w:type="dxa"/>
            <w:tcBorders>
              <w:top w:val="single" w:sz="4" w:space="0" w:color="auto"/>
              <w:left w:val="single" w:sz="4" w:space="0" w:color="auto"/>
              <w:bottom w:val="single" w:sz="4" w:space="0" w:color="auto"/>
              <w:right w:val="single" w:sz="4" w:space="0" w:color="auto"/>
            </w:tcBorders>
          </w:tcPr>
          <w:p w14:paraId="5C10441A" w14:textId="7CB90CB6" w:rsidR="00D11437" w:rsidRPr="00075DC8" w:rsidRDefault="00D11437" w:rsidP="00D11437">
            <w:pPr>
              <w:pStyle w:val="Tabletext"/>
              <w:jc w:val="center"/>
              <w:rPr>
                <w:sz w:val="20"/>
                <w:lang w:val="fr-FR" w:eastAsia="ja-JP"/>
              </w:rPr>
            </w:pPr>
            <w:r w:rsidRPr="00075DC8">
              <w:rPr>
                <w:sz w:val="20"/>
                <w:lang w:val="fr-FR" w:eastAsia="ja-JP"/>
              </w:rPr>
              <w:t>−126,5…</w:t>
            </w:r>
            <w:r w:rsidRPr="00075DC8">
              <w:rPr>
                <w:sz w:val="20"/>
                <w:lang w:val="fr-FR" w:eastAsia="ja-JP"/>
              </w:rPr>
              <w:br/>
              <w:t>−123,5</w:t>
            </w:r>
          </w:p>
        </w:tc>
        <w:tc>
          <w:tcPr>
            <w:tcW w:w="1200" w:type="dxa"/>
            <w:tcBorders>
              <w:top w:val="single" w:sz="4" w:space="0" w:color="auto"/>
              <w:left w:val="single" w:sz="4" w:space="0" w:color="auto"/>
              <w:bottom w:val="single" w:sz="4" w:space="0" w:color="auto"/>
              <w:right w:val="single" w:sz="4" w:space="0" w:color="auto"/>
            </w:tcBorders>
          </w:tcPr>
          <w:p w14:paraId="771171B5" w14:textId="62299787" w:rsidR="00D11437" w:rsidRPr="00075DC8" w:rsidRDefault="00D11437" w:rsidP="00D11437">
            <w:pPr>
              <w:pStyle w:val="Tabletext"/>
              <w:jc w:val="center"/>
              <w:rPr>
                <w:sz w:val="20"/>
                <w:lang w:val="fr-FR" w:eastAsia="ja-JP"/>
              </w:rPr>
            </w:pPr>
            <w:r w:rsidRPr="00075DC8">
              <w:rPr>
                <w:sz w:val="20"/>
                <w:lang w:val="fr-FR" w:eastAsia="ja-JP"/>
              </w:rPr>
              <w:t>−126,5</w:t>
            </w:r>
          </w:p>
        </w:tc>
        <w:tc>
          <w:tcPr>
            <w:tcW w:w="1202" w:type="dxa"/>
            <w:tcBorders>
              <w:top w:val="single" w:sz="4" w:space="0" w:color="auto"/>
              <w:left w:val="single" w:sz="4" w:space="0" w:color="auto"/>
              <w:bottom w:val="single" w:sz="4" w:space="0" w:color="auto"/>
              <w:right w:val="single" w:sz="4" w:space="0" w:color="auto"/>
            </w:tcBorders>
          </w:tcPr>
          <w:p w14:paraId="73442BE8" w14:textId="70A70828" w:rsidR="00D11437" w:rsidRPr="00075DC8" w:rsidRDefault="00D11437" w:rsidP="00D11437">
            <w:pPr>
              <w:pStyle w:val="Tabletext"/>
              <w:jc w:val="center"/>
              <w:rPr>
                <w:sz w:val="20"/>
                <w:lang w:val="fr-FR" w:eastAsia="ja-JP"/>
              </w:rPr>
            </w:pPr>
            <w:r w:rsidRPr="00075DC8">
              <w:rPr>
                <w:sz w:val="20"/>
                <w:lang w:val="fr-FR" w:eastAsia="ja-JP"/>
              </w:rPr>
              <w:t>−126,5</w:t>
            </w:r>
          </w:p>
        </w:tc>
        <w:tc>
          <w:tcPr>
            <w:tcW w:w="1270" w:type="dxa"/>
            <w:tcBorders>
              <w:top w:val="single" w:sz="4" w:space="0" w:color="auto"/>
              <w:left w:val="single" w:sz="4" w:space="0" w:color="auto"/>
              <w:bottom w:val="single" w:sz="4" w:space="0" w:color="auto"/>
              <w:right w:val="single" w:sz="4" w:space="0" w:color="auto"/>
            </w:tcBorders>
          </w:tcPr>
          <w:p w14:paraId="19554690" w14:textId="52F0D8DF" w:rsidR="00D11437" w:rsidRPr="00075DC8" w:rsidRDefault="00D11437" w:rsidP="00D11437">
            <w:pPr>
              <w:pStyle w:val="Tabletext"/>
              <w:jc w:val="center"/>
              <w:rPr>
                <w:sz w:val="20"/>
                <w:lang w:val="fr-FR" w:eastAsia="ja-JP"/>
              </w:rPr>
            </w:pPr>
            <w:r w:rsidRPr="00075DC8">
              <w:rPr>
                <w:sz w:val="20"/>
                <w:lang w:val="fr-FR" w:eastAsia="ja-JP"/>
              </w:rPr>
              <w:t>−126,5…</w:t>
            </w:r>
            <w:r w:rsidRPr="00075DC8">
              <w:rPr>
                <w:sz w:val="20"/>
                <w:lang w:val="fr-FR" w:eastAsia="ja-JP"/>
              </w:rPr>
              <w:br/>
              <w:t>−124,5</w:t>
            </w:r>
          </w:p>
        </w:tc>
        <w:tc>
          <w:tcPr>
            <w:tcW w:w="1272" w:type="dxa"/>
            <w:tcBorders>
              <w:top w:val="single" w:sz="4" w:space="0" w:color="auto"/>
              <w:left w:val="single" w:sz="4" w:space="0" w:color="auto"/>
              <w:bottom w:val="single" w:sz="4" w:space="0" w:color="auto"/>
              <w:right w:val="single" w:sz="4" w:space="0" w:color="auto"/>
            </w:tcBorders>
          </w:tcPr>
          <w:p w14:paraId="7780CFB6" w14:textId="7CBCC40A" w:rsidR="00D11437" w:rsidRPr="00075DC8" w:rsidRDefault="00D11437" w:rsidP="00D11437">
            <w:pPr>
              <w:pStyle w:val="Tabletext"/>
              <w:jc w:val="center"/>
              <w:rPr>
                <w:sz w:val="20"/>
                <w:lang w:val="fr-FR" w:eastAsia="ja-JP"/>
              </w:rPr>
            </w:pPr>
            <w:r w:rsidRPr="00075DC8">
              <w:rPr>
                <w:sz w:val="20"/>
                <w:lang w:val="fr-FR" w:eastAsia="ja-JP"/>
              </w:rPr>
              <w:t>−108,4…</w:t>
            </w:r>
            <w:r w:rsidRPr="00075DC8">
              <w:rPr>
                <w:sz w:val="20"/>
                <w:lang w:val="fr-FR" w:eastAsia="ja-JP"/>
              </w:rPr>
              <w:br/>
              <w:t>−107,4</w:t>
            </w:r>
          </w:p>
        </w:tc>
        <w:tc>
          <w:tcPr>
            <w:tcW w:w="1352" w:type="dxa"/>
            <w:tcBorders>
              <w:top w:val="single" w:sz="4" w:space="0" w:color="auto"/>
              <w:left w:val="single" w:sz="4" w:space="0" w:color="auto"/>
              <w:bottom w:val="single" w:sz="4" w:space="0" w:color="auto"/>
              <w:right w:val="single" w:sz="4" w:space="0" w:color="auto"/>
            </w:tcBorders>
          </w:tcPr>
          <w:p w14:paraId="23AD6B4F" w14:textId="70B9BC73" w:rsidR="00D11437" w:rsidRPr="00075DC8" w:rsidRDefault="00D11437" w:rsidP="00D11437">
            <w:pPr>
              <w:pStyle w:val="Tabletext"/>
              <w:jc w:val="center"/>
              <w:rPr>
                <w:sz w:val="20"/>
                <w:lang w:val="fr-FR" w:eastAsia="ja-JP"/>
              </w:rPr>
            </w:pPr>
            <w:r w:rsidRPr="00075DC8">
              <w:rPr>
                <w:sz w:val="20"/>
                <w:lang w:val="fr-FR" w:eastAsia="ja-JP"/>
              </w:rPr>
              <w:t>−126,5</w:t>
            </w:r>
          </w:p>
        </w:tc>
      </w:tr>
      <w:tr w:rsidR="00862A2C" w:rsidRPr="00075DC8" w14:paraId="15B99359" w14:textId="77777777" w:rsidTr="00D11437">
        <w:trPr>
          <w:jc w:val="center"/>
        </w:trPr>
        <w:tc>
          <w:tcPr>
            <w:tcW w:w="14470" w:type="dxa"/>
            <w:gridSpan w:val="10"/>
            <w:tcBorders>
              <w:top w:val="nil"/>
              <w:left w:val="nil"/>
              <w:bottom w:val="single" w:sz="4" w:space="0" w:color="auto"/>
              <w:right w:val="nil"/>
            </w:tcBorders>
            <w:tcMar>
              <w:top w:w="0" w:type="dxa"/>
              <w:left w:w="57" w:type="dxa"/>
              <w:bottom w:w="0" w:type="dxa"/>
              <w:right w:w="57" w:type="dxa"/>
            </w:tcMar>
          </w:tcPr>
          <w:p w14:paraId="379978BC" w14:textId="5F6E5440" w:rsidR="00862A2C" w:rsidRPr="00075DC8" w:rsidRDefault="00862A2C" w:rsidP="00862A2C">
            <w:pPr>
              <w:pStyle w:val="TableNo"/>
              <w:rPr>
                <w:lang w:val="fr-FR" w:eastAsia="ja-JP"/>
              </w:rPr>
            </w:pPr>
            <w:r w:rsidRPr="00075DC8">
              <w:rPr>
                <w:lang w:val="fr-FR" w:eastAsia="ja-JP"/>
              </w:rPr>
              <w:lastRenderedPageBreak/>
              <w:t>TABLEAU 17 (</w:t>
            </w:r>
            <w:r w:rsidRPr="00075DC8">
              <w:rPr>
                <w:i/>
                <w:iCs/>
                <w:lang w:val="fr-FR" w:eastAsia="ja-JP"/>
              </w:rPr>
              <w:t>fin</w:t>
            </w:r>
            <w:r w:rsidRPr="00075DC8">
              <w:rPr>
                <w:lang w:val="fr-FR" w:eastAsia="ja-JP"/>
              </w:rPr>
              <w:t>)</w:t>
            </w:r>
          </w:p>
        </w:tc>
      </w:tr>
      <w:tr w:rsidR="00862A2C" w:rsidRPr="00075DC8" w14:paraId="4A61E21D" w14:textId="77777777" w:rsidTr="00D11437">
        <w:trPr>
          <w:jc w:val="center"/>
        </w:trPr>
        <w:tc>
          <w:tcPr>
            <w:tcW w:w="2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B94774" w14:textId="77777777" w:rsidR="00862A2C" w:rsidRPr="00075DC8" w:rsidRDefault="00862A2C" w:rsidP="00ED4837">
            <w:pPr>
              <w:pStyle w:val="Tablehead"/>
              <w:rPr>
                <w:sz w:val="20"/>
                <w:lang w:val="fr-FR" w:eastAsia="ja-JP"/>
              </w:rPr>
            </w:pPr>
            <w:r w:rsidRPr="00075DC8">
              <w:rPr>
                <w:sz w:val="20"/>
                <w:lang w:val="fr-FR" w:eastAsia="ja-JP"/>
              </w:rPr>
              <w:t>Gamme de fréquences</w:t>
            </w:r>
            <w:r w:rsidRPr="00075DC8">
              <w:rPr>
                <w:sz w:val="20"/>
                <w:lang w:val="fr-FR" w:eastAsia="ja-JP"/>
              </w:rPr>
              <w:br/>
              <w:t>(GHz)</w:t>
            </w:r>
          </w:p>
        </w:tc>
        <w:tc>
          <w:tcPr>
            <w:tcW w:w="2687" w:type="dxa"/>
            <w:gridSpan w:val="2"/>
            <w:tcBorders>
              <w:top w:val="single" w:sz="4" w:space="0" w:color="auto"/>
              <w:left w:val="single" w:sz="4" w:space="0" w:color="auto"/>
              <w:bottom w:val="single" w:sz="4" w:space="0" w:color="auto"/>
              <w:right w:val="single" w:sz="4" w:space="0" w:color="auto"/>
            </w:tcBorders>
            <w:vAlign w:val="center"/>
            <w:hideMark/>
          </w:tcPr>
          <w:p w14:paraId="26F72CBF" w14:textId="77777777" w:rsidR="00862A2C" w:rsidRPr="00075DC8" w:rsidRDefault="00862A2C" w:rsidP="00ED4837">
            <w:pPr>
              <w:pStyle w:val="Tablehead"/>
              <w:rPr>
                <w:sz w:val="20"/>
                <w:lang w:val="fr-FR" w:eastAsia="ja-JP"/>
              </w:rPr>
            </w:pPr>
            <w:r w:rsidRPr="00075DC8">
              <w:rPr>
                <w:sz w:val="20"/>
                <w:lang w:val="fr-FR" w:eastAsia="ja-JP"/>
              </w:rPr>
              <w:t>0,4061-0,450</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14:paraId="737C5BAC" w14:textId="77777777" w:rsidR="00862A2C" w:rsidRPr="00075DC8" w:rsidRDefault="00862A2C" w:rsidP="00ED4837">
            <w:pPr>
              <w:pStyle w:val="Tablehead"/>
              <w:rPr>
                <w:sz w:val="20"/>
                <w:lang w:val="fr-FR" w:eastAsia="ja-JP"/>
              </w:rPr>
            </w:pPr>
            <w:r w:rsidRPr="00075DC8">
              <w:rPr>
                <w:sz w:val="20"/>
                <w:lang w:val="fr-FR" w:eastAsia="ja-JP"/>
              </w:rPr>
              <w:t>1,350-1,530</w:t>
            </w:r>
          </w:p>
        </w:tc>
        <w:tc>
          <w:tcPr>
            <w:tcW w:w="2402" w:type="dxa"/>
            <w:gridSpan w:val="2"/>
            <w:tcBorders>
              <w:top w:val="single" w:sz="4" w:space="0" w:color="auto"/>
              <w:left w:val="single" w:sz="4" w:space="0" w:color="auto"/>
              <w:bottom w:val="single" w:sz="4" w:space="0" w:color="auto"/>
              <w:right w:val="single" w:sz="4" w:space="0" w:color="auto"/>
            </w:tcBorders>
            <w:vAlign w:val="center"/>
            <w:hideMark/>
          </w:tcPr>
          <w:p w14:paraId="04D5CFD9" w14:textId="77777777" w:rsidR="00862A2C" w:rsidRPr="00075DC8" w:rsidRDefault="00862A2C" w:rsidP="00ED4837">
            <w:pPr>
              <w:pStyle w:val="Tablehead"/>
              <w:rPr>
                <w:sz w:val="20"/>
                <w:lang w:val="fr-FR" w:eastAsia="ja-JP"/>
              </w:rPr>
            </w:pPr>
            <w:r w:rsidRPr="00075DC8">
              <w:rPr>
                <w:sz w:val="20"/>
                <w:lang w:val="fr-FR" w:eastAsia="ja-JP"/>
              </w:rPr>
              <w:t>1,700-2,100</w:t>
            </w:r>
            <w:r w:rsidRPr="00075DC8">
              <w:rPr>
                <w:sz w:val="20"/>
                <w:lang w:val="fr-FR" w:eastAsia="ja-JP"/>
              </w:rPr>
              <w:br/>
              <w:t>1,900-2,300</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14:paraId="19935CC6" w14:textId="77777777" w:rsidR="00862A2C" w:rsidRPr="00075DC8" w:rsidRDefault="00862A2C" w:rsidP="00ED4837">
            <w:pPr>
              <w:pStyle w:val="Tablehead"/>
              <w:rPr>
                <w:sz w:val="20"/>
                <w:lang w:val="fr-FR" w:eastAsia="ja-JP"/>
              </w:rPr>
            </w:pPr>
            <w:r w:rsidRPr="00075DC8">
              <w:rPr>
                <w:sz w:val="20"/>
                <w:lang w:val="fr-FR" w:eastAsia="ja-JP"/>
              </w:rPr>
              <w:t>1,900-2,300</w:t>
            </w:r>
          </w:p>
        </w:tc>
        <w:tc>
          <w:tcPr>
            <w:tcW w:w="1352" w:type="dxa"/>
            <w:tcBorders>
              <w:top w:val="single" w:sz="4" w:space="0" w:color="auto"/>
              <w:left w:val="single" w:sz="4" w:space="0" w:color="auto"/>
              <w:bottom w:val="single" w:sz="4" w:space="0" w:color="auto"/>
              <w:right w:val="single" w:sz="4" w:space="0" w:color="auto"/>
            </w:tcBorders>
            <w:vAlign w:val="center"/>
            <w:hideMark/>
          </w:tcPr>
          <w:p w14:paraId="455AE076" w14:textId="77777777" w:rsidR="00862A2C" w:rsidRPr="00075DC8" w:rsidRDefault="00862A2C" w:rsidP="00ED4837">
            <w:pPr>
              <w:pStyle w:val="Tablehead"/>
              <w:rPr>
                <w:sz w:val="20"/>
                <w:lang w:val="fr-FR" w:eastAsia="ja-JP"/>
              </w:rPr>
            </w:pPr>
            <w:r w:rsidRPr="00075DC8">
              <w:rPr>
                <w:sz w:val="20"/>
                <w:lang w:val="fr-FR" w:eastAsia="ja-JP"/>
              </w:rPr>
              <w:t>2,290-2,670</w:t>
            </w:r>
          </w:p>
        </w:tc>
      </w:tr>
      <w:tr w:rsidR="00D11437" w:rsidRPr="00075DC8" w14:paraId="23756113" w14:textId="77777777" w:rsidTr="00E14DAC">
        <w:trPr>
          <w:jc w:val="center"/>
        </w:trPr>
        <w:tc>
          <w:tcPr>
            <w:tcW w:w="2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072A0F7" w14:textId="26ADC106" w:rsidR="00D11437" w:rsidRPr="00075DC8" w:rsidRDefault="00D11437" w:rsidP="00D11437">
            <w:pPr>
              <w:pStyle w:val="Tabletext"/>
              <w:jc w:val="left"/>
              <w:rPr>
                <w:sz w:val="20"/>
                <w:lang w:val="fr-FR" w:eastAsia="ja-JP"/>
              </w:rPr>
            </w:pPr>
            <w:r w:rsidRPr="00075DC8">
              <w:rPr>
                <w:sz w:val="20"/>
                <w:lang w:val="fr-FR" w:eastAsia="ja-JP"/>
              </w:rPr>
              <w:t xml:space="preserve">Recommandation UIT-R de référence </w:t>
            </w:r>
          </w:p>
        </w:tc>
        <w:tc>
          <w:tcPr>
            <w:tcW w:w="2687" w:type="dxa"/>
            <w:gridSpan w:val="2"/>
            <w:tcBorders>
              <w:top w:val="single" w:sz="4" w:space="0" w:color="auto"/>
              <w:left w:val="single" w:sz="4" w:space="0" w:color="auto"/>
              <w:bottom w:val="single" w:sz="4" w:space="0" w:color="auto"/>
              <w:right w:val="single" w:sz="4" w:space="0" w:color="auto"/>
            </w:tcBorders>
          </w:tcPr>
          <w:p w14:paraId="39A70452" w14:textId="72D2DC91" w:rsidR="00D11437" w:rsidRPr="00075DC8" w:rsidRDefault="00D11437" w:rsidP="00D11437">
            <w:pPr>
              <w:pStyle w:val="Tabletext"/>
              <w:jc w:val="center"/>
              <w:rPr>
                <w:sz w:val="20"/>
                <w:lang w:val="fr-FR" w:eastAsia="ja-JP"/>
              </w:rPr>
            </w:pPr>
            <w:r w:rsidRPr="00075DC8">
              <w:rPr>
                <w:sz w:val="20"/>
                <w:lang w:val="fr-FR" w:eastAsia="ja-JP"/>
              </w:rPr>
              <w:t>F.1567</w:t>
            </w:r>
          </w:p>
        </w:tc>
        <w:tc>
          <w:tcPr>
            <w:tcW w:w="2542" w:type="dxa"/>
            <w:gridSpan w:val="2"/>
            <w:tcBorders>
              <w:top w:val="single" w:sz="4" w:space="0" w:color="auto"/>
              <w:left w:val="single" w:sz="4" w:space="0" w:color="auto"/>
              <w:bottom w:val="single" w:sz="4" w:space="0" w:color="auto"/>
              <w:right w:val="single" w:sz="4" w:space="0" w:color="auto"/>
            </w:tcBorders>
          </w:tcPr>
          <w:p w14:paraId="3CA8ABFF" w14:textId="1E649B44" w:rsidR="00D11437" w:rsidRPr="00075DC8" w:rsidRDefault="00D11437" w:rsidP="00D11437">
            <w:pPr>
              <w:pStyle w:val="Tabletext"/>
              <w:jc w:val="center"/>
              <w:rPr>
                <w:sz w:val="20"/>
                <w:lang w:val="fr-FR" w:eastAsia="ja-JP"/>
              </w:rPr>
            </w:pPr>
            <w:r w:rsidRPr="00075DC8">
              <w:rPr>
                <w:sz w:val="20"/>
                <w:lang w:val="fr-FR" w:eastAsia="ja-JP"/>
              </w:rPr>
              <w:t>F.1242</w:t>
            </w:r>
          </w:p>
        </w:tc>
        <w:tc>
          <w:tcPr>
            <w:tcW w:w="2402" w:type="dxa"/>
            <w:gridSpan w:val="2"/>
            <w:tcBorders>
              <w:top w:val="single" w:sz="4" w:space="0" w:color="auto"/>
              <w:left w:val="single" w:sz="4" w:space="0" w:color="auto"/>
              <w:bottom w:val="single" w:sz="4" w:space="0" w:color="auto"/>
              <w:right w:val="single" w:sz="4" w:space="0" w:color="auto"/>
            </w:tcBorders>
          </w:tcPr>
          <w:p w14:paraId="4CD8CB92" w14:textId="14A54B75" w:rsidR="00D11437" w:rsidRPr="00075DC8" w:rsidRDefault="00D11437" w:rsidP="00D11437">
            <w:pPr>
              <w:pStyle w:val="Tabletext"/>
              <w:jc w:val="center"/>
              <w:rPr>
                <w:sz w:val="20"/>
                <w:lang w:val="fr-FR" w:eastAsia="ja-JP"/>
              </w:rPr>
            </w:pPr>
            <w:r w:rsidRPr="00075DC8">
              <w:rPr>
                <w:sz w:val="20"/>
                <w:lang w:val="fr-FR" w:eastAsia="ja-JP"/>
              </w:rPr>
              <w:t>F.382</w:t>
            </w:r>
          </w:p>
        </w:tc>
        <w:tc>
          <w:tcPr>
            <w:tcW w:w="2542" w:type="dxa"/>
            <w:gridSpan w:val="2"/>
            <w:tcBorders>
              <w:top w:val="single" w:sz="4" w:space="0" w:color="auto"/>
              <w:left w:val="single" w:sz="4" w:space="0" w:color="auto"/>
              <w:bottom w:val="single" w:sz="4" w:space="0" w:color="auto"/>
              <w:right w:val="single" w:sz="4" w:space="0" w:color="auto"/>
            </w:tcBorders>
          </w:tcPr>
          <w:p w14:paraId="7661EB36" w14:textId="244C937C" w:rsidR="00D11437" w:rsidRPr="00075DC8" w:rsidRDefault="00D11437" w:rsidP="00D11437">
            <w:pPr>
              <w:pStyle w:val="Tabletext"/>
              <w:jc w:val="center"/>
              <w:rPr>
                <w:sz w:val="20"/>
                <w:lang w:val="fr-FR" w:eastAsia="ja-JP"/>
              </w:rPr>
            </w:pPr>
            <w:r w:rsidRPr="00075DC8">
              <w:rPr>
                <w:sz w:val="20"/>
                <w:lang w:val="fr-FR" w:eastAsia="ja-JP"/>
              </w:rPr>
              <w:t>F.1098</w:t>
            </w:r>
          </w:p>
        </w:tc>
        <w:tc>
          <w:tcPr>
            <w:tcW w:w="1352" w:type="dxa"/>
            <w:tcBorders>
              <w:top w:val="single" w:sz="4" w:space="0" w:color="auto"/>
              <w:left w:val="single" w:sz="4" w:space="0" w:color="auto"/>
              <w:bottom w:val="single" w:sz="4" w:space="0" w:color="auto"/>
              <w:right w:val="single" w:sz="4" w:space="0" w:color="auto"/>
            </w:tcBorders>
          </w:tcPr>
          <w:p w14:paraId="2589685C" w14:textId="28C2B691" w:rsidR="00D11437" w:rsidRPr="00075DC8" w:rsidRDefault="00D11437" w:rsidP="00D11437">
            <w:pPr>
              <w:pStyle w:val="Tabletext"/>
              <w:jc w:val="center"/>
              <w:rPr>
                <w:sz w:val="20"/>
                <w:lang w:val="fr-FR" w:eastAsia="ja-JP"/>
              </w:rPr>
            </w:pPr>
            <w:r w:rsidRPr="00075DC8">
              <w:rPr>
                <w:sz w:val="20"/>
                <w:lang w:val="fr-FR" w:eastAsia="ja-JP"/>
              </w:rPr>
              <w:t>F.1243</w:t>
            </w:r>
          </w:p>
        </w:tc>
      </w:tr>
      <w:tr w:rsidR="00725E50" w:rsidRPr="00075DC8" w14:paraId="6EBC6C53" w14:textId="77777777" w:rsidTr="00D11437">
        <w:trPr>
          <w:jc w:val="center"/>
        </w:trPr>
        <w:tc>
          <w:tcPr>
            <w:tcW w:w="2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D7132B" w14:textId="241580E9" w:rsidR="00725E50" w:rsidRPr="00075DC8" w:rsidRDefault="00725E50" w:rsidP="00ED4837">
            <w:pPr>
              <w:pStyle w:val="Tabletext"/>
              <w:jc w:val="left"/>
              <w:rPr>
                <w:sz w:val="20"/>
                <w:lang w:val="fr-FR" w:eastAsia="ja-JP"/>
              </w:rPr>
            </w:pPr>
            <w:r w:rsidRPr="00075DC8">
              <w:rPr>
                <w:sz w:val="20"/>
                <w:lang w:val="fr-FR" w:eastAsia="ja-JP"/>
              </w:rPr>
              <w:t>Densité nominale de puissance de brouillage de longue durée (dBW/MHz)</w:t>
            </w:r>
            <w:r w:rsidRPr="00075DC8">
              <w:rPr>
                <w:sz w:val="20"/>
                <w:vertAlign w:val="superscript"/>
                <w:lang w:val="fr-FR" w:eastAsia="ja-JP"/>
              </w:rPr>
              <w:t>(2)</w:t>
            </w:r>
          </w:p>
        </w:tc>
        <w:tc>
          <w:tcPr>
            <w:tcW w:w="1344" w:type="dxa"/>
            <w:tcBorders>
              <w:top w:val="single" w:sz="4" w:space="0" w:color="auto"/>
              <w:left w:val="single" w:sz="4" w:space="0" w:color="auto"/>
              <w:bottom w:val="single" w:sz="4" w:space="0" w:color="auto"/>
              <w:right w:val="single" w:sz="4" w:space="0" w:color="auto"/>
            </w:tcBorders>
            <w:hideMark/>
          </w:tcPr>
          <w:p w14:paraId="0F0718B0" w14:textId="77777777" w:rsidR="00725E50" w:rsidRPr="00075DC8" w:rsidRDefault="00725E50" w:rsidP="00ED4837">
            <w:pPr>
              <w:pStyle w:val="Tabletext"/>
              <w:jc w:val="center"/>
              <w:rPr>
                <w:sz w:val="20"/>
                <w:lang w:val="fr-FR" w:eastAsia="ja-JP"/>
              </w:rPr>
            </w:pPr>
            <w:r w:rsidRPr="00075DC8">
              <w:rPr>
                <w:sz w:val="20"/>
                <w:lang w:val="fr-FR" w:eastAsia="ja-JP"/>
              </w:rPr>
              <w:t>−139 +</w:t>
            </w:r>
            <w:r w:rsidRPr="00075DC8">
              <w:rPr>
                <w:i/>
                <w:sz w:val="20"/>
                <w:lang w:val="fr-FR" w:eastAsia="ja-JP"/>
              </w:rPr>
              <w:t xml:space="preserve"> I</w:t>
            </w:r>
            <w:r w:rsidRPr="00075DC8">
              <w:rPr>
                <w:iCs/>
                <w:sz w:val="20"/>
                <w:lang w:val="fr-FR" w:eastAsia="ja-JP"/>
              </w:rPr>
              <w:t>/</w:t>
            </w:r>
            <w:r w:rsidRPr="00075DC8">
              <w:rPr>
                <w:i/>
                <w:sz w:val="20"/>
                <w:lang w:val="fr-FR" w:eastAsia="ja-JP"/>
              </w:rPr>
              <w:t>N</w:t>
            </w:r>
          </w:p>
        </w:tc>
        <w:tc>
          <w:tcPr>
            <w:tcW w:w="1343" w:type="dxa"/>
            <w:tcBorders>
              <w:top w:val="single" w:sz="4" w:space="0" w:color="auto"/>
              <w:left w:val="single" w:sz="4" w:space="0" w:color="auto"/>
              <w:bottom w:val="single" w:sz="4" w:space="0" w:color="auto"/>
              <w:right w:val="single" w:sz="4" w:space="0" w:color="auto"/>
            </w:tcBorders>
            <w:hideMark/>
          </w:tcPr>
          <w:p w14:paraId="1E4AD708" w14:textId="77777777" w:rsidR="00725E50" w:rsidRPr="00075DC8" w:rsidRDefault="00725E50" w:rsidP="00ED4837">
            <w:pPr>
              <w:pStyle w:val="Tabletext"/>
              <w:jc w:val="center"/>
              <w:rPr>
                <w:sz w:val="20"/>
                <w:lang w:val="fr-FR" w:eastAsia="ja-JP"/>
              </w:rPr>
            </w:pPr>
            <w:r w:rsidRPr="00075DC8">
              <w:rPr>
                <w:sz w:val="20"/>
                <w:lang w:val="fr-FR" w:eastAsia="ja-JP"/>
              </w:rPr>
              <w:t xml:space="preserve">−140,5 + </w:t>
            </w:r>
            <w:r w:rsidRPr="00075DC8">
              <w:rPr>
                <w:i/>
                <w:sz w:val="20"/>
                <w:lang w:val="fr-FR" w:eastAsia="ja-JP"/>
              </w:rPr>
              <w:t>I</w:t>
            </w:r>
            <w:r w:rsidRPr="00075DC8">
              <w:rPr>
                <w:iCs/>
                <w:sz w:val="20"/>
                <w:lang w:val="fr-FR" w:eastAsia="ja-JP"/>
              </w:rPr>
              <w:t>/</w:t>
            </w:r>
            <w:r w:rsidRPr="00075DC8">
              <w:rPr>
                <w:i/>
                <w:sz w:val="20"/>
                <w:lang w:val="fr-FR" w:eastAsia="ja-JP"/>
              </w:rPr>
              <w:t>N</w:t>
            </w:r>
          </w:p>
        </w:tc>
        <w:tc>
          <w:tcPr>
            <w:tcW w:w="1271" w:type="dxa"/>
            <w:tcBorders>
              <w:top w:val="single" w:sz="4" w:space="0" w:color="auto"/>
              <w:left w:val="single" w:sz="4" w:space="0" w:color="auto"/>
              <w:bottom w:val="single" w:sz="4" w:space="0" w:color="auto"/>
              <w:right w:val="single" w:sz="4" w:space="0" w:color="auto"/>
            </w:tcBorders>
            <w:hideMark/>
          </w:tcPr>
          <w:p w14:paraId="3827FF23" w14:textId="77777777" w:rsidR="00725E50" w:rsidRPr="00075DC8" w:rsidRDefault="00725E50" w:rsidP="00ED4837">
            <w:pPr>
              <w:pStyle w:val="Tabletext"/>
              <w:jc w:val="center"/>
              <w:rPr>
                <w:sz w:val="20"/>
                <w:lang w:val="fr-FR" w:eastAsia="ja-JP"/>
              </w:rPr>
            </w:pPr>
            <w:r w:rsidRPr="00075DC8">
              <w:rPr>
                <w:sz w:val="20"/>
                <w:lang w:val="fr-FR" w:eastAsia="ja-JP"/>
              </w:rPr>
              <w:t xml:space="preserve">−140 + </w:t>
            </w:r>
            <w:r w:rsidRPr="00075DC8">
              <w:rPr>
                <w:i/>
                <w:sz w:val="20"/>
                <w:lang w:val="fr-FR" w:eastAsia="ja-JP"/>
              </w:rPr>
              <w:t>I</w:t>
            </w:r>
            <w:r w:rsidRPr="00075DC8">
              <w:rPr>
                <w:iCs/>
                <w:sz w:val="20"/>
                <w:lang w:val="fr-FR" w:eastAsia="ja-JP"/>
              </w:rPr>
              <w:t>/</w:t>
            </w:r>
            <w:r w:rsidRPr="00075DC8">
              <w:rPr>
                <w:i/>
                <w:sz w:val="20"/>
                <w:lang w:val="fr-FR" w:eastAsia="ja-JP"/>
              </w:rPr>
              <w:t>N</w:t>
            </w:r>
          </w:p>
        </w:tc>
        <w:tc>
          <w:tcPr>
            <w:tcW w:w="1271" w:type="dxa"/>
            <w:tcBorders>
              <w:top w:val="single" w:sz="4" w:space="0" w:color="auto"/>
              <w:left w:val="single" w:sz="4" w:space="0" w:color="auto"/>
              <w:bottom w:val="single" w:sz="4" w:space="0" w:color="auto"/>
              <w:right w:val="single" w:sz="4" w:space="0" w:color="auto"/>
            </w:tcBorders>
            <w:hideMark/>
          </w:tcPr>
          <w:p w14:paraId="7173A227" w14:textId="77777777" w:rsidR="00725E50" w:rsidRPr="00075DC8" w:rsidRDefault="00725E50" w:rsidP="00ED4837">
            <w:pPr>
              <w:pStyle w:val="Tabletext"/>
              <w:jc w:val="center"/>
              <w:rPr>
                <w:sz w:val="20"/>
                <w:lang w:val="fr-FR" w:eastAsia="ja-JP"/>
              </w:rPr>
            </w:pPr>
            <w:r w:rsidRPr="00075DC8">
              <w:rPr>
                <w:sz w:val="20"/>
                <w:lang w:val="fr-FR" w:eastAsia="ja-JP"/>
              </w:rPr>
              <w:t>−140…</w:t>
            </w:r>
            <w:r w:rsidRPr="00075DC8">
              <w:rPr>
                <w:sz w:val="20"/>
                <w:lang w:val="fr-FR" w:eastAsia="ja-JP"/>
              </w:rPr>
              <w:br/>
              <w:t xml:space="preserve">−137 + </w:t>
            </w:r>
            <w:r w:rsidRPr="00075DC8">
              <w:rPr>
                <w:i/>
                <w:sz w:val="20"/>
                <w:lang w:val="fr-FR" w:eastAsia="ja-JP"/>
              </w:rPr>
              <w:t>I</w:t>
            </w:r>
            <w:r w:rsidRPr="00075DC8">
              <w:rPr>
                <w:iCs/>
                <w:sz w:val="20"/>
                <w:lang w:val="fr-FR" w:eastAsia="ja-JP"/>
              </w:rPr>
              <w:t>/</w:t>
            </w:r>
            <w:r w:rsidRPr="00075DC8">
              <w:rPr>
                <w:i/>
                <w:sz w:val="20"/>
                <w:lang w:val="fr-FR" w:eastAsia="ja-JP"/>
              </w:rPr>
              <w:t>N</w:t>
            </w:r>
          </w:p>
        </w:tc>
        <w:tc>
          <w:tcPr>
            <w:tcW w:w="1200" w:type="dxa"/>
            <w:tcBorders>
              <w:top w:val="single" w:sz="4" w:space="0" w:color="auto"/>
              <w:left w:val="single" w:sz="4" w:space="0" w:color="auto"/>
              <w:bottom w:val="single" w:sz="4" w:space="0" w:color="auto"/>
              <w:right w:val="single" w:sz="4" w:space="0" w:color="auto"/>
            </w:tcBorders>
            <w:hideMark/>
          </w:tcPr>
          <w:p w14:paraId="7C209419" w14:textId="77777777" w:rsidR="00725E50" w:rsidRPr="00075DC8" w:rsidRDefault="00725E50" w:rsidP="00ED4837">
            <w:pPr>
              <w:pStyle w:val="Tabletext"/>
              <w:jc w:val="center"/>
              <w:rPr>
                <w:sz w:val="20"/>
                <w:lang w:val="fr-FR" w:eastAsia="ja-JP"/>
              </w:rPr>
            </w:pPr>
            <w:r w:rsidRPr="00075DC8">
              <w:rPr>
                <w:sz w:val="20"/>
                <w:lang w:val="fr-FR" w:eastAsia="ja-JP"/>
              </w:rPr>
              <w:t xml:space="preserve">−140 + </w:t>
            </w:r>
            <w:r w:rsidRPr="00075DC8">
              <w:rPr>
                <w:i/>
                <w:sz w:val="20"/>
                <w:lang w:val="fr-FR" w:eastAsia="ja-JP"/>
              </w:rPr>
              <w:t>I</w:t>
            </w:r>
            <w:r w:rsidRPr="00075DC8">
              <w:rPr>
                <w:iCs/>
                <w:sz w:val="20"/>
                <w:lang w:val="fr-FR" w:eastAsia="ja-JP"/>
              </w:rPr>
              <w:t>/</w:t>
            </w:r>
            <w:r w:rsidRPr="00075DC8">
              <w:rPr>
                <w:i/>
                <w:sz w:val="20"/>
                <w:lang w:val="fr-FR" w:eastAsia="ja-JP"/>
              </w:rPr>
              <w:t>N</w:t>
            </w:r>
          </w:p>
        </w:tc>
        <w:tc>
          <w:tcPr>
            <w:tcW w:w="1202" w:type="dxa"/>
            <w:tcBorders>
              <w:top w:val="single" w:sz="4" w:space="0" w:color="auto"/>
              <w:left w:val="single" w:sz="4" w:space="0" w:color="auto"/>
              <w:bottom w:val="single" w:sz="4" w:space="0" w:color="auto"/>
              <w:right w:val="single" w:sz="4" w:space="0" w:color="auto"/>
            </w:tcBorders>
            <w:hideMark/>
          </w:tcPr>
          <w:p w14:paraId="08DE6C83" w14:textId="77777777" w:rsidR="00725E50" w:rsidRPr="00075DC8" w:rsidRDefault="00725E50" w:rsidP="00ED4837">
            <w:pPr>
              <w:pStyle w:val="Tabletext"/>
              <w:jc w:val="center"/>
              <w:rPr>
                <w:sz w:val="20"/>
                <w:lang w:val="fr-FR" w:eastAsia="ja-JP"/>
              </w:rPr>
            </w:pPr>
            <w:r w:rsidRPr="00075DC8">
              <w:rPr>
                <w:sz w:val="20"/>
                <w:lang w:val="fr-FR" w:eastAsia="ja-JP"/>
              </w:rPr>
              <w:t xml:space="preserve">−140 + </w:t>
            </w:r>
            <w:r w:rsidRPr="00075DC8">
              <w:rPr>
                <w:i/>
                <w:sz w:val="20"/>
                <w:lang w:val="fr-FR" w:eastAsia="ja-JP"/>
              </w:rPr>
              <w:t>I</w:t>
            </w:r>
            <w:r w:rsidRPr="00075DC8">
              <w:rPr>
                <w:iCs/>
                <w:sz w:val="20"/>
                <w:lang w:val="fr-FR" w:eastAsia="ja-JP"/>
              </w:rPr>
              <w:t>/</w:t>
            </w:r>
            <w:r w:rsidRPr="00075DC8">
              <w:rPr>
                <w:i/>
                <w:sz w:val="20"/>
                <w:lang w:val="fr-FR" w:eastAsia="ja-JP"/>
              </w:rPr>
              <w:t>N</w:t>
            </w:r>
          </w:p>
        </w:tc>
        <w:tc>
          <w:tcPr>
            <w:tcW w:w="1270" w:type="dxa"/>
            <w:tcBorders>
              <w:top w:val="single" w:sz="4" w:space="0" w:color="auto"/>
              <w:left w:val="single" w:sz="4" w:space="0" w:color="auto"/>
              <w:bottom w:val="single" w:sz="4" w:space="0" w:color="auto"/>
              <w:right w:val="single" w:sz="4" w:space="0" w:color="auto"/>
            </w:tcBorders>
            <w:hideMark/>
          </w:tcPr>
          <w:p w14:paraId="57F58095" w14:textId="77777777" w:rsidR="00725E50" w:rsidRPr="00075DC8" w:rsidRDefault="00725E50" w:rsidP="00ED4837">
            <w:pPr>
              <w:pStyle w:val="Tabletext"/>
              <w:jc w:val="center"/>
              <w:rPr>
                <w:sz w:val="20"/>
                <w:lang w:val="fr-FR" w:eastAsia="ja-JP"/>
              </w:rPr>
            </w:pPr>
            <w:r w:rsidRPr="00075DC8">
              <w:rPr>
                <w:sz w:val="20"/>
                <w:lang w:val="fr-FR" w:eastAsia="ja-JP"/>
              </w:rPr>
              <w:t>−140…</w:t>
            </w:r>
            <w:r w:rsidRPr="00075DC8">
              <w:rPr>
                <w:sz w:val="20"/>
                <w:lang w:val="fr-FR" w:eastAsia="ja-JP"/>
              </w:rPr>
              <w:br/>
              <w:t xml:space="preserve">−138 + </w:t>
            </w:r>
            <w:r w:rsidRPr="00075DC8">
              <w:rPr>
                <w:i/>
                <w:sz w:val="20"/>
                <w:lang w:val="fr-FR" w:eastAsia="ja-JP"/>
              </w:rPr>
              <w:t>I</w:t>
            </w:r>
            <w:r w:rsidRPr="00075DC8">
              <w:rPr>
                <w:iCs/>
                <w:sz w:val="20"/>
                <w:lang w:val="fr-FR" w:eastAsia="ja-JP"/>
              </w:rPr>
              <w:t>/</w:t>
            </w:r>
            <w:r w:rsidRPr="00075DC8">
              <w:rPr>
                <w:i/>
                <w:sz w:val="20"/>
                <w:lang w:val="fr-FR" w:eastAsia="ja-JP"/>
              </w:rPr>
              <w:t>N</w:t>
            </w:r>
          </w:p>
        </w:tc>
        <w:tc>
          <w:tcPr>
            <w:tcW w:w="1272" w:type="dxa"/>
            <w:tcBorders>
              <w:top w:val="single" w:sz="4" w:space="0" w:color="auto"/>
              <w:left w:val="single" w:sz="4" w:space="0" w:color="auto"/>
              <w:bottom w:val="single" w:sz="4" w:space="0" w:color="auto"/>
              <w:right w:val="single" w:sz="4" w:space="0" w:color="auto"/>
            </w:tcBorders>
            <w:hideMark/>
          </w:tcPr>
          <w:p w14:paraId="0052A74E" w14:textId="77777777" w:rsidR="00725E50" w:rsidRPr="00075DC8" w:rsidRDefault="00725E50" w:rsidP="00ED4837">
            <w:pPr>
              <w:pStyle w:val="Tabletext"/>
              <w:jc w:val="center"/>
              <w:rPr>
                <w:sz w:val="20"/>
                <w:lang w:val="fr-FR" w:eastAsia="ja-JP"/>
              </w:rPr>
            </w:pPr>
            <w:r w:rsidRPr="00075DC8">
              <w:rPr>
                <w:sz w:val="20"/>
                <w:lang w:val="fr-FR" w:eastAsia="ja-JP"/>
              </w:rPr>
              <w:t>−141…</w:t>
            </w:r>
            <w:r w:rsidRPr="00075DC8">
              <w:rPr>
                <w:sz w:val="20"/>
                <w:lang w:val="fr-FR" w:eastAsia="ja-JP"/>
              </w:rPr>
              <w:br/>
              <w:t xml:space="preserve">−140 + </w:t>
            </w:r>
            <w:r w:rsidRPr="00075DC8">
              <w:rPr>
                <w:i/>
                <w:sz w:val="20"/>
                <w:lang w:val="fr-FR" w:eastAsia="ja-JP"/>
              </w:rPr>
              <w:t>I</w:t>
            </w:r>
            <w:r w:rsidRPr="00075DC8">
              <w:rPr>
                <w:iCs/>
                <w:sz w:val="20"/>
                <w:lang w:val="fr-FR" w:eastAsia="ja-JP"/>
              </w:rPr>
              <w:t>/</w:t>
            </w:r>
            <w:r w:rsidRPr="00075DC8">
              <w:rPr>
                <w:i/>
                <w:sz w:val="20"/>
                <w:lang w:val="fr-FR" w:eastAsia="ja-JP"/>
              </w:rPr>
              <w:t>N</w:t>
            </w:r>
          </w:p>
        </w:tc>
        <w:tc>
          <w:tcPr>
            <w:tcW w:w="1352" w:type="dxa"/>
            <w:tcBorders>
              <w:top w:val="single" w:sz="4" w:space="0" w:color="auto"/>
              <w:left w:val="single" w:sz="4" w:space="0" w:color="auto"/>
              <w:bottom w:val="single" w:sz="4" w:space="0" w:color="auto"/>
              <w:right w:val="single" w:sz="4" w:space="0" w:color="auto"/>
            </w:tcBorders>
            <w:hideMark/>
          </w:tcPr>
          <w:p w14:paraId="7DE90046" w14:textId="77777777" w:rsidR="00725E50" w:rsidRPr="00075DC8" w:rsidRDefault="00725E50" w:rsidP="00ED4837">
            <w:pPr>
              <w:pStyle w:val="Tabletext"/>
              <w:jc w:val="center"/>
              <w:rPr>
                <w:sz w:val="20"/>
                <w:lang w:val="fr-FR" w:eastAsia="ja-JP"/>
              </w:rPr>
            </w:pPr>
            <w:r w:rsidRPr="00075DC8">
              <w:rPr>
                <w:sz w:val="20"/>
                <w:lang w:val="fr-FR" w:eastAsia="ja-JP"/>
              </w:rPr>
              <w:t xml:space="preserve">−140 + </w:t>
            </w:r>
            <w:r w:rsidRPr="00075DC8">
              <w:rPr>
                <w:i/>
                <w:sz w:val="20"/>
                <w:lang w:val="fr-FR" w:eastAsia="ja-JP"/>
              </w:rPr>
              <w:t>I</w:t>
            </w:r>
            <w:r w:rsidRPr="00075DC8">
              <w:rPr>
                <w:iCs/>
                <w:sz w:val="20"/>
                <w:lang w:val="fr-FR" w:eastAsia="ja-JP"/>
              </w:rPr>
              <w:t>/</w:t>
            </w:r>
            <w:r w:rsidRPr="00075DC8">
              <w:rPr>
                <w:i/>
                <w:sz w:val="20"/>
                <w:lang w:val="fr-FR" w:eastAsia="ja-JP"/>
              </w:rPr>
              <w:t>N</w:t>
            </w:r>
          </w:p>
        </w:tc>
      </w:tr>
      <w:tr w:rsidR="00725E50" w:rsidRPr="00075DC8" w14:paraId="217E2BCE" w14:textId="77777777" w:rsidTr="00D11437">
        <w:trPr>
          <w:jc w:val="center"/>
        </w:trPr>
        <w:tc>
          <w:tcPr>
            <w:tcW w:w="14470" w:type="dxa"/>
            <w:gridSpan w:val="10"/>
            <w:tcBorders>
              <w:top w:val="nil"/>
              <w:left w:val="nil"/>
              <w:bottom w:val="nil"/>
              <w:right w:val="nil"/>
            </w:tcBorders>
            <w:tcMar>
              <w:top w:w="0" w:type="dxa"/>
              <w:left w:w="57" w:type="dxa"/>
              <w:bottom w:w="0" w:type="dxa"/>
              <w:right w:w="57" w:type="dxa"/>
            </w:tcMar>
            <w:hideMark/>
          </w:tcPr>
          <w:p w14:paraId="4D948DC9" w14:textId="0A4CEFE3" w:rsidR="00725E50" w:rsidRPr="00075DC8" w:rsidRDefault="00725E50" w:rsidP="00862A2C">
            <w:pPr>
              <w:pStyle w:val="Tabletext"/>
              <w:keepNext/>
              <w:keepLines/>
              <w:ind w:left="284" w:hanging="284"/>
              <w:rPr>
                <w:sz w:val="20"/>
                <w:lang w:val="fr-FR" w:eastAsia="ja-JP"/>
              </w:rPr>
            </w:pPr>
            <w:r w:rsidRPr="00075DC8">
              <w:rPr>
                <w:sz w:val="20"/>
                <w:vertAlign w:val="superscript"/>
                <w:lang w:val="fr-FR" w:eastAsia="ja-JP"/>
              </w:rPr>
              <w:t>(1)</w:t>
            </w:r>
            <w:r w:rsidRPr="00075DC8">
              <w:rPr>
                <w:sz w:val="20"/>
                <w:lang w:val="fr-FR" w:eastAsia="ja-JP"/>
              </w:rPr>
              <w:tab/>
              <w:t>Pour calculer les valeurs des densités de puissance au niveau de l</w:t>
            </w:r>
            <w:r w:rsidR="001F6A0D" w:rsidRPr="00075DC8">
              <w:rPr>
                <w:sz w:val="20"/>
                <w:lang w:val="fr-FR" w:eastAsia="ja-JP"/>
              </w:rPr>
              <w:t>'</w:t>
            </w:r>
            <w:r w:rsidRPr="00075DC8">
              <w:rPr>
                <w:sz w:val="20"/>
                <w:lang w:val="fr-FR" w:eastAsia="ja-JP"/>
              </w:rPr>
              <w:t>émetteur ou des densités de p.i.r.e., il est nécessaire de définir l</w:t>
            </w:r>
            <w:r w:rsidR="001F6A0D" w:rsidRPr="00075DC8">
              <w:rPr>
                <w:sz w:val="20"/>
                <w:lang w:val="fr-FR" w:eastAsia="ja-JP"/>
              </w:rPr>
              <w:t>'</w:t>
            </w:r>
            <w:r w:rsidRPr="00075DC8">
              <w:rPr>
                <w:sz w:val="20"/>
                <w:lang w:val="fr-FR" w:eastAsia="ja-JP"/>
              </w:rPr>
              <w:t>espacement des canaux/la largeur de bande. Dans ces Tableaux, l</w:t>
            </w:r>
            <w:r w:rsidR="001F6A0D" w:rsidRPr="00075DC8">
              <w:rPr>
                <w:sz w:val="20"/>
                <w:lang w:val="fr-FR" w:eastAsia="ja-JP"/>
              </w:rPr>
              <w:t>'</w:t>
            </w:r>
            <w:r w:rsidRPr="00075DC8">
              <w:rPr>
                <w:sz w:val="20"/>
                <w:lang w:val="fr-FR" w:eastAsia="ja-JP"/>
              </w:rPr>
              <w:t xml:space="preserve">espacement des canaux est indiqué en </w:t>
            </w:r>
            <w:r w:rsidRPr="00075DC8">
              <w:rPr>
                <w:b/>
                <w:bCs/>
                <w:sz w:val="20"/>
                <w:lang w:val="fr-FR" w:eastAsia="ja-JP"/>
              </w:rPr>
              <w:t>caractères gras</w:t>
            </w:r>
            <w:r w:rsidRPr="00075DC8">
              <w:rPr>
                <w:sz w:val="20"/>
                <w:lang w:val="fr-FR" w:eastAsia="ja-JP"/>
              </w:rPr>
              <w:t>.</w:t>
            </w:r>
          </w:p>
          <w:p w14:paraId="57102592" w14:textId="69BEE708" w:rsidR="00725E50" w:rsidRPr="00075DC8" w:rsidRDefault="00725E50" w:rsidP="00862A2C">
            <w:pPr>
              <w:pStyle w:val="Tabletext"/>
              <w:ind w:left="284" w:hanging="284"/>
              <w:rPr>
                <w:sz w:val="20"/>
                <w:lang w:val="fr-FR" w:eastAsia="ja-JP"/>
              </w:rPr>
            </w:pPr>
            <w:r w:rsidRPr="00075DC8">
              <w:rPr>
                <w:sz w:val="20"/>
                <w:vertAlign w:val="superscript"/>
                <w:lang w:val="fr-FR" w:eastAsia="ja-JP"/>
              </w:rPr>
              <w:t>(2)</w:t>
            </w:r>
            <w:r w:rsidRPr="00075DC8">
              <w:rPr>
                <w:sz w:val="20"/>
                <w:lang w:val="fr-FR" w:eastAsia="ja-JP"/>
              </w:rPr>
              <w:tab/>
              <w:t>La densité nominale de puissance de brouillage de longue durée est définie par la «densité de puissance de bruit du récepteur + (</w:t>
            </w:r>
            <w:r w:rsidRPr="00075DC8">
              <w:rPr>
                <w:i/>
                <w:sz w:val="20"/>
                <w:lang w:val="fr-FR" w:eastAsia="ja-JP"/>
              </w:rPr>
              <w:t>I</w:t>
            </w:r>
            <w:r w:rsidRPr="00075DC8">
              <w:rPr>
                <w:sz w:val="20"/>
                <w:lang w:val="fr-FR" w:eastAsia="ja-JP"/>
              </w:rPr>
              <w:t>/</w:t>
            </w:r>
            <w:r w:rsidRPr="00075DC8">
              <w:rPr>
                <w:i/>
                <w:sz w:val="20"/>
                <w:lang w:val="fr-FR" w:eastAsia="ja-JP"/>
              </w:rPr>
              <w:t>N</w:t>
            </w:r>
            <w:r w:rsidRPr="00075DC8">
              <w:rPr>
                <w:iCs/>
                <w:sz w:val="20"/>
                <w:lang w:val="fr-FR" w:eastAsia="ja-JP"/>
              </w:rPr>
              <w:t xml:space="preserve"> requis</w:t>
            </w:r>
            <w:r w:rsidRPr="00075DC8">
              <w:rPr>
                <w:sz w:val="20"/>
                <w:lang w:val="fr-FR" w:eastAsia="ja-JP"/>
              </w:rPr>
              <w:t xml:space="preserve">)» comme décrit au </w:t>
            </w:r>
            <w:r w:rsidR="008B1840" w:rsidRPr="00075DC8">
              <w:rPr>
                <w:sz w:val="20"/>
                <w:lang w:val="fr-FR" w:eastAsia="ja-JP"/>
              </w:rPr>
              <w:t>§ </w:t>
            </w:r>
            <w:r w:rsidRPr="00075DC8">
              <w:rPr>
                <w:sz w:val="20"/>
                <w:lang w:val="fr-FR" w:eastAsia="ja-JP"/>
              </w:rPr>
              <w:t>4.13 de l</w:t>
            </w:r>
            <w:r w:rsidR="001F6A0D" w:rsidRPr="00075DC8">
              <w:rPr>
                <w:sz w:val="20"/>
                <w:lang w:val="fr-FR" w:eastAsia="ja-JP"/>
              </w:rPr>
              <w:t>'</w:t>
            </w:r>
            <w:r w:rsidRPr="00075DC8">
              <w:rPr>
                <w:sz w:val="20"/>
                <w:lang w:val="fr-FR" w:eastAsia="ja-JP"/>
              </w:rPr>
              <w:t xml:space="preserve">Annexe 2 (voir aussi le </w:t>
            </w:r>
            <w:r w:rsidR="008B1840" w:rsidRPr="00075DC8">
              <w:rPr>
                <w:sz w:val="20"/>
                <w:lang w:val="fr-FR" w:eastAsia="ja-JP"/>
              </w:rPr>
              <w:t>§ </w:t>
            </w:r>
            <w:r w:rsidRPr="00075DC8">
              <w:rPr>
                <w:sz w:val="20"/>
                <w:lang w:val="fr-FR" w:eastAsia="ja-JP"/>
              </w:rPr>
              <w:t>4.1 de l</w:t>
            </w:r>
            <w:r w:rsidR="001F6A0D" w:rsidRPr="00075DC8">
              <w:rPr>
                <w:sz w:val="20"/>
                <w:lang w:val="fr-FR" w:eastAsia="ja-JP"/>
              </w:rPr>
              <w:t>'</w:t>
            </w:r>
            <w:r w:rsidRPr="00075DC8">
              <w:rPr>
                <w:sz w:val="20"/>
                <w:lang w:val="fr-FR" w:eastAsia="ja-JP"/>
              </w:rPr>
              <w:t>Annexe 1).</w:t>
            </w:r>
          </w:p>
        </w:tc>
      </w:tr>
    </w:tbl>
    <w:p w14:paraId="186D2C82" w14:textId="77777777" w:rsidR="00862A2C" w:rsidRPr="00075DC8" w:rsidRDefault="00862A2C" w:rsidP="00862A2C">
      <w:pPr>
        <w:pStyle w:val="Tablefin"/>
        <w:rPr>
          <w:lang w:val="fr-FR" w:eastAsia="ja-JP"/>
        </w:rPr>
      </w:pPr>
    </w:p>
    <w:p w14:paraId="7BE2B3A4" w14:textId="7AC5FC4E" w:rsidR="00725E50" w:rsidRPr="00075DC8" w:rsidRDefault="00725E50" w:rsidP="00725E50">
      <w:pPr>
        <w:pStyle w:val="TableNo"/>
        <w:rPr>
          <w:lang w:val="fr-FR" w:eastAsia="ja-JP"/>
        </w:rPr>
      </w:pPr>
      <w:r w:rsidRPr="00075DC8">
        <w:rPr>
          <w:lang w:val="fr-FR" w:eastAsia="ja-JP"/>
        </w:rPr>
        <w:t>TABLEAU 18</w:t>
      </w:r>
    </w:p>
    <w:p w14:paraId="43128ECB" w14:textId="77777777" w:rsidR="00725E50" w:rsidRPr="00075DC8" w:rsidRDefault="00725E50" w:rsidP="00725E50">
      <w:pPr>
        <w:pStyle w:val="Tabletitle"/>
        <w:rPr>
          <w:lang w:val="fr-FR" w:eastAsia="ja-JP"/>
        </w:rPr>
      </w:pPr>
      <w:r w:rsidRPr="00075DC8">
        <w:rPr>
          <w:lang w:val="fr-FR" w:eastAsia="ja-JP"/>
        </w:rPr>
        <w:t>Paramètres des systèmes du service fixe de point à point dans les bandes attribuées comprises entre 3 GHz et 12 GHz</w:t>
      </w:r>
    </w:p>
    <w:tbl>
      <w:tblPr>
        <w:tblW w:w="14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6"/>
        <w:gridCol w:w="1701"/>
        <w:gridCol w:w="1702"/>
        <w:gridCol w:w="1702"/>
        <w:gridCol w:w="1702"/>
        <w:gridCol w:w="1702"/>
      </w:tblGrid>
      <w:tr w:rsidR="00725E50" w:rsidRPr="00075DC8" w14:paraId="5A88AD58" w14:textId="77777777" w:rsidTr="004F2261">
        <w:trPr>
          <w:jc w:val="center"/>
        </w:trPr>
        <w:tc>
          <w:tcPr>
            <w:tcW w:w="59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FCDF7B" w14:textId="77777777" w:rsidR="00725E50" w:rsidRPr="00075DC8" w:rsidRDefault="00725E50" w:rsidP="00ED4837">
            <w:pPr>
              <w:pStyle w:val="Tablehead"/>
              <w:rPr>
                <w:sz w:val="20"/>
                <w:lang w:val="fr-FR" w:eastAsia="ja-JP"/>
              </w:rPr>
            </w:pPr>
            <w:r w:rsidRPr="00075DC8">
              <w:rPr>
                <w:sz w:val="20"/>
                <w:lang w:val="fr-FR" w:eastAsia="ja-JP"/>
              </w:rPr>
              <w:t>Gamme de fréquences</w:t>
            </w:r>
            <w:r w:rsidRPr="00075DC8">
              <w:rPr>
                <w:sz w:val="20"/>
                <w:lang w:val="fr-FR" w:eastAsia="ja-JP"/>
              </w:rPr>
              <w:br/>
              <w:t>(GHz)</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5165471" w14:textId="77777777" w:rsidR="00725E50" w:rsidRPr="00075DC8" w:rsidRDefault="00725E50" w:rsidP="00ED4837">
            <w:pPr>
              <w:pStyle w:val="Tablehead"/>
              <w:rPr>
                <w:sz w:val="20"/>
                <w:lang w:val="fr-FR" w:eastAsia="ja-JP"/>
              </w:rPr>
            </w:pPr>
            <w:r w:rsidRPr="00075DC8">
              <w:rPr>
                <w:sz w:val="20"/>
                <w:lang w:val="fr-FR" w:eastAsia="ja-JP"/>
              </w:rPr>
              <w:t>3,600-4,200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B235F6" w14:textId="77777777" w:rsidR="00725E50" w:rsidRPr="00075DC8" w:rsidRDefault="00725E50" w:rsidP="00ED4837">
            <w:pPr>
              <w:pStyle w:val="Tablehead"/>
              <w:rPr>
                <w:sz w:val="20"/>
                <w:lang w:val="fr-FR" w:eastAsia="ja-JP"/>
              </w:rPr>
            </w:pPr>
            <w:r w:rsidRPr="00075DC8">
              <w:rPr>
                <w:sz w:val="20"/>
                <w:lang w:val="fr-FR" w:eastAsia="ja-JP"/>
              </w:rPr>
              <w:t>3,700-4,200</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3CD0013" w14:textId="77777777" w:rsidR="00725E50" w:rsidRPr="00075DC8" w:rsidRDefault="00725E50" w:rsidP="00ED4837">
            <w:pPr>
              <w:pStyle w:val="Tablehead"/>
              <w:rPr>
                <w:sz w:val="20"/>
                <w:lang w:val="fr-FR" w:eastAsia="ja-JP"/>
              </w:rPr>
            </w:pPr>
            <w:r w:rsidRPr="00075DC8">
              <w:rPr>
                <w:sz w:val="20"/>
                <w:lang w:val="fr-FR" w:eastAsia="ja-JP"/>
              </w:rPr>
              <w:t>10,5-10,68</w:t>
            </w:r>
          </w:p>
        </w:tc>
      </w:tr>
      <w:tr w:rsidR="00725E50" w:rsidRPr="00075DC8" w14:paraId="6F8E25A3" w14:textId="77777777" w:rsidTr="004F2261">
        <w:trPr>
          <w:jc w:val="center"/>
        </w:trPr>
        <w:tc>
          <w:tcPr>
            <w:tcW w:w="59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86EFE02" w14:textId="77777777" w:rsidR="00725E50" w:rsidRPr="00075DC8" w:rsidRDefault="00725E50" w:rsidP="00ED4837">
            <w:pPr>
              <w:pStyle w:val="Tabletext"/>
              <w:jc w:val="left"/>
              <w:rPr>
                <w:sz w:val="20"/>
                <w:lang w:val="fr-FR" w:eastAsia="ja-JP"/>
              </w:rPr>
            </w:pPr>
            <w:r w:rsidRPr="00075DC8">
              <w:rPr>
                <w:sz w:val="20"/>
                <w:lang w:val="fr-FR" w:eastAsia="ja-JP"/>
              </w:rPr>
              <w:t xml:space="preserve">Recommandation UIT-R de référence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51361ED" w14:textId="77777777" w:rsidR="00725E50" w:rsidRPr="00075DC8" w:rsidRDefault="00725E50" w:rsidP="00ED4837">
            <w:pPr>
              <w:pStyle w:val="Tabletext"/>
              <w:jc w:val="center"/>
              <w:rPr>
                <w:sz w:val="20"/>
                <w:lang w:val="fr-FR" w:eastAsia="ja-JP"/>
              </w:rPr>
            </w:pPr>
            <w:r w:rsidRPr="00075DC8">
              <w:rPr>
                <w:sz w:val="20"/>
                <w:lang w:val="fr-FR" w:eastAsia="ja-JP"/>
              </w:rPr>
              <w:t>F.635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A09AB7" w14:textId="77777777" w:rsidR="00725E50" w:rsidRPr="00075DC8" w:rsidRDefault="00725E50" w:rsidP="00ED4837">
            <w:pPr>
              <w:pStyle w:val="Tabletext"/>
              <w:jc w:val="center"/>
              <w:rPr>
                <w:sz w:val="20"/>
                <w:lang w:val="fr-FR" w:eastAsia="ja-JP"/>
              </w:rPr>
            </w:pPr>
            <w:r w:rsidRPr="00075DC8">
              <w:rPr>
                <w:sz w:val="20"/>
                <w:lang w:val="fr-FR" w:eastAsia="ja-JP"/>
              </w:rPr>
              <w:t>F.382</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35C1B40" w14:textId="77777777" w:rsidR="00725E50" w:rsidRPr="00075DC8" w:rsidRDefault="00725E50" w:rsidP="00ED4837">
            <w:pPr>
              <w:pStyle w:val="Tabletext"/>
              <w:jc w:val="center"/>
              <w:rPr>
                <w:sz w:val="20"/>
                <w:lang w:val="fr-FR" w:eastAsia="ja-JP"/>
              </w:rPr>
            </w:pPr>
            <w:r w:rsidRPr="00075DC8">
              <w:rPr>
                <w:sz w:val="20"/>
                <w:lang w:val="fr-FR" w:eastAsia="ja-JP"/>
              </w:rPr>
              <w:t>F.747</w:t>
            </w:r>
          </w:p>
        </w:tc>
      </w:tr>
      <w:tr w:rsidR="00725E50" w:rsidRPr="00075DC8" w14:paraId="6A66056D" w14:textId="77777777" w:rsidTr="004F2261">
        <w:trPr>
          <w:jc w:val="center"/>
        </w:trPr>
        <w:tc>
          <w:tcPr>
            <w:tcW w:w="59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B46D1AE" w14:textId="77777777" w:rsidR="00725E50" w:rsidRPr="00075DC8" w:rsidRDefault="00725E50" w:rsidP="00ED4837">
            <w:pPr>
              <w:pStyle w:val="Tabletext"/>
              <w:jc w:val="left"/>
              <w:rPr>
                <w:sz w:val="20"/>
                <w:lang w:val="fr-FR" w:eastAsia="ja-JP"/>
              </w:rPr>
            </w:pPr>
            <w:r w:rsidRPr="00075DC8">
              <w:rPr>
                <w:sz w:val="20"/>
                <w:lang w:val="fr-FR" w:eastAsia="ja-JP"/>
              </w:rPr>
              <w:t>Modulation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E6D69B" w14:textId="77777777" w:rsidR="00725E50" w:rsidRPr="00075DC8" w:rsidRDefault="00725E50" w:rsidP="00ED4837">
            <w:pPr>
              <w:pStyle w:val="Tabletext"/>
              <w:jc w:val="center"/>
              <w:rPr>
                <w:sz w:val="20"/>
                <w:lang w:val="fr-FR" w:eastAsia="ja-JP"/>
              </w:rPr>
            </w:pPr>
            <w:r w:rsidRPr="00075DC8">
              <w:rPr>
                <w:sz w:val="20"/>
                <w:lang w:val="fr-FR" w:eastAsia="ja-JP"/>
              </w:rPr>
              <w:t>MAQ-64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C3BC59" w14:textId="77777777" w:rsidR="00725E50" w:rsidRPr="00075DC8" w:rsidRDefault="00725E50" w:rsidP="00ED4837">
            <w:pPr>
              <w:pStyle w:val="Tabletext"/>
              <w:jc w:val="center"/>
              <w:rPr>
                <w:sz w:val="20"/>
                <w:lang w:val="fr-FR" w:eastAsia="ja-JP"/>
              </w:rPr>
            </w:pPr>
            <w:r w:rsidRPr="00075DC8">
              <w:rPr>
                <w:sz w:val="20"/>
                <w:lang w:val="fr-FR" w:eastAsia="ja-JP"/>
              </w:rPr>
              <w:t>MAQ-512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1D531C" w14:textId="77777777" w:rsidR="00725E50" w:rsidRPr="00075DC8" w:rsidRDefault="00725E50" w:rsidP="00ED4837">
            <w:pPr>
              <w:pStyle w:val="Tabletext"/>
              <w:jc w:val="center"/>
              <w:rPr>
                <w:sz w:val="20"/>
                <w:lang w:val="fr-FR" w:eastAsia="ja-JP"/>
              </w:rPr>
            </w:pPr>
            <w:r w:rsidRPr="00075DC8">
              <w:rPr>
                <w:sz w:val="20"/>
                <w:lang w:val="fr-FR" w:eastAsia="ja-JP"/>
              </w:rPr>
              <w:t>MDPQ</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0A3C87" w14:textId="77777777" w:rsidR="00725E50" w:rsidRPr="00075DC8" w:rsidRDefault="00725E50" w:rsidP="00ED4837">
            <w:pPr>
              <w:pStyle w:val="Tabletext"/>
              <w:jc w:val="center"/>
              <w:rPr>
                <w:sz w:val="20"/>
                <w:lang w:val="fr-FR" w:eastAsia="ja-JP"/>
              </w:rPr>
            </w:pPr>
            <w:r w:rsidRPr="00075DC8">
              <w:rPr>
                <w:sz w:val="20"/>
                <w:lang w:val="fr-FR" w:eastAsia="ja-JP"/>
              </w:rPr>
              <w:t>MDPQ</w:t>
            </w:r>
            <w:r w:rsidRPr="00075DC8">
              <w:rPr>
                <w:sz w:val="20"/>
                <w:vertAlign w:val="superscript"/>
                <w:lang w:val="fr-FR"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C0E6E1" w14:textId="77777777" w:rsidR="00725E50" w:rsidRPr="00075DC8" w:rsidRDefault="00725E50" w:rsidP="00ED4837">
            <w:pPr>
              <w:pStyle w:val="Tabletext"/>
              <w:jc w:val="center"/>
              <w:rPr>
                <w:sz w:val="20"/>
                <w:lang w:val="fr-FR" w:eastAsia="ja-JP"/>
              </w:rPr>
            </w:pPr>
            <w:r w:rsidRPr="00075DC8">
              <w:rPr>
                <w:sz w:val="20"/>
                <w:lang w:val="fr-FR" w:eastAsia="ja-JP"/>
              </w:rPr>
              <w:t>MTC-128</w:t>
            </w:r>
          </w:p>
        </w:tc>
      </w:tr>
      <w:tr w:rsidR="00725E50" w:rsidRPr="00075DC8" w14:paraId="41B0B262" w14:textId="77777777" w:rsidTr="004F2261">
        <w:trPr>
          <w:jc w:val="center"/>
        </w:trPr>
        <w:tc>
          <w:tcPr>
            <w:tcW w:w="59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6EB0F92" w14:textId="77777777" w:rsidR="00725E50" w:rsidRPr="00075DC8" w:rsidRDefault="00725E50" w:rsidP="00ED4837">
            <w:pPr>
              <w:pStyle w:val="Tabletext"/>
              <w:jc w:val="left"/>
              <w:rPr>
                <w:sz w:val="20"/>
                <w:lang w:val="fr-FR" w:eastAsia="ja-JP"/>
              </w:rPr>
            </w:pPr>
            <w:r w:rsidRPr="00075DC8">
              <w:rPr>
                <w:sz w:val="20"/>
                <w:lang w:val="fr-FR" w:eastAsia="ja-JP"/>
              </w:rPr>
              <w:t xml:space="preserve">Espacement des canaux et largeur de bande de bruit du récepteur (MHz) </w:t>
            </w:r>
          </w:p>
        </w:tc>
        <w:tc>
          <w:tcPr>
            <w:tcW w:w="1701" w:type="dxa"/>
            <w:tcBorders>
              <w:top w:val="single" w:sz="4" w:space="0" w:color="auto"/>
              <w:left w:val="single" w:sz="4" w:space="0" w:color="auto"/>
              <w:bottom w:val="single" w:sz="4" w:space="0" w:color="auto"/>
              <w:right w:val="single" w:sz="4" w:space="0" w:color="auto"/>
            </w:tcBorders>
            <w:hideMark/>
          </w:tcPr>
          <w:p w14:paraId="62C1403C" w14:textId="77777777" w:rsidR="00725E50" w:rsidRPr="00075DC8" w:rsidRDefault="00725E50" w:rsidP="00ED4837">
            <w:pPr>
              <w:pStyle w:val="Tabletext"/>
              <w:jc w:val="center"/>
              <w:rPr>
                <w:sz w:val="20"/>
                <w:lang w:val="fr-FR" w:eastAsia="ja-JP"/>
              </w:rPr>
            </w:pPr>
            <w:r w:rsidRPr="00075DC8">
              <w:rPr>
                <w:b/>
                <w:sz w:val="20"/>
                <w:lang w:val="fr-FR" w:eastAsia="ja-JP"/>
              </w:rPr>
              <w:t>10</w:t>
            </w:r>
            <w:r w:rsidRPr="00075DC8">
              <w:rPr>
                <w:sz w:val="20"/>
                <w:lang w:val="fr-FR" w:eastAsia="ja-JP"/>
              </w:rPr>
              <w:t xml:space="preserve">; </w:t>
            </w:r>
            <w:r w:rsidRPr="00075DC8">
              <w:rPr>
                <w:b/>
                <w:sz w:val="20"/>
                <w:lang w:val="fr-FR" w:eastAsia="ja-JP"/>
              </w:rPr>
              <w:t>30</w:t>
            </w:r>
            <w:r w:rsidRPr="00075DC8">
              <w:rPr>
                <w:sz w:val="20"/>
                <w:lang w:val="fr-FR" w:eastAsia="ja-JP"/>
              </w:rPr>
              <w:t>; 40; 60; 80; 90</w:t>
            </w:r>
          </w:p>
        </w:tc>
        <w:tc>
          <w:tcPr>
            <w:tcW w:w="1701" w:type="dxa"/>
            <w:tcBorders>
              <w:top w:val="single" w:sz="4" w:space="0" w:color="auto"/>
              <w:left w:val="single" w:sz="4" w:space="0" w:color="auto"/>
              <w:bottom w:val="single" w:sz="4" w:space="0" w:color="auto"/>
              <w:right w:val="single" w:sz="4" w:space="0" w:color="auto"/>
            </w:tcBorders>
            <w:hideMark/>
          </w:tcPr>
          <w:p w14:paraId="2ACA22BA" w14:textId="77777777" w:rsidR="00725E50" w:rsidRPr="00075DC8" w:rsidRDefault="00725E50" w:rsidP="00ED4837">
            <w:pPr>
              <w:pStyle w:val="Tabletext"/>
              <w:jc w:val="center"/>
              <w:rPr>
                <w:sz w:val="20"/>
                <w:lang w:val="fr-FR" w:eastAsia="ja-JP"/>
              </w:rPr>
            </w:pPr>
            <w:r w:rsidRPr="00075DC8">
              <w:rPr>
                <w:sz w:val="20"/>
                <w:lang w:val="fr-FR" w:eastAsia="ja-JP"/>
              </w:rPr>
              <w:t xml:space="preserve">10; 30; </w:t>
            </w:r>
            <w:r w:rsidRPr="00075DC8">
              <w:rPr>
                <w:b/>
                <w:sz w:val="20"/>
                <w:lang w:val="fr-FR" w:eastAsia="ja-JP"/>
              </w:rPr>
              <w:t>40</w:t>
            </w:r>
            <w:r w:rsidRPr="00075DC8">
              <w:rPr>
                <w:sz w:val="20"/>
                <w:lang w:val="fr-FR" w:eastAsia="ja-JP"/>
              </w:rPr>
              <w:t>; 60; 80; 90</w:t>
            </w:r>
          </w:p>
        </w:tc>
        <w:tc>
          <w:tcPr>
            <w:tcW w:w="1701" w:type="dxa"/>
            <w:tcBorders>
              <w:top w:val="single" w:sz="4" w:space="0" w:color="auto"/>
              <w:left w:val="single" w:sz="4" w:space="0" w:color="auto"/>
              <w:bottom w:val="single" w:sz="4" w:space="0" w:color="auto"/>
              <w:right w:val="single" w:sz="4" w:space="0" w:color="auto"/>
            </w:tcBorders>
            <w:hideMark/>
          </w:tcPr>
          <w:p w14:paraId="27A306C0" w14:textId="77777777" w:rsidR="00725E50" w:rsidRPr="00075DC8" w:rsidRDefault="00725E50" w:rsidP="00ED4837">
            <w:pPr>
              <w:pStyle w:val="Tabletext"/>
              <w:jc w:val="center"/>
              <w:rPr>
                <w:sz w:val="20"/>
                <w:lang w:val="fr-FR" w:eastAsia="ja-JP"/>
              </w:rPr>
            </w:pPr>
            <w:r w:rsidRPr="00075DC8">
              <w:rPr>
                <w:sz w:val="20"/>
                <w:lang w:val="fr-FR" w:eastAsia="ja-JP"/>
              </w:rPr>
              <w:t xml:space="preserve">28; </w:t>
            </w:r>
            <w:r w:rsidRPr="00075DC8">
              <w:rPr>
                <w:b/>
                <w:sz w:val="20"/>
                <w:lang w:val="fr-FR" w:eastAsia="ja-JP"/>
              </w:rPr>
              <w:t>29</w:t>
            </w:r>
          </w:p>
        </w:tc>
        <w:tc>
          <w:tcPr>
            <w:tcW w:w="1701" w:type="dxa"/>
            <w:tcBorders>
              <w:top w:val="single" w:sz="4" w:space="0" w:color="auto"/>
              <w:left w:val="single" w:sz="4" w:space="0" w:color="auto"/>
              <w:bottom w:val="single" w:sz="4" w:space="0" w:color="auto"/>
              <w:right w:val="single" w:sz="4" w:space="0" w:color="auto"/>
            </w:tcBorders>
            <w:hideMark/>
          </w:tcPr>
          <w:p w14:paraId="3446AAAC" w14:textId="77777777" w:rsidR="00725E50" w:rsidRPr="00075DC8" w:rsidRDefault="00725E50" w:rsidP="00ED4837">
            <w:pPr>
              <w:pStyle w:val="Tabletext"/>
              <w:jc w:val="center"/>
              <w:rPr>
                <w:sz w:val="20"/>
                <w:lang w:val="fr-FR" w:eastAsia="ja-JP"/>
              </w:rPr>
            </w:pPr>
            <w:r w:rsidRPr="00075DC8">
              <w:rPr>
                <w:sz w:val="20"/>
                <w:lang w:val="fr-FR" w:eastAsia="ja-JP"/>
              </w:rPr>
              <w:t xml:space="preserve">1,25; 2,5; 3,5; </w:t>
            </w:r>
            <w:r w:rsidRPr="00075DC8">
              <w:rPr>
                <w:b/>
                <w:sz w:val="20"/>
                <w:lang w:val="fr-FR" w:eastAsia="ja-JP"/>
              </w:rPr>
              <w:t>7</w:t>
            </w:r>
          </w:p>
        </w:tc>
        <w:tc>
          <w:tcPr>
            <w:tcW w:w="1701" w:type="dxa"/>
            <w:tcBorders>
              <w:top w:val="single" w:sz="4" w:space="0" w:color="auto"/>
              <w:left w:val="single" w:sz="4" w:space="0" w:color="auto"/>
              <w:bottom w:val="single" w:sz="4" w:space="0" w:color="auto"/>
              <w:right w:val="single" w:sz="4" w:space="0" w:color="auto"/>
            </w:tcBorders>
            <w:hideMark/>
          </w:tcPr>
          <w:p w14:paraId="160E67CC" w14:textId="77777777" w:rsidR="00725E50" w:rsidRPr="00075DC8" w:rsidRDefault="00725E50" w:rsidP="00ED4837">
            <w:pPr>
              <w:pStyle w:val="Tabletext"/>
              <w:jc w:val="center"/>
              <w:rPr>
                <w:sz w:val="20"/>
                <w:lang w:val="fr-FR" w:eastAsia="ja-JP"/>
              </w:rPr>
            </w:pPr>
            <w:r w:rsidRPr="00075DC8">
              <w:rPr>
                <w:sz w:val="20"/>
                <w:lang w:val="fr-FR" w:eastAsia="ja-JP"/>
              </w:rPr>
              <w:t>1,25;</w:t>
            </w:r>
            <w:r w:rsidRPr="00075DC8">
              <w:rPr>
                <w:b/>
                <w:sz w:val="20"/>
                <w:lang w:val="fr-FR" w:eastAsia="ja-JP"/>
              </w:rPr>
              <w:t xml:space="preserve"> 2,5</w:t>
            </w:r>
            <w:r w:rsidRPr="00075DC8">
              <w:rPr>
                <w:sz w:val="20"/>
                <w:lang w:val="fr-FR" w:eastAsia="ja-JP"/>
              </w:rPr>
              <w:t>; 3,5; 7</w:t>
            </w:r>
          </w:p>
        </w:tc>
      </w:tr>
      <w:tr w:rsidR="00725E50" w:rsidRPr="00075DC8" w14:paraId="1E6529DE" w14:textId="77777777" w:rsidTr="004F2261">
        <w:trPr>
          <w:jc w:val="center"/>
        </w:trPr>
        <w:tc>
          <w:tcPr>
            <w:tcW w:w="59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2B83910" w14:textId="0DA4CB8D" w:rsidR="00725E50" w:rsidRPr="00075DC8" w:rsidRDefault="00725E50" w:rsidP="00ED4837">
            <w:pPr>
              <w:pStyle w:val="Tabletext"/>
              <w:jc w:val="left"/>
              <w:rPr>
                <w:sz w:val="20"/>
                <w:lang w:val="fr-FR" w:eastAsia="ja-JP"/>
              </w:rPr>
            </w:pPr>
            <w:r w:rsidRPr="00075DC8">
              <w:rPr>
                <w:sz w:val="20"/>
                <w:lang w:val="fr-FR" w:eastAsia="ja-JP"/>
              </w:rPr>
              <w:t>Plage maximale des puissances de sortie au niveau de l</w:t>
            </w:r>
            <w:r w:rsidR="001F6A0D" w:rsidRPr="00075DC8">
              <w:rPr>
                <w:sz w:val="20"/>
                <w:lang w:val="fr-FR" w:eastAsia="ja-JP"/>
              </w:rPr>
              <w:t>'</w:t>
            </w:r>
            <w:r w:rsidRPr="00075DC8">
              <w:rPr>
                <w:sz w:val="20"/>
                <w:lang w:val="fr-FR" w:eastAsia="ja-JP"/>
              </w:rPr>
              <w:t xml:space="preserve">émetteur (dBW) </w:t>
            </w:r>
          </w:p>
        </w:tc>
        <w:tc>
          <w:tcPr>
            <w:tcW w:w="1701" w:type="dxa"/>
            <w:tcBorders>
              <w:top w:val="single" w:sz="4" w:space="0" w:color="auto"/>
              <w:left w:val="single" w:sz="4" w:space="0" w:color="auto"/>
              <w:bottom w:val="single" w:sz="4" w:space="0" w:color="auto"/>
              <w:right w:val="single" w:sz="4" w:space="0" w:color="auto"/>
            </w:tcBorders>
            <w:hideMark/>
          </w:tcPr>
          <w:p w14:paraId="6071DE06" w14:textId="77777777" w:rsidR="00725E50" w:rsidRPr="00075DC8" w:rsidRDefault="00725E50" w:rsidP="00ED4837">
            <w:pPr>
              <w:pStyle w:val="Tabletext"/>
              <w:jc w:val="center"/>
              <w:rPr>
                <w:sz w:val="20"/>
                <w:lang w:val="fr-FR" w:eastAsia="ja-JP"/>
              </w:rPr>
            </w:pPr>
            <w:r w:rsidRPr="00075DC8">
              <w:rPr>
                <w:sz w:val="20"/>
                <w:lang w:val="fr-FR" w:eastAsia="ja-JP"/>
              </w:rPr>
              <w:t>−1</w:t>
            </w:r>
          </w:p>
        </w:tc>
        <w:tc>
          <w:tcPr>
            <w:tcW w:w="1701" w:type="dxa"/>
            <w:tcBorders>
              <w:top w:val="single" w:sz="4" w:space="0" w:color="auto"/>
              <w:left w:val="single" w:sz="4" w:space="0" w:color="auto"/>
              <w:bottom w:val="single" w:sz="4" w:space="0" w:color="auto"/>
              <w:right w:val="single" w:sz="4" w:space="0" w:color="auto"/>
            </w:tcBorders>
            <w:hideMark/>
          </w:tcPr>
          <w:p w14:paraId="0B5F6366" w14:textId="77777777" w:rsidR="00725E50" w:rsidRPr="00075DC8" w:rsidRDefault="00725E50" w:rsidP="00ED4837">
            <w:pPr>
              <w:pStyle w:val="Tabletext"/>
              <w:jc w:val="center"/>
              <w:rPr>
                <w:sz w:val="20"/>
                <w:lang w:val="fr-FR" w:eastAsia="ja-JP"/>
              </w:rPr>
            </w:pPr>
            <w:r w:rsidRPr="00075DC8">
              <w:rPr>
                <w:sz w:val="20"/>
                <w:lang w:val="fr-FR" w:eastAsia="ja-JP"/>
              </w:rPr>
              <w:t>7</w:t>
            </w:r>
          </w:p>
        </w:tc>
        <w:tc>
          <w:tcPr>
            <w:tcW w:w="1701" w:type="dxa"/>
            <w:tcBorders>
              <w:top w:val="single" w:sz="4" w:space="0" w:color="auto"/>
              <w:left w:val="single" w:sz="4" w:space="0" w:color="auto"/>
              <w:bottom w:val="single" w:sz="4" w:space="0" w:color="auto"/>
              <w:right w:val="single" w:sz="4" w:space="0" w:color="auto"/>
            </w:tcBorders>
            <w:hideMark/>
          </w:tcPr>
          <w:p w14:paraId="65750403" w14:textId="77777777" w:rsidR="00725E50" w:rsidRPr="00075DC8" w:rsidRDefault="00725E50" w:rsidP="00ED4837">
            <w:pPr>
              <w:pStyle w:val="Tabletext"/>
              <w:jc w:val="center"/>
              <w:rPr>
                <w:sz w:val="20"/>
                <w:lang w:val="fr-FR" w:eastAsia="ja-JP"/>
              </w:rPr>
            </w:pPr>
            <w:r w:rsidRPr="00075DC8">
              <w:rPr>
                <w:sz w:val="20"/>
                <w:lang w:val="fr-FR" w:eastAsia="ja-JP"/>
              </w:rPr>
              <w:t>0</w:t>
            </w:r>
          </w:p>
        </w:tc>
        <w:tc>
          <w:tcPr>
            <w:tcW w:w="1701" w:type="dxa"/>
            <w:tcBorders>
              <w:top w:val="single" w:sz="4" w:space="0" w:color="auto"/>
              <w:left w:val="single" w:sz="4" w:space="0" w:color="auto"/>
              <w:bottom w:val="single" w:sz="4" w:space="0" w:color="auto"/>
              <w:right w:val="single" w:sz="4" w:space="0" w:color="auto"/>
            </w:tcBorders>
            <w:hideMark/>
          </w:tcPr>
          <w:p w14:paraId="5527DDA0" w14:textId="77777777" w:rsidR="00725E50" w:rsidRPr="00075DC8" w:rsidRDefault="00725E50" w:rsidP="00ED4837">
            <w:pPr>
              <w:pStyle w:val="Tabletext"/>
              <w:jc w:val="center"/>
              <w:rPr>
                <w:sz w:val="20"/>
                <w:lang w:val="fr-FR" w:eastAsia="ja-JP"/>
              </w:rPr>
            </w:pPr>
            <w:r w:rsidRPr="00075DC8">
              <w:rPr>
                <w:sz w:val="20"/>
                <w:lang w:val="fr-FR" w:eastAsia="ja-JP"/>
              </w:rPr>
              <w:t>−2</w:t>
            </w:r>
          </w:p>
        </w:tc>
        <w:tc>
          <w:tcPr>
            <w:tcW w:w="1701" w:type="dxa"/>
            <w:tcBorders>
              <w:top w:val="single" w:sz="4" w:space="0" w:color="auto"/>
              <w:left w:val="single" w:sz="4" w:space="0" w:color="auto"/>
              <w:bottom w:val="single" w:sz="4" w:space="0" w:color="auto"/>
              <w:right w:val="single" w:sz="4" w:space="0" w:color="auto"/>
            </w:tcBorders>
            <w:hideMark/>
          </w:tcPr>
          <w:p w14:paraId="756E2A99" w14:textId="77777777" w:rsidR="00725E50" w:rsidRPr="00075DC8" w:rsidRDefault="00725E50" w:rsidP="00ED4837">
            <w:pPr>
              <w:pStyle w:val="Tabletext"/>
              <w:jc w:val="center"/>
              <w:rPr>
                <w:sz w:val="20"/>
                <w:lang w:val="fr-FR" w:eastAsia="ja-JP"/>
              </w:rPr>
            </w:pPr>
            <w:r w:rsidRPr="00075DC8">
              <w:rPr>
                <w:sz w:val="20"/>
                <w:lang w:val="fr-FR" w:eastAsia="ja-JP"/>
              </w:rPr>
              <w:t>−3</w:t>
            </w:r>
          </w:p>
        </w:tc>
      </w:tr>
      <w:tr w:rsidR="00725E50" w:rsidRPr="00075DC8" w14:paraId="00F21340" w14:textId="77777777" w:rsidTr="004F2261">
        <w:trPr>
          <w:jc w:val="center"/>
        </w:trPr>
        <w:tc>
          <w:tcPr>
            <w:tcW w:w="59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A03EDE9" w14:textId="5176D3D6" w:rsidR="00725E50" w:rsidRPr="00075DC8" w:rsidRDefault="00725E50" w:rsidP="00ED4837">
            <w:pPr>
              <w:pStyle w:val="Tabletext"/>
              <w:jc w:val="left"/>
              <w:rPr>
                <w:sz w:val="20"/>
                <w:lang w:val="fr-FR" w:eastAsia="ja-JP"/>
              </w:rPr>
            </w:pPr>
            <w:r w:rsidRPr="00075DC8">
              <w:rPr>
                <w:sz w:val="20"/>
                <w:lang w:val="fr-FR" w:eastAsia="ja-JP"/>
              </w:rPr>
              <w:t>Plage maximale des densités de puissance de sortie au niveau de l</w:t>
            </w:r>
            <w:r w:rsidR="001F6A0D" w:rsidRPr="00075DC8">
              <w:rPr>
                <w:sz w:val="20"/>
                <w:lang w:val="fr-FR" w:eastAsia="ja-JP"/>
              </w:rPr>
              <w:t>'</w:t>
            </w:r>
            <w:r w:rsidRPr="00075DC8">
              <w:rPr>
                <w:sz w:val="20"/>
                <w:lang w:val="fr-FR" w:eastAsia="ja-JP"/>
              </w:rPr>
              <w:t>émetteur (dBW/MHz)</w:t>
            </w:r>
            <w:r w:rsidRPr="00075DC8">
              <w:rPr>
                <w:sz w:val="20"/>
                <w:vertAlign w:val="superscript"/>
                <w:lang w:val="fr-FR" w:eastAsia="ja-JP"/>
              </w:rPr>
              <w:t>(1)</w:t>
            </w:r>
          </w:p>
        </w:tc>
        <w:tc>
          <w:tcPr>
            <w:tcW w:w="1701" w:type="dxa"/>
            <w:tcBorders>
              <w:top w:val="single" w:sz="4" w:space="0" w:color="auto"/>
              <w:left w:val="single" w:sz="4" w:space="0" w:color="auto"/>
              <w:bottom w:val="single" w:sz="4" w:space="0" w:color="auto"/>
              <w:right w:val="single" w:sz="4" w:space="0" w:color="auto"/>
            </w:tcBorders>
            <w:hideMark/>
          </w:tcPr>
          <w:p w14:paraId="73CAC953" w14:textId="77777777" w:rsidR="00725E50" w:rsidRPr="00075DC8" w:rsidRDefault="00725E50" w:rsidP="00ED4837">
            <w:pPr>
              <w:pStyle w:val="Tabletext"/>
              <w:jc w:val="center"/>
              <w:rPr>
                <w:sz w:val="20"/>
                <w:lang w:val="fr-FR" w:eastAsia="ja-JP"/>
              </w:rPr>
            </w:pPr>
            <w:r w:rsidRPr="00075DC8">
              <w:rPr>
                <w:sz w:val="20"/>
                <w:lang w:val="fr-FR" w:eastAsia="ja-JP"/>
              </w:rPr>
              <w:t>−16…−11</w:t>
            </w:r>
          </w:p>
        </w:tc>
        <w:tc>
          <w:tcPr>
            <w:tcW w:w="1701" w:type="dxa"/>
            <w:tcBorders>
              <w:top w:val="single" w:sz="4" w:space="0" w:color="auto"/>
              <w:left w:val="single" w:sz="4" w:space="0" w:color="auto"/>
              <w:bottom w:val="single" w:sz="4" w:space="0" w:color="auto"/>
              <w:right w:val="single" w:sz="4" w:space="0" w:color="auto"/>
            </w:tcBorders>
            <w:hideMark/>
          </w:tcPr>
          <w:p w14:paraId="459A7282" w14:textId="77777777" w:rsidR="00725E50" w:rsidRPr="00075DC8" w:rsidRDefault="00725E50" w:rsidP="00ED4837">
            <w:pPr>
              <w:pStyle w:val="Tabletext"/>
              <w:jc w:val="center"/>
              <w:rPr>
                <w:sz w:val="20"/>
                <w:lang w:val="fr-FR" w:eastAsia="ja-JP"/>
              </w:rPr>
            </w:pPr>
            <w:r w:rsidRPr="00075DC8">
              <w:rPr>
                <w:sz w:val="20"/>
                <w:lang w:val="fr-FR" w:eastAsia="ja-JP"/>
              </w:rPr>
              <w:t>−9,0</w:t>
            </w:r>
          </w:p>
        </w:tc>
        <w:tc>
          <w:tcPr>
            <w:tcW w:w="1701" w:type="dxa"/>
            <w:tcBorders>
              <w:top w:val="single" w:sz="4" w:space="0" w:color="auto"/>
              <w:left w:val="single" w:sz="4" w:space="0" w:color="auto"/>
              <w:bottom w:val="single" w:sz="4" w:space="0" w:color="auto"/>
              <w:right w:val="single" w:sz="4" w:space="0" w:color="auto"/>
            </w:tcBorders>
            <w:hideMark/>
          </w:tcPr>
          <w:p w14:paraId="5127BAB8" w14:textId="77777777" w:rsidR="00725E50" w:rsidRPr="00075DC8" w:rsidRDefault="00725E50" w:rsidP="00ED4837">
            <w:pPr>
              <w:pStyle w:val="Tabletext"/>
              <w:jc w:val="center"/>
              <w:rPr>
                <w:sz w:val="20"/>
                <w:lang w:val="fr-FR" w:eastAsia="ja-JP"/>
              </w:rPr>
            </w:pPr>
            <w:r w:rsidRPr="00075DC8">
              <w:rPr>
                <w:sz w:val="20"/>
                <w:lang w:val="fr-FR" w:eastAsia="ja-JP"/>
              </w:rPr>
              <w:t>−15</w:t>
            </w:r>
          </w:p>
        </w:tc>
        <w:tc>
          <w:tcPr>
            <w:tcW w:w="1701" w:type="dxa"/>
            <w:tcBorders>
              <w:top w:val="single" w:sz="4" w:space="0" w:color="auto"/>
              <w:left w:val="single" w:sz="4" w:space="0" w:color="auto"/>
              <w:bottom w:val="single" w:sz="4" w:space="0" w:color="auto"/>
              <w:right w:val="single" w:sz="4" w:space="0" w:color="auto"/>
            </w:tcBorders>
            <w:hideMark/>
          </w:tcPr>
          <w:p w14:paraId="7C330858" w14:textId="77777777" w:rsidR="00725E50" w:rsidRPr="00075DC8" w:rsidRDefault="00725E50" w:rsidP="00ED4837">
            <w:pPr>
              <w:pStyle w:val="Tabletext"/>
              <w:jc w:val="center"/>
              <w:rPr>
                <w:sz w:val="20"/>
                <w:lang w:val="fr-FR" w:eastAsia="ja-JP"/>
              </w:rPr>
            </w:pPr>
            <w:r w:rsidRPr="00075DC8">
              <w:rPr>
                <w:sz w:val="20"/>
                <w:lang w:val="fr-FR" w:eastAsia="ja-JP"/>
              </w:rPr>
              <w:t>−10</w:t>
            </w:r>
          </w:p>
        </w:tc>
        <w:tc>
          <w:tcPr>
            <w:tcW w:w="1701" w:type="dxa"/>
            <w:tcBorders>
              <w:top w:val="single" w:sz="4" w:space="0" w:color="auto"/>
              <w:left w:val="single" w:sz="4" w:space="0" w:color="auto"/>
              <w:bottom w:val="single" w:sz="4" w:space="0" w:color="auto"/>
              <w:right w:val="single" w:sz="4" w:space="0" w:color="auto"/>
            </w:tcBorders>
            <w:hideMark/>
          </w:tcPr>
          <w:p w14:paraId="4CD42090" w14:textId="77777777" w:rsidR="00725E50" w:rsidRPr="00075DC8" w:rsidRDefault="00725E50" w:rsidP="00ED4837">
            <w:pPr>
              <w:pStyle w:val="Tabletext"/>
              <w:jc w:val="center"/>
              <w:rPr>
                <w:sz w:val="20"/>
                <w:lang w:val="fr-FR" w:eastAsia="ja-JP"/>
              </w:rPr>
            </w:pPr>
            <w:r w:rsidRPr="00075DC8">
              <w:rPr>
                <w:sz w:val="20"/>
                <w:lang w:val="fr-FR" w:eastAsia="ja-JP"/>
              </w:rPr>
              <w:t>−7,0</w:t>
            </w:r>
          </w:p>
        </w:tc>
      </w:tr>
      <w:tr w:rsidR="00725E50" w:rsidRPr="00075DC8" w14:paraId="58F405D5" w14:textId="77777777" w:rsidTr="004F2261">
        <w:trPr>
          <w:jc w:val="center"/>
        </w:trPr>
        <w:tc>
          <w:tcPr>
            <w:tcW w:w="59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D9370B" w14:textId="45BA999F" w:rsidR="00725E50" w:rsidRPr="00075DC8" w:rsidRDefault="00725E50" w:rsidP="00ED4837">
            <w:pPr>
              <w:pStyle w:val="Tabletext"/>
              <w:jc w:val="left"/>
              <w:rPr>
                <w:sz w:val="20"/>
                <w:lang w:val="fr-FR" w:eastAsia="ja-JP"/>
              </w:rPr>
            </w:pPr>
            <w:r w:rsidRPr="00075DC8">
              <w:rPr>
                <w:sz w:val="20"/>
                <w:lang w:val="fr-FR" w:eastAsia="ja-JP"/>
              </w:rPr>
              <w:t>Plage minimale des pertes dues à la ligne d</w:t>
            </w:r>
            <w:r w:rsidR="001F6A0D" w:rsidRPr="00075DC8">
              <w:rPr>
                <w:sz w:val="20"/>
                <w:lang w:val="fr-FR" w:eastAsia="ja-JP"/>
              </w:rPr>
              <w:t>'</w:t>
            </w:r>
            <w:r w:rsidRPr="00075DC8">
              <w:rPr>
                <w:sz w:val="20"/>
                <w:lang w:val="fr-FR" w:eastAsia="ja-JP"/>
              </w:rPr>
              <w:t xml:space="preserve">alimentation ou au multiplexeur (dB) </w:t>
            </w:r>
          </w:p>
        </w:tc>
        <w:tc>
          <w:tcPr>
            <w:tcW w:w="1701" w:type="dxa"/>
            <w:tcBorders>
              <w:top w:val="single" w:sz="4" w:space="0" w:color="auto"/>
              <w:left w:val="single" w:sz="4" w:space="0" w:color="auto"/>
              <w:bottom w:val="single" w:sz="4" w:space="0" w:color="auto"/>
              <w:right w:val="single" w:sz="4" w:space="0" w:color="auto"/>
            </w:tcBorders>
            <w:hideMark/>
          </w:tcPr>
          <w:p w14:paraId="6521950F" w14:textId="77777777" w:rsidR="00725E50" w:rsidRPr="00075DC8" w:rsidRDefault="00725E50" w:rsidP="00ED4837">
            <w:pPr>
              <w:pStyle w:val="Tabletext"/>
              <w:jc w:val="center"/>
              <w:rPr>
                <w:sz w:val="20"/>
                <w:lang w:val="fr-FR" w:eastAsia="ja-JP"/>
              </w:rPr>
            </w:pPr>
            <w:r w:rsidRPr="00075DC8">
              <w:rPr>
                <w:sz w:val="20"/>
                <w:lang w:val="fr-FR" w:eastAsia="ja-JP"/>
              </w:rPr>
              <w:t>0</w:t>
            </w:r>
          </w:p>
        </w:tc>
        <w:tc>
          <w:tcPr>
            <w:tcW w:w="1701" w:type="dxa"/>
            <w:tcBorders>
              <w:top w:val="single" w:sz="4" w:space="0" w:color="auto"/>
              <w:left w:val="single" w:sz="4" w:space="0" w:color="auto"/>
              <w:bottom w:val="single" w:sz="4" w:space="0" w:color="auto"/>
              <w:right w:val="single" w:sz="4" w:space="0" w:color="auto"/>
            </w:tcBorders>
            <w:hideMark/>
          </w:tcPr>
          <w:p w14:paraId="5460539D" w14:textId="77777777" w:rsidR="00725E50" w:rsidRPr="00075DC8" w:rsidRDefault="00725E50" w:rsidP="00ED4837">
            <w:pPr>
              <w:pStyle w:val="Tabletext"/>
              <w:jc w:val="center"/>
              <w:rPr>
                <w:sz w:val="20"/>
                <w:lang w:val="fr-FR" w:eastAsia="ja-JP"/>
              </w:rPr>
            </w:pPr>
            <w:r w:rsidRPr="00075DC8">
              <w:rPr>
                <w:sz w:val="20"/>
                <w:lang w:val="fr-FR" w:eastAsia="ja-JP"/>
              </w:rPr>
              <w:t>3</w:t>
            </w:r>
          </w:p>
        </w:tc>
        <w:tc>
          <w:tcPr>
            <w:tcW w:w="1701" w:type="dxa"/>
            <w:tcBorders>
              <w:top w:val="single" w:sz="4" w:space="0" w:color="auto"/>
              <w:left w:val="single" w:sz="4" w:space="0" w:color="auto"/>
              <w:bottom w:val="single" w:sz="4" w:space="0" w:color="auto"/>
              <w:right w:val="single" w:sz="4" w:space="0" w:color="auto"/>
            </w:tcBorders>
            <w:hideMark/>
          </w:tcPr>
          <w:p w14:paraId="0E748ED9" w14:textId="77777777" w:rsidR="00725E50" w:rsidRPr="00075DC8" w:rsidRDefault="00725E50" w:rsidP="00ED4837">
            <w:pPr>
              <w:pStyle w:val="Tabletext"/>
              <w:jc w:val="center"/>
              <w:rPr>
                <w:sz w:val="20"/>
                <w:lang w:val="fr-FR" w:eastAsia="ja-JP"/>
              </w:rPr>
            </w:pPr>
            <w:r w:rsidRPr="00075DC8">
              <w:rPr>
                <w:sz w:val="20"/>
                <w:lang w:val="fr-FR" w:eastAsia="ja-JP"/>
              </w:rPr>
              <w:t>3</w:t>
            </w:r>
          </w:p>
        </w:tc>
        <w:tc>
          <w:tcPr>
            <w:tcW w:w="1701" w:type="dxa"/>
            <w:tcBorders>
              <w:top w:val="single" w:sz="4" w:space="0" w:color="auto"/>
              <w:left w:val="single" w:sz="4" w:space="0" w:color="auto"/>
              <w:bottom w:val="single" w:sz="4" w:space="0" w:color="auto"/>
              <w:right w:val="single" w:sz="4" w:space="0" w:color="auto"/>
            </w:tcBorders>
            <w:hideMark/>
          </w:tcPr>
          <w:p w14:paraId="2898C205" w14:textId="77777777" w:rsidR="00725E50" w:rsidRPr="00075DC8" w:rsidRDefault="00725E50" w:rsidP="00ED4837">
            <w:pPr>
              <w:pStyle w:val="Tabletext"/>
              <w:jc w:val="center"/>
              <w:rPr>
                <w:sz w:val="20"/>
                <w:lang w:val="fr-FR" w:eastAsia="ja-JP"/>
              </w:rPr>
            </w:pPr>
            <w:r w:rsidRPr="00075DC8">
              <w:rPr>
                <w:sz w:val="20"/>
                <w:lang w:val="fr-FR" w:eastAsia="ja-JP"/>
              </w:rPr>
              <w:t>0</w:t>
            </w:r>
          </w:p>
        </w:tc>
        <w:tc>
          <w:tcPr>
            <w:tcW w:w="1701" w:type="dxa"/>
            <w:tcBorders>
              <w:top w:val="single" w:sz="4" w:space="0" w:color="auto"/>
              <w:left w:val="single" w:sz="4" w:space="0" w:color="auto"/>
              <w:bottom w:val="single" w:sz="4" w:space="0" w:color="auto"/>
              <w:right w:val="single" w:sz="4" w:space="0" w:color="auto"/>
            </w:tcBorders>
            <w:hideMark/>
          </w:tcPr>
          <w:p w14:paraId="07581396" w14:textId="77777777" w:rsidR="00725E50" w:rsidRPr="00075DC8" w:rsidRDefault="00725E50" w:rsidP="00ED4837">
            <w:pPr>
              <w:pStyle w:val="Tabletext"/>
              <w:jc w:val="center"/>
              <w:rPr>
                <w:sz w:val="20"/>
                <w:lang w:val="fr-FR" w:eastAsia="ja-JP"/>
              </w:rPr>
            </w:pPr>
            <w:r w:rsidRPr="00075DC8">
              <w:rPr>
                <w:sz w:val="20"/>
                <w:lang w:val="fr-FR" w:eastAsia="ja-JP"/>
              </w:rPr>
              <w:t>0</w:t>
            </w:r>
          </w:p>
        </w:tc>
      </w:tr>
      <w:tr w:rsidR="00725E50" w:rsidRPr="00075DC8" w14:paraId="720FFB48" w14:textId="77777777" w:rsidTr="004F2261">
        <w:trPr>
          <w:jc w:val="center"/>
        </w:trPr>
        <w:tc>
          <w:tcPr>
            <w:tcW w:w="59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9099E4" w14:textId="148A4960" w:rsidR="00725E50" w:rsidRPr="00075DC8" w:rsidRDefault="00725E50" w:rsidP="00ED4837">
            <w:pPr>
              <w:pStyle w:val="Tabletext"/>
              <w:jc w:val="left"/>
              <w:rPr>
                <w:sz w:val="20"/>
                <w:lang w:val="fr-FR" w:eastAsia="ja-JP"/>
              </w:rPr>
            </w:pPr>
            <w:r w:rsidRPr="00075DC8">
              <w:rPr>
                <w:sz w:val="20"/>
                <w:lang w:val="fr-FR" w:eastAsia="ja-JP"/>
              </w:rPr>
              <w:t>Plage maximale des gains d</w:t>
            </w:r>
            <w:r w:rsidR="001F6A0D" w:rsidRPr="00075DC8">
              <w:rPr>
                <w:sz w:val="20"/>
                <w:lang w:val="fr-FR" w:eastAsia="ja-JP"/>
              </w:rPr>
              <w:t>'</w:t>
            </w:r>
            <w:r w:rsidRPr="00075DC8">
              <w:rPr>
                <w:sz w:val="20"/>
                <w:lang w:val="fr-FR" w:eastAsia="ja-JP"/>
              </w:rPr>
              <w:t>antenne (dBi)</w:t>
            </w:r>
          </w:p>
        </w:tc>
        <w:tc>
          <w:tcPr>
            <w:tcW w:w="1701" w:type="dxa"/>
            <w:tcBorders>
              <w:top w:val="single" w:sz="4" w:space="0" w:color="auto"/>
              <w:left w:val="single" w:sz="4" w:space="0" w:color="auto"/>
              <w:bottom w:val="single" w:sz="4" w:space="0" w:color="auto"/>
              <w:right w:val="single" w:sz="4" w:space="0" w:color="auto"/>
            </w:tcBorders>
            <w:hideMark/>
          </w:tcPr>
          <w:p w14:paraId="5A6C8DAD" w14:textId="77777777" w:rsidR="00725E50" w:rsidRPr="00075DC8" w:rsidRDefault="00725E50" w:rsidP="00ED4837">
            <w:pPr>
              <w:pStyle w:val="Tabletext"/>
              <w:jc w:val="center"/>
              <w:rPr>
                <w:sz w:val="20"/>
                <w:lang w:val="fr-FR" w:eastAsia="ja-JP"/>
              </w:rPr>
            </w:pPr>
            <w:r w:rsidRPr="00075DC8">
              <w:rPr>
                <w:sz w:val="20"/>
                <w:lang w:val="fr-FR" w:eastAsia="ja-JP"/>
              </w:rPr>
              <w:t>42</w:t>
            </w:r>
          </w:p>
        </w:tc>
        <w:tc>
          <w:tcPr>
            <w:tcW w:w="1701" w:type="dxa"/>
            <w:tcBorders>
              <w:top w:val="single" w:sz="4" w:space="0" w:color="auto"/>
              <w:left w:val="single" w:sz="4" w:space="0" w:color="auto"/>
              <w:bottom w:val="single" w:sz="4" w:space="0" w:color="auto"/>
              <w:right w:val="single" w:sz="4" w:space="0" w:color="auto"/>
            </w:tcBorders>
            <w:hideMark/>
          </w:tcPr>
          <w:p w14:paraId="11841B7D" w14:textId="77777777" w:rsidR="00725E50" w:rsidRPr="00075DC8" w:rsidRDefault="00725E50" w:rsidP="00ED4837">
            <w:pPr>
              <w:pStyle w:val="Tabletext"/>
              <w:jc w:val="center"/>
              <w:rPr>
                <w:sz w:val="20"/>
                <w:lang w:val="fr-FR" w:eastAsia="ja-JP"/>
              </w:rPr>
            </w:pPr>
            <w:r w:rsidRPr="00075DC8">
              <w:rPr>
                <w:sz w:val="20"/>
                <w:lang w:val="fr-FR" w:eastAsia="ja-JP"/>
              </w:rPr>
              <w:t>40</w:t>
            </w:r>
          </w:p>
        </w:tc>
        <w:tc>
          <w:tcPr>
            <w:tcW w:w="1701" w:type="dxa"/>
            <w:tcBorders>
              <w:top w:val="single" w:sz="4" w:space="0" w:color="auto"/>
              <w:left w:val="single" w:sz="4" w:space="0" w:color="auto"/>
              <w:bottom w:val="single" w:sz="4" w:space="0" w:color="auto"/>
              <w:right w:val="single" w:sz="4" w:space="0" w:color="auto"/>
            </w:tcBorders>
            <w:hideMark/>
          </w:tcPr>
          <w:p w14:paraId="141F44A2" w14:textId="77777777" w:rsidR="00725E50" w:rsidRPr="00075DC8" w:rsidRDefault="00725E50" w:rsidP="00ED4837">
            <w:pPr>
              <w:pStyle w:val="Tabletext"/>
              <w:jc w:val="center"/>
              <w:rPr>
                <w:sz w:val="20"/>
                <w:lang w:val="fr-FR" w:eastAsia="ja-JP"/>
              </w:rPr>
            </w:pPr>
            <w:r w:rsidRPr="00075DC8">
              <w:rPr>
                <w:sz w:val="20"/>
                <w:lang w:val="fr-FR" w:eastAsia="ja-JP"/>
              </w:rPr>
              <w:t>37</w:t>
            </w:r>
          </w:p>
        </w:tc>
        <w:tc>
          <w:tcPr>
            <w:tcW w:w="1701" w:type="dxa"/>
            <w:tcBorders>
              <w:top w:val="single" w:sz="4" w:space="0" w:color="auto"/>
              <w:left w:val="single" w:sz="4" w:space="0" w:color="auto"/>
              <w:bottom w:val="single" w:sz="4" w:space="0" w:color="auto"/>
              <w:right w:val="single" w:sz="4" w:space="0" w:color="auto"/>
            </w:tcBorders>
            <w:hideMark/>
          </w:tcPr>
          <w:p w14:paraId="0E98B380" w14:textId="77777777" w:rsidR="00725E50" w:rsidRPr="00075DC8" w:rsidRDefault="00725E50" w:rsidP="00ED4837">
            <w:pPr>
              <w:pStyle w:val="Tabletext"/>
              <w:jc w:val="center"/>
              <w:rPr>
                <w:sz w:val="20"/>
                <w:lang w:val="fr-FR" w:eastAsia="ja-JP"/>
              </w:rPr>
            </w:pPr>
            <w:r w:rsidRPr="00075DC8">
              <w:rPr>
                <w:sz w:val="20"/>
                <w:lang w:val="fr-FR" w:eastAsia="ja-JP"/>
              </w:rPr>
              <w:t>49</w:t>
            </w:r>
          </w:p>
        </w:tc>
        <w:tc>
          <w:tcPr>
            <w:tcW w:w="1701" w:type="dxa"/>
            <w:tcBorders>
              <w:top w:val="single" w:sz="4" w:space="0" w:color="auto"/>
              <w:left w:val="single" w:sz="4" w:space="0" w:color="auto"/>
              <w:bottom w:val="single" w:sz="4" w:space="0" w:color="auto"/>
              <w:right w:val="single" w:sz="4" w:space="0" w:color="auto"/>
            </w:tcBorders>
            <w:hideMark/>
          </w:tcPr>
          <w:p w14:paraId="132AF544" w14:textId="77777777" w:rsidR="00725E50" w:rsidRPr="00075DC8" w:rsidRDefault="00725E50" w:rsidP="00ED4837">
            <w:pPr>
              <w:pStyle w:val="Tabletext"/>
              <w:jc w:val="center"/>
              <w:rPr>
                <w:sz w:val="20"/>
                <w:lang w:val="fr-FR" w:eastAsia="ja-JP"/>
              </w:rPr>
            </w:pPr>
            <w:r w:rsidRPr="00075DC8">
              <w:rPr>
                <w:sz w:val="20"/>
                <w:lang w:val="fr-FR" w:eastAsia="ja-JP"/>
              </w:rPr>
              <w:t>51</w:t>
            </w:r>
          </w:p>
        </w:tc>
      </w:tr>
      <w:tr w:rsidR="00725E50" w:rsidRPr="00075DC8" w14:paraId="596DB366" w14:textId="77777777" w:rsidTr="004F2261">
        <w:trPr>
          <w:jc w:val="center"/>
        </w:trPr>
        <w:tc>
          <w:tcPr>
            <w:tcW w:w="59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A27E13B" w14:textId="77777777" w:rsidR="00725E50" w:rsidRPr="00075DC8" w:rsidRDefault="00725E50" w:rsidP="00ED4837">
            <w:pPr>
              <w:pStyle w:val="Tabletext"/>
              <w:jc w:val="left"/>
              <w:rPr>
                <w:sz w:val="20"/>
                <w:lang w:val="fr-FR" w:eastAsia="ja-JP"/>
              </w:rPr>
            </w:pPr>
            <w:r w:rsidRPr="00075DC8">
              <w:rPr>
                <w:sz w:val="20"/>
                <w:lang w:val="fr-FR" w:eastAsia="ja-JP"/>
              </w:rPr>
              <w:t>Plage maximale des p.i.r.e. (dBW)</w:t>
            </w:r>
            <w:r w:rsidRPr="00075DC8">
              <w:rPr>
                <w:sz w:val="20"/>
                <w:vertAlign w:val="superscript"/>
                <w:lang w:val="fr-FR" w:eastAsia="ja-JP"/>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6F879D0" w14:textId="77777777" w:rsidR="00725E50" w:rsidRPr="00075DC8" w:rsidRDefault="00725E50" w:rsidP="00ED4837">
            <w:pPr>
              <w:pStyle w:val="Tabletext"/>
              <w:jc w:val="center"/>
              <w:rPr>
                <w:sz w:val="20"/>
                <w:lang w:val="fr-FR" w:eastAsia="ja-JP"/>
              </w:rPr>
            </w:pPr>
            <w:r w:rsidRPr="00075DC8">
              <w:rPr>
                <w:sz w:val="20"/>
                <w:lang w:val="fr-FR" w:eastAsia="ja-JP"/>
              </w:rPr>
              <w:t>41</w:t>
            </w:r>
          </w:p>
        </w:tc>
        <w:tc>
          <w:tcPr>
            <w:tcW w:w="1701" w:type="dxa"/>
            <w:tcBorders>
              <w:top w:val="single" w:sz="4" w:space="0" w:color="auto"/>
              <w:left w:val="single" w:sz="4" w:space="0" w:color="auto"/>
              <w:bottom w:val="single" w:sz="4" w:space="0" w:color="auto"/>
              <w:right w:val="single" w:sz="4" w:space="0" w:color="auto"/>
            </w:tcBorders>
            <w:hideMark/>
          </w:tcPr>
          <w:p w14:paraId="5565F12F" w14:textId="77777777" w:rsidR="00725E50" w:rsidRPr="00075DC8" w:rsidRDefault="00725E50" w:rsidP="00ED4837">
            <w:pPr>
              <w:pStyle w:val="Tabletext"/>
              <w:jc w:val="center"/>
              <w:rPr>
                <w:sz w:val="20"/>
                <w:lang w:val="fr-FR" w:eastAsia="ja-JP"/>
              </w:rPr>
            </w:pPr>
            <w:r w:rsidRPr="00075DC8">
              <w:rPr>
                <w:sz w:val="20"/>
                <w:lang w:val="fr-FR" w:eastAsia="ja-JP"/>
              </w:rPr>
              <w:t>44</w:t>
            </w:r>
          </w:p>
        </w:tc>
        <w:tc>
          <w:tcPr>
            <w:tcW w:w="1701" w:type="dxa"/>
            <w:tcBorders>
              <w:top w:val="single" w:sz="4" w:space="0" w:color="auto"/>
              <w:left w:val="single" w:sz="4" w:space="0" w:color="auto"/>
              <w:bottom w:val="single" w:sz="4" w:space="0" w:color="auto"/>
              <w:right w:val="single" w:sz="4" w:space="0" w:color="auto"/>
            </w:tcBorders>
            <w:hideMark/>
          </w:tcPr>
          <w:p w14:paraId="42E282FF" w14:textId="77777777" w:rsidR="00725E50" w:rsidRPr="00075DC8" w:rsidRDefault="00725E50" w:rsidP="00ED4837">
            <w:pPr>
              <w:pStyle w:val="Tabletext"/>
              <w:jc w:val="center"/>
              <w:rPr>
                <w:sz w:val="20"/>
                <w:lang w:val="fr-FR" w:eastAsia="ja-JP"/>
              </w:rPr>
            </w:pPr>
            <w:r w:rsidRPr="00075DC8">
              <w:rPr>
                <w:sz w:val="20"/>
                <w:lang w:val="fr-FR" w:eastAsia="ja-JP"/>
              </w:rPr>
              <w:t>38</w:t>
            </w:r>
          </w:p>
        </w:tc>
        <w:tc>
          <w:tcPr>
            <w:tcW w:w="1701" w:type="dxa"/>
            <w:tcBorders>
              <w:top w:val="single" w:sz="4" w:space="0" w:color="auto"/>
              <w:left w:val="single" w:sz="4" w:space="0" w:color="auto"/>
              <w:bottom w:val="single" w:sz="4" w:space="0" w:color="auto"/>
              <w:right w:val="single" w:sz="4" w:space="0" w:color="auto"/>
            </w:tcBorders>
            <w:hideMark/>
          </w:tcPr>
          <w:p w14:paraId="06C85232" w14:textId="77777777" w:rsidR="00725E50" w:rsidRPr="00075DC8" w:rsidRDefault="00725E50" w:rsidP="00ED4837">
            <w:pPr>
              <w:pStyle w:val="Tabletext"/>
              <w:jc w:val="center"/>
              <w:rPr>
                <w:sz w:val="20"/>
                <w:lang w:val="fr-FR" w:eastAsia="ja-JP"/>
              </w:rPr>
            </w:pPr>
            <w:r w:rsidRPr="00075DC8">
              <w:rPr>
                <w:sz w:val="20"/>
                <w:lang w:val="fr-FR" w:eastAsia="ja-JP"/>
              </w:rPr>
              <w:t>47</w:t>
            </w:r>
          </w:p>
        </w:tc>
        <w:tc>
          <w:tcPr>
            <w:tcW w:w="1701" w:type="dxa"/>
            <w:tcBorders>
              <w:top w:val="single" w:sz="4" w:space="0" w:color="auto"/>
              <w:left w:val="single" w:sz="4" w:space="0" w:color="auto"/>
              <w:bottom w:val="single" w:sz="4" w:space="0" w:color="auto"/>
              <w:right w:val="single" w:sz="4" w:space="0" w:color="auto"/>
            </w:tcBorders>
            <w:hideMark/>
          </w:tcPr>
          <w:p w14:paraId="4E060EAC" w14:textId="77777777" w:rsidR="00725E50" w:rsidRPr="00075DC8" w:rsidRDefault="00725E50" w:rsidP="00ED4837">
            <w:pPr>
              <w:pStyle w:val="Tabletext"/>
              <w:jc w:val="center"/>
              <w:rPr>
                <w:sz w:val="20"/>
                <w:lang w:val="fr-FR" w:eastAsia="ja-JP"/>
              </w:rPr>
            </w:pPr>
            <w:r w:rsidRPr="00075DC8">
              <w:rPr>
                <w:sz w:val="20"/>
                <w:lang w:val="fr-FR" w:eastAsia="ja-JP"/>
              </w:rPr>
              <w:t>48</w:t>
            </w:r>
          </w:p>
        </w:tc>
      </w:tr>
      <w:tr w:rsidR="00725E50" w:rsidRPr="00075DC8" w14:paraId="105072B8" w14:textId="77777777" w:rsidTr="004F2261">
        <w:trPr>
          <w:jc w:val="center"/>
        </w:trPr>
        <w:tc>
          <w:tcPr>
            <w:tcW w:w="59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08844DE" w14:textId="77777777" w:rsidR="00725E50" w:rsidRPr="00075DC8" w:rsidRDefault="00725E50" w:rsidP="00ED4837">
            <w:pPr>
              <w:pStyle w:val="Tabletext"/>
              <w:jc w:val="left"/>
              <w:rPr>
                <w:sz w:val="20"/>
                <w:lang w:val="fr-FR" w:eastAsia="ja-JP"/>
              </w:rPr>
            </w:pPr>
            <w:r w:rsidRPr="00075DC8">
              <w:rPr>
                <w:sz w:val="20"/>
                <w:lang w:val="fr-FR" w:eastAsia="ja-JP"/>
              </w:rPr>
              <w:t>Plage maximale des densités de p.i.r.e. (dBW/MHz)</w:t>
            </w:r>
            <w:r w:rsidRPr="00075DC8">
              <w:rPr>
                <w:sz w:val="20"/>
                <w:vertAlign w:val="superscript"/>
                <w:lang w:val="fr-FR" w:eastAsia="ja-JP"/>
              </w:rPr>
              <w:t>(1)</w:t>
            </w:r>
          </w:p>
        </w:tc>
        <w:tc>
          <w:tcPr>
            <w:tcW w:w="1701" w:type="dxa"/>
            <w:tcBorders>
              <w:top w:val="single" w:sz="4" w:space="0" w:color="auto"/>
              <w:left w:val="single" w:sz="4" w:space="0" w:color="auto"/>
              <w:bottom w:val="single" w:sz="4" w:space="0" w:color="auto"/>
              <w:right w:val="single" w:sz="4" w:space="0" w:color="auto"/>
            </w:tcBorders>
            <w:hideMark/>
          </w:tcPr>
          <w:p w14:paraId="66C6D94E" w14:textId="77777777" w:rsidR="00725E50" w:rsidRPr="00075DC8" w:rsidRDefault="00725E50" w:rsidP="00ED4837">
            <w:pPr>
              <w:pStyle w:val="Tabletext"/>
              <w:jc w:val="center"/>
              <w:rPr>
                <w:sz w:val="20"/>
                <w:lang w:val="fr-FR" w:eastAsia="ja-JP"/>
              </w:rPr>
            </w:pPr>
            <w:r w:rsidRPr="00075DC8">
              <w:rPr>
                <w:sz w:val="20"/>
                <w:lang w:val="fr-FR" w:eastAsia="ja-JP"/>
              </w:rPr>
              <w:t>26…31</w:t>
            </w:r>
          </w:p>
        </w:tc>
        <w:tc>
          <w:tcPr>
            <w:tcW w:w="1701" w:type="dxa"/>
            <w:tcBorders>
              <w:top w:val="single" w:sz="4" w:space="0" w:color="auto"/>
              <w:left w:val="single" w:sz="4" w:space="0" w:color="auto"/>
              <w:bottom w:val="single" w:sz="4" w:space="0" w:color="auto"/>
              <w:right w:val="single" w:sz="4" w:space="0" w:color="auto"/>
            </w:tcBorders>
            <w:hideMark/>
          </w:tcPr>
          <w:p w14:paraId="758B6B4F" w14:textId="77777777" w:rsidR="00725E50" w:rsidRPr="00075DC8" w:rsidRDefault="00725E50" w:rsidP="00ED4837">
            <w:pPr>
              <w:pStyle w:val="Tabletext"/>
              <w:jc w:val="center"/>
              <w:rPr>
                <w:sz w:val="20"/>
                <w:lang w:val="fr-FR" w:eastAsia="ja-JP"/>
              </w:rPr>
            </w:pPr>
            <w:r w:rsidRPr="00075DC8">
              <w:rPr>
                <w:sz w:val="20"/>
                <w:lang w:val="fr-FR" w:eastAsia="ja-JP"/>
              </w:rPr>
              <w:t>28</w:t>
            </w:r>
          </w:p>
        </w:tc>
        <w:tc>
          <w:tcPr>
            <w:tcW w:w="1701" w:type="dxa"/>
            <w:tcBorders>
              <w:top w:val="single" w:sz="4" w:space="0" w:color="auto"/>
              <w:left w:val="single" w:sz="4" w:space="0" w:color="auto"/>
              <w:bottom w:val="single" w:sz="4" w:space="0" w:color="auto"/>
              <w:right w:val="single" w:sz="4" w:space="0" w:color="auto"/>
            </w:tcBorders>
            <w:hideMark/>
          </w:tcPr>
          <w:p w14:paraId="00A0BE13" w14:textId="77777777" w:rsidR="00725E50" w:rsidRPr="00075DC8" w:rsidRDefault="00725E50" w:rsidP="00ED4837">
            <w:pPr>
              <w:pStyle w:val="Tabletext"/>
              <w:jc w:val="center"/>
              <w:rPr>
                <w:sz w:val="20"/>
                <w:lang w:val="fr-FR" w:eastAsia="ja-JP"/>
              </w:rPr>
            </w:pPr>
            <w:r w:rsidRPr="00075DC8">
              <w:rPr>
                <w:sz w:val="20"/>
                <w:lang w:val="fr-FR" w:eastAsia="ja-JP"/>
              </w:rPr>
              <w:t>23</w:t>
            </w:r>
          </w:p>
        </w:tc>
        <w:tc>
          <w:tcPr>
            <w:tcW w:w="1701" w:type="dxa"/>
            <w:tcBorders>
              <w:top w:val="single" w:sz="4" w:space="0" w:color="auto"/>
              <w:left w:val="single" w:sz="4" w:space="0" w:color="auto"/>
              <w:bottom w:val="single" w:sz="4" w:space="0" w:color="auto"/>
              <w:right w:val="single" w:sz="4" w:space="0" w:color="auto"/>
            </w:tcBorders>
            <w:hideMark/>
          </w:tcPr>
          <w:p w14:paraId="31A8827F" w14:textId="77777777" w:rsidR="00725E50" w:rsidRPr="00075DC8" w:rsidRDefault="00725E50" w:rsidP="00ED4837">
            <w:pPr>
              <w:pStyle w:val="Tabletext"/>
              <w:jc w:val="center"/>
              <w:rPr>
                <w:sz w:val="20"/>
                <w:lang w:val="fr-FR" w:eastAsia="ja-JP"/>
              </w:rPr>
            </w:pPr>
            <w:r w:rsidRPr="00075DC8">
              <w:rPr>
                <w:sz w:val="20"/>
                <w:lang w:val="fr-FR" w:eastAsia="ja-JP"/>
              </w:rPr>
              <w:t>39</w:t>
            </w:r>
          </w:p>
        </w:tc>
        <w:tc>
          <w:tcPr>
            <w:tcW w:w="1701" w:type="dxa"/>
            <w:tcBorders>
              <w:top w:val="single" w:sz="4" w:space="0" w:color="auto"/>
              <w:left w:val="single" w:sz="4" w:space="0" w:color="auto"/>
              <w:bottom w:val="single" w:sz="4" w:space="0" w:color="auto"/>
              <w:right w:val="single" w:sz="4" w:space="0" w:color="auto"/>
            </w:tcBorders>
            <w:hideMark/>
          </w:tcPr>
          <w:p w14:paraId="28A30055" w14:textId="77777777" w:rsidR="00725E50" w:rsidRPr="00075DC8" w:rsidRDefault="00725E50" w:rsidP="00ED4837">
            <w:pPr>
              <w:pStyle w:val="Tabletext"/>
              <w:jc w:val="center"/>
              <w:rPr>
                <w:sz w:val="20"/>
                <w:lang w:val="fr-FR" w:eastAsia="ja-JP"/>
              </w:rPr>
            </w:pPr>
            <w:r w:rsidRPr="00075DC8">
              <w:rPr>
                <w:sz w:val="20"/>
                <w:lang w:val="fr-FR" w:eastAsia="ja-JP"/>
              </w:rPr>
              <w:t>44</w:t>
            </w:r>
          </w:p>
        </w:tc>
      </w:tr>
      <w:tr w:rsidR="004F2261" w:rsidRPr="00075DC8" w14:paraId="63412D93" w14:textId="77777777" w:rsidTr="004F2261">
        <w:trPr>
          <w:jc w:val="center"/>
        </w:trPr>
        <w:tc>
          <w:tcPr>
            <w:tcW w:w="14460" w:type="dxa"/>
            <w:gridSpan w:val="6"/>
            <w:tcBorders>
              <w:top w:val="nil"/>
              <w:left w:val="nil"/>
              <w:bottom w:val="single" w:sz="4" w:space="0" w:color="auto"/>
              <w:right w:val="nil"/>
            </w:tcBorders>
            <w:tcMar>
              <w:top w:w="0" w:type="dxa"/>
              <w:left w:w="57" w:type="dxa"/>
              <w:bottom w:w="0" w:type="dxa"/>
              <w:right w:w="57" w:type="dxa"/>
            </w:tcMar>
          </w:tcPr>
          <w:p w14:paraId="4B5DA9A0" w14:textId="65717B8F" w:rsidR="004F2261" w:rsidRPr="00075DC8" w:rsidRDefault="004F2261" w:rsidP="004F2261">
            <w:pPr>
              <w:pStyle w:val="TableNo"/>
              <w:rPr>
                <w:lang w:val="fr-FR" w:eastAsia="ja-JP"/>
              </w:rPr>
            </w:pPr>
            <w:r w:rsidRPr="00075DC8">
              <w:rPr>
                <w:lang w:val="fr-FR" w:eastAsia="ja-JP"/>
              </w:rPr>
              <w:lastRenderedPageBreak/>
              <w:t>TABLEAU 18 (</w:t>
            </w:r>
            <w:r w:rsidRPr="00075DC8">
              <w:rPr>
                <w:i/>
                <w:iCs/>
                <w:lang w:val="fr-FR" w:eastAsia="ja-JP"/>
              </w:rPr>
              <w:t>fin</w:t>
            </w:r>
            <w:r w:rsidRPr="00075DC8">
              <w:rPr>
                <w:lang w:val="fr-FR" w:eastAsia="ja-JP"/>
              </w:rPr>
              <w:t>)</w:t>
            </w:r>
          </w:p>
        </w:tc>
      </w:tr>
      <w:tr w:rsidR="004F2261" w:rsidRPr="00075DC8" w14:paraId="3E8703E7" w14:textId="77777777" w:rsidTr="004F2261">
        <w:trPr>
          <w:jc w:val="center"/>
        </w:trPr>
        <w:tc>
          <w:tcPr>
            <w:tcW w:w="59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107F41" w14:textId="77777777" w:rsidR="004F2261" w:rsidRPr="00075DC8" w:rsidRDefault="004F2261" w:rsidP="00ED4837">
            <w:pPr>
              <w:pStyle w:val="Tablehead"/>
              <w:rPr>
                <w:sz w:val="20"/>
                <w:lang w:val="fr-FR" w:eastAsia="ja-JP"/>
              </w:rPr>
            </w:pPr>
            <w:r w:rsidRPr="00075DC8">
              <w:rPr>
                <w:sz w:val="20"/>
                <w:lang w:val="fr-FR" w:eastAsia="ja-JP"/>
              </w:rPr>
              <w:t>Gamme de fréquences</w:t>
            </w:r>
            <w:r w:rsidRPr="00075DC8">
              <w:rPr>
                <w:sz w:val="20"/>
                <w:lang w:val="fr-FR" w:eastAsia="ja-JP"/>
              </w:rPr>
              <w:br/>
              <w:t>(GHz)</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BEEB609" w14:textId="77777777" w:rsidR="004F2261" w:rsidRPr="00075DC8" w:rsidRDefault="004F2261" w:rsidP="00ED4837">
            <w:pPr>
              <w:pStyle w:val="Tablehead"/>
              <w:rPr>
                <w:sz w:val="20"/>
                <w:lang w:val="fr-FR" w:eastAsia="ja-JP"/>
              </w:rPr>
            </w:pPr>
            <w:r w:rsidRPr="00075DC8">
              <w:rPr>
                <w:sz w:val="20"/>
                <w:lang w:val="fr-FR" w:eastAsia="ja-JP"/>
              </w:rPr>
              <w:t>3,600-4,200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CA2D72" w14:textId="77777777" w:rsidR="004F2261" w:rsidRPr="00075DC8" w:rsidRDefault="004F2261" w:rsidP="00ED4837">
            <w:pPr>
              <w:pStyle w:val="Tablehead"/>
              <w:rPr>
                <w:sz w:val="20"/>
                <w:lang w:val="fr-FR" w:eastAsia="ja-JP"/>
              </w:rPr>
            </w:pPr>
            <w:r w:rsidRPr="00075DC8">
              <w:rPr>
                <w:sz w:val="20"/>
                <w:lang w:val="fr-FR" w:eastAsia="ja-JP"/>
              </w:rPr>
              <w:t>3,700-4,200</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A3E2E66" w14:textId="77777777" w:rsidR="004F2261" w:rsidRPr="00075DC8" w:rsidRDefault="004F2261" w:rsidP="00ED4837">
            <w:pPr>
              <w:pStyle w:val="Tablehead"/>
              <w:rPr>
                <w:sz w:val="20"/>
                <w:lang w:val="fr-FR" w:eastAsia="ja-JP"/>
              </w:rPr>
            </w:pPr>
            <w:r w:rsidRPr="00075DC8">
              <w:rPr>
                <w:sz w:val="20"/>
                <w:lang w:val="fr-FR" w:eastAsia="ja-JP"/>
              </w:rPr>
              <w:t>10,5-10,68</w:t>
            </w:r>
          </w:p>
        </w:tc>
      </w:tr>
      <w:tr w:rsidR="004F2261" w:rsidRPr="00075DC8" w14:paraId="340BC8AD" w14:textId="77777777" w:rsidTr="004F2261">
        <w:trPr>
          <w:jc w:val="center"/>
        </w:trPr>
        <w:tc>
          <w:tcPr>
            <w:tcW w:w="59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CAD90B4" w14:textId="77777777" w:rsidR="004F2261" w:rsidRPr="00075DC8" w:rsidRDefault="004F2261" w:rsidP="00ED4837">
            <w:pPr>
              <w:pStyle w:val="Tabletext"/>
              <w:jc w:val="left"/>
              <w:rPr>
                <w:sz w:val="20"/>
                <w:lang w:val="fr-FR" w:eastAsia="ja-JP"/>
              </w:rPr>
            </w:pPr>
            <w:r w:rsidRPr="00075DC8">
              <w:rPr>
                <w:sz w:val="20"/>
                <w:lang w:val="fr-FR" w:eastAsia="ja-JP"/>
              </w:rPr>
              <w:t xml:space="preserve">Recommandation UIT-R de référence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99536CA" w14:textId="77777777" w:rsidR="004F2261" w:rsidRPr="00075DC8" w:rsidRDefault="004F2261" w:rsidP="00ED4837">
            <w:pPr>
              <w:pStyle w:val="Tabletext"/>
              <w:jc w:val="center"/>
              <w:rPr>
                <w:sz w:val="20"/>
                <w:lang w:val="fr-FR" w:eastAsia="ja-JP"/>
              </w:rPr>
            </w:pPr>
            <w:r w:rsidRPr="00075DC8">
              <w:rPr>
                <w:sz w:val="20"/>
                <w:lang w:val="fr-FR" w:eastAsia="ja-JP"/>
              </w:rPr>
              <w:t>F.635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639E5A" w14:textId="77777777" w:rsidR="004F2261" w:rsidRPr="00075DC8" w:rsidRDefault="004F2261" w:rsidP="00ED4837">
            <w:pPr>
              <w:pStyle w:val="Tabletext"/>
              <w:jc w:val="center"/>
              <w:rPr>
                <w:sz w:val="20"/>
                <w:lang w:val="fr-FR" w:eastAsia="ja-JP"/>
              </w:rPr>
            </w:pPr>
            <w:r w:rsidRPr="00075DC8">
              <w:rPr>
                <w:sz w:val="20"/>
                <w:lang w:val="fr-FR" w:eastAsia="ja-JP"/>
              </w:rPr>
              <w:t>F.382</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4BEBAA9" w14:textId="77777777" w:rsidR="004F2261" w:rsidRPr="00075DC8" w:rsidRDefault="004F2261" w:rsidP="00ED4837">
            <w:pPr>
              <w:pStyle w:val="Tabletext"/>
              <w:jc w:val="center"/>
              <w:rPr>
                <w:sz w:val="20"/>
                <w:lang w:val="fr-FR" w:eastAsia="ja-JP"/>
              </w:rPr>
            </w:pPr>
            <w:r w:rsidRPr="00075DC8">
              <w:rPr>
                <w:sz w:val="20"/>
                <w:lang w:val="fr-FR" w:eastAsia="ja-JP"/>
              </w:rPr>
              <w:t>F.747</w:t>
            </w:r>
          </w:p>
        </w:tc>
      </w:tr>
      <w:tr w:rsidR="00725E50" w:rsidRPr="00075DC8" w14:paraId="4A148400" w14:textId="77777777" w:rsidTr="004F2261">
        <w:trPr>
          <w:jc w:val="center"/>
        </w:trPr>
        <w:tc>
          <w:tcPr>
            <w:tcW w:w="59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4DB0A7" w14:textId="19628843" w:rsidR="00725E50" w:rsidRPr="00075DC8" w:rsidRDefault="00725E50" w:rsidP="00ED4837">
            <w:pPr>
              <w:pStyle w:val="Tabletext"/>
              <w:jc w:val="left"/>
              <w:rPr>
                <w:sz w:val="20"/>
                <w:lang w:val="fr-FR" w:eastAsia="ja-JP"/>
              </w:rPr>
            </w:pPr>
            <w:r w:rsidRPr="00075DC8">
              <w:rPr>
                <w:sz w:val="20"/>
                <w:lang w:val="fr-FR" w:eastAsia="ja-JP"/>
              </w:rPr>
              <w:t xml:space="preserve">Facteur de bruit du récepteur (dB) </w:t>
            </w:r>
          </w:p>
        </w:tc>
        <w:tc>
          <w:tcPr>
            <w:tcW w:w="1701" w:type="dxa"/>
            <w:tcBorders>
              <w:top w:val="single" w:sz="4" w:space="0" w:color="auto"/>
              <w:left w:val="single" w:sz="4" w:space="0" w:color="auto"/>
              <w:bottom w:val="single" w:sz="4" w:space="0" w:color="auto"/>
              <w:right w:val="single" w:sz="4" w:space="0" w:color="auto"/>
            </w:tcBorders>
            <w:hideMark/>
          </w:tcPr>
          <w:p w14:paraId="347EFAE1" w14:textId="77777777" w:rsidR="00725E50" w:rsidRPr="00075DC8" w:rsidRDefault="00725E50" w:rsidP="00ED4837">
            <w:pPr>
              <w:pStyle w:val="Tabletext"/>
              <w:jc w:val="center"/>
              <w:rPr>
                <w:sz w:val="20"/>
                <w:lang w:val="fr-FR" w:eastAsia="ja-JP"/>
              </w:rPr>
            </w:pPr>
            <w:r w:rsidRPr="00075DC8">
              <w:rPr>
                <w:sz w:val="20"/>
                <w:lang w:val="fr-FR" w:eastAsia="ja-JP"/>
              </w:rPr>
              <w:t>3</w:t>
            </w:r>
          </w:p>
        </w:tc>
        <w:tc>
          <w:tcPr>
            <w:tcW w:w="1701" w:type="dxa"/>
            <w:tcBorders>
              <w:top w:val="single" w:sz="4" w:space="0" w:color="auto"/>
              <w:left w:val="single" w:sz="4" w:space="0" w:color="auto"/>
              <w:bottom w:val="single" w:sz="4" w:space="0" w:color="auto"/>
              <w:right w:val="single" w:sz="4" w:space="0" w:color="auto"/>
            </w:tcBorders>
            <w:hideMark/>
          </w:tcPr>
          <w:p w14:paraId="066B63E1" w14:textId="77777777" w:rsidR="00725E50" w:rsidRPr="00075DC8" w:rsidRDefault="00725E50" w:rsidP="00ED4837">
            <w:pPr>
              <w:pStyle w:val="Tabletext"/>
              <w:jc w:val="center"/>
              <w:rPr>
                <w:sz w:val="20"/>
                <w:lang w:val="fr-FR" w:eastAsia="ja-JP"/>
              </w:rPr>
            </w:pPr>
            <w:r w:rsidRPr="00075DC8">
              <w:rPr>
                <w:sz w:val="20"/>
                <w:lang w:val="fr-FR" w:eastAsia="ja-JP"/>
              </w:rPr>
              <w:t>2</w:t>
            </w:r>
          </w:p>
        </w:tc>
        <w:tc>
          <w:tcPr>
            <w:tcW w:w="1701" w:type="dxa"/>
            <w:tcBorders>
              <w:top w:val="single" w:sz="4" w:space="0" w:color="auto"/>
              <w:left w:val="single" w:sz="4" w:space="0" w:color="auto"/>
              <w:bottom w:val="single" w:sz="4" w:space="0" w:color="auto"/>
              <w:right w:val="single" w:sz="4" w:space="0" w:color="auto"/>
            </w:tcBorders>
            <w:hideMark/>
          </w:tcPr>
          <w:p w14:paraId="60E375EB" w14:textId="77777777" w:rsidR="00725E50" w:rsidRPr="00075DC8" w:rsidRDefault="00725E50" w:rsidP="00ED4837">
            <w:pPr>
              <w:pStyle w:val="Tabletext"/>
              <w:jc w:val="center"/>
              <w:rPr>
                <w:sz w:val="20"/>
                <w:lang w:val="fr-FR" w:eastAsia="ja-JP"/>
              </w:rPr>
            </w:pPr>
            <w:r w:rsidRPr="00075DC8">
              <w:rPr>
                <w:sz w:val="20"/>
                <w:lang w:val="fr-FR" w:eastAsia="ja-JP"/>
              </w:rPr>
              <w:t>4</w:t>
            </w:r>
          </w:p>
        </w:tc>
        <w:tc>
          <w:tcPr>
            <w:tcW w:w="1701" w:type="dxa"/>
            <w:tcBorders>
              <w:top w:val="single" w:sz="4" w:space="0" w:color="auto"/>
              <w:left w:val="single" w:sz="4" w:space="0" w:color="auto"/>
              <w:bottom w:val="single" w:sz="4" w:space="0" w:color="auto"/>
              <w:right w:val="single" w:sz="4" w:space="0" w:color="auto"/>
            </w:tcBorders>
            <w:hideMark/>
          </w:tcPr>
          <w:p w14:paraId="112FA7A5" w14:textId="77777777" w:rsidR="00725E50" w:rsidRPr="00075DC8" w:rsidRDefault="00725E50" w:rsidP="00ED4837">
            <w:pPr>
              <w:pStyle w:val="Tabletext"/>
              <w:jc w:val="center"/>
              <w:rPr>
                <w:sz w:val="20"/>
                <w:lang w:val="fr-FR" w:eastAsia="ja-JP"/>
              </w:rPr>
            </w:pPr>
            <w:r w:rsidRPr="00075DC8">
              <w:rPr>
                <w:sz w:val="20"/>
                <w:lang w:val="fr-FR" w:eastAsia="ja-JP"/>
              </w:rPr>
              <w:t>3</w:t>
            </w:r>
          </w:p>
        </w:tc>
        <w:tc>
          <w:tcPr>
            <w:tcW w:w="1701" w:type="dxa"/>
            <w:tcBorders>
              <w:top w:val="single" w:sz="4" w:space="0" w:color="auto"/>
              <w:left w:val="single" w:sz="4" w:space="0" w:color="auto"/>
              <w:bottom w:val="single" w:sz="4" w:space="0" w:color="auto"/>
              <w:right w:val="single" w:sz="4" w:space="0" w:color="auto"/>
            </w:tcBorders>
            <w:hideMark/>
          </w:tcPr>
          <w:p w14:paraId="6C3F0E4D" w14:textId="77777777" w:rsidR="00725E50" w:rsidRPr="00075DC8" w:rsidRDefault="00725E50" w:rsidP="00ED4837">
            <w:pPr>
              <w:pStyle w:val="Tabletext"/>
              <w:jc w:val="center"/>
              <w:rPr>
                <w:sz w:val="20"/>
                <w:lang w:val="fr-FR" w:eastAsia="ja-JP"/>
              </w:rPr>
            </w:pPr>
            <w:r w:rsidRPr="00075DC8">
              <w:rPr>
                <w:sz w:val="20"/>
                <w:lang w:val="fr-FR" w:eastAsia="ja-JP"/>
              </w:rPr>
              <w:t>4</w:t>
            </w:r>
          </w:p>
        </w:tc>
      </w:tr>
      <w:tr w:rsidR="00725E50" w:rsidRPr="00075DC8" w14:paraId="529E102B" w14:textId="77777777" w:rsidTr="004F2261">
        <w:trPr>
          <w:jc w:val="center"/>
        </w:trPr>
        <w:tc>
          <w:tcPr>
            <w:tcW w:w="59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018E0B9" w14:textId="77777777" w:rsidR="00725E50" w:rsidRPr="00075DC8" w:rsidRDefault="00725E50" w:rsidP="00ED4837">
            <w:pPr>
              <w:pStyle w:val="Tabletext"/>
              <w:jc w:val="left"/>
              <w:rPr>
                <w:sz w:val="20"/>
                <w:lang w:val="fr-FR" w:eastAsia="ja-JP"/>
              </w:rPr>
            </w:pPr>
            <w:r w:rsidRPr="00075DC8">
              <w:rPr>
                <w:sz w:val="20"/>
                <w:lang w:val="fr-FR" w:eastAsia="ja-JP"/>
              </w:rPr>
              <w:t>Densité type de puissance de bruit du récepteur (=</w:t>
            </w:r>
            <w:r w:rsidRPr="00075DC8">
              <w:rPr>
                <w:i/>
                <w:iCs/>
                <w:sz w:val="20"/>
                <w:lang w:val="fr-FR" w:eastAsia="ja-JP"/>
              </w:rPr>
              <w:t>N</w:t>
            </w:r>
            <w:r w:rsidRPr="00075DC8">
              <w:rPr>
                <w:i/>
                <w:iCs/>
                <w:sz w:val="20"/>
                <w:vertAlign w:val="subscript"/>
                <w:lang w:val="fr-FR" w:eastAsia="ja-JP"/>
              </w:rPr>
              <w:t>RX</w:t>
            </w:r>
            <w:r w:rsidRPr="00075DC8">
              <w:rPr>
                <w:sz w:val="20"/>
                <w:lang w:val="fr-FR" w:eastAsia="ja-JP"/>
              </w:rPr>
              <w:t>) (dBW/MHz)</w:t>
            </w:r>
          </w:p>
        </w:tc>
        <w:tc>
          <w:tcPr>
            <w:tcW w:w="1701" w:type="dxa"/>
            <w:tcBorders>
              <w:top w:val="single" w:sz="4" w:space="0" w:color="auto"/>
              <w:left w:val="single" w:sz="4" w:space="0" w:color="auto"/>
              <w:bottom w:val="single" w:sz="4" w:space="0" w:color="auto"/>
              <w:right w:val="single" w:sz="4" w:space="0" w:color="auto"/>
            </w:tcBorders>
            <w:hideMark/>
          </w:tcPr>
          <w:p w14:paraId="2571E230" w14:textId="77777777" w:rsidR="00725E50" w:rsidRPr="00075DC8" w:rsidRDefault="00725E50" w:rsidP="00ED4837">
            <w:pPr>
              <w:pStyle w:val="Tabletext"/>
              <w:jc w:val="center"/>
              <w:rPr>
                <w:sz w:val="20"/>
                <w:lang w:val="fr-FR" w:eastAsia="ja-JP"/>
              </w:rPr>
            </w:pPr>
            <w:r w:rsidRPr="00075DC8">
              <w:rPr>
                <w:sz w:val="20"/>
                <w:lang w:val="fr-FR" w:eastAsia="ja-JP"/>
              </w:rPr>
              <w:t>−141</w:t>
            </w:r>
          </w:p>
        </w:tc>
        <w:tc>
          <w:tcPr>
            <w:tcW w:w="1701" w:type="dxa"/>
            <w:tcBorders>
              <w:top w:val="single" w:sz="4" w:space="0" w:color="auto"/>
              <w:left w:val="single" w:sz="4" w:space="0" w:color="auto"/>
              <w:bottom w:val="single" w:sz="4" w:space="0" w:color="auto"/>
              <w:right w:val="single" w:sz="4" w:space="0" w:color="auto"/>
            </w:tcBorders>
            <w:hideMark/>
          </w:tcPr>
          <w:p w14:paraId="1CFF2222" w14:textId="77777777" w:rsidR="00725E50" w:rsidRPr="00075DC8" w:rsidRDefault="00725E50" w:rsidP="00ED4837">
            <w:pPr>
              <w:pStyle w:val="Tabletext"/>
              <w:jc w:val="center"/>
              <w:rPr>
                <w:sz w:val="20"/>
                <w:lang w:val="fr-FR" w:eastAsia="ja-JP"/>
              </w:rPr>
            </w:pPr>
            <w:r w:rsidRPr="00075DC8">
              <w:rPr>
                <w:sz w:val="20"/>
                <w:lang w:val="fr-FR" w:eastAsia="ja-JP"/>
              </w:rPr>
              <w:t>−142</w:t>
            </w:r>
          </w:p>
        </w:tc>
        <w:tc>
          <w:tcPr>
            <w:tcW w:w="1701" w:type="dxa"/>
            <w:tcBorders>
              <w:top w:val="single" w:sz="4" w:space="0" w:color="auto"/>
              <w:left w:val="single" w:sz="4" w:space="0" w:color="auto"/>
              <w:bottom w:val="single" w:sz="4" w:space="0" w:color="auto"/>
              <w:right w:val="single" w:sz="4" w:space="0" w:color="auto"/>
            </w:tcBorders>
            <w:hideMark/>
          </w:tcPr>
          <w:p w14:paraId="02CD2BE7" w14:textId="77777777" w:rsidR="00725E50" w:rsidRPr="00075DC8" w:rsidRDefault="00725E50" w:rsidP="00ED4837">
            <w:pPr>
              <w:pStyle w:val="Tabletext"/>
              <w:jc w:val="center"/>
              <w:rPr>
                <w:sz w:val="20"/>
                <w:lang w:val="fr-FR" w:eastAsia="ja-JP"/>
              </w:rPr>
            </w:pPr>
            <w:r w:rsidRPr="00075DC8">
              <w:rPr>
                <w:sz w:val="20"/>
                <w:lang w:val="fr-FR" w:eastAsia="ja-JP"/>
              </w:rPr>
              <w:t>−140</w:t>
            </w:r>
          </w:p>
        </w:tc>
        <w:tc>
          <w:tcPr>
            <w:tcW w:w="1701" w:type="dxa"/>
            <w:tcBorders>
              <w:top w:val="single" w:sz="4" w:space="0" w:color="auto"/>
              <w:left w:val="single" w:sz="4" w:space="0" w:color="auto"/>
              <w:bottom w:val="single" w:sz="4" w:space="0" w:color="auto"/>
              <w:right w:val="single" w:sz="4" w:space="0" w:color="auto"/>
            </w:tcBorders>
            <w:hideMark/>
          </w:tcPr>
          <w:p w14:paraId="1419DD37" w14:textId="77777777" w:rsidR="00725E50" w:rsidRPr="00075DC8" w:rsidRDefault="00725E50" w:rsidP="00ED4837">
            <w:pPr>
              <w:pStyle w:val="Tabletext"/>
              <w:jc w:val="center"/>
              <w:rPr>
                <w:sz w:val="20"/>
                <w:lang w:val="fr-FR" w:eastAsia="ja-JP"/>
              </w:rPr>
            </w:pPr>
            <w:r w:rsidRPr="00075DC8">
              <w:rPr>
                <w:sz w:val="20"/>
                <w:lang w:val="fr-FR" w:eastAsia="ja-JP"/>
              </w:rPr>
              <w:t>−141</w:t>
            </w:r>
          </w:p>
        </w:tc>
        <w:tc>
          <w:tcPr>
            <w:tcW w:w="1701" w:type="dxa"/>
            <w:tcBorders>
              <w:top w:val="single" w:sz="4" w:space="0" w:color="auto"/>
              <w:left w:val="single" w:sz="4" w:space="0" w:color="auto"/>
              <w:bottom w:val="single" w:sz="4" w:space="0" w:color="auto"/>
              <w:right w:val="single" w:sz="4" w:space="0" w:color="auto"/>
            </w:tcBorders>
            <w:hideMark/>
          </w:tcPr>
          <w:p w14:paraId="3F484579" w14:textId="77777777" w:rsidR="00725E50" w:rsidRPr="00075DC8" w:rsidRDefault="00725E50" w:rsidP="00ED4837">
            <w:pPr>
              <w:pStyle w:val="Tabletext"/>
              <w:jc w:val="center"/>
              <w:rPr>
                <w:sz w:val="20"/>
                <w:lang w:val="fr-FR" w:eastAsia="ja-JP"/>
              </w:rPr>
            </w:pPr>
            <w:r w:rsidRPr="00075DC8">
              <w:rPr>
                <w:sz w:val="20"/>
                <w:lang w:val="fr-FR" w:eastAsia="ja-JP"/>
              </w:rPr>
              <w:t>−140</w:t>
            </w:r>
          </w:p>
        </w:tc>
      </w:tr>
      <w:tr w:rsidR="00725E50" w:rsidRPr="00075DC8" w14:paraId="2A9E738D" w14:textId="77777777" w:rsidTr="004F2261">
        <w:trPr>
          <w:jc w:val="center"/>
        </w:trPr>
        <w:tc>
          <w:tcPr>
            <w:tcW w:w="59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4DF19F7" w14:textId="2B9EBB7C" w:rsidR="00725E50" w:rsidRPr="00075DC8" w:rsidRDefault="00725E50" w:rsidP="00ED4837">
            <w:pPr>
              <w:pStyle w:val="Tabletext"/>
              <w:jc w:val="left"/>
              <w:rPr>
                <w:sz w:val="20"/>
                <w:lang w:val="fr-FR" w:eastAsia="ja-JP"/>
              </w:rPr>
            </w:pPr>
            <w:r w:rsidRPr="00075DC8">
              <w:rPr>
                <w:sz w:val="20"/>
                <w:lang w:val="fr-FR" w:eastAsia="ja-JP"/>
              </w:rPr>
              <w:t>Niveau normalisé à l</w:t>
            </w:r>
            <w:r w:rsidR="001F6A0D" w:rsidRPr="00075DC8">
              <w:rPr>
                <w:sz w:val="20"/>
                <w:lang w:val="fr-FR" w:eastAsia="ja-JP"/>
              </w:rPr>
              <w:t>'</w:t>
            </w:r>
            <w:r w:rsidRPr="00075DC8">
              <w:rPr>
                <w:sz w:val="20"/>
                <w:lang w:val="fr-FR" w:eastAsia="ja-JP"/>
              </w:rPr>
              <w:t>entrée du récepteur pour un taux BER de 1 × 10</w:t>
            </w:r>
            <w:r w:rsidR="003567D8" w:rsidRPr="00075DC8">
              <w:rPr>
                <w:sz w:val="20"/>
                <w:vertAlign w:val="superscript"/>
                <w:lang w:val="fr-FR" w:eastAsia="ja-JP"/>
              </w:rPr>
              <w:t>−</w:t>
            </w:r>
            <w:r w:rsidRPr="00075DC8">
              <w:rPr>
                <w:sz w:val="20"/>
                <w:vertAlign w:val="superscript"/>
                <w:lang w:val="fr-FR" w:eastAsia="ja-JP"/>
              </w:rPr>
              <w:t>6</w:t>
            </w:r>
            <w:r w:rsidRPr="00075DC8">
              <w:rPr>
                <w:sz w:val="20"/>
                <w:lang w:val="fr-FR" w:eastAsia="ja-JP"/>
              </w:rPr>
              <w:t xml:space="preserve"> (dBW/MHz) </w:t>
            </w:r>
          </w:p>
        </w:tc>
        <w:tc>
          <w:tcPr>
            <w:tcW w:w="1701" w:type="dxa"/>
            <w:tcBorders>
              <w:top w:val="single" w:sz="4" w:space="0" w:color="auto"/>
              <w:left w:val="single" w:sz="4" w:space="0" w:color="auto"/>
              <w:bottom w:val="single" w:sz="4" w:space="0" w:color="auto"/>
              <w:right w:val="single" w:sz="4" w:space="0" w:color="auto"/>
            </w:tcBorders>
            <w:hideMark/>
          </w:tcPr>
          <w:p w14:paraId="4DF3D220" w14:textId="77777777" w:rsidR="00725E50" w:rsidRPr="00075DC8" w:rsidRDefault="00725E50" w:rsidP="00ED4837">
            <w:pPr>
              <w:pStyle w:val="Tabletext"/>
              <w:jc w:val="center"/>
              <w:rPr>
                <w:sz w:val="20"/>
                <w:lang w:val="fr-FR" w:eastAsia="ja-JP"/>
              </w:rPr>
            </w:pPr>
            <w:r w:rsidRPr="00075DC8">
              <w:rPr>
                <w:sz w:val="20"/>
                <w:lang w:val="fr-FR" w:eastAsia="ja-JP"/>
              </w:rPr>
              <w:t>−114,5</w:t>
            </w:r>
          </w:p>
        </w:tc>
        <w:tc>
          <w:tcPr>
            <w:tcW w:w="1701" w:type="dxa"/>
            <w:tcBorders>
              <w:top w:val="single" w:sz="4" w:space="0" w:color="auto"/>
              <w:left w:val="single" w:sz="4" w:space="0" w:color="auto"/>
              <w:bottom w:val="single" w:sz="4" w:space="0" w:color="auto"/>
              <w:right w:val="single" w:sz="4" w:space="0" w:color="auto"/>
            </w:tcBorders>
            <w:hideMark/>
          </w:tcPr>
          <w:p w14:paraId="1DD0F4B6" w14:textId="77777777" w:rsidR="00725E50" w:rsidRPr="00075DC8" w:rsidRDefault="00725E50" w:rsidP="00ED4837">
            <w:pPr>
              <w:pStyle w:val="Tabletext"/>
              <w:jc w:val="center"/>
              <w:rPr>
                <w:sz w:val="20"/>
                <w:lang w:val="fr-FR" w:eastAsia="ja-JP"/>
              </w:rPr>
            </w:pPr>
            <w:r w:rsidRPr="00075DC8">
              <w:rPr>
                <w:sz w:val="20"/>
                <w:lang w:val="fr-FR" w:eastAsia="ja-JP"/>
              </w:rPr>
              <w:t>−106,5</w:t>
            </w:r>
          </w:p>
        </w:tc>
        <w:tc>
          <w:tcPr>
            <w:tcW w:w="1701" w:type="dxa"/>
            <w:tcBorders>
              <w:top w:val="single" w:sz="4" w:space="0" w:color="auto"/>
              <w:left w:val="single" w:sz="4" w:space="0" w:color="auto"/>
              <w:bottom w:val="single" w:sz="4" w:space="0" w:color="auto"/>
              <w:right w:val="single" w:sz="4" w:space="0" w:color="auto"/>
            </w:tcBorders>
            <w:hideMark/>
          </w:tcPr>
          <w:p w14:paraId="7448B0D9" w14:textId="77777777" w:rsidR="00725E50" w:rsidRPr="00075DC8" w:rsidRDefault="00725E50" w:rsidP="00ED4837">
            <w:pPr>
              <w:pStyle w:val="Tabletext"/>
              <w:jc w:val="center"/>
              <w:rPr>
                <w:sz w:val="20"/>
                <w:lang w:val="fr-FR" w:eastAsia="ja-JP"/>
              </w:rPr>
            </w:pPr>
            <w:r w:rsidRPr="00075DC8">
              <w:rPr>
                <w:sz w:val="20"/>
                <w:lang w:val="fr-FR" w:eastAsia="ja-JP"/>
              </w:rPr>
              <w:t>−126,5</w:t>
            </w:r>
          </w:p>
        </w:tc>
        <w:tc>
          <w:tcPr>
            <w:tcW w:w="1701" w:type="dxa"/>
            <w:tcBorders>
              <w:top w:val="single" w:sz="4" w:space="0" w:color="auto"/>
              <w:left w:val="single" w:sz="4" w:space="0" w:color="auto"/>
              <w:bottom w:val="single" w:sz="4" w:space="0" w:color="auto"/>
              <w:right w:val="single" w:sz="4" w:space="0" w:color="auto"/>
            </w:tcBorders>
            <w:hideMark/>
          </w:tcPr>
          <w:p w14:paraId="23B560A8" w14:textId="77777777" w:rsidR="00725E50" w:rsidRPr="00075DC8" w:rsidRDefault="00725E50" w:rsidP="00ED4837">
            <w:pPr>
              <w:pStyle w:val="Tabletext"/>
              <w:jc w:val="center"/>
              <w:rPr>
                <w:sz w:val="20"/>
                <w:lang w:val="fr-FR" w:eastAsia="ja-JP"/>
              </w:rPr>
            </w:pPr>
            <w:r w:rsidRPr="00075DC8">
              <w:rPr>
                <w:sz w:val="20"/>
                <w:lang w:val="fr-FR" w:eastAsia="ja-JP"/>
              </w:rPr>
              <w:t>−127,5</w:t>
            </w:r>
          </w:p>
        </w:tc>
        <w:tc>
          <w:tcPr>
            <w:tcW w:w="1701" w:type="dxa"/>
            <w:tcBorders>
              <w:top w:val="single" w:sz="4" w:space="0" w:color="auto"/>
              <w:left w:val="single" w:sz="4" w:space="0" w:color="auto"/>
              <w:bottom w:val="single" w:sz="4" w:space="0" w:color="auto"/>
              <w:right w:val="single" w:sz="4" w:space="0" w:color="auto"/>
            </w:tcBorders>
            <w:hideMark/>
          </w:tcPr>
          <w:p w14:paraId="0049CF32" w14:textId="77777777" w:rsidR="00725E50" w:rsidRPr="00075DC8" w:rsidRDefault="00725E50" w:rsidP="00ED4837">
            <w:pPr>
              <w:pStyle w:val="Tabletext"/>
              <w:jc w:val="center"/>
              <w:rPr>
                <w:sz w:val="20"/>
                <w:lang w:val="fr-FR" w:eastAsia="ja-JP"/>
              </w:rPr>
            </w:pPr>
            <w:r w:rsidRPr="00075DC8">
              <w:rPr>
                <w:sz w:val="20"/>
                <w:lang w:val="fr-FR" w:eastAsia="ja-JP"/>
              </w:rPr>
              <w:t>−116,4</w:t>
            </w:r>
          </w:p>
        </w:tc>
      </w:tr>
      <w:tr w:rsidR="00725E50" w:rsidRPr="00075DC8" w14:paraId="75DEA497" w14:textId="77777777" w:rsidTr="004F2261">
        <w:trPr>
          <w:jc w:val="center"/>
        </w:trPr>
        <w:tc>
          <w:tcPr>
            <w:tcW w:w="59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BC3BF85" w14:textId="62A09435" w:rsidR="00725E50" w:rsidRPr="00075DC8" w:rsidRDefault="00725E50" w:rsidP="00ED4837">
            <w:pPr>
              <w:pStyle w:val="Tabletext"/>
              <w:jc w:val="left"/>
              <w:rPr>
                <w:sz w:val="20"/>
                <w:lang w:val="fr-FR" w:eastAsia="ja-JP"/>
              </w:rPr>
            </w:pPr>
            <w:r w:rsidRPr="00075DC8">
              <w:rPr>
                <w:sz w:val="20"/>
                <w:lang w:val="fr-FR" w:eastAsia="ja-JP"/>
              </w:rPr>
              <w:t>Densité nominale de puissance de brouillage de longue durée (dBW/MHz)</w:t>
            </w:r>
            <w:r w:rsidRPr="00075DC8">
              <w:rPr>
                <w:sz w:val="20"/>
                <w:vertAlign w:val="superscript"/>
                <w:lang w:val="fr-FR" w:eastAsia="ja-JP"/>
              </w:rPr>
              <w:t>(2)</w:t>
            </w:r>
          </w:p>
        </w:tc>
        <w:tc>
          <w:tcPr>
            <w:tcW w:w="1701" w:type="dxa"/>
            <w:tcBorders>
              <w:top w:val="single" w:sz="4" w:space="0" w:color="auto"/>
              <w:left w:val="single" w:sz="4" w:space="0" w:color="auto"/>
              <w:bottom w:val="single" w:sz="4" w:space="0" w:color="auto"/>
              <w:right w:val="single" w:sz="4" w:space="0" w:color="auto"/>
            </w:tcBorders>
            <w:hideMark/>
          </w:tcPr>
          <w:p w14:paraId="3F970445" w14:textId="77777777" w:rsidR="00725E50" w:rsidRPr="00075DC8" w:rsidRDefault="00725E50" w:rsidP="00ED4837">
            <w:pPr>
              <w:pStyle w:val="Tabletext"/>
              <w:jc w:val="center"/>
              <w:rPr>
                <w:sz w:val="20"/>
                <w:lang w:val="fr-FR" w:eastAsia="ja-JP"/>
              </w:rPr>
            </w:pPr>
            <w:r w:rsidRPr="00075DC8">
              <w:rPr>
                <w:sz w:val="20"/>
                <w:lang w:val="fr-FR" w:eastAsia="ja-JP"/>
              </w:rPr>
              <w:t xml:space="preserve">−141 + </w:t>
            </w:r>
            <w:r w:rsidRPr="00075DC8">
              <w:rPr>
                <w:i/>
                <w:sz w:val="20"/>
                <w:lang w:val="fr-FR" w:eastAsia="ja-JP"/>
              </w:rPr>
              <w:t>I</w:t>
            </w:r>
            <w:r w:rsidRPr="00075DC8">
              <w:rPr>
                <w:iCs/>
                <w:sz w:val="20"/>
                <w:lang w:val="fr-FR" w:eastAsia="ja-JP"/>
              </w:rPr>
              <w:t>/</w:t>
            </w:r>
            <w:r w:rsidRPr="00075DC8">
              <w:rPr>
                <w:i/>
                <w:sz w:val="20"/>
                <w:lang w:val="fr-FR" w:eastAsia="ja-JP"/>
              </w:rPr>
              <w:t>N</w:t>
            </w:r>
          </w:p>
        </w:tc>
        <w:tc>
          <w:tcPr>
            <w:tcW w:w="1701" w:type="dxa"/>
            <w:tcBorders>
              <w:top w:val="single" w:sz="4" w:space="0" w:color="auto"/>
              <w:left w:val="single" w:sz="4" w:space="0" w:color="auto"/>
              <w:bottom w:val="single" w:sz="4" w:space="0" w:color="auto"/>
              <w:right w:val="single" w:sz="4" w:space="0" w:color="auto"/>
            </w:tcBorders>
            <w:hideMark/>
          </w:tcPr>
          <w:p w14:paraId="1F8B9253" w14:textId="77777777" w:rsidR="00725E50" w:rsidRPr="00075DC8" w:rsidRDefault="00725E50" w:rsidP="00ED4837">
            <w:pPr>
              <w:pStyle w:val="Tabletext"/>
              <w:jc w:val="center"/>
              <w:rPr>
                <w:sz w:val="20"/>
                <w:lang w:val="fr-FR" w:eastAsia="ja-JP"/>
              </w:rPr>
            </w:pPr>
            <w:r w:rsidRPr="00075DC8">
              <w:rPr>
                <w:sz w:val="20"/>
                <w:lang w:val="fr-FR" w:eastAsia="ja-JP"/>
              </w:rPr>
              <w:t xml:space="preserve">−142 + </w:t>
            </w:r>
            <w:r w:rsidRPr="00075DC8">
              <w:rPr>
                <w:i/>
                <w:sz w:val="20"/>
                <w:lang w:val="fr-FR" w:eastAsia="ja-JP"/>
              </w:rPr>
              <w:t>I</w:t>
            </w:r>
            <w:r w:rsidRPr="00075DC8">
              <w:rPr>
                <w:iCs/>
                <w:sz w:val="20"/>
                <w:lang w:val="fr-FR" w:eastAsia="ja-JP"/>
              </w:rPr>
              <w:t>/</w:t>
            </w:r>
            <w:r w:rsidRPr="00075DC8">
              <w:rPr>
                <w:i/>
                <w:sz w:val="20"/>
                <w:lang w:val="fr-FR" w:eastAsia="ja-JP"/>
              </w:rPr>
              <w:t>N</w:t>
            </w:r>
          </w:p>
        </w:tc>
        <w:tc>
          <w:tcPr>
            <w:tcW w:w="1701" w:type="dxa"/>
            <w:tcBorders>
              <w:top w:val="single" w:sz="4" w:space="0" w:color="auto"/>
              <w:left w:val="single" w:sz="4" w:space="0" w:color="auto"/>
              <w:bottom w:val="single" w:sz="4" w:space="0" w:color="auto"/>
              <w:right w:val="single" w:sz="4" w:space="0" w:color="auto"/>
            </w:tcBorders>
            <w:hideMark/>
          </w:tcPr>
          <w:p w14:paraId="48794A07" w14:textId="77777777" w:rsidR="00725E50" w:rsidRPr="00075DC8" w:rsidRDefault="00725E50" w:rsidP="00ED4837">
            <w:pPr>
              <w:pStyle w:val="Tabletext"/>
              <w:jc w:val="center"/>
              <w:rPr>
                <w:sz w:val="20"/>
                <w:lang w:val="fr-FR" w:eastAsia="ja-JP"/>
              </w:rPr>
            </w:pPr>
            <w:r w:rsidRPr="00075DC8">
              <w:rPr>
                <w:sz w:val="20"/>
                <w:lang w:val="fr-FR" w:eastAsia="ja-JP"/>
              </w:rPr>
              <w:t xml:space="preserve">−140 + </w:t>
            </w:r>
            <w:r w:rsidRPr="00075DC8">
              <w:rPr>
                <w:i/>
                <w:sz w:val="20"/>
                <w:lang w:val="fr-FR" w:eastAsia="ja-JP"/>
              </w:rPr>
              <w:t>I</w:t>
            </w:r>
            <w:r w:rsidRPr="00075DC8">
              <w:rPr>
                <w:iCs/>
                <w:sz w:val="20"/>
                <w:lang w:val="fr-FR" w:eastAsia="ja-JP"/>
              </w:rPr>
              <w:t>/</w:t>
            </w:r>
            <w:r w:rsidRPr="00075DC8">
              <w:rPr>
                <w:i/>
                <w:sz w:val="20"/>
                <w:lang w:val="fr-FR" w:eastAsia="ja-JP"/>
              </w:rPr>
              <w:t>N</w:t>
            </w:r>
          </w:p>
        </w:tc>
        <w:tc>
          <w:tcPr>
            <w:tcW w:w="1701" w:type="dxa"/>
            <w:tcBorders>
              <w:top w:val="single" w:sz="4" w:space="0" w:color="auto"/>
              <w:left w:val="single" w:sz="4" w:space="0" w:color="auto"/>
              <w:bottom w:val="single" w:sz="4" w:space="0" w:color="auto"/>
              <w:right w:val="single" w:sz="4" w:space="0" w:color="auto"/>
            </w:tcBorders>
            <w:hideMark/>
          </w:tcPr>
          <w:p w14:paraId="7019BA25" w14:textId="77777777" w:rsidR="00725E50" w:rsidRPr="00075DC8" w:rsidRDefault="00725E50" w:rsidP="00ED4837">
            <w:pPr>
              <w:pStyle w:val="Tabletext"/>
              <w:jc w:val="center"/>
              <w:rPr>
                <w:sz w:val="20"/>
                <w:lang w:val="fr-FR" w:eastAsia="ja-JP"/>
              </w:rPr>
            </w:pPr>
            <w:r w:rsidRPr="00075DC8">
              <w:rPr>
                <w:sz w:val="20"/>
                <w:lang w:val="fr-FR" w:eastAsia="ja-JP"/>
              </w:rPr>
              <w:t>−141 +</w:t>
            </w:r>
            <w:r w:rsidRPr="00075DC8">
              <w:rPr>
                <w:i/>
                <w:sz w:val="20"/>
                <w:lang w:val="fr-FR" w:eastAsia="ja-JP"/>
              </w:rPr>
              <w:t xml:space="preserve"> I</w:t>
            </w:r>
            <w:r w:rsidRPr="00075DC8">
              <w:rPr>
                <w:iCs/>
                <w:sz w:val="20"/>
                <w:lang w:val="fr-FR" w:eastAsia="ja-JP"/>
              </w:rPr>
              <w:t>/</w:t>
            </w:r>
            <w:r w:rsidRPr="00075DC8">
              <w:rPr>
                <w:i/>
                <w:sz w:val="20"/>
                <w:lang w:val="fr-FR" w:eastAsia="ja-JP"/>
              </w:rPr>
              <w:t>N</w:t>
            </w:r>
          </w:p>
        </w:tc>
        <w:tc>
          <w:tcPr>
            <w:tcW w:w="1701" w:type="dxa"/>
            <w:tcBorders>
              <w:top w:val="single" w:sz="4" w:space="0" w:color="auto"/>
              <w:left w:val="single" w:sz="4" w:space="0" w:color="auto"/>
              <w:bottom w:val="single" w:sz="4" w:space="0" w:color="auto"/>
              <w:right w:val="single" w:sz="4" w:space="0" w:color="auto"/>
            </w:tcBorders>
            <w:hideMark/>
          </w:tcPr>
          <w:p w14:paraId="260701D9" w14:textId="77777777" w:rsidR="00725E50" w:rsidRPr="00075DC8" w:rsidRDefault="00725E50" w:rsidP="00ED4837">
            <w:pPr>
              <w:pStyle w:val="Tabletext"/>
              <w:jc w:val="center"/>
              <w:rPr>
                <w:sz w:val="20"/>
                <w:lang w:val="fr-FR" w:eastAsia="ja-JP"/>
              </w:rPr>
            </w:pPr>
            <w:r w:rsidRPr="00075DC8">
              <w:rPr>
                <w:sz w:val="20"/>
                <w:lang w:val="fr-FR" w:eastAsia="ja-JP"/>
              </w:rPr>
              <w:t>−140 +</w:t>
            </w:r>
            <w:r w:rsidRPr="00075DC8">
              <w:rPr>
                <w:i/>
                <w:sz w:val="20"/>
                <w:lang w:val="fr-FR" w:eastAsia="ja-JP"/>
              </w:rPr>
              <w:t xml:space="preserve"> I</w:t>
            </w:r>
            <w:r w:rsidRPr="00075DC8">
              <w:rPr>
                <w:iCs/>
                <w:sz w:val="20"/>
                <w:lang w:val="fr-FR" w:eastAsia="ja-JP"/>
              </w:rPr>
              <w:t>/</w:t>
            </w:r>
            <w:r w:rsidRPr="00075DC8">
              <w:rPr>
                <w:i/>
                <w:sz w:val="20"/>
                <w:lang w:val="fr-FR" w:eastAsia="ja-JP"/>
              </w:rPr>
              <w:t>N</w:t>
            </w:r>
          </w:p>
        </w:tc>
      </w:tr>
      <w:tr w:rsidR="00725E50" w:rsidRPr="00075DC8" w14:paraId="473A501F" w14:textId="77777777" w:rsidTr="004F2261">
        <w:trPr>
          <w:jc w:val="center"/>
        </w:trPr>
        <w:tc>
          <w:tcPr>
            <w:tcW w:w="14460" w:type="dxa"/>
            <w:gridSpan w:val="6"/>
            <w:tcBorders>
              <w:top w:val="single" w:sz="4" w:space="0" w:color="auto"/>
              <w:left w:val="nil"/>
              <w:bottom w:val="nil"/>
              <w:right w:val="nil"/>
            </w:tcBorders>
            <w:tcMar>
              <w:top w:w="0" w:type="dxa"/>
              <w:left w:w="57" w:type="dxa"/>
              <w:bottom w:w="0" w:type="dxa"/>
              <w:right w:w="57" w:type="dxa"/>
            </w:tcMar>
            <w:hideMark/>
          </w:tcPr>
          <w:p w14:paraId="795D2EFC" w14:textId="51A9ABA4" w:rsidR="00725E50" w:rsidRPr="00075DC8" w:rsidRDefault="00725E50" w:rsidP="004F2261">
            <w:pPr>
              <w:pStyle w:val="Tabletext"/>
              <w:ind w:left="284" w:hanging="284"/>
              <w:rPr>
                <w:sz w:val="20"/>
                <w:lang w:val="fr-FR" w:eastAsia="ja-JP"/>
              </w:rPr>
            </w:pPr>
            <w:r w:rsidRPr="00075DC8">
              <w:rPr>
                <w:sz w:val="20"/>
                <w:vertAlign w:val="superscript"/>
                <w:lang w:val="fr-FR" w:eastAsia="ja-JP"/>
              </w:rPr>
              <w:t>(1)</w:t>
            </w:r>
            <w:r w:rsidRPr="00075DC8">
              <w:rPr>
                <w:sz w:val="20"/>
                <w:lang w:val="fr-FR" w:eastAsia="ja-JP"/>
              </w:rPr>
              <w:tab/>
              <w:t>Pour calculer les valeurs des densités de puissance au niveau de l</w:t>
            </w:r>
            <w:r w:rsidR="001F6A0D" w:rsidRPr="00075DC8">
              <w:rPr>
                <w:sz w:val="20"/>
                <w:lang w:val="fr-FR" w:eastAsia="ja-JP"/>
              </w:rPr>
              <w:t>'</w:t>
            </w:r>
            <w:r w:rsidRPr="00075DC8">
              <w:rPr>
                <w:sz w:val="20"/>
                <w:lang w:val="fr-FR" w:eastAsia="ja-JP"/>
              </w:rPr>
              <w:t>émetteur ou des densités de p.i.r.e., il est nécessaire de définir l</w:t>
            </w:r>
            <w:r w:rsidR="001F6A0D" w:rsidRPr="00075DC8">
              <w:rPr>
                <w:sz w:val="20"/>
                <w:lang w:val="fr-FR" w:eastAsia="ja-JP"/>
              </w:rPr>
              <w:t>'</w:t>
            </w:r>
            <w:r w:rsidRPr="00075DC8">
              <w:rPr>
                <w:sz w:val="20"/>
                <w:lang w:val="fr-FR" w:eastAsia="ja-JP"/>
              </w:rPr>
              <w:t>espacement des canaux/la largeur de bande. Dans ces tableaux, l</w:t>
            </w:r>
            <w:r w:rsidR="001F6A0D" w:rsidRPr="00075DC8">
              <w:rPr>
                <w:sz w:val="20"/>
                <w:lang w:val="fr-FR" w:eastAsia="ja-JP"/>
              </w:rPr>
              <w:t>'</w:t>
            </w:r>
            <w:r w:rsidRPr="00075DC8">
              <w:rPr>
                <w:sz w:val="20"/>
                <w:lang w:val="fr-FR" w:eastAsia="ja-JP"/>
              </w:rPr>
              <w:t xml:space="preserve">espacement des canaux est indiqué en </w:t>
            </w:r>
            <w:r w:rsidRPr="00075DC8">
              <w:rPr>
                <w:b/>
                <w:bCs/>
                <w:sz w:val="20"/>
                <w:lang w:val="fr-FR" w:eastAsia="ja-JP"/>
              </w:rPr>
              <w:t>caractères gras</w:t>
            </w:r>
            <w:r w:rsidRPr="00075DC8">
              <w:rPr>
                <w:sz w:val="20"/>
                <w:lang w:val="fr-FR" w:eastAsia="ja-JP"/>
              </w:rPr>
              <w:t>.</w:t>
            </w:r>
          </w:p>
          <w:p w14:paraId="06E07CC0" w14:textId="7326A2C1" w:rsidR="00725E50" w:rsidRPr="00075DC8" w:rsidRDefault="00725E50" w:rsidP="004F2261">
            <w:pPr>
              <w:pStyle w:val="Tabletext"/>
              <w:ind w:left="284" w:hanging="284"/>
              <w:rPr>
                <w:sz w:val="20"/>
                <w:lang w:val="fr-FR"/>
              </w:rPr>
            </w:pPr>
            <w:r w:rsidRPr="00075DC8">
              <w:rPr>
                <w:sz w:val="20"/>
                <w:vertAlign w:val="superscript"/>
                <w:lang w:val="fr-FR" w:eastAsia="ja-JP"/>
              </w:rPr>
              <w:t>(2)</w:t>
            </w:r>
            <w:r w:rsidRPr="00075DC8">
              <w:rPr>
                <w:sz w:val="20"/>
                <w:lang w:val="fr-FR" w:eastAsia="ja-JP"/>
              </w:rPr>
              <w:tab/>
              <w:t xml:space="preserve">La densité nominale </w:t>
            </w:r>
            <w:r w:rsidRPr="00075DC8">
              <w:rPr>
                <w:sz w:val="20"/>
                <w:lang w:val="fr-FR"/>
              </w:rPr>
              <w:t>de puissance de brouillage de longue durée est définie par la «densité de puissance de bruit du récepteur + (</w:t>
            </w:r>
            <w:r w:rsidRPr="00075DC8">
              <w:rPr>
                <w:i/>
                <w:iCs/>
                <w:sz w:val="20"/>
                <w:lang w:val="fr-FR"/>
              </w:rPr>
              <w:t>I</w:t>
            </w:r>
            <w:r w:rsidRPr="00075DC8">
              <w:rPr>
                <w:sz w:val="20"/>
                <w:lang w:val="fr-FR"/>
              </w:rPr>
              <w:t>/</w:t>
            </w:r>
            <w:r w:rsidRPr="00075DC8">
              <w:rPr>
                <w:i/>
                <w:iCs/>
                <w:sz w:val="20"/>
                <w:lang w:val="fr-FR"/>
              </w:rPr>
              <w:t>N</w:t>
            </w:r>
            <w:r w:rsidRPr="00075DC8">
              <w:rPr>
                <w:sz w:val="20"/>
                <w:lang w:val="fr-FR"/>
              </w:rPr>
              <w:t xml:space="preserve"> requis)» comme décrit au </w:t>
            </w:r>
            <w:r w:rsidR="008B1840" w:rsidRPr="00075DC8">
              <w:rPr>
                <w:sz w:val="20"/>
                <w:lang w:val="fr-FR"/>
              </w:rPr>
              <w:t>§ </w:t>
            </w:r>
            <w:r w:rsidRPr="00075DC8">
              <w:rPr>
                <w:sz w:val="20"/>
                <w:lang w:val="fr-FR"/>
              </w:rPr>
              <w:t>4.13 de l</w:t>
            </w:r>
            <w:r w:rsidR="001F6A0D" w:rsidRPr="00075DC8">
              <w:rPr>
                <w:sz w:val="20"/>
                <w:lang w:val="fr-FR"/>
              </w:rPr>
              <w:t>'</w:t>
            </w:r>
            <w:r w:rsidRPr="00075DC8">
              <w:rPr>
                <w:sz w:val="20"/>
                <w:lang w:val="fr-FR"/>
              </w:rPr>
              <w:t xml:space="preserve">Annexe 2 (voir aussi le </w:t>
            </w:r>
            <w:r w:rsidR="008B1840" w:rsidRPr="00075DC8">
              <w:rPr>
                <w:sz w:val="20"/>
                <w:lang w:val="fr-FR"/>
              </w:rPr>
              <w:t>§ </w:t>
            </w:r>
            <w:r w:rsidRPr="00075DC8">
              <w:rPr>
                <w:sz w:val="20"/>
                <w:lang w:val="fr-FR"/>
              </w:rPr>
              <w:t>4.1 de l</w:t>
            </w:r>
            <w:r w:rsidR="001F6A0D" w:rsidRPr="00075DC8">
              <w:rPr>
                <w:sz w:val="20"/>
                <w:lang w:val="fr-FR"/>
              </w:rPr>
              <w:t>'</w:t>
            </w:r>
            <w:r w:rsidRPr="00075DC8">
              <w:rPr>
                <w:sz w:val="20"/>
                <w:lang w:val="fr-FR"/>
              </w:rPr>
              <w:t>Annexe 1).</w:t>
            </w:r>
          </w:p>
          <w:p w14:paraId="6D1E8752" w14:textId="77777777" w:rsidR="00725E50" w:rsidRPr="00075DC8" w:rsidRDefault="00725E50" w:rsidP="004F2261">
            <w:pPr>
              <w:pStyle w:val="Tabletext"/>
              <w:rPr>
                <w:sz w:val="20"/>
                <w:lang w:val="fr-FR" w:eastAsia="ja-JP"/>
              </w:rPr>
            </w:pPr>
            <w:r w:rsidRPr="00075DC8">
              <w:rPr>
                <w:sz w:val="20"/>
                <w:vertAlign w:val="superscript"/>
                <w:lang w:val="fr-FR" w:eastAsia="ja-JP"/>
              </w:rPr>
              <w:t>(3)</w:t>
            </w:r>
            <w:r w:rsidRPr="00075DC8">
              <w:rPr>
                <w:sz w:val="20"/>
                <w:lang w:val="fr-FR" w:eastAsia="ja-JP"/>
              </w:rPr>
              <w:tab/>
              <w:t>Deux modulations (MDPQ et MDF-4) sont décrites et MDPQ est choisie.</w:t>
            </w:r>
          </w:p>
        </w:tc>
      </w:tr>
    </w:tbl>
    <w:p w14:paraId="23208E81" w14:textId="4C9F7C0B" w:rsidR="00725E50" w:rsidRPr="00075DC8" w:rsidRDefault="00725E50" w:rsidP="00D11437">
      <w:pPr>
        <w:pStyle w:val="Tablefin"/>
        <w:rPr>
          <w:lang w:val="fr-FR" w:eastAsia="ja-JP"/>
        </w:rPr>
      </w:pPr>
    </w:p>
    <w:p w14:paraId="3307AB27" w14:textId="77777777" w:rsidR="00725E50" w:rsidRPr="00075DC8" w:rsidRDefault="00725E50" w:rsidP="00725E50">
      <w:pPr>
        <w:pStyle w:val="TableNo"/>
        <w:rPr>
          <w:lang w:val="fr-FR" w:eastAsia="ja-JP"/>
        </w:rPr>
      </w:pPr>
      <w:r w:rsidRPr="00075DC8">
        <w:rPr>
          <w:lang w:val="fr-FR" w:eastAsia="ja-JP"/>
        </w:rPr>
        <w:t>TABLEAU 19</w:t>
      </w:r>
      <w:r w:rsidRPr="00075DC8">
        <w:rPr>
          <w:vertAlign w:val="superscript"/>
          <w:lang w:val="fr-FR" w:eastAsia="ja-JP"/>
        </w:rPr>
        <w:t>(*)</w:t>
      </w:r>
    </w:p>
    <w:p w14:paraId="483DCB2A" w14:textId="77777777" w:rsidR="00725E50" w:rsidRPr="00075DC8" w:rsidRDefault="00725E50" w:rsidP="00725E50">
      <w:pPr>
        <w:pStyle w:val="Tabletitle"/>
        <w:keepLines/>
        <w:rPr>
          <w:lang w:val="fr-FR" w:eastAsia="ja-JP"/>
        </w:rPr>
      </w:pPr>
      <w:r w:rsidRPr="00075DC8">
        <w:rPr>
          <w:lang w:val="fr-FR" w:eastAsia="ja-JP"/>
        </w:rPr>
        <w:t>Paramètres des systèmes du service fixe de point à point dans les bandes attribuées supérieures à 12 GHz</w:t>
      </w:r>
    </w:p>
    <w:tbl>
      <w:tblPr>
        <w:tblW w:w="14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8"/>
        <w:gridCol w:w="2275"/>
        <w:gridCol w:w="2411"/>
        <w:gridCol w:w="2411"/>
      </w:tblGrid>
      <w:tr w:rsidR="00725E50" w:rsidRPr="00075DC8" w14:paraId="4622208D" w14:textId="77777777" w:rsidTr="00531043">
        <w:trPr>
          <w:jc w:val="center"/>
        </w:trPr>
        <w:tc>
          <w:tcPr>
            <w:tcW w:w="7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A7D57D" w14:textId="77777777" w:rsidR="00725E50" w:rsidRPr="00075DC8" w:rsidRDefault="00725E50" w:rsidP="00ED4837">
            <w:pPr>
              <w:pStyle w:val="Tablehead"/>
              <w:keepLines/>
              <w:rPr>
                <w:szCs w:val="22"/>
                <w:lang w:val="fr-FR" w:eastAsia="ja-JP"/>
              </w:rPr>
            </w:pPr>
            <w:r w:rsidRPr="00075DC8">
              <w:rPr>
                <w:szCs w:val="22"/>
                <w:lang w:val="fr-FR" w:eastAsia="ja-JP"/>
              </w:rPr>
              <w:t>Gamme de fréquences</w:t>
            </w:r>
            <w:r w:rsidRPr="00075DC8">
              <w:rPr>
                <w:szCs w:val="22"/>
                <w:lang w:val="fr-FR" w:eastAsia="ja-JP"/>
              </w:rPr>
              <w:br/>
              <w:t>(GHz)</w:t>
            </w:r>
          </w:p>
        </w:tc>
        <w:tc>
          <w:tcPr>
            <w:tcW w:w="2274" w:type="dxa"/>
            <w:tcBorders>
              <w:top w:val="single" w:sz="4" w:space="0" w:color="auto"/>
              <w:left w:val="single" w:sz="4" w:space="0" w:color="auto"/>
              <w:bottom w:val="single" w:sz="4" w:space="0" w:color="auto"/>
              <w:right w:val="single" w:sz="4" w:space="0" w:color="auto"/>
            </w:tcBorders>
            <w:vAlign w:val="center"/>
            <w:hideMark/>
          </w:tcPr>
          <w:p w14:paraId="12B5DDFA" w14:textId="77777777" w:rsidR="00725E50" w:rsidRPr="00075DC8" w:rsidRDefault="00725E50" w:rsidP="00ED4837">
            <w:pPr>
              <w:pStyle w:val="Tablehead"/>
              <w:keepLines/>
              <w:rPr>
                <w:szCs w:val="22"/>
                <w:lang w:val="fr-FR" w:eastAsia="ja-JP"/>
              </w:rPr>
            </w:pPr>
            <w:r w:rsidRPr="00075DC8">
              <w:rPr>
                <w:szCs w:val="22"/>
                <w:lang w:val="fr-FR" w:eastAsia="ja-JP"/>
              </w:rPr>
              <w:t>12,75-13,25</w:t>
            </w:r>
          </w:p>
        </w:tc>
        <w:tc>
          <w:tcPr>
            <w:tcW w:w="4820" w:type="dxa"/>
            <w:gridSpan w:val="2"/>
            <w:tcBorders>
              <w:top w:val="single" w:sz="4" w:space="0" w:color="auto"/>
              <w:left w:val="single" w:sz="4" w:space="0" w:color="auto"/>
              <w:bottom w:val="single" w:sz="4" w:space="0" w:color="auto"/>
              <w:right w:val="single" w:sz="4" w:space="0" w:color="auto"/>
            </w:tcBorders>
            <w:vAlign w:val="center"/>
            <w:hideMark/>
          </w:tcPr>
          <w:p w14:paraId="661170D2" w14:textId="77777777" w:rsidR="00725E50" w:rsidRPr="00075DC8" w:rsidRDefault="00725E50" w:rsidP="00ED4837">
            <w:pPr>
              <w:pStyle w:val="Tablehead"/>
              <w:keepLines/>
              <w:rPr>
                <w:szCs w:val="22"/>
                <w:lang w:val="fr-FR" w:eastAsia="ja-JP"/>
              </w:rPr>
            </w:pPr>
            <w:r w:rsidRPr="00075DC8">
              <w:rPr>
                <w:szCs w:val="22"/>
                <w:lang w:val="fr-FR" w:eastAsia="ja-JP"/>
              </w:rPr>
              <w:t>51,4-52,6</w:t>
            </w:r>
          </w:p>
        </w:tc>
      </w:tr>
      <w:tr w:rsidR="00725E50" w:rsidRPr="00075DC8" w14:paraId="00A8E275" w14:textId="77777777" w:rsidTr="00531043">
        <w:trPr>
          <w:jc w:val="center"/>
        </w:trPr>
        <w:tc>
          <w:tcPr>
            <w:tcW w:w="7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6478928" w14:textId="77777777" w:rsidR="00725E50" w:rsidRPr="00075DC8" w:rsidRDefault="00725E50" w:rsidP="00ED4837">
            <w:pPr>
              <w:pStyle w:val="Tabletext"/>
              <w:jc w:val="left"/>
              <w:rPr>
                <w:szCs w:val="22"/>
                <w:lang w:val="fr-FR" w:eastAsia="ja-JP"/>
              </w:rPr>
            </w:pPr>
            <w:r w:rsidRPr="00075DC8">
              <w:rPr>
                <w:szCs w:val="22"/>
                <w:lang w:val="fr-FR" w:eastAsia="ja-JP"/>
              </w:rPr>
              <w:t xml:space="preserve">Recommandation UIT-R de référence </w:t>
            </w:r>
          </w:p>
        </w:tc>
        <w:tc>
          <w:tcPr>
            <w:tcW w:w="2274" w:type="dxa"/>
            <w:tcBorders>
              <w:top w:val="single" w:sz="4" w:space="0" w:color="auto"/>
              <w:left w:val="single" w:sz="4" w:space="0" w:color="auto"/>
              <w:bottom w:val="single" w:sz="4" w:space="0" w:color="auto"/>
              <w:right w:val="single" w:sz="4" w:space="0" w:color="auto"/>
            </w:tcBorders>
            <w:hideMark/>
          </w:tcPr>
          <w:p w14:paraId="21658565"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F.497</w:t>
            </w:r>
          </w:p>
        </w:tc>
        <w:tc>
          <w:tcPr>
            <w:tcW w:w="4820" w:type="dxa"/>
            <w:gridSpan w:val="2"/>
            <w:tcBorders>
              <w:top w:val="single" w:sz="4" w:space="0" w:color="auto"/>
              <w:left w:val="single" w:sz="4" w:space="0" w:color="auto"/>
              <w:bottom w:val="single" w:sz="4" w:space="0" w:color="auto"/>
              <w:right w:val="single" w:sz="4" w:space="0" w:color="auto"/>
            </w:tcBorders>
            <w:hideMark/>
          </w:tcPr>
          <w:p w14:paraId="4EBB4091"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F.1496</w:t>
            </w:r>
          </w:p>
        </w:tc>
      </w:tr>
      <w:tr w:rsidR="00725E50" w:rsidRPr="00075DC8" w14:paraId="6DD38939" w14:textId="77777777" w:rsidTr="00531043">
        <w:trPr>
          <w:jc w:val="center"/>
        </w:trPr>
        <w:tc>
          <w:tcPr>
            <w:tcW w:w="7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A044591" w14:textId="77777777" w:rsidR="00725E50" w:rsidRPr="00075DC8" w:rsidRDefault="00725E50" w:rsidP="00ED4837">
            <w:pPr>
              <w:pStyle w:val="Tabletext"/>
              <w:jc w:val="left"/>
              <w:rPr>
                <w:szCs w:val="22"/>
                <w:lang w:val="fr-FR" w:eastAsia="ja-JP"/>
              </w:rPr>
            </w:pPr>
            <w:r w:rsidRPr="00075DC8">
              <w:rPr>
                <w:szCs w:val="22"/>
                <w:lang w:val="fr-FR" w:eastAsia="ja-JP"/>
              </w:rPr>
              <w:t>Modulation</w:t>
            </w:r>
          </w:p>
        </w:tc>
        <w:tc>
          <w:tcPr>
            <w:tcW w:w="2274" w:type="dxa"/>
            <w:tcBorders>
              <w:top w:val="single" w:sz="4" w:space="0" w:color="auto"/>
              <w:left w:val="single" w:sz="4" w:space="0" w:color="auto"/>
              <w:bottom w:val="single" w:sz="4" w:space="0" w:color="auto"/>
              <w:right w:val="single" w:sz="4" w:space="0" w:color="auto"/>
            </w:tcBorders>
            <w:hideMark/>
          </w:tcPr>
          <w:p w14:paraId="40EDCC2E"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MDPQ</w:t>
            </w:r>
          </w:p>
        </w:tc>
        <w:tc>
          <w:tcPr>
            <w:tcW w:w="2410" w:type="dxa"/>
            <w:tcBorders>
              <w:top w:val="single" w:sz="4" w:space="0" w:color="auto"/>
              <w:left w:val="single" w:sz="4" w:space="0" w:color="auto"/>
              <w:bottom w:val="single" w:sz="4" w:space="0" w:color="auto"/>
              <w:right w:val="single" w:sz="4" w:space="0" w:color="auto"/>
            </w:tcBorders>
            <w:hideMark/>
          </w:tcPr>
          <w:p w14:paraId="7DBED35A"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MDF-4</w:t>
            </w:r>
          </w:p>
        </w:tc>
        <w:tc>
          <w:tcPr>
            <w:tcW w:w="2410" w:type="dxa"/>
            <w:tcBorders>
              <w:top w:val="single" w:sz="4" w:space="0" w:color="auto"/>
              <w:left w:val="single" w:sz="4" w:space="0" w:color="auto"/>
              <w:bottom w:val="single" w:sz="4" w:space="0" w:color="auto"/>
              <w:right w:val="single" w:sz="4" w:space="0" w:color="auto"/>
            </w:tcBorders>
            <w:hideMark/>
          </w:tcPr>
          <w:p w14:paraId="1CBF3150"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32-MAQ</w:t>
            </w:r>
          </w:p>
        </w:tc>
      </w:tr>
      <w:tr w:rsidR="00725E50" w:rsidRPr="00075DC8" w14:paraId="5D0DEB92" w14:textId="77777777" w:rsidTr="00531043">
        <w:trPr>
          <w:jc w:val="center"/>
        </w:trPr>
        <w:tc>
          <w:tcPr>
            <w:tcW w:w="7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74454A1" w14:textId="77777777" w:rsidR="00725E50" w:rsidRPr="00075DC8" w:rsidRDefault="00725E50" w:rsidP="00ED4837">
            <w:pPr>
              <w:pStyle w:val="Tabletext"/>
              <w:jc w:val="left"/>
              <w:rPr>
                <w:szCs w:val="22"/>
                <w:lang w:val="fr-FR" w:eastAsia="ja-JP"/>
              </w:rPr>
            </w:pPr>
            <w:r w:rsidRPr="00075DC8">
              <w:rPr>
                <w:szCs w:val="22"/>
                <w:lang w:val="fr-FR" w:eastAsia="ja-JP"/>
              </w:rPr>
              <w:t>Espacement des canaux et largeur de bande de bruit du récepteur (MHz)</w:t>
            </w:r>
          </w:p>
        </w:tc>
        <w:tc>
          <w:tcPr>
            <w:tcW w:w="2274" w:type="dxa"/>
            <w:tcBorders>
              <w:top w:val="single" w:sz="4" w:space="0" w:color="auto"/>
              <w:left w:val="single" w:sz="4" w:space="0" w:color="auto"/>
              <w:bottom w:val="single" w:sz="4" w:space="0" w:color="auto"/>
              <w:right w:val="single" w:sz="4" w:space="0" w:color="auto"/>
            </w:tcBorders>
            <w:hideMark/>
          </w:tcPr>
          <w:p w14:paraId="436F8752" w14:textId="77777777" w:rsidR="00725E50" w:rsidRPr="00075DC8" w:rsidRDefault="00725E50" w:rsidP="00ED4837">
            <w:pPr>
              <w:pStyle w:val="Tabletext"/>
              <w:keepNext/>
              <w:keepLines/>
              <w:jc w:val="center"/>
              <w:rPr>
                <w:szCs w:val="22"/>
                <w:lang w:val="fr-FR" w:eastAsia="ja-JP"/>
              </w:rPr>
            </w:pPr>
            <w:r w:rsidRPr="00075DC8">
              <w:rPr>
                <w:b/>
                <w:szCs w:val="22"/>
                <w:lang w:val="fr-FR" w:eastAsia="ja-JP"/>
              </w:rPr>
              <w:t>3,5</w:t>
            </w:r>
            <w:r w:rsidRPr="00075DC8">
              <w:rPr>
                <w:szCs w:val="22"/>
                <w:lang w:val="fr-FR" w:eastAsia="ja-JP"/>
              </w:rPr>
              <w:t xml:space="preserve">, </w:t>
            </w:r>
            <w:r w:rsidRPr="00075DC8">
              <w:rPr>
                <w:b/>
                <w:szCs w:val="22"/>
                <w:lang w:val="fr-FR" w:eastAsia="ja-JP"/>
              </w:rPr>
              <w:t>7</w:t>
            </w:r>
            <w:r w:rsidRPr="00075DC8">
              <w:rPr>
                <w:szCs w:val="22"/>
                <w:lang w:val="fr-FR" w:eastAsia="ja-JP"/>
              </w:rPr>
              <w:t xml:space="preserve">, </w:t>
            </w:r>
            <w:r w:rsidRPr="00075DC8">
              <w:rPr>
                <w:b/>
                <w:szCs w:val="22"/>
                <w:lang w:val="fr-FR" w:eastAsia="ja-JP"/>
              </w:rPr>
              <w:t>14</w:t>
            </w:r>
            <w:r w:rsidRPr="00075DC8">
              <w:rPr>
                <w:szCs w:val="22"/>
                <w:lang w:val="fr-FR" w:eastAsia="ja-JP"/>
              </w:rPr>
              <w:t xml:space="preserve">, </w:t>
            </w:r>
            <w:r w:rsidRPr="00075DC8">
              <w:rPr>
                <w:b/>
                <w:szCs w:val="22"/>
                <w:lang w:val="fr-FR" w:eastAsia="ja-JP"/>
              </w:rPr>
              <w:t>28</w:t>
            </w:r>
          </w:p>
        </w:tc>
        <w:tc>
          <w:tcPr>
            <w:tcW w:w="2410" w:type="dxa"/>
            <w:tcBorders>
              <w:top w:val="single" w:sz="4" w:space="0" w:color="auto"/>
              <w:left w:val="single" w:sz="4" w:space="0" w:color="auto"/>
              <w:bottom w:val="single" w:sz="4" w:space="0" w:color="auto"/>
              <w:right w:val="single" w:sz="4" w:space="0" w:color="auto"/>
            </w:tcBorders>
            <w:hideMark/>
          </w:tcPr>
          <w:p w14:paraId="28A71EAC" w14:textId="77777777" w:rsidR="00725E50" w:rsidRPr="00075DC8" w:rsidRDefault="00725E50" w:rsidP="00ED4837">
            <w:pPr>
              <w:pStyle w:val="Tabletext"/>
              <w:keepNext/>
              <w:keepLines/>
              <w:jc w:val="center"/>
              <w:rPr>
                <w:szCs w:val="22"/>
                <w:lang w:val="fr-FR" w:eastAsia="ja-JP"/>
              </w:rPr>
            </w:pPr>
            <w:r w:rsidRPr="00075DC8">
              <w:rPr>
                <w:b/>
                <w:szCs w:val="22"/>
                <w:lang w:val="fr-FR" w:eastAsia="ja-JP"/>
              </w:rPr>
              <w:t>3,5</w:t>
            </w:r>
            <w:r w:rsidRPr="00075DC8">
              <w:rPr>
                <w:szCs w:val="22"/>
                <w:lang w:val="fr-FR" w:eastAsia="ja-JP"/>
              </w:rPr>
              <w:t>,</w:t>
            </w:r>
            <w:r w:rsidRPr="00075DC8">
              <w:rPr>
                <w:b/>
                <w:szCs w:val="22"/>
                <w:lang w:val="fr-FR" w:eastAsia="ja-JP"/>
              </w:rPr>
              <w:t xml:space="preserve"> 7</w:t>
            </w:r>
            <w:r w:rsidRPr="00075DC8">
              <w:rPr>
                <w:szCs w:val="22"/>
                <w:lang w:val="fr-FR" w:eastAsia="ja-JP"/>
              </w:rPr>
              <w:t xml:space="preserve">, </w:t>
            </w:r>
            <w:r w:rsidRPr="00075DC8">
              <w:rPr>
                <w:b/>
                <w:szCs w:val="22"/>
                <w:lang w:val="fr-FR" w:eastAsia="ja-JP"/>
              </w:rPr>
              <w:t>14</w:t>
            </w:r>
            <w:r w:rsidRPr="00075DC8">
              <w:rPr>
                <w:szCs w:val="22"/>
                <w:lang w:val="fr-FR" w:eastAsia="ja-JP"/>
              </w:rPr>
              <w:t xml:space="preserve">, </w:t>
            </w:r>
            <w:r w:rsidRPr="00075DC8">
              <w:rPr>
                <w:b/>
                <w:szCs w:val="22"/>
                <w:lang w:val="fr-FR" w:eastAsia="ja-JP"/>
              </w:rPr>
              <w:t>28</w:t>
            </w:r>
            <w:r w:rsidRPr="00075DC8">
              <w:rPr>
                <w:szCs w:val="22"/>
                <w:lang w:val="fr-FR" w:eastAsia="ja-JP"/>
              </w:rPr>
              <w:t>, 56</w:t>
            </w:r>
          </w:p>
        </w:tc>
        <w:tc>
          <w:tcPr>
            <w:tcW w:w="2410" w:type="dxa"/>
            <w:tcBorders>
              <w:top w:val="single" w:sz="4" w:space="0" w:color="auto"/>
              <w:left w:val="single" w:sz="4" w:space="0" w:color="auto"/>
              <w:bottom w:val="single" w:sz="4" w:space="0" w:color="auto"/>
              <w:right w:val="single" w:sz="4" w:space="0" w:color="auto"/>
            </w:tcBorders>
            <w:hideMark/>
          </w:tcPr>
          <w:p w14:paraId="2E5063B5"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 xml:space="preserve">3,5, 7, </w:t>
            </w:r>
            <w:r w:rsidRPr="00075DC8">
              <w:rPr>
                <w:b/>
                <w:szCs w:val="22"/>
                <w:lang w:val="fr-FR" w:eastAsia="ja-JP"/>
              </w:rPr>
              <w:t>14</w:t>
            </w:r>
            <w:r w:rsidRPr="00075DC8">
              <w:rPr>
                <w:szCs w:val="22"/>
                <w:lang w:val="fr-FR" w:eastAsia="ja-JP"/>
              </w:rPr>
              <w:t>, 28, 56</w:t>
            </w:r>
          </w:p>
        </w:tc>
      </w:tr>
      <w:tr w:rsidR="00725E50" w:rsidRPr="00075DC8" w14:paraId="490CA2C6" w14:textId="77777777" w:rsidTr="00531043">
        <w:trPr>
          <w:jc w:val="center"/>
        </w:trPr>
        <w:tc>
          <w:tcPr>
            <w:tcW w:w="7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13318D" w14:textId="5EFD3509" w:rsidR="00725E50" w:rsidRPr="00075DC8" w:rsidRDefault="00725E50" w:rsidP="00ED4837">
            <w:pPr>
              <w:pStyle w:val="Tabletext"/>
              <w:jc w:val="left"/>
              <w:rPr>
                <w:szCs w:val="22"/>
                <w:lang w:val="fr-FR" w:eastAsia="ja-JP"/>
              </w:rPr>
            </w:pPr>
            <w:r w:rsidRPr="00075DC8">
              <w:rPr>
                <w:szCs w:val="22"/>
                <w:lang w:val="fr-FR" w:eastAsia="ja-JP"/>
              </w:rPr>
              <w:t>Plage maximale des puissances de sortie au niveau de l</w:t>
            </w:r>
            <w:r w:rsidR="001F6A0D" w:rsidRPr="00075DC8">
              <w:rPr>
                <w:szCs w:val="22"/>
                <w:lang w:val="fr-FR" w:eastAsia="ja-JP"/>
              </w:rPr>
              <w:t>'</w:t>
            </w:r>
            <w:r w:rsidRPr="00075DC8">
              <w:rPr>
                <w:szCs w:val="22"/>
                <w:lang w:val="fr-FR" w:eastAsia="ja-JP"/>
              </w:rPr>
              <w:t>émetteur (dBW)</w:t>
            </w:r>
          </w:p>
        </w:tc>
        <w:tc>
          <w:tcPr>
            <w:tcW w:w="2274" w:type="dxa"/>
            <w:tcBorders>
              <w:top w:val="single" w:sz="4" w:space="0" w:color="auto"/>
              <w:left w:val="single" w:sz="4" w:space="0" w:color="auto"/>
              <w:bottom w:val="single" w:sz="4" w:space="0" w:color="auto"/>
              <w:right w:val="single" w:sz="4" w:space="0" w:color="auto"/>
            </w:tcBorders>
            <w:hideMark/>
          </w:tcPr>
          <w:p w14:paraId="4D60F58B"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10</w:t>
            </w:r>
          </w:p>
        </w:tc>
        <w:tc>
          <w:tcPr>
            <w:tcW w:w="2410" w:type="dxa"/>
            <w:tcBorders>
              <w:top w:val="single" w:sz="4" w:space="0" w:color="auto"/>
              <w:left w:val="single" w:sz="4" w:space="0" w:color="auto"/>
              <w:bottom w:val="single" w:sz="4" w:space="0" w:color="auto"/>
              <w:right w:val="single" w:sz="4" w:space="0" w:color="auto"/>
            </w:tcBorders>
            <w:hideMark/>
          </w:tcPr>
          <w:p w14:paraId="1BB8B123"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−20</w:t>
            </w:r>
          </w:p>
        </w:tc>
        <w:tc>
          <w:tcPr>
            <w:tcW w:w="2410" w:type="dxa"/>
            <w:tcBorders>
              <w:top w:val="single" w:sz="4" w:space="0" w:color="auto"/>
              <w:left w:val="single" w:sz="4" w:space="0" w:color="auto"/>
              <w:bottom w:val="single" w:sz="4" w:space="0" w:color="auto"/>
              <w:right w:val="single" w:sz="4" w:space="0" w:color="auto"/>
            </w:tcBorders>
            <w:hideMark/>
          </w:tcPr>
          <w:p w14:paraId="177044D0"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−20</w:t>
            </w:r>
          </w:p>
        </w:tc>
      </w:tr>
      <w:tr w:rsidR="00725E50" w:rsidRPr="00075DC8" w14:paraId="18AA4FB1" w14:textId="77777777" w:rsidTr="00531043">
        <w:trPr>
          <w:jc w:val="center"/>
        </w:trPr>
        <w:tc>
          <w:tcPr>
            <w:tcW w:w="7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CD5D26" w14:textId="1D0E2D13" w:rsidR="00725E50" w:rsidRPr="00075DC8" w:rsidRDefault="00725E50" w:rsidP="00ED4837">
            <w:pPr>
              <w:pStyle w:val="Tabletext"/>
              <w:jc w:val="left"/>
              <w:rPr>
                <w:szCs w:val="22"/>
                <w:lang w:val="fr-FR" w:eastAsia="ja-JP"/>
              </w:rPr>
            </w:pPr>
            <w:r w:rsidRPr="00075DC8">
              <w:rPr>
                <w:szCs w:val="22"/>
                <w:lang w:val="fr-FR" w:eastAsia="ja-JP"/>
              </w:rPr>
              <w:t>Plage maximale des densités de puissance de sortie au niveau de l</w:t>
            </w:r>
            <w:r w:rsidR="001F6A0D" w:rsidRPr="00075DC8">
              <w:rPr>
                <w:szCs w:val="22"/>
                <w:lang w:val="fr-FR" w:eastAsia="ja-JP"/>
              </w:rPr>
              <w:t>'</w:t>
            </w:r>
            <w:r w:rsidRPr="00075DC8">
              <w:rPr>
                <w:szCs w:val="22"/>
                <w:lang w:val="fr-FR" w:eastAsia="ja-JP"/>
              </w:rPr>
              <w:t>émetteur (dBW/MHz)</w:t>
            </w:r>
            <w:r w:rsidRPr="00075DC8">
              <w:rPr>
                <w:szCs w:val="22"/>
                <w:vertAlign w:val="superscript"/>
                <w:lang w:val="fr-FR" w:eastAsia="ja-JP"/>
              </w:rPr>
              <w:t>(1)</w:t>
            </w:r>
          </w:p>
        </w:tc>
        <w:tc>
          <w:tcPr>
            <w:tcW w:w="2274" w:type="dxa"/>
            <w:tcBorders>
              <w:top w:val="single" w:sz="4" w:space="0" w:color="auto"/>
              <w:left w:val="single" w:sz="4" w:space="0" w:color="auto"/>
              <w:bottom w:val="single" w:sz="4" w:space="0" w:color="auto"/>
              <w:right w:val="single" w:sz="4" w:space="0" w:color="auto"/>
            </w:tcBorders>
            <w:hideMark/>
          </w:tcPr>
          <w:p w14:paraId="557B3EC3"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−4,5…4,6</w:t>
            </w:r>
          </w:p>
        </w:tc>
        <w:tc>
          <w:tcPr>
            <w:tcW w:w="2410" w:type="dxa"/>
            <w:tcBorders>
              <w:top w:val="single" w:sz="4" w:space="0" w:color="auto"/>
              <w:left w:val="single" w:sz="4" w:space="0" w:color="auto"/>
              <w:bottom w:val="single" w:sz="4" w:space="0" w:color="auto"/>
              <w:right w:val="single" w:sz="4" w:space="0" w:color="auto"/>
            </w:tcBorders>
            <w:hideMark/>
          </w:tcPr>
          <w:p w14:paraId="7423B560"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−34...−25</w:t>
            </w:r>
          </w:p>
        </w:tc>
        <w:tc>
          <w:tcPr>
            <w:tcW w:w="2410" w:type="dxa"/>
            <w:tcBorders>
              <w:top w:val="single" w:sz="4" w:space="0" w:color="auto"/>
              <w:left w:val="single" w:sz="4" w:space="0" w:color="auto"/>
              <w:bottom w:val="single" w:sz="4" w:space="0" w:color="auto"/>
              <w:right w:val="single" w:sz="4" w:space="0" w:color="auto"/>
            </w:tcBorders>
            <w:hideMark/>
          </w:tcPr>
          <w:p w14:paraId="18F20B5B"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−31</w:t>
            </w:r>
          </w:p>
        </w:tc>
      </w:tr>
      <w:tr w:rsidR="00725E50" w:rsidRPr="00075DC8" w14:paraId="26D35E23" w14:textId="77777777" w:rsidTr="00531043">
        <w:trPr>
          <w:jc w:val="center"/>
        </w:trPr>
        <w:tc>
          <w:tcPr>
            <w:tcW w:w="7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8C00487" w14:textId="1D363A1F" w:rsidR="00725E50" w:rsidRPr="00075DC8" w:rsidRDefault="00725E50" w:rsidP="00ED4837">
            <w:pPr>
              <w:pStyle w:val="Tabletext"/>
              <w:jc w:val="left"/>
              <w:rPr>
                <w:szCs w:val="22"/>
                <w:lang w:val="fr-FR" w:eastAsia="ja-JP"/>
              </w:rPr>
            </w:pPr>
            <w:r w:rsidRPr="00075DC8">
              <w:rPr>
                <w:szCs w:val="22"/>
                <w:lang w:val="fr-FR" w:eastAsia="ja-JP"/>
              </w:rPr>
              <w:t>Plage minimale des pertes dues à la ligne d</w:t>
            </w:r>
            <w:r w:rsidR="001F6A0D" w:rsidRPr="00075DC8">
              <w:rPr>
                <w:szCs w:val="22"/>
                <w:lang w:val="fr-FR" w:eastAsia="ja-JP"/>
              </w:rPr>
              <w:t>'</w:t>
            </w:r>
            <w:r w:rsidRPr="00075DC8">
              <w:rPr>
                <w:szCs w:val="22"/>
                <w:lang w:val="fr-FR" w:eastAsia="ja-JP"/>
              </w:rPr>
              <w:t>alimentation ou au multiplexeur (dB)</w:t>
            </w:r>
          </w:p>
        </w:tc>
        <w:tc>
          <w:tcPr>
            <w:tcW w:w="2274" w:type="dxa"/>
            <w:tcBorders>
              <w:top w:val="single" w:sz="4" w:space="0" w:color="auto"/>
              <w:left w:val="single" w:sz="4" w:space="0" w:color="auto"/>
              <w:bottom w:val="single" w:sz="4" w:space="0" w:color="auto"/>
              <w:right w:val="single" w:sz="4" w:space="0" w:color="auto"/>
            </w:tcBorders>
            <w:hideMark/>
          </w:tcPr>
          <w:p w14:paraId="597A96F8"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0</w:t>
            </w:r>
          </w:p>
        </w:tc>
        <w:tc>
          <w:tcPr>
            <w:tcW w:w="2410" w:type="dxa"/>
            <w:tcBorders>
              <w:top w:val="single" w:sz="4" w:space="0" w:color="auto"/>
              <w:left w:val="single" w:sz="4" w:space="0" w:color="auto"/>
              <w:bottom w:val="single" w:sz="4" w:space="0" w:color="auto"/>
              <w:right w:val="single" w:sz="4" w:space="0" w:color="auto"/>
            </w:tcBorders>
            <w:hideMark/>
          </w:tcPr>
          <w:p w14:paraId="4EFE7F76"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0</w:t>
            </w:r>
          </w:p>
        </w:tc>
        <w:tc>
          <w:tcPr>
            <w:tcW w:w="2410" w:type="dxa"/>
            <w:tcBorders>
              <w:top w:val="single" w:sz="4" w:space="0" w:color="auto"/>
              <w:left w:val="single" w:sz="4" w:space="0" w:color="auto"/>
              <w:bottom w:val="single" w:sz="4" w:space="0" w:color="auto"/>
              <w:right w:val="single" w:sz="4" w:space="0" w:color="auto"/>
            </w:tcBorders>
            <w:hideMark/>
          </w:tcPr>
          <w:p w14:paraId="146CA3C4"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0</w:t>
            </w:r>
          </w:p>
        </w:tc>
      </w:tr>
      <w:tr w:rsidR="00725E50" w:rsidRPr="00075DC8" w14:paraId="70644C8C" w14:textId="77777777" w:rsidTr="00531043">
        <w:trPr>
          <w:jc w:val="center"/>
        </w:trPr>
        <w:tc>
          <w:tcPr>
            <w:tcW w:w="7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CF2694" w14:textId="458C1C8F" w:rsidR="00725E50" w:rsidRPr="00075DC8" w:rsidRDefault="00725E50" w:rsidP="00ED4837">
            <w:pPr>
              <w:pStyle w:val="Tabletext"/>
              <w:jc w:val="left"/>
              <w:rPr>
                <w:szCs w:val="22"/>
                <w:lang w:val="fr-FR" w:eastAsia="ja-JP"/>
              </w:rPr>
            </w:pPr>
            <w:r w:rsidRPr="00075DC8">
              <w:rPr>
                <w:szCs w:val="22"/>
                <w:lang w:val="fr-FR" w:eastAsia="ja-JP"/>
              </w:rPr>
              <w:t>Plage maximale des gains d</w:t>
            </w:r>
            <w:r w:rsidR="001F6A0D" w:rsidRPr="00075DC8">
              <w:rPr>
                <w:szCs w:val="22"/>
                <w:lang w:val="fr-FR" w:eastAsia="ja-JP"/>
              </w:rPr>
              <w:t>'</w:t>
            </w:r>
            <w:r w:rsidRPr="00075DC8">
              <w:rPr>
                <w:szCs w:val="22"/>
                <w:lang w:val="fr-FR" w:eastAsia="ja-JP"/>
              </w:rPr>
              <w:t>antenne (dBi)</w:t>
            </w:r>
          </w:p>
        </w:tc>
        <w:tc>
          <w:tcPr>
            <w:tcW w:w="2274" w:type="dxa"/>
            <w:tcBorders>
              <w:top w:val="single" w:sz="4" w:space="0" w:color="auto"/>
              <w:left w:val="single" w:sz="4" w:space="0" w:color="auto"/>
              <w:bottom w:val="single" w:sz="4" w:space="0" w:color="auto"/>
              <w:right w:val="single" w:sz="4" w:space="0" w:color="auto"/>
            </w:tcBorders>
            <w:hideMark/>
          </w:tcPr>
          <w:p w14:paraId="4707C8A4"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49</w:t>
            </w:r>
          </w:p>
        </w:tc>
        <w:tc>
          <w:tcPr>
            <w:tcW w:w="2410" w:type="dxa"/>
            <w:tcBorders>
              <w:top w:val="single" w:sz="4" w:space="0" w:color="auto"/>
              <w:left w:val="single" w:sz="4" w:space="0" w:color="auto"/>
              <w:bottom w:val="single" w:sz="4" w:space="0" w:color="auto"/>
              <w:right w:val="single" w:sz="4" w:space="0" w:color="auto"/>
            </w:tcBorders>
            <w:hideMark/>
          </w:tcPr>
          <w:p w14:paraId="10A9235B"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50</w:t>
            </w:r>
          </w:p>
        </w:tc>
        <w:tc>
          <w:tcPr>
            <w:tcW w:w="2410" w:type="dxa"/>
            <w:tcBorders>
              <w:top w:val="single" w:sz="4" w:space="0" w:color="auto"/>
              <w:left w:val="single" w:sz="4" w:space="0" w:color="auto"/>
              <w:bottom w:val="single" w:sz="4" w:space="0" w:color="auto"/>
              <w:right w:val="single" w:sz="4" w:space="0" w:color="auto"/>
            </w:tcBorders>
            <w:hideMark/>
          </w:tcPr>
          <w:p w14:paraId="43BE237D"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50</w:t>
            </w:r>
          </w:p>
        </w:tc>
      </w:tr>
      <w:tr w:rsidR="00531043" w:rsidRPr="00075DC8" w14:paraId="6403918C" w14:textId="77777777" w:rsidTr="00531043">
        <w:trPr>
          <w:jc w:val="center"/>
        </w:trPr>
        <w:tc>
          <w:tcPr>
            <w:tcW w:w="14460" w:type="dxa"/>
            <w:gridSpan w:val="4"/>
            <w:tcBorders>
              <w:top w:val="nil"/>
              <w:left w:val="nil"/>
              <w:bottom w:val="single" w:sz="4" w:space="0" w:color="auto"/>
              <w:right w:val="nil"/>
            </w:tcBorders>
            <w:tcMar>
              <w:top w:w="0" w:type="dxa"/>
              <w:left w:w="57" w:type="dxa"/>
              <w:bottom w:w="0" w:type="dxa"/>
              <w:right w:w="57" w:type="dxa"/>
            </w:tcMar>
            <w:vAlign w:val="center"/>
          </w:tcPr>
          <w:p w14:paraId="19C2DF77" w14:textId="31065FC3" w:rsidR="00531043" w:rsidRPr="00075DC8" w:rsidRDefault="00531043" w:rsidP="00531043">
            <w:pPr>
              <w:pStyle w:val="TableNo"/>
              <w:rPr>
                <w:lang w:val="fr-FR" w:eastAsia="ja-JP"/>
              </w:rPr>
            </w:pPr>
            <w:r w:rsidRPr="00075DC8">
              <w:rPr>
                <w:lang w:val="fr-FR" w:eastAsia="ja-JP"/>
              </w:rPr>
              <w:lastRenderedPageBreak/>
              <w:t>TABLEAU 19</w:t>
            </w:r>
            <w:r w:rsidRPr="00075DC8">
              <w:rPr>
                <w:vertAlign w:val="superscript"/>
                <w:lang w:val="fr-FR" w:eastAsia="ja-JP"/>
              </w:rPr>
              <w:t xml:space="preserve">(*) </w:t>
            </w:r>
            <w:r w:rsidRPr="00075DC8">
              <w:rPr>
                <w:lang w:val="fr-FR"/>
              </w:rPr>
              <w:t>(</w:t>
            </w:r>
            <w:r w:rsidRPr="00075DC8">
              <w:rPr>
                <w:i/>
                <w:iCs/>
                <w:lang w:val="fr-FR"/>
              </w:rPr>
              <w:t>fin</w:t>
            </w:r>
            <w:r w:rsidRPr="00075DC8">
              <w:rPr>
                <w:lang w:val="fr-FR"/>
              </w:rPr>
              <w:t>)</w:t>
            </w:r>
          </w:p>
        </w:tc>
      </w:tr>
      <w:tr w:rsidR="00531043" w:rsidRPr="00075DC8" w14:paraId="288A04BD" w14:textId="77777777" w:rsidTr="00531043">
        <w:trPr>
          <w:jc w:val="center"/>
        </w:trPr>
        <w:tc>
          <w:tcPr>
            <w:tcW w:w="7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7D411D" w14:textId="77777777" w:rsidR="00531043" w:rsidRPr="00075DC8" w:rsidRDefault="00531043" w:rsidP="00ED4837">
            <w:pPr>
              <w:pStyle w:val="Tablehead"/>
              <w:keepLines/>
              <w:rPr>
                <w:szCs w:val="22"/>
                <w:lang w:val="fr-FR" w:eastAsia="ja-JP"/>
              </w:rPr>
            </w:pPr>
            <w:r w:rsidRPr="00075DC8">
              <w:rPr>
                <w:szCs w:val="22"/>
                <w:lang w:val="fr-FR" w:eastAsia="ja-JP"/>
              </w:rPr>
              <w:t>Gamme de fréquences</w:t>
            </w:r>
            <w:r w:rsidRPr="00075DC8">
              <w:rPr>
                <w:szCs w:val="22"/>
                <w:lang w:val="fr-FR" w:eastAsia="ja-JP"/>
              </w:rPr>
              <w:br/>
              <w:t>(GHz)</w:t>
            </w:r>
          </w:p>
        </w:tc>
        <w:tc>
          <w:tcPr>
            <w:tcW w:w="2274" w:type="dxa"/>
            <w:tcBorders>
              <w:top w:val="single" w:sz="4" w:space="0" w:color="auto"/>
              <w:left w:val="single" w:sz="4" w:space="0" w:color="auto"/>
              <w:bottom w:val="single" w:sz="4" w:space="0" w:color="auto"/>
              <w:right w:val="single" w:sz="4" w:space="0" w:color="auto"/>
            </w:tcBorders>
            <w:vAlign w:val="center"/>
            <w:hideMark/>
          </w:tcPr>
          <w:p w14:paraId="0F37E57B" w14:textId="77777777" w:rsidR="00531043" w:rsidRPr="00075DC8" w:rsidRDefault="00531043" w:rsidP="00ED4837">
            <w:pPr>
              <w:pStyle w:val="Tablehead"/>
              <w:keepLines/>
              <w:rPr>
                <w:szCs w:val="22"/>
                <w:lang w:val="fr-FR" w:eastAsia="ja-JP"/>
              </w:rPr>
            </w:pPr>
            <w:r w:rsidRPr="00075DC8">
              <w:rPr>
                <w:szCs w:val="22"/>
                <w:lang w:val="fr-FR" w:eastAsia="ja-JP"/>
              </w:rPr>
              <w:t>12,75-13,25</w:t>
            </w:r>
          </w:p>
        </w:tc>
        <w:tc>
          <w:tcPr>
            <w:tcW w:w="4820" w:type="dxa"/>
            <w:gridSpan w:val="2"/>
            <w:tcBorders>
              <w:top w:val="single" w:sz="4" w:space="0" w:color="auto"/>
              <w:left w:val="single" w:sz="4" w:space="0" w:color="auto"/>
              <w:bottom w:val="single" w:sz="4" w:space="0" w:color="auto"/>
              <w:right w:val="single" w:sz="4" w:space="0" w:color="auto"/>
            </w:tcBorders>
            <w:vAlign w:val="center"/>
            <w:hideMark/>
          </w:tcPr>
          <w:p w14:paraId="6E6B618B" w14:textId="77777777" w:rsidR="00531043" w:rsidRPr="00075DC8" w:rsidRDefault="00531043" w:rsidP="00ED4837">
            <w:pPr>
              <w:pStyle w:val="Tablehead"/>
              <w:keepLines/>
              <w:rPr>
                <w:szCs w:val="22"/>
                <w:lang w:val="fr-FR" w:eastAsia="ja-JP"/>
              </w:rPr>
            </w:pPr>
            <w:r w:rsidRPr="00075DC8">
              <w:rPr>
                <w:szCs w:val="22"/>
                <w:lang w:val="fr-FR" w:eastAsia="ja-JP"/>
              </w:rPr>
              <w:t>51,4-52,6</w:t>
            </w:r>
          </w:p>
        </w:tc>
      </w:tr>
      <w:tr w:rsidR="00531043" w:rsidRPr="00075DC8" w14:paraId="29F2DC68" w14:textId="77777777" w:rsidTr="00531043">
        <w:trPr>
          <w:jc w:val="center"/>
        </w:trPr>
        <w:tc>
          <w:tcPr>
            <w:tcW w:w="7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E48839" w14:textId="77777777" w:rsidR="00531043" w:rsidRPr="00075DC8" w:rsidRDefault="00531043" w:rsidP="00ED4837">
            <w:pPr>
              <w:pStyle w:val="Tabletext"/>
              <w:jc w:val="left"/>
              <w:rPr>
                <w:szCs w:val="22"/>
                <w:lang w:val="fr-FR" w:eastAsia="ja-JP"/>
              </w:rPr>
            </w:pPr>
            <w:r w:rsidRPr="00075DC8">
              <w:rPr>
                <w:szCs w:val="22"/>
                <w:lang w:val="fr-FR" w:eastAsia="ja-JP"/>
              </w:rPr>
              <w:t xml:space="preserve">Recommandation UIT-R de référence </w:t>
            </w:r>
          </w:p>
        </w:tc>
        <w:tc>
          <w:tcPr>
            <w:tcW w:w="2274" w:type="dxa"/>
            <w:tcBorders>
              <w:top w:val="single" w:sz="4" w:space="0" w:color="auto"/>
              <w:left w:val="single" w:sz="4" w:space="0" w:color="auto"/>
              <w:bottom w:val="single" w:sz="4" w:space="0" w:color="auto"/>
              <w:right w:val="single" w:sz="4" w:space="0" w:color="auto"/>
            </w:tcBorders>
            <w:hideMark/>
          </w:tcPr>
          <w:p w14:paraId="474ACA13" w14:textId="77777777" w:rsidR="00531043" w:rsidRPr="00075DC8" w:rsidRDefault="00531043" w:rsidP="00ED4837">
            <w:pPr>
              <w:pStyle w:val="Tabletext"/>
              <w:keepNext/>
              <w:keepLines/>
              <w:jc w:val="center"/>
              <w:rPr>
                <w:szCs w:val="22"/>
                <w:lang w:val="fr-FR" w:eastAsia="ja-JP"/>
              </w:rPr>
            </w:pPr>
            <w:r w:rsidRPr="00075DC8">
              <w:rPr>
                <w:szCs w:val="22"/>
                <w:lang w:val="fr-FR" w:eastAsia="ja-JP"/>
              </w:rPr>
              <w:t>F.497</w:t>
            </w:r>
          </w:p>
        </w:tc>
        <w:tc>
          <w:tcPr>
            <w:tcW w:w="4820" w:type="dxa"/>
            <w:gridSpan w:val="2"/>
            <w:tcBorders>
              <w:top w:val="single" w:sz="4" w:space="0" w:color="auto"/>
              <w:left w:val="single" w:sz="4" w:space="0" w:color="auto"/>
              <w:bottom w:val="single" w:sz="4" w:space="0" w:color="auto"/>
              <w:right w:val="single" w:sz="4" w:space="0" w:color="auto"/>
            </w:tcBorders>
            <w:hideMark/>
          </w:tcPr>
          <w:p w14:paraId="1B370CCD" w14:textId="77777777" w:rsidR="00531043" w:rsidRPr="00075DC8" w:rsidRDefault="00531043" w:rsidP="00ED4837">
            <w:pPr>
              <w:pStyle w:val="Tabletext"/>
              <w:keepNext/>
              <w:keepLines/>
              <w:jc w:val="center"/>
              <w:rPr>
                <w:szCs w:val="22"/>
                <w:lang w:val="fr-FR" w:eastAsia="ja-JP"/>
              </w:rPr>
            </w:pPr>
            <w:r w:rsidRPr="00075DC8">
              <w:rPr>
                <w:szCs w:val="22"/>
                <w:lang w:val="fr-FR" w:eastAsia="ja-JP"/>
              </w:rPr>
              <w:t>F.1496</w:t>
            </w:r>
          </w:p>
        </w:tc>
      </w:tr>
      <w:tr w:rsidR="00725E50" w:rsidRPr="00075DC8" w14:paraId="4DECF807" w14:textId="77777777" w:rsidTr="00531043">
        <w:trPr>
          <w:jc w:val="center"/>
        </w:trPr>
        <w:tc>
          <w:tcPr>
            <w:tcW w:w="7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D98467" w14:textId="56CA54DF" w:rsidR="00725E50" w:rsidRPr="00075DC8" w:rsidRDefault="00725E50" w:rsidP="00ED4837">
            <w:pPr>
              <w:pStyle w:val="Tabletext"/>
              <w:jc w:val="left"/>
              <w:rPr>
                <w:szCs w:val="22"/>
                <w:lang w:val="fr-FR" w:eastAsia="ja-JP"/>
              </w:rPr>
            </w:pPr>
            <w:r w:rsidRPr="00075DC8">
              <w:rPr>
                <w:szCs w:val="22"/>
                <w:lang w:val="fr-FR" w:eastAsia="ja-JP"/>
              </w:rPr>
              <w:t>Plage maximale des p.i.r.e. (dBW)</w:t>
            </w:r>
            <w:r w:rsidRPr="00075DC8">
              <w:rPr>
                <w:szCs w:val="22"/>
                <w:vertAlign w:val="superscript"/>
                <w:lang w:val="fr-FR" w:eastAsia="ja-JP"/>
              </w:rPr>
              <w:t xml:space="preserve"> </w:t>
            </w:r>
          </w:p>
        </w:tc>
        <w:tc>
          <w:tcPr>
            <w:tcW w:w="2274" w:type="dxa"/>
            <w:tcBorders>
              <w:top w:val="single" w:sz="4" w:space="0" w:color="auto"/>
              <w:left w:val="single" w:sz="4" w:space="0" w:color="auto"/>
              <w:bottom w:val="single" w:sz="4" w:space="0" w:color="auto"/>
              <w:right w:val="single" w:sz="4" w:space="0" w:color="auto"/>
            </w:tcBorders>
            <w:hideMark/>
          </w:tcPr>
          <w:p w14:paraId="7DB952D5"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45</w:t>
            </w:r>
          </w:p>
        </w:tc>
        <w:tc>
          <w:tcPr>
            <w:tcW w:w="2410" w:type="dxa"/>
            <w:tcBorders>
              <w:top w:val="single" w:sz="4" w:space="0" w:color="auto"/>
              <w:left w:val="single" w:sz="4" w:space="0" w:color="auto"/>
              <w:bottom w:val="single" w:sz="4" w:space="0" w:color="auto"/>
              <w:right w:val="single" w:sz="4" w:space="0" w:color="auto"/>
            </w:tcBorders>
            <w:hideMark/>
          </w:tcPr>
          <w:p w14:paraId="49ABB967"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30</w:t>
            </w:r>
          </w:p>
        </w:tc>
        <w:tc>
          <w:tcPr>
            <w:tcW w:w="2410" w:type="dxa"/>
            <w:tcBorders>
              <w:top w:val="single" w:sz="4" w:space="0" w:color="auto"/>
              <w:left w:val="single" w:sz="4" w:space="0" w:color="auto"/>
              <w:bottom w:val="single" w:sz="4" w:space="0" w:color="auto"/>
              <w:right w:val="single" w:sz="4" w:space="0" w:color="auto"/>
            </w:tcBorders>
            <w:hideMark/>
          </w:tcPr>
          <w:p w14:paraId="5BF4805B"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30</w:t>
            </w:r>
          </w:p>
        </w:tc>
      </w:tr>
      <w:tr w:rsidR="00725E50" w:rsidRPr="00075DC8" w14:paraId="73D80103" w14:textId="77777777" w:rsidTr="00531043">
        <w:trPr>
          <w:jc w:val="center"/>
        </w:trPr>
        <w:tc>
          <w:tcPr>
            <w:tcW w:w="7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6F3FDA3" w14:textId="77777777" w:rsidR="00725E50" w:rsidRPr="00075DC8" w:rsidRDefault="00725E50" w:rsidP="00ED4837">
            <w:pPr>
              <w:pStyle w:val="Tabletext"/>
              <w:jc w:val="left"/>
              <w:rPr>
                <w:szCs w:val="22"/>
                <w:lang w:val="fr-FR" w:eastAsia="ja-JP"/>
              </w:rPr>
            </w:pPr>
            <w:r w:rsidRPr="00075DC8">
              <w:rPr>
                <w:szCs w:val="22"/>
                <w:lang w:val="fr-FR" w:eastAsia="ja-JP"/>
              </w:rPr>
              <w:t>Plage maximale des densités de p.i.r.e. (dBW/MHz)</w:t>
            </w:r>
            <w:r w:rsidRPr="00075DC8">
              <w:rPr>
                <w:szCs w:val="22"/>
                <w:vertAlign w:val="superscript"/>
                <w:lang w:val="fr-FR" w:eastAsia="ja-JP"/>
              </w:rPr>
              <w:t>(1)</w:t>
            </w:r>
          </w:p>
        </w:tc>
        <w:tc>
          <w:tcPr>
            <w:tcW w:w="2274" w:type="dxa"/>
            <w:tcBorders>
              <w:top w:val="single" w:sz="4" w:space="0" w:color="auto"/>
              <w:left w:val="single" w:sz="4" w:space="0" w:color="auto"/>
              <w:bottom w:val="single" w:sz="4" w:space="0" w:color="auto"/>
              <w:right w:val="single" w:sz="4" w:space="0" w:color="auto"/>
            </w:tcBorders>
            <w:hideMark/>
          </w:tcPr>
          <w:p w14:paraId="29560892"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31…40</w:t>
            </w:r>
          </w:p>
        </w:tc>
        <w:tc>
          <w:tcPr>
            <w:tcW w:w="2410" w:type="dxa"/>
            <w:tcBorders>
              <w:top w:val="single" w:sz="4" w:space="0" w:color="auto"/>
              <w:left w:val="single" w:sz="4" w:space="0" w:color="auto"/>
              <w:bottom w:val="single" w:sz="4" w:space="0" w:color="auto"/>
              <w:right w:val="single" w:sz="4" w:space="0" w:color="auto"/>
            </w:tcBorders>
            <w:hideMark/>
          </w:tcPr>
          <w:p w14:paraId="64937EE9"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16...25</w:t>
            </w:r>
          </w:p>
        </w:tc>
        <w:tc>
          <w:tcPr>
            <w:tcW w:w="2410" w:type="dxa"/>
            <w:tcBorders>
              <w:top w:val="single" w:sz="4" w:space="0" w:color="auto"/>
              <w:left w:val="single" w:sz="4" w:space="0" w:color="auto"/>
              <w:bottom w:val="single" w:sz="4" w:space="0" w:color="auto"/>
              <w:right w:val="single" w:sz="4" w:space="0" w:color="auto"/>
            </w:tcBorders>
            <w:hideMark/>
          </w:tcPr>
          <w:p w14:paraId="0978A17D"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19</w:t>
            </w:r>
          </w:p>
        </w:tc>
      </w:tr>
      <w:tr w:rsidR="00725E50" w:rsidRPr="00075DC8" w14:paraId="656BBDD9" w14:textId="77777777" w:rsidTr="00531043">
        <w:trPr>
          <w:jc w:val="center"/>
        </w:trPr>
        <w:tc>
          <w:tcPr>
            <w:tcW w:w="7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ABD0AB" w14:textId="77777777" w:rsidR="00725E50" w:rsidRPr="00075DC8" w:rsidRDefault="00725E50" w:rsidP="00ED4837">
            <w:pPr>
              <w:pStyle w:val="Tabletext"/>
              <w:jc w:val="left"/>
              <w:rPr>
                <w:szCs w:val="22"/>
                <w:lang w:val="fr-FR" w:eastAsia="ja-JP"/>
              </w:rPr>
            </w:pPr>
            <w:r w:rsidRPr="00075DC8">
              <w:rPr>
                <w:szCs w:val="22"/>
                <w:lang w:val="fr-FR" w:eastAsia="ja-JP"/>
              </w:rPr>
              <w:t xml:space="preserve">Facteur de bruit du récepteur (dB) </w:t>
            </w:r>
          </w:p>
        </w:tc>
        <w:tc>
          <w:tcPr>
            <w:tcW w:w="2274" w:type="dxa"/>
            <w:tcBorders>
              <w:top w:val="single" w:sz="4" w:space="0" w:color="auto"/>
              <w:left w:val="single" w:sz="4" w:space="0" w:color="auto"/>
              <w:bottom w:val="single" w:sz="4" w:space="0" w:color="auto"/>
              <w:right w:val="single" w:sz="4" w:space="0" w:color="auto"/>
            </w:tcBorders>
            <w:hideMark/>
          </w:tcPr>
          <w:p w14:paraId="1A70FE46"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10</w:t>
            </w:r>
          </w:p>
        </w:tc>
        <w:tc>
          <w:tcPr>
            <w:tcW w:w="2410" w:type="dxa"/>
            <w:tcBorders>
              <w:top w:val="single" w:sz="4" w:space="0" w:color="auto"/>
              <w:left w:val="single" w:sz="4" w:space="0" w:color="auto"/>
              <w:bottom w:val="single" w:sz="4" w:space="0" w:color="auto"/>
              <w:right w:val="single" w:sz="4" w:space="0" w:color="auto"/>
            </w:tcBorders>
            <w:hideMark/>
          </w:tcPr>
          <w:p w14:paraId="7BD78836"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11</w:t>
            </w:r>
          </w:p>
        </w:tc>
        <w:tc>
          <w:tcPr>
            <w:tcW w:w="2410" w:type="dxa"/>
            <w:tcBorders>
              <w:top w:val="single" w:sz="4" w:space="0" w:color="auto"/>
              <w:left w:val="single" w:sz="4" w:space="0" w:color="auto"/>
              <w:bottom w:val="single" w:sz="4" w:space="0" w:color="auto"/>
              <w:right w:val="single" w:sz="4" w:space="0" w:color="auto"/>
            </w:tcBorders>
            <w:hideMark/>
          </w:tcPr>
          <w:p w14:paraId="16917615"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7</w:t>
            </w:r>
          </w:p>
        </w:tc>
      </w:tr>
      <w:tr w:rsidR="00725E50" w:rsidRPr="00075DC8" w14:paraId="0E203C79" w14:textId="77777777" w:rsidTr="00531043">
        <w:trPr>
          <w:jc w:val="center"/>
        </w:trPr>
        <w:tc>
          <w:tcPr>
            <w:tcW w:w="7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5F0CD7" w14:textId="77777777" w:rsidR="00725E50" w:rsidRPr="00075DC8" w:rsidRDefault="00725E50" w:rsidP="00ED4837">
            <w:pPr>
              <w:pStyle w:val="Tabletext"/>
              <w:jc w:val="left"/>
              <w:rPr>
                <w:szCs w:val="22"/>
                <w:lang w:val="fr-FR" w:eastAsia="ja-JP"/>
              </w:rPr>
            </w:pPr>
            <w:r w:rsidRPr="00075DC8">
              <w:rPr>
                <w:szCs w:val="22"/>
                <w:lang w:val="fr-FR" w:eastAsia="ja-JP"/>
              </w:rPr>
              <w:t>Densité type de puissance de bruit du récepteur (=</w:t>
            </w:r>
            <w:r w:rsidRPr="00075DC8">
              <w:rPr>
                <w:i/>
                <w:iCs/>
                <w:szCs w:val="22"/>
                <w:lang w:val="fr-FR" w:eastAsia="ja-JP"/>
              </w:rPr>
              <w:t>N</w:t>
            </w:r>
            <w:r w:rsidRPr="00075DC8">
              <w:rPr>
                <w:i/>
                <w:iCs/>
                <w:szCs w:val="22"/>
                <w:vertAlign w:val="subscript"/>
                <w:lang w:val="fr-FR" w:eastAsia="ja-JP"/>
              </w:rPr>
              <w:t>RX</w:t>
            </w:r>
            <w:r w:rsidRPr="00075DC8">
              <w:rPr>
                <w:szCs w:val="22"/>
                <w:lang w:val="fr-FR" w:eastAsia="ja-JP"/>
              </w:rPr>
              <w:t>) (dBW/MHz)</w:t>
            </w:r>
          </w:p>
        </w:tc>
        <w:tc>
          <w:tcPr>
            <w:tcW w:w="2274" w:type="dxa"/>
            <w:tcBorders>
              <w:top w:val="single" w:sz="4" w:space="0" w:color="auto"/>
              <w:left w:val="single" w:sz="4" w:space="0" w:color="auto"/>
              <w:bottom w:val="single" w:sz="4" w:space="0" w:color="auto"/>
              <w:right w:val="single" w:sz="4" w:space="0" w:color="auto"/>
            </w:tcBorders>
            <w:hideMark/>
          </w:tcPr>
          <w:p w14:paraId="667C7A3B"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−134</w:t>
            </w:r>
          </w:p>
        </w:tc>
        <w:tc>
          <w:tcPr>
            <w:tcW w:w="2410" w:type="dxa"/>
            <w:tcBorders>
              <w:top w:val="single" w:sz="4" w:space="0" w:color="auto"/>
              <w:left w:val="single" w:sz="4" w:space="0" w:color="auto"/>
              <w:bottom w:val="single" w:sz="4" w:space="0" w:color="auto"/>
              <w:right w:val="single" w:sz="4" w:space="0" w:color="auto"/>
            </w:tcBorders>
            <w:hideMark/>
          </w:tcPr>
          <w:p w14:paraId="506A1973"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−133</w:t>
            </w:r>
          </w:p>
        </w:tc>
        <w:tc>
          <w:tcPr>
            <w:tcW w:w="2410" w:type="dxa"/>
            <w:tcBorders>
              <w:top w:val="single" w:sz="4" w:space="0" w:color="auto"/>
              <w:left w:val="single" w:sz="4" w:space="0" w:color="auto"/>
              <w:bottom w:val="single" w:sz="4" w:space="0" w:color="auto"/>
              <w:right w:val="single" w:sz="4" w:space="0" w:color="auto"/>
            </w:tcBorders>
            <w:hideMark/>
          </w:tcPr>
          <w:p w14:paraId="115F3FD3"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−137</w:t>
            </w:r>
          </w:p>
        </w:tc>
      </w:tr>
      <w:tr w:rsidR="00725E50" w:rsidRPr="00075DC8" w14:paraId="4CC4FD63" w14:textId="77777777" w:rsidTr="00531043">
        <w:trPr>
          <w:jc w:val="center"/>
        </w:trPr>
        <w:tc>
          <w:tcPr>
            <w:tcW w:w="7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5BCB7FD" w14:textId="7E832AC8" w:rsidR="00725E50" w:rsidRPr="00075DC8" w:rsidRDefault="00725E50" w:rsidP="00ED4837">
            <w:pPr>
              <w:pStyle w:val="Tabletext"/>
              <w:jc w:val="left"/>
              <w:rPr>
                <w:szCs w:val="22"/>
                <w:lang w:val="fr-FR" w:eastAsia="ja-JP"/>
              </w:rPr>
            </w:pPr>
            <w:r w:rsidRPr="00075DC8">
              <w:rPr>
                <w:szCs w:val="22"/>
                <w:lang w:val="fr-FR" w:eastAsia="ja-JP"/>
              </w:rPr>
              <w:t>Niveau normalisé à l</w:t>
            </w:r>
            <w:r w:rsidR="001F6A0D" w:rsidRPr="00075DC8">
              <w:rPr>
                <w:szCs w:val="22"/>
                <w:lang w:val="fr-FR" w:eastAsia="ja-JP"/>
              </w:rPr>
              <w:t>'</w:t>
            </w:r>
            <w:r w:rsidRPr="00075DC8">
              <w:rPr>
                <w:szCs w:val="22"/>
                <w:lang w:val="fr-FR" w:eastAsia="ja-JP"/>
              </w:rPr>
              <w:t>entrée du récepteur pour un taux BER de 1 × 10</w:t>
            </w:r>
            <w:r w:rsidR="003567D8" w:rsidRPr="00075DC8">
              <w:rPr>
                <w:szCs w:val="22"/>
                <w:vertAlign w:val="superscript"/>
                <w:lang w:val="fr-FR" w:eastAsia="ja-JP"/>
              </w:rPr>
              <w:t>−</w:t>
            </w:r>
            <w:r w:rsidRPr="00075DC8">
              <w:rPr>
                <w:szCs w:val="22"/>
                <w:vertAlign w:val="superscript"/>
                <w:lang w:val="fr-FR" w:eastAsia="ja-JP"/>
              </w:rPr>
              <w:t>6</w:t>
            </w:r>
            <w:r w:rsidRPr="00075DC8">
              <w:rPr>
                <w:szCs w:val="22"/>
                <w:lang w:val="fr-FR" w:eastAsia="ja-JP"/>
              </w:rPr>
              <w:t xml:space="preserve"> (dBW/MHz) </w:t>
            </w:r>
          </w:p>
        </w:tc>
        <w:tc>
          <w:tcPr>
            <w:tcW w:w="2274" w:type="dxa"/>
            <w:tcBorders>
              <w:top w:val="single" w:sz="4" w:space="0" w:color="auto"/>
              <w:left w:val="single" w:sz="4" w:space="0" w:color="auto"/>
              <w:bottom w:val="single" w:sz="4" w:space="0" w:color="auto"/>
              <w:right w:val="single" w:sz="4" w:space="0" w:color="auto"/>
            </w:tcBorders>
            <w:hideMark/>
          </w:tcPr>
          <w:p w14:paraId="33EB2A12"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−120,5</w:t>
            </w:r>
          </w:p>
        </w:tc>
        <w:tc>
          <w:tcPr>
            <w:tcW w:w="2410" w:type="dxa"/>
            <w:tcBorders>
              <w:top w:val="single" w:sz="4" w:space="0" w:color="auto"/>
              <w:left w:val="single" w:sz="4" w:space="0" w:color="auto"/>
              <w:bottom w:val="single" w:sz="4" w:space="0" w:color="auto"/>
              <w:right w:val="single" w:sz="4" w:space="0" w:color="auto"/>
            </w:tcBorders>
            <w:hideMark/>
          </w:tcPr>
          <w:p w14:paraId="5FB9C11D"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−109,9</w:t>
            </w:r>
          </w:p>
        </w:tc>
        <w:tc>
          <w:tcPr>
            <w:tcW w:w="2410" w:type="dxa"/>
            <w:tcBorders>
              <w:top w:val="single" w:sz="4" w:space="0" w:color="auto"/>
              <w:left w:val="single" w:sz="4" w:space="0" w:color="auto"/>
              <w:bottom w:val="single" w:sz="4" w:space="0" w:color="auto"/>
              <w:right w:val="single" w:sz="4" w:space="0" w:color="auto"/>
            </w:tcBorders>
            <w:hideMark/>
          </w:tcPr>
          <w:p w14:paraId="743267CC" w14:textId="77777777" w:rsidR="00725E50" w:rsidRPr="00075DC8" w:rsidRDefault="00725E50" w:rsidP="00ED4837">
            <w:pPr>
              <w:pStyle w:val="Tabletext"/>
              <w:keepNext/>
              <w:keepLines/>
              <w:jc w:val="center"/>
              <w:rPr>
                <w:szCs w:val="22"/>
                <w:lang w:val="fr-FR" w:eastAsia="ja-JP"/>
              </w:rPr>
            </w:pPr>
            <w:r w:rsidRPr="00075DC8">
              <w:rPr>
                <w:szCs w:val="22"/>
                <w:lang w:val="fr-FR" w:eastAsia="ja-JP"/>
              </w:rPr>
              <w:t>−113,5</w:t>
            </w:r>
          </w:p>
        </w:tc>
      </w:tr>
      <w:tr w:rsidR="00725E50" w:rsidRPr="00075DC8" w14:paraId="5E877AF9" w14:textId="77777777" w:rsidTr="00531043">
        <w:trPr>
          <w:trHeight w:val="199"/>
          <w:jc w:val="center"/>
        </w:trPr>
        <w:tc>
          <w:tcPr>
            <w:tcW w:w="7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39979B" w14:textId="77777777" w:rsidR="00725E50" w:rsidRPr="00075DC8" w:rsidRDefault="00725E50" w:rsidP="00ED4837">
            <w:pPr>
              <w:pStyle w:val="Tabletext"/>
              <w:jc w:val="left"/>
              <w:rPr>
                <w:szCs w:val="22"/>
                <w:lang w:val="fr-FR" w:eastAsia="ja-JP"/>
              </w:rPr>
            </w:pPr>
            <w:r w:rsidRPr="00075DC8">
              <w:rPr>
                <w:szCs w:val="22"/>
                <w:lang w:val="fr-FR" w:eastAsia="ja-JP"/>
              </w:rPr>
              <w:t>Densité nominale de puissance de brouillage de longue durée (dBW/MHz)</w:t>
            </w:r>
            <w:r w:rsidRPr="00075DC8">
              <w:rPr>
                <w:szCs w:val="22"/>
                <w:vertAlign w:val="superscript"/>
                <w:lang w:val="fr-FR" w:eastAsia="ja-JP"/>
              </w:rPr>
              <w:t>(2)</w:t>
            </w:r>
            <w:r w:rsidRPr="00075DC8">
              <w:rPr>
                <w:szCs w:val="22"/>
                <w:lang w:val="fr-FR" w:eastAsia="ja-JP"/>
              </w:rPr>
              <w:t xml:space="preserve"> </w:t>
            </w:r>
          </w:p>
        </w:tc>
        <w:tc>
          <w:tcPr>
            <w:tcW w:w="2274" w:type="dxa"/>
            <w:tcBorders>
              <w:top w:val="single" w:sz="4" w:space="0" w:color="auto"/>
              <w:left w:val="single" w:sz="4" w:space="0" w:color="auto"/>
              <w:bottom w:val="single" w:sz="4" w:space="0" w:color="auto"/>
              <w:right w:val="single" w:sz="4" w:space="0" w:color="auto"/>
            </w:tcBorders>
            <w:hideMark/>
          </w:tcPr>
          <w:p w14:paraId="0879EA95" w14:textId="77777777" w:rsidR="00725E50" w:rsidRPr="00075DC8" w:rsidRDefault="00725E50" w:rsidP="00ED4837">
            <w:pPr>
              <w:pStyle w:val="Tabletext"/>
              <w:jc w:val="center"/>
              <w:rPr>
                <w:szCs w:val="22"/>
                <w:lang w:val="fr-FR" w:eastAsia="ja-JP"/>
              </w:rPr>
            </w:pPr>
            <w:r w:rsidRPr="00075DC8">
              <w:rPr>
                <w:szCs w:val="22"/>
                <w:lang w:val="fr-FR" w:eastAsia="ja-JP"/>
              </w:rPr>
              <w:t xml:space="preserve">−134 + </w:t>
            </w:r>
            <w:r w:rsidRPr="00075DC8">
              <w:rPr>
                <w:i/>
                <w:szCs w:val="22"/>
                <w:lang w:val="fr-FR" w:eastAsia="ja-JP"/>
              </w:rPr>
              <w:t>I</w:t>
            </w:r>
            <w:r w:rsidRPr="00075DC8">
              <w:rPr>
                <w:iCs/>
                <w:szCs w:val="22"/>
                <w:lang w:val="fr-FR" w:eastAsia="ja-JP"/>
              </w:rPr>
              <w:t>/</w:t>
            </w:r>
            <w:r w:rsidRPr="00075DC8">
              <w:rPr>
                <w:i/>
                <w:szCs w:val="22"/>
                <w:lang w:val="fr-FR" w:eastAsia="ja-JP"/>
              </w:rPr>
              <w:t>N</w:t>
            </w:r>
          </w:p>
        </w:tc>
        <w:tc>
          <w:tcPr>
            <w:tcW w:w="2410" w:type="dxa"/>
            <w:tcBorders>
              <w:top w:val="single" w:sz="4" w:space="0" w:color="auto"/>
              <w:left w:val="single" w:sz="4" w:space="0" w:color="auto"/>
              <w:bottom w:val="single" w:sz="4" w:space="0" w:color="auto"/>
              <w:right w:val="single" w:sz="4" w:space="0" w:color="auto"/>
            </w:tcBorders>
            <w:hideMark/>
          </w:tcPr>
          <w:p w14:paraId="4828FE5D" w14:textId="77777777" w:rsidR="00725E50" w:rsidRPr="00075DC8" w:rsidRDefault="00725E50" w:rsidP="00ED4837">
            <w:pPr>
              <w:pStyle w:val="Tabletext"/>
              <w:jc w:val="center"/>
              <w:rPr>
                <w:szCs w:val="22"/>
                <w:lang w:val="fr-FR" w:eastAsia="ja-JP"/>
              </w:rPr>
            </w:pPr>
            <w:r w:rsidRPr="00075DC8">
              <w:rPr>
                <w:szCs w:val="22"/>
                <w:lang w:val="fr-FR" w:eastAsia="ja-JP"/>
              </w:rPr>
              <w:t xml:space="preserve">−133 + </w:t>
            </w:r>
            <w:r w:rsidRPr="00075DC8">
              <w:rPr>
                <w:i/>
                <w:szCs w:val="22"/>
                <w:lang w:val="fr-FR" w:eastAsia="ja-JP"/>
              </w:rPr>
              <w:t>I</w:t>
            </w:r>
            <w:r w:rsidRPr="00075DC8">
              <w:rPr>
                <w:iCs/>
                <w:szCs w:val="22"/>
                <w:lang w:val="fr-FR" w:eastAsia="ja-JP"/>
              </w:rPr>
              <w:t>/</w:t>
            </w:r>
            <w:r w:rsidRPr="00075DC8">
              <w:rPr>
                <w:i/>
                <w:szCs w:val="22"/>
                <w:lang w:val="fr-FR" w:eastAsia="ja-JP"/>
              </w:rPr>
              <w:t>N</w:t>
            </w:r>
          </w:p>
        </w:tc>
        <w:tc>
          <w:tcPr>
            <w:tcW w:w="2410" w:type="dxa"/>
            <w:tcBorders>
              <w:top w:val="single" w:sz="4" w:space="0" w:color="auto"/>
              <w:left w:val="single" w:sz="4" w:space="0" w:color="auto"/>
              <w:bottom w:val="single" w:sz="4" w:space="0" w:color="auto"/>
              <w:right w:val="single" w:sz="4" w:space="0" w:color="auto"/>
            </w:tcBorders>
            <w:hideMark/>
          </w:tcPr>
          <w:p w14:paraId="67B32461" w14:textId="77777777" w:rsidR="00725E50" w:rsidRPr="00075DC8" w:rsidRDefault="00725E50" w:rsidP="00ED4837">
            <w:pPr>
              <w:pStyle w:val="Tabletext"/>
              <w:jc w:val="center"/>
              <w:rPr>
                <w:szCs w:val="22"/>
                <w:lang w:val="fr-FR" w:eastAsia="ja-JP"/>
              </w:rPr>
            </w:pPr>
            <w:r w:rsidRPr="00075DC8">
              <w:rPr>
                <w:szCs w:val="22"/>
                <w:lang w:val="fr-FR" w:eastAsia="ja-JP"/>
              </w:rPr>
              <w:t>−137 +</w:t>
            </w:r>
            <w:r w:rsidRPr="00075DC8">
              <w:rPr>
                <w:i/>
                <w:szCs w:val="22"/>
                <w:lang w:val="fr-FR" w:eastAsia="ja-JP"/>
              </w:rPr>
              <w:t xml:space="preserve"> I</w:t>
            </w:r>
            <w:r w:rsidRPr="00075DC8">
              <w:rPr>
                <w:iCs/>
                <w:szCs w:val="22"/>
                <w:lang w:val="fr-FR" w:eastAsia="ja-JP"/>
              </w:rPr>
              <w:t>/</w:t>
            </w:r>
            <w:r w:rsidRPr="00075DC8">
              <w:rPr>
                <w:i/>
                <w:szCs w:val="22"/>
                <w:lang w:val="fr-FR" w:eastAsia="ja-JP"/>
              </w:rPr>
              <w:t>N</w:t>
            </w:r>
          </w:p>
        </w:tc>
      </w:tr>
      <w:tr w:rsidR="00725E50" w:rsidRPr="00075DC8" w14:paraId="44D67989" w14:textId="77777777" w:rsidTr="00531043">
        <w:trPr>
          <w:trHeight w:val="199"/>
          <w:jc w:val="center"/>
        </w:trPr>
        <w:tc>
          <w:tcPr>
            <w:tcW w:w="14460" w:type="dxa"/>
            <w:gridSpan w:val="4"/>
            <w:tcBorders>
              <w:top w:val="single" w:sz="4" w:space="0" w:color="auto"/>
              <w:left w:val="nil"/>
              <w:bottom w:val="nil"/>
              <w:right w:val="nil"/>
            </w:tcBorders>
            <w:tcMar>
              <w:top w:w="0" w:type="dxa"/>
              <w:left w:w="57" w:type="dxa"/>
              <w:bottom w:w="0" w:type="dxa"/>
              <w:right w:w="57" w:type="dxa"/>
            </w:tcMar>
            <w:hideMark/>
          </w:tcPr>
          <w:p w14:paraId="0E858537" w14:textId="55065741" w:rsidR="00725E50" w:rsidRPr="00075DC8" w:rsidRDefault="00725E50" w:rsidP="00DF6F6A">
            <w:pPr>
              <w:pStyle w:val="Tabletext"/>
              <w:ind w:left="284" w:hanging="284"/>
              <w:rPr>
                <w:lang w:val="fr-FR" w:eastAsia="ja-JP"/>
              </w:rPr>
            </w:pPr>
            <w:r w:rsidRPr="00075DC8">
              <w:rPr>
                <w:vertAlign w:val="superscript"/>
                <w:lang w:val="fr-FR" w:eastAsia="ja-JP"/>
              </w:rPr>
              <w:t>(1)</w:t>
            </w:r>
            <w:r w:rsidRPr="00075DC8">
              <w:rPr>
                <w:lang w:val="fr-FR" w:eastAsia="ja-JP"/>
              </w:rPr>
              <w:tab/>
              <w:t>Pour calculer les valeurs des densités de puissance au niveau de l</w:t>
            </w:r>
            <w:r w:rsidR="001F6A0D" w:rsidRPr="00075DC8">
              <w:rPr>
                <w:lang w:val="fr-FR" w:eastAsia="ja-JP"/>
              </w:rPr>
              <w:t>'</w:t>
            </w:r>
            <w:r w:rsidRPr="00075DC8">
              <w:rPr>
                <w:lang w:val="fr-FR" w:eastAsia="ja-JP"/>
              </w:rPr>
              <w:t>émetteur ou des densités de p.i.r.e., il est nécessaire de définir l</w:t>
            </w:r>
            <w:r w:rsidR="001F6A0D" w:rsidRPr="00075DC8">
              <w:rPr>
                <w:lang w:val="fr-FR" w:eastAsia="ja-JP"/>
              </w:rPr>
              <w:t>'</w:t>
            </w:r>
            <w:r w:rsidRPr="00075DC8">
              <w:rPr>
                <w:lang w:val="fr-FR" w:eastAsia="ja-JP"/>
              </w:rPr>
              <w:t>espacement des canaux/la largeur de bande. Dans ces tableaux, l</w:t>
            </w:r>
            <w:r w:rsidR="001F6A0D" w:rsidRPr="00075DC8">
              <w:rPr>
                <w:lang w:val="fr-FR" w:eastAsia="ja-JP"/>
              </w:rPr>
              <w:t>'</w:t>
            </w:r>
            <w:r w:rsidRPr="00075DC8">
              <w:rPr>
                <w:lang w:val="fr-FR" w:eastAsia="ja-JP"/>
              </w:rPr>
              <w:t xml:space="preserve">espacement des canaux est indiqué en </w:t>
            </w:r>
            <w:r w:rsidRPr="00075DC8">
              <w:rPr>
                <w:b/>
                <w:bCs/>
                <w:lang w:val="fr-FR" w:eastAsia="ja-JP"/>
              </w:rPr>
              <w:t>caractères gras</w:t>
            </w:r>
            <w:r w:rsidRPr="00075DC8">
              <w:rPr>
                <w:lang w:val="fr-FR" w:eastAsia="ja-JP"/>
              </w:rPr>
              <w:t>.</w:t>
            </w:r>
          </w:p>
          <w:p w14:paraId="335451E4" w14:textId="1E932468" w:rsidR="00725E50" w:rsidRPr="00075DC8" w:rsidRDefault="00725E50" w:rsidP="00DF6F6A">
            <w:pPr>
              <w:pStyle w:val="Tabletext"/>
              <w:ind w:left="284" w:hanging="284"/>
              <w:rPr>
                <w:lang w:val="fr-FR" w:eastAsia="ja-JP"/>
              </w:rPr>
            </w:pPr>
            <w:r w:rsidRPr="00075DC8">
              <w:rPr>
                <w:vertAlign w:val="superscript"/>
                <w:lang w:val="fr-FR" w:eastAsia="ja-JP"/>
              </w:rPr>
              <w:t>(2)</w:t>
            </w:r>
            <w:r w:rsidRPr="00075DC8">
              <w:rPr>
                <w:lang w:val="fr-FR" w:eastAsia="ja-JP"/>
              </w:rPr>
              <w:tab/>
            </w:r>
            <w:r w:rsidRPr="00075DC8">
              <w:rPr>
                <w:lang w:val="fr-FR"/>
              </w:rPr>
              <w:t>La densité nominale de puissance de brouillage de longue durée est définie par la «densité de puissance de bruit du récepteur + (</w:t>
            </w:r>
            <w:r w:rsidRPr="00075DC8">
              <w:rPr>
                <w:i/>
                <w:iCs/>
                <w:lang w:val="fr-FR"/>
              </w:rPr>
              <w:t>I</w:t>
            </w:r>
            <w:r w:rsidRPr="00075DC8">
              <w:rPr>
                <w:lang w:val="fr-FR"/>
              </w:rPr>
              <w:t>/</w:t>
            </w:r>
            <w:r w:rsidRPr="00075DC8">
              <w:rPr>
                <w:i/>
                <w:iCs/>
                <w:lang w:val="fr-FR"/>
              </w:rPr>
              <w:t>N</w:t>
            </w:r>
            <w:r w:rsidRPr="00075DC8">
              <w:rPr>
                <w:lang w:val="fr-FR"/>
              </w:rPr>
              <w:t xml:space="preserve"> requis)» comme décrit au </w:t>
            </w:r>
            <w:r w:rsidR="008B1840" w:rsidRPr="00075DC8">
              <w:rPr>
                <w:lang w:val="fr-FR"/>
              </w:rPr>
              <w:t>§ </w:t>
            </w:r>
            <w:r w:rsidRPr="00075DC8">
              <w:rPr>
                <w:lang w:val="fr-FR"/>
              </w:rPr>
              <w:t>4.13 de l</w:t>
            </w:r>
            <w:r w:rsidR="001F6A0D" w:rsidRPr="00075DC8">
              <w:rPr>
                <w:lang w:val="fr-FR"/>
              </w:rPr>
              <w:t>'</w:t>
            </w:r>
            <w:r w:rsidRPr="00075DC8">
              <w:rPr>
                <w:lang w:val="fr-FR"/>
              </w:rPr>
              <w:t xml:space="preserve">Annexe 2 (voir aussi le </w:t>
            </w:r>
            <w:r w:rsidR="008B1840" w:rsidRPr="00075DC8">
              <w:rPr>
                <w:lang w:val="fr-FR"/>
              </w:rPr>
              <w:t>§ </w:t>
            </w:r>
            <w:r w:rsidRPr="00075DC8">
              <w:rPr>
                <w:lang w:val="fr-FR"/>
              </w:rPr>
              <w:t>4.1 de l</w:t>
            </w:r>
            <w:r w:rsidR="001F6A0D" w:rsidRPr="00075DC8">
              <w:rPr>
                <w:lang w:val="fr-FR"/>
              </w:rPr>
              <w:t>'</w:t>
            </w:r>
            <w:r w:rsidRPr="00075DC8">
              <w:rPr>
                <w:lang w:val="fr-FR"/>
              </w:rPr>
              <w:t>Annexe 1).</w:t>
            </w:r>
          </w:p>
        </w:tc>
      </w:tr>
    </w:tbl>
    <w:p w14:paraId="152304B6" w14:textId="77777777" w:rsidR="00725E50" w:rsidRPr="00075DC8" w:rsidRDefault="00725E50" w:rsidP="004F2261">
      <w:pPr>
        <w:pStyle w:val="Tablefin"/>
        <w:rPr>
          <w:lang w:val="fr-FR"/>
        </w:rPr>
      </w:pPr>
    </w:p>
    <w:p w14:paraId="438D5EE0" w14:textId="77777777" w:rsidR="004F2261" w:rsidRPr="00075DC8" w:rsidRDefault="004F2261" w:rsidP="00725E50">
      <w:pPr>
        <w:rPr>
          <w:lang w:val="fr-FR"/>
        </w:rPr>
      </w:pPr>
    </w:p>
    <w:p w14:paraId="73015136" w14:textId="77777777" w:rsidR="004F2261" w:rsidRPr="00075DC8" w:rsidRDefault="004F2261" w:rsidP="00725E50">
      <w:pPr>
        <w:rPr>
          <w:lang w:val="fr-FR"/>
        </w:rPr>
        <w:sectPr w:rsidR="004F2261" w:rsidRPr="00075DC8" w:rsidSect="00725E50">
          <w:headerReference w:type="even" r:id="rId120"/>
          <w:headerReference w:type="default" r:id="rId121"/>
          <w:pgSz w:w="16834" w:h="11907" w:orient="landscape" w:code="9"/>
          <w:pgMar w:top="1134" w:right="1418" w:bottom="1134" w:left="1134" w:header="720" w:footer="482" w:gutter="0"/>
          <w:paperSrc w:first="15" w:other="15"/>
          <w:cols w:space="720"/>
          <w:docGrid w:linePitch="326"/>
        </w:sectPr>
      </w:pPr>
    </w:p>
    <w:p w14:paraId="149579A8" w14:textId="77777777" w:rsidR="00725E50" w:rsidRPr="00075DC8" w:rsidRDefault="00725E50" w:rsidP="00531043">
      <w:pPr>
        <w:pStyle w:val="TableNo"/>
        <w:rPr>
          <w:lang w:val="fr-FR"/>
        </w:rPr>
      </w:pPr>
      <w:r w:rsidRPr="00075DC8">
        <w:rPr>
          <w:lang w:val="fr-FR"/>
        </w:rPr>
        <w:lastRenderedPageBreak/>
        <w:t>TABLEAU 20</w:t>
      </w:r>
      <w:r w:rsidRPr="00075DC8">
        <w:rPr>
          <w:vertAlign w:val="superscript"/>
          <w:lang w:val="fr-FR"/>
        </w:rPr>
        <w:t>(*)</w:t>
      </w:r>
    </w:p>
    <w:p w14:paraId="4568F161" w14:textId="77777777" w:rsidR="00725E50" w:rsidRPr="00075DC8" w:rsidRDefault="00725E50" w:rsidP="00725E50">
      <w:pPr>
        <w:pStyle w:val="Tabletitle"/>
        <w:rPr>
          <w:lang w:val="fr-FR" w:eastAsia="ja-JP"/>
        </w:rPr>
      </w:pPr>
      <w:r w:rsidRPr="00075DC8">
        <w:rPr>
          <w:lang w:val="fr-FR" w:eastAsia="ja-JP"/>
        </w:rPr>
        <w:t xml:space="preserve">Paramètres des systèmes du service fixe de point à multipoint </w:t>
      </w:r>
      <w:r w:rsidRPr="00075DC8">
        <w:rPr>
          <w:lang w:val="fr-FR" w:eastAsia="ja-JP"/>
        </w:rPr>
        <w:br/>
        <w:t>dans les bandes attribuées inférieures à 11 GHz</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2981"/>
        <w:gridCol w:w="2700"/>
      </w:tblGrid>
      <w:tr w:rsidR="00725E50" w:rsidRPr="00075DC8" w14:paraId="75118291" w14:textId="77777777" w:rsidTr="008B1840">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6600FDCA" w14:textId="77777777" w:rsidR="00725E50" w:rsidRPr="00075DC8" w:rsidRDefault="00725E50" w:rsidP="00ED4837">
            <w:pPr>
              <w:pStyle w:val="Tablehead"/>
              <w:rPr>
                <w:lang w:val="fr-FR"/>
              </w:rPr>
            </w:pPr>
            <w:r w:rsidRPr="00075DC8">
              <w:rPr>
                <w:lang w:val="fr-FR" w:eastAsia="ja-JP"/>
              </w:rPr>
              <w:t>Gamme de fréquences</w:t>
            </w:r>
            <w:r w:rsidRPr="00075DC8">
              <w:rPr>
                <w:lang w:val="fr-FR"/>
              </w:rPr>
              <w:t xml:space="preserve"> </w:t>
            </w:r>
            <w:r w:rsidRPr="00075DC8">
              <w:rPr>
                <w:lang w:val="fr-FR"/>
              </w:rPr>
              <w:br/>
              <w:t>(GHz)</w:t>
            </w:r>
          </w:p>
        </w:tc>
        <w:tc>
          <w:tcPr>
            <w:tcW w:w="5681" w:type="dxa"/>
            <w:gridSpan w:val="2"/>
            <w:tcBorders>
              <w:top w:val="single" w:sz="4" w:space="0" w:color="auto"/>
              <w:left w:val="single" w:sz="4" w:space="0" w:color="auto"/>
              <w:bottom w:val="single" w:sz="4" w:space="0" w:color="auto"/>
              <w:right w:val="single" w:sz="4" w:space="0" w:color="auto"/>
            </w:tcBorders>
            <w:vAlign w:val="center"/>
            <w:hideMark/>
          </w:tcPr>
          <w:p w14:paraId="4F150945" w14:textId="77777777" w:rsidR="00725E50" w:rsidRPr="00075DC8" w:rsidRDefault="00725E50" w:rsidP="00ED4837">
            <w:pPr>
              <w:pStyle w:val="Tablehead"/>
              <w:rPr>
                <w:lang w:val="fr-FR"/>
              </w:rPr>
            </w:pPr>
            <w:r w:rsidRPr="00075DC8">
              <w:rPr>
                <w:lang w:val="fr-FR"/>
              </w:rPr>
              <w:t>1,35-2,69</w:t>
            </w:r>
            <w:r w:rsidRPr="00075DC8">
              <w:rPr>
                <w:lang w:val="fr-FR"/>
              </w:rPr>
              <w:br/>
              <w:t>(</w:t>
            </w:r>
            <w:r w:rsidRPr="00075DC8">
              <w:rPr>
                <w:lang w:val="fr-FR" w:eastAsia="ja-JP"/>
              </w:rPr>
              <w:t>sous-bandes</w:t>
            </w:r>
            <w:r w:rsidRPr="00075DC8">
              <w:rPr>
                <w:lang w:val="fr-FR"/>
              </w:rPr>
              <w:t xml:space="preserve"> 1,35-2,5)</w:t>
            </w:r>
          </w:p>
        </w:tc>
      </w:tr>
      <w:tr w:rsidR="00725E50" w:rsidRPr="00075DC8" w14:paraId="7F3D9B44" w14:textId="77777777" w:rsidTr="008B1840">
        <w:trPr>
          <w:jc w:val="center"/>
        </w:trPr>
        <w:tc>
          <w:tcPr>
            <w:tcW w:w="39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BCAE119" w14:textId="77777777" w:rsidR="00725E50" w:rsidRPr="00075DC8" w:rsidRDefault="00725E50" w:rsidP="00ED4837">
            <w:pPr>
              <w:pStyle w:val="Tabletext"/>
              <w:jc w:val="left"/>
              <w:rPr>
                <w:szCs w:val="22"/>
                <w:lang w:val="fr-FR"/>
              </w:rPr>
            </w:pPr>
            <w:r w:rsidRPr="00075DC8">
              <w:rPr>
                <w:szCs w:val="22"/>
                <w:lang w:val="fr-FR" w:eastAsia="ja-JP"/>
              </w:rPr>
              <w:t>Recommandation UIT-R de référence</w:t>
            </w:r>
          </w:p>
        </w:tc>
        <w:tc>
          <w:tcPr>
            <w:tcW w:w="5681" w:type="dxa"/>
            <w:gridSpan w:val="2"/>
            <w:tcBorders>
              <w:top w:val="single" w:sz="4" w:space="0" w:color="auto"/>
              <w:left w:val="single" w:sz="4" w:space="0" w:color="auto"/>
              <w:bottom w:val="single" w:sz="4" w:space="0" w:color="auto"/>
              <w:right w:val="single" w:sz="4" w:space="0" w:color="auto"/>
            </w:tcBorders>
            <w:hideMark/>
          </w:tcPr>
          <w:p w14:paraId="712A4FA0" w14:textId="77777777" w:rsidR="00725E50" w:rsidRPr="00075DC8" w:rsidRDefault="00725E50" w:rsidP="00ED4837">
            <w:pPr>
              <w:pStyle w:val="Tabletext"/>
              <w:jc w:val="center"/>
              <w:rPr>
                <w:lang w:val="fr-FR" w:eastAsia="ja-JP"/>
              </w:rPr>
            </w:pPr>
            <w:r w:rsidRPr="00075DC8">
              <w:rPr>
                <w:lang w:val="fr-FR"/>
              </w:rPr>
              <w:t>F.</w:t>
            </w:r>
            <w:r w:rsidRPr="00075DC8">
              <w:rPr>
                <w:lang w:val="fr-FR" w:eastAsia="ja-JP"/>
              </w:rPr>
              <w:t>701</w:t>
            </w:r>
          </w:p>
        </w:tc>
      </w:tr>
      <w:tr w:rsidR="00725E50" w:rsidRPr="00075DC8" w14:paraId="3E62C697" w14:textId="77777777" w:rsidTr="008B1840">
        <w:trPr>
          <w:jc w:val="center"/>
        </w:trPr>
        <w:tc>
          <w:tcPr>
            <w:tcW w:w="39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7A8080" w14:textId="77777777" w:rsidR="00725E50" w:rsidRPr="00075DC8" w:rsidRDefault="00725E50" w:rsidP="00ED4837">
            <w:pPr>
              <w:pStyle w:val="Tabletext"/>
              <w:jc w:val="left"/>
              <w:rPr>
                <w:szCs w:val="22"/>
                <w:lang w:val="fr-FR"/>
              </w:rPr>
            </w:pPr>
            <w:r w:rsidRPr="00075DC8">
              <w:rPr>
                <w:szCs w:val="22"/>
                <w:lang w:val="fr-FR" w:eastAsia="ja-JP"/>
              </w:rPr>
              <w:t>Format de modulation</w:t>
            </w:r>
          </w:p>
        </w:tc>
        <w:tc>
          <w:tcPr>
            <w:tcW w:w="2981" w:type="dxa"/>
            <w:tcBorders>
              <w:top w:val="single" w:sz="4" w:space="0" w:color="auto"/>
              <w:left w:val="single" w:sz="4" w:space="0" w:color="auto"/>
              <w:bottom w:val="single" w:sz="4" w:space="0" w:color="auto"/>
              <w:right w:val="single" w:sz="4" w:space="0" w:color="auto"/>
            </w:tcBorders>
            <w:hideMark/>
          </w:tcPr>
          <w:p w14:paraId="6BA0B7FE" w14:textId="77777777" w:rsidR="00725E50" w:rsidRPr="00075DC8" w:rsidRDefault="00725E50" w:rsidP="00ED4837">
            <w:pPr>
              <w:pStyle w:val="Tabletext"/>
              <w:jc w:val="center"/>
              <w:rPr>
                <w:lang w:val="fr-FR" w:eastAsia="ja-JP"/>
              </w:rPr>
            </w:pPr>
            <w:r w:rsidRPr="00075DC8">
              <w:rPr>
                <w:lang w:val="fr-FR" w:eastAsia="ja-JP"/>
              </w:rPr>
              <w:t xml:space="preserve">Stations centrales </w:t>
            </w:r>
            <w:r w:rsidRPr="00075DC8">
              <w:rPr>
                <w:lang w:val="fr-FR" w:eastAsia="ja-JP"/>
              </w:rPr>
              <w:br/>
              <w:t>MDPQ</w:t>
            </w:r>
            <w:r w:rsidRPr="00075DC8">
              <w:rPr>
                <w:vertAlign w:val="superscript"/>
                <w:lang w:val="fr-FR" w:eastAsia="ja-JP"/>
              </w:rPr>
              <w:t>(3)</w:t>
            </w:r>
          </w:p>
        </w:tc>
        <w:tc>
          <w:tcPr>
            <w:tcW w:w="2700" w:type="dxa"/>
            <w:tcBorders>
              <w:top w:val="single" w:sz="4" w:space="0" w:color="auto"/>
              <w:left w:val="single" w:sz="4" w:space="0" w:color="auto"/>
              <w:bottom w:val="single" w:sz="4" w:space="0" w:color="auto"/>
              <w:right w:val="single" w:sz="4" w:space="0" w:color="auto"/>
            </w:tcBorders>
            <w:hideMark/>
          </w:tcPr>
          <w:p w14:paraId="0FBF711B" w14:textId="77777777" w:rsidR="00725E50" w:rsidRPr="00075DC8" w:rsidRDefault="00725E50" w:rsidP="00ED4837">
            <w:pPr>
              <w:pStyle w:val="Tabletext"/>
              <w:jc w:val="center"/>
              <w:rPr>
                <w:lang w:val="fr-FR" w:eastAsia="ja-JP"/>
              </w:rPr>
            </w:pPr>
            <w:r w:rsidRPr="00075DC8">
              <w:rPr>
                <w:lang w:val="fr-FR" w:eastAsia="ja-JP"/>
              </w:rPr>
              <w:t xml:space="preserve">Stations terminales </w:t>
            </w:r>
            <w:r w:rsidRPr="00075DC8">
              <w:rPr>
                <w:lang w:val="fr-FR" w:eastAsia="ja-JP"/>
              </w:rPr>
              <w:br/>
              <w:t>MDPQ</w:t>
            </w:r>
            <w:r w:rsidRPr="00075DC8">
              <w:rPr>
                <w:vertAlign w:val="superscript"/>
                <w:lang w:val="fr-FR" w:eastAsia="ja-JP"/>
              </w:rPr>
              <w:t>(3)</w:t>
            </w:r>
          </w:p>
        </w:tc>
      </w:tr>
      <w:tr w:rsidR="00725E50" w:rsidRPr="00075DC8" w14:paraId="5D11651F" w14:textId="77777777" w:rsidTr="008B1840">
        <w:trPr>
          <w:jc w:val="center"/>
        </w:trPr>
        <w:tc>
          <w:tcPr>
            <w:tcW w:w="39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696805" w14:textId="77777777" w:rsidR="00725E50" w:rsidRPr="00075DC8" w:rsidRDefault="00725E50" w:rsidP="00ED4837">
            <w:pPr>
              <w:pStyle w:val="Tabletext"/>
              <w:jc w:val="left"/>
              <w:rPr>
                <w:szCs w:val="22"/>
                <w:lang w:val="fr-FR" w:eastAsia="ja-JP"/>
              </w:rPr>
            </w:pPr>
            <w:r w:rsidRPr="00075DC8">
              <w:rPr>
                <w:szCs w:val="22"/>
                <w:lang w:val="fr-FR" w:eastAsia="ja-JP"/>
              </w:rPr>
              <w:t xml:space="preserve">Espacement des canaux et largeur de bande de bruit du récepteur (MHz) </w:t>
            </w:r>
          </w:p>
        </w:tc>
        <w:tc>
          <w:tcPr>
            <w:tcW w:w="2981" w:type="dxa"/>
            <w:tcBorders>
              <w:top w:val="single" w:sz="4" w:space="0" w:color="auto"/>
              <w:left w:val="single" w:sz="4" w:space="0" w:color="auto"/>
              <w:bottom w:val="single" w:sz="4" w:space="0" w:color="auto"/>
              <w:right w:val="single" w:sz="4" w:space="0" w:color="auto"/>
            </w:tcBorders>
            <w:hideMark/>
          </w:tcPr>
          <w:p w14:paraId="5CC86780" w14:textId="77777777" w:rsidR="00725E50" w:rsidRPr="00075DC8" w:rsidRDefault="00725E50" w:rsidP="00ED4837">
            <w:pPr>
              <w:pStyle w:val="Tabletext"/>
              <w:jc w:val="center"/>
              <w:rPr>
                <w:b/>
                <w:lang w:val="fr-FR"/>
              </w:rPr>
            </w:pPr>
            <w:r w:rsidRPr="00075DC8">
              <w:rPr>
                <w:b/>
                <w:lang w:val="fr-FR" w:eastAsia="ja-JP"/>
              </w:rPr>
              <w:t>2</w:t>
            </w:r>
            <w:r w:rsidRPr="00075DC8">
              <w:rPr>
                <w:lang w:val="fr-FR" w:eastAsia="ja-JP"/>
              </w:rPr>
              <w:t xml:space="preserve">; </w:t>
            </w:r>
            <w:r w:rsidRPr="00075DC8">
              <w:rPr>
                <w:b/>
                <w:lang w:val="fr-FR" w:eastAsia="ja-JP"/>
              </w:rPr>
              <w:t>3,5</w:t>
            </w:r>
            <w:r w:rsidRPr="00075DC8">
              <w:rPr>
                <w:vertAlign w:val="superscript"/>
                <w:lang w:val="fr-FR" w:eastAsia="ja-JP"/>
              </w:rPr>
              <w:t>(4)</w:t>
            </w:r>
          </w:p>
        </w:tc>
        <w:tc>
          <w:tcPr>
            <w:tcW w:w="2700" w:type="dxa"/>
            <w:tcBorders>
              <w:top w:val="single" w:sz="4" w:space="0" w:color="auto"/>
              <w:left w:val="single" w:sz="4" w:space="0" w:color="auto"/>
              <w:bottom w:val="single" w:sz="4" w:space="0" w:color="auto"/>
              <w:right w:val="single" w:sz="4" w:space="0" w:color="auto"/>
            </w:tcBorders>
            <w:hideMark/>
          </w:tcPr>
          <w:p w14:paraId="0F3771B2" w14:textId="77777777" w:rsidR="00725E50" w:rsidRPr="00075DC8" w:rsidRDefault="00725E50" w:rsidP="00ED4837">
            <w:pPr>
              <w:pStyle w:val="Tabletext"/>
              <w:jc w:val="center"/>
              <w:rPr>
                <w:lang w:val="fr-FR"/>
              </w:rPr>
            </w:pPr>
            <w:r w:rsidRPr="00075DC8">
              <w:rPr>
                <w:b/>
                <w:lang w:val="fr-FR" w:eastAsia="ja-JP"/>
              </w:rPr>
              <w:t>2</w:t>
            </w:r>
            <w:r w:rsidRPr="00075DC8">
              <w:rPr>
                <w:lang w:val="fr-FR" w:eastAsia="ja-JP"/>
              </w:rPr>
              <w:t xml:space="preserve">; </w:t>
            </w:r>
            <w:r w:rsidRPr="00075DC8">
              <w:rPr>
                <w:b/>
                <w:lang w:val="fr-FR" w:eastAsia="ja-JP"/>
              </w:rPr>
              <w:t>3,5</w:t>
            </w:r>
            <w:r w:rsidRPr="00075DC8">
              <w:rPr>
                <w:vertAlign w:val="superscript"/>
                <w:lang w:val="fr-FR" w:eastAsia="ja-JP"/>
              </w:rPr>
              <w:t>(4)</w:t>
            </w:r>
          </w:p>
        </w:tc>
      </w:tr>
      <w:tr w:rsidR="00725E50" w:rsidRPr="00075DC8" w14:paraId="6FC3A058" w14:textId="77777777" w:rsidTr="008B1840">
        <w:trPr>
          <w:jc w:val="center"/>
        </w:trPr>
        <w:tc>
          <w:tcPr>
            <w:tcW w:w="39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F613D96" w14:textId="18F5CF83" w:rsidR="00725E50" w:rsidRPr="00075DC8" w:rsidRDefault="00725E50" w:rsidP="00ED4837">
            <w:pPr>
              <w:pStyle w:val="Tabletext"/>
              <w:jc w:val="left"/>
              <w:rPr>
                <w:szCs w:val="22"/>
                <w:lang w:val="fr-FR" w:eastAsia="ja-JP"/>
              </w:rPr>
            </w:pPr>
            <w:r w:rsidRPr="00075DC8">
              <w:rPr>
                <w:szCs w:val="22"/>
                <w:lang w:val="fr-FR" w:eastAsia="ja-JP"/>
              </w:rPr>
              <w:t>Plage maximale des puissances de sortie au niveau de l</w:t>
            </w:r>
            <w:r w:rsidR="001F6A0D" w:rsidRPr="00075DC8">
              <w:rPr>
                <w:szCs w:val="22"/>
                <w:lang w:val="fr-FR" w:eastAsia="ja-JP"/>
              </w:rPr>
              <w:t>'</w:t>
            </w:r>
            <w:r w:rsidRPr="00075DC8">
              <w:rPr>
                <w:szCs w:val="22"/>
                <w:lang w:val="fr-FR" w:eastAsia="ja-JP"/>
              </w:rPr>
              <w:t xml:space="preserve">émetteur (dBW) </w:t>
            </w:r>
          </w:p>
        </w:tc>
        <w:tc>
          <w:tcPr>
            <w:tcW w:w="2981" w:type="dxa"/>
            <w:tcBorders>
              <w:top w:val="single" w:sz="4" w:space="0" w:color="auto"/>
              <w:left w:val="single" w:sz="4" w:space="0" w:color="auto"/>
              <w:bottom w:val="single" w:sz="4" w:space="0" w:color="auto"/>
              <w:right w:val="single" w:sz="4" w:space="0" w:color="auto"/>
            </w:tcBorders>
            <w:hideMark/>
          </w:tcPr>
          <w:p w14:paraId="50848FD6" w14:textId="77777777" w:rsidR="00725E50" w:rsidRPr="00075DC8" w:rsidRDefault="00725E50" w:rsidP="00ED4837">
            <w:pPr>
              <w:pStyle w:val="Tabletext"/>
              <w:jc w:val="center"/>
              <w:rPr>
                <w:lang w:val="fr-FR" w:eastAsia="ja-JP"/>
              </w:rPr>
            </w:pPr>
            <w:r w:rsidRPr="00075DC8">
              <w:rPr>
                <w:lang w:val="fr-FR" w:eastAsia="ja-JP"/>
              </w:rPr>
              <w:t>0</w:t>
            </w:r>
            <w:r w:rsidRPr="00075DC8">
              <w:rPr>
                <w:lang w:val="fr-FR"/>
              </w:rPr>
              <w:t>…</w:t>
            </w:r>
            <w:r w:rsidRPr="00075DC8">
              <w:rPr>
                <w:lang w:val="fr-FR" w:eastAsia="ja-JP"/>
              </w:rPr>
              <w:t>7</w:t>
            </w:r>
          </w:p>
        </w:tc>
        <w:tc>
          <w:tcPr>
            <w:tcW w:w="2700" w:type="dxa"/>
            <w:tcBorders>
              <w:top w:val="single" w:sz="4" w:space="0" w:color="auto"/>
              <w:left w:val="single" w:sz="4" w:space="0" w:color="auto"/>
              <w:bottom w:val="single" w:sz="4" w:space="0" w:color="auto"/>
              <w:right w:val="single" w:sz="4" w:space="0" w:color="auto"/>
            </w:tcBorders>
            <w:hideMark/>
          </w:tcPr>
          <w:p w14:paraId="088EF7C3" w14:textId="77777777" w:rsidR="00725E50" w:rsidRPr="00075DC8" w:rsidRDefault="00725E50" w:rsidP="00ED4837">
            <w:pPr>
              <w:pStyle w:val="Tabletext"/>
              <w:jc w:val="center"/>
              <w:rPr>
                <w:lang w:val="fr-FR" w:eastAsia="ja-JP"/>
              </w:rPr>
            </w:pPr>
            <w:r w:rsidRPr="00075DC8">
              <w:rPr>
                <w:lang w:val="fr-FR" w:eastAsia="ja-JP"/>
              </w:rPr>
              <w:t>0</w:t>
            </w:r>
            <w:r w:rsidRPr="00075DC8">
              <w:rPr>
                <w:lang w:val="fr-FR"/>
              </w:rPr>
              <w:t>…</w:t>
            </w:r>
            <w:r w:rsidRPr="00075DC8">
              <w:rPr>
                <w:lang w:val="fr-FR" w:eastAsia="ja-JP"/>
              </w:rPr>
              <w:t>7</w:t>
            </w:r>
          </w:p>
        </w:tc>
      </w:tr>
      <w:tr w:rsidR="00725E50" w:rsidRPr="00075DC8" w14:paraId="47D9AB67" w14:textId="77777777" w:rsidTr="008B1840">
        <w:trPr>
          <w:jc w:val="center"/>
        </w:trPr>
        <w:tc>
          <w:tcPr>
            <w:tcW w:w="39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EEB4C20" w14:textId="45531074" w:rsidR="00725E50" w:rsidRPr="00075DC8" w:rsidRDefault="00725E50" w:rsidP="00ED4837">
            <w:pPr>
              <w:pStyle w:val="Tabletext"/>
              <w:jc w:val="left"/>
              <w:rPr>
                <w:szCs w:val="22"/>
                <w:lang w:val="fr-FR"/>
              </w:rPr>
            </w:pPr>
            <w:r w:rsidRPr="00075DC8">
              <w:rPr>
                <w:szCs w:val="22"/>
                <w:lang w:val="fr-FR" w:eastAsia="ja-JP"/>
              </w:rPr>
              <w:t>Plage maximale des densités de puissance de sortie au niveau de l</w:t>
            </w:r>
            <w:r w:rsidR="001F6A0D" w:rsidRPr="00075DC8">
              <w:rPr>
                <w:szCs w:val="22"/>
                <w:lang w:val="fr-FR" w:eastAsia="ja-JP"/>
              </w:rPr>
              <w:t>'</w:t>
            </w:r>
            <w:r w:rsidRPr="00075DC8">
              <w:rPr>
                <w:szCs w:val="22"/>
                <w:lang w:val="fr-FR" w:eastAsia="ja-JP"/>
              </w:rPr>
              <w:t xml:space="preserve">émetteur </w:t>
            </w:r>
            <w:r w:rsidRPr="00075DC8">
              <w:rPr>
                <w:szCs w:val="22"/>
                <w:lang w:val="fr-FR"/>
              </w:rPr>
              <w:t>(dBW/MHz)</w:t>
            </w:r>
            <w:r w:rsidRPr="00075DC8">
              <w:rPr>
                <w:szCs w:val="22"/>
                <w:vertAlign w:val="superscript"/>
                <w:lang w:val="fr-FR" w:eastAsia="ja-JP"/>
              </w:rPr>
              <w:t>(1)</w:t>
            </w:r>
          </w:p>
        </w:tc>
        <w:tc>
          <w:tcPr>
            <w:tcW w:w="2981" w:type="dxa"/>
            <w:tcBorders>
              <w:top w:val="single" w:sz="4" w:space="0" w:color="auto"/>
              <w:left w:val="single" w:sz="4" w:space="0" w:color="auto"/>
              <w:bottom w:val="single" w:sz="4" w:space="0" w:color="auto"/>
              <w:right w:val="single" w:sz="4" w:space="0" w:color="auto"/>
            </w:tcBorders>
            <w:hideMark/>
          </w:tcPr>
          <w:p w14:paraId="63D440B6" w14:textId="77777777" w:rsidR="00725E50" w:rsidRPr="00075DC8" w:rsidRDefault="00725E50" w:rsidP="00ED4837">
            <w:pPr>
              <w:pStyle w:val="Tabletext"/>
              <w:jc w:val="center"/>
              <w:rPr>
                <w:lang w:val="fr-FR" w:eastAsia="ja-JP"/>
              </w:rPr>
            </w:pPr>
            <w:r w:rsidRPr="00075DC8">
              <w:rPr>
                <w:lang w:val="fr-FR" w:eastAsia="ja-JP"/>
              </w:rPr>
              <w:t>−3,0…1,6</w:t>
            </w:r>
          </w:p>
        </w:tc>
        <w:tc>
          <w:tcPr>
            <w:tcW w:w="2700" w:type="dxa"/>
            <w:tcBorders>
              <w:top w:val="single" w:sz="4" w:space="0" w:color="auto"/>
              <w:left w:val="single" w:sz="4" w:space="0" w:color="auto"/>
              <w:bottom w:val="single" w:sz="4" w:space="0" w:color="auto"/>
              <w:right w:val="single" w:sz="4" w:space="0" w:color="auto"/>
            </w:tcBorders>
            <w:hideMark/>
          </w:tcPr>
          <w:p w14:paraId="60C38532" w14:textId="77777777" w:rsidR="00725E50" w:rsidRPr="00075DC8" w:rsidRDefault="00725E50" w:rsidP="00ED4837">
            <w:pPr>
              <w:pStyle w:val="Tabletext"/>
              <w:jc w:val="center"/>
              <w:rPr>
                <w:lang w:val="fr-FR" w:eastAsia="ja-JP"/>
              </w:rPr>
            </w:pPr>
            <w:r w:rsidRPr="00075DC8">
              <w:rPr>
                <w:lang w:val="fr-FR" w:eastAsia="ja-JP"/>
              </w:rPr>
              <w:t>−3,0…1,6</w:t>
            </w:r>
          </w:p>
        </w:tc>
      </w:tr>
      <w:tr w:rsidR="00725E50" w:rsidRPr="00075DC8" w14:paraId="68C19B52" w14:textId="77777777" w:rsidTr="008B1840">
        <w:trPr>
          <w:jc w:val="center"/>
        </w:trPr>
        <w:tc>
          <w:tcPr>
            <w:tcW w:w="39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9158E7" w14:textId="21CC7B4F" w:rsidR="00725E50" w:rsidRPr="00075DC8" w:rsidRDefault="00725E50" w:rsidP="00ED4837">
            <w:pPr>
              <w:pStyle w:val="Tabletext"/>
              <w:jc w:val="left"/>
              <w:rPr>
                <w:szCs w:val="22"/>
                <w:lang w:val="fr-FR"/>
              </w:rPr>
            </w:pPr>
            <w:r w:rsidRPr="00075DC8">
              <w:rPr>
                <w:szCs w:val="22"/>
                <w:lang w:val="fr-FR" w:eastAsia="ja-JP"/>
              </w:rPr>
              <w:t>Plage minimale des pertes dues à la ligne d</w:t>
            </w:r>
            <w:r w:rsidR="001F6A0D" w:rsidRPr="00075DC8">
              <w:rPr>
                <w:szCs w:val="22"/>
                <w:lang w:val="fr-FR" w:eastAsia="ja-JP"/>
              </w:rPr>
              <w:t>'</w:t>
            </w:r>
            <w:r w:rsidRPr="00075DC8">
              <w:rPr>
                <w:szCs w:val="22"/>
                <w:lang w:val="fr-FR" w:eastAsia="ja-JP"/>
              </w:rPr>
              <w:t xml:space="preserve">alimentation ou au multiplexeur </w:t>
            </w:r>
            <w:r w:rsidRPr="00075DC8">
              <w:rPr>
                <w:szCs w:val="22"/>
                <w:lang w:val="fr-FR"/>
              </w:rPr>
              <w:t xml:space="preserve">(dB) </w:t>
            </w:r>
          </w:p>
        </w:tc>
        <w:tc>
          <w:tcPr>
            <w:tcW w:w="2981" w:type="dxa"/>
            <w:tcBorders>
              <w:top w:val="single" w:sz="4" w:space="0" w:color="auto"/>
              <w:left w:val="single" w:sz="4" w:space="0" w:color="auto"/>
              <w:bottom w:val="single" w:sz="4" w:space="0" w:color="auto"/>
              <w:right w:val="single" w:sz="4" w:space="0" w:color="auto"/>
            </w:tcBorders>
            <w:hideMark/>
          </w:tcPr>
          <w:p w14:paraId="570C3829" w14:textId="77777777" w:rsidR="00725E50" w:rsidRPr="00075DC8" w:rsidRDefault="00725E50" w:rsidP="00ED4837">
            <w:pPr>
              <w:pStyle w:val="Tabletext"/>
              <w:jc w:val="center"/>
              <w:rPr>
                <w:lang w:val="fr-FR" w:eastAsia="ja-JP"/>
              </w:rPr>
            </w:pPr>
            <w:r w:rsidRPr="00075DC8">
              <w:rPr>
                <w:lang w:val="fr-FR" w:eastAsia="ja-JP"/>
              </w:rPr>
              <w:t>0…4,4</w:t>
            </w:r>
          </w:p>
        </w:tc>
        <w:tc>
          <w:tcPr>
            <w:tcW w:w="2700" w:type="dxa"/>
            <w:tcBorders>
              <w:top w:val="single" w:sz="4" w:space="0" w:color="auto"/>
              <w:left w:val="single" w:sz="4" w:space="0" w:color="auto"/>
              <w:bottom w:val="single" w:sz="4" w:space="0" w:color="auto"/>
              <w:right w:val="single" w:sz="4" w:space="0" w:color="auto"/>
            </w:tcBorders>
            <w:hideMark/>
          </w:tcPr>
          <w:p w14:paraId="0AD3571D" w14:textId="77777777" w:rsidR="00725E50" w:rsidRPr="00075DC8" w:rsidRDefault="00725E50" w:rsidP="00ED4837">
            <w:pPr>
              <w:pStyle w:val="Tabletext"/>
              <w:jc w:val="center"/>
              <w:rPr>
                <w:lang w:val="fr-FR" w:eastAsia="ja-JP"/>
              </w:rPr>
            </w:pPr>
            <w:r w:rsidRPr="00075DC8">
              <w:rPr>
                <w:lang w:val="fr-FR" w:eastAsia="ja-JP"/>
              </w:rPr>
              <w:t>0…4</w:t>
            </w:r>
          </w:p>
        </w:tc>
      </w:tr>
      <w:tr w:rsidR="00725E50" w:rsidRPr="00075DC8" w14:paraId="307C9F96" w14:textId="77777777" w:rsidTr="008B1840">
        <w:trPr>
          <w:jc w:val="center"/>
        </w:trPr>
        <w:tc>
          <w:tcPr>
            <w:tcW w:w="39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67083EF" w14:textId="5DC0FA6A" w:rsidR="00725E50" w:rsidRPr="00075DC8" w:rsidRDefault="00725E50" w:rsidP="00ED4837">
            <w:pPr>
              <w:pStyle w:val="Tabletext"/>
              <w:jc w:val="left"/>
              <w:rPr>
                <w:szCs w:val="22"/>
                <w:lang w:val="fr-FR"/>
              </w:rPr>
            </w:pPr>
            <w:r w:rsidRPr="00075DC8">
              <w:rPr>
                <w:szCs w:val="22"/>
                <w:lang w:val="fr-FR" w:eastAsia="ja-JP"/>
              </w:rPr>
              <w:t>Plage maximale des gains d</w:t>
            </w:r>
            <w:r w:rsidR="001F6A0D" w:rsidRPr="00075DC8">
              <w:rPr>
                <w:szCs w:val="22"/>
                <w:lang w:val="fr-FR" w:eastAsia="ja-JP"/>
              </w:rPr>
              <w:t>'</w:t>
            </w:r>
            <w:r w:rsidRPr="00075DC8">
              <w:rPr>
                <w:szCs w:val="22"/>
                <w:lang w:val="fr-FR" w:eastAsia="ja-JP"/>
              </w:rPr>
              <w:t>antenne (dBi)</w:t>
            </w:r>
          </w:p>
        </w:tc>
        <w:tc>
          <w:tcPr>
            <w:tcW w:w="2981" w:type="dxa"/>
            <w:tcBorders>
              <w:top w:val="single" w:sz="4" w:space="0" w:color="auto"/>
              <w:left w:val="single" w:sz="4" w:space="0" w:color="auto"/>
              <w:bottom w:val="single" w:sz="4" w:space="0" w:color="auto"/>
              <w:right w:val="single" w:sz="4" w:space="0" w:color="auto"/>
            </w:tcBorders>
            <w:hideMark/>
          </w:tcPr>
          <w:p w14:paraId="05825E4A" w14:textId="0915BD0D" w:rsidR="00725E50" w:rsidRPr="00075DC8" w:rsidRDefault="00725E50" w:rsidP="00ED4837">
            <w:pPr>
              <w:pStyle w:val="Tabletext"/>
              <w:jc w:val="center"/>
              <w:rPr>
                <w:lang w:val="fr-FR" w:eastAsia="ja-JP"/>
              </w:rPr>
            </w:pPr>
            <w:r w:rsidRPr="00075DC8">
              <w:rPr>
                <w:lang w:val="fr-FR" w:eastAsia="ja-JP"/>
              </w:rPr>
              <w:t>13 (équidirective/sectorielle)</w:t>
            </w:r>
            <w:r w:rsidRPr="00075DC8">
              <w:rPr>
                <w:lang w:val="fr-FR" w:eastAsia="ja-JP"/>
              </w:rPr>
              <w:br/>
              <w:t>…17</w:t>
            </w:r>
            <w:r w:rsidR="008B1840" w:rsidRPr="00075DC8">
              <w:rPr>
                <w:lang w:val="fr-FR" w:eastAsia="ja-JP"/>
              </w:rPr>
              <w:t> </w:t>
            </w:r>
            <w:r w:rsidRPr="00075DC8">
              <w:rPr>
                <w:lang w:val="fr-FR" w:eastAsia="ja-JP"/>
              </w:rPr>
              <w:t>(équidirective/sectorielle)</w:t>
            </w:r>
          </w:p>
        </w:tc>
        <w:tc>
          <w:tcPr>
            <w:tcW w:w="2700" w:type="dxa"/>
            <w:tcBorders>
              <w:top w:val="single" w:sz="4" w:space="0" w:color="auto"/>
              <w:left w:val="single" w:sz="4" w:space="0" w:color="auto"/>
              <w:bottom w:val="single" w:sz="4" w:space="0" w:color="auto"/>
              <w:right w:val="single" w:sz="4" w:space="0" w:color="auto"/>
            </w:tcBorders>
            <w:hideMark/>
          </w:tcPr>
          <w:p w14:paraId="7567F706" w14:textId="3C3FAC30" w:rsidR="00725E50" w:rsidRPr="00075DC8" w:rsidRDefault="00725E50" w:rsidP="00ED4837">
            <w:pPr>
              <w:pStyle w:val="Tabletext"/>
              <w:jc w:val="center"/>
              <w:rPr>
                <w:lang w:val="fr-FR" w:eastAsia="ja-JP"/>
              </w:rPr>
            </w:pPr>
            <w:r w:rsidRPr="00075DC8">
              <w:rPr>
                <w:lang w:val="fr-FR" w:eastAsia="ja-JP"/>
              </w:rPr>
              <w:t>17,5 (</w:t>
            </w:r>
            <w:r w:rsidR="008B1840" w:rsidRPr="00075DC8">
              <w:rPr>
                <w:lang w:val="fr-FR" w:eastAsia="ja-JP"/>
              </w:rPr>
              <w:t>y</w:t>
            </w:r>
            <w:r w:rsidRPr="00075DC8">
              <w:rPr>
                <w:lang w:val="fr-FR" w:eastAsia="ja-JP"/>
              </w:rPr>
              <w:t>agi/cornet)</w:t>
            </w:r>
            <w:r w:rsidRPr="00075DC8">
              <w:rPr>
                <w:lang w:val="fr-FR" w:eastAsia="ja-JP"/>
              </w:rPr>
              <w:br/>
              <w:t>…27 (parabolique/cornet)</w:t>
            </w:r>
          </w:p>
        </w:tc>
      </w:tr>
      <w:tr w:rsidR="00725E50" w:rsidRPr="00075DC8" w14:paraId="4C7A9D0D" w14:textId="77777777" w:rsidTr="008B1840">
        <w:trPr>
          <w:jc w:val="center"/>
        </w:trPr>
        <w:tc>
          <w:tcPr>
            <w:tcW w:w="39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8030174" w14:textId="77777777" w:rsidR="00725E50" w:rsidRPr="00075DC8" w:rsidRDefault="00725E50" w:rsidP="00ED4837">
            <w:pPr>
              <w:pStyle w:val="Tabletext"/>
              <w:jc w:val="left"/>
              <w:rPr>
                <w:lang w:val="fr-FR"/>
              </w:rPr>
            </w:pPr>
            <w:r w:rsidRPr="00075DC8">
              <w:rPr>
                <w:lang w:val="fr-FR" w:eastAsia="ja-JP"/>
              </w:rPr>
              <w:t>Plage maximale des</w:t>
            </w:r>
            <w:r w:rsidRPr="00075DC8">
              <w:rPr>
                <w:lang w:val="fr-FR"/>
              </w:rPr>
              <w:t xml:space="preserve"> p.i.r.e. (dBW)</w:t>
            </w:r>
            <w:r w:rsidRPr="00075DC8">
              <w:rPr>
                <w:vertAlign w:val="superscript"/>
                <w:lang w:val="fr-FR" w:eastAsia="ja-JP"/>
              </w:rPr>
              <w:t xml:space="preserve"> </w:t>
            </w:r>
          </w:p>
        </w:tc>
        <w:tc>
          <w:tcPr>
            <w:tcW w:w="2981" w:type="dxa"/>
            <w:tcBorders>
              <w:top w:val="single" w:sz="4" w:space="0" w:color="auto"/>
              <w:left w:val="single" w:sz="4" w:space="0" w:color="auto"/>
              <w:bottom w:val="single" w:sz="4" w:space="0" w:color="auto"/>
              <w:right w:val="single" w:sz="4" w:space="0" w:color="auto"/>
            </w:tcBorders>
            <w:hideMark/>
          </w:tcPr>
          <w:p w14:paraId="665B8F50" w14:textId="77777777" w:rsidR="00725E50" w:rsidRPr="00075DC8" w:rsidRDefault="00725E50" w:rsidP="00ED4837">
            <w:pPr>
              <w:pStyle w:val="Tabletext"/>
              <w:jc w:val="center"/>
              <w:rPr>
                <w:lang w:val="fr-FR" w:eastAsia="ja-JP"/>
              </w:rPr>
            </w:pPr>
            <w:r w:rsidRPr="00075DC8">
              <w:rPr>
                <w:lang w:val="fr-FR" w:eastAsia="ja-JP"/>
              </w:rPr>
              <w:t>6…24</w:t>
            </w:r>
          </w:p>
        </w:tc>
        <w:tc>
          <w:tcPr>
            <w:tcW w:w="2700" w:type="dxa"/>
            <w:tcBorders>
              <w:top w:val="single" w:sz="4" w:space="0" w:color="auto"/>
              <w:left w:val="single" w:sz="4" w:space="0" w:color="auto"/>
              <w:bottom w:val="single" w:sz="4" w:space="0" w:color="auto"/>
              <w:right w:val="single" w:sz="4" w:space="0" w:color="auto"/>
            </w:tcBorders>
            <w:hideMark/>
          </w:tcPr>
          <w:p w14:paraId="6195D789" w14:textId="77777777" w:rsidR="00725E50" w:rsidRPr="00075DC8" w:rsidRDefault="00725E50" w:rsidP="00ED4837">
            <w:pPr>
              <w:pStyle w:val="Tabletext"/>
              <w:jc w:val="center"/>
              <w:rPr>
                <w:lang w:val="fr-FR" w:eastAsia="ja-JP"/>
              </w:rPr>
            </w:pPr>
            <w:r w:rsidRPr="00075DC8">
              <w:rPr>
                <w:lang w:val="fr-FR" w:eastAsia="ja-JP"/>
              </w:rPr>
              <w:t>16…34</w:t>
            </w:r>
          </w:p>
        </w:tc>
      </w:tr>
      <w:tr w:rsidR="00725E50" w:rsidRPr="00075DC8" w14:paraId="100314D6" w14:textId="77777777" w:rsidTr="008B1840">
        <w:trPr>
          <w:jc w:val="center"/>
        </w:trPr>
        <w:tc>
          <w:tcPr>
            <w:tcW w:w="39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6E7E659" w14:textId="77777777" w:rsidR="00725E50" w:rsidRPr="00075DC8" w:rsidRDefault="00725E50" w:rsidP="00ED4837">
            <w:pPr>
              <w:pStyle w:val="Tabletext"/>
              <w:jc w:val="left"/>
              <w:rPr>
                <w:lang w:val="fr-FR"/>
              </w:rPr>
            </w:pPr>
            <w:r w:rsidRPr="00075DC8">
              <w:rPr>
                <w:lang w:val="fr-FR" w:eastAsia="ja-JP"/>
              </w:rPr>
              <w:t>Plage maximale des densités</w:t>
            </w:r>
            <w:r w:rsidRPr="00075DC8">
              <w:rPr>
                <w:lang w:val="fr-FR"/>
              </w:rPr>
              <w:t xml:space="preserve"> de p.i.r.e. (dBW/MHz)</w:t>
            </w:r>
            <w:r w:rsidRPr="00075DC8">
              <w:rPr>
                <w:vertAlign w:val="superscript"/>
                <w:lang w:val="fr-FR" w:eastAsia="ja-JP"/>
              </w:rPr>
              <w:t>(1)</w:t>
            </w:r>
          </w:p>
        </w:tc>
        <w:tc>
          <w:tcPr>
            <w:tcW w:w="2981" w:type="dxa"/>
            <w:tcBorders>
              <w:top w:val="single" w:sz="4" w:space="0" w:color="auto"/>
              <w:left w:val="single" w:sz="4" w:space="0" w:color="auto"/>
              <w:bottom w:val="single" w:sz="4" w:space="0" w:color="auto"/>
              <w:right w:val="single" w:sz="4" w:space="0" w:color="auto"/>
            </w:tcBorders>
            <w:hideMark/>
          </w:tcPr>
          <w:p w14:paraId="597CAA04" w14:textId="77777777" w:rsidR="00725E50" w:rsidRPr="00075DC8" w:rsidRDefault="00725E50" w:rsidP="00ED4837">
            <w:pPr>
              <w:pStyle w:val="Tabletext"/>
              <w:jc w:val="center"/>
              <w:rPr>
                <w:lang w:val="fr-FR" w:eastAsia="ja-JP"/>
              </w:rPr>
            </w:pPr>
            <w:r w:rsidRPr="00075DC8">
              <w:rPr>
                <w:lang w:val="fr-FR" w:eastAsia="ja-JP"/>
              </w:rPr>
              <w:t>3,0…19</w:t>
            </w:r>
          </w:p>
        </w:tc>
        <w:tc>
          <w:tcPr>
            <w:tcW w:w="2700" w:type="dxa"/>
            <w:tcBorders>
              <w:top w:val="single" w:sz="4" w:space="0" w:color="auto"/>
              <w:left w:val="single" w:sz="4" w:space="0" w:color="auto"/>
              <w:bottom w:val="single" w:sz="4" w:space="0" w:color="auto"/>
              <w:right w:val="single" w:sz="4" w:space="0" w:color="auto"/>
            </w:tcBorders>
            <w:hideMark/>
          </w:tcPr>
          <w:p w14:paraId="1E933272" w14:textId="77777777" w:rsidR="00725E50" w:rsidRPr="00075DC8" w:rsidRDefault="00725E50" w:rsidP="00ED4837">
            <w:pPr>
              <w:pStyle w:val="Tabletext"/>
              <w:jc w:val="center"/>
              <w:rPr>
                <w:lang w:val="fr-FR" w:eastAsia="ja-JP"/>
              </w:rPr>
            </w:pPr>
            <w:r w:rsidRPr="00075DC8">
              <w:rPr>
                <w:lang w:val="fr-FR" w:eastAsia="ja-JP"/>
              </w:rPr>
              <w:t>13…29</w:t>
            </w:r>
          </w:p>
        </w:tc>
      </w:tr>
      <w:tr w:rsidR="00725E50" w:rsidRPr="00075DC8" w14:paraId="4B9370FE" w14:textId="77777777" w:rsidTr="008B1840">
        <w:trPr>
          <w:jc w:val="center"/>
        </w:trPr>
        <w:tc>
          <w:tcPr>
            <w:tcW w:w="39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430BEA" w14:textId="77777777" w:rsidR="00725E50" w:rsidRPr="00075DC8" w:rsidRDefault="00725E50" w:rsidP="00ED4837">
            <w:pPr>
              <w:pStyle w:val="Tabletext"/>
              <w:jc w:val="left"/>
              <w:rPr>
                <w:lang w:val="fr-FR"/>
              </w:rPr>
            </w:pPr>
            <w:r w:rsidRPr="00075DC8">
              <w:rPr>
                <w:lang w:val="fr-FR" w:eastAsia="ja-JP"/>
              </w:rPr>
              <w:t xml:space="preserve">Facteur de bruit du récepteur </w:t>
            </w:r>
            <w:r w:rsidRPr="00075DC8">
              <w:rPr>
                <w:lang w:val="fr-FR"/>
              </w:rPr>
              <w:t xml:space="preserve">(dB) </w:t>
            </w:r>
          </w:p>
        </w:tc>
        <w:tc>
          <w:tcPr>
            <w:tcW w:w="2981" w:type="dxa"/>
            <w:tcBorders>
              <w:top w:val="single" w:sz="4" w:space="0" w:color="auto"/>
              <w:left w:val="single" w:sz="4" w:space="0" w:color="auto"/>
              <w:bottom w:val="single" w:sz="4" w:space="0" w:color="auto"/>
              <w:right w:val="single" w:sz="4" w:space="0" w:color="auto"/>
            </w:tcBorders>
            <w:hideMark/>
          </w:tcPr>
          <w:p w14:paraId="642CF65C" w14:textId="77777777" w:rsidR="00725E50" w:rsidRPr="00075DC8" w:rsidRDefault="00725E50" w:rsidP="00ED4837">
            <w:pPr>
              <w:pStyle w:val="Tabletext"/>
              <w:jc w:val="center"/>
              <w:rPr>
                <w:lang w:val="fr-FR" w:eastAsia="ja-JP"/>
              </w:rPr>
            </w:pPr>
            <w:r w:rsidRPr="00075DC8">
              <w:rPr>
                <w:lang w:val="fr-FR" w:eastAsia="ja-JP"/>
              </w:rPr>
              <w:t>3,5…4</w:t>
            </w:r>
          </w:p>
        </w:tc>
        <w:tc>
          <w:tcPr>
            <w:tcW w:w="2700" w:type="dxa"/>
            <w:tcBorders>
              <w:top w:val="single" w:sz="4" w:space="0" w:color="auto"/>
              <w:left w:val="single" w:sz="4" w:space="0" w:color="auto"/>
              <w:bottom w:val="single" w:sz="4" w:space="0" w:color="auto"/>
              <w:right w:val="single" w:sz="4" w:space="0" w:color="auto"/>
            </w:tcBorders>
            <w:hideMark/>
          </w:tcPr>
          <w:p w14:paraId="2BF405E8" w14:textId="77777777" w:rsidR="00725E50" w:rsidRPr="00075DC8" w:rsidRDefault="00725E50" w:rsidP="00ED4837">
            <w:pPr>
              <w:pStyle w:val="Tabletext"/>
              <w:jc w:val="center"/>
              <w:rPr>
                <w:lang w:val="fr-FR" w:eastAsia="ja-JP"/>
              </w:rPr>
            </w:pPr>
            <w:r w:rsidRPr="00075DC8">
              <w:rPr>
                <w:lang w:val="fr-FR" w:eastAsia="ja-JP"/>
              </w:rPr>
              <w:t>3,5…4</w:t>
            </w:r>
          </w:p>
        </w:tc>
      </w:tr>
      <w:tr w:rsidR="00725E50" w:rsidRPr="00075DC8" w14:paraId="268247F9" w14:textId="77777777" w:rsidTr="008B1840">
        <w:trPr>
          <w:jc w:val="center"/>
        </w:trPr>
        <w:tc>
          <w:tcPr>
            <w:tcW w:w="39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262A6B3" w14:textId="77777777" w:rsidR="00725E50" w:rsidRPr="00075DC8" w:rsidRDefault="00725E50" w:rsidP="00ED4837">
            <w:pPr>
              <w:pStyle w:val="Tabletext"/>
              <w:jc w:val="left"/>
              <w:rPr>
                <w:lang w:val="fr-FR"/>
              </w:rPr>
            </w:pPr>
            <w:r w:rsidRPr="00075DC8">
              <w:rPr>
                <w:lang w:val="fr-FR" w:eastAsia="ja-JP"/>
              </w:rPr>
              <w:t>Densité type de puissance de bruit du récepteur (=</w:t>
            </w:r>
            <w:r w:rsidRPr="00075DC8">
              <w:rPr>
                <w:i/>
                <w:iCs/>
                <w:lang w:val="fr-FR" w:eastAsia="ja-JP"/>
              </w:rPr>
              <w:t>N</w:t>
            </w:r>
            <w:r w:rsidRPr="00075DC8">
              <w:rPr>
                <w:i/>
                <w:iCs/>
                <w:vertAlign w:val="subscript"/>
                <w:lang w:val="fr-FR"/>
              </w:rPr>
              <w:t>RX</w:t>
            </w:r>
            <w:r w:rsidRPr="00075DC8">
              <w:rPr>
                <w:lang w:val="fr-FR" w:eastAsia="ja-JP"/>
              </w:rPr>
              <w:t xml:space="preserve">) </w:t>
            </w:r>
            <w:r w:rsidRPr="00075DC8">
              <w:rPr>
                <w:lang w:val="fr-FR"/>
              </w:rPr>
              <w:t>(dBW/MHz)</w:t>
            </w:r>
          </w:p>
        </w:tc>
        <w:tc>
          <w:tcPr>
            <w:tcW w:w="2981" w:type="dxa"/>
            <w:tcBorders>
              <w:top w:val="single" w:sz="4" w:space="0" w:color="auto"/>
              <w:left w:val="single" w:sz="4" w:space="0" w:color="auto"/>
              <w:bottom w:val="single" w:sz="4" w:space="0" w:color="auto"/>
              <w:right w:val="single" w:sz="4" w:space="0" w:color="auto"/>
            </w:tcBorders>
            <w:hideMark/>
          </w:tcPr>
          <w:p w14:paraId="4DA2067B" w14:textId="77777777" w:rsidR="00725E50" w:rsidRPr="00075DC8" w:rsidRDefault="00725E50" w:rsidP="00ED4837">
            <w:pPr>
              <w:pStyle w:val="Tabletext"/>
              <w:jc w:val="center"/>
              <w:rPr>
                <w:lang w:val="fr-FR" w:eastAsia="ja-JP"/>
              </w:rPr>
            </w:pPr>
            <w:r w:rsidRPr="00075DC8">
              <w:rPr>
                <w:lang w:val="fr-FR" w:eastAsia="ja-JP"/>
              </w:rPr>
              <w:t>−140,5…−140</w:t>
            </w:r>
          </w:p>
        </w:tc>
        <w:tc>
          <w:tcPr>
            <w:tcW w:w="2700" w:type="dxa"/>
            <w:tcBorders>
              <w:top w:val="single" w:sz="4" w:space="0" w:color="auto"/>
              <w:left w:val="single" w:sz="4" w:space="0" w:color="auto"/>
              <w:bottom w:val="single" w:sz="4" w:space="0" w:color="auto"/>
              <w:right w:val="single" w:sz="4" w:space="0" w:color="auto"/>
            </w:tcBorders>
            <w:hideMark/>
          </w:tcPr>
          <w:p w14:paraId="5BDF746C" w14:textId="77777777" w:rsidR="00725E50" w:rsidRPr="00075DC8" w:rsidRDefault="00725E50" w:rsidP="00ED4837">
            <w:pPr>
              <w:pStyle w:val="Tabletext"/>
              <w:jc w:val="center"/>
              <w:rPr>
                <w:lang w:val="fr-FR" w:eastAsia="ja-JP"/>
              </w:rPr>
            </w:pPr>
            <w:r w:rsidRPr="00075DC8">
              <w:rPr>
                <w:lang w:val="fr-FR" w:eastAsia="ja-JP"/>
              </w:rPr>
              <w:t>−140,5…−140</w:t>
            </w:r>
          </w:p>
        </w:tc>
      </w:tr>
      <w:tr w:rsidR="00725E50" w:rsidRPr="00075DC8" w14:paraId="302BC5AE" w14:textId="77777777" w:rsidTr="008B1840">
        <w:trPr>
          <w:jc w:val="center"/>
        </w:trPr>
        <w:tc>
          <w:tcPr>
            <w:tcW w:w="39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F0FF525" w14:textId="5491321B" w:rsidR="00725E50" w:rsidRPr="00075DC8" w:rsidRDefault="00725E50" w:rsidP="00ED4837">
            <w:pPr>
              <w:pStyle w:val="Tabletext"/>
              <w:jc w:val="left"/>
              <w:rPr>
                <w:lang w:val="fr-FR"/>
              </w:rPr>
            </w:pPr>
            <w:r w:rsidRPr="00075DC8">
              <w:rPr>
                <w:lang w:val="fr-FR" w:eastAsia="ja-JP"/>
              </w:rPr>
              <w:t>Niveau normalisé à l</w:t>
            </w:r>
            <w:r w:rsidR="001F6A0D" w:rsidRPr="00075DC8">
              <w:rPr>
                <w:lang w:val="fr-FR" w:eastAsia="ja-JP"/>
              </w:rPr>
              <w:t>'</w:t>
            </w:r>
            <w:r w:rsidRPr="00075DC8">
              <w:rPr>
                <w:lang w:val="fr-FR" w:eastAsia="ja-JP"/>
              </w:rPr>
              <w:t>entrée du récepteur pour un taux BER de</w:t>
            </w:r>
            <w:r w:rsidRPr="00075DC8">
              <w:rPr>
                <w:lang w:val="fr-FR"/>
              </w:rPr>
              <w:t xml:space="preserve"> 1 × 10</w:t>
            </w:r>
            <w:r w:rsidR="003567D8" w:rsidRPr="00075DC8">
              <w:rPr>
                <w:vertAlign w:val="superscript"/>
                <w:lang w:val="fr-FR"/>
              </w:rPr>
              <w:t>−</w:t>
            </w:r>
            <w:r w:rsidRPr="00075DC8">
              <w:rPr>
                <w:vertAlign w:val="superscript"/>
                <w:lang w:val="fr-FR"/>
              </w:rPr>
              <w:t>6</w:t>
            </w:r>
            <w:r w:rsidRPr="00075DC8">
              <w:rPr>
                <w:lang w:val="fr-FR"/>
              </w:rPr>
              <w:t xml:space="preserve"> (dBW/MHz) </w:t>
            </w:r>
          </w:p>
        </w:tc>
        <w:tc>
          <w:tcPr>
            <w:tcW w:w="2981" w:type="dxa"/>
            <w:tcBorders>
              <w:top w:val="single" w:sz="4" w:space="0" w:color="auto"/>
              <w:left w:val="single" w:sz="4" w:space="0" w:color="auto"/>
              <w:bottom w:val="single" w:sz="4" w:space="0" w:color="auto"/>
              <w:right w:val="single" w:sz="4" w:space="0" w:color="auto"/>
            </w:tcBorders>
            <w:hideMark/>
          </w:tcPr>
          <w:p w14:paraId="523C768A" w14:textId="77777777" w:rsidR="00725E50" w:rsidRPr="00075DC8" w:rsidRDefault="00725E50" w:rsidP="00ED4837">
            <w:pPr>
              <w:pStyle w:val="Tabletext"/>
              <w:jc w:val="center"/>
              <w:rPr>
                <w:lang w:val="fr-FR" w:eastAsia="ja-JP"/>
              </w:rPr>
            </w:pPr>
            <w:r w:rsidRPr="00075DC8">
              <w:rPr>
                <w:lang w:val="fr-FR" w:eastAsia="ja-JP"/>
              </w:rPr>
              <w:t>−127…−126,5</w:t>
            </w:r>
          </w:p>
        </w:tc>
        <w:tc>
          <w:tcPr>
            <w:tcW w:w="2700" w:type="dxa"/>
            <w:tcBorders>
              <w:top w:val="single" w:sz="4" w:space="0" w:color="auto"/>
              <w:left w:val="single" w:sz="4" w:space="0" w:color="auto"/>
              <w:bottom w:val="single" w:sz="4" w:space="0" w:color="auto"/>
              <w:right w:val="single" w:sz="4" w:space="0" w:color="auto"/>
            </w:tcBorders>
            <w:hideMark/>
          </w:tcPr>
          <w:p w14:paraId="749C6DC3" w14:textId="77777777" w:rsidR="00725E50" w:rsidRPr="00075DC8" w:rsidRDefault="00725E50" w:rsidP="00ED4837">
            <w:pPr>
              <w:pStyle w:val="Tabletext"/>
              <w:jc w:val="center"/>
              <w:rPr>
                <w:lang w:val="fr-FR"/>
              </w:rPr>
            </w:pPr>
            <w:r w:rsidRPr="00075DC8">
              <w:rPr>
                <w:lang w:val="fr-FR" w:eastAsia="ja-JP"/>
              </w:rPr>
              <w:t>−127…−126,5</w:t>
            </w:r>
          </w:p>
        </w:tc>
      </w:tr>
      <w:tr w:rsidR="00725E50" w:rsidRPr="00075DC8" w14:paraId="256B0734" w14:textId="77777777" w:rsidTr="008B1840">
        <w:trPr>
          <w:jc w:val="center"/>
        </w:trPr>
        <w:tc>
          <w:tcPr>
            <w:tcW w:w="39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A4B7729" w14:textId="77777777" w:rsidR="00725E50" w:rsidRPr="00075DC8" w:rsidRDefault="00725E50" w:rsidP="00ED4837">
            <w:pPr>
              <w:pStyle w:val="Tabletext"/>
              <w:jc w:val="left"/>
              <w:rPr>
                <w:lang w:val="fr-FR" w:eastAsia="ja-JP"/>
              </w:rPr>
            </w:pPr>
            <w:r w:rsidRPr="00075DC8">
              <w:rPr>
                <w:lang w:val="fr-FR" w:eastAsia="ja-JP"/>
              </w:rPr>
              <w:t xml:space="preserve">Densité nominale de puissance de brouillage de longue durée </w:t>
            </w:r>
            <w:r w:rsidRPr="00075DC8">
              <w:rPr>
                <w:lang w:val="fr-FR"/>
              </w:rPr>
              <w:t>(dBW/MHz)</w:t>
            </w:r>
            <w:r w:rsidRPr="00075DC8">
              <w:rPr>
                <w:vertAlign w:val="superscript"/>
                <w:lang w:val="fr-FR" w:eastAsia="ja-JP"/>
              </w:rPr>
              <w:t>(2)</w:t>
            </w:r>
          </w:p>
        </w:tc>
        <w:tc>
          <w:tcPr>
            <w:tcW w:w="2981" w:type="dxa"/>
            <w:tcBorders>
              <w:top w:val="single" w:sz="4" w:space="0" w:color="auto"/>
              <w:left w:val="single" w:sz="4" w:space="0" w:color="auto"/>
              <w:bottom w:val="single" w:sz="4" w:space="0" w:color="auto"/>
              <w:right w:val="single" w:sz="4" w:space="0" w:color="auto"/>
            </w:tcBorders>
            <w:hideMark/>
          </w:tcPr>
          <w:p w14:paraId="5C27164B" w14:textId="77777777" w:rsidR="00725E50" w:rsidRPr="00075DC8" w:rsidRDefault="00725E50" w:rsidP="00ED4837">
            <w:pPr>
              <w:pStyle w:val="Tabletext"/>
              <w:jc w:val="center"/>
              <w:rPr>
                <w:lang w:val="fr-FR" w:eastAsia="ja-JP"/>
              </w:rPr>
            </w:pPr>
            <w:r w:rsidRPr="00075DC8">
              <w:rPr>
                <w:lang w:val="fr-FR" w:eastAsia="ja-JP"/>
              </w:rPr>
              <w:t>−140,5…−140</w:t>
            </w:r>
            <w:r w:rsidRPr="00075DC8">
              <w:rPr>
                <w:i/>
                <w:lang w:val="fr-FR"/>
              </w:rPr>
              <w:t xml:space="preserve"> + I</w:t>
            </w:r>
            <w:r w:rsidRPr="00075DC8">
              <w:rPr>
                <w:iCs/>
                <w:lang w:val="fr-FR"/>
              </w:rPr>
              <w:t>/</w:t>
            </w:r>
            <w:r w:rsidRPr="00075DC8">
              <w:rPr>
                <w:i/>
                <w:lang w:val="fr-FR"/>
              </w:rPr>
              <w:t>N</w:t>
            </w:r>
          </w:p>
        </w:tc>
        <w:tc>
          <w:tcPr>
            <w:tcW w:w="2700" w:type="dxa"/>
            <w:tcBorders>
              <w:top w:val="single" w:sz="4" w:space="0" w:color="auto"/>
              <w:left w:val="single" w:sz="4" w:space="0" w:color="auto"/>
              <w:bottom w:val="single" w:sz="4" w:space="0" w:color="auto"/>
              <w:right w:val="single" w:sz="4" w:space="0" w:color="auto"/>
            </w:tcBorders>
            <w:hideMark/>
          </w:tcPr>
          <w:p w14:paraId="628F1023" w14:textId="77777777" w:rsidR="00725E50" w:rsidRPr="00075DC8" w:rsidRDefault="00725E50" w:rsidP="00ED4837">
            <w:pPr>
              <w:pStyle w:val="Tabletext"/>
              <w:jc w:val="center"/>
              <w:rPr>
                <w:lang w:val="fr-FR" w:eastAsia="ja-JP"/>
              </w:rPr>
            </w:pPr>
            <w:r w:rsidRPr="00075DC8">
              <w:rPr>
                <w:lang w:val="fr-FR" w:eastAsia="ja-JP"/>
              </w:rPr>
              <w:t>−140,5…−140</w:t>
            </w:r>
            <w:r w:rsidRPr="00075DC8">
              <w:rPr>
                <w:i/>
                <w:lang w:val="fr-FR"/>
              </w:rPr>
              <w:t xml:space="preserve"> + I</w:t>
            </w:r>
            <w:r w:rsidRPr="00075DC8">
              <w:rPr>
                <w:iCs/>
                <w:lang w:val="fr-FR"/>
              </w:rPr>
              <w:t>/</w:t>
            </w:r>
            <w:r w:rsidRPr="00075DC8">
              <w:rPr>
                <w:i/>
                <w:lang w:val="fr-FR"/>
              </w:rPr>
              <w:t>N</w:t>
            </w:r>
          </w:p>
        </w:tc>
      </w:tr>
      <w:tr w:rsidR="00725E50" w:rsidRPr="00075DC8" w14:paraId="4E026D33" w14:textId="77777777" w:rsidTr="008B1840">
        <w:trPr>
          <w:jc w:val="center"/>
        </w:trPr>
        <w:tc>
          <w:tcPr>
            <w:tcW w:w="9645" w:type="dxa"/>
            <w:gridSpan w:val="3"/>
            <w:tcBorders>
              <w:top w:val="single" w:sz="4" w:space="0" w:color="auto"/>
              <w:left w:val="nil"/>
              <w:bottom w:val="nil"/>
              <w:right w:val="nil"/>
            </w:tcBorders>
            <w:tcMar>
              <w:top w:w="0" w:type="dxa"/>
              <w:left w:w="57" w:type="dxa"/>
              <w:bottom w:w="0" w:type="dxa"/>
              <w:right w:w="57" w:type="dxa"/>
            </w:tcMar>
            <w:hideMark/>
          </w:tcPr>
          <w:p w14:paraId="16000C5E" w14:textId="1F3D2ABC" w:rsidR="00725E50" w:rsidRPr="00075DC8" w:rsidRDefault="00725E50" w:rsidP="00531043">
            <w:pPr>
              <w:pStyle w:val="Tabletext"/>
              <w:ind w:left="284" w:hanging="284"/>
              <w:rPr>
                <w:lang w:val="fr-FR" w:eastAsia="ja-JP"/>
              </w:rPr>
            </w:pPr>
            <w:r w:rsidRPr="00075DC8">
              <w:rPr>
                <w:vertAlign w:val="superscript"/>
                <w:lang w:val="fr-FR" w:eastAsia="ja-JP"/>
              </w:rPr>
              <w:t>(1)</w:t>
            </w:r>
            <w:r w:rsidRPr="00075DC8">
              <w:rPr>
                <w:lang w:val="fr-FR" w:eastAsia="ja-JP"/>
              </w:rPr>
              <w:tab/>
              <w:t>Pour calculer les valeurs des densités de puissance au niveau de l</w:t>
            </w:r>
            <w:r w:rsidR="001F6A0D" w:rsidRPr="00075DC8">
              <w:rPr>
                <w:lang w:val="fr-FR" w:eastAsia="ja-JP"/>
              </w:rPr>
              <w:t>'</w:t>
            </w:r>
            <w:r w:rsidRPr="00075DC8">
              <w:rPr>
                <w:lang w:val="fr-FR" w:eastAsia="ja-JP"/>
              </w:rPr>
              <w:t>émetteur ou des densités de p.i.r.e., il est nécessaire de définir l</w:t>
            </w:r>
            <w:r w:rsidR="001F6A0D" w:rsidRPr="00075DC8">
              <w:rPr>
                <w:lang w:val="fr-FR" w:eastAsia="ja-JP"/>
              </w:rPr>
              <w:t>'</w:t>
            </w:r>
            <w:r w:rsidRPr="00075DC8">
              <w:rPr>
                <w:lang w:val="fr-FR" w:eastAsia="ja-JP"/>
              </w:rPr>
              <w:t xml:space="preserve">espacement des canaux/la largeur de bande. Dans ces </w:t>
            </w:r>
            <w:r w:rsidR="00A464CC" w:rsidRPr="00075DC8">
              <w:rPr>
                <w:lang w:val="fr-FR" w:eastAsia="ja-JP"/>
              </w:rPr>
              <w:t>t</w:t>
            </w:r>
            <w:r w:rsidRPr="00075DC8">
              <w:rPr>
                <w:lang w:val="fr-FR" w:eastAsia="ja-JP"/>
              </w:rPr>
              <w:t>ableaux, l</w:t>
            </w:r>
            <w:r w:rsidR="001F6A0D" w:rsidRPr="00075DC8">
              <w:rPr>
                <w:lang w:val="fr-FR" w:eastAsia="ja-JP"/>
              </w:rPr>
              <w:t>'</w:t>
            </w:r>
            <w:r w:rsidRPr="00075DC8">
              <w:rPr>
                <w:lang w:val="fr-FR" w:eastAsia="ja-JP"/>
              </w:rPr>
              <w:t xml:space="preserve">espacement des canaux est indiqué en </w:t>
            </w:r>
            <w:r w:rsidRPr="00075DC8">
              <w:rPr>
                <w:b/>
                <w:bCs/>
                <w:lang w:val="fr-FR" w:eastAsia="ja-JP"/>
              </w:rPr>
              <w:t>caractères gras</w:t>
            </w:r>
            <w:r w:rsidRPr="00075DC8">
              <w:rPr>
                <w:lang w:val="fr-FR" w:eastAsia="ja-JP"/>
              </w:rPr>
              <w:t>.</w:t>
            </w:r>
          </w:p>
          <w:p w14:paraId="1AE727A6" w14:textId="278D904C" w:rsidR="00725E50" w:rsidRPr="00075DC8" w:rsidRDefault="00725E50" w:rsidP="00531043">
            <w:pPr>
              <w:pStyle w:val="Tabletext"/>
              <w:ind w:left="284" w:hanging="284"/>
              <w:rPr>
                <w:lang w:val="fr-FR"/>
              </w:rPr>
            </w:pPr>
            <w:r w:rsidRPr="00075DC8">
              <w:rPr>
                <w:vertAlign w:val="superscript"/>
                <w:lang w:val="fr-FR" w:eastAsia="ja-JP"/>
              </w:rPr>
              <w:t>(2)</w:t>
            </w:r>
            <w:r w:rsidRPr="00075DC8">
              <w:rPr>
                <w:sz w:val="20"/>
                <w:lang w:val="fr-FR" w:eastAsia="ja-JP"/>
              </w:rPr>
              <w:tab/>
            </w:r>
            <w:r w:rsidRPr="00075DC8">
              <w:rPr>
                <w:lang w:val="fr-FR"/>
              </w:rPr>
              <w:t>La densité nominale de puissance de brouillage de longue durée est définie par la «densité de puissance de bruit du récepteur + (</w:t>
            </w:r>
            <w:r w:rsidRPr="00075DC8">
              <w:rPr>
                <w:i/>
                <w:iCs/>
                <w:lang w:val="fr-FR"/>
              </w:rPr>
              <w:t>I</w:t>
            </w:r>
            <w:r w:rsidRPr="00075DC8">
              <w:rPr>
                <w:lang w:val="fr-FR"/>
              </w:rPr>
              <w:t>/</w:t>
            </w:r>
            <w:r w:rsidRPr="00075DC8">
              <w:rPr>
                <w:i/>
                <w:iCs/>
                <w:lang w:val="fr-FR"/>
              </w:rPr>
              <w:t>N</w:t>
            </w:r>
            <w:r w:rsidRPr="00075DC8">
              <w:rPr>
                <w:lang w:val="fr-FR"/>
              </w:rPr>
              <w:t xml:space="preserve"> requis)» comme décrit au </w:t>
            </w:r>
            <w:r w:rsidR="008B1840" w:rsidRPr="00075DC8">
              <w:rPr>
                <w:lang w:val="fr-FR"/>
              </w:rPr>
              <w:t>§ </w:t>
            </w:r>
            <w:r w:rsidRPr="00075DC8">
              <w:rPr>
                <w:lang w:val="fr-FR"/>
              </w:rPr>
              <w:t>4.13 de l</w:t>
            </w:r>
            <w:r w:rsidR="001F6A0D" w:rsidRPr="00075DC8">
              <w:rPr>
                <w:lang w:val="fr-FR"/>
              </w:rPr>
              <w:t>'</w:t>
            </w:r>
            <w:r w:rsidRPr="00075DC8">
              <w:rPr>
                <w:lang w:val="fr-FR"/>
              </w:rPr>
              <w:t xml:space="preserve">Annexe 2 (voir aussi le </w:t>
            </w:r>
            <w:r w:rsidR="008B1840" w:rsidRPr="00075DC8">
              <w:rPr>
                <w:lang w:val="fr-FR"/>
              </w:rPr>
              <w:t>§ </w:t>
            </w:r>
            <w:r w:rsidRPr="00075DC8">
              <w:rPr>
                <w:lang w:val="fr-FR"/>
              </w:rPr>
              <w:t>4.1 de l</w:t>
            </w:r>
            <w:r w:rsidR="001F6A0D" w:rsidRPr="00075DC8">
              <w:rPr>
                <w:lang w:val="fr-FR"/>
              </w:rPr>
              <w:t>'</w:t>
            </w:r>
            <w:r w:rsidRPr="00075DC8">
              <w:rPr>
                <w:lang w:val="fr-FR"/>
              </w:rPr>
              <w:t>Annexe 1).</w:t>
            </w:r>
          </w:p>
          <w:p w14:paraId="30E8D94E" w14:textId="5D80AF79" w:rsidR="00725E50" w:rsidRPr="00075DC8" w:rsidRDefault="00725E50" w:rsidP="00531043">
            <w:pPr>
              <w:pStyle w:val="Tabletext"/>
              <w:ind w:left="284" w:hanging="284"/>
              <w:rPr>
                <w:b/>
                <w:lang w:val="fr-FR"/>
              </w:rPr>
            </w:pPr>
            <w:r w:rsidRPr="00075DC8">
              <w:rPr>
                <w:vertAlign w:val="superscript"/>
                <w:lang w:val="fr-FR" w:eastAsia="ja-JP"/>
              </w:rPr>
              <w:t>(3)</w:t>
            </w:r>
            <w:r w:rsidRPr="00075DC8">
              <w:rPr>
                <w:lang w:val="fr-FR" w:eastAsia="ja-JP"/>
              </w:rPr>
              <w:tab/>
              <w:t>Certains systèmes emploient les modulations MDP-4 décalée et MDPQ dans la bande et le système MDPQ est choisi parce qu</w:t>
            </w:r>
            <w:r w:rsidR="001F6A0D" w:rsidRPr="00075DC8">
              <w:rPr>
                <w:lang w:val="fr-FR" w:eastAsia="ja-JP"/>
              </w:rPr>
              <w:t>'</w:t>
            </w:r>
            <w:r w:rsidRPr="00075DC8">
              <w:rPr>
                <w:lang w:val="fr-FR" w:eastAsia="ja-JP"/>
              </w:rPr>
              <w:t>il contient tous les paramètres</w:t>
            </w:r>
            <w:r w:rsidRPr="00075DC8">
              <w:rPr>
                <w:lang w:val="fr-FR"/>
              </w:rPr>
              <w:t>.</w:t>
            </w:r>
          </w:p>
          <w:p w14:paraId="6FE5628B" w14:textId="3E3AEDC5" w:rsidR="00725E50" w:rsidRPr="00075DC8" w:rsidRDefault="00725E50" w:rsidP="00531043">
            <w:pPr>
              <w:pStyle w:val="Tabletext"/>
              <w:ind w:left="284" w:hanging="284"/>
              <w:rPr>
                <w:b/>
                <w:lang w:val="fr-FR" w:eastAsia="ja-JP"/>
              </w:rPr>
            </w:pPr>
            <w:r w:rsidRPr="00075DC8">
              <w:rPr>
                <w:vertAlign w:val="superscript"/>
                <w:lang w:val="fr-FR" w:eastAsia="ja-JP"/>
              </w:rPr>
              <w:t>(4)</w:t>
            </w:r>
            <w:r w:rsidRPr="00075DC8">
              <w:rPr>
                <w:lang w:val="fr-FR"/>
              </w:rPr>
              <w:tab/>
            </w:r>
            <w:r w:rsidRPr="00075DC8">
              <w:rPr>
                <w:lang w:val="fr-FR" w:eastAsia="ja-JP"/>
              </w:rPr>
              <w:t>La Recommandation UIT-R F.701 ne préconise qu</w:t>
            </w:r>
            <w:r w:rsidR="001F6A0D" w:rsidRPr="00075DC8">
              <w:rPr>
                <w:lang w:val="fr-FR" w:eastAsia="ja-JP"/>
              </w:rPr>
              <w:t>'</w:t>
            </w:r>
            <w:r w:rsidRPr="00075DC8">
              <w:rPr>
                <w:lang w:val="fr-FR" w:eastAsia="ja-JP"/>
              </w:rPr>
              <w:t>une configuration de base à 0,5 MHz (ou un multiple entier de cette valeur). Les valeurs de 2 et 3,5 MHz sont proposées pour ces systèmes en tant qu</w:t>
            </w:r>
            <w:r w:rsidR="001F6A0D" w:rsidRPr="00075DC8">
              <w:rPr>
                <w:lang w:val="fr-FR" w:eastAsia="ja-JP"/>
              </w:rPr>
              <w:t>'</w:t>
            </w:r>
            <w:r w:rsidRPr="00075DC8">
              <w:rPr>
                <w:lang w:val="fr-FR" w:eastAsia="ja-JP"/>
              </w:rPr>
              <w:t>espacements les plus courants des canaux.</w:t>
            </w:r>
          </w:p>
        </w:tc>
      </w:tr>
    </w:tbl>
    <w:p w14:paraId="0B64342A" w14:textId="77777777" w:rsidR="007A6D9D" w:rsidRPr="00075DC8" w:rsidRDefault="007A6D9D" w:rsidP="007A6D9D">
      <w:pPr>
        <w:pStyle w:val="Line"/>
        <w:rPr>
          <w:lang w:val="fr-FR"/>
        </w:rPr>
      </w:pPr>
    </w:p>
    <w:sectPr w:rsidR="007A6D9D" w:rsidRPr="00075DC8">
      <w:headerReference w:type="even" r:id="rId122"/>
      <w:headerReference w:type="default" r:id="rId123"/>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8AC27" w14:textId="77777777" w:rsidR="007A6D9D" w:rsidRDefault="007A6D9D">
      <w:r>
        <w:separator/>
      </w:r>
    </w:p>
  </w:endnote>
  <w:endnote w:type="continuationSeparator" w:id="0">
    <w:p w14:paraId="2D1019C6" w14:textId="77777777" w:rsidR="007A6D9D" w:rsidRDefault="007A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CC"/>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E8A1B" w14:textId="77777777" w:rsidR="007A6D9D" w:rsidRDefault="007A6D9D">
    <w:pPr>
      <w:pStyle w:val="Footer"/>
    </w:pPr>
    <w:r>
      <w:drawing>
        <wp:anchor distT="0" distB="0" distL="0" distR="0" simplePos="0" relativeHeight="251659264" behindDoc="0" locked="0" layoutInCell="1" allowOverlap="1" wp14:anchorId="6A65D2DB" wp14:editId="5F571D7C">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62EF" w14:textId="77777777" w:rsidR="00725E50" w:rsidRDefault="00725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EEAB6" w14:textId="77777777" w:rsidR="007A6D9D" w:rsidRDefault="007A6D9D">
      <w:r>
        <w:separator/>
      </w:r>
    </w:p>
  </w:footnote>
  <w:footnote w:type="continuationSeparator" w:id="0">
    <w:p w14:paraId="6CD230AB" w14:textId="77777777" w:rsidR="007A6D9D" w:rsidRDefault="007A6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D83F" w14:textId="77777777" w:rsidR="007A6D9D" w:rsidRDefault="007A6D9D">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C99A0" w14:textId="191C43B4" w:rsidR="00725E50" w:rsidRDefault="00725E50" w:rsidP="009C6553">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Pr>
        <w:lang w:val="fr-FR"/>
      </w:rPr>
      <w:fldChar w:fldCharType="begin"/>
    </w:r>
    <w:r w:rsidRPr="009E00A8">
      <w:rPr>
        <w:lang w:val="en-US"/>
      </w:rPr>
      <w:instrText xml:space="preserve"> DOCPROPERTY "Header" \* MERGEFORMAT </w:instrText>
    </w:r>
    <w:r>
      <w:rPr>
        <w:lang w:val="fr-FR"/>
      </w:rPr>
      <w:fldChar w:fldCharType="separate"/>
    </w:r>
    <w:r w:rsidR="002053E9" w:rsidRPr="002053E9">
      <w:rPr>
        <w:b/>
        <w:bCs/>
        <w:lang w:val="en-US"/>
      </w:rPr>
      <w:t xml:space="preserve">Rec. </w:t>
    </w:r>
    <w:r>
      <w:rPr>
        <w:b/>
        <w:bCs/>
        <w:lang w:val="en-US"/>
      </w:rPr>
      <w:fldChar w:fldCharType="end"/>
    </w:r>
    <w:r>
      <w:rPr>
        <w:b/>
        <w:bCs/>
      </w:rPr>
      <w:fldChar w:fldCharType="begin"/>
    </w:r>
    <w:r>
      <w:rPr>
        <w:b/>
        <w:bCs/>
        <w:lang w:val="en-US"/>
      </w:rPr>
      <w:instrText>styleref href</w:instrText>
    </w:r>
    <w:r>
      <w:rPr>
        <w:b/>
        <w:bCs/>
      </w:rPr>
      <w:fldChar w:fldCharType="separate"/>
    </w:r>
    <w:r w:rsidR="00550AA5">
      <w:rPr>
        <w:b/>
        <w:bCs/>
        <w:noProof/>
        <w:lang w:val="en-US"/>
      </w:rPr>
      <w:t>UIT-R  F.758-8</w:t>
    </w:r>
    <w:r>
      <w:rP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815B" w14:textId="49889457" w:rsidR="00725E50" w:rsidRDefault="00725E50" w:rsidP="00FE3337">
    <w:pPr>
      <w:pStyle w:val="Header"/>
      <w:tabs>
        <w:tab w:val="clear" w:pos="4848"/>
        <w:tab w:val="clear" w:pos="9696"/>
        <w:tab w:val="center" w:pos="7088"/>
        <w:tab w:val="right" w:pos="14034"/>
      </w:tabs>
      <w:ind w:left="-266" w:right="248"/>
    </w:pPr>
    <w:r>
      <w:tab/>
    </w:r>
    <w:fldSimple w:instr=" DOCPROPERTY &quot;Header&quot; \* MERGEFORMAT ">
      <w:r w:rsidR="002053E9" w:rsidRPr="002053E9">
        <w:rPr>
          <w:b/>
          <w:bCs/>
        </w:rPr>
        <w:t xml:space="preserve">Rec. </w:t>
      </w:r>
    </w:fldSimple>
    <w:r>
      <w:rPr>
        <w:b/>
        <w:bCs/>
      </w:rPr>
      <w:t>UIT-R</w:t>
    </w:r>
    <w:r w:rsidR="00EF0F86">
      <w:rPr>
        <w:b/>
        <w:bCs/>
      </w:rPr>
      <w:t xml:space="preserve"> </w:t>
    </w:r>
    <w:r>
      <w:rPr>
        <w:b/>
        <w:bCs/>
      </w:rPr>
      <w:t xml:space="preserve"> F.758-8</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C3672" w14:textId="72089C4E" w:rsidR="00725E50" w:rsidRDefault="00725E50" w:rsidP="004B7931">
    <w:pPr>
      <w:pStyle w:val="Header"/>
      <w:tabs>
        <w:tab w:val="clear" w:pos="4848"/>
        <w:tab w:val="center" w:pos="4820"/>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Pr>
        <w:lang w:val="fr-FR"/>
      </w:rPr>
      <w:fldChar w:fldCharType="begin"/>
    </w:r>
    <w:r w:rsidRPr="009E00A8">
      <w:rPr>
        <w:lang w:val="en-US"/>
      </w:rPr>
      <w:instrText xml:space="preserve"> DOCPROPERTY "Header" \* MERGEFORMAT </w:instrText>
    </w:r>
    <w:r>
      <w:rPr>
        <w:lang w:val="fr-FR"/>
      </w:rPr>
      <w:fldChar w:fldCharType="separate"/>
    </w:r>
    <w:r w:rsidR="002053E9" w:rsidRPr="002053E9">
      <w:rPr>
        <w:b/>
        <w:bCs/>
        <w:lang w:val="en-US"/>
      </w:rPr>
      <w:t xml:space="preserve">Rec. </w:t>
    </w:r>
    <w:r>
      <w:rPr>
        <w:b/>
        <w:bCs/>
        <w:lang w:val="en-US"/>
      </w:rPr>
      <w:fldChar w:fldCharType="end"/>
    </w:r>
    <w:r w:rsidR="00EF0F86">
      <w:rPr>
        <w:b/>
        <w:bCs/>
        <w:lang w:val="en-US"/>
      </w:rPr>
      <w:t xml:space="preserve"> </w:t>
    </w:r>
    <w:r>
      <w:rPr>
        <w:b/>
        <w:bCs/>
      </w:rPr>
      <w:fldChar w:fldCharType="begin"/>
    </w:r>
    <w:r>
      <w:rPr>
        <w:b/>
        <w:bCs/>
        <w:lang w:val="en-US"/>
      </w:rPr>
      <w:instrText>styleref href</w:instrText>
    </w:r>
    <w:r>
      <w:rPr>
        <w:b/>
        <w:bCs/>
      </w:rPr>
      <w:fldChar w:fldCharType="separate"/>
    </w:r>
    <w:r w:rsidR="00550AA5">
      <w:rPr>
        <w:b/>
        <w:bCs/>
        <w:noProof/>
        <w:lang w:val="en-US"/>
      </w:rPr>
      <w:t>UIT-R  F.758-8</w:t>
    </w:r>
    <w:r>
      <w:rPr>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F526" w14:textId="696085A7" w:rsidR="00BF461C" w:rsidRPr="00BF461C" w:rsidRDefault="00BF461C" w:rsidP="00BF461C">
    <w:pPr>
      <w:pStyle w:val="Header"/>
      <w:tabs>
        <w:tab w:val="clear" w:pos="4848"/>
        <w:tab w:val="clear" w:pos="9696"/>
        <w:tab w:val="center" w:pos="4820"/>
        <w:tab w:val="right" w:pos="14034"/>
      </w:tabs>
      <w:ind w:left="-266" w:right="248"/>
    </w:pPr>
    <w:r>
      <w:tab/>
    </w:r>
    <w:fldSimple w:instr=" DOCPROPERTY &quot;Header&quot; \* MERGEFORMAT ">
      <w:r w:rsidR="002053E9" w:rsidRPr="002053E9">
        <w:rPr>
          <w:b/>
          <w:bCs/>
        </w:rPr>
        <w:t xml:space="preserve">Rec. </w:t>
      </w:r>
    </w:fldSimple>
    <w:r w:rsidR="00BE55F8">
      <w:rPr>
        <w:b/>
        <w:bCs/>
      </w:rPr>
      <w:t xml:space="preserve"> </w:t>
    </w:r>
    <w:r>
      <w:rPr>
        <w:b/>
        <w:bCs/>
      </w:rPr>
      <w:t>UIT-R</w:t>
    </w:r>
    <w:r w:rsidR="00BE55F8">
      <w:rPr>
        <w:b/>
        <w:bCs/>
      </w:rPr>
      <w:t xml:space="preserve"> </w:t>
    </w:r>
    <w:r>
      <w:rPr>
        <w:b/>
        <w:bCs/>
      </w:rPr>
      <w:t xml:space="preserve"> F.758-8</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27</w:t>
    </w:r>
    <w:r>
      <w:rPr>
        <w:rStyle w:val="PageNumber"/>
        <w:b/>
        <w:bC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EC0E5" w14:textId="2D141CC0" w:rsidR="00725E50" w:rsidRPr="00EF0F86" w:rsidRDefault="00EF0F86" w:rsidP="00EF0F86">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40</w:t>
    </w:r>
    <w:r>
      <w:rPr>
        <w:rStyle w:val="PageNumber"/>
        <w:b/>
        <w:bCs/>
      </w:rPr>
      <w:fldChar w:fldCharType="end"/>
    </w:r>
    <w:r>
      <w:rPr>
        <w:lang w:val="en-US"/>
      </w:rPr>
      <w:tab/>
    </w:r>
    <w:r>
      <w:rPr>
        <w:lang w:val="fr-FR"/>
      </w:rPr>
      <w:fldChar w:fldCharType="begin"/>
    </w:r>
    <w:r w:rsidRPr="009E00A8">
      <w:rPr>
        <w:lang w:val="en-US"/>
      </w:rPr>
      <w:instrText xml:space="preserve"> DOCPROPERTY "Header" \* MERGEFORMAT </w:instrText>
    </w:r>
    <w:r>
      <w:rPr>
        <w:lang w:val="fr-FR"/>
      </w:rPr>
      <w:fldChar w:fldCharType="separate"/>
    </w:r>
    <w:r w:rsidR="002053E9" w:rsidRPr="002053E9">
      <w:rPr>
        <w:b/>
        <w:bCs/>
        <w:lang w:val="en-US"/>
      </w:rPr>
      <w:t xml:space="preserve">Rec. </w:t>
    </w:r>
    <w:r>
      <w:rPr>
        <w:b/>
        <w:bCs/>
        <w:lang w:val="en-US"/>
      </w:rPr>
      <w:fldChar w:fldCharType="end"/>
    </w:r>
    <w:r>
      <w:rPr>
        <w:b/>
        <w:bCs/>
      </w:rPr>
      <w:fldChar w:fldCharType="begin"/>
    </w:r>
    <w:r>
      <w:rPr>
        <w:b/>
        <w:bCs/>
        <w:lang w:val="en-US"/>
      </w:rPr>
      <w:instrText>styleref href</w:instrText>
    </w:r>
    <w:r>
      <w:rPr>
        <w:b/>
        <w:bCs/>
      </w:rPr>
      <w:fldChar w:fldCharType="separate"/>
    </w:r>
    <w:r w:rsidR="00550AA5">
      <w:rPr>
        <w:b/>
        <w:bCs/>
        <w:noProof/>
        <w:lang w:val="en-US"/>
      </w:rPr>
      <w:t>UIT-R  F.758-8</w:t>
    </w:r>
    <w:r>
      <w:rPr>
        <w:b/>
        <w:bC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79EF" w14:textId="12B78CE1" w:rsidR="00BF461C" w:rsidRPr="00BF461C" w:rsidRDefault="00BF461C" w:rsidP="00BF461C">
    <w:pPr>
      <w:pStyle w:val="Header"/>
      <w:tabs>
        <w:tab w:val="clear" w:pos="4848"/>
        <w:tab w:val="clear" w:pos="9696"/>
        <w:tab w:val="center" w:pos="7088"/>
        <w:tab w:val="right" w:pos="14034"/>
      </w:tabs>
      <w:ind w:left="-266" w:right="248"/>
    </w:pPr>
    <w:r>
      <w:tab/>
    </w:r>
    <w:fldSimple w:instr=" DOCPROPERTY &quot;Header&quot; \* MERGEFORMAT ">
      <w:r w:rsidR="002053E9" w:rsidRPr="002053E9">
        <w:rPr>
          <w:b/>
          <w:bCs/>
        </w:rPr>
        <w:t xml:space="preserve">Rec. </w:t>
      </w:r>
    </w:fldSimple>
    <w:r>
      <w:rPr>
        <w:b/>
        <w:bCs/>
      </w:rPr>
      <w:t>UIT-R  F.758-8</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37</w:t>
    </w:r>
    <w:r>
      <w:rPr>
        <w:rStyle w:val="PageNumber"/>
        <w:b/>
        <w:bC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270A" w14:textId="5F2734CC"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2053E9" w:rsidRPr="002053E9">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550AA5">
      <w:rPr>
        <w:b/>
        <w:bCs/>
        <w:noProof/>
        <w:lang w:val="en-US"/>
      </w:rPr>
      <w:t>UIT-R  F.758-8</w:t>
    </w:r>
    <w:r>
      <w:rPr>
        <w:b/>
        <w:bC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77CE5" w14:textId="77470A38" w:rsidR="00607D68" w:rsidRDefault="00607D68">
    <w:pPr>
      <w:pStyle w:val="Header"/>
    </w:pPr>
    <w:r>
      <w:tab/>
    </w:r>
    <w:fldSimple w:instr=" DOCPROPERTY &quot;Header&quot; \* MERGEFORMAT ">
      <w:r w:rsidR="002053E9" w:rsidRPr="002053E9">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2053E9">
      <w:rPr>
        <w:b/>
        <w:bCs/>
        <w:noProof/>
      </w:rPr>
      <w:t>UIT-R  F.758-8</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7A6D9D" w:rsidRPr="00A239D1" w14:paraId="0ED52666" w14:textId="77777777" w:rsidTr="0019307B">
      <w:tc>
        <w:tcPr>
          <w:tcW w:w="4634" w:type="dxa"/>
          <w:vAlign w:val="center"/>
        </w:tcPr>
        <w:p w14:paraId="672675CA" w14:textId="77777777" w:rsidR="007A6D9D" w:rsidRPr="005B0371" w:rsidRDefault="007A6D9D"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981ACF6" w14:textId="77777777" w:rsidR="007A6D9D" w:rsidRPr="00260B24" w:rsidRDefault="007A6D9D" w:rsidP="00744F8B">
          <w:pPr>
            <w:pStyle w:val="Header"/>
            <w:jc w:val="right"/>
            <w:rPr>
              <w:rFonts w:asciiTheme="minorBidi" w:hAnsiTheme="minorBidi"/>
              <w:b/>
              <w:spacing w:val="4"/>
              <w:szCs w:val="24"/>
            </w:rPr>
          </w:pPr>
          <w:r w:rsidRPr="00260B24">
            <w:rPr>
              <w:rFonts w:asciiTheme="minorBidi" w:hAnsiTheme="minorBidi"/>
              <w:b/>
              <w:spacing w:val="4"/>
              <w:szCs w:val="24"/>
            </w:rPr>
            <w:t>Union</w:t>
          </w:r>
          <w:r>
            <w:rPr>
              <w:rFonts w:asciiTheme="minorBidi" w:hAnsiTheme="minorBidi"/>
              <w:b/>
              <w:spacing w:val="4"/>
              <w:szCs w:val="24"/>
            </w:rPr>
            <w:t xml:space="preserve"> i</w:t>
          </w:r>
          <w:r w:rsidRPr="00260B24">
            <w:rPr>
              <w:rFonts w:asciiTheme="minorBidi" w:hAnsiTheme="minorBidi"/>
              <w:b/>
              <w:spacing w:val="4"/>
              <w:szCs w:val="24"/>
            </w:rPr>
            <w:t>nternational</w:t>
          </w:r>
          <w:r>
            <w:rPr>
              <w:rFonts w:asciiTheme="minorBidi" w:hAnsiTheme="minorBidi"/>
              <w:b/>
              <w:spacing w:val="4"/>
              <w:szCs w:val="24"/>
            </w:rPr>
            <w:t>e</w:t>
          </w:r>
          <w:r w:rsidRPr="00260B24">
            <w:rPr>
              <w:rFonts w:asciiTheme="minorBidi" w:hAnsiTheme="minorBidi"/>
              <w:b/>
              <w:spacing w:val="4"/>
              <w:szCs w:val="24"/>
            </w:rPr>
            <w:t xml:space="preserve"> </w:t>
          </w:r>
          <w:r>
            <w:rPr>
              <w:rFonts w:asciiTheme="minorBidi" w:hAnsiTheme="minorBidi"/>
              <w:b/>
              <w:spacing w:val="4"/>
              <w:szCs w:val="24"/>
            </w:rPr>
            <w:t>des té</w:t>
          </w:r>
          <w:r w:rsidRPr="00260B24">
            <w:rPr>
              <w:rFonts w:asciiTheme="minorBidi" w:hAnsiTheme="minorBidi"/>
              <w:b/>
              <w:spacing w:val="4"/>
              <w:szCs w:val="24"/>
            </w:rPr>
            <w:t>l</w:t>
          </w:r>
          <w:r>
            <w:rPr>
              <w:rFonts w:asciiTheme="minorBidi" w:hAnsiTheme="minorBidi"/>
              <w:b/>
              <w:spacing w:val="4"/>
              <w:szCs w:val="24"/>
            </w:rPr>
            <w:t>é</w:t>
          </w:r>
          <w:r w:rsidRPr="00260B24">
            <w:rPr>
              <w:rFonts w:asciiTheme="minorBidi" w:hAnsiTheme="minorBidi"/>
              <w:b/>
              <w:spacing w:val="4"/>
              <w:szCs w:val="24"/>
            </w:rPr>
            <w:t>communication</w:t>
          </w:r>
          <w:r>
            <w:rPr>
              <w:rFonts w:asciiTheme="minorBidi" w:hAnsiTheme="minorBidi"/>
              <w:b/>
              <w:spacing w:val="4"/>
              <w:szCs w:val="24"/>
            </w:rPr>
            <w:t>s</w:t>
          </w:r>
        </w:p>
      </w:tc>
    </w:tr>
    <w:tr w:rsidR="007A6D9D" w:rsidRPr="00A239D1" w14:paraId="2D0E10F7" w14:textId="77777777" w:rsidTr="0019307B">
      <w:tc>
        <w:tcPr>
          <w:tcW w:w="4634" w:type="dxa"/>
          <w:vAlign w:val="center"/>
        </w:tcPr>
        <w:p w14:paraId="222EC00B" w14:textId="77777777" w:rsidR="007A6D9D" w:rsidRPr="00260B24" w:rsidRDefault="007A6D9D" w:rsidP="00744F8B">
          <w:pPr>
            <w:pStyle w:val="Header"/>
            <w:jc w:val="left"/>
            <w:rPr>
              <w:rFonts w:asciiTheme="minorBidi" w:hAnsiTheme="minorBidi"/>
              <w:spacing w:val="4"/>
              <w:sz w:val="21"/>
              <w:szCs w:val="21"/>
            </w:rPr>
          </w:pPr>
          <w:r w:rsidRPr="00260B24">
            <w:rPr>
              <w:rFonts w:asciiTheme="minorBidi" w:hAnsiTheme="minorBidi"/>
              <w:spacing w:val="4"/>
              <w:szCs w:val="24"/>
            </w:rPr>
            <w:t>Recomm</w:t>
          </w:r>
          <w:r>
            <w:rPr>
              <w:rFonts w:asciiTheme="minorBidi" w:hAnsiTheme="minorBidi"/>
              <w:spacing w:val="4"/>
              <w:szCs w:val="24"/>
            </w:rPr>
            <w:t>a</w:t>
          </w:r>
          <w:r w:rsidRPr="00260B24">
            <w:rPr>
              <w:rFonts w:asciiTheme="minorBidi" w:hAnsiTheme="minorBidi"/>
              <w:spacing w:val="4"/>
              <w:szCs w:val="24"/>
            </w:rPr>
            <w:t>ndations</w:t>
          </w:r>
        </w:p>
      </w:tc>
      <w:tc>
        <w:tcPr>
          <w:tcW w:w="5998" w:type="dxa"/>
          <w:vAlign w:val="center"/>
        </w:tcPr>
        <w:p w14:paraId="768A272E" w14:textId="7D8E66E6" w:rsidR="007A6D9D" w:rsidRPr="00260B24" w:rsidRDefault="007A6D9D" w:rsidP="00744F8B">
          <w:pPr>
            <w:pStyle w:val="Header"/>
            <w:jc w:val="right"/>
            <w:rPr>
              <w:rFonts w:asciiTheme="minorBidi" w:hAnsiTheme="minorBidi"/>
              <w:spacing w:val="4"/>
              <w:szCs w:val="24"/>
            </w:rPr>
          </w:pPr>
          <w:r>
            <w:rPr>
              <w:rFonts w:asciiTheme="minorBidi" w:hAnsiTheme="minorBidi"/>
              <w:spacing w:val="4"/>
              <w:szCs w:val="24"/>
            </w:rPr>
            <w:t xml:space="preserve">Secteur des </w:t>
          </w:r>
          <w:r w:rsidR="00725E50">
            <w:rPr>
              <w:rFonts w:asciiTheme="minorBidi" w:hAnsiTheme="minorBidi"/>
              <w:spacing w:val="4"/>
              <w:szCs w:val="24"/>
            </w:rPr>
            <w:t>r</w:t>
          </w:r>
          <w:r w:rsidRPr="00260B24">
            <w:rPr>
              <w:rFonts w:asciiTheme="minorBidi" w:hAnsiTheme="minorBidi"/>
              <w:spacing w:val="4"/>
              <w:szCs w:val="24"/>
            </w:rPr>
            <w:t>adiocommunication</w:t>
          </w:r>
          <w:r>
            <w:rPr>
              <w:rFonts w:asciiTheme="minorBidi" w:hAnsiTheme="minorBidi"/>
              <w:spacing w:val="4"/>
              <w:szCs w:val="24"/>
            </w:rPr>
            <w:t>s</w:t>
          </w:r>
        </w:p>
      </w:tc>
    </w:tr>
  </w:tbl>
  <w:p w14:paraId="0FAD93F3" w14:textId="77777777" w:rsidR="007A6D9D" w:rsidRDefault="007A6D9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321D9A60" wp14:editId="34B8299F">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18217CF3" wp14:editId="57C334FE">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674B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11177F2" w14:textId="77777777" w:rsidR="007A6D9D" w:rsidRDefault="007A6D9D"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76D4CF62" wp14:editId="5D24DE02">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2EFF4" id="docshapegroup6" o:spid="_x0000_s1026" alt="Header separator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7B2B" w14:textId="4CE88C70" w:rsidR="007A6D9D" w:rsidRPr="00D72623" w:rsidRDefault="007A6D9D"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2053E9">
      <w:rPr>
        <w:b/>
        <w:bCs/>
        <w:lang w:val="en-US"/>
      </w:rPr>
      <w:t xml:space="preserve">Rec. </w:t>
    </w:r>
    <w:r>
      <w:rPr>
        <w:b/>
        <w:bCs/>
        <w:lang w:val="en-US"/>
      </w:rPr>
      <w:fldChar w:fldCharType="end"/>
    </w:r>
    <w:r w:rsidRPr="004F3F6F">
      <w:rPr>
        <w:b/>
        <w:bCs/>
      </w:rPr>
      <w:t xml:space="preserve"> </w:t>
    </w:r>
    <w:r>
      <w:rPr>
        <w:b/>
        <w:bCs/>
      </w:rPr>
      <w:fldChar w:fldCharType="begin"/>
    </w:r>
    <w:r>
      <w:rPr>
        <w:b/>
        <w:bCs/>
        <w:lang w:val="en-US"/>
      </w:rPr>
      <w:instrText>styleref href</w:instrText>
    </w:r>
    <w:r>
      <w:rPr>
        <w:b/>
        <w:bCs/>
      </w:rPr>
      <w:fldChar w:fldCharType="separate"/>
    </w:r>
    <w:r w:rsidR="00550AA5">
      <w:rPr>
        <w:b/>
        <w:bCs/>
        <w:noProof/>
        <w:lang w:val="en-US"/>
      </w:rPr>
      <w:t>UIT-R  F.758-8</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E74AF" w14:textId="0F3676CA" w:rsidR="007A6D9D" w:rsidRDefault="007A6D9D">
    <w:pPr>
      <w:pStyle w:val="Header"/>
    </w:pPr>
    <w:r>
      <w:tab/>
    </w:r>
    <w:r>
      <w:rPr>
        <w:b/>
        <w:bCs/>
      </w:rPr>
      <w:fldChar w:fldCharType="begin"/>
    </w:r>
    <w:r>
      <w:rPr>
        <w:b/>
        <w:bCs/>
      </w:rPr>
      <w:instrText xml:space="preserve"> DOCPROPERTY "Header" \* MERGEFORMAT </w:instrText>
    </w:r>
    <w:r>
      <w:rPr>
        <w:b/>
        <w:bCs/>
      </w:rPr>
      <w:fldChar w:fldCharType="separate"/>
    </w:r>
    <w:r w:rsidR="002053E9">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2053E9">
      <w:rPr>
        <w:b/>
        <w:bCs/>
        <w:noProof/>
      </w:rPr>
      <w:t>UIT-R  F.758-8</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1D5C" w14:textId="0F09D59B" w:rsidR="00725E50" w:rsidRDefault="00725E50" w:rsidP="009C6553">
    <w:pPr>
      <w:pStyle w:val="Header"/>
      <w:tabs>
        <w:tab w:val="clear" w:pos="4848"/>
        <w:tab w:val="clear" w:pos="9696"/>
        <w:tab w:val="center" w:pos="4820"/>
        <w:tab w:val="right" w:pos="14034"/>
      </w:tabs>
      <w:ind w:left="-266" w:right="248"/>
    </w:pPr>
    <w:r>
      <w:tab/>
    </w:r>
    <w:fldSimple w:instr=" DOCPROPERTY &quot;Header&quot; \* MERGEFORMAT ">
      <w:r w:rsidR="002053E9" w:rsidRPr="002053E9">
        <w:rPr>
          <w:b/>
          <w:bCs/>
        </w:rPr>
        <w:t xml:space="preserve">Rec. </w:t>
      </w:r>
    </w:fldSimple>
    <w:r w:rsidR="00BE55F8">
      <w:rPr>
        <w:b/>
        <w:bCs/>
      </w:rPr>
      <w:t xml:space="preserve"> </w:t>
    </w:r>
    <w:r>
      <w:rPr>
        <w:b/>
        <w:bCs/>
      </w:rPr>
      <w:t>UIT-R</w:t>
    </w:r>
    <w:r w:rsidR="00BE55F8">
      <w:rPr>
        <w:b/>
        <w:bCs/>
      </w:rPr>
      <w:t xml:space="preserve"> </w:t>
    </w:r>
    <w:r>
      <w:rPr>
        <w:b/>
        <w:bCs/>
      </w:rPr>
      <w:t xml:space="preserve"> F.758-8</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81F5" w14:textId="46A49A9C" w:rsidR="00725E50" w:rsidRPr="00D72623" w:rsidRDefault="00725E50" w:rsidP="008231E1">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2053E9">
      <w:rPr>
        <w:b/>
        <w:bCs/>
        <w:lang w:val="en-US"/>
      </w:rPr>
      <w:t xml:space="preserve">Rec. </w:t>
    </w:r>
    <w:r>
      <w:rPr>
        <w:b/>
        <w:bCs/>
        <w:lang w:val="en-US"/>
      </w:rPr>
      <w:fldChar w:fldCharType="end"/>
    </w:r>
    <w:r w:rsidR="00EF0F86">
      <w:rPr>
        <w:b/>
        <w:bCs/>
        <w:lang w:val="en-US"/>
      </w:rPr>
      <w:t xml:space="preserve"> </w:t>
    </w:r>
    <w:r>
      <w:rPr>
        <w:b/>
        <w:bCs/>
      </w:rPr>
      <w:t xml:space="preserve">UIT-R </w:t>
    </w:r>
    <w:r w:rsidR="00EF0F86">
      <w:rPr>
        <w:b/>
        <w:bCs/>
      </w:rPr>
      <w:t xml:space="preserve"> </w:t>
    </w:r>
    <w:r>
      <w:rPr>
        <w:b/>
        <w:bCs/>
      </w:rPr>
      <w:t>F.758-8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7BCEF" w14:textId="38228E4D" w:rsidR="00725E50" w:rsidRDefault="00725E50" w:rsidP="009C6553">
    <w:pPr>
      <w:pStyle w:val="Header"/>
      <w:tabs>
        <w:tab w:val="clear" w:pos="4848"/>
        <w:tab w:val="clear" w:pos="9696"/>
        <w:tab w:val="center" w:pos="7088"/>
        <w:tab w:val="right" w:pos="14034"/>
      </w:tabs>
      <w:ind w:left="-266" w:right="248"/>
    </w:pPr>
    <w:r>
      <w:tab/>
    </w:r>
    <w:fldSimple w:instr=" DOCPROPERTY &quot;Header&quot; \* MERGEFORMAT ">
      <w:r w:rsidR="002053E9" w:rsidRPr="002053E9">
        <w:rPr>
          <w:b/>
          <w:bCs/>
        </w:rPr>
        <w:t xml:space="preserve">Rec. </w:t>
      </w:r>
    </w:fldSimple>
    <w:r w:rsidR="00EF0F86">
      <w:rPr>
        <w:b/>
        <w:bCs/>
      </w:rPr>
      <w:t xml:space="preserve"> </w:t>
    </w:r>
    <w:r>
      <w:rPr>
        <w:b/>
        <w:bCs/>
      </w:rPr>
      <w:t>UIT-R</w:t>
    </w:r>
    <w:r w:rsidR="00EF0F86">
      <w:rPr>
        <w:b/>
        <w:bCs/>
      </w:rPr>
      <w:t xml:space="preserve"> </w:t>
    </w:r>
    <w:r>
      <w:rPr>
        <w:b/>
        <w:bCs/>
      </w:rPr>
      <w:t xml:space="preserve"> F.758-8</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C46A8" w14:textId="5F87025D" w:rsidR="0084441E" w:rsidRPr="0084441E" w:rsidRDefault="0084441E" w:rsidP="0084441E">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28</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2053E9">
      <w:rPr>
        <w:b/>
        <w:bCs/>
        <w:lang w:val="en-US"/>
      </w:rPr>
      <w:t xml:space="preserve">Rec. </w:t>
    </w:r>
    <w:r>
      <w:rPr>
        <w:b/>
        <w:bCs/>
        <w:lang w:val="en-US"/>
      </w:rPr>
      <w:fldChar w:fldCharType="end"/>
    </w:r>
    <w:r w:rsidRPr="004F3F6F">
      <w:rPr>
        <w:b/>
        <w:bCs/>
      </w:rPr>
      <w:t xml:space="preserve"> </w:t>
    </w:r>
    <w:r>
      <w:rPr>
        <w:b/>
        <w:bCs/>
      </w:rPr>
      <w:fldChar w:fldCharType="begin"/>
    </w:r>
    <w:r>
      <w:rPr>
        <w:b/>
        <w:bCs/>
        <w:lang w:val="en-US"/>
      </w:rPr>
      <w:instrText>styleref href</w:instrText>
    </w:r>
    <w:r>
      <w:rPr>
        <w:b/>
        <w:bCs/>
      </w:rPr>
      <w:fldChar w:fldCharType="separate"/>
    </w:r>
    <w:r w:rsidR="00550AA5">
      <w:rPr>
        <w:b/>
        <w:bCs/>
        <w:noProof/>
        <w:lang w:val="en-US"/>
      </w:rPr>
      <w:t>UIT-R  F.758-8</w:t>
    </w:r>
    <w:r>
      <w:rP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76A27" w14:textId="793FE358" w:rsidR="00725E50" w:rsidRDefault="00725E50" w:rsidP="00551BD8">
    <w:pPr>
      <w:pStyle w:val="Header"/>
      <w:tabs>
        <w:tab w:val="clear" w:pos="4848"/>
        <w:tab w:val="clear" w:pos="9696"/>
        <w:tab w:val="center" w:pos="4820"/>
        <w:tab w:val="right" w:pos="14034"/>
      </w:tabs>
      <w:ind w:left="-266" w:right="248"/>
    </w:pPr>
    <w:r>
      <w:tab/>
    </w:r>
    <w:fldSimple w:instr=" DOCPROPERTY &quot;Header&quot; \* MERGEFORMAT ">
      <w:r w:rsidR="002053E9" w:rsidRPr="002053E9">
        <w:rPr>
          <w:b/>
          <w:bCs/>
        </w:rPr>
        <w:t xml:space="preserve">Rec. </w:t>
      </w:r>
    </w:fldSimple>
    <w:r>
      <w:rPr>
        <w:b/>
        <w:bCs/>
      </w:rPr>
      <w:t>UIT-R</w:t>
    </w:r>
    <w:r w:rsidR="00EF0F86">
      <w:rPr>
        <w:b/>
        <w:bCs/>
      </w:rPr>
      <w:t xml:space="preserve"> </w:t>
    </w:r>
    <w:r>
      <w:rPr>
        <w:b/>
        <w:bCs/>
      </w:rPr>
      <w:t xml:space="preserve"> F.758-8</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9D"/>
    <w:rsid w:val="00013075"/>
    <w:rsid w:val="000550C7"/>
    <w:rsid w:val="00075DC8"/>
    <w:rsid w:val="000A4BCF"/>
    <w:rsid w:val="000C75DE"/>
    <w:rsid w:val="000E564A"/>
    <w:rsid w:val="0011404C"/>
    <w:rsid w:val="00157716"/>
    <w:rsid w:val="0018094D"/>
    <w:rsid w:val="001A1753"/>
    <w:rsid w:val="001B13CB"/>
    <w:rsid w:val="001F6A0D"/>
    <w:rsid w:val="00203F60"/>
    <w:rsid w:val="002053E9"/>
    <w:rsid w:val="00213B10"/>
    <w:rsid w:val="00217EBF"/>
    <w:rsid w:val="00242AEE"/>
    <w:rsid w:val="002D76C4"/>
    <w:rsid w:val="003567D8"/>
    <w:rsid w:val="00366EBF"/>
    <w:rsid w:val="003C5B30"/>
    <w:rsid w:val="003E7546"/>
    <w:rsid w:val="004F2261"/>
    <w:rsid w:val="00514ECB"/>
    <w:rsid w:val="005210A1"/>
    <w:rsid w:val="0052529D"/>
    <w:rsid w:val="00531043"/>
    <w:rsid w:val="00550AA5"/>
    <w:rsid w:val="00564BF1"/>
    <w:rsid w:val="00580219"/>
    <w:rsid w:val="00587B4E"/>
    <w:rsid w:val="00604EF4"/>
    <w:rsid w:val="00607D68"/>
    <w:rsid w:val="006801F0"/>
    <w:rsid w:val="00687589"/>
    <w:rsid w:val="006D0688"/>
    <w:rsid w:val="006D6AB2"/>
    <w:rsid w:val="006F4AE5"/>
    <w:rsid w:val="00711664"/>
    <w:rsid w:val="007200B9"/>
    <w:rsid w:val="00725E50"/>
    <w:rsid w:val="0074121B"/>
    <w:rsid w:val="007468DA"/>
    <w:rsid w:val="007A6D9D"/>
    <w:rsid w:val="007C444E"/>
    <w:rsid w:val="008048C0"/>
    <w:rsid w:val="008151E9"/>
    <w:rsid w:val="0083748C"/>
    <w:rsid w:val="0084441E"/>
    <w:rsid w:val="00861A01"/>
    <w:rsid w:val="00862A2C"/>
    <w:rsid w:val="008665CF"/>
    <w:rsid w:val="00890B27"/>
    <w:rsid w:val="008B1840"/>
    <w:rsid w:val="008B65A6"/>
    <w:rsid w:val="009210A8"/>
    <w:rsid w:val="00942A87"/>
    <w:rsid w:val="009718CE"/>
    <w:rsid w:val="009B3D52"/>
    <w:rsid w:val="009D0121"/>
    <w:rsid w:val="009E00A8"/>
    <w:rsid w:val="00A464CC"/>
    <w:rsid w:val="00A6617B"/>
    <w:rsid w:val="00AA6FDF"/>
    <w:rsid w:val="00AB0DC8"/>
    <w:rsid w:val="00AF52EC"/>
    <w:rsid w:val="00B27FE1"/>
    <w:rsid w:val="00B44E24"/>
    <w:rsid w:val="00B96FC8"/>
    <w:rsid w:val="00BE55F8"/>
    <w:rsid w:val="00BF0854"/>
    <w:rsid w:val="00BF461C"/>
    <w:rsid w:val="00C039F9"/>
    <w:rsid w:val="00C50AE5"/>
    <w:rsid w:val="00C70C3B"/>
    <w:rsid w:val="00C97009"/>
    <w:rsid w:val="00CE5F84"/>
    <w:rsid w:val="00D11437"/>
    <w:rsid w:val="00D24FDA"/>
    <w:rsid w:val="00D46B2A"/>
    <w:rsid w:val="00DA243C"/>
    <w:rsid w:val="00DC2B47"/>
    <w:rsid w:val="00DF4176"/>
    <w:rsid w:val="00DF6F6A"/>
    <w:rsid w:val="00E077D3"/>
    <w:rsid w:val="00E55C55"/>
    <w:rsid w:val="00E64899"/>
    <w:rsid w:val="00E8215E"/>
    <w:rsid w:val="00E9047B"/>
    <w:rsid w:val="00EB35B3"/>
    <w:rsid w:val="00ED7FB5"/>
    <w:rsid w:val="00EF0F86"/>
    <w:rsid w:val="00F81805"/>
    <w:rsid w:val="00FA3EB9"/>
    <w:rsid w:val="00FB2A75"/>
    <w:rsid w:val="00FE2266"/>
    <w:rsid w:val="00FF41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7A0634"/>
  <w15:docId w15:val="{0AF679DB-F4E3-494C-B787-D6994D7F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D9D"/>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7A6D9D"/>
    <w:pPr>
      <w:keepNext/>
      <w:keepLines/>
      <w:spacing w:before="480"/>
      <w:ind w:left="794" w:hanging="794"/>
      <w:outlineLvl w:val="0"/>
    </w:pPr>
    <w:rPr>
      <w:b/>
    </w:rPr>
  </w:style>
  <w:style w:type="paragraph" w:styleId="Heading2">
    <w:name w:val="heading 2"/>
    <w:basedOn w:val="Heading1"/>
    <w:next w:val="Normal"/>
    <w:qFormat/>
    <w:rsid w:val="007A6D9D"/>
    <w:pPr>
      <w:spacing w:before="320"/>
      <w:outlineLvl w:val="1"/>
    </w:pPr>
  </w:style>
  <w:style w:type="paragraph" w:styleId="Heading3">
    <w:name w:val="heading 3"/>
    <w:basedOn w:val="Heading1"/>
    <w:next w:val="Normal"/>
    <w:qFormat/>
    <w:rsid w:val="007A6D9D"/>
    <w:pPr>
      <w:spacing w:before="200"/>
      <w:outlineLvl w:val="2"/>
    </w:pPr>
  </w:style>
  <w:style w:type="paragraph" w:styleId="Heading4">
    <w:name w:val="heading 4"/>
    <w:basedOn w:val="Heading3"/>
    <w:next w:val="Normal"/>
    <w:qFormat/>
    <w:rsid w:val="007A6D9D"/>
    <w:pPr>
      <w:tabs>
        <w:tab w:val="clear" w:pos="794"/>
        <w:tab w:val="left" w:pos="992"/>
      </w:tabs>
      <w:ind w:left="992" w:hanging="992"/>
      <w:outlineLvl w:val="3"/>
    </w:pPr>
  </w:style>
  <w:style w:type="paragraph" w:styleId="Heading5">
    <w:name w:val="heading 5"/>
    <w:basedOn w:val="Heading4"/>
    <w:next w:val="Normal"/>
    <w:qFormat/>
    <w:rsid w:val="007A6D9D"/>
    <w:pPr>
      <w:outlineLvl w:val="4"/>
    </w:pPr>
  </w:style>
  <w:style w:type="paragraph" w:styleId="Heading6">
    <w:name w:val="heading 6"/>
    <w:basedOn w:val="Heading4"/>
    <w:next w:val="Normal"/>
    <w:qFormat/>
    <w:rsid w:val="007A6D9D"/>
    <w:pPr>
      <w:tabs>
        <w:tab w:val="clear" w:pos="992"/>
        <w:tab w:val="clear" w:pos="1191"/>
      </w:tabs>
      <w:ind w:left="1588" w:hanging="1588"/>
      <w:outlineLvl w:val="5"/>
    </w:pPr>
  </w:style>
  <w:style w:type="paragraph" w:styleId="Heading7">
    <w:name w:val="heading 7"/>
    <w:basedOn w:val="Heading6"/>
    <w:next w:val="Normal"/>
    <w:qFormat/>
    <w:rsid w:val="007A6D9D"/>
    <w:pPr>
      <w:outlineLvl w:val="6"/>
    </w:pPr>
  </w:style>
  <w:style w:type="paragraph" w:styleId="Heading8">
    <w:name w:val="heading 8"/>
    <w:basedOn w:val="Heading6"/>
    <w:next w:val="Normal"/>
    <w:qFormat/>
    <w:rsid w:val="007A6D9D"/>
    <w:pPr>
      <w:outlineLvl w:val="7"/>
    </w:pPr>
  </w:style>
  <w:style w:type="paragraph" w:styleId="Heading9">
    <w:name w:val="heading 9"/>
    <w:basedOn w:val="Heading6"/>
    <w:next w:val="Normal"/>
    <w:qFormat/>
    <w:rsid w:val="007A6D9D"/>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6D9D"/>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7A6D9D"/>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7A6D9D"/>
  </w:style>
  <w:style w:type="paragraph" w:customStyle="1" w:styleId="Headingb">
    <w:name w:val="Heading_b"/>
    <w:basedOn w:val="Heading3"/>
    <w:next w:val="Normal"/>
    <w:link w:val="HeadingbChar"/>
    <w:rsid w:val="007A6D9D"/>
    <w:pPr>
      <w:spacing w:before="160"/>
      <w:ind w:left="0" w:firstLine="0"/>
      <w:outlineLvl w:val="9"/>
    </w:pPr>
  </w:style>
  <w:style w:type="paragraph" w:customStyle="1" w:styleId="Headingi">
    <w:name w:val="Heading_i"/>
    <w:basedOn w:val="Heading3"/>
    <w:next w:val="Normal"/>
    <w:rsid w:val="007A6D9D"/>
    <w:pPr>
      <w:spacing w:before="160"/>
      <w:ind w:left="0" w:firstLine="0"/>
    </w:pPr>
    <w:rPr>
      <w:b w:val="0"/>
      <w:i/>
    </w:rPr>
  </w:style>
  <w:style w:type="character" w:customStyle="1" w:styleId="href">
    <w:name w:val="href"/>
    <w:basedOn w:val="DefaultParagraphFont"/>
    <w:rsid w:val="007A6D9D"/>
  </w:style>
  <w:style w:type="paragraph" w:customStyle="1" w:styleId="enumlev1">
    <w:name w:val="enumlev1"/>
    <w:basedOn w:val="Normal"/>
    <w:link w:val="enumlev1Char"/>
    <w:rsid w:val="007A6D9D"/>
    <w:pPr>
      <w:spacing w:before="80"/>
      <w:ind w:left="794" w:hanging="794"/>
    </w:pPr>
  </w:style>
  <w:style w:type="paragraph" w:customStyle="1" w:styleId="enumlev2">
    <w:name w:val="enumlev2"/>
    <w:basedOn w:val="enumlev1"/>
    <w:link w:val="enumlev2Char"/>
    <w:rsid w:val="007A6D9D"/>
    <w:pPr>
      <w:ind w:left="1191" w:hanging="397"/>
    </w:pPr>
  </w:style>
  <w:style w:type="paragraph" w:customStyle="1" w:styleId="enumlev3">
    <w:name w:val="enumlev3"/>
    <w:basedOn w:val="enumlev2"/>
    <w:rsid w:val="007A6D9D"/>
    <w:pPr>
      <w:ind w:left="1588"/>
    </w:pPr>
  </w:style>
  <w:style w:type="paragraph" w:customStyle="1" w:styleId="Normalaftertitle">
    <w:name w:val="Normal_after_title"/>
    <w:basedOn w:val="Normal"/>
    <w:next w:val="Normal"/>
    <w:link w:val="NormalaftertitleChar"/>
    <w:rsid w:val="007A6D9D"/>
    <w:pPr>
      <w:spacing w:before="320"/>
    </w:pPr>
  </w:style>
  <w:style w:type="paragraph" w:customStyle="1" w:styleId="Note">
    <w:name w:val="Note"/>
    <w:basedOn w:val="Normal"/>
    <w:link w:val="NoteChar"/>
    <w:rsid w:val="007A6D9D"/>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7A6D9D"/>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7A6D9D"/>
    <w:pPr>
      <w:spacing w:before="240"/>
    </w:pPr>
    <w:rPr>
      <w:sz w:val="22"/>
      <w:lang w:val="es-ES_tradnl"/>
    </w:rPr>
  </w:style>
  <w:style w:type="paragraph" w:customStyle="1" w:styleId="Recref">
    <w:name w:val="Rec_ref"/>
    <w:basedOn w:val="Normal"/>
    <w:next w:val="Recdate"/>
    <w:rsid w:val="007A6D9D"/>
    <w:pPr>
      <w:jc w:val="center"/>
    </w:pPr>
  </w:style>
  <w:style w:type="paragraph" w:customStyle="1" w:styleId="Recdate">
    <w:name w:val="Rec_date"/>
    <w:basedOn w:val="Recref"/>
    <w:next w:val="Normalaftertitle"/>
    <w:rsid w:val="007A6D9D"/>
    <w:pPr>
      <w:jc w:val="right"/>
    </w:pPr>
  </w:style>
  <w:style w:type="paragraph" w:customStyle="1" w:styleId="AnnexNoTitle">
    <w:name w:val="Annex_NoTitle"/>
    <w:basedOn w:val="Normal"/>
    <w:next w:val="Normalaftertitle"/>
    <w:link w:val="AnnexNoTitleChar"/>
    <w:rsid w:val="007A6D9D"/>
    <w:pPr>
      <w:keepNext/>
      <w:keepLines/>
      <w:spacing w:before="480" w:after="80"/>
      <w:jc w:val="center"/>
    </w:pPr>
    <w:rPr>
      <w:b/>
      <w:sz w:val="28"/>
    </w:rPr>
  </w:style>
  <w:style w:type="paragraph" w:customStyle="1" w:styleId="AppendixNoTitle">
    <w:name w:val="Appendix_NoTitle"/>
    <w:basedOn w:val="AnnexNoTitle"/>
    <w:next w:val="Normal"/>
    <w:rsid w:val="007A6D9D"/>
  </w:style>
  <w:style w:type="paragraph" w:customStyle="1" w:styleId="Tablefin">
    <w:name w:val="Table_fin"/>
    <w:basedOn w:val="Normal"/>
    <w:next w:val="Normal"/>
    <w:rsid w:val="007A6D9D"/>
    <w:pPr>
      <w:spacing w:before="0"/>
    </w:pPr>
    <w:rPr>
      <w:sz w:val="20"/>
    </w:rPr>
  </w:style>
  <w:style w:type="paragraph" w:customStyle="1" w:styleId="Tablehead">
    <w:name w:val="Table_head"/>
    <w:basedOn w:val="Normal"/>
    <w:next w:val="Normal"/>
    <w:link w:val="TableheadChar"/>
    <w:rsid w:val="007A6D9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7A6D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7A6D9D"/>
    <w:pPr>
      <w:keepNext/>
      <w:spacing w:before="360" w:after="120"/>
      <w:jc w:val="center"/>
    </w:pPr>
  </w:style>
  <w:style w:type="paragraph" w:customStyle="1" w:styleId="Tabletext">
    <w:name w:val="Table_text"/>
    <w:basedOn w:val="Normal"/>
    <w:link w:val="TabletextChar"/>
    <w:rsid w:val="007A6D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7A6D9D"/>
    <w:pPr>
      <w:tabs>
        <w:tab w:val="clear" w:pos="1191"/>
        <w:tab w:val="clear" w:pos="1588"/>
        <w:tab w:val="clear" w:pos="1985"/>
        <w:tab w:val="center" w:pos="4820"/>
        <w:tab w:val="right" w:pos="9639"/>
      </w:tabs>
    </w:pPr>
  </w:style>
  <w:style w:type="paragraph" w:customStyle="1" w:styleId="Equationlegend">
    <w:name w:val="Equation_legend"/>
    <w:basedOn w:val="NormalIndent"/>
    <w:rsid w:val="007A6D9D"/>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7A6D9D"/>
    <w:pPr>
      <w:ind w:left="794"/>
    </w:pPr>
  </w:style>
  <w:style w:type="paragraph" w:customStyle="1" w:styleId="Figurelegend">
    <w:name w:val="Figure_legend"/>
    <w:basedOn w:val="Normal"/>
    <w:rsid w:val="007A6D9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7A6D9D"/>
    <w:pPr>
      <w:keepNext/>
      <w:keepLines/>
      <w:spacing w:before="480" w:after="80"/>
      <w:jc w:val="center"/>
    </w:pPr>
    <w:rPr>
      <w:caps/>
      <w:sz w:val="18"/>
    </w:rPr>
  </w:style>
  <w:style w:type="paragraph" w:customStyle="1" w:styleId="tocpart">
    <w:name w:val="tocpart"/>
    <w:basedOn w:val="Normal"/>
    <w:rsid w:val="007A6D9D"/>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7A6D9D"/>
    <w:pPr>
      <w:keepNext/>
      <w:keepLines/>
      <w:spacing w:before="480"/>
      <w:jc w:val="center"/>
    </w:pPr>
    <w:rPr>
      <w:sz w:val="28"/>
    </w:rPr>
  </w:style>
  <w:style w:type="paragraph" w:customStyle="1" w:styleId="Arttitle">
    <w:name w:val="Art_title"/>
    <w:basedOn w:val="Normal"/>
    <w:next w:val="Normalaftertitle"/>
    <w:rsid w:val="007A6D9D"/>
    <w:pPr>
      <w:keepNext/>
      <w:keepLines/>
      <w:spacing w:before="240"/>
      <w:jc w:val="center"/>
    </w:pPr>
    <w:rPr>
      <w:b/>
      <w:sz w:val="28"/>
    </w:rPr>
  </w:style>
  <w:style w:type="paragraph" w:customStyle="1" w:styleId="Blanc">
    <w:name w:val="Blanc"/>
    <w:basedOn w:val="Normal"/>
    <w:next w:val="Tabletext"/>
    <w:rsid w:val="007A6D9D"/>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7A6D9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7A6D9D"/>
    <w:pPr>
      <w:keepNext/>
      <w:keepLines/>
      <w:spacing w:before="160"/>
      <w:ind w:left="794"/>
    </w:pPr>
    <w:rPr>
      <w:i/>
    </w:rPr>
  </w:style>
  <w:style w:type="paragraph" w:customStyle="1" w:styleId="ChapNo">
    <w:name w:val="Chap_No"/>
    <w:basedOn w:val="ArtNo"/>
    <w:next w:val="Chaptitle"/>
    <w:rsid w:val="007A6D9D"/>
    <w:rPr>
      <w:b/>
    </w:rPr>
  </w:style>
  <w:style w:type="paragraph" w:customStyle="1" w:styleId="Chaptitle">
    <w:name w:val="Chap_title"/>
    <w:basedOn w:val="Arttitle"/>
    <w:next w:val="Normalaftertitle"/>
    <w:rsid w:val="007A6D9D"/>
  </w:style>
  <w:style w:type="character" w:styleId="FootnoteReference">
    <w:name w:val="footnote reference"/>
    <w:basedOn w:val="DefaultParagraphFont"/>
    <w:rsid w:val="007A6D9D"/>
    <w:rPr>
      <w:position w:val="6"/>
      <w:sz w:val="18"/>
    </w:rPr>
  </w:style>
  <w:style w:type="paragraph" w:styleId="FootnoteText">
    <w:name w:val="footnote text"/>
    <w:basedOn w:val="Normal"/>
    <w:link w:val="FootnoteTextChar"/>
    <w:rsid w:val="007A6D9D"/>
    <w:pPr>
      <w:keepLines/>
      <w:tabs>
        <w:tab w:val="left" w:pos="255"/>
      </w:tabs>
      <w:ind w:left="255" w:hanging="255"/>
    </w:pPr>
    <w:rPr>
      <w:sz w:val="22"/>
    </w:rPr>
  </w:style>
  <w:style w:type="paragraph" w:styleId="Index1">
    <w:name w:val="index 1"/>
    <w:basedOn w:val="Normal"/>
    <w:next w:val="Normal"/>
    <w:semiHidden/>
    <w:rsid w:val="007A6D9D"/>
  </w:style>
  <w:style w:type="paragraph" w:styleId="Index2">
    <w:name w:val="index 2"/>
    <w:basedOn w:val="Normal"/>
    <w:next w:val="Normal"/>
    <w:semiHidden/>
    <w:rsid w:val="007A6D9D"/>
    <w:pPr>
      <w:ind w:left="283"/>
    </w:pPr>
  </w:style>
  <w:style w:type="paragraph" w:styleId="Index3">
    <w:name w:val="index 3"/>
    <w:basedOn w:val="Normal"/>
    <w:next w:val="Normal"/>
    <w:semiHidden/>
    <w:rsid w:val="007A6D9D"/>
    <w:pPr>
      <w:ind w:left="566"/>
    </w:pPr>
  </w:style>
  <w:style w:type="paragraph" w:styleId="IndexHeading">
    <w:name w:val="index heading"/>
    <w:basedOn w:val="Normal"/>
    <w:next w:val="Index1"/>
    <w:semiHidden/>
    <w:rsid w:val="007A6D9D"/>
  </w:style>
  <w:style w:type="paragraph" w:customStyle="1" w:styleId="Line">
    <w:name w:val="Line"/>
    <w:basedOn w:val="Normal"/>
    <w:next w:val="Normal"/>
    <w:rsid w:val="007A6D9D"/>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7A6D9D"/>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7A6D9D"/>
  </w:style>
  <w:style w:type="paragraph" w:customStyle="1" w:styleId="Partref">
    <w:name w:val="Part_ref"/>
    <w:basedOn w:val="Normal"/>
    <w:next w:val="Normal"/>
    <w:rsid w:val="007A6D9D"/>
    <w:pPr>
      <w:keepNext/>
      <w:keepLines/>
      <w:spacing w:after="280"/>
      <w:jc w:val="center"/>
    </w:pPr>
  </w:style>
  <w:style w:type="paragraph" w:customStyle="1" w:styleId="Parttitle">
    <w:name w:val="Part_title"/>
    <w:basedOn w:val="Normal"/>
    <w:next w:val="Normalaftertitle"/>
    <w:rsid w:val="007A6D9D"/>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A6D9D"/>
  </w:style>
  <w:style w:type="paragraph" w:customStyle="1" w:styleId="QuestionNo">
    <w:name w:val="Question_No"/>
    <w:basedOn w:val="RecNo"/>
    <w:next w:val="Normal"/>
    <w:rsid w:val="007A6D9D"/>
  </w:style>
  <w:style w:type="paragraph" w:customStyle="1" w:styleId="Questionref">
    <w:name w:val="Question_ref"/>
    <w:basedOn w:val="Recref"/>
    <w:next w:val="Questiondate"/>
    <w:rsid w:val="007A6D9D"/>
  </w:style>
  <w:style w:type="paragraph" w:customStyle="1" w:styleId="Questiontitle">
    <w:name w:val="Question_title"/>
    <w:basedOn w:val="Normal"/>
    <w:next w:val="Questionref"/>
    <w:rsid w:val="007A6D9D"/>
  </w:style>
  <w:style w:type="paragraph" w:customStyle="1" w:styleId="Reftext">
    <w:name w:val="Ref_text"/>
    <w:basedOn w:val="Normal"/>
    <w:rsid w:val="007A6D9D"/>
    <w:pPr>
      <w:ind w:left="794" w:hanging="794"/>
    </w:pPr>
    <w:rPr>
      <w:sz w:val="22"/>
    </w:rPr>
  </w:style>
  <w:style w:type="paragraph" w:customStyle="1" w:styleId="Reftitle">
    <w:name w:val="Ref_title"/>
    <w:basedOn w:val="Normal"/>
    <w:next w:val="Reftext"/>
    <w:rsid w:val="007A6D9D"/>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A6D9D"/>
  </w:style>
  <w:style w:type="paragraph" w:customStyle="1" w:styleId="RepNo">
    <w:name w:val="Rep_No"/>
    <w:basedOn w:val="RecNo"/>
    <w:next w:val="Reptitle"/>
    <w:rsid w:val="007A6D9D"/>
  </w:style>
  <w:style w:type="paragraph" w:customStyle="1" w:styleId="Repref">
    <w:name w:val="Rep_ref"/>
    <w:basedOn w:val="Recref"/>
    <w:next w:val="Repdate"/>
    <w:rsid w:val="007A6D9D"/>
  </w:style>
  <w:style w:type="paragraph" w:customStyle="1" w:styleId="Reptitle">
    <w:name w:val="Rep_title"/>
    <w:basedOn w:val="Rectitle"/>
    <w:next w:val="Repref"/>
    <w:rsid w:val="007A6D9D"/>
  </w:style>
  <w:style w:type="paragraph" w:customStyle="1" w:styleId="Resdate">
    <w:name w:val="Res_date"/>
    <w:basedOn w:val="Recdate"/>
    <w:next w:val="Normalaftertitle"/>
    <w:rsid w:val="007A6D9D"/>
  </w:style>
  <w:style w:type="paragraph" w:customStyle="1" w:styleId="ResNo">
    <w:name w:val="Res_No"/>
    <w:basedOn w:val="RecNo"/>
    <w:next w:val="Restitle"/>
    <w:rsid w:val="007A6D9D"/>
  </w:style>
  <w:style w:type="paragraph" w:customStyle="1" w:styleId="Resref">
    <w:name w:val="Res_ref"/>
    <w:basedOn w:val="Recref"/>
    <w:next w:val="Resdate"/>
    <w:rsid w:val="007A6D9D"/>
  </w:style>
  <w:style w:type="paragraph" w:customStyle="1" w:styleId="Restitle">
    <w:name w:val="Res_title"/>
    <w:basedOn w:val="Normal"/>
    <w:next w:val="Resref"/>
    <w:rsid w:val="007A6D9D"/>
    <w:pPr>
      <w:spacing w:before="240"/>
      <w:jc w:val="center"/>
    </w:pPr>
    <w:rPr>
      <w:b/>
      <w:sz w:val="28"/>
    </w:rPr>
  </w:style>
  <w:style w:type="paragraph" w:customStyle="1" w:styleId="SectionNo">
    <w:name w:val="Section_No"/>
    <w:basedOn w:val="Normal"/>
    <w:next w:val="Normal"/>
    <w:rsid w:val="007A6D9D"/>
  </w:style>
  <w:style w:type="paragraph" w:customStyle="1" w:styleId="Sectiontitle">
    <w:name w:val="Section_title"/>
    <w:basedOn w:val="Normal"/>
    <w:next w:val="Normalaftertitle"/>
    <w:rsid w:val="007A6D9D"/>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A6D9D"/>
    <w:pPr>
      <w:tabs>
        <w:tab w:val="clear" w:pos="794"/>
        <w:tab w:val="clear" w:pos="1191"/>
        <w:tab w:val="clear" w:pos="1588"/>
        <w:tab w:val="clear" w:pos="1985"/>
        <w:tab w:val="right" w:pos="9611"/>
      </w:tabs>
    </w:pPr>
    <w:rPr>
      <w:i/>
    </w:rPr>
  </w:style>
  <w:style w:type="paragraph" w:styleId="TOC1">
    <w:name w:val="toc 1"/>
    <w:basedOn w:val="Normal"/>
    <w:uiPriority w:val="39"/>
    <w:rsid w:val="007A6D9D"/>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7A6D9D"/>
    <w:pPr>
      <w:tabs>
        <w:tab w:val="clear" w:pos="567"/>
        <w:tab w:val="left" w:pos="1276"/>
      </w:tabs>
      <w:spacing w:before="160"/>
      <w:ind w:left="1276" w:hanging="709"/>
    </w:pPr>
  </w:style>
  <w:style w:type="paragraph" w:styleId="TOC3">
    <w:name w:val="toc 3"/>
    <w:basedOn w:val="TOC2"/>
    <w:semiHidden/>
    <w:rsid w:val="007A6D9D"/>
    <w:pPr>
      <w:tabs>
        <w:tab w:val="clear" w:pos="1276"/>
        <w:tab w:val="left" w:pos="2155"/>
      </w:tabs>
      <w:ind w:left="2155" w:hanging="879"/>
    </w:pPr>
  </w:style>
  <w:style w:type="paragraph" w:styleId="TOC4">
    <w:name w:val="toc 4"/>
    <w:basedOn w:val="TOC3"/>
    <w:semiHidden/>
    <w:rsid w:val="007A6D9D"/>
    <w:pPr>
      <w:tabs>
        <w:tab w:val="left" w:pos="3261"/>
      </w:tabs>
      <w:spacing w:before="80"/>
      <w:ind w:left="3261" w:hanging="993"/>
    </w:pPr>
  </w:style>
  <w:style w:type="paragraph" w:styleId="TOC5">
    <w:name w:val="toc 5"/>
    <w:basedOn w:val="TOC4"/>
    <w:semiHidden/>
    <w:rsid w:val="007A6D9D"/>
  </w:style>
  <w:style w:type="paragraph" w:styleId="TOC6">
    <w:name w:val="toc 6"/>
    <w:basedOn w:val="TOC4"/>
    <w:semiHidden/>
    <w:rsid w:val="007A6D9D"/>
  </w:style>
  <w:style w:type="paragraph" w:styleId="TOC7">
    <w:name w:val="toc 7"/>
    <w:basedOn w:val="TOC4"/>
    <w:semiHidden/>
    <w:rsid w:val="007A6D9D"/>
  </w:style>
  <w:style w:type="paragraph" w:styleId="TOC8">
    <w:name w:val="toc 8"/>
    <w:basedOn w:val="TOC4"/>
    <w:semiHidden/>
    <w:rsid w:val="007A6D9D"/>
  </w:style>
  <w:style w:type="paragraph" w:customStyle="1" w:styleId="Rectitle">
    <w:name w:val="Rec_title"/>
    <w:basedOn w:val="Normal"/>
    <w:next w:val="Recref"/>
    <w:link w:val="RectitleChar"/>
    <w:rsid w:val="007A6D9D"/>
    <w:pPr>
      <w:keepNext/>
      <w:keepLines/>
      <w:spacing w:before="240"/>
      <w:jc w:val="center"/>
    </w:pPr>
    <w:rPr>
      <w:b/>
      <w:sz w:val="28"/>
    </w:rPr>
  </w:style>
  <w:style w:type="paragraph" w:customStyle="1" w:styleId="Annexref">
    <w:name w:val="Annex_ref"/>
    <w:basedOn w:val="Normal"/>
    <w:next w:val="Normalaftertitle"/>
    <w:rsid w:val="007A6D9D"/>
    <w:pPr>
      <w:keepNext/>
      <w:keepLines/>
      <w:spacing w:after="280"/>
      <w:jc w:val="center"/>
    </w:pPr>
  </w:style>
  <w:style w:type="paragraph" w:customStyle="1" w:styleId="Appendixref">
    <w:name w:val="Appendix_ref"/>
    <w:basedOn w:val="Annexref"/>
    <w:next w:val="Normalaftertitle"/>
    <w:rsid w:val="007A6D9D"/>
  </w:style>
  <w:style w:type="paragraph" w:customStyle="1" w:styleId="Figuretitle">
    <w:name w:val="Figure_title"/>
    <w:basedOn w:val="Normal"/>
    <w:next w:val="Figure"/>
    <w:link w:val="FiguretitleChar"/>
    <w:rsid w:val="007A6D9D"/>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7A6D9D"/>
    <w:pPr>
      <w:keepNext/>
      <w:spacing w:before="0" w:after="120"/>
      <w:jc w:val="center"/>
    </w:pPr>
    <w:rPr>
      <w:b/>
    </w:rPr>
  </w:style>
  <w:style w:type="paragraph" w:customStyle="1" w:styleId="Summary">
    <w:name w:val="Summary"/>
    <w:basedOn w:val="Normal"/>
    <w:next w:val="Normalaftertitle"/>
    <w:autoRedefine/>
    <w:rsid w:val="007A6D9D"/>
    <w:pPr>
      <w:spacing w:after="480"/>
    </w:pPr>
    <w:rPr>
      <w:sz w:val="22"/>
      <w:lang w:val="es-ES_tradnl"/>
    </w:rPr>
  </w:style>
  <w:style w:type="paragraph" w:customStyle="1" w:styleId="TableLegendNote">
    <w:name w:val="Table_Legend_Note"/>
    <w:basedOn w:val="Tablelegend"/>
    <w:next w:val="Tablelegend"/>
    <w:rsid w:val="007A6D9D"/>
    <w:pPr>
      <w:ind w:left="-85" w:firstLine="0"/>
    </w:pPr>
    <w:rPr>
      <w:lang w:val="en-US"/>
    </w:rPr>
  </w:style>
  <w:style w:type="paragraph" w:customStyle="1" w:styleId="Figure">
    <w:name w:val="Figure"/>
    <w:basedOn w:val="FigureNo"/>
    <w:next w:val="Normal"/>
    <w:link w:val="FigureChar"/>
    <w:rsid w:val="007A6D9D"/>
    <w:pPr>
      <w:keepNext w:val="0"/>
      <w:spacing w:before="0" w:after="240"/>
    </w:pPr>
  </w:style>
  <w:style w:type="character" w:styleId="Hyperlink">
    <w:name w:val="Hyperlink"/>
    <w:basedOn w:val="DefaultParagraphFont"/>
    <w:uiPriority w:val="99"/>
    <w:rsid w:val="007A6D9D"/>
    <w:rPr>
      <w:color w:val="0000FF"/>
      <w:u w:val="single"/>
    </w:rPr>
  </w:style>
  <w:style w:type="character" w:customStyle="1" w:styleId="HeaderChar">
    <w:name w:val="Header Char"/>
    <w:basedOn w:val="DefaultParagraphFont"/>
    <w:link w:val="Header"/>
    <w:rsid w:val="007A6D9D"/>
    <w:rPr>
      <w:sz w:val="24"/>
      <w:lang w:val="en-GB" w:eastAsia="en-US"/>
    </w:rPr>
  </w:style>
  <w:style w:type="table" w:styleId="TableGrid">
    <w:name w:val="Table Grid"/>
    <w:basedOn w:val="TableNormal"/>
    <w:uiPriority w:val="59"/>
    <w:qFormat/>
    <w:rsid w:val="007A6D9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7A6D9D"/>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7A6D9D"/>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7A6D9D"/>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7A6D9D"/>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rsid w:val="00725E50"/>
    <w:rPr>
      <w:b/>
      <w:sz w:val="24"/>
      <w:lang w:val="en-GB" w:eastAsia="en-US"/>
    </w:rPr>
  </w:style>
  <w:style w:type="paragraph" w:customStyle="1" w:styleId="Normalaftertitle0">
    <w:name w:val="Normal after title"/>
    <w:basedOn w:val="Normal"/>
    <w:next w:val="Normal"/>
    <w:rsid w:val="00725E50"/>
    <w:pPr>
      <w:tabs>
        <w:tab w:val="clear" w:pos="794"/>
        <w:tab w:val="clear" w:pos="1191"/>
        <w:tab w:val="clear" w:pos="1588"/>
        <w:tab w:val="clear" w:pos="1985"/>
        <w:tab w:val="left" w:pos="1134"/>
        <w:tab w:val="left" w:pos="1871"/>
        <w:tab w:val="left" w:pos="2268"/>
      </w:tabs>
      <w:spacing w:before="280"/>
      <w:jc w:val="left"/>
    </w:pPr>
  </w:style>
  <w:style w:type="character" w:customStyle="1" w:styleId="FootnoteTextChar">
    <w:name w:val="Footnote Text Char"/>
    <w:basedOn w:val="DefaultParagraphFont"/>
    <w:link w:val="FootnoteText"/>
    <w:qFormat/>
    <w:rsid w:val="00725E50"/>
    <w:rPr>
      <w:sz w:val="22"/>
      <w:lang w:val="en-GB" w:eastAsia="en-US"/>
    </w:rPr>
  </w:style>
  <w:style w:type="character" w:customStyle="1" w:styleId="FiguretitleChar">
    <w:name w:val="Figure_title Char"/>
    <w:basedOn w:val="DefaultParagraphFont"/>
    <w:link w:val="Figuretitle"/>
    <w:rsid w:val="00725E50"/>
    <w:rPr>
      <w:rFonts w:ascii="Times New Roman Bold" w:hAnsi="Times New Roman Bold"/>
      <w:b/>
      <w:sz w:val="18"/>
      <w:lang w:val="en-GB" w:eastAsia="en-US"/>
    </w:rPr>
  </w:style>
  <w:style w:type="character" w:customStyle="1" w:styleId="HeadingbChar">
    <w:name w:val="Heading_b Char"/>
    <w:basedOn w:val="DefaultParagraphFont"/>
    <w:link w:val="Headingb"/>
    <w:qFormat/>
    <w:locked/>
    <w:rsid w:val="00725E50"/>
    <w:rPr>
      <w:b/>
      <w:sz w:val="24"/>
      <w:lang w:val="en-GB" w:eastAsia="en-US"/>
    </w:rPr>
  </w:style>
  <w:style w:type="character" w:customStyle="1" w:styleId="enumlev1Char">
    <w:name w:val="enumlev1 Char"/>
    <w:basedOn w:val="DefaultParagraphFont"/>
    <w:link w:val="enumlev1"/>
    <w:locked/>
    <w:rsid w:val="00725E50"/>
    <w:rPr>
      <w:sz w:val="24"/>
      <w:lang w:val="en-GB" w:eastAsia="en-US"/>
    </w:rPr>
  </w:style>
  <w:style w:type="character" w:customStyle="1" w:styleId="NormalaftertitleChar">
    <w:name w:val="Normal_after_title Char"/>
    <w:basedOn w:val="DefaultParagraphFont"/>
    <w:link w:val="Normalaftertitle"/>
    <w:locked/>
    <w:rsid w:val="00725E50"/>
    <w:rPr>
      <w:sz w:val="24"/>
      <w:lang w:val="en-GB" w:eastAsia="en-US"/>
    </w:rPr>
  </w:style>
  <w:style w:type="character" w:customStyle="1" w:styleId="RectitleChar">
    <w:name w:val="Rec_title Char"/>
    <w:link w:val="Rectitle"/>
    <w:locked/>
    <w:rsid w:val="00725E50"/>
    <w:rPr>
      <w:b/>
      <w:sz w:val="28"/>
      <w:lang w:val="en-GB" w:eastAsia="en-US"/>
    </w:rPr>
  </w:style>
  <w:style w:type="character" w:customStyle="1" w:styleId="NoteChar">
    <w:name w:val="Note Char"/>
    <w:basedOn w:val="DefaultParagraphFont"/>
    <w:link w:val="Note"/>
    <w:locked/>
    <w:rsid w:val="00725E50"/>
    <w:rPr>
      <w:sz w:val="22"/>
      <w:lang w:val="en-GB" w:eastAsia="en-US"/>
    </w:rPr>
  </w:style>
  <w:style w:type="character" w:customStyle="1" w:styleId="CallChar">
    <w:name w:val="Call Char"/>
    <w:link w:val="Call"/>
    <w:locked/>
    <w:rsid w:val="00725E50"/>
    <w:rPr>
      <w:i/>
      <w:sz w:val="24"/>
      <w:lang w:val="en-GB" w:eastAsia="en-US"/>
    </w:rPr>
  </w:style>
  <w:style w:type="character" w:customStyle="1" w:styleId="TableheadChar">
    <w:name w:val="Table_head Char"/>
    <w:link w:val="Tablehead"/>
    <w:locked/>
    <w:rsid w:val="00725E50"/>
    <w:rPr>
      <w:b/>
      <w:sz w:val="22"/>
      <w:lang w:val="en-GB" w:eastAsia="en-US"/>
    </w:rPr>
  </w:style>
  <w:style w:type="character" w:customStyle="1" w:styleId="TableNoChar">
    <w:name w:val="Table_No Char"/>
    <w:link w:val="TableNo"/>
    <w:rsid w:val="00725E50"/>
    <w:rPr>
      <w:sz w:val="24"/>
      <w:lang w:val="en-GB" w:eastAsia="en-US"/>
    </w:rPr>
  </w:style>
  <w:style w:type="character" w:customStyle="1" w:styleId="TabletextChar">
    <w:name w:val="Table_text Char"/>
    <w:link w:val="Tabletext"/>
    <w:locked/>
    <w:rsid w:val="00725E50"/>
    <w:rPr>
      <w:sz w:val="22"/>
      <w:lang w:val="en-GB" w:eastAsia="en-US"/>
    </w:rPr>
  </w:style>
  <w:style w:type="character" w:customStyle="1" w:styleId="TabletitleChar">
    <w:name w:val="Table_title Char"/>
    <w:link w:val="Tabletitle"/>
    <w:qFormat/>
    <w:rsid w:val="00725E50"/>
    <w:rPr>
      <w:b/>
      <w:sz w:val="24"/>
      <w:lang w:val="en-GB" w:eastAsia="en-US"/>
    </w:rPr>
  </w:style>
  <w:style w:type="character" w:customStyle="1" w:styleId="FigureChar">
    <w:name w:val="Figure Char"/>
    <w:aliases w:val="fig Char"/>
    <w:link w:val="Figure"/>
    <w:rsid w:val="00725E50"/>
    <w:rPr>
      <w:caps/>
      <w:sz w:val="18"/>
      <w:lang w:val="en-GB" w:eastAsia="en-US"/>
    </w:rPr>
  </w:style>
  <w:style w:type="character" w:customStyle="1" w:styleId="FigureNo0">
    <w:name w:val="Figure_No (文字)"/>
    <w:link w:val="FigureNo"/>
    <w:rsid w:val="00725E50"/>
    <w:rPr>
      <w:caps/>
      <w:sz w:val="18"/>
      <w:lang w:val="en-GB" w:eastAsia="en-US"/>
    </w:rPr>
  </w:style>
  <w:style w:type="character" w:customStyle="1" w:styleId="TablelegendChar">
    <w:name w:val="Table_legend Char"/>
    <w:link w:val="Tablelegend"/>
    <w:locked/>
    <w:rsid w:val="00725E50"/>
    <w:rPr>
      <w:sz w:val="22"/>
      <w:lang w:val="en-GB" w:eastAsia="en-US"/>
    </w:rPr>
  </w:style>
  <w:style w:type="character" w:customStyle="1" w:styleId="enumlev2Char">
    <w:name w:val="enumlev2 Char"/>
    <w:basedOn w:val="DefaultParagraphFont"/>
    <w:link w:val="enumlev2"/>
    <w:locked/>
    <w:rsid w:val="00725E50"/>
    <w:rPr>
      <w:sz w:val="24"/>
      <w:lang w:val="en-GB" w:eastAsia="en-US"/>
    </w:rPr>
  </w:style>
  <w:style w:type="character" w:customStyle="1" w:styleId="EquationChar">
    <w:name w:val="Equation Char"/>
    <w:link w:val="Equation"/>
    <w:locked/>
    <w:rsid w:val="00725E50"/>
    <w:rPr>
      <w:sz w:val="24"/>
      <w:lang w:val="en-GB" w:eastAsia="en-US"/>
    </w:rPr>
  </w:style>
  <w:style w:type="character" w:customStyle="1" w:styleId="AnnexNoTitleChar">
    <w:name w:val="Annex_NoTitle Char"/>
    <w:basedOn w:val="DefaultParagraphFont"/>
    <w:link w:val="AnnexNoTitle"/>
    <w:locked/>
    <w:rsid w:val="00725E50"/>
    <w:rPr>
      <w:b/>
      <w:sz w:val="28"/>
      <w:lang w:val="en-GB" w:eastAsia="en-US"/>
    </w:rPr>
  </w:style>
  <w:style w:type="character" w:styleId="CommentReference">
    <w:name w:val="annotation reference"/>
    <w:basedOn w:val="DefaultParagraphFont"/>
    <w:semiHidden/>
    <w:unhideWhenUsed/>
    <w:rsid w:val="00725E50"/>
    <w:rPr>
      <w:sz w:val="16"/>
      <w:szCs w:val="16"/>
    </w:rPr>
  </w:style>
  <w:style w:type="paragraph" w:styleId="CommentText">
    <w:name w:val="annotation text"/>
    <w:basedOn w:val="Normal"/>
    <w:link w:val="CommentTextChar"/>
    <w:unhideWhenUsed/>
    <w:rsid w:val="00725E50"/>
    <w:rPr>
      <w:sz w:val="20"/>
    </w:rPr>
  </w:style>
  <w:style w:type="character" w:customStyle="1" w:styleId="CommentTextChar">
    <w:name w:val="Comment Text Char"/>
    <w:basedOn w:val="DefaultParagraphFont"/>
    <w:link w:val="CommentText"/>
    <w:rsid w:val="00725E50"/>
    <w:rPr>
      <w:lang w:val="en-GB" w:eastAsia="en-US"/>
    </w:rPr>
  </w:style>
  <w:style w:type="paragraph" w:styleId="CommentSubject">
    <w:name w:val="annotation subject"/>
    <w:basedOn w:val="CommentText"/>
    <w:next w:val="CommentText"/>
    <w:link w:val="CommentSubjectChar"/>
    <w:semiHidden/>
    <w:unhideWhenUsed/>
    <w:rsid w:val="00725E50"/>
    <w:rPr>
      <w:b/>
      <w:bCs/>
    </w:rPr>
  </w:style>
  <w:style w:type="character" w:customStyle="1" w:styleId="CommentSubjectChar">
    <w:name w:val="Comment Subject Char"/>
    <w:basedOn w:val="CommentTextChar"/>
    <w:link w:val="CommentSubject"/>
    <w:semiHidden/>
    <w:rsid w:val="00725E50"/>
    <w:rPr>
      <w:b/>
      <w:bCs/>
      <w:lang w:val="en-GB" w:eastAsia="en-US"/>
    </w:rPr>
  </w:style>
  <w:style w:type="paragraph" w:styleId="Revision">
    <w:name w:val="Revision"/>
    <w:hidden/>
    <w:uiPriority w:val="99"/>
    <w:semiHidden/>
    <w:rsid w:val="00725E50"/>
    <w:rPr>
      <w:sz w:val="24"/>
      <w:lang w:val="en-GB" w:eastAsia="en-US"/>
    </w:rPr>
  </w:style>
  <w:style w:type="character" w:styleId="UnresolvedMention">
    <w:name w:val="Unresolved Mention"/>
    <w:basedOn w:val="DefaultParagraphFont"/>
    <w:uiPriority w:val="99"/>
    <w:semiHidden/>
    <w:unhideWhenUsed/>
    <w:rsid w:val="00725E50"/>
    <w:rPr>
      <w:color w:val="605E5C"/>
      <w:shd w:val="clear" w:color="auto" w:fill="E1DFDD"/>
    </w:rPr>
  </w:style>
  <w:style w:type="character" w:styleId="FollowedHyperlink">
    <w:name w:val="FollowedHyperlink"/>
    <w:basedOn w:val="DefaultParagraphFont"/>
    <w:semiHidden/>
    <w:unhideWhenUsed/>
    <w:rsid w:val="00725E50"/>
    <w:rPr>
      <w:color w:val="800080" w:themeColor="followedHyperlink"/>
      <w:u w:val="single"/>
    </w:rPr>
  </w:style>
  <w:style w:type="paragraph" w:customStyle="1" w:styleId="Reasons">
    <w:name w:val="Reasons"/>
    <w:basedOn w:val="Normal"/>
    <w:qFormat/>
    <w:rsid w:val="00725E50"/>
    <w:pPr>
      <w:tabs>
        <w:tab w:val="clear" w:pos="794"/>
        <w:tab w:val="clear" w:pos="1191"/>
        <w:tab w:val="clear" w:pos="1588"/>
        <w:tab w:val="clear" w:pos="1985"/>
      </w:tabs>
      <w:overflowPunct/>
      <w:autoSpaceDE/>
      <w:autoSpaceDN/>
      <w:adjustRightInd/>
      <w:spacing w:before="0"/>
      <w:jc w:val="left"/>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rec/R-REC-F.1108/fr" TargetMode="External"/><Relationship Id="rId117" Type="http://schemas.openxmlformats.org/officeDocument/2006/relationships/header" Target="header11.xml"/><Relationship Id="rId21" Type="http://schemas.openxmlformats.org/officeDocument/2006/relationships/hyperlink" Target="https://www.itu.int/rec/R-REC-F.697/fr" TargetMode="External"/><Relationship Id="rId42" Type="http://schemas.openxmlformats.org/officeDocument/2006/relationships/hyperlink" Target="https://www.itu.int/rec/T-REC-G.828/fr" TargetMode="External"/><Relationship Id="rId47" Type="http://schemas.openxmlformats.org/officeDocument/2006/relationships/hyperlink" Target="http://www.itu.int/rec/R-REC-F.1668/fr" TargetMode="External"/><Relationship Id="rId63" Type="http://schemas.openxmlformats.org/officeDocument/2006/relationships/hyperlink" Target="http://www.itu.int/rec/R-REC-F.1495/fr" TargetMode="External"/><Relationship Id="rId68" Type="http://schemas.openxmlformats.org/officeDocument/2006/relationships/hyperlink" Target="http://www.itu.int/rec/R-REC-F.1494/fr" TargetMode="External"/><Relationship Id="rId84" Type="http://schemas.openxmlformats.org/officeDocument/2006/relationships/hyperlink" Target="http://www.itu.int/rec/R-REC-F.1669/fr" TargetMode="External"/><Relationship Id="rId89" Type="http://schemas.openxmlformats.org/officeDocument/2006/relationships/hyperlink" Target="https://www.itu.int/rec/R-REC-F.1494/fr" TargetMode="External"/><Relationship Id="rId112" Type="http://schemas.openxmlformats.org/officeDocument/2006/relationships/header" Target="header6.xml"/><Relationship Id="rId16" Type="http://schemas.openxmlformats.org/officeDocument/2006/relationships/hyperlink" Target="https://www.itu.int/pub/R-REP-F.2108/fr" TargetMode="External"/><Relationship Id="rId107" Type="http://schemas.openxmlformats.org/officeDocument/2006/relationships/hyperlink" Target="https://www.itu.int/rec/R-REC-SM.1757/fr" TargetMode="External"/><Relationship Id="rId11" Type="http://schemas.openxmlformats.org/officeDocument/2006/relationships/hyperlink" Target="https://www.itu.int/publ/R-REC/fr" TargetMode="External"/><Relationship Id="rId32" Type="http://schemas.openxmlformats.org/officeDocument/2006/relationships/hyperlink" Target="https://www.itu.int/rec/R-REC-F.1565/fr" TargetMode="External"/><Relationship Id="rId37" Type="http://schemas.openxmlformats.org/officeDocument/2006/relationships/hyperlink" Target="https://www.itu.int/rec/R-REC-F.1703/fr" TargetMode="External"/><Relationship Id="rId53" Type="http://schemas.openxmlformats.org/officeDocument/2006/relationships/hyperlink" Target="http://www.itu.int/rec/R-REC-F.697/en" TargetMode="External"/><Relationship Id="rId58" Type="http://schemas.openxmlformats.org/officeDocument/2006/relationships/hyperlink" Target="http://www.itu.int/rec/R-REC-F.696/fr" TargetMode="External"/><Relationship Id="rId74" Type="http://schemas.openxmlformats.org/officeDocument/2006/relationships/hyperlink" Target="https://www.itu.int/rec/R-REC-P.530/fr" TargetMode="External"/><Relationship Id="rId79" Type="http://schemas.openxmlformats.org/officeDocument/2006/relationships/hyperlink" Target="http://www.itu.int/rec/R-REC-F.1565/fr" TargetMode="External"/><Relationship Id="rId102" Type="http://schemas.openxmlformats.org/officeDocument/2006/relationships/hyperlink" Target="http://www.itu.int/rec/R-REC-F.1245/fr" TargetMode="External"/><Relationship Id="rId123" Type="http://schemas.openxmlformats.org/officeDocument/2006/relationships/header" Target="header17.xml"/><Relationship Id="rId5" Type="http://schemas.openxmlformats.org/officeDocument/2006/relationships/footnotes" Target="footnotes.xml"/><Relationship Id="rId90" Type="http://schemas.openxmlformats.org/officeDocument/2006/relationships/hyperlink" Target="https://www.itu.int/rec/R-REC-F.1495/fr" TargetMode="External"/><Relationship Id="rId95" Type="http://schemas.openxmlformats.org/officeDocument/2006/relationships/hyperlink" Target="https://www.itu.int/rec/R-REC-F.1606/fr" TargetMode="External"/><Relationship Id="rId22" Type="http://schemas.openxmlformats.org/officeDocument/2006/relationships/hyperlink" Target="https://www.itu.int/rec/R-REC-F.699/fr" TargetMode="External"/><Relationship Id="rId27" Type="http://schemas.openxmlformats.org/officeDocument/2006/relationships/hyperlink" Target="https://www.itu.int/rec/R-REC-F.1245/fr" TargetMode="External"/><Relationship Id="rId43" Type="http://schemas.openxmlformats.org/officeDocument/2006/relationships/hyperlink" Target="https://www.itu.int/rec/T-REC-G.829/fr" TargetMode="External"/><Relationship Id="rId48" Type="http://schemas.openxmlformats.org/officeDocument/2006/relationships/hyperlink" Target="https://www.itu.int/rec/T-REC-G.826/fr" TargetMode="External"/><Relationship Id="rId64" Type="http://schemas.openxmlformats.org/officeDocument/2006/relationships/hyperlink" Target="http://www.itu.int/rec/R-REC-F.1094/fr" TargetMode="External"/><Relationship Id="rId69" Type="http://schemas.openxmlformats.org/officeDocument/2006/relationships/hyperlink" Target="http://www.itu.int/rec/R-REC-F.1495/fr" TargetMode="External"/><Relationship Id="rId113" Type="http://schemas.openxmlformats.org/officeDocument/2006/relationships/header" Target="header7.xml"/><Relationship Id="rId118" Type="http://schemas.openxmlformats.org/officeDocument/2006/relationships/header" Target="header12.xml"/><Relationship Id="rId80" Type="http://schemas.openxmlformats.org/officeDocument/2006/relationships/hyperlink" Target="https://www.itu.int/rec/R-REC-F.1097/fr" TargetMode="External"/><Relationship Id="rId85" Type="http://schemas.openxmlformats.org/officeDocument/2006/relationships/hyperlink" Target="http://www.itu.int/rec/R-REC-F.1094/fr" TargetMode="External"/><Relationship Id="rId12" Type="http://schemas.openxmlformats.org/officeDocument/2006/relationships/header" Target="header3.xml"/><Relationship Id="rId17" Type="http://schemas.openxmlformats.org/officeDocument/2006/relationships/hyperlink" Target="https://www.itu.int/rec/R-REC-P.581/fr" TargetMode="External"/><Relationship Id="rId33" Type="http://schemas.openxmlformats.org/officeDocument/2006/relationships/hyperlink" Target="https://www.itu.int/rec/R-REC-F.1606/fr" TargetMode="External"/><Relationship Id="rId38" Type="http://schemas.openxmlformats.org/officeDocument/2006/relationships/hyperlink" Target="https://www.itu.int/rec/R-REC-F.2086/fr" TargetMode="External"/><Relationship Id="rId59" Type="http://schemas.openxmlformats.org/officeDocument/2006/relationships/hyperlink" Target="http://www.itu.int/rec/R-REC-F.697/fr" TargetMode="External"/><Relationship Id="rId103" Type="http://schemas.openxmlformats.org/officeDocument/2006/relationships/hyperlink" Target="http://www.itu.int/rec/R-REC-F.1336/fr" TargetMode="External"/><Relationship Id="rId108" Type="http://schemas.openxmlformats.org/officeDocument/2006/relationships/hyperlink" Target="https://www.itu.int/rec/R-REC-SM.1757/fr" TargetMode="External"/><Relationship Id="rId124" Type="http://schemas.openxmlformats.org/officeDocument/2006/relationships/fontTable" Target="fontTable.xml"/><Relationship Id="rId54" Type="http://schemas.openxmlformats.org/officeDocument/2006/relationships/hyperlink" Target="https://www.itu.int/rec/T-REC-G.826/en" TargetMode="External"/><Relationship Id="rId70" Type="http://schemas.openxmlformats.org/officeDocument/2006/relationships/hyperlink" Target="http://www.itu.int/rec/R-REC-F.1606/fr" TargetMode="External"/><Relationship Id="rId75" Type="http://schemas.openxmlformats.org/officeDocument/2006/relationships/hyperlink" Target="http://www.itu.int/rec/R-REC-F.1494/fr" TargetMode="External"/><Relationship Id="rId91" Type="http://schemas.openxmlformats.org/officeDocument/2006/relationships/hyperlink" Target="https://www.itu.int/rec/R-REC-F.1606/fr" TargetMode="External"/><Relationship Id="rId96" Type="http://schemas.openxmlformats.org/officeDocument/2006/relationships/hyperlink" Target="https://www.itu.int/rec/R-REC-F.1669/fr"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www.itu.int/rec/R-REC-SF.766/fr" TargetMode="External"/><Relationship Id="rId28" Type="http://schemas.openxmlformats.org/officeDocument/2006/relationships/hyperlink" Target="https://www.itu.int/rec/R-REC-F.1336/fr" TargetMode="External"/><Relationship Id="rId49" Type="http://schemas.openxmlformats.org/officeDocument/2006/relationships/hyperlink" Target="https://www.itu.int/rec/T-REC-G.828/fr" TargetMode="External"/><Relationship Id="rId114" Type="http://schemas.openxmlformats.org/officeDocument/2006/relationships/header" Target="header8.xml"/><Relationship Id="rId119" Type="http://schemas.openxmlformats.org/officeDocument/2006/relationships/header" Target="header13.xml"/><Relationship Id="rId44" Type="http://schemas.openxmlformats.org/officeDocument/2006/relationships/hyperlink" Target="https://www.itu.int/pub/R-REP-F.2108/fr" TargetMode="External"/><Relationship Id="rId60" Type="http://schemas.openxmlformats.org/officeDocument/2006/relationships/hyperlink" Target="http://www.itu.int/rec/R-REC-F.1703/fr" TargetMode="External"/><Relationship Id="rId65" Type="http://schemas.openxmlformats.org/officeDocument/2006/relationships/hyperlink" Target="http://www.itu.int/rec/R-REC-F.1094/fr" TargetMode="External"/><Relationship Id="rId81" Type="http://schemas.openxmlformats.org/officeDocument/2006/relationships/hyperlink" Target="https://www.itu.int/rec/R-REC-SM.1757/fr" TargetMode="External"/><Relationship Id="rId86" Type="http://schemas.openxmlformats.org/officeDocument/2006/relationships/hyperlink" Target="http://www.itu.int/rec/R-REC-F.1565/fr" TargetMode="External"/><Relationship Id="rId13" Type="http://schemas.openxmlformats.org/officeDocument/2006/relationships/header" Target="header4.xml"/><Relationship Id="rId18" Type="http://schemas.openxmlformats.org/officeDocument/2006/relationships/hyperlink" Target="http://www.itu.int/rec/R-REC-F.634/fr" TargetMode="External"/><Relationship Id="rId39" Type="http://schemas.openxmlformats.org/officeDocument/2006/relationships/hyperlink" Target="https://www.itu.int/pub/R-REP-F.2108/fr" TargetMode="External"/><Relationship Id="rId109" Type="http://schemas.openxmlformats.org/officeDocument/2006/relationships/hyperlink" Target="http://www.itu.int/rec/R-REC-F.1094/fr" TargetMode="External"/><Relationship Id="rId34" Type="http://schemas.openxmlformats.org/officeDocument/2006/relationships/hyperlink" Target="https://www.itu.int/rec/R-REC-SF.1650/fr" TargetMode="External"/><Relationship Id="rId50" Type="http://schemas.openxmlformats.org/officeDocument/2006/relationships/hyperlink" Target="https://www.itu.int/rec/T-REC-G.829/fr" TargetMode="External"/><Relationship Id="rId55" Type="http://schemas.openxmlformats.org/officeDocument/2006/relationships/hyperlink" Target="http://www.itu.int/rec/R-REC-F.1703/fr" TargetMode="External"/><Relationship Id="rId76" Type="http://schemas.openxmlformats.org/officeDocument/2006/relationships/hyperlink" Target="http://www.itu.int/rec/R-REC-F.1495/fr" TargetMode="External"/><Relationship Id="rId97" Type="http://schemas.openxmlformats.org/officeDocument/2006/relationships/hyperlink" Target="http://www.itu.int/rec/R-REC-F.699/fr" TargetMode="External"/><Relationship Id="rId104" Type="http://schemas.openxmlformats.org/officeDocument/2006/relationships/hyperlink" Target="http://www.itu.int/rec/R-REC-F.1101/fr" TargetMode="External"/><Relationship Id="rId120" Type="http://schemas.openxmlformats.org/officeDocument/2006/relationships/header" Target="header14.xml"/><Relationship Id="rId125"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http://www.itu.int/rec/R-REC-F.1669/fr" TargetMode="External"/><Relationship Id="rId92" Type="http://schemas.openxmlformats.org/officeDocument/2006/relationships/hyperlink" Target="https://www.itu.int/pub/R-REP-M.2119/fr" TargetMode="External"/><Relationship Id="rId2" Type="http://schemas.openxmlformats.org/officeDocument/2006/relationships/styles" Target="styles.xml"/><Relationship Id="rId29" Type="http://schemas.openxmlformats.org/officeDocument/2006/relationships/hyperlink" Target="https://www.itu.int/rec/R-REC-SM.1448/fr" TargetMode="External"/><Relationship Id="rId24" Type="http://schemas.openxmlformats.org/officeDocument/2006/relationships/hyperlink" Target="https://www.itu.int/rec/R-REC-F.1094/fr" TargetMode="External"/><Relationship Id="rId40" Type="http://schemas.openxmlformats.org/officeDocument/2006/relationships/hyperlink" Target="https://www.itu.int/rec/T-REC-G.826/fr" TargetMode="External"/><Relationship Id="rId45" Type="http://schemas.openxmlformats.org/officeDocument/2006/relationships/hyperlink" Target="https://www.itu.int/rec/R-REC-F.1094/fr" TargetMode="External"/><Relationship Id="rId66" Type="http://schemas.openxmlformats.org/officeDocument/2006/relationships/hyperlink" Target="http://www.itu.int/rec/R-REC-SF.766/fr" TargetMode="External"/><Relationship Id="rId87" Type="http://schemas.openxmlformats.org/officeDocument/2006/relationships/hyperlink" Target="http://www.itu.int/rec/R-REC-F.1565/fr" TargetMode="External"/><Relationship Id="rId110" Type="http://schemas.openxmlformats.org/officeDocument/2006/relationships/header" Target="header5.xml"/><Relationship Id="rId115" Type="http://schemas.openxmlformats.org/officeDocument/2006/relationships/header" Target="header9.xml"/><Relationship Id="rId61" Type="http://schemas.openxmlformats.org/officeDocument/2006/relationships/hyperlink" Target="http://www.itu.int/rec/R-REC-P.581/fr" TargetMode="External"/><Relationship Id="rId82" Type="http://schemas.openxmlformats.org/officeDocument/2006/relationships/hyperlink" Target="https://www.itu.int/pub/R-REP-SM.2057/fr" TargetMode="External"/><Relationship Id="rId19" Type="http://schemas.openxmlformats.org/officeDocument/2006/relationships/hyperlink" Target="https://www.itu.int/rec/R-REC-F.695/fr" TargetMode="External"/><Relationship Id="rId14" Type="http://schemas.openxmlformats.org/officeDocument/2006/relationships/hyperlink" Target="https://www.itu.int/pub/R-QUE-SG05.252/fr" TargetMode="External"/><Relationship Id="rId30" Type="http://schemas.openxmlformats.org/officeDocument/2006/relationships/hyperlink" Target="https://www.itu.int/rec/R-REC-F.1494/fr" TargetMode="External"/><Relationship Id="rId35" Type="http://schemas.openxmlformats.org/officeDocument/2006/relationships/hyperlink" Target="https://www.itu.int/rec/R-REC-F.1668/fr" TargetMode="External"/><Relationship Id="rId56" Type="http://schemas.openxmlformats.org/officeDocument/2006/relationships/hyperlink" Target="https://www.itu.int/rec/T-REC-G.827/fr" TargetMode="External"/><Relationship Id="rId77" Type="http://schemas.openxmlformats.org/officeDocument/2006/relationships/hyperlink" Target="http://www.itu.int/rec/R-REC-F.1606/fr" TargetMode="External"/><Relationship Id="rId100" Type="http://schemas.openxmlformats.org/officeDocument/2006/relationships/hyperlink" Target="http://www.itu.int/rec/R-REC-F.1101/fr" TargetMode="External"/><Relationship Id="rId105" Type="http://schemas.openxmlformats.org/officeDocument/2006/relationships/hyperlink" Target="http://www.itu.int/rec/R-REC-F.1101/fr" TargetMode="External"/><Relationship Id="rId8" Type="http://schemas.openxmlformats.org/officeDocument/2006/relationships/header" Target="header2.xml"/><Relationship Id="rId51" Type="http://schemas.openxmlformats.org/officeDocument/2006/relationships/hyperlink" Target="http://www.itu.int/rec/R-REC-F.634/en" TargetMode="External"/><Relationship Id="rId72" Type="http://schemas.openxmlformats.org/officeDocument/2006/relationships/hyperlink" Target="http://www.itu.int/rec/R-REC-SF.1650/fr" TargetMode="External"/><Relationship Id="rId93" Type="http://schemas.openxmlformats.org/officeDocument/2006/relationships/hyperlink" Target="https://www.itu.int/rec/R-REC-F.1494/fr" TargetMode="External"/><Relationship Id="rId98" Type="http://schemas.openxmlformats.org/officeDocument/2006/relationships/hyperlink" Target="http://www.itu.int/rec/R-REC-F.1245/fr" TargetMode="External"/><Relationship Id="rId121" Type="http://schemas.openxmlformats.org/officeDocument/2006/relationships/header" Target="header15.xml"/><Relationship Id="rId3" Type="http://schemas.openxmlformats.org/officeDocument/2006/relationships/settings" Target="settings.xml"/><Relationship Id="rId25" Type="http://schemas.openxmlformats.org/officeDocument/2006/relationships/hyperlink" Target="https://www.itu.int/rec/R-REC-F.1101/fr" TargetMode="External"/><Relationship Id="rId46" Type="http://schemas.openxmlformats.org/officeDocument/2006/relationships/hyperlink" Target="http://www.itu.int/rec/R-REC-F.2086/fr" TargetMode="External"/><Relationship Id="rId67" Type="http://schemas.openxmlformats.org/officeDocument/2006/relationships/hyperlink" Target="http://www.itu.int/rec/R-REC-SF.1448/fr" TargetMode="External"/><Relationship Id="rId116" Type="http://schemas.openxmlformats.org/officeDocument/2006/relationships/header" Target="header10.xml"/><Relationship Id="rId20" Type="http://schemas.openxmlformats.org/officeDocument/2006/relationships/hyperlink" Target="https://www.itu.int/rec/R-REC-F.696/fr" TargetMode="External"/><Relationship Id="rId41" Type="http://schemas.openxmlformats.org/officeDocument/2006/relationships/hyperlink" Target="https://www.itu.int/rec/T-REC-G.827/fr" TargetMode="External"/><Relationship Id="rId62" Type="http://schemas.openxmlformats.org/officeDocument/2006/relationships/hyperlink" Target="http://www.itu.int/rec/R-REC-F.1108/fr" TargetMode="External"/><Relationship Id="rId83" Type="http://schemas.openxmlformats.org/officeDocument/2006/relationships/hyperlink" Target="https://www.itu.int/rec/R-REC-P.530/fr" TargetMode="External"/><Relationship Id="rId88" Type="http://schemas.openxmlformats.org/officeDocument/2006/relationships/hyperlink" Target="http://www.itu.int/rec/R-REC-F.1703/fr" TargetMode="External"/><Relationship Id="rId111" Type="http://schemas.openxmlformats.org/officeDocument/2006/relationships/footer" Target="footer2.xml"/><Relationship Id="rId15" Type="http://schemas.openxmlformats.org/officeDocument/2006/relationships/hyperlink" Target="https://www.itu.int/rec/R-REC-F.1094/fr" TargetMode="External"/><Relationship Id="rId36" Type="http://schemas.openxmlformats.org/officeDocument/2006/relationships/hyperlink" Target="https://www.itu.int/rec/R-REC-F.1669/fr" TargetMode="External"/><Relationship Id="rId57" Type="http://schemas.openxmlformats.org/officeDocument/2006/relationships/hyperlink" Target="http://www.itu.int/rec/R-REC-F.695/fr" TargetMode="External"/><Relationship Id="rId106" Type="http://schemas.openxmlformats.org/officeDocument/2006/relationships/hyperlink" Target="http://www.itu.int/rec/R-REC-F.1094/fr" TargetMode="External"/><Relationship Id="rId10" Type="http://schemas.openxmlformats.org/officeDocument/2006/relationships/hyperlink" Target="https://www.itu.int/ITU-R/go/patents/fr" TargetMode="External"/><Relationship Id="rId31" Type="http://schemas.openxmlformats.org/officeDocument/2006/relationships/hyperlink" Target="https://www.itu.int/rec/R-REC-F.1495/fr" TargetMode="External"/><Relationship Id="rId52" Type="http://schemas.openxmlformats.org/officeDocument/2006/relationships/hyperlink" Target="http://www.itu.int/rec/R-REC-F.696/en" TargetMode="External"/><Relationship Id="rId73" Type="http://schemas.openxmlformats.org/officeDocument/2006/relationships/hyperlink" Target="http://www.itu.int/rec/R-REC-F.1108/fr" TargetMode="External"/><Relationship Id="rId78" Type="http://schemas.openxmlformats.org/officeDocument/2006/relationships/hyperlink" Target="http://www.itu.int/rec/R-REC-F.1094/fr" TargetMode="External"/><Relationship Id="rId94" Type="http://schemas.openxmlformats.org/officeDocument/2006/relationships/hyperlink" Target="https://www.itu.int/rec/R-REC-F.1495/fr" TargetMode="External"/><Relationship Id="rId99" Type="http://schemas.openxmlformats.org/officeDocument/2006/relationships/hyperlink" Target="http://www.itu.int/rec/R-REC-F.1336/fr" TargetMode="External"/><Relationship Id="rId101" Type="http://schemas.openxmlformats.org/officeDocument/2006/relationships/hyperlink" Target="http://www.itu.int/rec/R-REC-F.699/fr" TargetMode="External"/><Relationship Id="rId122"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C203B-1377-4CEE-BD25-40165D9C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431</TotalTime>
  <Pages>48</Pages>
  <Words>20642</Words>
  <Characters>118525</Characters>
  <Application>Microsoft Office Word</Application>
  <DocSecurity>0</DocSecurity>
  <Lines>987</Lines>
  <Paragraphs>277</Paragraphs>
  <ScaleCrop>false</ScaleCrop>
  <HeadingPairs>
    <vt:vector size="2" baseType="variant">
      <vt:variant>
        <vt:lpstr>Title</vt:lpstr>
      </vt:variant>
      <vt:variant>
        <vt:i4>1</vt:i4>
      </vt:variant>
    </vt:vector>
  </HeadingPairs>
  <TitlesOfParts>
    <vt:vector size="1" baseType="lpstr">
      <vt:lpstr>Recommandation UIT-R F.758-8 (02/2025) – Paramètres des systèmes et considérations relatives à la mise au point de critères pour le partage ou la compatibilité entre les systèmes hertziens fixes numériques du service fixe et les systèmes d'autres services</vt:lpstr>
    </vt:vector>
  </TitlesOfParts>
  <Manager/>
  <Company>ITU</Company>
  <LinksUpToDate>false</LinksUpToDate>
  <CharactersWithSpaces>138890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F.758-8 (02/2025) – Paramètres des systèmes et considérations relatives à la mise au point de critères pour le partage ou la compatibilité entre les systèmes hertziens fixes numériques du service fixe et les systèmes d'autres services ainsi que d'autres sources de brouillage</dc:title>
  <dc:subject/>
  <dc:creator>French</dc:creator>
  <cp:keywords>Service fixe, critères de partage, compatibilité</cp:keywords>
  <dc:description/>
  <cp:lastModifiedBy>French</cp:lastModifiedBy>
  <cp:revision>61</cp:revision>
  <cp:lastPrinted>2025-05-21T06:31:00Z</cp:lastPrinted>
  <dcterms:created xsi:type="dcterms:W3CDTF">2025-05-20T07:21:00Z</dcterms:created>
  <dcterms:modified xsi:type="dcterms:W3CDTF">2025-05-21T06:46:00Z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