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1514" w14:textId="77777777" w:rsidR="001A4518" w:rsidRDefault="001A4518" w:rsidP="001A4518"/>
    <w:p w14:paraId="35126A39" w14:textId="77777777" w:rsidR="001A4518" w:rsidRDefault="001A4518" w:rsidP="001A4518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1E81CAE6" w14:textId="17D56819" w:rsidR="001A4518" w:rsidRPr="002F5FED" w:rsidRDefault="001A4518" w:rsidP="001A4518">
      <w:pPr>
        <w:pStyle w:val="CoverNumber"/>
        <w:rPr>
          <w:lang w:val="en-GB"/>
        </w:rPr>
      </w:pPr>
      <w:r w:rsidRPr="002F5FED">
        <w:rPr>
          <w:lang w:val="en-GB"/>
        </w:rPr>
        <w:t>Recommendation ITU-R F.746-11</w:t>
      </w:r>
    </w:p>
    <w:p w14:paraId="7451AA40" w14:textId="393373C3" w:rsidR="001A4518" w:rsidRPr="002F5FED" w:rsidRDefault="001A4518" w:rsidP="001A4518">
      <w:pPr>
        <w:pStyle w:val="CoverDate"/>
        <w:rPr>
          <w:lang w:val="en-GB"/>
        </w:rPr>
      </w:pPr>
      <w:r w:rsidRPr="002F5FED">
        <w:rPr>
          <w:lang w:val="en-GB"/>
        </w:rPr>
        <w:t>(12/2023)</w:t>
      </w:r>
    </w:p>
    <w:p w14:paraId="7BFD4B23" w14:textId="77777777" w:rsidR="001A4518" w:rsidRPr="004A6FEB" w:rsidRDefault="001A4518" w:rsidP="001A4518">
      <w:pPr>
        <w:pStyle w:val="CoverSeries"/>
      </w:pPr>
      <w:r>
        <w:t>F</w:t>
      </w:r>
      <w:r w:rsidRPr="00146733">
        <w:t xml:space="preserve"> Series: </w:t>
      </w:r>
      <w:r w:rsidRPr="001A4518">
        <w:rPr>
          <w:lang w:val="en-GB"/>
        </w:rPr>
        <w:t>Fixed service</w:t>
      </w:r>
    </w:p>
    <w:p w14:paraId="3F388184" w14:textId="65B6D09B" w:rsidR="001A4518" w:rsidRPr="004A6FEB" w:rsidRDefault="001A4518" w:rsidP="001A4518">
      <w:pPr>
        <w:pStyle w:val="CoverTitle"/>
      </w:pPr>
      <w:r w:rsidRPr="001A4518">
        <w:rPr>
          <w:lang w:val="en-GB"/>
        </w:rPr>
        <w:t>Radio-frequency arrangements for fixed service systems</w:t>
      </w:r>
    </w:p>
    <w:p w14:paraId="75CD6BE8" w14:textId="77777777" w:rsidR="001A4518" w:rsidRPr="005373E0" w:rsidRDefault="001A4518" w:rsidP="001A4518">
      <w:pPr>
        <w:rPr>
          <w:lang w:val="en-US"/>
        </w:rPr>
      </w:pPr>
    </w:p>
    <w:p w14:paraId="64B1A402" w14:textId="77777777" w:rsidR="001A4518" w:rsidRPr="005373E0" w:rsidRDefault="001A4518" w:rsidP="001A4518"/>
    <w:p w14:paraId="0DEDBCF7" w14:textId="77777777" w:rsidR="001A4518" w:rsidRPr="005373E0" w:rsidRDefault="001A4518" w:rsidP="001A4518">
      <w:pPr>
        <w:sectPr w:rsidR="001A4518" w:rsidRPr="005373E0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4771A35" w14:textId="77777777" w:rsidR="001A4518" w:rsidRPr="00586EF8" w:rsidRDefault="001A4518" w:rsidP="001A4518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240" w:after="0"/>
        <w:rPr>
          <w:bCs/>
          <w:sz w:val="24"/>
          <w:szCs w:val="24"/>
          <w:lang w:val="en-US"/>
        </w:rPr>
      </w:pPr>
      <w:bookmarkStart w:id="0" w:name="c2tope"/>
      <w:bookmarkEnd w:id="0"/>
      <w:r w:rsidRPr="00586EF8">
        <w:rPr>
          <w:bCs/>
          <w:sz w:val="24"/>
          <w:szCs w:val="24"/>
          <w:lang w:val="en-US"/>
        </w:rPr>
        <w:lastRenderedPageBreak/>
        <w:t>Foreword</w:t>
      </w:r>
    </w:p>
    <w:p w14:paraId="1835523A" w14:textId="77777777" w:rsidR="001A4518" w:rsidRDefault="001A4518" w:rsidP="001A4518">
      <w:pPr>
        <w:spacing w:before="240"/>
        <w:rPr>
          <w:sz w:val="20"/>
          <w:lang w:val="en-US"/>
        </w:rPr>
      </w:pPr>
      <w:r>
        <w:rPr>
          <w:sz w:val="20"/>
          <w:lang w:val="en-US"/>
        </w:rPr>
        <w:t xml:space="preserve">The role of the Radiocommunication Sector is to ensure the rational, equitable, efficient and economical use of the radio-frequency spectrum by all radiocommunication services, including satellite services, and carry out studies without limit of frequency range </w:t>
      </w:r>
      <w:proofErr w:type="gramStart"/>
      <w:r>
        <w:rPr>
          <w:sz w:val="20"/>
          <w:lang w:val="en-US"/>
        </w:rPr>
        <w:t>on the basis of</w:t>
      </w:r>
      <w:proofErr w:type="gramEnd"/>
      <w:r>
        <w:rPr>
          <w:sz w:val="20"/>
          <w:lang w:val="en-US"/>
        </w:rPr>
        <w:t xml:space="preserve"> which Recommendations are adopted.</w:t>
      </w:r>
    </w:p>
    <w:p w14:paraId="50A02EFF" w14:textId="77777777" w:rsidR="001A4518" w:rsidRDefault="001A4518" w:rsidP="001A4518">
      <w:pPr>
        <w:rPr>
          <w:sz w:val="20"/>
          <w:lang w:val="en-US"/>
        </w:rPr>
      </w:pPr>
      <w:r>
        <w:rPr>
          <w:sz w:val="20"/>
          <w:lang w:val="en-US"/>
        </w:rPr>
        <w:t>The regulatory and policy functions of the Radiocommunication Sector are performed by World and Regional Radiocommunication Conferences and Radiocommunication Assemblies supported by Study Groups.</w:t>
      </w:r>
    </w:p>
    <w:p w14:paraId="2C37C1C2" w14:textId="77777777" w:rsidR="001A4518" w:rsidRPr="00B714F3" w:rsidRDefault="001A4518" w:rsidP="001A4518">
      <w:pPr>
        <w:pStyle w:val="Heading1"/>
        <w:spacing w:before="680"/>
        <w:jc w:val="center"/>
        <w:rPr>
          <w:szCs w:val="24"/>
          <w:lang w:val="en-US"/>
        </w:rPr>
      </w:pPr>
      <w:r w:rsidRPr="00B714F3">
        <w:rPr>
          <w:szCs w:val="24"/>
          <w:lang w:val="en-US"/>
        </w:rPr>
        <w:t>Policy on Intellectual Property Right (IPR)</w:t>
      </w:r>
    </w:p>
    <w:p w14:paraId="7210F023" w14:textId="77777777" w:rsidR="001A4518" w:rsidRPr="00B714F3" w:rsidRDefault="001A4518" w:rsidP="001A451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 w:val="20"/>
          <w:lang w:val="en-US"/>
        </w:rPr>
      </w:pPr>
      <w:r w:rsidRPr="00B714F3">
        <w:rPr>
          <w:sz w:val="20"/>
          <w:lang w:val="en-US"/>
        </w:rPr>
        <w:t>ITU-R policy on IPR is described in the Common Patent Policy for ITU-T/ITU-R/ISO/IEC referenced in Resolution ITU</w:t>
      </w:r>
      <w:r>
        <w:rPr>
          <w:sz w:val="20"/>
          <w:lang w:val="en-US"/>
        </w:rPr>
        <w:noBreakHyphen/>
      </w:r>
      <w:r w:rsidRPr="00B714F3">
        <w:rPr>
          <w:sz w:val="20"/>
          <w:lang w:val="en-US"/>
        </w:rPr>
        <w:t xml:space="preserve">R 1. Forms to be used for the submission of patent statements and licensing declarations by patent holders are available from </w:t>
      </w:r>
      <w:hyperlink r:id="rId10" w:history="1">
        <w:r w:rsidRPr="00B714F3">
          <w:rPr>
            <w:rStyle w:val="Hyperlink"/>
            <w:sz w:val="20"/>
            <w:lang w:val="en-US"/>
          </w:rPr>
          <w:t>http://www.itu.int/ITU</w:t>
        </w:r>
        <w:r>
          <w:rPr>
            <w:rStyle w:val="Hyperlink"/>
            <w:sz w:val="20"/>
            <w:lang w:val="en-US"/>
          </w:rPr>
          <w:t>-</w:t>
        </w:r>
        <w:r w:rsidRPr="00B714F3">
          <w:rPr>
            <w:rStyle w:val="Hyperlink"/>
            <w:sz w:val="20"/>
            <w:lang w:val="en-US"/>
          </w:rPr>
          <w:t>R/go/patents/en</w:t>
        </w:r>
      </w:hyperlink>
      <w:r w:rsidRPr="00B714F3">
        <w:rPr>
          <w:sz w:val="20"/>
          <w:lang w:val="en-US"/>
        </w:rPr>
        <w:t xml:space="preserve"> where the Guidelines for Implementation of the Common Patent Policy for ITU</w:t>
      </w:r>
      <w:r w:rsidRPr="00B714F3">
        <w:rPr>
          <w:sz w:val="20"/>
          <w:lang w:val="en-US"/>
        </w:rPr>
        <w:noBreakHyphen/>
        <w:t>T/ITU</w:t>
      </w:r>
      <w:r w:rsidRPr="00B714F3">
        <w:rPr>
          <w:sz w:val="20"/>
          <w:lang w:val="en-US"/>
        </w:rPr>
        <w:noBreakHyphen/>
        <w:t xml:space="preserve">R/ISO/IEC and the ITU-R patent information database can also be found. </w:t>
      </w:r>
    </w:p>
    <w:p w14:paraId="0ED9658E" w14:textId="77777777" w:rsidR="001A4518" w:rsidRDefault="001A4518" w:rsidP="001A4518">
      <w:pPr>
        <w:jc w:val="center"/>
        <w:rPr>
          <w:sz w:val="22"/>
          <w:lang w:val="en-US"/>
        </w:rPr>
      </w:pPr>
    </w:p>
    <w:p w14:paraId="4519AF5C" w14:textId="77777777" w:rsidR="001A4518" w:rsidRDefault="001A4518" w:rsidP="001A4518">
      <w:pPr>
        <w:jc w:val="center"/>
        <w:rPr>
          <w:sz w:val="22"/>
          <w:lang w:val="en-US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1A4518" w:rsidRPr="005F7CD0" w14:paraId="6067E0D5" w14:textId="77777777" w:rsidTr="00E86D4A">
        <w:tc>
          <w:tcPr>
            <w:tcW w:w="9360" w:type="dxa"/>
            <w:gridSpan w:val="2"/>
          </w:tcPr>
          <w:p w14:paraId="05692DCC" w14:textId="77777777" w:rsidR="001A4518" w:rsidRPr="00036EE3" w:rsidRDefault="001A4518" w:rsidP="00E86D4A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80"/>
              <w:textAlignment w:val="auto"/>
              <w:rPr>
                <w:sz w:val="22"/>
                <w:szCs w:val="22"/>
                <w:lang w:val="en-US"/>
              </w:rPr>
            </w:pPr>
            <w:r w:rsidRPr="00036EE3">
              <w:rPr>
                <w:sz w:val="22"/>
                <w:szCs w:val="22"/>
                <w:lang w:val="en-US"/>
              </w:rPr>
              <w:t>Series of ITU-R Recommendations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F0EA8A0" w14:textId="77777777" w:rsidR="001A4518" w:rsidRPr="00036EE3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n-US"/>
              </w:rPr>
            </w:pPr>
            <w:r w:rsidRPr="00CE0A43">
              <w:rPr>
                <w:b w:val="0"/>
                <w:sz w:val="18"/>
                <w:szCs w:val="18"/>
                <w:lang w:val="en-US"/>
              </w:rPr>
              <w:t>(</w:t>
            </w:r>
            <w:r w:rsidRPr="00036EE3">
              <w:rPr>
                <w:b w:val="0"/>
                <w:sz w:val="18"/>
                <w:szCs w:val="18"/>
                <w:lang w:val="en-US"/>
              </w:rPr>
              <w:t xml:space="preserve">Also available online at </w:t>
            </w:r>
            <w:hyperlink r:id="rId11" w:history="1">
              <w:r>
                <w:rPr>
                  <w:rStyle w:val="Hyperlink"/>
                  <w:b w:val="0"/>
                  <w:sz w:val="18"/>
                  <w:szCs w:val="18"/>
                  <w:lang w:val="en-US"/>
                </w:rPr>
                <w:t>https://www.itu.int/publ/R-REC/en</w:t>
              </w:r>
            </w:hyperlink>
            <w:r w:rsidRPr="00CE0A43">
              <w:rPr>
                <w:b w:val="0"/>
                <w:sz w:val="18"/>
                <w:szCs w:val="18"/>
                <w:lang w:val="en-US"/>
              </w:rPr>
              <w:t>)</w:t>
            </w:r>
          </w:p>
        </w:tc>
      </w:tr>
      <w:tr w:rsidR="001A4518" w:rsidRPr="00036EE3" w14:paraId="1302DC9B" w14:textId="77777777" w:rsidTr="00E86D4A">
        <w:tc>
          <w:tcPr>
            <w:tcW w:w="1140" w:type="dxa"/>
            <w:tcBorders>
              <w:bottom w:val="nil"/>
            </w:tcBorders>
            <w:vAlign w:val="bottom"/>
          </w:tcPr>
          <w:p w14:paraId="0C293C00" w14:textId="77777777" w:rsidR="001A4518" w:rsidRPr="00036EE3" w:rsidRDefault="001A4518" w:rsidP="00E86D4A">
            <w:pPr>
              <w:spacing w:before="20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24EF7FB4" w14:textId="77777777" w:rsidR="001A4518" w:rsidRPr="00036EE3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40" w:after="100"/>
              <w:rPr>
                <w:bCs/>
                <w:sz w:val="20"/>
                <w:lang w:val="en-US"/>
              </w:rPr>
            </w:pPr>
            <w:r w:rsidRPr="00036EE3">
              <w:rPr>
                <w:bCs/>
                <w:sz w:val="20"/>
                <w:lang w:val="en-US"/>
              </w:rPr>
              <w:t>Title</w:t>
            </w:r>
          </w:p>
        </w:tc>
      </w:tr>
      <w:tr w:rsidR="001A4518" w:rsidRPr="00A4173A" w14:paraId="5447FD7B" w14:textId="77777777" w:rsidTr="00E86D4A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FD5F355" w14:textId="77777777" w:rsidR="001A4518" w:rsidRPr="00A4173A" w:rsidRDefault="001A4518" w:rsidP="00E86D4A">
            <w:pPr>
              <w:spacing w:before="30" w:after="30"/>
              <w:ind w:left="57"/>
              <w:jc w:val="left"/>
              <w:rPr>
                <w:b/>
                <w:sz w:val="20"/>
                <w:lang w:val="en-US"/>
              </w:rPr>
            </w:pPr>
            <w:r w:rsidRPr="00A4173A">
              <w:rPr>
                <w:b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DE4F996" w14:textId="77777777" w:rsidR="001A4518" w:rsidRPr="00A4173A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A4173A">
              <w:rPr>
                <w:b w:val="0"/>
                <w:bCs/>
                <w:sz w:val="20"/>
                <w:lang w:val="en-US"/>
              </w:rPr>
              <w:t>Satellite delivery</w:t>
            </w:r>
          </w:p>
        </w:tc>
      </w:tr>
      <w:tr w:rsidR="001A4518" w:rsidRPr="005F7CD0" w14:paraId="63AE0946" w14:textId="77777777" w:rsidTr="00E86D4A">
        <w:tc>
          <w:tcPr>
            <w:tcW w:w="1140" w:type="dxa"/>
            <w:tcBorders>
              <w:top w:val="nil"/>
            </w:tcBorders>
          </w:tcPr>
          <w:p w14:paraId="68D4399D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</w:tcBorders>
          </w:tcPr>
          <w:p w14:paraId="30B32563" w14:textId="77777777" w:rsidR="001A4518" w:rsidRPr="00036EE3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036EE3">
              <w:rPr>
                <w:b w:val="0"/>
                <w:sz w:val="20"/>
                <w:lang w:val="en-US"/>
              </w:rPr>
              <w:t>Recording for production, archival and play-out; film for television</w:t>
            </w:r>
          </w:p>
        </w:tc>
      </w:tr>
      <w:tr w:rsidR="001A4518" w:rsidRPr="00B76D85" w14:paraId="78646FF4" w14:textId="77777777" w:rsidTr="00E86D4A">
        <w:tc>
          <w:tcPr>
            <w:tcW w:w="1140" w:type="dxa"/>
            <w:shd w:val="clear" w:color="auto" w:fill="FFFFFF" w:themeFill="background1"/>
          </w:tcPr>
          <w:p w14:paraId="26A6B91E" w14:textId="77777777" w:rsidR="001A4518" w:rsidRPr="00192E38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92E38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shd w:val="clear" w:color="auto" w:fill="FFFFFF" w:themeFill="background1"/>
          </w:tcPr>
          <w:p w14:paraId="651882F2" w14:textId="77777777" w:rsidR="001A4518" w:rsidRPr="00192E38" w:rsidRDefault="001A4518" w:rsidP="00E86D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192E38">
              <w:rPr>
                <w:sz w:val="20"/>
                <w:lang w:val="fr-CH"/>
              </w:rPr>
              <w:t>Broadcasting service (</w:t>
            </w:r>
            <w:proofErr w:type="spellStart"/>
            <w:r w:rsidRPr="00192E38">
              <w:rPr>
                <w:sz w:val="20"/>
                <w:lang w:val="fr-CH"/>
              </w:rPr>
              <w:t>sound</w:t>
            </w:r>
            <w:proofErr w:type="spellEnd"/>
            <w:r w:rsidRPr="00192E38">
              <w:rPr>
                <w:sz w:val="20"/>
                <w:lang w:val="fr-CH"/>
              </w:rPr>
              <w:t>)</w:t>
            </w:r>
          </w:p>
        </w:tc>
      </w:tr>
      <w:tr w:rsidR="001A4518" w:rsidRPr="00ED2695" w14:paraId="1E10CBBC" w14:textId="77777777" w:rsidTr="00E86D4A">
        <w:tc>
          <w:tcPr>
            <w:tcW w:w="1140" w:type="dxa"/>
            <w:shd w:val="clear" w:color="auto" w:fill="FFFFFF" w:themeFill="background1"/>
          </w:tcPr>
          <w:p w14:paraId="4027CF03" w14:textId="77777777" w:rsidR="001A4518" w:rsidRPr="00E040CD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040CD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shd w:val="clear" w:color="auto" w:fill="FFFFFF" w:themeFill="background1"/>
          </w:tcPr>
          <w:p w14:paraId="523D8B2B" w14:textId="77777777" w:rsidR="001A4518" w:rsidRPr="00E040CD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E040CD">
              <w:rPr>
                <w:b w:val="0"/>
                <w:sz w:val="20"/>
                <w:lang w:val="en-US"/>
              </w:rPr>
              <w:t>Broadcasting service (television)</w:t>
            </w:r>
          </w:p>
        </w:tc>
      </w:tr>
      <w:tr w:rsidR="001A4518" w:rsidRPr="00036EE3" w14:paraId="2A00B35B" w14:textId="77777777" w:rsidTr="00E86D4A">
        <w:tc>
          <w:tcPr>
            <w:tcW w:w="1140" w:type="dxa"/>
            <w:shd w:val="clear" w:color="auto" w:fill="F2F2F2" w:themeFill="background1" w:themeFillShade="F2"/>
          </w:tcPr>
          <w:p w14:paraId="0564C058" w14:textId="77777777" w:rsidR="001A4518" w:rsidRPr="00E040CD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E040CD">
              <w:rPr>
                <w:b/>
                <w:bCs/>
                <w:color w:val="000080"/>
                <w:sz w:val="20"/>
                <w:lang w:val="en-US"/>
              </w:rPr>
              <w:t>F</w:t>
            </w:r>
          </w:p>
        </w:tc>
        <w:tc>
          <w:tcPr>
            <w:tcW w:w="8220" w:type="dxa"/>
            <w:shd w:val="clear" w:color="auto" w:fill="F2F2F2" w:themeFill="background1" w:themeFillShade="F2"/>
          </w:tcPr>
          <w:p w14:paraId="0533A9AB" w14:textId="77777777" w:rsidR="001A4518" w:rsidRPr="00E040CD" w:rsidRDefault="001A4518" w:rsidP="00E86D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b/>
                <w:bCs/>
                <w:color w:val="000080"/>
                <w:sz w:val="20"/>
                <w:lang w:val="en-US"/>
              </w:rPr>
            </w:pPr>
            <w:r w:rsidRPr="00E040CD">
              <w:rPr>
                <w:b/>
                <w:bCs/>
                <w:color w:val="000080"/>
                <w:sz w:val="20"/>
                <w:lang w:val="en-US"/>
              </w:rPr>
              <w:t>Fixed service</w:t>
            </w:r>
          </w:p>
        </w:tc>
      </w:tr>
      <w:tr w:rsidR="001A4518" w:rsidRPr="00036EE3" w14:paraId="23A57079" w14:textId="77777777" w:rsidTr="00E86D4A">
        <w:tc>
          <w:tcPr>
            <w:tcW w:w="1140" w:type="dxa"/>
            <w:shd w:val="clear" w:color="auto" w:fill="auto"/>
          </w:tcPr>
          <w:p w14:paraId="77ED604E" w14:textId="77777777" w:rsidR="001A4518" w:rsidRPr="00906589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906589">
              <w:rPr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shd w:val="clear" w:color="auto" w:fill="auto"/>
          </w:tcPr>
          <w:p w14:paraId="68947DA7" w14:textId="77777777" w:rsidR="001A4518" w:rsidRPr="00906589" w:rsidRDefault="001A4518" w:rsidP="00E86D4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906589">
              <w:rPr>
                <w:b w:val="0"/>
                <w:sz w:val="20"/>
                <w:lang w:val="en-US"/>
              </w:rPr>
              <w:t>Mobile, radiodetermination, amateur and related satellite services</w:t>
            </w:r>
          </w:p>
        </w:tc>
      </w:tr>
      <w:tr w:rsidR="001A4518" w:rsidRPr="00036EE3" w14:paraId="0AFE2495" w14:textId="77777777" w:rsidTr="00E86D4A">
        <w:tc>
          <w:tcPr>
            <w:tcW w:w="1140" w:type="dxa"/>
          </w:tcPr>
          <w:p w14:paraId="1CD88EA7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036EE3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</w:tcPr>
          <w:p w14:paraId="3AE55517" w14:textId="77777777" w:rsidR="001A4518" w:rsidRPr="00036EE3" w:rsidRDefault="001A4518" w:rsidP="00E86D4A">
            <w:pPr>
              <w:spacing w:before="30" w:after="30"/>
              <w:jc w:val="left"/>
              <w:rPr>
                <w:sz w:val="20"/>
                <w:lang w:val="fr-CH"/>
              </w:rPr>
            </w:pPr>
            <w:proofErr w:type="spellStart"/>
            <w:r w:rsidRPr="00036EE3">
              <w:rPr>
                <w:sz w:val="20"/>
                <w:lang w:val="fr-CH"/>
              </w:rPr>
              <w:t>Radiowave</w:t>
            </w:r>
            <w:proofErr w:type="spellEnd"/>
            <w:r w:rsidRPr="00036EE3">
              <w:rPr>
                <w:sz w:val="20"/>
                <w:lang w:val="fr-CH"/>
              </w:rPr>
              <w:t xml:space="preserve"> propagation</w:t>
            </w:r>
          </w:p>
        </w:tc>
      </w:tr>
      <w:tr w:rsidR="001A4518" w:rsidRPr="00036EE3" w14:paraId="3D612642" w14:textId="77777777" w:rsidTr="00E86D4A">
        <w:tc>
          <w:tcPr>
            <w:tcW w:w="1140" w:type="dxa"/>
          </w:tcPr>
          <w:p w14:paraId="52CE17B5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</w:tcPr>
          <w:p w14:paraId="477061B5" w14:textId="77777777" w:rsidR="001A4518" w:rsidRPr="00036EE3" w:rsidRDefault="001A4518" w:rsidP="00E86D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Radio astronomy</w:t>
            </w:r>
          </w:p>
        </w:tc>
      </w:tr>
      <w:tr w:rsidR="001A4518" w:rsidRPr="00036EE3" w14:paraId="4C05C05E" w14:textId="77777777" w:rsidTr="00E86D4A">
        <w:tc>
          <w:tcPr>
            <w:tcW w:w="1140" w:type="dxa"/>
          </w:tcPr>
          <w:p w14:paraId="53059315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</w:tcPr>
          <w:p w14:paraId="17E8760E" w14:textId="77777777" w:rsidR="001A4518" w:rsidRPr="00036EE3" w:rsidRDefault="001A4518" w:rsidP="00E86D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Remote sensing systems</w:t>
            </w:r>
          </w:p>
        </w:tc>
      </w:tr>
      <w:tr w:rsidR="001A4518" w:rsidRPr="00036EE3" w14:paraId="53F93B6B" w14:textId="77777777" w:rsidTr="00E86D4A">
        <w:tc>
          <w:tcPr>
            <w:tcW w:w="1140" w:type="dxa"/>
            <w:tcBorders>
              <w:bottom w:val="nil"/>
            </w:tcBorders>
          </w:tcPr>
          <w:p w14:paraId="13B1A25B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bottom w:val="nil"/>
            </w:tcBorders>
          </w:tcPr>
          <w:p w14:paraId="20AE261F" w14:textId="77777777" w:rsidR="001A4518" w:rsidRPr="00036EE3" w:rsidRDefault="001A4518" w:rsidP="00E86D4A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Fixed-satellite service</w:t>
            </w:r>
          </w:p>
        </w:tc>
      </w:tr>
      <w:tr w:rsidR="001A4518" w:rsidRPr="00B76D85" w14:paraId="785C1D41" w14:textId="77777777" w:rsidTr="00E86D4A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694EA4" w14:textId="77777777" w:rsidR="001A4518" w:rsidRPr="00B76D85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B76D85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FAAA18" w14:textId="77777777" w:rsidR="001A4518" w:rsidRPr="00B76D85" w:rsidRDefault="001A4518" w:rsidP="00E86D4A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B76D85">
              <w:rPr>
                <w:sz w:val="20"/>
                <w:lang w:val="en-US"/>
              </w:rPr>
              <w:t>Space applications and meteorology</w:t>
            </w:r>
          </w:p>
        </w:tc>
      </w:tr>
      <w:tr w:rsidR="001A4518" w:rsidRPr="005F7CD0" w14:paraId="3D346B35" w14:textId="77777777" w:rsidTr="00E86D4A">
        <w:tc>
          <w:tcPr>
            <w:tcW w:w="1140" w:type="dxa"/>
            <w:tcBorders>
              <w:top w:val="nil"/>
              <w:bottom w:val="nil"/>
            </w:tcBorders>
          </w:tcPr>
          <w:p w14:paraId="00DB2BD8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14:paraId="732DC03A" w14:textId="77777777" w:rsidR="001A4518" w:rsidRPr="00036EE3" w:rsidRDefault="001A4518" w:rsidP="00E86D4A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Frequency sharing and coordination between fixed-satellite and fixed service systems</w:t>
            </w:r>
          </w:p>
        </w:tc>
      </w:tr>
      <w:tr w:rsidR="001A4518" w:rsidRPr="00036EE3" w14:paraId="709A74B4" w14:textId="77777777" w:rsidTr="00E86D4A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F01921E" w14:textId="77777777" w:rsidR="001A4518" w:rsidRPr="001B164E" w:rsidRDefault="001A4518" w:rsidP="00E86D4A">
            <w:pPr>
              <w:spacing w:before="30" w:after="30"/>
              <w:ind w:left="57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</w:pPr>
            <w:r w:rsidRPr="001B164E">
              <w:rPr>
                <w:rFonts w:ascii="Times New Roman Bold" w:hAnsi="Times New Roman Bold" w:cs="Times New Roman Bold"/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A4F55C7" w14:textId="77777777" w:rsidR="001A4518" w:rsidRPr="001B164E" w:rsidRDefault="001A4518" w:rsidP="00E86D4A">
            <w:pPr>
              <w:spacing w:before="30" w:after="30"/>
              <w:jc w:val="left"/>
              <w:rPr>
                <w:rFonts w:hAnsi="Times New Roman Bold"/>
                <w:sz w:val="20"/>
                <w:lang w:val="en-US"/>
              </w:rPr>
            </w:pPr>
            <w:r w:rsidRPr="001B164E">
              <w:rPr>
                <w:rFonts w:hAnsi="Times New Roman Bold"/>
                <w:sz w:val="20"/>
                <w:lang w:val="en-US"/>
              </w:rPr>
              <w:t>Spectrum management</w:t>
            </w:r>
          </w:p>
        </w:tc>
      </w:tr>
      <w:tr w:rsidR="001A4518" w:rsidRPr="00036EE3" w14:paraId="7F4C6B3C" w14:textId="77777777" w:rsidTr="00E86D4A">
        <w:tc>
          <w:tcPr>
            <w:tcW w:w="1140" w:type="dxa"/>
            <w:tcBorders>
              <w:top w:val="nil"/>
            </w:tcBorders>
          </w:tcPr>
          <w:p w14:paraId="707C0D2E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  <w:tcBorders>
              <w:top w:val="nil"/>
            </w:tcBorders>
          </w:tcPr>
          <w:p w14:paraId="62129E36" w14:textId="77777777" w:rsidR="001A4518" w:rsidRPr="00036EE3" w:rsidRDefault="001A4518" w:rsidP="00E86D4A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Satellite news gathering</w:t>
            </w:r>
          </w:p>
        </w:tc>
      </w:tr>
      <w:tr w:rsidR="001A4518" w:rsidRPr="005F7CD0" w14:paraId="6F25CE28" w14:textId="77777777" w:rsidTr="00E86D4A">
        <w:tc>
          <w:tcPr>
            <w:tcW w:w="1140" w:type="dxa"/>
          </w:tcPr>
          <w:p w14:paraId="31BAD309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673ECC05" w14:textId="77777777" w:rsidR="001A4518" w:rsidRPr="00036EE3" w:rsidRDefault="001A4518" w:rsidP="00E86D4A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Time signals and frequency standards emissions</w:t>
            </w:r>
          </w:p>
        </w:tc>
      </w:tr>
      <w:tr w:rsidR="001A4518" w:rsidRPr="00036EE3" w14:paraId="47CA5A0E" w14:textId="77777777" w:rsidTr="00E86D4A">
        <w:tc>
          <w:tcPr>
            <w:tcW w:w="1140" w:type="dxa"/>
          </w:tcPr>
          <w:p w14:paraId="1862B56B" w14:textId="77777777" w:rsidR="001A4518" w:rsidRPr="00036EE3" w:rsidRDefault="001A4518" w:rsidP="00E86D4A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1DD6781B" w14:textId="77777777" w:rsidR="001A4518" w:rsidRPr="00036EE3" w:rsidRDefault="001A4518" w:rsidP="00E86D4A">
            <w:pPr>
              <w:spacing w:before="30" w:after="180"/>
              <w:jc w:val="left"/>
              <w:rPr>
                <w:sz w:val="20"/>
                <w:lang w:val="en-US"/>
              </w:rPr>
            </w:pPr>
            <w:r w:rsidRPr="00036EE3">
              <w:rPr>
                <w:sz w:val="20"/>
                <w:lang w:val="en-US"/>
              </w:rPr>
              <w:t>Vocabulary and related subjects</w:t>
            </w:r>
          </w:p>
        </w:tc>
      </w:tr>
    </w:tbl>
    <w:p w14:paraId="38EDB868" w14:textId="77777777" w:rsidR="001A4518" w:rsidRPr="00036EE3" w:rsidRDefault="001A4518" w:rsidP="001A4518">
      <w:pPr>
        <w:spacing w:before="30" w:after="3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1A4518" w14:paraId="28848F88" w14:textId="77777777" w:rsidTr="00E86D4A">
        <w:tc>
          <w:tcPr>
            <w:tcW w:w="720" w:type="dxa"/>
          </w:tcPr>
          <w:p w14:paraId="12C84826" w14:textId="77777777" w:rsidR="001A4518" w:rsidRDefault="001A4518" w:rsidP="00E86D4A">
            <w:pPr>
              <w:jc w:val="center"/>
              <w:rPr>
                <w:sz w:val="22"/>
                <w:lang w:val="en-US"/>
              </w:rPr>
            </w:pPr>
          </w:p>
        </w:tc>
      </w:tr>
    </w:tbl>
    <w:p w14:paraId="008310F4" w14:textId="77777777" w:rsidR="001A4518" w:rsidRPr="00036EE3" w:rsidRDefault="001A4518" w:rsidP="001A4518">
      <w:pPr>
        <w:spacing w:before="0"/>
        <w:jc w:val="center"/>
        <w:rPr>
          <w:sz w:val="22"/>
          <w:lang w:val="en-US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9609"/>
      </w:tblGrid>
      <w:tr w:rsidR="001A4518" w:rsidRPr="005F7CD0" w14:paraId="646DA417" w14:textId="77777777" w:rsidTr="00E86D4A">
        <w:tc>
          <w:tcPr>
            <w:tcW w:w="9360" w:type="dxa"/>
          </w:tcPr>
          <w:p w14:paraId="3F2E0B20" w14:textId="77777777" w:rsidR="001A4518" w:rsidRPr="002F5199" w:rsidRDefault="001A4518" w:rsidP="00E86D4A">
            <w:pPr>
              <w:spacing w:after="120"/>
              <w:jc w:val="left"/>
              <w:rPr>
                <w:sz w:val="20"/>
                <w:lang w:val="en-US"/>
              </w:rPr>
            </w:pPr>
            <w:r w:rsidRPr="002F5199">
              <w:rPr>
                <w:b/>
                <w:bCs/>
                <w:i/>
                <w:iCs/>
                <w:sz w:val="20"/>
                <w:lang w:val="en-US"/>
              </w:rPr>
              <w:t>Note</w:t>
            </w:r>
            <w:r w:rsidRPr="002F5199">
              <w:rPr>
                <w:sz w:val="20"/>
                <w:lang w:val="en-US"/>
              </w:rPr>
              <w:t xml:space="preserve">: </w:t>
            </w:r>
            <w:r w:rsidRPr="002F5199">
              <w:rPr>
                <w:i/>
                <w:iCs/>
                <w:sz w:val="20"/>
                <w:lang w:val="en-US"/>
              </w:rPr>
              <w:t>This ITU-R Recommendation was approved in English under the procedure detailed in Resolution ITU-R 1.</w:t>
            </w:r>
          </w:p>
        </w:tc>
      </w:tr>
    </w:tbl>
    <w:p w14:paraId="5D3CE703" w14:textId="77777777" w:rsidR="001A4518" w:rsidRDefault="001A4518" w:rsidP="001A4518">
      <w:pPr>
        <w:spacing w:before="0"/>
        <w:jc w:val="center"/>
        <w:rPr>
          <w:sz w:val="22"/>
          <w:lang w:val="en-US"/>
        </w:rPr>
      </w:pPr>
    </w:p>
    <w:p w14:paraId="04774412" w14:textId="77777777" w:rsidR="001A4518" w:rsidRDefault="001A4518" w:rsidP="001A4518">
      <w:pPr>
        <w:spacing w:before="0"/>
        <w:jc w:val="center"/>
        <w:rPr>
          <w:sz w:val="22"/>
          <w:lang w:val="en-US"/>
        </w:rPr>
      </w:pPr>
    </w:p>
    <w:p w14:paraId="6E7B222E" w14:textId="77777777" w:rsidR="001A4518" w:rsidRPr="002F5199" w:rsidRDefault="001A4518" w:rsidP="001A4518">
      <w:pPr>
        <w:spacing w:before="0"/>
        <w:jc w:val="right"/>
        <w:rPr>
          <w:i/>
          <w:iCs/>
          <w:sz w:val="20"/>
          <w:lang w:val="en-US"/>
        </w:rPr>
      </w:pPr>
      <w:r w:rsidRPr="002F5199">
        <w:rPr>
          <w:i/>
          <w:iCs/>
          <w:sz w:val="20"/>
          <w:lang w:val="en-US"/>
        </w:rPr>
        <w:t>Electronic Publication</w:t>
      </w:r>
    </w:p>
    <w:p w14:paraId="04DB2F08" w14:textId="372F127B" w:rsidR="001A4518" w:rsidRPr="002F5199" w:rsidRDefault="001A4518" w:rsidP="001A4518">
      <w:pPr>
        <w:spacing w:before="0"/>
        <w:jc w:val="right"/>
        <w:rPr>
          <w:sz w:val="20"/>
          <w:lang w:val="en-US"/>
        </w:rPr>
      </w:pPr>
      <w:smartTag w:uri="urn:schemas-microsoft-com:office:smarttags" w:element="State">
        <w:smartTag w:uri="urn:schemas-microsoft-com:office:smarttags" w:element="City">
          <w:r w:rsidRPr="002F5199">
            <w:rPr>
              <w:sz w:val="20"/>
              <w:lang w:val="en-US"/>
            </w:rPr>
            <w:t>Geneva</w:t>
          </w:r>
        </w:smartTag>
      </w:smartTag>
      <w:r w:rsidRPr="002F5199">
        <w:rPr>
          <w:sz w:val="20"/>
          <w:lang w:val="en-US"/>
        </w:rPr>
        <w:t>, 20</w:t>
      </w:r>
      <w:r>
        <w:rPr>
          <w:sz w:val="20"/>
          <w:lang w:val="en-US"/>
        </w:rPr>
        <w:t>2</w:t>
      </w:r>
      <w:r w:rsidR="00EF0707">
        <w:rPr>
          <w:sz w:val="20"/>
          <w:lang w:val="en-US"/>
        </w:rPr>
        <w:t>4</w:t>
      </w:r>
    </w:p>
    <w:p w14:paraId="67A8042B" w14:textId="77777777" w:rsidR="001A4518" w:rsidRDefault="001A4518" w:rsidP="001A4518">
      <w:pPr>
        <w:jc w:val="center"/>
        <w:rPr>
          <w:sz w:val="22"/>
          <w:lang w:val="en-US"/>
        </w:rPr>
      </w:pPr>
    </w:p>
    <w:p w14:paraId="33B4E3A7" w14:textId="296C7168" w:rsidR="001A4518" w:rsidRPr="00470E28" w:rsidRDefault="001A4518" w:rsidP="001A4518">
      <w:pPr>
        <w:jc w:val="center"/>
        <w:rPr>
          <w:sz w:val="20"/>
          <w:lang w:val="en-US"/>
        </w:rPr>
      </w:pPr>
      <w:r w:rsidRPr="00470E28">
        <w:rPr>
          <w:sz w:val="20"/>
          <w:lang w:val="en-US"/>
        </w:rPr>
        <w:sym w:font="Symbol" w:char="F0E3"/>
      </w:r>
      <w:r w:rsidRPr="00470E28">
        <w:rPr>
          <w:sz w:val="20"/>
          <w:lang w:val="en-US"/>
        </w:rPr>
        <w:t xml:space="preserve"> ITU </w:t>
      </w:r>
      <w:bookmarkStart w:id="1" w:name="iiannee"/>
      <w:bookmarkEnd w:id="1"/>
      <w:r w:rsidRPr="00470E28">
        <w:rPr>
          <w:sz w:val="20"/>
          <w:lang w:val="en-US"/>
        </w:rPr>
        <w:t>20</w:t>
      </w:r>
      <w:r>
        <w:rPr>
          <w:sz w:val="20"/>
          <w:lang w:val="en-US"/>
        </w:rPr>
        <w:t>2</w:t>
      </w:r>
      <w:r w:rsidR="00EF0707">
        <w:rPr>
          <w:sz w:val="20"/>
          <w:lang w:val="en-US"/>
        </w:rPr>
        <w:t>4</w:t>
      </w:r>
    </w:p>
    <w:p w14:paraId="3D8E4513" w14:textId="77777777" w:rsidR="001A4518" w:rsidRPr="00470E28" w:rsidRDefault="001A4518" w:rsidP="001A4518">
      <w:pPr>
        <w:rPr>
          <w:sz w:val="18"/>
          <w:szCs w:val="18"/>
          <w:lang w:val="en-US"/>
        </w:rPr>
      </w:pPr>
      <w:r w:rsidRPr="00470E28">
        <w:rPr>
          <w:sz w:val="18"/>
          <w:szCs w:val="18"/>
          <w:lang w:val="en-US"/>
        </w:rPr>
        <w:t>All rights reserved. No part of thi</w:t>
      </w:r>
      <w:r>
        <w:rPr>
          <w:sz w:val="18"/>
          <w:szCs w:val="18"/>
          <w:lang w:val="en-US"/>
        </w:rPr>
        <w:t xml:space="preserve">s publication may be reproduced, </w:t>
      </w:r>
      <w:r w:rsidRPr="00470E28">
        <w:rPr>
          <w:sz w:val="18"/>
          <w:szCs w:val="18"/>
          <w:lang w:val="en-US"/>
        </w:rPr>
        <w:t xml:space="preserve">by any means </w:t>
      </w:r>
      <w:r>
        <w:rPr>
          <w:sz w:val="18"/>
          <w:szCs w:val="18"/>
          <w:lang w:val="en-US"/>
        </w:rPr>
        <w:t xml:space="preserve">whatsoever, </w:t>
      </w:r>
      <w:r w:rsidRPr="00470E28">
        <w:rPr>
          <w:sz w:val="18"/>
          <w:szCs w:val="18"/>
          <w:lang w:val="en-US"/>
        </w:rPr>
        <w:t xml:space="preserve">without written permission </w:t>
      </w:r>
      <w:r>
        <w:rPr>
          <w:sz w:val="18"/>
          <w:szCs w:val="18"/>
          <w:lang w:val="en-US"/>
        </w:rPr>
        <w:t>of</w:t>
      </w:r>
      <w:r w:rsidRPr="00470E28">
        <w:rPr>
          <w:sz w:val="18"/>
          <w:szCs w:val="18"/>
          <w:lang w:val="en-US"/>
        </w:rPr>
        <w:t xml:space="preserve"> ITU.</w:t>
      </w:r>
    </w:p>
    <w:p w14:paraId="15FCC7B7" w14:textId="77777777" w:rsidR="001A4518" w:rsidRDefault="001A4518" w:rsidP="001A4518">
      <w:pPr>
        <w:spacing w:before="160"/>
        <w:rPr>
          <w:i/>
          <w:sz w:val="20"/>
          <w:lang w:val="en-US"/>
        </w:rPr>
        <w:sectPr w:rsidR="001A4518" w:rsidSect="002058CE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1D867AD8" w14:textId="07D401B2" w:rsidR="001A4518" w:rsidRPr="00B874C6" w:rsidRDefault="001A4518" w:rsidP="001A4518">
      <w:pPr>
        <w:pStyle w:val="RecNo"/>
        <w:spacing w:before="0"/>
        <w:rPr>
          <w:lang w:val="en-US"/>
        </w:rPr>
      </w:pPr>
      <w:bookmarkStart w:id="2" w:name="irecnoe"/>
      <w:bookmarkEnd w:id="2"/>
      <w:r w:rsidRPr="00BF487A">
        <w:lastRenderedPageBreak/>
        <w:t xml:space="preserve">RECOMMENDATION  </w:t>
      </w:r>
      <w:r w:rsidRPr="00BF487A">
        <w:rPr>
          <w:rStyle w:val="href"/>
          <w:lang w:val="en-US"/>
        </w:rPr>
        <w:t xml:space="preserve">ITU-R  </w:t>
      </w:r>
      <w:r>
        <w:rPr>
          <w:rStyle w:val="href"/>
          <w:lang w:val="en-US"/>
        </w:rPr>
        <w:t>F</w:t>
      </w:r>
      <w:r w:rsidRPr="00BF487A">
        <w:rPr>
          <w:rStyle w:val="href"/>
          <w:lang w:val="en-US"/>
        </w:rPr>
        <w:t>.</w:t>
      </w:r>
      <w:r w:rsidR="00EF0707">
        <w:rPr>
          <w:rStyle w:val="href"/>
          <w:lang w:val="en-US"/>
        </w:rPr>
        <w:t>746-11</w:t>
      </w:r>
    </w:p>
    <w:p w14:paraId="20B7F613" w14:textId="77777777" w:rsidR="00EF0707" w:rsidRPr="00937AEE" w:rsidRDefault="00EF0707" w:rsidP="00EF0707">
      <w:pPr>
        <w:pStyle w:val="Rectitle"/>
      </w:pPr>
      <w:r w:rsidRPr="00937AEE">
        <w:t>Radio-frequency arrangements for fixed service systems</w:t>
      </w:r>
    </w:p>
    <w:p w14:paraId="4C6801FB" w14:textId="77777777" w:rsidR="00EF0707" w:rsidRPr="00937AEE" w:rsidRDefault="00EF0707" w:rsidP="00EF0707">
      <w:pPr>
        <w:pStyle w:val="Recref"/>
      </w:pPr>
      <w:r w:rsidRPr="00937AEE">
        <w:t>(Question ITU</w:t>
      </w:r>
      <w:r w:rsidRPr="00937AEE">
        <w:noBreakHyphen/>
        <w:t>R 247</w:t>
      </w:r>
      <w:r>
        <w:t>-1</w:t>
      </w:r>
      <w:r w:rsidRPr="00937AEE">
        <w:t>/5)</w:t>
      </w:r>
    </w:p>
    <w:p w14:paraId="4D20D42C" w14:textId="77777777" w:rsidR="00EF0707" w:rsidRPr="00937AEE" w:rsidRDefault="00EF0707" w:rsidP="00EF0707">
      <w:pPr>
        <w:pStyle w:val="Recdate"/>
      </w:pPr>
      <w:r w:rsidRPr="00937AEE">
        <w:t>(1991-1994-1995-1997-1999-2001-2002-2003-2006-2007-2012</w:t>
      </w:r>
      <w:r>
        <w:t>-2023</w:t>
      </w:r>
      <w:r w:rsidRPr="00937AEE">
        <w:t>)</w:t>
      </w:r>
    </w:p>
    <w:p w14:paraId="7F787B97" w14:textId="77777777" w:rsidR="00EF0707" w:rsidRPr="00937AEE" w:rsidRDefault="00EF0707" w:rsidP="00EF0707">
      <w:pPr>
        <w:pStyle w:val="HeadingSum"/>
        <w:rPr>
          <w:lang w:val="en-GB"/>
        </w:rPr>
      </w:pPr>
      <w:r w:rsidRPr="00937AEE">
        <w:rPr>
          <w:lang w:val="en-GB"/>
        </w:rPr>
        <w:t>Scope</w:t>
      </w:r>
    </w:p>
    <w:p w14:paraId="4C2A475E" w14:textId="77777777" w:rsidR="00EF0707" w:rsidRPr="00937AEE" w:rsidRDefault="00EF0707" w:rsidP="00EF0707">
      <w:pPr>
        <w:pStyle w:val="Summary"/>
        <w:rPr>
          <w:lang w:val="en-GB" w:eastAsia="ja-JP"/>
        </w:rPr>
      </w:pPr>
      <w:r w:rsidRPr="00937AEE">
        <w:rPr>
          <w:lang w:val="en-GB" w:eastAsia="ja-JP"/>
        </w:rPr>
        <w:t>This Recommendation provides general guidelines for developing radio-frequency arrangements for fixed wireless systems. It also presents a summary of all the current radio-frequency arrangements contained in various Recommendations and provides in various Annexes specific radio-frequency channel arrangements not covered in the scope of other specific Recommendations.</w:t>
      </w:r>
    </w:p>
    <w:p w14:paraId="0D00B034" w14:textId="77777777" w:rsidR="00EF0707" w:rsidRPr="00986724" w:rsidRDefault="00EF0707" w:rsidP="00EF0707">
      <w:pPr>
        <w:pStyle w:val="Headingb"/>
      </w:pPr>
      <w:r w:rsidRPr="00986724">
        <w:t>Keywords</w:t>
      </w:r>
    </w:p>
    <w:p w14:paraId="6E746034" w14:textId="77777777" w:rsidR="00EF0707" w:rsidRPr="00B572AD" w:rsidRDefault="00EF0707" w:rsidP="00EF0707">
      <w:pPr>
        <w:rPr>
          <w:lang w:eastAsia="zh-CN"/>
        </w:rPr>
      </w:pPr>
      <w:r w:rsidRPr="00986724">
        <w:rPr>
          <w:lang w:eastAsia="zh-CN"/>
        </w:rPr>
        <w:t xml:space="preserve">Fixed service, </w:t>
      </w:r>
      <w:r>
        <w:rPr>
          <w:lang w:eastAsia="zh-CN"/>
        </w:rPr>
        <w:t xml:space="preserve">fixed wireless system, </w:t>
      </w:r>
      <w:r w:rsidRPr="00986724">
        <w:rPr>
          <w:lang w:eastAsia="zh-CN"/>
        </w:rPr>
        <w:t>point to point, channel bandwidth, channel arrangement</w:t>
      </w:r>
    </w:p>
    <w:p w14:paraId="019B9644" w14:textId="77777777" w:rsidR="00EF0707" w:rsidRPr="00986724" w:rsidRDefault="00EF0707" w:rsidP="00EF0707">
      <w:pPr>
        <w:pStyle w:val="Headingb"/>
      </w:pPr>
      <w:r w:rsidRPr="00986724">
        <w:t>Abbreviations</w:t>
      </w:r>
    </w:p>
    <w:p w14:paraId="48E06D6B" w14:textId="392CB580" w:rsidR="00EF0707" w:rsidRPr="00986724" w:rsidRDefault="00EF0707" w:rsidP="00EF0707">
      <w:pPr>
        <w:rPr>
          <w:szCs w:val="24"/>
          <w:lang w:eastAsia="ja-JP"/>
        </w:rPr>
      </w:pPr>
      <w:r w:rsidRPr="00986724">
        <w:rPr>
          <w:szCs w:val="24"/>
          <w:lang w:eastAsia="ja-JP"/>
        </w:rPr>
        <w:t>FWS</w:t>
      </w:r>
      <w:r w:rsidRPr="00986724">
        <w:rPr>
          <w:szCs w:val="24"/>
          <w:lang w:eastAsia="ja-JP"/>
        </w:rPr>
        <w:tab/>
        <w:t>Fixed wireless system</w:t>
      </w:r>
    </w:p>
    <w:p w14:paraId="64D27CFC" w14:textId="159D5718" w:rsidR="00EF0707" w:rsidRPr="00986724" w:rsidRDefault="00EF0707" w:rsidP="00EF0707">
      <w:pPr>
        <w:rPr>
          <w:szCs w:val="24"/>
          <w:lang w:eastAsia="ja-JP"/>
        </w:rPr>
      </w:pPr>
      <w:r w:rsidRPr="00986724">
        <w:rPr>
          <w:szCs w:val="24"/>
          <w:lang w:eastAsia="ja-JP"/>
        </w:rPr>
        <w:t>NFD</w:t>
      </w:r>
      <w:r w:rsidRPr="00986724">
        <w:rPr>
          <w:szCs w:val="24"/>
          <w:lang w:eastAsia="ja-JP"/>
        </w:rPr>
        <w:tab/>
        <w:t>Net filter discrimination</w:t>
      </w:r>
    </w:p>
    <w:p w14:paraId="7A11B00D" w14:textId="36F64D60" w:rsidR="00EF0707" w:rsidRPr="00986724" w:rsidRDefault="00EF0707" w:rsidP="00EF0707">
      <w:pPr>
        <w:rPr>
          <w:szCs w:val="24"/>
          <w:lang w:eastAsia="ja-JP"/>
        </w:rPr>
      </w:pPr>
      <w:r w:rsidRPr="00986724">
        <w:rPr>
          <w:szCs w:val="24"/>
          <w:lang w:eastAsia="ja-JP"/>
        </w:rPr>
        <w:t>XPD</w:t>
      </w:r>
      <w:r w:rsidRPr="00986724">
        <w:rPr>
          <w:szCs w:val="24"/>
          <w:lang w:eastAsia="ja-JP"/>
        </w:rPr>
        <w:tab/>
        <w:t>Cross-polar discrimination</w:t>
      </w:r>
    </w:p>
    <w:p w14:paraId="139BE121" w14:textId="77777777" w:rsidR="00EF0707" w:rsidRPr="00986724" w:rsidRDefault="00EF0707" w:rsidP="00EF0707">
      <w:pPr>
        <w:pStyle w:val="Headingb"/>
      </w:pPr>
      <w:r w:rsidRPr="00986724">
        <w:t>Related ITU Recommendations</w:t>
      </w:r>
    </w:p>
    <w:p w14:paraId="4E7DADAC" w14:textId="3264B8F2" w:rsidR="0049502D" w:rsidRPr="00D65E49" w:rsidRDefault="0049502D" w:rsidP="0049502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4" w:history="1">
        <w:r w:rsidRPr="00D65E49">
          <w:rPr>
            <w:rStyle w:val="Hyperlink"/>
            <w:color w:val="auto"/>
            <w:u w:val="none"/>
            <w:lang w:eastAsia="ja-JP"/>
          </w:rPr>
          <w:t>ITU-R P.310</w:t>
        </w:r>
      </w:hyperlink>
      <w:r w:rsidRPr="00D65E49">
        <w:rPr>
          <w:lang w:eastAsia="ja-JP"/>
        </w:rPr>
        <w:t xml:space="preserve"> – Definitions of terms relating to propagation in non-ionized media</w:t>
      </w:r>
    </w:p>
    <w:p w14:paraId="5E1872F2" w14:textId="01A3AD64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5" w:history="1">
        <w:r w:rsidRPr="00D65E49">
          <w:rPr>
            <w:rStyle w:val="Hyperlink"/>
            <w:color w:val="auto"/>
            <w:u w:val="none"/>
            <w:lang w:eastAsia="ja-JP"/>
          </w:rPr>
          <w:t>ITU-R F.382</w:t>
        </w:r>
      </w:hyperlink>
      <w:r w:rsidRPr="00D65E49">
        <w:rPr>
          <w:lang w:eastAsia="ja-JP"/>
        </w:rPr>
        <w:t xml:space="preserve"> – Radio-frequency channel arrangements for fixed wireless systems operating in the 2 and 4 GHz bands</w:t>
      </w:r>
    </w:p>
    <w:p w14:paraId="6AFEA473" w14:textId="644F1E12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6" w:history="1">
        <w:r w:rsidRPr="00D65E49">
          <w:rPr>
            <w:rStyle w:val="Hyperlink"/>
            <w:color w:val="auto"/>
            <w:u w:val="none"/>
            <w:lang w:eastAsia="ja-JP"/>
          </w:rPr>
          <w:t>ITU-R F.383</w:t>
        </w:r>
      </w:hyperlink>
      <w:r w:rsidRPr="00D65E49">
        <w:rPr>
          <w:lang w:eastAsia="ja-JP"/>
        </w:rPr>
        <w:t xml:space="preserve"> – Radio-frequency channel arrangements for high-capacity fixed wireless systems operating in the lower 6 GHz (5 925 to 6 425 MHz) band</w:t>
      </w:r>
    </w:p>
    <w:p w14:paraId="45F7B741" w14:textId="6F1F1C58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7" w:history="1">
        <w:r w:rsidRPr="00D65E49">
          <w:rPr>
            <w:rStyle w:val="Hyperlink"/>
            <w:color w:val="auto"/>
            <w:u w:val="none"/>
            <w:lang w:eastAsia="ja-JP"/>
          </w:rPr>
          <w:t>ITU-R F.384</w:t>
        </w:r>
      </w:hyperlink>
      <w:r w:rsidRPr="00D65E49">
        <w:rPr>
          <w:lang w:eastAsia="ja-JP"/>
        </w:rPr>
        <w:t xml:space="preserve"> – Radio-frequency channel arrangements for medium- and high-capacity digital fixed wireless systems operating in the 6 425-7 125 MHz band</w:t>
      </w:r>
    </w:p>
    <w:p w14:paraId="4B3E0C9C" w14:textId="45B3B4C0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8" w:history="1">
        <w:r w:rsidRPr="00D65E49">
          <w:rPr>
            <w:rStyle w:val="Hyperlink"/>
            <w:color w:val="auto"/>
            <w:u w:val="none"/>
            <w:lang w:eastAsia="ja-JP"/>
          </w:rPr>
          <w:t>ITU-R F.385</w:t>
        </w:r>
      </w:hyperlink>
      <w:r w:rsidRPr="00D65E49">
        <w:rPr>
          <w:lang w:eastAsia="ja-JP"/>
        </w:rPr>
        <w:t xml:space="preserve"> – </w:t>
      </w:r>
      <w:r w:rsidR="002F5FED" w:rsidRPr="00D65E49">
        <w:rPr>
          <w:lang w:eastAsia="ja-JP"/>
        </w:rPr>
        <w:t>Radio-frequency channel arrangements for fixed wireless systems operating in the 7 110-7 900 MHz band</w:t>
      </w:r>
    </w:p>
    <w:p w14:paraId="267687E7" w14:textId="3E05F8D6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19" w:history="1">
        <w:r w:rsidRPr="00D65E49">
          <w:rPr>
            <w:rStyle w:val="Hyperlink"/>
            <w:color w:val="auto"/>
            <w:u w:val="none"/>
            <w:lang w:eastAsia="ja-JP"/>
          </w:rPr>
          <w:t>ITU-R F.386</w:t>
        </w:r>
      </w:hyperlink>
      <w:r w:rsidRPr="00D65E49">
        <w:rPr>
          <w:lang w:eastAsia="ja-JP"/>
        </w:rPr>
        <w:t xml:space="preserve"> – Radio-frequency channel arrangements for fixed wireless systems operating in the 8 GHz (7 725 to 8 500 MHz) band</w:t>
      </w:r>
    </w:p>
    <w:p w14:paraId="2C486A7B" w14:textId="2FF9B91D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0" w:history="1">
        <w:r w:rsidRPr="00D65E49">
          <w:rPr>
            <w:rStyle w:val="Hyperlink"/>
            <w:color w:val="auto"/>
            <w:u w:val="none"/>
            <w:lang w:eastAsia="ja-JP"/>
          </w:rPr>
          <w:t>ITU-R F.387</w:t>
        </w:r>
      </w:hyperlink>
      <w:r w:rsidRPr="00D65E49">
        <w:rPr>
          <w:lang w:eastAsia="ja-JP"/>
        </w:rPr>
        <w:t xml:space="preserve"> – Radio-frequency channel arrangements for fixed wireless systems operating in the 10.7-11.7 GHz band</w:t>
      </w:r>
    </w:p>
    <w:p w14:paraId="7129C80C" w14:textId="0AB34F45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1" w:history="1">
        <w:r w:rsidRPr="00D65E49">
          <w:rPr>
            <w:rStyle w:val="Hyperlink"/>
            <w:color w:val="auto"/>
            <w:u w:val="none"/>
            <w:lang w:eastAsia="ja-JP"/>
          </w:rPr>
          <w:t>ITU-R F.497</w:t>
        </w:r>
      </w:hyperlink>
      <w:r w:rsidRPr="00D65E49">
        <w:rPr>
          <w:lang w:eastAsia="ja-JP"/>
        </w:rPr>
        <w:t xml:space="preserve"> – </w:t>
      </w:r>
      <w:r w:rsidR="002F5FED" w:rsidRPr="00D65E49">
        <w:rPr>
          <w:lang w:eastAsia="ja-JP"/>
        </w:rPr>
        <w:t>Radio-frequency channel arrangements for fixed wireless systems operating in the 13 GHz (12.75-13.25 GHz) frequency band</w:t>
      </w:r>
    </w:p>
    <w:p w14:paraId="56810DE0" w14:textId="664F00EF" w:rsidR="0049502D" w:rsidRPr="00D65E49" w:rsidRDefault="0049502D" w:rsidP="0049502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2" w:history="1">
        <w:r w:rsidRPr="00D65E49">
          <w:rPr>
            <w:rStyle w:val="Hyperlink"/>
            <w:color w:val="auto"/>
            <w:u w:val="none"/>
            <w:lang w:eastAsia="ja-JP"/>
          </w:rPr>
          <w:t>ITU-R P.530</w:t>
        </w:r>
      </w:hyperlink>
      <w:r w:rsidRPr="00D65E49">
        <w:rPr>
          <w:lang w:eastAsia="ja-JP"/>
        </w:rPr>
        <w:t xml:space="preserve"> – Propagation data and prediction methods required for the design of terrestrial line-of-sight systems</w:t>
      </w:r>
    </w:p>
    <w:p w14:paraId="6AEC6C9E" w14:textId="4A1A63C1" w:rsidR="00EF0707" w:rsidRPr="00D65E49" w:rsidRDefault="00EF0707" w:rsidP="00EF0707">
      <w:pPr>
        <w:pStyle w:val="Reftext"/>
        <w:rPr>
          <w:lang w:val="en-US" w:eastAsia="ja-JP"/>
        </w:rPr>
      </w:pPr>
      <w:r w:rsidRPr="00D65E49">
        <w:rPr>
          <w:lang w:eastAsia="ja-JP"/>
        </w:rPr>
        <w:t xml:space="preserve">Recommendation </w:t>
      </w:r>
      <w:hyperlink r:id="rId23" w:history="1">
        <w:r w:rsidRPr="00D65E49">
          <w:rPr>
            <w:rStyle w:val="Hyperlink"/>
            <w:color w:val="auto"/>
            <w:u w:val="none"/>
            <w:lang w:eastAsia="ja-JP"/>
          </w:rPr>
          <w:t>ITU-R F.595</w:t>
        </w:r>
      </w:hyperlink>
      <w:r w:rsidRPr="00D65E49">
        <w:rPr>
          <w:lang w:eastAsia="ja-JP"/>
        </w:rPr>
        <w:t xml:space="preserve"> – Radio-frequency channel arrangements for fixed wireless systems operating in the 14.4-15.35 GHz band</w:t>
      </w:r>
    </w:p>
    <w:p w14:paraId="0B0FD7C5" w14:textId="4E07621C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4" w:history="1">
        <w:r w:rsidRPr="00D65E49">
          <w:rPr>
            <w:rStyle w:val="Hyperlink"/>
            <w:color w:val="auto"/>
            <w:u w:val="none"/>
            <w:lang w:eastAsia="ja-JP"/>
          </w:rPr>
          <w:t>ITU-R F.635</w:t>
        </w:r>
      </w:hyperlink>
      <w:r w:rsidRPr="00D65E49">
        <w:rPr>
          <w:lang w:eastAsia="ja-JP"/>
        </w:rPr>
        <w:t xml:space="preserve"> – Radio-frequency channel arrangements based on a homogeneous pattern for fixed wireless systems operating in the 4 GHz (3 400-4 200 MHz) band</w:t>
      </w:r>
    </w:p>
    <w:p w14:paraId="79D56978" w14:textId="1B0412B3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5" w:history="1">
        <w:r w:rsidRPr="00D65E49">
          <w:rPr>
            <w:rStyle w:val="Hyperlink"/>
            <w:color w:val="auto"/>
            <w:u w:val="none"/>
            <w:lang w:eastAsia="ja-JP"/>
          </w:rPr>
          <w:t>ITU-R F.636</w:t>
        </w:r>
      </w:hyperlink>
      <w:r w:rsidRPr="00D65E49">
        <w:rPr>
          <w:lang w:eastAsia="ja-JP"/>
        </w:rPr>
        <w:t xml:space="preserve"> – Radio-frequency channel arrangements for fixed wireless systems operating in the 14.4-15.35 GHz band</w:t>
      </w:r>
    </w:p>
    <w:p w14:paraId="0B3C16AF" w14:textId="32A2055B" w:rsidR="00EF0707" w:rsidRPr="00D65E49" w:rsidRDefault="00EF0707" w:rsidP="00EF0707">
      <w:pPr>
        <w:pStyle w:val="Reftext"/>
        <w:rPr>
          <w:lang w:val="en-US" w:eastAsia="ja-JP"/>
        </w:rPr>
      </w:pPr>
      <w:r w:rsidRPr="00D65E49">
        <w:rPr>
          <w:lang w:eastAsia="ja-JP"/>
        </w:rPr>
        <w:lastRenderedPageBreak/>
        <w:t xml:space="preserve">Recommendation </w:t>
      </w:r>
      <w:hyperlink r:id="rId26" w:history="1">
        <w:r w:rsidRPr="00D65E49">
          <w:rPr>
            <w:rStyle w:val="Hyperlink"/>
            <w:color w:val="auto"/>
            <w:u w:val="none"/>
            <w:lang w:eastAsia="ja-JP"/>
          </w:rPr>
          <w:t>ITU-R F.637</w:t>
        </w:r>
      </w:hyperlink>
      <w:r w:rsidRPr="00D65E49">
        <w:rPr>
          <w:lang w:eastAsia="ja-JP"/>
        </w:rPr>
        <w:t xml:space="preserve"> – Radio-frequency channel arrangements for fixed wireless systems operating in the 21.2-23.6 GHz band</w:t>
      </w:r>
    </w:p>
    <w:p w14:paraId="1B3EF53E" w14:textId="37E96A12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7" w:history="1">
        <w:r w:rsidRPr="00D65E49">
          <w:rPr>
            <w:rStyle w:val="Hyperlink"/>
            <w:color w:val="auto"/>
            <w:u w:val="none"/>
            <w:lang w:eastAsia="ja-JP"/>
          </w:rPr>
          <w:t>ITU-R F.70</w:t>
        </w:r>
        <w:r w:rsidR="002F5FED" w:rsidRPr="00D65E49">
          <w:rPr>
            <w:rStyle w:val="Hyperlink"/>
            <w:color w:val="auto"/>
            <w:u w:val="none"/>
            <w:lang w:eastAsia="ja-JP"/>
          </w:rPr>
          <w:t>1</w:t>
        </w:r>
      </w:hyperlink>
      <w:r w:rsidRPr="00D65E49">
        <w:rPr>
          <w:lang w:eastAsia="ja-JP"/>
        </w:rPr>
        <w:t xml:space="preserve"> – Radio-frequency channel arrangements for digital point-to-multipoint radio systems operating in frequency bands in the range 1 350 to 2 690 MHz (1.5, 1.8, 2.0, 2.2, 2.4 and 2.6 GHz)</w:t>
      </w:r>
    </w:p>
    <w:p w14:paraId="62DEF436" w14:textId="20D1A4E8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8" w:history="1">
        <w:r w:rsidRPr="00D65E49">
          <w:rPr>
            <w:rStyle w:val="Hyperlink"/>
            <w:color w:val="auto"/>
            <w:u w:val="none"/>
            <w:lang w:eastAsia="ja-JP"/>
          </w:rPr>
          <w:t>ITU-R F.747</w:t>
        </w:r>
      </w:hyperlink>
      <w:r w:rsidRPr="00D65E49">
        <w:rPr>
          <w:lang w:eastAsia="ja-JP"/>
        </w:rPr>
        <w:t xml:space="preserve"> – Radio-frequency channel arrangements for fixed wireless system operating in the 10.0-10.68 GHz band</w:t>
      </w:r>
    </w:p>
    <w:p w14:paraId="1E4B966F" w14:textId="0CFADDCA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29" w:history="1">
        <w:r w:rsidRPr="00D65E49">
          <w:rPr>
            <w:rStyle w:val="Hyperlink"/>
            <w:color w:val="auto"/>
            <w:u w:val="none"/>
            <w:lang w:eastAsia="ja-JP"/>
          </w:rPr>
          <w:t>ITU-R F.748</w:t>
        </w:r>
      </w:hyperlink>
      <w:r w:rsidRPr="00D65E49">
        <w:rPr>
          <w:lang w:eastAsia="ja-JP"/>
        </w:rPr>
        <w:t xml:space="preserve"> – </w:t>
      </w:r>
      <w:r w:rsidR="002F5FED" w:rsidRPr="00D65E49">
        <w:rPr>
          <w:lang w:eastAsia="ja-JP"/>
        </w:rPr>
        <w:t>Radio-frequency arrangements for systems of the fixed service operating in the 25, 26 and 28 GHz bands</w:t>
      </w:r>
    </w:p>
    <w:p w14:paraId="54D6D97E" w14:textId="1392EAC6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0" w:history="1">
        <w:r w:rsidRPr="00D65E49">
          <w:rPr>
            <w:rStyle w:val="Hyperlink"/>
            <w:color w:val="auto"/>
            <w:u w:val="none"/>
            <w:lang w:eastAsia="ja-JP"/>
          </w:rPr>
          <w:t>ITU-R F.749</w:t>
        </w:r>
      </w:hyperlink>
      <w:r w:rsidRPr="00D65E49">
        <w:rPr>
          <w:lang w:eastAsia="ja-JP"/>
        </w:rPr>
        <w:t xml:space="preserve"> – Radio-frequency channel arrangements for systems of the fixed service operating in sub-bands in the 36-40.5 GHz band</w:t>
      </w:r>
    </w:p>
    <w:p w14:paraId="5162A751" w14:textId="41C446AE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1" w:history="1">
        <w:r w:rsidRPr="00D65E49">
          <w:rPr>
            <w:rStyle w:val="Hyperlink"/>
            <w:color w:val="auto"/>
            <w:u w:val="none"/>
            <w:lang w:eastAsia="ja-JP"/>
          </w:rPr>
          <w:t>ITU-R F.1093</w:t>
        </w:r>
      </w:hyperlink>
      <w:r w:rsidRPr="00D65E49">
        <w:rPr>
          <w:lang w:eastAsia="ja-JP"/>
        </w:rPr>
        <w:t xml:space="preserve"> – Effects of multipath propagation on the design and operation of line-of-sight digital fixed wireless systems</w:t>
      </w:r>
    </w:p>
    <w:p w14:paraId="50B9A185" w14:textId="464C5402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2" w:history="1">
        <w:r w:rsidRPr="00D65E49">
          <w:rPr>
            <w:rStyle w:val="Hyperlink"/>
            <w:color w:val="auto"/>
            <w:u w:val="none"/>
            <w:lang w:eastAsia="ja-JP"/>
          </w:rPr>
          <w:t>ITU-R F.1098</w:t>
        </w:r>
      </w:hyperlink>
      <w:r w:rsidRPr="00D65E49">
        <w:rPr>
          <w:lang w:eastAsia="ja-JP"/>
        </w:rPr>
        <w:t xml:space="preserve"> – </w:t>
      </w:r>
      <w:r w:rsidR="002F5FED" w:rsidRPr="00D65E49">
        <w:rPr>
          <w:lang w:eastAsia="ja-JP"/>
        </w:rPr>
        <w:t>Radio-frequency channel arrangements for fixed wireless systems in the 1 900-2 300 MHz band</w:t>
      </w:r>
    </w:p>
    <w:p w14:paraId="7C765603" w14:textId="180C5686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3" w:history="1">
        <w:r w:rsidRPr="00D65E49">
          <w:rPr>
            <w:rStyle w:val="Hyperlink"/>
            <w:color w:val="auto"/>
            <w:u w:val="none"/>
            <w:lang w:eastAsia="ja-JP"/>
          </w:rPr>
          <w:t>ITU-R F.1099</w:t>
        </w:r>
      </w:hyperlink>
      <w:r w:rsidRPr="00D65E49">
        <w:rPr>
          <w:lang w:eastAsia="ja-JP"/>
        </w:rPr>
        <w:t xml:space="preserve"> – Radio-frequency channel arrangements for high- and medium-capacity digital fixed wireless systems in the upper 4 GHz (4 400-5 000 MHz) band</w:t>
      </w:r>
    </w:p>
    <w:p w14:paraId="62CEA41A" w14:textId="014AB4DB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4" w:history="1">
        <w:r w:rsidRPr="00D65E49">
          <w:rPr>
            <w:rStyle w:val="Hyperlink"/>
            <w:color w:val="auto"/>
            <w:u w:val="none"/>
            <w:lang w:eastAsia="ja-JP"/>
          </w:rPr>
          <w:t>ITU-R F.1101</w:t>
        </w:r>
      </w:hyperlink>
      <w:r w:rsidRPr="00D65E49">
        <w:rPr>
          <w:lang w:eastAsia="ja-JP"/>
        </w:rPr>
        <w:t xml:space="preserve"> –</w:t>
      </w:r>
      <w:r w:rsidR="002F5FED" w:rsidRPr="00D65E49">
        <w:rPr>
          <w:lang w:eastAsia="ja-JP"/>
        </w:rPr>
        <w:t xml:space="preserve"> Characteristics of digital fixed wireless systems below about 17 GHz</w:t>
      </w:r>
    </w:p>
    <w:p w14:paraId="2C7A72C1" w14:textId="4EDA4E2E" w:rsidR="00EF0707" w:rsidRPr="00D65E49" w:rsidRDefault="00EF0707" w:rsidP="002F5FE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5" w:history="1">
        <w:r w:rsidRPr="00D65E49">
          <w:rPr>
            <w:rStyle w:val="Hyperlink"/>
            <w:color w:val="auto"/>
            <w:u w:val="none"/>
            <w:lang w:eastAsia="ja-JP"/>
          </w:rPr>
          <w:t>ITU-R F.1191</w:t>
        </w:r>
      </w:hyperlink>
      <w:r w:rsidRPr="00D65E49">
        <w:rPr>
          <w:lang w:eastAsia="ja-JP"/>
        </w:rPr>
        <w:t xml:space="preserve"> – Necessary and occupied bandwidths and unwanted emissions of digital fixed service systems</w:t>
      </w:r>
    </w:p>
    <w:p w14:paraId="709132DF" w14:textId="2F484CFE" w:rsidR="00EF0707" w:rsidRPr="00D65E49" w:rsidRDefault="00EF0707" w:rsidP="0049502D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6" w:history="1">
        <w:r w:rsidRPr="00D65E49">
          <w:rPr>
            <w:rStyle w:val="Hyperlink"/>
            <w:color w:val="auto"/>
            <w:u w:val="none"/>
            <w:lang w:eastAsia="ja-JP"/>
          </w:rPr>
          <w:t>ITU-R F.1242</w:t>
        </w:r>
      </w:hyperlink>
      <w:r w:rsidRPr="00D65E49">
        <w:rPr>
          <w:lang w:eastAsia="ja-JP"/>
        </w:rPr>
        <w:t xml:space="preserve"> – </w:t>
      </w:r>
      <w:r w:rsidR="0049502D" w:rsidRPr="00D65E49">
        <w:rPr>
          <w:lang w:eastAsia="ja-JP"/>
        </w:rPr>
        <w:t>Radio-frequency channel arrangements for digital radio systems operating in the range 1 350 MHz to 1 530 MHz</w:t>
      </w:r>
    </w:p>
    <w:p w14:paraId="0D599046" w14:textId="608F195F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7" w:history="1">
        <w:r w:rsidRPr="00D65E49">
          <w:rPr>
            <w:rStyle w:val="Hyperlink"/>
            <w:color w:val="auto"/>
            <w:u w:val="none"/>
            <w:lang w:eastAsia="ja-JP"/>
          </w:rPr>
          <w:t>ITU-R F.1243</w:t>
        </w:r>
      </w:hyperlink>
      <w:r w:rsidRPr="00D65E49">
        <w:rPr>
          <w:lang w:eastAsia="ja-JP"/>
        </w:rPr>
        <w:t xml:space="preserve"> – Radio-frequency channel arrangements for digital radio systems operating in the range 2 290-2 670 MHz</w:t>
      </w:r>
    </w:p>
    <w:p w14:paraId="40007943" w14:textId="7221D397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8" w:history="1">
        <w:r w:rsidRPr="00D65E49">
          <w:rPr>
            <w:rStyle w:val="Hyperlink"/>
            <w:color w:val="auto"/>
            <w:u w:val="none"/>
            <w:lang w:eastAsia="ja-JP"/>
          </w:rPr>
          <w:t>ITU-R F.1488</w:t>
        </w:r>
      </w:hyperlink>
      <w:r w:rsidRPr="00D65E49">
        <w:rPr>
          <w:lang w:eastAsia="ja-JP"/>
        </w:rPr>
        <w:t xml:space="preserve"> – Frequency block arrangements for fixed wireless access systems in the range 3 400-3 800 MHz</w:t>
      </w:r>
    </w:p>
    <w:p w14:paraId="6D38E324" w14:textId="0A190DC4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39" w:history="1">
        <w:r w:rsidRPr="00D65E49">
          <w:rPr>
            <w:rStyle w:val="Hyperlink"/>
            <w:color w:val="auto"/>
            <w:u w:val="none"/>
            <w:lang w:eastAsia="ja-JP"/>
          </w:rPr>
          <w:t>ITU-R F.1496</w:t>
        </w:r>
      </w:hyperlink>
      <w:r w:rsidRPr="00D65E49">
        <w:rPr>
          <w:lang w:eastAsia="ja-JP"/>
        </w:rPr>
        <w:t xml:space="preserve"> – Radio-frequency channel arrangements for fixed wireless systems operating in the band 51.4-52.6 GHz</w:t>
      </w:r>
    </w:p>
    <w:p w14:paraId="3A6EDA2F" w14:textId="055A58BA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0" w:history="1">
        <w:r w:rsidRPr="00D65E49">
          <w:rPr>
            <w:rStyle w:val="Hyperlink"/>
            <w:color w:val="auto"/>
            <w:u w:val="none"/>
            <w:lang w:eastAsia="ja-JP"/>
          </w:rPr>
          <w:t>ITU-R F.1497</w:t>
        </w:r>
      </w:hyperlink>
      <w:r w:rsidRPr="00D65E49">
        <w:rPr>
          <w:lang w:eastAsia="ja-JP"/>
        </w:rPr>
        <w:t xml:space="preserve"> – Radio-frequency channel arrangements for fixed wireless systems operating in the band 55.78-66 GHz</w:t>
      </w:r>
    </w:p>
    <w:p w14:paraId="49B50B86" w14:textId="2A451F92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1" w:history="1">
        <w:r w:rsidRPr="00D65E49">
          <w:rPr>
            <w:rStyle w:val="Hyperlink"/>
            <w:color w:val="auto"/>
            <w:u w:val="none"/>
            <w:lang w:eastAsia="ja-JP"/>
          </w:rPr>
          <w:t>ITU-R F.1520</w:t>
        </w:r>
      </w:hyperlink>
      <w:r w:rsidRPr="00D65E49">
        <w:rPr>
          <w:lang w:eastAsia="ja-JP"/>
        </w:rPr>
        <w:t xml:space="preserve"> – Radio-frequency arrangements for systems in the fixed service operating in the band 31.8-33.4 GHz</w:t>
      </w:r>
    </w:p>
    <w:p w14:paraId="4187F456" w14:textId="54A267D7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2" w:history="1">
        <w:r w:rsidRPr="00D65E49">
          <w:rPr>
            <w:rStyle w:val="Hyperlink"/>
            <w:color w:val="auto"/>
            <w:u w:val="none"/>
            <w:lang w:eastAsia="ja-JP"/>
          </w:rPr>
          <w:t>ITU-R F.1567</w:t>
        </w:r>
      </w:hyperlink>
      <w:r w:rsidRPr="00D65E49">
        <w:rPr>
          <w:lang w:eastAsia="ja-JP"/>
        </w:rPr>
        <w:t xml:space="preserve"> – </w:t>
      </w:r>
      <w:r w:rsidR="0049502D" w:rsidRPr="00D65E49">
        <w:rPr>
          <w:lang w:eastAsia="ja-JP"/>
        </w:rPr>
        <w:t>Radio-frequency channel arrangement for digital fixed wireless systems operating in the frequency band 406.1-450 MHz</w:t>
      </w:r>
    </w:p>
    <w:p w14:paraId="17B56D39" w14:textId="47D878B0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3" w:history="1">
        <w:r w:rsidRPr="00D65E49">
          <w:rPr>
            <w:rStyle w:val="Hyperlink"/>
            <w:color w:val="auto"/>
            <w:u w:val="none"/>
            <w:lang w:eastAsia="ja-JP"/>
          </w:rPr>
          <w:t>ITU-R F.1568</w:t>
        </w:r>
      </w:hyperlink>
      <w:r w:rsidRPr="00D65E49">
        <w:rPr>
          <w:lang w:eastAsia="ja-JP"/>
        </w:rPr>
        <w:t xml:space="preserve"> – Radio-frequency block arrangements for fixed wireless access systems in the range 10.15-10.3/10.5-10.65 GHz</w:t>
      </w:r>
    </w:p>
    <w:p w14:paraId="262BDF5A" w14:textId="640FA547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4" w:history="1">
        <w:r w:rsidRPr="00D65E49">
          <w:rPr>
            <w:rStyle w:val="Hyperlink"/>
            <w:color w:val="auto"/>
            <w:u w:val="none"/>
            <w:lang w:eastAsia="ja-JP"/>
          </w:rPr>
          <w:t>ITU-R F.2004</w:t>
        </w:r>
      </w:hyperlink>
      <w:r w:rsidRPr="00D65E49">
        <w:rPr>
          <w:lang w:eastAsia="ja-JP"/>
        </w:rPr>
        <w:t xml:space="preserve"> – Radio-frequency channel arrangements for fixed service systems operating in the 92-95 GHz range</w:t>
      </w:r>
    </w:p>
    <w:p w14:paraId="7C2449A5" w14:textId="6317843D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5" w:history="1">
        <w:r w:rsidRPr="00D65E49">
          <w:rPr>
            <w:rStyle w:val="Hyperlink"/>
            <w:color w:val="auto"/>
            <w:u w:val="none"/>
            <w:lang w:eastAsia="ja-JP"/>
          </w:rPr>
          <w:t>ITU-R F.2005</w:t>
        </w:r>
      </w:hyperlink>
      <w:r w:rsidRPr="00D65E49">
        <w:rPr>
          <w:lang w:eastAsia="ja-JP"/>
        </w:rPr>
        <w:t xml:space="preserve"> – Radio-frequency channel and block arrangements for fixed wireless systems operating in the 42 GHz (40.5 to 43.5 GHz) band</w:t>
      </w:r>
    </w:p>
    <w:p w14:paraId="172A49DC" w14:textId="4E633AE5" w:rsidR="00EF0707" w:rsidRPr="00D65E49" w:rsidRDefault="00EF0707" w:rsidP="00EF0707">
      <w:pPr>
        <w:pStyle w:val="Reftext"/>
        <w:rPr>
          <w:lang w:eastAsia="ja-JP"/>
        </w:rPr>
      </w:pPr>
      <w:r w:rsidRPr="00D65E49">
        <w:rPr>
          <w:lang w:eastAsia="ja-JP"/>
        </w:rPr>
        <w:t xml:space="preserve">Recommendation </w:t>
      </w:r>
      <w:hyperlink r:id="rId46" w:history="1">
        <w:r w:rsidRPr="00D65E49">
          <w:rPr>
            <w:rStyle w:val="Hyperlink"/>
            <w:color w:val="auto"/>
            <w:u w:val="none"/>
            <w:lang w:eastAsia="ja-JP"/>
          </w:rPr>
          <w:t>ITU-R F.2006</w:t>
        </w:r>
      </w:hyperlink>
      <w:r w:rsidRPr="00D65E49">
        <w:rPr>
          <w:lang w:eastAsia="ja-JP"/>
        </w:rPr>
        <w:t xml:space="preserve"> – Radio-frequency channel and block arrangements for fixed wireless systems operating in the 71-76 and 81-86 GHz bands</w:t>
      </w:r>
    </w:p>
    <w:p w14:paraId="4702001A" w14:textId="77777777" w:rsidR="00EF0707" w:rsidRDefault="00EF0707" w:rsidP="00EF0707">
      <w:pPr>
        <w:rPr>
          <w:szCs w:val="24"/>
          <w:lang w:eastAsia="ja-JP"/>
        </w:rPr>
      </w:pPr>
    </w:p>
    <w:p w14:paraId="1FFA91AB" w14:textId="77777777" w:rsidR="0049502D" w:rsidRDefault="0049502D" w:rsidP="00EF0707">
      <w:pPr>
        <w:rPr>
          <w:szCs w:val="24"/>
          <w:lang w:eastAsia="ja-JP"/>
        </w:rPr>
      </w:pPr>
    </w:p>
    <w:p w14:paraId="0538575D" w14:textId="77777777" w:rsidR="0049502D" w:rsidRPr="00986724" w:rsidRDefault="0049502D" w:rsidP="00EF0707">
      <w:pPr>
        <w:rPr>
          <w:szCs w:val="24"/>
          <w:lang w:eastAsia="ja-JP"/>
        </w:rPr>
      </w:pPr>
    </w:p>
    <w:p w14:paraId="32CAAD14" w14:textId="77777777" w:rsidR="00EF0707" w:rsidRPr="00937AEE" w:rsidRDefault="00EF0707" w:rsidP="00EF0707">
      <w:pPr>
        <w:pStyle w:val="Normalaftertitle"/>
      </w:pPr>
      <w:r w:rsidRPr="00937AEE">
        <w:lastRenderedPageBreak/>
        <w:t>The ITU Radiocommunication Assembly,</w:t>
      </w:r>
    </w:p>
    <w:p w14:paraId="245EA49F" w14:textId="77777777" w:rsidR="00EF0707" w:rsidRPr="00937AEE" w:rsidRDefault="00EF0707" w:rsidP="00EF0707">
      <w:pPr>
        <w:pStyle w:val="Call"/>
      </w:pPr>
      <w:r w:rsidRPr="00937AEE">
        <w:t>considering</w:t>
      </w:r>
    </w:p>
    <w:p w14:paraId="5DDE1EC2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a)</w:t>
      </w:r>
      <w:r>
        <w:rPr>
          <w:lang w:val="en-US"/>
        </w:rPr>
        <w:tab/>
        <w:t xml:space="preserve">that according to Article </w:t>
      </w:r>
      <w:r w:rsidRPr="00EF0707">
        <w:rPr>
          <w:b/>
          <w:bCs/>
          <w:lang w:val="en-US"/>
        </w:rPr>
        <w:t>5</w:t>
      </w:r>
      <w:r>
        <w:rPr>
          <w:lang w:val="en-US"/>
        </w:rPr>
        <w:t xml:space="preserve"> of the Radio Regulations several frequency bands are allocated to the fixed service (FS) on a worldwide basis;</w:t>
      </w:r>
    </w:p>
    <w:p w14:paraId="2D4EDEC1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b)</w:t>
      </w:r>
      <w:r>
        <w:rPr>
          <w:lang w:val="en-US"/>
        </w:rPr>
        <w:tab/>
        <w:t>that other frequency bands are also allocated to the FS on a regional basis;</w:t>
      </w:r>
    </w:p>
    <w:p w14:paraId="45C469A1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c)</w:t>
      </w:r>
      <w:r>
        <w:rPr>
          <w:lang w:val="en-US"/>
        </w:rPr>
        <w:tab/>
        <w:t>that systems are already in use and expected to be used more extensively in the future;</w:t>
      </w:r>
    </w:p>
    <w:p w14:paraId="1B152553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d)</w:t>
      </w:r>
      <w:r>
        <w:rPr>
          <w:lang w:val="en-US"/>
        </w:rPr>
        <w:tab/>
        <w:t>that it may be desirable to interconnect fixed wireless systems (FWSs) on international circuits in these frequency bands;</w:t>
      </w:r>
    </w:p>
    <w:p w14:paraId="1545A0D8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e)</w:t>
      </w:r>
      <w:r>
        <w:rPr>
          <w:lang w:val="en-US"/>
        </w:rPr>
        <w:tab/>
        <w:t>that in studies carried out so far, some bands have not been the subject of Recommendations for specific radio</w:t>
      </w:r>
      <w:r>
        <w:rPr>
          <w:lang w:val="en-US"/>
        </w:rPr>
        <w:noBreakHyphen/>
        <w:t>frequency channel arrangements which might be fitted into an international pattern as has already been done in other parts of the frequency spectrum;</w:t>
      </w:r>
    </w:p>
    <w:p w14:paraId="2B384115" w14:textId="77777777" w:rsidR="00EF0707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f)</w:t>
      </w:r>
      <w:r>
        <w:rPr>
          <w:lang w:val="en-US"/>
        </w:rPr>
        <w:tab/>
        <w:t>that an index of recommended radio-frequency channel arrangements would be of assistance to the ITU-R;</w:t>
      </w:r>
    </w:p>
    <w:p w14:paraId="28258877" w14:textId="77777777" w:rsidR="00EF0707" w:rsidRPr="00426AD2" w:rsidRDefault="00EF0707" w:rsidP="00EF0707">
      <w:pPr>
        <w:rPr>
          <w:lang w:val="en-US"/>
        </w:rPr>
      </w:pPr>
      <w:r w:rsidRPr="00EF0707">
        <w:rPr>
          <w:i/>
          <w:iCs/>
          <w:lang w:val="en-US"/>
        </w:rPr>
        <w:t>g)</w:t>
      </w:r>
      <w:r>
        <w:rPr>
          <w:lang w:val="en-US"/>
        </w:rPr>
        <w:tab/>
        <w:t>that single- and multi-carrier digital FWSs are both useful concepts to achieve the best technical and economic trade-off in system design,</w:t>
      </w:r>
    </w:p>
    <w:p w14:paraId="42F0FBCC" w14:textId="77777777" w:rsidR="00EF0707" w:rsidRPr="00937AEE" w:rsidRDefault="00EF0707" w:rsidP="00EF0707">
      <w:pPr>
        <w:pStyle w:val="Call"/>
      </w:pPr>
      <w:r w:rsidRPr="00937AEE">
        <w:t>recommends</w:t>
      </w:r>
    </w:p>
    <w:p w14:paraId="31F88E49" w14:textId="77777777" w:rsidR="00EF0707" w:rsidRPr="00937AEE" w:rsidRDefault="00EF0707" w:rsidP="00EF0707">
      <w:r w:rsidRPr="00EF0707">
        <w:rPr>
          <w:bCs/>
        </w:rPr>
        <w:t>1</w:t>
      </w:r>
      <w:r w:rsidRPr="00937AEE">
        <w:tab/>
        <w:t>that homogeneous patterns are preferred as the basis for radio-frequency channel arrangements;</w:t>
      </w:r>
    </w:p>
    <w:p w14:paraId="277763CF" w14:textId="77777777" w:rsidR="00EF0707" w:rsidRPr="00937AEE" w:rsidRDefault="00EF0707" w:rsidP="00EF0707">
      <w:r w:rsidRPr="00EF0707">
        <w:rPr>
          <w:bCs/>
        </w:rPr>
        <w:t>2</w:t>
      </w:r>
      <w:r w:rsidRPr="00937AEE">
        <w:tab/>
        <w:t>that the preferred radio-frequency channel arrangements should be developed from the homogeneous pattern in accordance with the alternated, co-channel band reuse, or interleaved band reuse radio-frequency channel arrangements (see Note 1) as shown in Figs 1a), 1b) and 1c) respectively.</w:t>
      </w:r>
    </w:p>
    <w:p w14:paraId="2A3CB525" w14:textId="77777777" w:rsidR="00EF0707" w:rsidRPr="00937AEE" w:rsidRDefault="00EF0707" w:rsidP="00EF0707">
      <w:r w:rsidRPr="00937AEE">
        <w:t>The main parameters affecting the choice of radio-frequency channel arrangements are:</w:t>
      </w:r>
    </w:p>
    <w:p w14:paraId="75FE2813" w14:textId="77777777" w:rsidR="00EF0707" w:rsidRPr="00937AEE" w:rsidRDefault="00EF0707" w:rsidP="00EF0707">
      <w:pPr>
        <w:pStyle w:val="enumlev1"/>
        <w:tabs>
          <w:tab w:val="left" w:pos="567"/>
        </w:tabs>
        <w:ind w:left="1191" w:hanging="1191"/>
      </w:pPr>
      <w:r w:rsidRPr="00937AEE">
        <w:rPr>
          <w:i/>
        </w:rPr>
        <w:tab/>
        <w:t>XS</w:t>
      </w:r>
      <w:r w:rsidRPr="00937AEE">
        <w:rPr>
          <w:b/>
        </w:rPr>
        <w:tab/>
      </w:r>
      <w:r w:rsidRPr="00937AEE">
        <w:t xml:space="preserve">defined as the radio-frequency separation between the centre frequencies of adjacent radio-frequency channels on the same polarization and in the same direction of transmission; Recommendation ITU-R F.1191 defines that </w:t>
      </w:r>
      <w:r w:rsidRPr="00937AEE">
        <w:rPr>
          <w:i/>
        </w:rPr>
        <w:t>XS</w:t>
      </w:r>
      <w:r w:rsidRPr="00937AEE">
        <w:t xml:space="preserve"> is equal to twice the </w:t>
      </w:r>
      <w:r w:rsidRPr="00937AEE">
        <w:rPr>
          <w:i/>
        </w:rPr>
        <w:t>channel separation</w:t>
      </w:r>
      <w:r w:rsidRPr="00937AEE">
        <w:t xml:space="preserve"> for the alternated radio-frequency channel arrangement of Fig. 1a), and is equal to the channel separation for the co-channel and interleaved band reuse radio-frequency channel arrangements of Figs 1b) and 1c). </w:t>
      </w:r>
    </w:p>
    <w:p w14:paraId="325466BA" w14:textId="77777777" w:rsidR="00EF0707" w:rsidRPr="00937AEE" w:rsidRDefault="00EF0707" w:rsidP="00EF0707">
      <w:pPr>
        <w:pStyle w:val="enumlev1"/>
        <w:tabs>
          <w:tab w:val="left" w:pos="567"/>
        </w:tabs>
        <w:ind w:left="1191" w:hanging="1191"/>
      </w:pPr>
      <w:r w:rsidRPr="00937AEE">
        <w:tab/>
      </w:r>
      <w:r w:rsidRPr="00937AEE">
        <w:tab/>
      </w:r>
      <w:r w:rsidRPr="00937AEE">
        <w:tab/>
        <w:t xml:space="preserve">The channel separation is sometimes identified with the term radio-frequency </w:t>
      </w:r>
      <w:r w:rsidRPr="00937AEE">
        <w:rPr>
          <w:i/>
        </w:rPr>
        <w:t>channel spacing</w:t>
      </w:r>
      <w:r w:rsidRPr="00937AEE">
        <w:t xml:space="preserve"> and also considered equal to the </w:t>
      </w:r>
      <w:r w:rsidRPr="00937AEE">
        <w:rPr>
          <w:i/>
        </w:rPr>
        <w:t>channel bandwidth.</w:t>
      </w:r>
    </w:p>
    <w:p w14:paraId="6AF5B0EE" w14:textId="77777777" w:rsidR="00EF0707" w:rsidRPr="00937AEE" w:rsidRDefault="00EF0707" w:rsidP="00EF0707">
      <w:pPr>
        <w:pStyle w:val="enumlev1"/>
        <w:tabs>
          <w:tab w:val="left" w:pos="567"/>
        </w:tabs>
        <w:ind w:left="1191" w:hanging="1191"/>
      </w:pPr>
      <w:r w:rsidRPr="00937AEE">
        <w:rPr>
          <w:i/>
        </w:rPr>
        <w:tab/>
        <w:t>YS</w:t>
      </w:r>
      <w:r w:rsidRPr="00937AEE">
        <w:rPr>
          <w:i/>
        </w:rPr>
        <w:tab/>
      </w:r>
      <w:r w:rsidRPr="00937AEE">
        <w:t>defined as the radio-frequency separation between the centre frequencies of the go and return radio</w:t>
      </w:r>
      <w:r w:rsidRPr="00937AEE">
        <w:noBreakHyphen/>
        <w:t xml:space="preserve">frequency channels which are nearest to each other (also named innermost channels). In the case where go and return frequency sub-bands are not contiguous, such that there is a (are) band(s) allocated: for (an)other service(s) in the gap between, </w:t>
      </w:r>
      <w:r w:rsidRPr="00937AEE">
        <w:rPr>
          <w:i/>
        </w:rPr>
        <w:t>YS</w:t>
      </w:r>
      <w:r w:rsidRPr="00937AEE">
        <w:t xml:space="preserve"> shall be considered to include the band separation (</w:t>
      </w:r>
      <w:r w:rsidRPr="00937AEE">
        <w:rPr>
          <w:i/>
        </w:rPr>
        <w:t>BS</w:t>
      </w:r>
      <w:r w:rsidRPr="00937AEE">
        <w:t xml:space="preserve">) equal to the total width of the allocated band(s) used by this (these) service(s). </w:t>
      </w:r>
    </w:p>
    <w:p w14:paraId="6E917F9D" w14:textId="77777777" w:rsidR="00EF0707" w:rsidRPr="00937AEE" w:rsidRDefault="00EF0707" w:rsidP="00EF0707">
      <w:pPr>
        <w:pStyle w:val="enumlev1"/>
        <w:tabs>
          <w:tab w:val="left" w:pos="567"/>
        </w:tabs>
        <w:ind w:left="1191" w:hanging="1191"/>
      </w:pPr>
      <w:r w:rsidRPr="00937AEE">
        <w:rPr>
          <w:i/>
        </w:rPr>
        <w:tab/>
        <w:t>ZS</w:t>
      </w:r>
      <w:r w:rsidRPr="00937AEE">
        <w:tab/>
        <w:t xml:space="preserve">defined as the radio-frequency separation between the centre frequencies of the outermost radio-frequency channels and the edge of the frequency band (also defined as </w:t>
      </w:r>
      <w:proofErr w:type="spellStart"/>
      <w:r w:rsidRPr="00937AEE">
        <w:rPr>
          <w:i/>
        </w:rPr>
        <w:t>guardband</w:t>
      </w:r>
      <w:proofErr w:type="spellEnd"/>
      <w:r w:rsidRPr="00937AEE">
        <w:t xml:space="preserve"> by Recommendation ITU</w:t>
      </w:r>
      <w:r w:rsidRPr="00937AEE">
        <w:noBreakHyphen/>
        <w:t xml:space="preserve">R F.1191). In the case where the lower and upper separations differ in value, </w:t>
      </w:r>
      <w:r w:rsidRPr="00937AEE">
        <w:rPr>
          <w:i/>
        </w:rPr>
        <w:t>Z</w:t>
      </w:r>
      <w:r w:rsidRPr="00937AEE">
        <w:rPr>
          <w:vertAlign w:val="subscript"/>
        </w:rPr>
        <w:t>1</w:t>
      </w:r>
      <w:r w:rsidRPr="00937AEE">
        <w:rPr>
          <w:i/>
        </w:rPr>
        <w:t>S</w:t>
      </w:r>
      <w:r w:rsidRPr="00937AEE">
        <w:t xml:space="preserve"> refers to the lower separation and </w:t>
      </w:r>
      <w:r w:rsidRPr="00937AEE">
        <w:rPr>
          <w:i/>
        </w:rPr>
        <w:t>Z</w:t>
      </w:r>
      <w:r w:rsidRPr="00937AEE">
        <w:rPr>
          <w:vertAlign w:val="subscript"/>
        </w:rPr>
        <w:t>2</w:t>
      </w:r>
      <w:r w:rsidRPr="00937AEE">
        <w:rPr>
          <w:i/>
        </w:rPr>
        <w:t>S</w:t>
      </w:r>
      <w:r w:rsidRPr="00937AEE">
        <w:t xml:space="preserve"> refers to the upper separation. In the case where go and return frequency sub-bands are not contiguous, such that there is a (are) band(s) allocated for (an)other service(s) in the gap between, </w:t>
      </w:r>
      <w:proofErr w:type="spellStart"/>
      <w:r w:rsidRPr="00937AEE">
        <w:rPr>
          <w:i/>
        </w:rPr>
        <w:t>ZS</w:t>
      </w:r>
      <w:r w:rsidRPr="00937AEE">
        <w:rPr>
          <w:i/>
          <w:iCs/>
          <w:vertAlign w:val="subscript"/>
        </w:rPr>
        <w:t>i</w:t>
      </w:r>
      <w:proofErr w:type="spellEnd"/>
      <w:r w:rsidRPr="00937AEE">
        <w:t xml:space="preserve"> will be defined for the innermost edges of both sub-bands and will be included in </w:t>
      </w:r>
      <w:r w:rsidRPr="00937AEE">
        <w:rPr>
          <w:i/>
        </w:rPr>
        <w:t>YS</w:t>
      </w:r>
      <w:r w:rsidRPr="00937AEE">
        <w:t>.</w:t>
      </w:r>
    </w:p>
    <w:p w14:paraId="5ED98C44" w14:textId="77777777" w:rsidR="00EF0707" w:rsidRPr="00937AEE" w:rsidRDefault="00EF0707" w:rsidP="00EF0707">
      <w:pPr>
        <w:pStyle w:val="enumlev1"/>
        <w:tabs>
          <w:tab w:val="left" w:pos="567"/>
        </w:tabs>
        <w:ind w:left="1191" w:hanging="1191"/>
      </w:pPr>
      <w:r w:rsidRPr="00937AEE">
        <w:rPr>
          <w:i/>
        </w:rPr>
        <w:lastRenderedPageBreak/>
        <w:tab/>
        <w:t>DS</w:t>
      </w:r>
      <w:r w:rsidRPr="00937AEE">
        <w:rPr>
          <w:b/>
        </w:rPr>
        <w:tab/>
      </w:r>
      <w:r w:rsidRPr="00937AEE">
        <w:t xml:space="preserve">Tx/Rx </w:t>
      </w:r>
      <w:r w:rsidRPr="00937AEE">
        <w:rPr>
          <w:i/>
        </w:rPr>
        <w:t>duplex spacing</w:t>
      </w:r>
      <w:r w:rsidRPr="00937AEE">
        <w:t xml:space="preserve">, defined as the radio-frequency separation between corresponding go and return channels, constant for each couple of </w:t>
      </w:r>
      <w:proofErr w:type="spellStart"/>
      <w:r w:rsidRPr="00937AEE">
        <w:rPr>
          <w:i/>
        </w:rPr>
        <w:t>i</w:t>
      </w:r>
      <w:r w:rsidRPr="00937AEE">
        <w:rPr>
          <w:i/>
        </w:rPr>
        <w:noBreakHyphen/>
      </w:r>
      <w:r w:rsidRPr="00937AEE">
        <w:t>th</w:t>
      </w:r>
      <w:proofErr w:type="spellEnd"/>
      <w:r w:rsidRPr="00937AEE">
        <w:t xml:space="preserve"> and </w:t>
      </w:r>
      <w:proofErr w:type="spellStart"/>
      <w:r w:rsidRPr="00937AEE">
        <w:rPr>
          <w:i/>
        </w:rPr>
        <w:t>i</w:t>
      </w:r>
      <w:proofErr w:type="spellEnd"/>
      <w:r w:rsidRPr="00937AEE">
        <w:rPr>
          <w:i/>
        </w:rPr>
        <w:t>'</w:t>
      </w:r>
      <w:r w:rsidRPr="00937AEE">
        <w:rPr>
          <w:i/>
        </w:rPr>
        <w:noBreakHyphen/>
      </w:r>
      <w:proofErr w:type="spellStart"/>
      <w:r w:rsidRPr="00937AEE">
        <w:t>th</w:t>
      </w:r>
      <w:proofErr w:type="spellEnd"/>
      <w:r w:rsidRPr="00937AEE">
        <w:t xml:space="preserve"> frequencies, within a given channel arrangement.</w:t>
      </w:r>
    </w:p>
    <w:p w14:paraId="5AE6EBA3" w14:textId="77777777" w:rsidR="00EF0707" w:rsidRDefault="00EF0707" w:rsidP="00EF0707">
      <w:pPr>
        <w:pStyle w:val="FigureNo"/>
      </w:pPr>
      <w:r w:rsidRPr="00FA7CA2">
        <w:rPr>
          <w:lang w:val="en-US"/>
        </w:rPr>
        <w:t>figure</w:t>
      </w:r>
      <w:r>
        <w:t xml:space="preserve"> 1</w:t>
      </w:r>
    </w:p>
    <w:p w14:paraId="67EAAB5F" w14:textId="77777777" w:rsidR="00EF0707" w:rsidRPr="007E53F0" w:rsidRDefault="00EF0707" w:rsidP="00EF0707">
      <w:pPr>
        <w:pStyle w:val="Figuretitle"/>
      </w:pPr>
      <w:r>
        <w:t>Radio-frequency channel arrangements for the three possible schemes considered in the text</w:t>
      </w:r>
    </w:p>
    <w:p w14:paraId="30BD4F94" w14:textId="77777777" w:rsidR="00EF0707" w:rsidRPr="007E53F0" w:rsidRDefault="00EF0707" w:rsidP="00EF0707">
      <w:pPr>
        <w:pStyle w:val="Figure"/>
      </w:pPr>
      <w:r>
        <w:rPr>
          <w:noProof/>
        </w:rPr>
        <w:drawing>
          <wp:inline distT="0" distB="0" distL="0" distR="0" wp14:anchorId="2FECE009" wp14:editId="2D5B8F5D">
            <wp:extent cx="6114300" cy="5391923"/>
            <wp:effectExtent l="0" t="0" r="1270" b="0"/>
            <wp:docPr id="314670516" name="Picture 4" descr="A black screen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70516" name="Picture 4" descr="A black screen with white lines&#10;&#10;Description automatically generated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300" cy="539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A21A" w14:textId="77777777" w:rsidR="00EF0707" w:rsidRPr="00937AEE" w:rsidRDefault="00EF0707" w:rsidP="00EF0707">
      <w:pPr>
        <w:pStyle w:val="Normalaftertitle"/>
        <w:keepNext/>
        <w:keepLines/>
      </w:pPr>
      <w:r w:rsidRPr="00937AEE">
        <w:t>The choice of radio-frequency channel arrangement depends on the values of cross-polar discrimination (XPD) and on the net filter discrimination (NFD) where these parameters are defined as:</w:t>
      </w:r>
    </w:p>
    <w:p w14:paraId="1F31A846" w14:textId="77777777" w:rsidR="00EF0707" w:rsidRPr="00937AEE" w:rsidRDefault="00EF0707" w:rsidP="00EF0707">
      <w:pPr>
        <w:pStyle w:val="Equation"/>
      </w:pPr>
      <w:r w:rsidRPr="00937AEE">
        <w:rPr>
          <w:position w:val="-66"/>
        </w:rPr>
        <w:object w:dxaOrig="9800" w:dyaOrig="1040" w14:anchorId="1D48C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48.85pt" o:ole="">
            <v:imagedata r:id="rId48" o:title=""/>
          </v:shape>
          <o:OLEObject Type="Embed" ProgID="Equation.3" ShapeID="_x0000_i1025" DrawAspect="Content" ObjectID="_1787996039" r:id="rId49"/>
        </w:object>
      </w:r>
    </w:p>
    <w:p w14:paraId="4F113D53" w14:textId="77777777" w:rsidR="00EF0707" w:rsidRPr="00937AEE" w:rsidRDefault="00EF0707" w:rsidP="00EF0707">
      <w:pPr>
        <w:pStyle w:val="Equation"/>
      </w:pPr>
      <w:r w:rsidRPr="00937AEE">
        <w:tab/>
      </w:r>
      <w:r w:rsidRPr="00937AEE">
        <w:tab/>
      </w:r>
      <w:r w:rsidRPr="00937AEE">
        <w:rPr>
          <w:position w:val="-66"/>
        </w:rPr>
        <w:object w:dxaOrig="7720" w:dyaOrig="1040" w14:anchorId="0CB5F7CE">
          <v:shape id="_x0000_i1026" type="#_x0000_t75" style="width:355.6pt;height:48.85pt" o:ole="">
            <v:imagedata r:id="rId50" o:title=""/>
          </v:shape>
          <o:OLEObject Type="Embed" ProgID="Equation.3" ShapeID="_x0000_i1026" DrawAspect="Content" ObjectID="_1787996040" r:id="rId51"/>
        </w:object>
      </w:r>
    </w:p>
    <w:p w14:paraId="636A8652" w14:textId="77777777" w:rsidR="00EF0707" w:rsidRPr="00937AEE" w:rsidRDefault="00EF0707" w:rsidP="00EF0707">
      <w:r w:rsidRPr="00937AEE">
        <w:t xml:space="preserve">The </w:t>
      </w:r>
      <w:r w:rsidRPr="00937AEE">
        <w:rPr>
          <w:i/>
        </w:rPr>
        <w:t>XPD</w:t>
      </w:r>
      <w:r w:rsidRPr="00937AEE">
        <w:t xml:space="preserve"> and </w:t>
      </w:r>
      <w:r w:rsidRPr="00937AEE">
        <w:rPr>
          <w:i/>
        </w:rPr>
        <w:t>NFD</w:t>
      </w:r>
      <w:r w:rsidRPr="00937AEE">
        <w:t xml:space="preserve"> parameters (dB) contribute to the value of carrier-to-interference ratio.</w:t>
      </w:r>
    </w:p>
    <w:p w14:paraId="08AFEA95" w14:textId="77777777" w:rsidR="00EF0707" w:rsidRPr="00937AEE" w:rsidRDefault="00EF0707" w:rsidP="00EF0707">
      <w:r w:rsidRPr="00937AEE">
        <w:lastRenderedPageBreak/>
        <w:t xml:space="preserve">If </w:t>
      </w:r>
      <w:proofErr w:type="spellStart"/>
      <w:r w:rsidRPr="00937AEE">
        <w:rPr>
          <w:i/>
        </w:rPr>
        <w:t>XPD</w:t>
      </w:r>
      <w:r w:rsidRPr="00937AEE">
        <w:rPr>
          <w:i/>
          <w:iCs/>
          <w:vertAlign w:val="subscript"/>
        </w:rPr>
        <w:t>min</w:t>
      </w:r>
      <w:proofErr w:type="spellEnd"/>
      <w:r w:rsidRPr="00937AEE">
        <w:t xml:space="preserve"> is the minimum value reached for the percentage time required, from this value and from the adjacent channel </w:t>
      </w:r>
      <w:r w:rsidRPr="00937AEE">
        <w:rPr>
          <w:i/>
        </w:rPr>
        <w:t>NFD</w:t>
      </w:r>
      <w:r w:rsidRPr="00937AEE">
        <w:t>, the total amount of interfering power can be evaluated, and this result must be compared with the minimum value of carrier-to-interference (</w:t>
      </w:r>
      <w:r w:rsidRPr="00937AEE">
        <w:rPr>
          <w:i/>
        </w:rPr>
        <w:t>C</w:t>
      </w:r>
      <w:r w:rsidRPr="00937AEE">
        <w:t>/</w:t>
      </w:r>
      <w:r w:rsidRPr="00937AEE">
        <w:rPr>
          <w:i/>
        </w:rPr>
        <w:t>I</w:t>
      </w:r>
      <w:r w:rsidRPr="00937AEE">
        <w:rPr>
          <w:rFonts w:ascii="Tms Rmn" w:hAnsi="Tms Rmn"/>
          <w:i/>
          <w:sz w:val="8"/>
        </w:rPr>
        <w:t> </w:t>
      </w:r>
      <w:r w:rsidRPr="00937AEE">
        <w:t>)</w:t>
      </w:r>
      <w:r w:rsidRPr="00937AEE">
        <w:rPr>
          <w:i/>
          <w:iCs/>
          <w:vertAlign w:val="subscript"/>
        </w:rPr>
        <w:t>min</w:t>
      </w:r>
      <w:r w:rsidRPr="00937AEE">
        <w:t xml:space="preserve"> acceptable to the modulation adopted (see Note 4).</w:t>
      </w:r>
    </w:p>
    <w:p w14:paraId="5FC71418" w14:textId="77777777" w:rsidR="00EF0707" w:rsidRPr="00937AEE" w:rsidRDefault="00EF0707" w:rsidP="00EF0707">
      <w:r w:rsidRPr="00937AEE">
        <w:t>Alternated channel arrangements can be used (neglecting the co-polar adjacent channel interference contribution) if:</w:t>
      </w:r>
    </w:p>
    <w:p w14:paraId="735ABEDF" w14:textId="77777777" w:rsidR="00EF0707" w:rsidRPr="00937AEE" w:rsidRDefault="00EF0707" w:rsidP="00EF0707">
      <w:pPr>
        <w:pStyle w:val="Equation"/>
        <w:tabs>
          <w:tab w:val="left" w:pos="7513"/>
        </w:tabs>
      </w:pPr>
      <w:r w:rsidRPr="00937AEE">
        <w:tab/>
      </w:r>
      <w:r w:rsidRPr="00937AEE">
        <w:tab/>
      </w:r>
      <w:r w:rsidRPr="00937AEE">
        <w:rPr>
          <w:i/>
        </w:rPr>
        <w:t>XPD</w:t>
      </w:r>
      <w:r w:rsidRPr="00937AEE">
        <w:rPr>
          <w:i/>
          <w:position w:val="-4"/>
          <w:sz w:val="20"/>
        </w:rPr>
        <w:t>min</w:t>
      </w:r>
      <w:r w:rsidRPr="00937AEE">
        <w:t xml:space="preserve"> + (</w:t>
      </w:r>
      <w:r w:rsidRPr="00937AEE">
        <w:rPr>
          <w:i/>
        </w:rPr>
        <w:t>NFD</w:t>
      </w:r>
      <w:r w:rsidRPr="00937AEE">
        <w:t xml:space="preserve"> – 3) ≥ (</w:t>
      </w:r>
      <w:r w:rsidRPr="00937AEE">
        <w:rPr>
          <w:i/>
        </w:rPr>
        <w:t>C</w:t>
      </w:r>
      <w:r w:rsidRPr="00937AEE">
        <w:t>/</w:t>
      </w:r>
      <w:r w:rsidRPr="00937AEE">
        <w:rPr>
          <w:i/>
        </w:rPr>
        <w:t>I</w:t>
      </w:r>
      <w:r w:rsidRPr="00937AEE">
        <w:rPr>
          <w:i/>
          <w:sz w:val="8"/>
        </w:rPr>
        <w:t> </w:t>
      </w:r>
      <w:r w:rsidRPr="00937AEE">
        <w:t>)</w:t>
      </w:r>
      <w:r w:rsidRPr="00937AEE">
        <w:rPr>
          <w:i/>
          <w:position w:val="-4"/>
          <w:sz w:val="20"/>
        </w:rPr>
        <w:t>min</w:t>
      </w:r>
      <w:r w:rsidRPr="00937AEE">
        <w:t>                </w:t>
      </w:r>
      <w:r w:rsidRPr="00937AEE">
        <w:rPr>
          <w:position w:val="-4"/>
        </w:rPr>
        <w:t>dB</w:t>
      </w:r>
    </w:p>
    <w:p w14:paraId="7B596F43" w14:textId="77777777" w:rsidR="00EF0707" w:rsidRPr="00937AEE" w:rsidRDefault="00EF0707" w:rsidP="00EF0707">
      <w:r w:rsidRPr="00937AEE">
        <w:t>Co-channel arrangements can be used if:</w:t>
      </w:r>
    </w:p>
    <w:p w14:paraId="310E6017" w14:textId="77777777" w:rsidR="00EF0707" w:rsidRPr="00937AEE" w:rsidRDefault="00EF0707" w:rsidP="00EF0707">
      <w:pPr>
        <w:pStyle w:val="Equation"/>
        <w:tabs>
          <w:tab w:val="left" w:pos="8175"/>
        </w:tabs>
      </w:pPr>
      <w:r w:rsidRPr="00937AEE">
        <w:tab/>
      </w:r>
      <w:r w:rsidRPr="00937AEE">
        <w:tab/>
      </w:r>
      <w:r w:rsidRPr="00937AEE">
        <w:rPr>
          <w:position w:val="-70"/>
        </w:rPr>
        <w:object w:dxaOrig="3820" w:dyaOrig="1080" w14:anchorId="3BF05EEC">
          <v:shape id="_x0000_i1027" type="#_x0000_t75" style="width:192.2pt;height:53.85pt" o:ole="">
            <v:imagedata r:id="rId52" o:title=""/>
          </v:shape>
          <o:OLEObject Type="Embed" ProgID="Equation.3" ShapeID="_x0000_i1027" DrawAspect="Content" ObjectID="_1787996041" r:id="rId53"/>
        </w:object>
      </w:r>
      <w:r w:rsidRPr="00937AEE">
        <w:t>                dB</w:t>
      </w:r>
    </w:p>
    <w:p w14:paraId="0F892AD9" w14:textId="77777777" w:rsidR="00EF0707" w:rsidRPr="00937AEE" w:rsidRDefault="00EF0707" w:rsidP="00EF0707">
      <w:r w:rsidRPr="00937AEE">
        <w:t>Interleaved channel arrangements can be used if:</w:t>
      </w:r>
    </w:p>
    <w:p w14:paraId="1C3D8E2B" w14:textId="77777777" w:rsidR="00EF0707" w:rsidRPr="00937AEE" w:rsidRDefault="00EF0707" w:rsidP="00EF0707">
      <w:pPr>
        <w:pStyle w:val="Equation"/>
        <w:tabs>
          <w:tab w:val="left" w:pos="8505"/>
        </w:tabs>
      </w:pPr>
      <w:r w:rsidRPr="00937AEE">
        <w:tab/>
      </w:r>
      <w:r w:rsidRPr="00937AEE">
        <w:tab/>
      </w:r>
      <w:r w:rsidRPr="00937AEE">
        <w:rPr>
          <w:position w:val="-70"/>
        </w:rPr>
        <w:object w:dxaOrig="4239" w:dyaOrig="1080" w14:anchorId="0F764959">
          <v:shape id="_x0000_i1028" type="#_x0000_t75" style="width:212.25pt;height:53.85pt" o:ole="">
            <v:imagedata r:id="rId54" o:title=""/>
          </v:shape>
          <o:OLEObject Type="Embed" ProgID="Equation.3" ShapeID="_x0000_i1028" DrawAspect="Content" ObjectID="_1787996042" r:id="rId55"/>
        </w:object>
      </w:r>
      <w:r w:rsidRPr="00937AEE">
        <w:t>                dB</w:t>
      </w:r>
    </w:p>
    <w:p w14:paraId="0083B81B" w14:textId="77777777" w:rsidR="00EF0707" w:rsidRPr="00937AEE" w:rsidRDefault="00EF0707" w:rsidP="00EF0707">
      <w:r w:rsidRPr="00937AEE">
        <w:t>where:</w:t>
      </w:r>
    </w:p>
    <w:p w14:paraId="583A84ED" w14:textId="77777777" w:rsidR="00EF0707" w:rsidRPr="00937AEE" w:rsidRDefault="00EF0707" w:rsidP="00EF0707">
      <w:pPr>
        <w:pStyle w:val="Equationlegend"/>
        <w:rPr>
          <w:lang w:val="en-GB"/>
        </w:rPr>
      </w:pPr>
      <w:r w:rsidRPr="00937AEE">
        <w:rPr>
          <w:lang w:val="en-GB"/>
        </w:rPr>
        <w:tab/>
      </w:r>
      <w:proofErr w:type="spellStart"/>
      <w:r w:rsidRPr="00937AEE">
        <w:rPr>
          <w:i/>
          <w:lang w:val="en-GB"/>
        </w:rPr>
        <w:t>NFD</w:t>
      </w:r>
      <w:r w:rsidRPr="00937AEE">
        <w:rPr>
          <w:i/>
          <w:iCs/>
          <w:vertAlign w:val="subscript"/>
          <w:lang w:val="en-GB"/>
        </w:rPr>
        <w:t>a</w:t>
      </w:r>
      <w:proofErr w:type="spellEnd"/>
      <w:r w:rsidRPr="00937AEE">
        <w:rPr>
          <w:i/>
          <w:iCs/>
          <w:vertAlign w:val="subscript"/>
          <w:lang w:val="en-GB"/>
        </w:rPr>
        <w:t xml:space="preserve"> </w:t>
      </w:r>
      <w:r w:rsidRPr="00937AEE">
        <w:rPr>
          <w:lang w:val="en-GB"/>
        </w:rPr>
        <w:t>:</w:t>
      </w:r>
      <w:r w:rsidRPr="00937AEE">
        <w:rPr>
          <w:lang w:val="en-GB"/>
        </w:rPr>
        <w:tab/>
      </w:r>
      <w:r w:rsidRPr="00937AEE">
        <w:rPr>
          <w:rFonts w:ascii="Tms Rmn" w:hAnsi="Tms Rmn"/>
          <w:lang w:val="en-GB"/>
        </w:rPr>
        <w:t>n</w:t>
      </w:r>
      <w:r w:rsidRPr="00937AEE">
        <w:rPr>
          <w:lang w:val="en-GB"/>
        </w:rPr>
        <w:t xml:space="preserve">et filter discrimination evaluated at </w:t>
      </w:r>
      <w:r w:rsidRPr="00937AEE">
        <w:rPr>
          <w:i/>
          <w:lang w:val="en-GB"/>
        </w:rPr>
        <w:t>XS</w:t>
      </w:r>
      <w:r w:rsidRPr="00937AEE">
        <w:rPr>
          <w:lang w:val="en-GB"/>
        </w:rPr>
        <w:t xml:space="preserve"> frequency spacing</w:t>
      </w:r>
    </w:p>
    <w:p w14:paraId="580A5CE0" w14:textId="77777777" w:rsidR="00EF0707" w:rsidRPr="00937AEE" w:rsidRDefault="00EF0707" w:rsidP="00EF0707">
      <w:pPr>
        <w:pStyle w:val="Equationlegend"/>
        <w:rPr>
          <w:lang w:val="en-GB"/>
        </w:rPr>
      </w:pPr>
      <w:r w:rsidRPr="00937AEE">
        <w:rPr>
          <w:lang w:val="en-GB"/>
        </w:rPr>
        <w:tab/>
      </w:r>
      <w:proofErr w:type="spellStart"/>
      <w:r w:rsidRPr="00937AEE">
        <w:rPr>
          <w:i/>
          <w:lang w:val="en-GB"/>
        </w:rPr>
        <w:t>NFD</w:t>
      </w:r>
      <w:r w:rsidRPr="00937AEE">
        <w:rPr>
          <w:i/>
          <w:iCs/>
          <w:vertAlign w:val="subscript"/>
          <w:lang w:val="en-GB"/>
        </w:rPr>
        <w:t>b</w:t>
      </w:r>
      <w:proofErr w:type="spellEnd"/>
      <w:r w:rsidRPr="00937AEE">
        <w:rPr>
          <w:sz w:val="12"/>
          <w:lang w:val="en-GB"/>
        </w:rPr>
        <w:t xml:space="preserve"> </w:t>
      </w:r>
      <w:r w:rsidRPr="00937AEE">
        <w:rPr>
          <w:lang w:val="en-GB"/>
        </w:rPr>
        <w:t>:</w:t>
      </w:r>
      <w:r w:rsidRPr="00937AEE">
        <w:rPr>
          <w:lang w:val="en-GB"/>
        </w:rPr>
        <w:tab/>
      </w:r>
      <w:r w:rsidRPr="00937AEE">
        <w:rPr>
          <w:rFonts w:ascii="Tms Rmn" w:hAnsi="Tms Rmn"/>
          <w:lang w:val="en-GB"/>
        </w:rPr>
        <w:t>n</w:t>
      </w:r>
      <w:r w:rsidRPr="00937AEE">
        <w:rPr>
          <w:lang w:val="en-GB"/>
        </w:rPr>
        <w:t xml:space="preserve">et filter discrimination evaluated at </w:t>
      </w:r>
      <w:r w:rsidRPr="00937AEE">
        <w:rPr>
          <w:i/>
          <w:lang w:val="en-GB"/>
        </w:rPr>
        <w:t>XS</w:t>
      </w:r>
      <w:r w:rsidRPr="00937AEE">
        <w:rPr>
          <w:rFonts w:ascii="Tms Rmn" w:hAnsi="Tms Rmn"/>
          <w:sz w:val="12"/>
          <w:lang w:val="en-GB"/>
        </w:rPr>
        <w:t> </w:t>
      </w:r>
      <w:r w:rsidRPr="00937AEE">
        <w:rPr>
          <w:lang w:val="en-GB"/>
        </w:rPr>
        <w:t>/</w:t>
      </w:r>
      <w:r w:rsidRPr="00937AEE">
        <w:rPr>
          <w:rFonts w:ascii="Tms Rmn" w:hAnsi="Tms Rmn"/>
          <w:sz w:val="12"/>
          <w:lang w:val="en-GB"/>
        </w:rPr>
        <w:t> </w:t>
      </w:r>
      <w:r w:rsidRPr="00937AEE">
        <w:rPr>
          <w:lang w:val="en-GB"/>
        </w:rPr>
        <w:t>2 frequency spacing</w:t>
      </w:r>
    </w:p>
    <w:p w14:paraId="2099EE72" w14:textId="77777777" w:rsidR="00EF0707" w:rsidRPr="00937AEE" w:rsidRDefault="00EF0707" w:rsidP="00EF0707">
      <w:pPr>
        <w:pStyle w:val="Equationlegend"/>
        <w:rPr>
          <w:lang w:val="en-GB"/>
        </w:rPr>
      </w:pPr>
      <w:r w:rsidRPr="00937AEE">
        <w:rPr>
          <w:lang w:val="en-GB"/>
        </w:rPr>
        <w:tab/>
      </w:r>
      <w:r w:rsidRPr="00937AEE">
        <w:rPr>
          <w:i/>
          <w:lang w:val="en-GB"/>
        </w:rPr>
        <w:t>XIF</w:t>
      </w:r>
      <w:r w:rsidRPr="00937AEE">
        <w:rPr>
          <w:sz w:val="12"/>
          <w:lang w:val="en-GB"/>
        </w:rPr>
        <w:t xml:space="preserve"> </w:t>
      </w:r>
      <w:r w:rsidRPr="00937AEE">
        <w:rPr>
          <w:lang w:val="en-GB"/>
        </w:rPr>
        <w:t>:</w:t>
      </w:r>
      <w:r w:rsidRPr="00937AEE">
        <w:rPr>
          <w:i/>
          <w:lang w:val="en-GB"/>
        </w:rPr>
        <w:tab/>
        <w:t>XPD</w:t>
      </w:r>
      <w:r w:rsidRPr="00937AEE">
        <w:rPr>
          <w:lang w:val="en-GB"/>
        </w:rPr>
        <w:t xml:space="preserve"> improvement factor of any cross-polar interference countermeasure, if implemented in the interfered receiver;</w:t>
      </w:r>
    </w:p>
    <w:p w14:paraId="4C5D4290" w14:textId="77777777" w:rsidR="00EF0707" w:rsidRPr="00937AEE" w:rsidRDefault="00EF0707" w:rsidP="00EF0707">
      <w:r w:rsidRPr="00EF0707">
        <w:rPr>
          <w:bCs/>
        </w:rPr>
        <w:t>3</w:t>
      </w:r>
      <w:r w:rsidRPr="00937AEE">
        <w:rPr>
          <w:b/>
        </w:rPr>
        <w:tab/>
      </w:r>
      <w:r w:rsidRPr="00937AEE">
        <w:t>that the channel arrangements reported in Fig. 1 may be used for digital FWSs either with single carrier or multi-carrier transmission (see Note 5);</w:t>
      </w:r>
    </w:p>
    <w:p w14:paraId="30CF5C2A" w14:textId="77777777" w:rsidR="00EF0707" w:rsidRPr="00937AEE" w:rsidRDefault="00EF0707" w:rsidP="00EF0707">
      <w:r w:rsidRPr="00EF0707">
        <w:rPr>
          <w:bCs/>
        </w:rPr>
        <w:t>4</w:t>
      </w:r>
      <w:r w:rsidRPr="00937AEE">
        <w:rPr>
          <w:b/>
        </w:rPr>
        <w:tab/>
      </w:r>
      <w:r w:rsidRPr="00937AEE">
        <w:t>that when multi-carrier transmission is employed, the overall number of carriers will be regarded as a single channel whose centre frequency and channel spacing will be that defined according to Fig. 1 disregarding the actual centre frequency of the carriers, which may vary, for</w:t>
      </w:r>
      <w:r>
        <w:t xml:space="preserve"> </w:t>
      </w:r>
      <w:r w:rsidRPr="00937AEE">
        <w:t>technical reasons, according to practical implementations;</w:t>
      </w:r>
    </w:p>
    <w:p w14:paraId="1E0F8689" w14:textId="77777777" w:rsidR="00EF0707" w:rsidRPr="00937AEE" w:rsidRDefault="00EF0707" w:rsidP="00EF0707">
      <w:pPr>
        <w:rPr>
          <w:lang w:eastAsia="ja-JP"/>
        </w:rPr>
      </w:pPr>
      <w:r w:rsidRPr="00EF0707">
        <w:rPr>
          <w:bCs/>
        </w:rPr>
        <w:t>5</w:t>
      </w:r>
      <w:r w:rsidRPr="00937AEE">
        <w:tab/>
        <w:t>that where practicable (e.g. in newly exploited or rearranged bands with comparable width) it is useful to have the same duplex separation in different nearby frequency bands;</w:t>
      </w:r>
    </w:p>
    <w:p w14:paraId="54A8EFFD" w14:textId="77777777" w:rsidR="00EF0707" w:rsidRPr="00937AEE" w:rsidRDefault="00EF0707" w:rsidP="00EF0707">
      <w:pPr>
        <w:rPr>
          <w:lang w:eastAsia="ja-JP"/>
        </w:rPr>
      </w:pPr>
      <w:r w:rsidRPr="00EF0707">
        <w:rPr>
          <w:bCs/>
        </w:rPr>
        <w:t>6</w:t>
      </w:r>
      <w:r w:rsidRPr="00937AEE">
        <w:rPr>
          <w:b/>
          <w:lang w:eastAsia="ja-JP"/>
        </w:rPr>
        <w:tab/>
      </w:r>
      <w:r w:rsidRPr="00937AEE">
        <w:rPr>
          <w:lang w:eastAsia="ja-JP"/>
        </w:rPr>
        <w:t xml:space="preserve">that the following categorization </w:t>
      </w:r>
      <w:r w:rsidRPr="00937AEE">
        <w:rPr>
          <w:rFonts w:eastAsia="MS Mincho"/>
          <w:lang w:eastAsia="ja-JP"/>
        </w:rPr>
        <w:t>with respect to the transmission capacity may be used in ITU-R Recommendations on digital fixed wireless systems (see also Annex 1 to Recommendation ITU-R F.1101):</w:t>
      </w:r>
    </w:p>
    <w:p w14:paraId="700B9BEB" w14:textId="77777777" w:rsidR="00EF0707" w:rsidRPr="00937AEE" w:rsidRDefault="00EF0707" w:rsidP="00EF0707">
      <w:pPr>
        <w:pStyle w:val="enumlev1"/>
      </w:pPr>
      <w:r w:rsidRPr="00937AEE">
        <w:t>–</w:t>
      </w:r>
      <w:r w:rsidRPr="00937AEE">
        <w:tab/>
        <w:t xml:space="preserve">“low-capacity fixed wireless systems” for the transmission of digital signals with gross bit rates up to and </w:t>
      </w:r>
      <w:r w:rsidRPr="00937AEE">
        <w:rPr>
          <w:lang w:eastAsia="zh-CN"/>
        </w:rPr>
        <w:t>including</w:t>
      </w:r>
      <w:r w:rsidRPr="00937AEE">
        <w:t xml:space="preserve"> 10 Mbit/s;</w:t>
      </w:r>
    </w:p>
    <w:p w14:paraId="08696C81" w14:textId="77777777" w:rsidR="00EF0707" w:rsidRPr="00937AEE" w:rsidRDefault="00EF0707" w:rsidP="00EF0707">
      <w:pPr>
        <w:pStyle w:val="enumlev1"/>
      </w:pPr>
      <w:r w:rsidRPr="00937AEE">
        <w:t>–</w:t>
      </w:r>
      <w:r w:rsidRPr="00937AEE">
        <w:tab/>
        <w:t xml:space="preserve">“medium-capacity fixed wireless systems” for the transmission of digital signals with gross bit rates </w:t>
      </w:r>
      <w:r w:rsidRPr="00937AEE">
        <w:rPr>
          <w:lang w:eastAsia="zh-CN"/>
        </w:rPr>
        <w:t>ranging</w:t>
      </w:r>
      <w:r w:rsidRPr="00937AEE">
        <w:t xml:space="preserve"> from 10 Mbit/s up to about 100 Mbit/s;</w:t>
      </w:r>
    </w:p>
    <w:p w14:paraId="4F743427" w14:textId="77777777" w:rsidR="00EF0707" w:rsidRPr="00937AEE" w:rsidRDefault="00EF0707" w:rsidP="00EF0707">
      <w:pPr>
        <w:pStyle w:val="enumlev1"/>
      </w:pPr>
      <w:r w:rsidRPr="00937AEE">
        <w:t>–</w:t>
      </w:r>
      <w:r w:rsidRPr="00937AEE">
        <w:tab/>
        <w:t>“high-</w:t>
      </w:r>
      <w:r w:rsidRPr="00937AEE">
        <w:rPr>
          <w:lang w:eastAsia="zh-CN"/>
        </w:rPr>
        <w:t>capacity</w:t>
      </w:r>
      <w:r w:rsidRPr="00937AEE">
        <w:t xml:space="preserve"> fixed wireless systems” for the transmission of digital signals with gross bit rates greater than 100 Mbit/s;</w:t>
      </w:r>
    </w:p>
    <w:p w14:paraId="3801AB36" w14:textId="77777777" w:rsidR="00EF0707" w:rsidRPr="00937AEE" w:rsidRDefault="00EF0707" w:rsidP="00EF0707">
      <w:r w:rsidRPr="00EF0707">
        <w:rPr>
          <w:bCs/>
          <w:lang w:eastAsia="ja-JP"/>
        </w:rPr>
        <w:t>7</w:t>
      </w:r>
      <w:r w:rsidRPr="00937AEE">
        <w:tab/>
        <w:t>that Tables 1 and 2 report the summary of presently ITU-R defined radio-frequency channel arrangements with reference to the relevant Recommendation. Some radio-frequency channel arrangements in bands that are not covered by a specific Recommendation, and which are nevertheless used by administrations, are described in Annexes 1 to 8.</w:t>
      </w:r>
    </w:p>
    <w:p w14:paraId="331217CD" w14:textId="77777777" w:rsidR="00EF0707" w:rsidRPr="00937AEE" w:rsidRDefault="00EF0707" w:rsidP="00EF0707">
      <w:pPr>
        <w:pStyle w:val="TableNo"/>
      </w:pPr>
      <w:r w:rsidRPr="00937AEE">
        <w:lastRenderedPageBreak/>
        <w:t>TABLE 1</w:t>
      </w:r>
    </w:p>
    <w:p w14:paraId="5827DD80" w14:textId="77777777" w:rsidR="00EF0707" w:rsidRDefault="00EF0707" w:rsidP="00EF0707">
      <w:pPr>
        <w:pStyle w:val="Tabletitle"/>
      </w:pPr>
      <w:r w:rsidRPr="00937AEE">
        <w:t>Radio-frequency channel arrangement for fixed service</w:t>
      </w:r>
      <w:r w:rsidRPr="00937AEE">
        <w:br/>
        <w:t>systems in frequency bands below about 17 GHz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1"/>
        <w:gridCol w:w="2836"/>
        <w:gridCol w:w="2836"/>
        <w:gridCol w:w="2836"/>
      </w:tblGrid>
      <w:tr w:rsidR="00EF0707" w:rsidRPr="00937AEE" w14:paraId="3CB042CF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6307" w14:textId="77777777" w:rsidR="00EF0707" w:rsidRPr="00937AEE" w:rsidRDefault="00EF0707" w:rsidP="00E86D4A">
            <w:pPr>
              <w:pStyle w:val="Tablehead"/>
            </w:pPr>
            <w:r w:rsidRPr="00937AEE">
              <w:t>Band</w:t>
            </w:r>
            <w:r w:rsidRPr="00937AEE">
              <w:br/>
              <w:t>(GHz)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A9C2" w14:textId="77777777" w:rsidR="00EF0707" w:rsidRPr="00937AEE" w:rsidRDefault="00EF0707" w:rsidP="00E86D4A">
            <w:pPr>
              <w:pStyle w:val="Tablehead"/>
            </w:pPr>
            <w:r w:rsidRPr="00937AEE">
              <w:t>Frequency range</w:t>
            </w:r>
            <w:r w:rsidRPr="00937AEE">
              <w:br/>
              <w:t>(GHz)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4361" w14:textId="77777777" w:rsidR="00EF0707" w:rsidRPr="00937AEE" w:rsidRDefault="00EF0707" w:rsidP="00E86D4A">
            <w:pPr>
              <w:pStyle w:val="Tablehead"/>
            </w:pPr>
            <w:r w:rsidRPr="00937AEE">
              <w:t>Recommendations ITU-R</w:t>
            </w:r>
            <w:r w:rsidRPr="00937AEE">
              <w:br/>
              <w:t>F Series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A28" w14:textId="77777777" w:rsidR="00EF0707" w:rsidRPr="00937AEE" w:rsidRDefault="00EF0707" w:rsidP="00E86D4A">
            <w:pPr>
              <w:pStyle w:val="Tablehead"/>
            </w:pPr>
            <w:r w:rsidRPr="00937AEE">
              <w:t>Channel separation</w:t>
            </w:r>
            <w:r w:rsidRPr="00937AEE">
              <w:br/>
              <w:t>(MHz)</w:t>
            </w:r>
          </w:p>
        </w:tc>
      </w:tr>
      <w:tr w:rsidR="00EF0707" w:rsidRPr="00937AEE" w14:paraId="33743FDB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D478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center"/>
            </w:pPr>
            <w:r w:rsidRPr="00937AEE">
              <w:t>0.4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CE33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0.4061-0.430</w:t>
            </w:r>
            <w:r w:rsidRPr="00937AEE">
              <w:br/>
              <w:t>0.41305-0.450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1C66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1567, Annex 1</w:t>
            </w:r>
            <w:r w:rsidRPr="00937AEE">
              <w:br/>
              <w:t>1567, Annex 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2C6D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0.05; 0.1; 0.15; 0.2; 0.25; 0.6; 0.25; 0.3; 0.5; 0.6; 0.75; 1; 1.75; 3.5</w:t>
            </w:r>
          </w:p>
        </w:tc>
      </w:tr>
      <w:tr w:rsidR="00EF0707" w:rsidRPr="00937AEE" w14:paraId="537DF7C1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8615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center"/>
            </w:pPr>
            <w:r w:rsidRPr="00937AEE">
              <w:t>1.4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9F14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1.35-1.53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BF19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1242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ED3C" w14:textId="77777777" w:rsidR="00EF0707" w:rsidRPr="00937AEE" w:rsidRDefault="00EF0707" w:rsidP="00E86D4A">
            <w:pPr>
              <w:pStyle w:val="Tabletext"/>
              <w:keepNext/>
              <w:spacing w:before="60" w:after="60"/>
              <w:jc w:val="left"/>
            </w:pPr>
            <w:r w:rsidRPr="00937AEE">
              <w:t>0.25; 0.5; 1; 2; 3.5</w:t>
            </w:r>
          </w:p>
        </w:tc>
      </w:tr>
      <w:tr w:rsidR="00EF0707" w:rsidRPr="00937AEE" w14:paraId="75685B05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829A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1F79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1.427-2.69</w:t>
            </w:r>
            <w:r w:rsidRPr="00937AEE">
              <w:br/>
              <w:t>1.7-2.1; 1.9-2.3</w:t>
            </w:r>
            <w:r w:rsidRPr="00937AEE">
              <w:br/>
              <w:t>1.9-2.3</w:t>
            </w:r>
            <w:r w:rsidRPr="00937AEE">
              <w:br/>
              <w:t>1.9-2.3</w:t>
            </w:r>
            <w:r w:rsidRPr="00937AEE">
              <w:br/>
              <w:t>1.9-2.3</w:t>
            </w:r>
            <w:r w:rsidRPr="00937AEE">
              <w:br/>
              <w:t>2.3-2.5</w:t>
            </w:r>
            <w:r w:rsidRPr="00937AEE">
              <w:br/>
              <w:t>2.29-2.67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0A0D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701</w:t>
            </w:r>
            <w:r w:rsidRPr="00937AEE">
              <w:br/>
              <w:t>382</w:t>
            </w:r>
            <w:r w:rsidRPr="00937AEE">
              <w:br/>
              <w:t>1098</w:t>
            </w:r>
            <w:r w:rsidRPr="00937AEE">
              <w:br/>
              <w:t>1098, Annexes 1, 2</w:t>
            </w:r>
            <w:r w:rsidRPr="00937AEE">
              <w:br/>
              <w:t>1098, Annex 3</w:t>
            </w:r>
            <w:r w:rsidRPr="00937AEE">
              <w:br/>
              <w:t>746, Annex 1</w:t>
            </w:r>
            <w:r w:rsidRPr="00937AEE">
              <w:br/>
              <w:t>1243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44D5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 xml:space="preserve">0.5 (pattern) </w:t>
            </w:r>
            <w:r w:rsidRPr="00937AEE">
              <w:br/>
              <w:t>29</w:t>
            </w:r>
            <w:r w:rsidRPr="00937AEE">
              <w:br/>
              <w:t>3.5; 2.5 (patterns)</w:t>
            </w:r>
            <w:r w:rsidRPr="00937AEE">
              <w:br/>
              <w:t>14</w:t>
            </w:r>
            <w:r w:rsidRPr="00937AEE">
              <w:br/>
              <w:t>10</w:t>
            </w:r>
            <w:r w:rsidRPr="00937AEE">
              <w:br/>
              <w:t>1; 2; 4; 14; 28</w:t>
            </w:r>
            <w:r w:rsidRPr="00937AEE">
              <w:br/>
              <w:t>0.25; 0.5; 1; 1.75;</w:t>
            </w:r>
            <w:r w:rsidRPr="00937AEE">
              <w:br/>
              <w:t>2; 3.5; 7; 14;</w:t>
            </w:r>
            <w:r w:rsidRPr="00937AEE">
              <w:br/>
              <w:t>2.5 (pattern)</w:t>
            </w:r>
          </w:p>
        </w:tc>
      </w:tr>
      <w:tr w:rsidR="00EF0707" w:rsidRPr="00937AEE" w14:paraId="6E7A4AC1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BF22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3.6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FFC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3.4-3.8</w:t>
            </w:r>
            <w:r w:rsidRPr="00937AEE">
              <w:br/>
              <w:t>3.4-3.8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F7DA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1488, Annex 1</w:t>
            </w:r>
            <w:r w:rsidRPr="00937AEE">
              <w:br/>
              <w:t>1488, Annex 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2D9B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25</w:t>
            </w:r>
            <w:r w:rsidRPr="00937AEE">
              <w:rPr>
                <w:vertAlign w:val="superscript"/>
              </w:rPr>
              <w:t>(1)</w:t>
            </w:r>
            <w:r w:rsidRPr="00937AEE">
              <w:br/>
              <w:t>0.25</w:t>
            </w:r>
            <w:r w:rsidRPr="00937AEE">
              <w:rPr>
                <w:vertAlign w:val="superscript"/>
              </w:rPr>
              <w:t>(2)</w:t>
            </w:r>
          </w:p>
        </w:tc>
      </w:tr>
      <w:tr w:rsidR="00EF0707" w:rsidRPr="00937AEE" w14:paraId="16A70326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B7D6" w14:textId="77777777" w:rsidR="00EF0707" w:rsidRPr="00E4662C" w:rsidRDefault="00EF0707" w:rsidP="00E86D4A">
            <w:pPr>
              <w:pStyle w:val="Tabletext"/>
              <w:spacing w:before="60" w:after="60"/>
              <w:jc w:val="center"/>
            </w:pPr>
            <w:r w:rsidRPr="00E4662C"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71F8" w14:textId="77777777" w:rsidR="00EF0707" w:rsidRPr="00E4662C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E4662C">
              <w:t>3.8-4.2</w:t>
            </w:r>
            <w:r w:rsidRPr="00E4662C">
              <w:br/>
              <w:t>3.7-4.2</w:t>
            </w:r>
            <w:r w:rsidRPr="00E4662C">
              <w:br/>
              <w:t>3.</w:t>
            </w:r>
            <w:r>
              <w:rPr>
                <w:rFonts w:hint="eastAsia"/>
                <w:lang w:eastAsia="ja-JP"/>
              </w:rPr>
              <w:t>4</w:t>
            </w:r>
            <w:r w:rsidRPr="00E4662C">
              <w:t>-4.2</w:t>
            </w:r>
            <w:r w:rsidRPr="00E4662C">
              <w:br/>
              <w:t>3.6-4.2</w:t>
            </w:r>
            <w:r>
              <w:rPr>
                <w:lang w:eastAsia="ja-JP"/>
              </w:rPr>
              <w:br/>
            </w:r>
            <w:r w:rsidRPr="00246F00">
              <w:t>3.</w:t>
            </w:r>
            <w:r w:rsidRPr="00246F00">
              <w:rPr>
                <w:lang w:eastAsia="ja-JP"/>
              </w:rPr>
              <w:t>4</w:t>
            </w:r>
            <w:r w:rsidRPr="00246F00">
              <w:t>-4.2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2024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382</w:t>
            </w:r>
            <w:r w:rsidRPr="00937AEE">
              <w:br/>
              <w:t>382, Annex 1</w:t>
            </w:r>
            <w:r w:rsidRPr="00937AEE">
              <w:br/>
              <w:t>635</w:t>
            </w:r>
            <w:r w:rsidRPr="00937AEE">
              <w:br/>
              <w:t>635, Annex 1</w:t>
            </w:r>
            <w:r>
              <w:rPr>
                <w:lang w:eastAsia="ja-JP"/>
              </w:rPr>
              <w:br/>
            </w:r>
            <w:r w:rsidRPr="00937AEE">
              <w:t>635, Annex 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F864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ja-JP"/>
              </w:rPr>
            </w:pPr>
            <w:r w:rsidRPr="00937AEE">
              <w:t>29</w:t>
            </w:r>
            <w:r w:rsidRPr="00937AEE">
              <w:br/>
              <w:t>28</w:t>
            </w:r>
            <w:r w:rsidRPr="00937AEE">
              <w:br/>
              <w:t>10 (pattern)</w:t>
            </w:r>
            <w:r w:rsidRPr="00937AEE">
              <w:br/>
              <w:t>40; 30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80</w:t>
            </w:r>
          </w:p>
        </w:tc>
      </w:tr>
      <w:tr w:rsidR="00EF0707" w:rsidRPr="00937AEE" w14:paraId="68E14B9E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9515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U4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1D06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4.4-5.0</w:t>
            </w:r>
            <w:r w:rsidRPr="00937AEE">
              <w:br/>
              <w:t>4.4-5.0</w:t>
            </w:r>
            <w:r w:rsidRPr="00937AEE">
              <w:br/>
              <w:t>4.4-5.0</w:t>
            </w:r>
            <w:r w:rsidRPr="00937AEE">
              <w:br/>
              <w:t>4.54-4.9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3338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1099</w:t>
            </w:r>
            <w:r w:rsidRPr="00937AEE">
              <w:br/>
              <w:t>1099, Annex 1</w:t>
            </w:r>
            <w:r w:rsidRPr="00937AEE">
              <w:br/>
              <w:t>1099, Annex 3</w:t>
            </w:r>
            <w:r w:rsidRPr="00937AEE">
              <w:br/>
              <w:t>1099, Annex 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9C1F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</w:rPr>
            </w:pPr>
            <w:r w:rsidRPr="00937AEE">
              <w:t>10 (pattern)</w:t>
            </w:r>
            <w:r w:rsidRPr="00937AEE">
              <w:br/>
              <w:t>40; 80</w:t>
            </w:r>
            <w:r w:rsidRPr="00937AEE">
              <w:br/>
              <w:t xml:space="preserve">28 </w:t>
            </w:r>
            <w:r w:rsidRPr="00937AEE">
              <w:br/>
              <w:t>40; 20</w:t>
            </w:r>
          </w:p>
        </w:tc>
      </w:tr>
      <w:tr w:rsidR="00EF0707" w:rsidRPr="00937AEE" w14:paraId="7B2238D6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DE11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L6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FAB6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ko-KR"/>
              </w:rPr>
            </w:pPr>
            <w:r w:rsidRPr="00937AEE">
              <w:t>5.925-6.425</w:t>
            </w:r>
            <w:r w:rsidRPr="00937AEE">
              <w:br/>
              <w:t>5.925-6.425</w:t>
            </w:r>
            <w:r w:rsidRPr="00937AEE">
              <w:rPr>
                <w:lang w:eastAsia="ko-KR"/>
              </w:rPr>
              <w:br/>
              <w:t>5.925-6.425</w:t>
            </w:r>
            <w:r w:rsidRPr="00937AEE">
              <w:rPr>
                <w:lang w:eastAsia="ko-KR"/>
              </w:rPr>
              <w:br/>
              <w:t>5.925-6.425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C501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ko-KR"/>
              </w:rPr>
            </w:pPr>
            <w:r w:rsidRPr="00937AEE">
              <w:t>383</w:t>
            </w:r>
            <w:r w:rsidRPr="00937AEE">
              <w:br/>
              <w:t>383, Annex 1</w:t>
            </w:r>
            <w:r w:rsidRPr="00937AEE">
              <w:rPr>
                <w:lang w:eastAsia="ko-KR"/>
              </w:rPr>
              <w:br/>
              <w:t>383, Annex 2</w:t>
            </w:r>
            <w:r w:rsidRPr="00937AEE">
              <w:rPr>
                <w:lang w:eastAsia="ko-KR"/>
              </w:rPr>
              <w:br/>
              <w:t>383, Annex 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345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ko-KR"/>
              </w:rPr>
            </w:pPr>
            <w:r w:rsidRPr="00937AEE">
              <w:t>29.65</w:t>
            </w:r>
            <w:r>
              <w:t>; 59.3</w:t>
            </w:r>
            <w:r w:rsidRPr="00937AEE">
              <w:br/>
              <w:t>40</w:t>
            </w:r>
            <w:r w:rsidRPr="00937AEE">
              <w:rPr>
                <w:lang w:eastAsia="ko-KR"/>
              </w:rPr>
              <w:br/>
              <w:t>28</w:t>
            </w:r>
            <w:r w:rsidRPr="00937AEE">
              <w:rPr>
                <w:lang w:eastAsia="ko-KR"/>
              </w:rPr>
              <w:br/>
              <w:t>40; 20; 10; 5</w:t>
            </w:r>
          </w:p>
        </w:tc>
      </w:tr>
      <w:tr w:rsidR="00EF0707" w:rsidRPr="00937AEE" w14:paraId="5B73E91A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63CC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U6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8544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6.425-7.11</w:t>
            </w:r>
            <w:r w:rsidRPr="00937AEE">
              <w:br/>
              <w:t>6.425-7.11</w:t>
            </w:r>
            <w:r w:rsidRPr="00937AEE">
              <w:br/>
              <w:t>6.425-7.11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5ACC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384</w:t>
            </w:r>
            <w:r w:rsidRPr="00937AEE">
              <w:br/>
              <w:t>384, Annex 1</w:t>
            </w:r>
            <w:r w:rsidRPr="00937AEE">
              <w:br/>
              <w:t>384, Annex 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F676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40; 30; 20</w:t>
            </w:r>
            <w:r w:rsidRPr="00937AEE">
              <w:rPr>
                <w:lang w:eastAsia="ko-KR"/>
              </w:rPr>
              <w:t>;</w:t>
            </w:r>
            <w:r w:rsidRPr="00937AEE">
              <w:t xml:space="preserve"> 10</w:t>
            </w:r>
            <w:r w:rsidRPr="00937AEE">
              <w:rPr>
                <w:lang w:eastAsia="ko-KR"/>
              </w:rPr>
              <w:t>; 5</w:t>
            </w:r>
            <w:r w:rsidRPr="00937AEE">
              <w:br/>
              <w:t>80</w:t>
            </w:r>
            <w:r w:rsidRPr="00937AEE">
              <w:br/>
              <w:t>30; 14; 7; 3.5</w:t>
            </w:r>
          </w:p>
        </w:tc>
      </w:tr>
      <w:tr w:rsidR="00EF0707" w:rsidRPr="00937AEE" w14:paraId="75E3D393" w14:textId="77777777" w:rsidTr="00E86D4A">
        <w:trPr>
          <w:cantSplit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7B4A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8E7D" w14:textId="2B2BA4D9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7.25-7.55</w:t>
            </w:r>
            <w:r w:rsidRPr="00937AEE">
              <w:br/>
              <w:t>7.425-7.725 (7.125-7.425)</w:t>
            </w:r>
            <w:r w:rsidRPr="00C32812">
              <w:t>(3)</w:t>
            </w:r>
            <w:r w:rsidRPr="00937AEE">
              <w:br/>
              <w:t>(7.250-7.550)</w:t>
            </w:r>
            <w:r w:rsidRPr="00C32812">
              <w:t>(3)</w:t>
            </w:r>
            <w:r w:rsidRPr="00937AEE">
              <w:t xml:space="preserve"> (7.550</w:t>
            </w:r>
            <w:r>
              <w:noBreakHyphen/>
            </w:r>
            <w:r w:rsidRPr="00937AEE">
              <w:t>7.850)</w:t>
            </w:r>
            <w:r w:rsidRPr="00C32812">
              <w:t>(3)</w:t>
            </w:r>
            <w:r w:rsidRPr="00937AEE">
              <w:br/>
              <w:t>7 125-7 425</w:t>
            </w:r>
            <w:r w:rsidRPr="00937AEE">
              <w:br/>
              <w:t>7.425-7.725</w:t>
            </w:r>
            <w:r w:rsidRPr="00937AEE">
              <w:br/>
              <w:t>7.435-7.75</w:t>
            </w:r>
            <w:r w:rsidRPr="00937AEE">
              <w:br/>
              <w:t>7.11-7.75</w:t>
            </w:r>
            <w:r w:rsidRPr="00937AEE">
              <w:br/>
              <w:t>7.425-7.90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2BA0" w14:textId="5633FE06" w:rsidR="00EF0707" w:rsidRPr="00EF0707" w:rsidRDefault="00EF0707" w:rsidP="00E86D4A">
            <w:pPr>
              <w:pStyle w:val="Tabletext"/>
              <w:spacing w:before="60" w:after="60"/>
              <w:jc w:val="left"/>
              <w:rPr>
                <w:lang w:val="fr-CH"/>
              </w:rPr>
            </w:pPr>
            <w:r w:rsidRPr="00EF0707">
              <w:rPr>
                <w:lang w:val="fr-CH"/>
              </w:rPr>
              <w:t>385, Annex 5</w:t>
            </w:r>
            <w:r w:rsidRPr="00EF0707">
              <w:rPr>
                <w:lang w:val="fr-CH"/>
              </w:rPr>
              <w:br/>
              <w:t>385</w:t>
            </w:r>
            <w:r w:rsidRPr="00EF0707">
              <w:rPr>
                <w:lang w:val="fr-CH"/>
              </w:rPr>
              <w:br/>
            </w:r>
            <w:r>
              <w:rPr>
                <w:lang w:val="fr-CH"/>
              </w:rPr>
              <w:br/>
            </w:r>
            <w:r w:rsidRPr="00EF0707">
              <w:rPr>
                <w:lang w:val="fr-CH"/>
              </w:rPr>
              <w:br/>
              <w:t>385, Annex 1</w:t>
            </w:r>
            <w:r w:rsidRPr="00EF0707">
              <w:rPr>
                <w:lang w:val="fr-CH"/>
              </w:rPr>
              <w:br/>
              <w:t>385, Annex 1</w:t>
            </w:r>
            <w:r w:rsidRPr="00EF0707">
              <w:rPr>
                <w:lang w:val="fr-CH"/>
              </w:rPr>
              <w:br/>
              <w:t>385, Annex 2</w:t>
            </w:r>
            <w:r w:rsidRPr="00EF0707">
              <w:rPr>
                <w:lang w:val="fr-CH"/>
              </w:rPr>
              <w:br/>
              <w:t>385, Annex 3</w:t>
            </w:r>
            <w:r w:rsidRPr="00EF0707">
              <w:rPr>
                <w:lang w:val="fr-CH"/>
              </w:rPr>
              <w:br/>
              <w:t>385, Annex 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6746" w14:textId="2AE0DF76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3.5</w:t>
            </w:r>
            <w:r w:rsidRPr="00937AEE">
              <w:br/>
              <w:t>7; 14; 28</w:t>
            </w:r>
            <w:r w:rsidRPr="00937AEE">
              <w:br/>
            </w:r>
            <w:r>
              <w:br/>
            </w:r>
            <w:r w:rsidRPr="00937AEE">
              <w:br/>
              <w:t>1.75</w:t>
            </w:r>
            <w:r>
              <w:t>;</w:t>
            </w:r>
            <w:r w:rsidRPr="00937AEE">
              <w:t xml:space="preserve"> 3.5; 7</w:t>
            </w:r>
            <w:r>
              <w:t>;</w:t>
            </w:r>
            <w:r w:rsidRPr="00937AEE">
              <w:t xml:space="preserve"> 14</w:t>
            </w:r>
            <w:r>
              <w:t>;</w:t>
            </w:r>
            <w:r w:rsidRPr="00937AEE">
              <w:t xml:space="preserve"> 28</w:t>
            </w:r>
            <w:r w:rsidRPr="00937AEE">
              <w:br/>
              <w:t>1.75</w:t>
            </w:r>
            <w:r>
              <w:t>;</w:t>
            </w:r>
            <w:r w:rsidRPr="00937AEE">
              <w:t xml:space="preserve"> 3.5; 7</w:t>
            </w:r>
            <w:r>
              <w:t>;</w:t>
            </w:r>
            <w:r w:rsidRPr="00937AEE">
              <w:t xml:space="preserve"> 14</w:t>
            </w:r>
            <w:r>
              <w:t>;</w:t>
            </w:r>
            <w:r w:rsidRPr="00937AEE">
              <w:t xml:space="preserve"> 28</w:t>
            </w:r>
            <w:r w:rsidRPr="00937AEE">
              <w:br/>
              <w:t>5</w:t>
            </w:r>
            <w:r>
              <w:t>;</w:t>
            </w:r>
            <w:r w:rsidRPr="00937AEE">
              <w:t xml:space="preserve"> 10</w:t>
            </w:r>
            <w:r>
              <w:t>;</w:t>
            </w:r>
            <w:r w:rsidRPr="00937AEE">
              <w:t xml:space="preserve"> 20</w:t>
            </w:r>
            <w:r w:rsidRPr="00937AEE">
              <w:br/>
              <w:t>28</w:t>
            </w:r>
            <w:r w:rsidRPr="00937AEE">
              <w:br/>
              <w:t xml:space="preserve">28 </w:t>
            </w:r>
          </w:p>
        </w:tc>
      </w:tr>
    </w:tbl>
    <w:p w14:paraId="4038A4DD" w14:textId="77777777" w:rsidR="00EF0707" w:rsidRDefault="00EF0707" w:rsidP="00EF0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581992DE" w14:textId="77777777" w:rsidR="00EF0707" w:rsidRPr="00937AEE" w:rsidRDefault="00EF0707" w:rsidP="00EF0707">
      <w:pPr>
        <w:pStyle w:val="TableNo"/>
        <w:spacing w:before="240"/>
        <w:rPr>
          <w:lang w:eastAsia="ja-JP"/>
        </w:rPr>
      </w:pPr>
      <w:r w:rsidRPr="00937AEE">
        <w:lastRenderedPageBreak/>
        <w:t>TABLE 1 (</w:t>
      </w:r>
      <w:r w:rsidRPr="00937AEE">
        <w:rPr>
          <w:i/>
          <w:iCs/>
        </w:rPr>
        <w:t>end</w:t>
      </w:r>
      <w:r w:rsidRPr="00937AEE">
        <w:t>)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7"/>
        <w:gridCol w:w="3033"/>
        <w:gridCol w:w="2809"/>
        <w:gridCol w:w="2810"/>
      </w:tblGrid>
      <w:tr w:rsidR="00EF0707" w:rsidRPr="00937AEE" w14:paraId="019DB437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2DA8" w14:textId="77777777" w:rsidR="00EF0707" w:rsidRPr="00937AEE" w:rsidRDefault="00EF0707" w:rsidP="00E86D4A">
            <w:pPr>
              <w:pStyle w:val="Tablehead"/>
            </w:pPr>
            <w:r w:rsidRPr="00937AEE">
              <w:t>Band</w:t>
            </w:r>
            <w:r w:rsidRPr="00937AEE">
              <w:br/>
              <w:t>(GHz)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6C28" w14:textId="77777777" w:rsidR="00EF0707" w:rsidRPr="00937AEE" w:rsidRDefault="00EF0707" w:rsidP="00E86D4A">
            <w:pPr>
              <w:pStyle w:val="Tablehead"/>
            </w:pPr>
            <w:r w:rsidRPr="00937AEE">
              <w:t>Frequency range</w:t>
            </w:r>
            <w:r w:rsidRPr="00937AEE">
              <w:br/>
              <w:t>(GHz)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2A7A" w14:textId="77777777" w:rsidR="00EF0707" w:rsidRPr="00937AEE" w:rsidRDefault="00EF0707" w:rsidP="00E86D4A">
            <w:pPr>
              <w:pStyle w:val="Tablehead"/>
            </w:pPr>
            <w:r w:rsidRPr="00937AEE">
              <w:t>Recommendations ITU-R</w:t>
            </w:r>
            <w:r w:rsidRPr="00937AEE">
              <w:br/>
              <w:t>F Series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4C08" w14:textId="77777777" w:rsidR="00EF0707" w:rsidRPr="00937AEE" w:rsidRDefault="00EF0707" w:rsidP="00E86D4A">
            <w:pPr>
              <w:pStyle w:val="Tablehead"/>
            </w:pPr>
            <w:r w:rsidRPr="00937AEE">
              <w:t>Channel separation</w:t>
            </w:r>
            <w:r w:rsidRPr="00937AEE">
              <w:br/>
              <w:t>(MHz)</w:t>
            </w:r>
          </w:p>
        </w:tc>
      </w:tr>
      <w:tr w:rsidR="00EF0707" w:rsidRPr="00937AEE" w14:paraId="1637A1B2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546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71D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7.725-8.275</w:t>
            </w:r>
            <w:r w:rsidRPr="00937AEE">
              <w:br/>
            </w:r>
            <w:r>
              <w:rPr>
                <w:rFonts w:hint="eastAsia"/>
                <w:lang w:eastAsia="ja-JP"/>
              </w:rPr>
              <w:t>7.725-8.275</w:t>
            </w:r>
          </w:p>
          <w:p w14:paraId="0C1FB9DC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ko-KR"/>
              </w:rPr>
            </w:pPr>
            <w:r w:rsidRPr="00937AEE">
              <w:t>8.275-8.5</w:t>
            </w:r>
            <w:r w:rsidRPr="00937AEE">
              <w:br/>
              <w:t>7.9-8.4</w:t>
            </w:r>
            <w:r w:rsidRPr="00937AEE">
              <w:rPr>
                <w:lang w:eastAsia="ko-KR"/>
              </w:rPr>
              <w:br/>
              <w:t>7.725-8.275</w:t>
            </w:r>
            <w:r w:rsidRPr="00937AEE">
              <w:rPr>
                <w:lang w:eastAsia="ko-KR"/>
              </w:rPr>
              <w:br/>
              <w:t>8.025-8.5</w:t>
            </w:r>
            <w:r w:rsidRPr="00937AEE">
              <w:rPr>
                <w:lang w:eastAsia="ko-KR"/>
              </w:rPr>
              <w:br/>
              <w:t>7.725-8.275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F3D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val="fr-CH" w:eastAsia="ko-KR"/>
              </w:rPr>
            </w:pPr>
            <w:r w:rsidRPr="00E4662C">
              <w:rPr>
                <w:lang w:val="fr-CH"/>
              </w:rPr>
              <w:t>386, Annex 1</w:t>
            </w:r>
            <w:r w:rsidRPr="00E4662C">
              <w:rPr>
                <w:lang w:val="fr-CH"/>
              </w:rPr>
              <w:br/>
              <w:t xml:space="preserve">386, Annex </w:t>
            </w:r>
            <w:r w:rsidRPr="00E4662C">
              <w:rPr>
                <w:lang w:val="fr-CH" w:eastAsia="ko-KR"/>
              </w:rPr>
              <w:t>2</w:t>
            </w:r>
            <w:r w:rsidRPr="00E4662C">
              <w:rPr>
                <w:lang w:val="fr-CH" w:eastAsia="ja-JP"/>
              </w:rPr>
              <w:br/>
            </w:r>
            <w:r w:rsidRPr="00E4662C">
              <w:rPr>
                <w:lang w:val="fr-CH"/>
              </w:rPr>
              <w:t xml:space="preserve">386, Annex </w:t>
            </w:r>
            <w:r w:rsidRPr="00E4662C">
              <w:rPr>
                <w:lang w:val="fr-CH" w:eastAsia="ko-KR"/>
              </w:rPr>
              <w:t>2</w:t>
            </w:r>
            <w:r w:rsidRPr="00E4662C">
              <w:rPr>
                <w:lang w:val="fr-CH"/>
              </w:rPr>
              <w:br/>
              <w:t xml:space="preserve">386, Annex </w:t>
            </w:r>
            <w:r w:rsidRPr="00E4662C">
              <w:rPr>
                <w:lang w:val="fr-CH" w:eastAsia="ko-KR"/>
              </w:rPr>
              <w:t>3</w:t>
            </w:r>
            <w:r w:rsidRPr="00E4662C">
              <w:rPr>
                <w:lang w:val="fr-CH" w:eastAsia="ko-KR"/>
              </w:rPr>
              <w:br/>
              <w:t>386, Annex 4</w:t>
            </w:r>
            <w:r w:rsidRPr="00E4662C">
              <w:rPr>
                <w:lang w:val="fr-CH" w:eastAsia="ko-KR"/>
              </w:rPr>
              <w:br/>
              <w:t>386, Annex 5</w:t>
            </w:r>
            <w:r w:rsidRPr="00E4662C">
              <w:rPr>
                <w:lang w:val="fr-CH" w:eastAsia="ko-KR"/>
              </w:rPr>
              <w:br/>
              <w:t>386, Annex 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ECBB" w14:textId="77777777" w:rsid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eastAsia="ko-KR"/>
              </w:rPr>
            </w:pPr>
            <w:r w:rsidRPr="00E4662C">
              <w:rPr>
                <w:lang w:eastAsia="ko-KR"/>
              </w:rPr>
              <w:t>30; 20; 10; 5; 2.5; 1.25</w:t>
            </w:r>
            <w:r w:rsidRPr="00E4662C">
              <w:rPr>
                <w:lang w:eastAsia="ko-KR"/>
              </w:rPr>
              <w:br/>
            </w:r>
            <w:r w:rsidRPr="00E4662C">
              <w:rPr>
                <w:rFonts w:hint="eastAsia"/>
                <w:lang w:eastAsia="ja-JP"/>
              </w:rPr>
              <w:t>28; 14; 7</w:t>
            </w:r>
            <w:r w:rsidRPr="00E4662C">
              <w:rPr>
                <w:rFonts w:hint="eastAsia"/>
                <w:lang w:eastAsia="ja-JP"/>
              </w:rPr>
              <w:br/>
              <w:t xml:space="preserve">28; </w:t>
            </w:r>
            <w:r>
              <w:t>14; 7</w:t>
            </w:r>
            <w:r w:rsidRPr="00E4662C">
              <w:br/>
            </w:r>
            <w:r>
              <w:t>28</w:t>
            </w:r>
            <w:r>
              <w:rPr>
                <w:lang w:eastAsia="ko-KR"/>
              </w:rPr>
              <w:t>; 14; 7</w:t>
            </w:r>
            <w:r w:rsidRPr="00E4662C">
              <w:rPr>
                <w:lang w:eastAsia="ko-KR"/>
              </w:rPr>
              <w:br/>
              <w:t>40; 20; 10; 5</w:t>
            </w:r>
            <w:r w:rsidRPr="00E4662C">
              <w:rPr>
                <w:lang w:eastAsia="ko-KR"/>
              </w:rPr>
              <w:br/>
              <w:t>28; 14; 7</w:t>
            </w:r>
            <w:r w:rsidRPr="00E4662C">
              <w:rPr>
                <w:lang w:eastAsia="ko-KR"/>
              </w:rPr>
              <w:br/>
            </w:r>
            <w:r>
              <w:rPr>
                <w:lang w:eastAsia="ko-KR"/>
              </w:rPr>
              <w:t>29.65</w:t>
            </w:r>
          </w:p>
        </w:tc>
      </w:tr>
      <w:tr w:rsidR="00EF0707" w:rsidRPr="00AA0FC9" w14:paraId="436218CA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E262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6B2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10.0-10.68</w:t>
            </w:r>
            <w:r w:rsidRPr="00937AEE">
              <w:br/>
              <w:t>10.0-10.68</w:t>
            </w:r>
            <w:r w:rsidRPr="00937AEE">
              <w:br/>
              <w:t>10.15-10.65</w:t>
            </w:r>
            <w:r w:rsidRPr="00937AEE">
              <w:br/>
              <w:t>10.15-10.65</w:t>
            </w:r>
            <w:r w:rsidRPr="00937AEE">
              <w:br/>
              <w:t>10.15-10.65</w:t>
            </w:r>
            <w:r w:rsidRPr="00937AEE">
              <w:br/>
              <w:t>10.5-10.68</w:t>
            </w:r>
            <w:r w:rsidRPr="00937AEE">
              <w:br/>
              <w:t>10.55-10.68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67C" w14:textId="77777777" w:rsidR="00EF0707" w:rsidRPr="001E729D" w:rsidRDefault="00EF0707" w:rsidP="00E86D4A">
            <w:pPr>
              <w:pStyle w:val="Tabletext"/>
              <w:spacing w:before="60" w:after="0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747</w:t>
            </w:r>
            <w:r w:rsidRPr="001E729D">
              <w:rPr>
                <w:lang w:val="fr-CH"/>
              </w:rPr>
              <w:br/>
              <w:t xml:space="preserve">747, Annex 4 </w:t>
            </w:r>
            <w:r w:rsidRPr="001E729D">
              <w:rPr>
                <w:lang w:val="fr-CH"/>
              </w:rPr>
              <w:br/>
              <w:t xml:space="preserve">747, Annex 3 </w:t>
            </w:r>
            <w:r w:rsidRPr="001E729D">
              <w:rPr>
                <w:lang w:val="fr-CH"/>
              </w:rPr>
              <w:br/>
              <w:t>1568, Annex 1</w:t>
            </w:r>
            <w:r w:rsidRPr="001E729D">
              <w:rPr>
                <w:lang w:val="fr-CH"/>
              </w:rPr>
              <w:br/>
              <w:t>1568, Annex 2</w:t>
            </w:r>
            <w:r w:rsidRPr="001E729D">
              <w:rPr>
                <w:lang w:val="fr-CH"/>
              </w:rPr>
              <w:br/>
              <w:t>747, Annex 1</w:t>
            </w:r>
            <w:r w:rsidRPr="001E729D">
              <w:rPr>
                <w:lang w:val="fr-CH"/>
              </w:rPr>
              <w:br/>
              <w:t>747, Annex 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9B93" w14:textId="77777777" w:rsidR="00EF0707" w:rsidRPr="00403910" w:rsidRDefault="00EF0707" w:rsidP="00E86D4A">
            <w:pPr>
              <w:pStyle w:val="Tabletext"/>
              <w:spacing w:before="60" w:after="0"/>
              <w:jc w:val="left"/>
              <w:rPr>
                <w:b/>
                <w:lang w:val="en-US"/>
              </w:rPr>
            </w:pPr>
            <w:r w:rsidRPr="00403910">
              <w:rPr>
                <w:lang w:val="en-US"/>
              </w:rPr>
              <w:t>1.25 and 3.5 patterns</w:t>
            </w:r>
            <w:r w:rsidRPr="00403910">
              <w:rPr>
                <w:lang w:val="en-US"/>
              </w:rPr>
              <w:br/>
              <w:t>3.5; 7; 14; 28 (patterns)</w:t>
            </w:r>
            <w:r w:rsidRPr="00403910">
              <w:rPr>
                <w:lang w:val="en-US"/>
              </w:rPr>
              <w:br/>
              <w:t>3.5; 7; 14; 28 (patterns)</w:t>
            </w:r>
            <w:r w:rsidRPr="00403910">
              <w:rPr>
                <w:lang w:val="en-US"/>
              </w:rPr>
              <w:br/>
              <w:t>28</w:t>
            </w:r>
            <w:r w:rsidRPr="00403910">
              <w:rPr>
                <w:vertAlign w:val="superscript"/>
                <w:lang w:val="en-US"/>
              </w:rPr>
              <w:t>(1)</w:t>
            </w:r>
            <w:r w:rsidRPr="00403910">
              <w:rPr>
                <w:lang w:val="en-US"/>
              </w:rPr>
              <w:br/>
              <w:t>30</w:t>
            </w:r>
            <w:r w:rsidRPr="00403910">
              <w:rPr>
                <w:vertAlign w:val="superscript"/>
                <w:lang w:val="en-US"/>
              </w:rPr>
              <w:t>(1)</w:t>
            </w:r>
            <w:r w:rsidRPr="00403910">
              <w:rPr>
                <w:lang w:val="en-US"/>
              </w:rPr>
              <w:br/>
              <w:t>7; 3.5 (patterns)</w:t>
            </w:r>
            <w:r w:rsidRPr="00403910">
              <w:rPr>
                <w:lang w:val="en-US"/>
              </w:rPr>
              <w:br/>
              <w:t>5; 2.5; 1.25 (patterns)</w:t>
            </w:r>
          </w:p>
        </w:tc>
      </w:tr>
      <w:tr w:rsidR="00EF0707" w:rsidRPr="00937AEE" w14:paraId="5DCC58D6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D4AD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BBC7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10.7-11.7</w:t>
            </w:r>
            <w:r w:rsidRPr="00937AEE">
              <w:br/>
              <w:t>10.7-11.7</w:t>
            </w:r>
            <w:r w:rsidRPr="00937AEE">
              <w:br/>
              <w:t>10.7-11.7</w:t>
            </w:r>
            <w:r w:rsidRPr="00937AEE">
              <w:br/>
              <w:t>10.7-11.7</w:t>
            </w:r>
            <w:r w:rsidRPr="00937AEE">
              <w:rPr>
                <w:lang w:eastAsia="ja-JP"/>
              </w:rPr>
              <w:br/>
            </w:r>
            <w:r w:rsidRPr="00937AEE">
              <w:t>10.7-11.7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8D57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387</w:t>
            </w:r>
            <w:r w:rsidRPr="00937AEE">
              <w:br/>
              <w:t>387, Annex 2</w:t>
            </w:r>
            <w:r w:rsidRPr="00937AEE">
              <w:br/>
              <w:t>387, Annex 1</w:t>
            </w:r>
            <w:r w:rsidRPr="00937AEE">
              <w:br/>
              <w:t>387, Annex 3</w:t>
            </w:r>
            <w:r w:rsidRPr="00937AEE">
              <w:rPr>
                <w:lang w:eastAsia="ja-JP"/>
              </w:rPr>
              <w:br/>
            </w:r>
            <w:r w:rsidRPr="00937AEE">
              <w:t xml:space="preserve">387, Annex </w:t>
            </w:r>
            <w:r w:rsidRPr="00937AEE">
              <w:rPr>
                <w:lang w:eastAsia="ja-JP"/>
              </w:rP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50D3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40</w:t>
            </w:r>
            <w:r w:rsidRPr="00937AEE">
              <w:rPr>
                <w:lang w:eastAsia="ja-JP"/>
              </w:rPr>
              <w:t xml:space="preserve"> </w:t>
            </w:r>
            <w:r w:rsidRPr="00937AEE">
              <w:br/>
              <w:t>60</w:t>
            </w:r>
            <w:r w:rsidRPr="00937AEE">
              <w:br/>
              <w:t>80</w:t>
            </w:r>
            <w:r w:rsidRPr="00937AEE">
              <w:br/>
              <w:t>5; 10; 20</w:t>
            </w:r>
            <w:r w:rsidRPr="00937AEE">
              <w:rPr>
                <w:lang w:eastAsia="ja-JP"/>
              </w:rPr>
              <w:br/>
              <w:t>7</w:t>
            </w:r>
            <w:r w:rsidRPr="00937AEE">
              <w:t>; 1</w:t>
            </w:r>
            <w:r w:rsidRPr="00937AEE">
              <w:rPr>
                <w:lang w:eastAsia="ja-JP"/>
              </w:rPr>
              <w:t>4</w:t>
            </w:r>
            <w:r w:rsidRPr="00937AEE">
              <w:t>; 2</w:t>
            </w:r>
            <w:r w:rsidRPr="00937AEE">
              <w:rPr>
                <w:lang w:eastAsia="ja-JP"/>
              </w:rPr>
              <w:t>8</w:t>
            </w:r>
            <w:r>
              <w:rPr>
                <w:lang w:eastAsia="ja-JP"/>
              </w:rPr>
              <w:t>; 56; 112</w:t>
            </w:r>
          </w:p>
        </w:tc>
      </w:tr>
      <w:tr w:rsidR="00EF0707" w:rsidRPr="00937AEE" w14:paraId="4624902E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EDB4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B6CE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11.7-12.5</w:t>
            </w:r>
            <w:r w:rsidRPr="00937AEE">
              <w:br/>
              <w:t>12.2-12.7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E151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746, Annex 2, § 3</w:t>
            </w:r>
            <w:r w:rsidRPr="00937AEE">
              <w:br/>
              <w:t>746, Annex 2, § 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AA29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19.18</w:t>
            </w:r>
            <w:r w:rsidRPr="00937AEE">
              <w:br/>
              <w:t>20 (pattern)</w:t>
            </w:r>
          </w:p>
        </w:tc>
      </w:tr>
      <w:tr w:rsidR="00EF0707" w:rsidRPr="00937AEE" w14:paraId="43DB17AE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11C7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A355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12.75-13.25</w:t>
            </w:r>
            <w:r w:rsidRPr="00937AEE">
              <w:br/>
              <w:t>12.7-13.25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DBE1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497</w:t>
            </w:r>
            <w:r w:rsidRPr="00937AEE">
              <w:br/>
              <w:t>746, Annex 2, § 1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512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28; 14; 7; 3.5</w:t>
            </w:r>
            <w:r w:rsidRPr="00937AEE">
              <w:br/>
              <w:t>25; 12.5</w:t>
            </w:r>
          </w:p>
        </w:tc>
      </w:tr>
      <w:tr w:rsidR="00EF0707" w:rsidRPr="00937AEE" w14:paraId="2B940E94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36AB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0A65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14.25-14.5</w:t>
            </w:r>
            <w:r w:rsidRPr="00937AEE">
              <w:br/>
              <w:t>14.25-14.5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C173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746, Annex 3</w:t>
            </w:r>
            <w:r w:rsidRPr="00937AEE">
              <w:br/>
              <w:t>746, Annex 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1CE3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28; 14; 7; 3.5</w:t>
            </w:r>
            <w:r w:rsidRPr="00937AEE">
              <w:br/>
              <w:t>7</w:t>
            </w:r>
            <w:r>
              <w:t>;</w:t>
            </w:r>
            <w:r w:rsidRPr="00937AEE">
              <w:t xml:space="preserve"> 14</w:t>
            </w:r>
            <w:r>
              <w:t>;</w:t>
            </w:r>
            <w:r w:rsidRPr="00937AEE">
              <w:t xml:space="preserve"> 28</w:t>
            </w:r>
          </w:p>
        </w:tc>
      </w:tr>
      <w:tr w:rsidR="00EF0707" w:rsidRPr="00937AEE" w14:paraId="5AC3ACE2" w14:textId="77777777" w:rsidTr="00E86D4A">
        <w:trPr>
          <w:cantSplit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FFCA2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BCDE3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14.4-15.35</w:t>
            </w:r>
            <w:r w:rsidRPr="00937AEE">
              <w:br/>
              <w:t>14.5-15.35</w:t>
            </w:r>
            <w:r w:rsidRPr="00937AEE">
              <w:br/>
              <w:t>14.5-15.35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63AAF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636</w:t>
            </w:r>
            <w:r w:rsidRPr="00937AEE">
              <w:br/>
              <w:t>636, Annex 1</w:t>
            </w:r>
            <w:r w:rsidRPr="00937AEE">
              <w:br/>
              <w:t>636, Annex 2</w:t>
            </w:r>
            <w:r w:rsidRPr="00937AEE">
              <w:br/>
              <w:t>636, Annex 3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60E68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>
              <w:t xml:space="preserve">112; </w:t>
            </w:r>
            <w:r w:rsidRPr="00937AEE">
              <w:t>56</w:t>
            </w:r>
            <w:r>
              <w:t>;</w:t>
            </w:r>
            <w:r w:rsidRPr="00937AEE">
              <w:t xml:space="preserve"> 28; 14; 7; 3.5</w:t>
            </w:r>
            <w:r w:rsidRPr="00937AEE">
              <w:br/>
              <w:t>2.5 (pattern)</w:t>
            </w:r>
            <w:r w:rsidRPr="00937AEE">
              <w:br/>
              <w:t>2.5</w:t>
            </w:r>
            <w:r w:rsidRPr="00937AEE">
              <w:br/>
              <w:t>5</w:t>
            </w:r>
            <w:r>
              <w:t>;</w:t>
            </w:r>
            <w:r w:rsidRPr="00937AEE">
              <w:t xml:space="preserve"> 10</w:t>
            </w:r>
            <w:r>
              <w:t>;</w:t>
            </w:r>
            <w:r w:rsidRPr="00937AEE">
              <w:t xml:space="preserve"> 20</w:t>
            </w:r>
            <w:r>
              <w:t>;</w:t>
            </w:r>
            <w:r w:rsidRPr="00937AEE">
              <w:t xml:space="preserve"> 30</w:t>
            </w:r>
            <w:r>
              <w:t>;</w:t>
            </w:r>
            <w:r w:rsidRPr="00937AEE">
              <w:t xml:space="preserve"> 40</w:t>
            </w:r>
            <w:r>
              <w:t>;</w:t>
            </w:r>
            <w:r w:rsidRPr="00937AEE">
              <w:t xml:space="preserve"> 50</w:t>
            </w:r>
          </w:p>
        </w:tc>
      </w:tr>
      <w:tr w:rsidR="00EF0707" w:rsidRPr="00937AEE" w14:paraId="649C8423" w14:textId="77777777" w:rsidTr="00E86D4A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1FCC32BE" w14:textId="77777777" w:rsidR="00EF0707" w:rsidRPr="00403910" w:rsidRDefault="00EF0707" w:rsidP="00E86D4A">
            <w:pPr>
              <w:pStyle w:val="Tabletext"/>
              <w:rPr>
                <w:lang w:val="en-US"/>
              </w:rPr>
            </w:pPr>
            <w:r w:rsidRPr="00403910">
              <w:rPr>
                <w:vertAlign w:val="superscript"/>
                <w:lang w:val="en-US"/>
              </w:rPr>
              <w:t>(1)</w:t>
            </w:r>
            <w:r w:rsidRPr="00403910">
              <w:rPr>
                <w:lang w:val="en-US"/>
              </w:rPr>
              <w:tab/>
              <w:t>Frequency block bandwidth.</w:t>
            </w:r>
          </w:p>
          <w:p w14:paraId="77C3784A" w14:textId="77777777" w:rsidR="00EF0707" w:rsidRPr="00403910" w:rsidRDefault="00EF0707" w:rsidP="00E86D4A">
            <w:pPr>
              <w:pStyle w:val="Tabletext"/>
              <w:rPr>
                <w:lang w:val="en-US"/>
              </w:rPr>
            </w:pPr>
            <w:r w:rsidRPr="00403910">
              <w:rPr>
                <w:vertAlign w:val="superscript"/>
                <w:lang w:val="en-US"/>
              </w:rPr>
              <w:t>(2)</w:t>
            </w:r>
            <w:r w:rsidRPr="00403910">
              <w:rPr>
                <w:vertAlign w:val="superscript"/>
                <w:lang w:val="en-US"/>
              </w:rPr>
              <w:tab/>
            </w:r>
            <w:r w:rsidRPr="00403910">
              <w:rPr>
                <w:lang w:val="en-US"/>
              </w:rPr>
              <w:t>Basic frequency slot for aggregating wider frequency block bandwidth.</w:t>
            </w:r>
          </w:p>
          <w:p w14:paraId="20EAA3D9" w14:textId="77777777" w:rsidR="00EF0707" w:rsidRPr="00937AEE" w:rsidRDefault="00EF0707" w:rsidP="00E86D4A">
            <w:pPr>
              <w:pStyle w:val="Tabletext"/>
            </w:pPr>
            <w:r w:rsidRPr="00937AEE">
              <w:rPr>
                <w:vertAlign w:val="superscript"/>
              </w:rPr>
              <w:t>(3)</w:t>
            </w:r>
            <w:r w:rsidRPr="00937AEE">
              <w:tab/>
              <w:t>Alternative bands in parentheses.</w:t>
            </w:r>
          </w:p>
        </w:tc>
      </w:tr>
    </w:tbl>
    <w:p w14:paraId="6386176B" w14:textId="77777777" w:rsidR="00EF0707" w:rsidRDefault="00EF0707" w:rsidP="00EF0707">
      <w:pPr>
        <w:pStyle w:val="Tablefin"/>
        <w:rPr>
          <w:lang w:eastAsia="ja-JP"/>
        </w:rPr>
      </w:pPr>
    </w:p>
    <w:p w14:paraId="2A3D4282" w14:textId="77777777" w:rsidR="00EF0707" w:rsidRPr="00937AEE" w:rsidRDefault="00EF0707" w:rsidP="00EF0707">
      <w:pPr>
        <w:pStyle w:val="TableNo"/>
      </w:pPr>
      <w:r w:rsidRPr="00937AEE">
        <w:lastRenderedPageBreak/>
        <w:t>TABLE 2</w:t>
      </w:r>
    </w:p>
    <w:p w14:paraId="0B2D3884" w14:textId="77777777" w:rsidR="00EF0707" w:rsidRPr="00937AEE" w:rsidRDefault="00EF0707" w:rsidP="00EF0707">
      <w:pPr>
        <w:pStyle w:val="Tabletitle"/>
      </w:pPr>
      <w:r w:rsidRPr="00937AEE">
        <w:t>Radio-frequency channel arrangements for fixed service</w:t>
      </w:r>
      <w:r w:rsidRPr="00937AEE">
        <w:br/>
        <w:t>systems in frequency bands above about 17 GHz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5"/>
        <w:gridCol w:w="2764"/>
        <w:gridCol w:w="2764"/>
        <w:gridCol w:w="3006"/>
      </w:tblGrid>
      <w:tr w:rsidR="00EF0707" w:rsidRPr="00937AEE" w14:paraId="6AAFF8E7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D7C6" w14:textId="77777777" w:rsidR="00EF0707" w:rsidRPr="00937AEE" w:rsidRDefault="00EF0707" w:rsidP="00E86D4A">
            <w:pPr>
              <w:pStyle w:val="Tablehead"/>
            </w:pPr>
            <w:r w:rsidRPr="00937AEE">
              <w:t>Band</w:t>
            </w:r>
            <w:r w:rsidRPr="00937AEE">
              <w:br/>
              <w:t>(GHz)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AD22" w14:textId="77777777" w:rsidR="00EF0707" w:rsidRPr="00937AEE" w:rsidRDefault="00EF0707" w:rsidP="00E86D4A">
            <w:pPr>
              <w:pStyle w:val="Tablehead"/>
            </w:pPr>
            <w:r w:rsidRPr="00937AEE">
              <w:t>Frequency range</w:t>
            </w:r>
            <w:r w:rsidRPr="00937AEE">
              <w:br/>
              <w:t>(GHz)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C1E7" w14:textId="77777777" w:rsidR="00EF0707" w:rsidRPr="00937AEE" w:rsidRDefault="00EF0707" w:rsidP="00E86D4A">
            <w:pPr>
              <w:pStyle w:val="Tablehead"/>
            </w:pPr>
            <w:r w:rsidRPr="00937AEE">
              <w:t>Recommendations ITU-R</w:t>
            </w:r>
            <w:r w:rsidRPr="00937AEE">
              <w:br/>
              <w:t>F Series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7883" w14:textId="77777777" w:rsidR="00EF0707" w:rsidRPr="00937AEE" w:rsidRDefault="00EF0707" w:rsidP="00E86D4A">
            <w:pPr>
              <w:pStyle w:val="Tablehead"/>
            </w:pPr>
            <w:r w:rsidRPr="00937AEE">
              <w:t>Channel separation</w:t>
            </w:r>
            <w:r w:rsidRPr="00937AEE">
              <w:br/>
              <w:t>(MHz)</w:t>
            </w:r>
          </w:p>
        </w:tc>
      </w:tr>
      <w:tr w:rsidR="00EF0707" w:rsidRPr="00937AEE" w14:paraId="64449ED9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A269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18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96F2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17.7-19.7</w:t>
            </w:r>
            <w:r w:rsidRPr="00937AEE">
              <w:br/>
              <w:t>18.58-19.16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A50C" w14:textId="77777777" w:rsidR="00EF0707" w:rsidRPr="001E729D" w:rsidRDefault="00EF0707" w:rsidP="00E86D4A">
            <w:pPr>
              <w:pStyle w:val="Tabletext"/>
              <w:spacing w:before="60" w:after="60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595</w:t>
            </w:r>
            <w:r w:rsidRPr="001E729D">
              <w:rPr>
                <w:lang w:val="fr-CH"/>
              </w:rPr>
              <w:br/>
              <w:t>595, Annex 1</w:t>
            </w:r>
            <w:r w:rsidRPr="001E729D">
              <w:rPr>
                <w:lang w:val="fr-CH"/>
              </w:rPr>
              <w:br/>
              <w:t>595, Annex 2</w:t>
            </w:r>
            <w:r w:rsidRPr="001E729D">
              <w:rPr>
                <w:lang w:val="fr-CH"/>
              </w:rPr>
              <w:br/>
              <w:t>595, Annex 3</w:t>
            </w:r>
            <w:r w:rsidRPr="001E729D">
              <w:rPr>
                <w:lang w:val="fr-CH"/>
              </w:rPr>
              <w:br/>
              <w:t>595, Annex 4</w:t>
            </w:r>
            <w:r w:rsidRPr="001E729D">
              <w:rPr>
                <w:lang w:val="fr-CH"/>
              </w:rPr>
              <w:br/>
              <w:t>595, Annex 5</w:t>
            </w:r>
            <w:r w:rsidRPr="001E729D">
              <w:rPr>
                <w:lang w:val="fr-CH"/>
              </w:rPr>
              <w:br/>
              <w:t>595, Annex 6</w:t>
            </w:r>
            <w:r w:rsidRPr="001E729D">
              <w:rPr>
                <w:lang w:val="fr-CH"/>
              </w:rPr>
              <w:br/>
              <w:t>595, Annex 7</w:t>
            </w:r>
            <w:r w:rsidRPr="001E729D">
              <w:rPr>
                <w:lang w:val="fr-CH"/>
              </w:rPr>
              <w:br/>
              <w:t>595, Annex 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7CBF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220; 110; 55; 27.5</w:t>
            </w:r>
            <w:r w:rsidRPr="00937AEE">
              <w:br/>
              <w:t>60 (block)</w:t>
            </w:r>
            <w:r w:rsidRPr="00937AEE">
              <w:br/>
              <w:t>50; 40; 30; 20; 10; 5; 2.5</w:t>
            </w:r>
            <w:r w:rsidRPr="00937AEE">
              <w:br/>
              <w:t>7; 3.5</w:t>
            </w:r>
            <w:r w:rsidRPr="00937AEE">
              <w:br/>
              <w:t>27.5; 13.75; 7.5;</w:t>
            </w:r>
            <w:r w:rsidRPr="00937AEE">
              <w:br/>
              <w:t>7; 3.5; 1.75</w:t>
            </w:r>
            <w:r w:rsidRPr="00937AEE">
              <w:br/>
              <w:t>55; 110</w:t>
            </w:r>
            <w:r w:rsidRPr="00937AEE">
              <w:br/>
              <w:t>55; 27.5; 13.75</w:t>
            </w:r>
            <w:r w:rsidRPr="00937AEE">
              <w:br/>
              <w:t>60</w:t>
            </w:r>
          </w:p>
        </w:tc>
      </w:tr>
      <w:tr w:rsidR="00EF0707" w:rsidRPr="00FA7CA2" w14:paraId="02AB5418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E783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23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7006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21.2-23.6</w:t>
            </w:r>
            <w:r w:rsidRPr="00937AEE">
              <w:br/>
              <w:t>21.2-23.6</w:t>
            </w:r>
            <w:r w:rsidRPr="00937AEE">
              <w:br/>
              <w:t>22.0-23.6</w:t>
            </w:r>
            <w:r>
              <w:br/>
            </w:r>
            <w:r w:rsidRPr="00937AEE">
              <w:t>21.2-23.6</w:t>
            </w:r>
            <w:r w:rsidRPr="00937AEE">
              <w:br/>
              <w:t>21.2-23.6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B14" w14:textId="77777777" w:rsidR="00EF0707" w:rsidRPr="00937AEE" w:rsidRDefault="00EF0707" w:rsidP="00E86D4A">
            <w:pPr>
              <w:pStyle w:val="Tabletext"/>
              <w:jc w:val="left"/>
            </w:pPr>
            <w:r w:rsidRPr="00937AEE">
              <w:t>637</w:t>
            </w:r>
            <w:r w:rsidRPr="00937AEE">
              <w:br/>
              <w:t>637, Annex 1</w:t>
            </w:r>
            <w:r w:rsidRPr="00937AEE">
              <w:br/>
              <w:t>637, Annex 2</w:t>
            </w:r>
            <w:r>
              <w:br/>
            </w:r>
            <w:r w:rsidRPr="00937AEE">
              <w:t>637</w:t>
            </w:r>
            <w:r>
              <w:t xml:space="preserve">, </w:t>
            </w:r>
            <w:r w:rsidRPr="00937AEE">
              <w:t xml:space="preserve">Annex 3 </w:t>
            </w:r>
            <w:r w:rsidRPr="00937AEE">
              <w:br/>
              <w:t xml:space="preserve">637, Annex 4 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2140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3.5; 2.5 (patterns)</w:t>
            </w:r>
            <w:r w:rsidRPr="00937AEE">
              <w:br/>
            </w:r>
            <w:r>
              <w:t>224</w:t>
            </w:r>
            <w:r w:rsidRPr="00937AEE">
              <w:t xml:space="preserve"> to 3.5</w:t>
            </w:r>
            <w:r w:rsidRPr="00937AEE">
              <w:br/>
            </w:r>
            <w:r>
              <w:t>224</w:t>
            </w:r>
            <w:r w:rsidRPr="00937AEE">
              <w:t xml:space="preserve"> to 3.5</w:t>
            </w:r>
            <w:r>
              <w:br/>
            </w:r>
            <w:r w:rsidRPr="00937AEE">
              <w:t>2.5; 5; 7.5; 10; 15; 20; 40; 50</w:t>
            </w:r>
            <w:r w:rsidRPr="00937AEE">
              <w:br/>
              <w:t>112 to 3.5</w:t>
            </w:r>
          </w:p>
        </w:tc>
      </w:tr>
      <w:tr w:rsidR="00EF0707" w:rsidRPr="001C29BE" w14:paraId="7A7B1F99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C6E8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27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6FE1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24.25-25.25</w:t>
            </w:r>
            <w:r w:rsidRPr="00937AEE">
              <w:br/>
              <w:t>24.25-25.25</w:t>
            </w:r>
            <w:r w:rsidRPr="00937AEE">
              <w:br/>
              <w:t>25.25-27.5</w:t>
            </w:r>
            <w:r w:rsidRPr="00937AEE">
              <w:br/>
              <w:t>25.27-26.98</w:t>
            </w:r>
            <w:r w:rsidRPr="00937AEE">
              <w:br/>
              <w:t>24.5-26.5</w:t>
            </w:r>
            <w:r w:rsidRPr="00937AEE">
              <w:br/>
              <w:t>27.5-29.5</w:t>
            </w:r>
            <w:r w:rsidRPr="00937AEE">
              <w:br/>
              <w:t>27.5-29.5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BAB0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748</w:t>
            </w:r>
            <w:r w:rsidRPr="00937AEE">
              <w:br/>
              <w:t>748, Annex 3</w:t>
            </w:r>
            <w:r w:rsidRPr="00937AEE">
              <w:br/>
              <w:t>748</w:t>
            </w:r>
            <w:r w:rsidRPr="00937AEE">
              <w:br/>
              <w:t>748, Annex 3</w:t>
            </w:r>
            <w:r w:rsidRPr="00937AEE">
              <w:br/>
              <w:t>748, Annex 1</w:t>
            </w:r>
            <w:r w:rsidRPr="00937AEE">
              <w:br/>
              <w:t>748</w:t>
            </w:r>
            <w:r w:rsidRPr="00937AEE">
              <w:br/>
              <w:t>748, Annex 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CDBA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3.5; 2.5 (patterns)</w:t>
            </w:r>
            <w:r w:rsidRPr="00937AEE">
              <w:br/>
              <w:t>40</w:t>
            </w:r>
            <w:r w:rsidRPr="00937AEE">
              <w:rPr>
                <w:vertAlign w:val="superscript"/>
              </w:rPr>
              <w:t>(1)</w:t>
            </w:r>
            <w:r w:rsidRPr="00937AEE">
              <w:br/>
              <w:t>3.5; 2.5 (patterns)</w:t>
            </w:r>
            <w:r w:rsidRPr="00937AEE">
              <w:br/>
              <w:t>60</w:t>
            </w:r>
            <w:r w:rsidRPr="00937AEE">
              <w:rPr>
                <w:vertAlign w:val="superscript"/>
              </w:rPr>
              <w:t>(1)</w:t>
            </w:r>
            <w:r w:rsidRPr="00937AEE">
              <w:br/>
              <w:t>112 to 3.5</w:t>
            </w:r>
            <w:r w:rsidRPr="00937AEE">
              <w:br/>
              <w:t>3.5; 2.5 (patterns)</w:t>
            </w:r>
            <w:r w:rsidRPr="00937AEE">
              <w:br/>
              <w:t>112 to 3.5</w:t>
            </w:r>
          </w:p>
        </w:tc>
      </w:tr>
      <w:tr w:rsidR="00EF0707" w:rsidRPr="00937AEE" w14:paraId="2DDB32A4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3847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31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D3D5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31.0-31.3</w:t>
            </w:r>
            <w:r w:rsidRPr="00937AEE">
              <w:br/>
              <w:t>31.0-31.3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7CA1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746, Annex 5</w:t>
            </w:r>
            <w:r w:rsidRPr="00937AEE">
              <w:br/>
              <w:t>746, Annex 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F5D7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25; 50</w:t>
            </w:r>
            <w:r w:rsidRPr="00937AEE">
              <w:br/>
              <w:t>28; 14; 7; 3.5</w:t>
            </w:r>
          </w:p>
        </w:tc>
      </w:tr>
      <w:tr w:rsidR="00EF0707" w:rsidRPr="00937AEE" w14:paraId="33CC7335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8908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32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CE60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31.8-33.4</w:t>
            </w:r>
            <w:r w:rsidRPr="00937AEE">
              <w:br/>
              <w:t>31.8-33.4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03E1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1520, Annex 1</w:t>
            </w:r>
            <w:r w:rsidRPr="00937AEE">
              <w:br/>
              <w:t>1520, Annex 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A1C2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 w:rsidRPr="00937AEE">
              <w:t>3.5; 7; 14; 28; 56; 112</w:t>
            </w:r>
            <w:r>
              <w:t>; 224</w:t>
            </w:r>
            <w:r w:rsidRPr="00937AEE">
              <w:br/>
              <w:t>56</w:t>
            </w:r>
            <w:r w:rsidRPr="00937AEE">
              <w:rPr>
                <w:vertAlign w:val="superscript"/>
              </w:rPr>
              <w:t>(1)</w:t>
            </w:r>
            <w:r w:rsidRPr="00937AEE">
              <w:rPr>
                <w:vertAlign w:val="superscript"/>
                <w:lang w:eastAsia="ja-JP"/>
              </w:rPr>
              <w:t xml:space="preserve"> </w:t>
            </w:r>
          </w:p>
        </w:tc>
      </w:tr>
      <w:tr w:rsidR="00EF0707" w:rsidRPr="00937AEE" w14:paraId="69B970A4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8907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38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A409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36.0-40.5</w:t>
            </w:r>
            <w:r w:rsidRPr="00937AEE">
              <w:br/>
              <w:t>36.0-37.0</w:t>
            </w:r>
            <w:r w:rsidRPr="00937AEE">
              <w:br/>
              <w:t>37.0-39.5</w:t>
            </w:r>
            <w:r w:rsidRPr="00937AEE">
              <w:br/>
              <w:t>38.6-39.48</w:t>
            </w:r>
            <w:r w:rsidRPr="00937AEE">
              <w:br/>
              <w:t>38.6-40.0</w:t>
            </w:r>
            <w:r w:rsidRPr="00937AEE">
              <w:br/>
              <w:t>39.5-40.5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ECF2" w14:textId="77777777" w:rsidR="00EF0707" w:rsidRPr="001E729D" w:rsidRDefault="00EF0707" w:rsidP="00E86D4A">
            <w:pPr>
              <w:pStyle w:val="Tabletext"/>
              <w:spacing w:before="60" w:after="60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749</w:t>
            </w:r>
            <w:r w:rsidRPr="001E729D">
              <w:rPr>
                <w:lang w:val="fr-CH"/>
              </w:rPr>
              <w:br/>
              <w:t>749, Annex 2</w:t>
            </w:r>
            <w:r w:rsidRPr="001E729D">
              <w:rPr>
                <w:lang w:val="fr-CH"/>
              </w:rPr>
              <w:br/>
              <w:t>749, Annex 1</w:t>
            </w:r>
            <w:r w:rsidRPr="001E729D">
              <w:rPr>
                <w:lang w:val="fr-CH"/>
              </w:rPr>
              <w:br/>
              <w:t>749, Annex 2</w:t>
            </w:r>
            <w:r w:rsidRPr="001E729D">
              <w:rPr>
                <w:lang w:val="fr-CH"/>
              </w:rPr>
              <w:br/>
              <w:t>749, Annex 2</w:t>
            </w:r>
            <w:r w:rsidRPr="001E729D">
              <w:rPr>
                <w:lang w:val="fr-CH"/>
              </w:rPr>
              <w:br/>
              <w:t>749, Annex 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ED88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3.5; 2.5 (patterns)</w:t>
            </w:r>
            <w:r w:rsidRPr="00937AEE">
              <w:br/>
              <w:t>112 to 3.5</w:t>
            </w:r>
            <w:r w:rsidRPr="00937AEE">
              <w:br/>
            </w:r>
            <w:r>
              <w:t xml:space="preserve">224; </w:t>
            </w:r>
            <w:r w:rsidRPr="00937AEE">
              <w:t>112; 56; 28; 14; 7; 3.5</w:t>
            </w:r>
            <w:r w:rsidRPr="00937AEE">
              <w:br/>
              <w:t>60</w:t>
            </w:r>
            <w:r w:rsidRPr="00937AEE">
              <w:rPr>
                <w:vertAlign w:val="superscript"/>
              </w:rPr>
              <w:t>(1)</w:t>
            </w:r>
            <w:r w:rsidRPr="00937AEE">
              <w:br/>
              <w:t>50</w:t>
            </w:r>
            <w:r w:rsidRPr="00937AEE">
              <w:rPr>
                <w:vertAlign w:val="superscript"/>
              </w:rPr>
              <w:t>(1)</w:t>
            </w:r>
            <w:r w:rsidRPr="00937AEE">
              <w:br/>
              <w:t>112 to 3.5</w:t>
            </w:r>
          </w:p>
        </w:tc>
      </w:tr>
      <w:tr w:rsidR="00EF0707" w:rsidRPr="001C29BE" w14:paraId="5645F39B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35B3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42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B9A5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40.5-43.5</w:t>
            </w:r>
            <w:r w:rsidRPr="00937AEE">
              <w:br/>
              <w:t>40.5-43.5</w:t>
            </w:r>
            <w:r w:rsidRPr="00937AEE">
              <w:br/>
              <w:t>40.5-43.5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A976" w14:textId="77777777" w:rsidR="00EF0707" w:rsidRPr="001E729D" w:rsidRDefault="00EF0707" w:rsidP="00E86D4A">
            <w:pPr>
              <w:pStyle w:val="Tabletext"/>
              <w:spacing w:before="60" w:after="60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F.2005, Annex 1</w:t>
            </w:r>
            <w:r w:rsidRPr="001E729D">
              <w:rPr>
                <w:lang w:val="fr-CH"/>
              </w:rPr>
              <w:br/>
              <w:t>F.2005, Annex 2</w:t>
            </w:r>
            <w:r w:rsidRPr="001E729D">
              <w:rPr>
                <w:lang w:val="fr-CH"/>
              </w:rPr>
              <w:br/>
              <w:t>F.2005, Annex 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862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lang w:eastAsia="ja-JP"/>
              </w:rPr>
            </w:pPr>
            <w:r>
              <w:t xml:space="preserve">224; </w:t>
            </w:r>
            <w:r w:rsidRPr="00937AEE">
              <w:t>112; 56; 28; 14; 7</w:t>
            </w:r>
            <w:r w:rsidRPr="00937AEE">
              <w:br/>
              <w:t>Variable size blocks</w:t>
            </w:r>
            <w:r w:rsidRPr="00937AEE">
              <w:br/>
              <w:t>Mixed 112 to 7 and blocks</w:t>
            </w:r>
          </w:p>
        </w:tc>
      </w:tr>
      <w:tr w:rsidR="00EF0707" w:rsidRPr="00937AEE" w14:paraId="03C303F5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72C0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52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09BE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51.4-52.6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7744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1496, Annex 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6336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>56; 28; 14; 7; 3.5</w:t>
            </w:r>
          </w:p>
        </w:tc>
      </w:tr>
      <w:tr w:rsidR="00EF0707" w:rsidRPr="001C29BE" w14:paraId="6474625F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92DC" w14:textId="77777777" w:rsidR="00EF0707" w:rsidRPr="009134CD" w:rsidRDefault="00EF0707" w:rsidP="00E86D4A">
            <w:pPr>
              <w:pStyle w:val="Tabletext"/>
              <w:spacing w:before="60" w:after="60"/>
              <w:jc w:val="center"/>
            </w:pPr>
            <w:r w:rsidRPr="009134CD">
              <w:rPr>
                <w:rFonts w:hint="eastAsia"/>
              </w:rPr>
              <w:t>62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F59" w14:textId="77777777" w:rsidR="00EF0707" w:rsidRPr="009134CD" w:rsidRDefault="00EF0707" w:rsidP="00E86D4A">
            <w:pPr>
              <w:pStyle w:val="Tabletext"/>
              <w:spacing w:before="60" w:after="60"/>
              <w:jc w:val="left"/>
            </w:pPr>
            <w:r w:rsidRPr="009134CD">
              <w:t>55.78-57.0</w:t>
            </w:r>
            <w:r w:rsidRPr="009134CD">
              <w:br/>
              <w:t>57.0-</w:t>
            </w:r>
            <w:r w:rsidRPr="009134CD">
              <w:rPr>
                <w:rFonts w:hint="eastAsia"/>
              </w:rPr>
              <w:t>64</w:t>
            </w:r>
            <w:r w:rsidRPr="009134CD">
              <w:t>.0</w:t>
            </w:r>
            <w:r>
              <w:br/>
            </w:r>
            <w:r w:rsidRPr="009134CD">
              <w:rPr>
                <w:rFonts w:hint="eastAsia"/>
              </w:rPr>
              <w:t>64.0-66.0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FC3B" w14:textId="77777777" w:rsidR="00EF0707" w:rsidRPr="009134CD" w:rsidRDefault="00EF0707" w:rsidP="00E86D4A">
            <w:pPr>
              <w:pStyle w:val="Tabletext"/>
              <w:spacing w:before="60" w:after="60"/>
              <w:jc w:val="left"/>
            </w:pPr>
            <w:r w:rsidRPr="009134CD">
              <w:t>1497, Annex 1</w:t>
            </w:r>
            <w:r w:rsidRPr="009134CD">
              <w:br/>
              <w:t>1497, Annex 2</w:t>
            </w:r>
            <w:r>
              <w:br/>
            </w:r>
            <w:r w:rsidRPr="009134CD">
              <w:rPr>
                <w:rFonts w:hint="eastAsia"/>
              </w:rPr>
              <w:t>1497, Annex 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9DC" w14:textId="77777777" w:rsidR="00EF0707" w:rsidRPr="009134CD" w:rsidRDefault="00EF0707" w:rsidP="00E86D4A">
            <w:pPr>
              <w:pStyle w:val="Tabletext"/>
              <w:spacing w:before="60" w:after="60"/>
              <w:jc w:val="left"/>
            </w:pPr>
            <w:r w:rsidRPr="009134CD">
              <w:t>56; 28; 14; 7; 3.5</w:t>
            </w:r>
            <w:r w:rsidRPr="009134CD">
              <w:br/>
            </w:r>
            <w:r w:rsidRPr="009134CD">
              <w:rPr>
                <w:rFonts w:hint="eastAsia"/>
              </w:rPr>
              <w:t>50</w:t>
            </w:r>
            <w:r>
              <w:t xml:space="preserve"> </w:t>
            </w:r>
            <w:r w:rsidRPr="009134CD">
              <w:sym w:font="Symbol" w:char="F0B4"/>
            </w:r>
            <w:r w:rsidRPr="009134CD">
              <w:t xml:space="preserve"> </w:t>
            </w:r>
            <w:r w:rsidRPr="003A7DC4">
              <w:rPr>
                <w:i/>
                <w:iCs/>
              </w:rPr>
              <w:t>n</w:t>
            </w:r>
            <w:r w:rsidRPr="009134CD">
              <w:rPr>
                <w:rFonts w:hint="eastAsia"/>
              </w:rPr>
              <w:t xml:space="preserve"> </w:t>
            </w:r>
            <w:r w:rsidRPr="009134CD">
              <w:t>(</w:t>
            </w:r>
            <w:r w:rsidRPr="003A7DC4">
              <w:rPr>
                <w:i/>
                <w:iCs/>
              </w:rPr>
              <w:t>n</w:t>
            </w:r>
            <w:r w:rsidRPr="009134CD">
              <w:t xml:space="preserve"> = 1, …</w:t>
            </w:r>
            <w:r w:rsidRPr="009134CD">
              <w:rPr>
                <w:rFonts w:hint="eastAsia"/>
              </w:rPr>
              <w:t>50</w:t>
            </w:r>
            <w:r w:rsidRPr="009134CD">
              <w:t>)</w:t>
            </w:r>
            <w:r>
              <w:br/>
            </w:r>
            <w:r w:rsidRPr="009134CD">
              <w:rPr>
                <w:rFonts w:hint="eastAsia"/>
              </w:rPr>
              <w:t>30</w:t>
            </w:r>
            <w:r>
              <w:t xml:space="preserve"> </w:t>
            </w:r>
            <w:r w:rsidRPr="009134CD">
              <w:sym w:font="Symbol" w:char="F0B4"/>
            </w:r>
            <w:r w:rsidRPr="009134CD">
              <w:t xml:space="preserve"> </w:t>
            </w:r>
            <w:r w:rsidRPr="003A7DC4">
              <w:rPr>
                <w:i/>
                <w:iCs/>
              </w:rPr>
              <w:t>n</w:t>
            </w:r>
            <w:r w:rsidRPr="009134CD">
              <w:rPr>
                <w:rFonts w:hint="eastAsia"/>
              </w:rPr>
              <w:t xml:space="preserve"> </w:t>
            </w:r>
            <w:r w:rsidRPr="009134CD">
              <w:t>(</w:t>
            </w:r>
            <w:r w:rsidRPr="003A7DC4">
              <w:rPr>
                <w:i/>
                <w:iCs/>
              </w:rPr>
              <w:t>n</w:t>
            </w:r>
            <w:r w:rsidRPr="009134CD">
              <w:t xml:space="preserve"> = 1, …, </w:t>
            </w:r>
            <w:r w:rsidRPr="009134CD">
              <w:rPr>
                <w:rFonts w:hint="eastAsia"/>
              </w:rPr>
              <w:t>33 f</w:t>
            </w:r>
            <w:r w:rsidRPr="009134CD">
              <w:t xml:space="preserve">or FDD, </w:t>
            </w:r>
            <w:r>
              <w:br/>
            </w:r>
            <w:r w:rsidRPr="003A7DC4">
              <w:rPr>
                <w:i/>
                <w:iCs/>
              </w:rPr>
              <w:t>n</w:t>
            </w:r>
            <w:r w:rsidRPr="009134CD">
              <w:t xml:space="preserve"> = 1, …, 66 for TDD)</w:t>
            </w:r>
            <w:r>
              <w:br/>
            </w:r>
            <w:r w:rsidRPr="009134CD">
              <w:rPr>
                <w:rFonts w:hint="eastAsia"/>
              </w:rPr>
              <w:t>50</w:t>
            </w:r>
            <w:r>
              <w:t xml:space="preserve"> </w:t>
            </w:r>
            <w:r w:rsidRPr="009134CD">
              <w:sym w:font="Symbol" w:char="F0B4"/>
            </w:r>
            <w:r w:rsidRPr="009134CD">
              <w:t xml:space="preserve"> </w:t>
            </w:r>
            <w:r w:rsidRPr="003A7DC4">
              <w:rPr>
                <w:i/>
                <w:iCs/>
              </w:rPr>
              <w:t>n</w:t>
            </w:r>
            <w:r w:rsidRPr="009134CD">
              <w:rPr>
                <w:rFonts w:hint="eastAsia"/>
              </w:rPr>
              <w:t xml:space="preserve"> </w:t>
            </w:r>
            <w:r w:rsidRPr="009134CD">
              <w:t>(</w:t>
            </w:r>
            <w:r w:rsidRPr="003A7DC4">
              <w:rPr>
                <w:i/>
                <w:iCs/>
              </w:rPr>
              <w:t>n</w:t>
            </w:r>
            <w:r w:rsidRPr="009134CD">
              <w:t xml:space="preserve"> = 1, …, </w:t>
            </w:r>
            <w:r w:rsidRPr="009134CD">
              <w:rPr>
                <w:rFonts w:hint="eastAsia"/>
              </w:rPr>
              <w:t xml:space="preserve">19 </w:t>
            </w:r>
            <w:r w:rsidRPr="009134CD">
              <w:t>for FDD,</w:t>
            </w:r>
            <w:r>
              <w:br/>
            </w:r>
            <w:r w:rsidRPr="003A7DC4">
              <w:rPr>
                <w:i/>
                <w:iCs/>
              </w:rPr>
              <w:t>n</w:t>
            </w:r>
            <w:r w:rsidRPr="009134CD">
              <w:t xml:space="preserve"> = 1, …, 38 for TDD)</w:t>
            </w:r>
          </w:p>
        </w:tc>
      </w:tr>
    </w:tbl>
    <w:p w14:paraId="5FEED477" w14:textId="77777777" w:rsidR="00EF0707" w:rsidRPr="00937AEE" w:rsidRDefault="00EF0707" w:rsidP="00EF0707">
      <w:pPr>
        <w:pStyle w:val="Tablefin"/>
      </w:pPr>
    </w:p>
    <w:p w14:paraId="6859C008" w14:textId="77777777" w:rsidR="00EF0707" w:rsidRPr="00937AEE" w:rsidRDefault="00EF0707" w:rsidP="00EF0707">
      <w:pPr>
        <w:pStyle w:val="TableNo"/>
      </w:pPr>
      <w:r w:rsidRPr="00937AEE">
        <w:lastRenderedPageBreak/>
        <w:t>TABLE 2 (</w:t>
      </w:r>
      <w:r w:rsidRPr="00937AEE">
        <w:rPr>
          <w:i/>
          <w:iCs/>
        </w:rPr>
        <w:t>end</w:t>
      </w:r>
      <w:r w:rsidRPr="00937AEE">
        <w:t>)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5"/>
        <w:gridCol w:w="2764"/>
        <w:gridCol w:w="2764"/>
        <w:gridCol w:w="3006"/>
      </w:tblGrid>
      <w:tr w:rsidR="00EF0707" w:rsidRPr="009134CD" w14:paraId="0D420B5B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D4D6" w14:textId="77777777" w:rsidR="00EF0707" w:rsidRPr="00937AEE" w:rsidRDefault="00EF0707" w:rsidP="00E86D4A">
            <w:pPr>
              <w:pStyle w:val="Tablehead"/>
            </w:pPr>
            <w:r w:rsidRPr="00937AEE">
              <w:t>Band</w:t>
            </w:r>
            <w:r w:rsidRPr="00937AEE">
              <w:br/>
              <w:t>(GHz)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FF17" w14:textId="77777777" w:rsidR="00EF0707" w:rsidRPr="00937AEE" w:rsidRDefault="00EF0707" w:rsidP="00E86D4A">
            <w:pPr>
              <w:pStyle w:val="Tablehead"/>
            </w:pPr>
            <w:r w:rsidRPr="00937AEE">
              <w:t>Frequency range</w:t>
            </w:r>
            <w:r w:rsidRPr="00937AEE">
              <w:br/>
              <w:t>(GHz)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FE08" w14:textId="77777777" w:rsidR="00EF0707" w:rsidRPr="00937AEE" w:rsidRDefault="00EF0707" w:rsidP="00E86D4A">
            <w:pPr>
              <w:pStyle w:val="Tablehead"/>
            </w:pPr>
            <w:r w:rsidRPr="00937AEE">
              <w:t>Recommendations ITU-R</w:t>
            </w:r>
            <w:r w:rsidRPr="00937AEE">
              <w:br/>
              <w:t>F Series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494D" w14:textId="77777777" w:rsidR="00EF0707" w:rsidRPr="00937AEE" w:rsidRDefault="00EF0707" w:rsidP="00E86D4A">
            <w:pPr>
              <w:pStyle w:val="Tablehead"/>
            </w:pPr>
            <w:r w:rsidRPr="00937AEE">
              <w:t>Channel separation</w:t>
            </w:r>
            <w:r w:rsidRPr="00937AEE">
              <w:br/>
              <w:t>(MHz)</w:t>
            </w:r>
          </w:p>
        </w:tc>
      </w:tr>
      <w:tr w:rsidR="00EF0707" w:rsidRPr="00EF0707" w14:paraId="5CD9CBC3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A699E" w14:textId="77777777" w:rsidR="00EF0707" w:rsidRPr="00937AEE" w:rsidRDefault="00EF0707" w:rsidP="00E86D4A">
            <w:pPr>
              <w:pStyle w:val="Tabletext"/>
              <w:spacing w:before="60" w:after="60"/>
              <w:jc w:val="center"/>
              <w:rPr>
                <w:highlight w:val="cyan"/>
              </w:rPr>
            </w:pPr>
            <w:r w:rsidRPr="00937AEE">
              <w:t>70/80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297C8" w14:textId="77777777" w:rsidR="00EF0707" w:rsidRPr="00937AEE" w:rsidRDefault="00EF0707" w:rsidP="00E86D4A">
            <w:pPr>
              <w:pStyle w:val="Tabletext"/>
              <w:spacing w:before="60" w:after="60"/>
              <w:jc w:val="left"/>
              <w:rPr>
                <w:highlight w:val="cyan"/>
              </w:rPr>
            </w:pPr>
            <w:r w:rsidRPr="00937AEE">
              <w:t xml:space="preserve">71-76 /81-86 </w:t>
            </w:r>
            <w:r w:rsidRPr="00937AEE">
              <w:br/>
              <w:t xml:space="preserve">71-76 /81-86 </w:t>
            </w:r>
            <w:r w:rsidRPr="00937AEE">
              <w:br/>
            </w:r>
            <w:r w:rsidRPr="00937AEE">
              <w:br/>
              <w:t xml:space="preserve">71-76 /81-86 </w:t>
            </w:r>
            <w:r w:rsidRPr="00937AEE">
              <w:br/>
            </w:r>
            <w:r w:rsidRPr="00937AEE">
              <w:br/>
              <w:t xml:space="preserve">74-76 /84-86 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5B524" w14:textId="77777777" w:rsidR="00EF0707" w:rsidRPr="001E729D" w:rsidRDefault="00EF0707" w:rsidP="00E86D4A">
            <w:pPr>
              <w:pStyle w:val="Tabletext"/>
              <w:keepLines/>
              <w:tabs>
                <w:tab w:val="left" w:leader="dot" w:pos="7938"/>
                <w:tab w:val="center" w:pos="9526"/>
              </w:tabs>
              <w:spacing w:before="60" w:after="60"/>
              <w:ind w:left="567" w:hanging="567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F.2006</w:t>
            </w:r>
          </w:p>
          <w:p w14:paraId="6972E59D" w14:textId="77777777" w:rsidR="00EF0707" w:rsidRPr="001E729D" w:rsidRDefault="00EF0707" w:rsidP="00E86D4A">
            <w:pPr>
              <w:pStyle w:val="Tabletext"/>
              <w:spacing w:before="60" w:after="60"/>
              <w:jc w:val="left"/>
              <w:rPr>
                <w:lang w:val="fr-CH"/>
              </w:rPr>
            </w:pPr>
            <w:r w:rsidRPr="001E729D">
              <w:rPr>
                <w:lang w:val="fr-CH"/>
              </w:rPr>
              <w:t>F.2006, Annex 1</w:t>
            </w:r>
            <w:r w:rsidRPr="001E729D">
              <w:rPr>
                <w:lang w:val="fr-CH"/>
              </w:rPr>
              <w:br/>
              <w:t>F.2006, Annex 2</w:t>
            </w:r>
            <w:r w:rsidRPr="001E729D">
              <w:rPr>
                <w:lang w:val="fr-CH"/>
              </w:rPr>
              <w:br/>
              <w:t>F.2006, Annex 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FB96F" w14:textId="77777777" w:rsidR="00EF0707" w:rsidRPr="00EF0707" w:rsidRDefault="00EF0707" w:rsidP="00E86D4A">
            <w:pPr>
              <w:pStyle w:val="Tabletext"/>
              <w:spacing w:before="60" w:after="60"/>
              <w:jc w:val="left"/>
              <w:rPr>
                <w:b/>
                <w:lang w:val="fr-CH" w:eastAsia="ja-JP"/>
              </w:rPr>
            </w:pPr>
            <w:r w:rsidRPr="00EF0707">
              <w:rPr>
                <w:lang w:val="fr-CH"/>
              </w:rPr>
              <w:t>125 MHz (pattern)</w:t>
            </w:r>
            <w:r w:rsidRPr="00EF0707" w:rsidDel="00C128D2">
              <w:rPr>
                <w:lang w:val="fr-CH"/>
              </w:rPr>
              <w:t xml:space="preserve"> </w:t>
            </w:r>
            <w:r w:rsidRPr="00EF0707">
              <w:rPr>
                <w:lang w:val="fr-CH"/>
              </w:rPr>
              <w:br/>
            </w:r>
            <w:r w:rsidRPr="00EF0707">
              <w:rPr>
                <w:i/>
                <w:iCs/>
                <w:lang w:val="fr-CH"/>
              </w:rPr>
              <w:t>n</w:t>
            </w:r>
            <w:r w:rsidRPr="00EF0707">
              <w:rPr>
                <w:lang w:val="fr-CH"/>
              </w:rPr>
              <w:t xml:space="preserve"> </w:t>
            </w:r>
            <w:r w:rsidRPr="00937AEE">
              <w:sym w:font="Symbol" w:char="F0B4"/>
            </w:r>
            <w:r w:rsidRPr="00EF0707">
              <w:rPr>
                <w:lang w:val="fr-CH"/>
              </w:rPr>
              <w:t xml:space="preserve"> 250 MHz blocks</w:t>
            </w:r>
            <w:r w:rsidRPr="00EF0707">
              <w:rPr>
                <w:lang w:val="fr-CH"/>
              </w:rPr>
              <w:br/>
              <w:t>(</w:t>
            </w:r>
            <w:r w:rsidRPr="00EF0707">
              <w:rPr>
                <w:i/>
                <w:iCs/>
                <w:lang w:val="fr-CH"/>
              </w:rPr>
              <w:t xml:space="preserve">n </w:t>
            </w:r>
            <w:r w:rsidRPr="00EF0707">
              <w:rPr>
                <w:lang w:val="fr-CH"/>
              </w:rPr>
              <w:t xml:space="preserve">= 1, …, 20) </w:t>
            </w:r>
            <w:r w:rsidRPr="00EF0707">
              <w:rPr>
                <w:lang w:val="fr-CH"/>
              </w:rPr>
              <w:br/>
            </w:r>
            <w:r w:rsidRPr="00EF0707">
              <w:rPr>
                <w:i/>
                <w:iCs/>
                <w:lang w:val="fr-CH"/>
              </w:rPr>
              <w:t>n</w:t>
            </w:r>
            <w:r w:rsidRPr="00EF0707">
              <w:rPr>
                <w:lang w:val="fr-CH"/>
              </w:rPr>
              <w:t xml:space="preserve"> </w:t>
            </w:r>
            <w:r w:rsidRPr="00937AEE">
              <w:sym w:font="Symbol" w:char="F0B4"/>
            </w:r>
            <w:r w:rsidRPr="00EF0707">
              <w:rPr>
                <w:lang w:val="fr-CH"/>
              </w:rPr>
              <w:t xml:space="preserve"> 250 MHz channels </w:t>
            </w:r>
            <w:r w:rsidRPr="00EF0707">
              <w:rPr>
                <w:lang w:val="fr-CH"/>
              </w:rPr>
              <w:br/>
              <w:t>(</w:t>
            </w:r>
            <w:r w:rsidRPr="00EF0707">
              <w:rPr>
                <w:i/>
                <w:iCs/>
                <w:lang w:val="fr-CH"/>
              </w:rPr>
              <w:t xml:space="preserve">n </w:t>
            </w:r>
            <w:r w:rsidRPr="00EF0707">
              <w:rPr>
                <w:lang w:val="fr-CH"/>
              </w:rPr>
              <w:t>= 1, …, 18)</w:t>
            </w:r>
            <w:r w:rsidRPr="00EF0707">
              <w:rPr>
                <w:lang w:val="fr-CH"/>
              </w:rPr>
              <w:br/>
            </w:r>
            <w:r w:rsidRPr="00EF0707">
              <w:rPr>
                <w:i/>
                <w:iCs/>
                <w:lang w:val="fr-CH"/>
              </w:rPr>
              <w:t>n</w:t>
            </w:r>
            <w:r w:rsidRPr="00EF0707">
              <w:rPr>
                <w:lang w:val="fr-CH"/>
              </w:rPr>
              <w:t xml:space="preserve"> </w:t>
            </w:r>
            <w:r w:rsidRPr="00937AEE">
              <w:sym w:font="Symbol" w:char="F0B4"/>
            </w:r>
            <w:r w:rsidRPr="00EF0707">
              <w:rPr>
                <w:lang w:val="fr-CH"/>
              </w:rPr>
              <w:t xml:space="preserve"> 250 MHz channels </w:t>
            </w:r>
            <w:r w:rsidRPr="00EF0707">
              <w:rPr>
                <w:lang w:val="fr-CH"/>
              </w:rPr>
              <w:br/>
              <w:t>(</w:t>
            </w:r>
            <w:r w:rsidRPr="00EF0707">
              <w:rPr>
                <w:i/>
                <w:iCs/>
                <w:lang w:val="fr-CH"/>
              </w:rPr>
              <w:t xml:space="preserve">n </w:t>
            </w:r>
            <w:r w:rsidRPr="00EF0707">
              <w:rPr>
                <w:lang w:val="fr-CH"/>
              </w:rPr>
              <w:t>= 1, …, 7)</w:t>
            </w:r>
          </w:p>
        </w:tc>
      </w:tr>
      <w:tr w:rsidR="00EF0707" w:rsidRPr="00937AEE" w14:paraId="389C476A" w14:textId="77777777" w:rsidTr="00E86D4A">
        <w:trPr>
          <w:cantSplit/>
          <w:jc w:val="center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ADC2C" w14:textId="77777777" w:rsidR="00EF0707" w:rsidRPr="00937AEE" w:rsidRDefault="00EF0707" w:rsidP="00E86D4A">
            <w:pPr>
              <w:pStyle w:val="Tabletext"/>
              <w:spacing w:before="60" w:after="60"/>
              <w:jc w:val="center"/>
            </w:pPr>
            <w:r w:rsidRPr="00937AEE">
              <w:t>94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D3FC7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 xml:space="preserve">92.0-94 / 94.1-95 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48D30" w14:textId="77777777" w:rsidR="00EF0707" w:rsidRPr="00937AEE" w:rsidRDefault="00EF0707" w:rsidP="00E86D4A">
            <w:pPr>
              <w:pStyle w:val="Tabletext"/>
              <w:keepLines/>
              <w:tabs>
                <w:tab w:val="left" w:leader="dot" w:pos="7938"/>
                <w:tab w:val="center" w:pos="9526"/>
              </w:tabs>
              <w:spacing w:before="60" w:after="60"/>
              <w:ind w:left="567" w:hanging="567"/>
              <w:jc w:val="left"/>
            </w:pPr>
            <w:r w:rsidRPr="00937AEE">
              <w:t>F.2004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92062" w14:textId="77777777" w:rsidR="00EF0707" w:rsidRPr="00937AEE" w:rsidRDefault="00EF0707" w:rsidP="00E86D4A">
            <w:pPr>
              <w:pStyle w:val="Tabletext"/>
              <w:spacing w:before="60" w:after="60"/>
              <w:jc w:val="left"/>
            </w:pPr>
            <w:r w:rsidRPr="00937AEE">
              <w:t xml:space="preserve">50, 100, </w:t>
            </w:r>
            <w:r w:rsidRPr="00937AEE">
              <w:rPr>
                <w:i/>
                <w:iCs/>
              </w:rPr>
              <w:t>N</w:t>
            </w:r>
            <w:r w:rsidRPr="00937AEE">
              <w:t xml:space="preserve"> × 100 </w:t>
            </w:r>
          </w:p>
        </w:tc>
      </w:tr>
      <w:tr w:rsidR="00EF0707" w:rsidRPr="00937AEE" w14:paraId="015DF7DE" w14:textId="77777777" w:rsidTr="00E86D4A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5E6C71FE" w14:textId="77777777" w:rsidR="00EF0707" w:rsidRPr="00937AEE" w:rsidRDefault="00EF0707" w:rsidP="00E86D4A">
            <w:pPr>
              <w:pStyle w:val="Tabletext"/>
              <w:rPr>
                <w:u w:val="double"/>
              </w:rPr>
            </w:pPr>
            <w:r w:rsidRPr="00937AEE">
              <w:rPr>
                <w:vertAlign w:val="superscript"/>
              </w:rPr>
              <w:t>(1)</w:t>
            </w:r>
            <w:r w:rsidRPr="00937AEE">
              <w:tab/>
              <w:t>Frequency block bandwidth.</w:t>
            </w:r>
          </w:p>
        </w:tc>
      </w:tr>
    </w:tbl>
    <w:p w14:paraId="0CFAA3EB" w14:textId="77777777" w:rsidR="00EF0707" w:rsidRPr="00937AEE" w:rsidRDefault="00EF0707" w:rsidP="00EF0707">
      <w:r w:rsidRPr="00937AEE">
        <w:t>NOTE 1 – A given frequency channel arrangement can be regarded as either alternated or interleaved as a consequence of the symbol rate transmitted by the radio systems. Alternated frequency channel arrangements may be, in principle, further implemented with co-channel band reuse.</w:t>
      </w:r>
    </w:p>
    <w:p w14:paraId="066F1E8E" w14:textId="77777777" w:rsidR="00EF0707" w:rsidRPr="00937AEE" w:rsidRDefault="00EF0707" w:rsidP="00EF0707">
      <w:r w:rsidRPr="00937AEE">
        <w:t>NOTE 2 – The definition and application of XPD is different from that of cross-polarization isolation (XPI) as defined in Recommendation ITU-R P.310.</w:t>
      </w:r>
    </w:p>
    <w:p w14:paraId="6FF3E4B1" w14:textId="77777777" w:rsidR="00EF0707" w:rsidRPr="00937AEE" w:rsidRDefault="00EF0707" w:rsidP="00EF0707">
      <w:r w:rsidRPr="00937AEE">
        <w:t>NOTE 3 – In the definition of NFD the following assumptions are made:</w:t>
      </w:r>
    </w:p>
    <w:p w14:paraId="7A995E35" w14:textId="77777777" w:rsidR="00EF0707" w:rsidRPr="00937AEE" w:rsidRDefault="00EF0707" w:rsidP="00EF0707">
      <w:pPr>
        <w:pStyle w:val="enumlev1"/>
      </w:pPr>
      <w:r w:rsidRPr="00937AEE">
        <w:t>–</w:t>
      </w:r>
      <w:r w:rsidRPr="00937AEE">
        <w:tab/>
        <w:t>adjacent channels XPD, if any, has not been taken into account;</w:t>
      </w:r>
    </w:p>
    <w:p w14:paraId="68C0223E" w14:textId="77777777" w:rsidR="00EF0707" w:rsidRPr="00937AEE" w:rsidRDefault="00EF0707" w:rsidP="00EF0707">
      <w:pPr>
        <w:pStyle w:val="enumlev1"/>
      </w:pPr>
      <w:r w:rsidRPr="00937AEE">
        <w:t>–</w:t>
      </w:r>
      <w:r w:rsidRPr="00937AEE">
        <w:tab/>
        <w:t>a single side interfering channel only is considered; for double side like-modulated interferences a NFD value 3 dB lower should be taken into account.</w:t>
      </w:r>
    </w:p>
    <w:p w14:paraId="2DEEA2A1" w14:textId="77777777" w:rsidR="00EF0707" w:rsidRPr="00937AEE" w:rsidRDefault="00EF0707" w:rsidP="00EF0707">
      <w:r w:rsidRPr="00937AEE">
        <w:t>NOTE 4 – This argument is covered by the outage and propagation behaviour prediction methods covered by Recommendations ITU-R F.1093 and ITU-R P.530.</w:t>
      </w:r>
    </w:p>
    <w:p w14:paraId="36E1C8DD" w14:textId="77777777" w:rsidR="00EF0707" w:rsidRPr="00937AEE" w:rsidRDefault="00EF0707" w:rsidP="00EF0707">
      <w:r w:rsidRPr="00937AEE">
        <w:t xml:space="preserve">NOTE 5 – A multi-carrier system is a system with </w:t>
      </w:r>
      <w:r w:rsidRPr="00937AEE">
        <w:rPr>
          <w:i/>
        </w:rPr>
        <w:t>n</w:t>
      </w:r>
      <w:r w:rsidRPr="00937AEE">
        <w:t xml:space="preserve"> (where </w:t>
      </w:r>
      <w:r w:rsidRPr="00937AEE">
        <w:rPr>
          <w:i/>
        </w:rPr>
        <w:t>n</w:t>
      </w:r>
      <w:r w:rsidRPr="00937AEE">
        <w:t xml:space="preserve"> &gt; 1) digitally modulated carrier signals simultaneously transmitted (or received) by the same radio-frequency equipment </w:t>
      </w:r>
      <w:r w:rsidRPr="00937AEE">
        <w:rPr>
          <w:lang w:eastAsia="ja-JP"/>
        </w:rPr>
        <w:t>within an assigned channel of the relevant channel arrangement or a specifically dedicated spectrum slot</w:t>
      </w:r>
      <w:r w:rsidRPr="00937AEE">
        <w:t xml:space="preserve">. The centre frequency should be regarded as the arithmetic average of the </w:t>
      </w:r>
      <w:r w:rsidRPr="00937AEE">
        <w:rPr>
          <w:i/>
        </w:rPr>
        <w:t>n</w:t>
      </w:r>
      <w:r w:rsidRPr="00937AEE">
        <w:t xml:space="preserve"> individual carrier frequencies of the multi-carrier system. When applying a multi-carrier system in an already existing radio-frequency channel arrangement, it may be convenient to shift the centre frequency of the multi-carrier system to the middle of two adjacent channels (representing a dedicated spectrum slot) of the basic arrangement.</w:t>
      </w:r>
    </w:p>
    <w:p w14:paraId="0EE39FFA" w14:textId="77777777" w:rsidR="00EF0707" w:rsidRPr="00937AEE" w:rsidRDefault="00EF0707" w:rsidP="00EF0707"/>
    <w:p w14:paraId="4D7CFD8E" w14:textId="77777777" w:rsidR="00EF0707" w:rsidRDefault="00EF0707" w:rsidP="00EF0707"/>
    <w:p w14:paraId="4F181238" w14:textId="77777777" w:rsidR="00EF0707" w:rsidRDefault="00EF0707" w:rsidP="00EF0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97FBBD1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</w:r>
      <w:r>
        <w:rPr>
          <w:lang w:val="en-US"/>
        </w:rPr>
        <w:br/>
        <w:t>Radio-frequency channel arrangement in the band 2</w:t>
      </w:r>
      <w:r>
        <w:rPr>
          <w:sz w:val="12"/>
          <w:lang w:val="en-US"/>
        </w:rPr>
        <w:t> </w:t>
      </w:r>
      <w:r>
        <w:rPr>
          <w:lang w:val="en-US"/>
        </w:rPr>
        <w:t>300-2</w:t>
      </w:r>
      <w:r>
        <w:rPr>
          <w:sz w:val="12"/>
          <w:lang w:val="en-US"/>
        </w:rPr>
        <w:t> </w:t>
      </w:r>
      <w:r>
        <w:rPr>
          <w:lang w:val="en-US"/>
        </w:rPr>
        <w:t>500 MHz</w:t>
      </w:r>
    </w:p>
    <w:p w14:paraId="64553A15" w14:textId="77777777" w:rsidR="00EF0707" w:rsidRDefault="00EF0707" w:rsidP="00EF0707">
      <w:pPr>
        <w:pStyle w:val="Annexref"/>
        <w:spacing w:before="240" w:after="120"/>
      </w:pPr>
      <w:r>
        <w:t>(Table 1)</w:t>
      </w:r>
    </w:p>
    <w:p w14:paraId="34A22CD1" w14:textId="77777777" w:rsidR="00EF0707" w:rsidRDefault="00EF0707" w:rsidP="00EF0707">
      <w:pPr>
        <w:pStyle w:val="Normalaftertitle"/>
        <w:rPr>
          <w:lang w:val="en-US"/>
        </w:rPr>
      </w:pPr>
      <w:r>
        <w:rPr>
          <w:b/>
          <w:lang w:val="en-US"/>
        </w:rPr>
        <w:t>1</w:t>
      </w:r>
      <w:r>
        <w:rPr>
          <w:b/>
          <w:lang w:val="en-US"/>
        </w:rPr>
        <w:tab/>
      </w:r>
      <w:r>
        <w:rPr>
          <w:lang w:val="en-US"/>
        </w:rPr>
        <w:t>The radio-frequency channel arrangement for the above FWSs is based on an adjacent-channel spacing of 1 MHz, and is derived as follows:</w:t>
      </w:r>
    </w:p>
    <w:p w14:paraId="4C9E2B10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Let</w:t>
      </w:r>
      <w:r>
        <w:rPr>
          <w:lang w:val="en-US"/>
        </w:rPr>
        <w:tab/>
      </w:r>
      <w:r>
        <w:rPr>
          <w:i/>
          <w:lang w:val="en-US"/>
        </w:rPr>
        <w:t>f</w:t>
      </w:r>
      <w:r>
        <w:rPr>
          <w:iCs/>
          <w:vertAlign w:val="subscript"/>
          <w:lang w:val="en-US"/>
        </w:rPr>
        <w:t>0</w:t>
      </w:r>
      <w:r>
        <w:rPr>
          <w:position w:val="-4"/>
          <w:sz w:val="12"/>
          <w:lang w:val="en-US"/>
        </w:rPr>
        <w:t> </w:t>
      </w:r>
      <w:r>
        <w:rPr>
          <w:lang w:val="en-US"/>
        </w:rPr>
        <w:tab/>
        <w:t>be the reference frequency of the frequency pattern (MHz),</w:t>
      </w:r>
    </w:p>
    <w:p w14:paraId="6AE6D62F" w14:textId="77777777" w:rsidR="00EF0707" w:rsidRDefault="00EF0707" w:rsidP="00EF0707">
      <w:pPr>
        <w:pStyle w:val="enumlev1"/>
        <w:ind w:left="1191" w:hanging="1191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r>
        <w:rPr>
          <w:position w:val="-4"/>
          <w:sz w:val="12"/>
          <w:vertAlign w:val="subscript"/>
          <w:lang w:val="en-US"/>
        </w:rPr>
        <w:t> </w:t>
      </w:r>
      <w:r>
        <w:rPr>
          <w:lang w:val="en-US"/>
        </w:rPr>
        <w:tab/>
        <w:t xml:space="preserve">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frequency of one radio-frequency channel in the lower half of the band (MHz),</w:t>
      </w:r>
    </w:p>
    <w:p w14:paraId="34B3ACF4" w14:textId="77777777" w:rsidR="00EF0707" w:rsidRDefault="00EF0707" w:rsidP="00EF0707">
      <w:pPr>
        <w:pStyle w:val="enumlev1"/>
        <w:tabs>
          <w:tab w:val="clear" w:pos="794"/>
          <w:tab w:val="left" w:pos="720"/>
        </w:tabs>
        <w:spacing w:line="280" w:lineRule="exact"/>
        <w:ind w:left="1191" w:hanging="1191"/>
        <w:rPr>
          <w:lang w:val="en-US"/>
        </w:rPr>
      </w:pPr>
      <w:r>
        <w:rPr>
          <w:lang w:val="en-US"/>
        </w:rPr>
        <w:tab/>
      </w:r>
      <w:r w:rsidRPr="00B55818">
        <w:rPr>
          <w:position w:val="-12"/>
        </w:rPr>
        <w:object w:dxaOrig="300" w:dyaOrig="360" w14:anchorId="47E884FE">
          <v:shape id="_x0000_i1029" type="#_x0000_t75" style="width:15.05pt;height:17.55pt" o:ole="">
            <v:imagedata r:id="rId56" o:title=""/>
          </v:shape>
          <o:OLEObject Type="Embed" ProgID="Equation.3" ShapeID="_x0000_i1029" DrawAspect="Content" ObjectID="_1787996043" r:id="rId57"/>
        </w:object>
      </w:r>
      <w:r>
        <w:rPr>
          <w:lang w:val="en-US"/>
        </w:rPr>
        <w:tab/>
        <w:t xml:space="preserve">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frequency of one radio-frequency channel in the upper half of the band (MHz),</w:t>
      </w:r>
    </w:p>
    <w:p w14:paraId="6BFEEB6C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then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frequencies of the individual channels can be expressed by the following relationships:</w:t>
      </w:r>
    </w:p>
    <w:p w14:paraId="2D9A85D2" w14:textId="77777777" w:rsidR="00EF0707" w:rsidRDefault="00EF0707" w:rsidP="00EF0707">
      <w:pPr>
        <w:pStyle w:val="enumlev1"/>
        <w:tabs>
          <w:tab w:val="left" w:pos="3240"/>
        </w:tabs>
        <w:rPr>
          <w:lang w:val="en-US"/>
        </w:rPr>
      </w:pPr>
      <w:r>
        <w:rPr>
          <w:lang w:val="en-US"/>
        </w:rPr>
        <w:tab/>
        <w:t>lower half of the band:</w:t>
      </w:r>
      <w:proofErr w:type="gramStart"/>
      <w:r>
        <w:rPr>
          <w:lang w:val="en-US"/>
        </w:rPr>
        <w:tab/>
        <w:t xml:space="preserve"> 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proofErr w:type="gram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Cs/>
          <w:vertAlign w:val="subscript"/>
          <w:lang w:val="en-US"/>
        </w:rPr>
        <w:t>0</w:t>
      </w:r>
      <w:r>
        <w:rPr>
          <w:lang w:val="en-US"/>
        </w:rPr>
        <w:t xml:space="preserve"> – 87 </w:t>
      </w:r>
      <w:r>
        <w:rPr>
          <w:rFonts w:ascii="Symbol" w:hAnsi="Symbol"/>
        </w:rPr>
        <w:t>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</w:p>
    <w:p w14:paraId="1C0C9F3C" w14:textId="77777777" w:rsidR="00EF0707" w:rsidRDefault="00EF0707" w:rsidP="00EF0707">
      <w:pPr>
        <w:pStyle w:val="enumlev1"/>
        <w:tabs>
          <w:tab w:val="left" w:pos="3240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</w:r>
      <w:r>
        <w:rPr>
          <w:sz w:val="12"/>
          <w:lang w:val="en-US"/>
        </w:rPr>
        <w:t xml:space="preserve"> </w:t>
      </w:r>
      <w:r w:rsidRPr="00B55818">
        <w:rPr>
          <w:position w:val="-12"/>
        </w:rPr>
        <w:object w:dxaOrig="499" w:dyaOrig="360" w14:anchorId="3E42DDD0">
          <v:shape id="_x0000_i1030" type="#_x0000_t75" style="width:23.8pt;height:17.55pt" o:ole="">
            <v:imagedata r:id="rId58" o:title=""/>
          </v:shape>
          <o:OLEObject Type="Embed" ProgID="Equation.3" ShapeID="_x0000_i1030" DrawAspect="Content" ObjectID="_1787996044" r:id="rId59"/>
        </w:object>
      </w:r>
      <w:r>
        <w:rPr>
          <w:rFonts w:ascii="Tms Rmn" w:hAnsi="Tms Rmn"/>
          <w:sz w:val="10"/>
          <w:lang w:val="en-US"/>
        </w:rPr>
        <w:t> </w:t>
      </w:r>
      <w:r>
        <w:rPr>
          <w:i/>
          <w:lang w:val="en-US"/>
        </w:rPr>
        <w:t>f</w:t>
      </w:r>
      <w:r>
        <w:rPr>
          <w:iCs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7 </w:t>
      </w:r>
      <w:r>
        <w:rPr>
          <w:rFonts w:ascii="Symbol" w:hAnsi="Symbol"/>
        </w:rPr>
        <w:t>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</w:p>
    <w:p w14:paraId="2B458163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24817C79" w14:textId="77777777" w:rsidR="00EF0707" w:rsidRDefault="00EF0707" w:rsidP="00EF0707">
      <w:pPr>
        <w:pStyle w:val="enumlev1"/>
        <w:tabs>
          <w:tab w:val="left" w:pos="3240"/>
        </w:tabs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1, 2, 3, ..., 80.</w:t>
      </w:r>
    </w:p>
    <w:p w14:paraId="1690E8B4" w14:textId="77777777" w:rsidR="00EF0707" w:rsidRDefault="00EF0707" w:rsidP="00EF0707">
      <w:pPr>
        <w:rPr>
          <w:lang w:val="en-US"/>
        </w:rPr>
      </w:pPr>
      <w:r>
        <w:rPr>
          <w:lang w:val="en-US"/>
        </w:rPr>
        <w:t>This is illustrated in Fig. 2.</w:t>
      </w:r>
    </w:p>
    <w:p w14:paraId="503C0473" w14:textId="77777777" w:rsidR="00EF0707" w:rsidRDefault="00EF0707" w:rsidP="00EF0707">
      <w:pPr>
        <w:pStyle w:val="FigureNo"/>
        <w:rPr>
          <w:lang w:val="en-US"/>
        </w:rPr>
      </w:pPr>
      <w:r>
        <w:rPr>
          <w:lang w:val="en-US"/>
        </w:rPr>
        <w:t>figure 2</w:t>
      </w:r>
    </w:p>
    <w:p w14:paraId="29839F6C" w14:textId="77777777" w:rsidR="00EF0707" w:rsidRDefault="00EF0707" w:rsidP="00EF0707">
      <w:pPr>
        <w:pStyle w:val="Figuretitle"/>
        <w:rPr>
          <w:lang w:val="en-US"/>
        </w:rPr>
      </w:pPr>
      <w:r>
        <w:rPr>
          <w:lang w:val="en-US"/>
        </w:rPr>
        <w:t xml:space="preserve">Radio-frequency channel arrangement for up to 300 telephone </w:t>
      </w:r>
      <w:proofErr w:type="gramStart"/>
      <w:r>
        <w:rPr>
          <w:lang w:val="en-US"/>
        </w:rPr>
        <w:t>channel</w:t>
      </w:r>
      <w:proofErr w:type="gramEnd"/>
      <w:r>
        <w:rPr>
          <w:lang w:val="en-US"/>
        </w:rPr>
        <w:br/>
        <w:t>FWSs operating in the 2 300-2 500 MHz band</w:t>
      </w:r>
    </w:p>
    <w:p w14:paraId="3987BE70" w14:textId="77777777" w:rsidR="00EF0707" w:rsidRPr="008D63F5" w:rsidRDefault="00EF0707" w:rsidP="00EF0707">
      <w:pPr>
        <w:pStyle w:val="Figure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97B150" wp14:editId="527A0B53">
            <wp:extent cx="5852172" cy="1027178"/>
            <wp:effectExtent l="0" t="0" r="0" b="1905"/>
            <wp:docPr id="2033847490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47490" name="Picture 3" descr="A black background with a black square&#10;&#10;Description automatically generated with medium confidence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10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9E1D" w14:textId="77777777" w:rsidR="00EF0707" w:rsidRDefault="00EF0707" w:rsidP="00EF0707">
      <w:pPr>
        <w:pStyle w:val="Normalaftertitle"/>
        <w:rPr>
          <w:lang w:val="en-US"/>
        </w:rPr>
      </w:pPr>
      <w:r>
        <w:rPr>
          <w:b/>
          <w:lang w:val="en-US"/>
        </w:rPr>
        <w:t>2</w:t>
      </w:r>
      <w:r>
        <w:rPr>
          <w:lang w:val="en-US"/>
        </w:rPr>
        <w:tab/>
        <w:t>The reference frequency should preferably be</w:t>
      </w:r>
      <w:r>
        <w:rPr>
          <w:i/>
          <w:lang w:val="en-US"/>
        </w:rPr>
        <w:t xml:space="preserve"> f</w:t>
      </w:r>
      <w:r>
        <w:rPr>
          <w:iCs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2</w:t>
      </w:r>
      <w:r>
        <w:rPr>
          <w:sz w:val="12"/>
          <w:lang w:val="en-US"/>
        </w:rPr>
        <w:t> </w:t>
      </w:r>
      <w:r>
        <w:rPr>
          <w:lang w:val="en-US"/>
        </w:rPr>
        <w:t xml:space="preserve">394 </w:t>
      </w:r>
      <w:proofErr w:type="spellStart"/>
      <w:r>
        <w:rPr>
          <w:lang w:val="en-US"/>
        </w:rPr>
        <w:t>MHz.</w:t>
      </w:r>
      <w:proofErr w:type="spellEnd"/>
    </w:p>
    <w:p w14:paraId="7E3B86B0" w14:textId="77777777" w:rsidR="00EF0707" w:rsidRDefault="00EF0707" w:rsidP="00EF0707">
      <w:pPr>
        <w:rPr>
          <w:lang w:val="en-US"/>
        </w:rPr>
      </w:pPr>
      <w:r>
        <w:rPr>
          <w:b/>
          <w:lang w:val="en-US"/>
        </w:rPr>
        <w:t>3</w:t>
      </w:r>
      <w:r>
        <w:rPr>
          <w:lang w:val="en-US"/>
        </w:rPr>
        <w:tab/>
        <w:t>In a section over which an international or rural connection is arranged, as well as in a network node, all the go channels should be in one half of the radio-frequency band, and all the return channels in the other half.</w:t>
      </w:r>
    </w:p>
    <w:p w14:paraId="4CAB0B11" w14:textId="77777777" w:rsidR="00EF0707" w:rsidRDefault="00EF0707" w:rsidP="00EF0707">
      <w:pPr>
        <w:rPr>
          <w:lang w:val="en-US"/>
        </w:rPr>
      </w:pPr>
      <w:r>
        <w:rPr>
          <w:b/>
          <w:lang w:val="en-US"/>
        </w:rPr>
        <w:t>4</w:t>
      </w:r>
      <w:r>
        <w:rPr>
          <w:lang w:val="en-US"/>
        </w:rPr>
        <w:tab/>
        <w:t>The preferred adjacent co-polar channel separations for various channel capacities are listed in Table 3.</w:t>
      </w:r>
    </w:p>
    <w:p w14:paraId="58D47233" w14:textId="77777777" w:rsidR="00EF0707" w:rsidRDefault="00EF0707" w:rsidP="00EF0707">
      <w:pPr>
        <w:pStyle w:val="TableNo"/>
        <w:keepLines/>
      </w:pPr>
      <w:r>
        <w:lastRenderedPageBreak/>
        <w:t>TABLE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</w:tblGrid>
      <w:tr w:rsidR="00EF0707" w14:paraId="2B7373E9" w14:textId="77777777" w:rsidTr="00E86D4A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055D" w14:textId="77777777" w:rsidR="00EF0707" w:rsidRDefault="00EF0707" w:rsidP="00E86D4A">
            <w:pPr>
              <w:pStyle w:val="Tablehead"/>
              <w:keepLines/>
            </w:pPr>
            <w:r>
              <w:t>Channel capacity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9DC6" w14:textId="77777777" w:rsidR="00EF0707" w:rsidRDefault="00EF0707" w:rsidP="00E86D4A">
            <w:pPr>
              <w:pStyle w:val="Tablehead"/>
              <w:keepLines/>
            </w:pPr>
            <w:r>
              <w:t>RF channel separation</w:t>
            </w:r>
            <w:r>
              <w:br/>
              <w:t>(MHz)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785E" w14:textId="77777777" w:rsidR="00EF0707" w:rsidRDefault="00EF0707" w:rsidP="00E86D4A">
            <w:pPr>
              <w:pStyle w:val="Tablehead"/>
              <w:keepLines/>
            </w:pPr>
            <w:r>
              <w:rPr>
                <w:i/>
              </w:rPr>
              <w:t>n</w:t>
            </w:r>
          </w:p>
        </w:tc>
      </w:tr>
      <w:tr w:rsidR="00EF0707" w14:paraId="5B1BA85B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732693F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12 FDM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3FC40D2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1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F4F9533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1, 2, 3, 4, ...</w:t>
            </w:r>
          </w:p>
        </w:tc>
      </w:tr>
      <w:tr w:rsidR="00EF0707" w14:paraId="287180ED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F169B60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24 FDM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153966E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2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EBECAA8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1, 3, 5, 7, ...</w:t>
            </w:r>
          </w:p>
        </w:tc>
      </w:tr>
      <w:tr w:rsidR="00EF0707" w14:paraId="092AB335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56BBB2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60 FDM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0F84DDE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4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0D0110B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1, 5, 9, 13, ...</w:t>
            </w:r>
          </w:p>
        </w:tc>
      </w:tr>
      <w:tr w:rsidR="00EF0707" w14:paraId="10DD05C7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629B46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  <w:t>120 FDM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8FB679A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14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FC26D03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1, 15, 29, 43, ...</w:t>
            </w:r>
          </w:p>
        </w:tc>
      </w:tr>
      <w:tr w:rsidR="00EF0707" w14:paraId="4AF453E6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A33562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  <w:spacing w:after="120"/>
            </w:pPr>
            <w:r>
              <w:tab/>
              <w:t>300 FDM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E7D9645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  <w:spacing w:after="120"/>
            </w:pPr>
            <w:r>
              <w:tab/>
              <w:t>28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2FACF6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  <w:spacing w:after="120"/>
            </w:pPr>
            <w:r>
              <w:tab/>
              <w:t>1, 29, 57</w:t>
            </w:r>
          </w:p>
        </w:tc>
      </w:tr>
      <w:tr w:rsidR="00EF0707" w14:paraId="2590868D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A438D74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24 PCM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C964806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rPr>
                <w:color w:val="FFFFFF"/>
              </w:rPr>
              <w:tab/>
            </w:r>
            <w:r>
              <w:t>2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C55E074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1, 3, 5, 7, ...</w:t>
            </w:r>
          </w:p>
        </w:tc>
      </w:tr>
      <w:tr w:rsidR="00EF0707" w14:paraId="17550816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486A2D8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30 PCM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C220738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2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07BC583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1, 3, 5, 7, ...</w:t>
            </w:r>
          </w:p>
        </w:tc>
      </w:tr>
      <w:tr w:rsidR="00EF0707" w14:paraId="7912EB19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423F122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48 PCM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1E68795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4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3EC3DF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1, 5, 9, 13, ...</w:t>
            </w:r>
          </w:p>
        </w:tc>
      </w:tr>
      <w:tr w:rsidR="00EF0707" w14:paraId="7C365554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5D21644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  <w:spacing w:after="120"/>
            </w:pPr>
            <w:r>
              <w:tab/>
            </w:r>
            <w:r>
              <w:tab/>
              <w:t>60 PCM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7AD1607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  <w:spacing w:after="120"/>
            </w:pPr>
            <w:r>
              <w:tab/>
              <w:t>4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632F6E3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  <w:spacing w:after="120"/>
            </w:pPr>
            <w:r>
              <w:tab/>
              <w:t>1, 5, 9, 13, ...</w:t>
            </w:r>
          </w:p>
        </w:tc>
      </w:tr>
      <w:tr w:rsidR="00EF0707" w14:paraId="0177E9A0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B7462D0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30 PCM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AFFA399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1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C33FCD9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1, 2, 3, 4, ...</w:t>
            </w:r>
          </w:p>
        </w:tc>
      </w:tr>
      <w:tr w:rsidR="00EF0707" w14:paraId="0317DDFD" w14:textId="77777777" w:rsidTr="00E86D4A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04A5BF7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83"/>
                <w:tab w:val="left" w:pos="588"/>
              </w:tabs>
            </w:pPr>
            <w:r>
              <w:tab/>
            </w:r>
            <w:r>
              <w:tab/>
              <w:t>60 PCM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FB6FF73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169"/>
              </w:tabs>
            </w:pPr>
            <w:r>
              <w:tab/>
              <w:t>2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A72D9BC" w14:textId="77777777" w:rsidR="00EF0707" w:rsidRDefault="00EF0707" w:rsidP="00E86D4A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01"/>
              </w:tabs>
            </w:pPr>
            <w:r>
              <w:tab/>
              <w:t>1, 3, 5, 7, ...</w:t>
            </w:r>
          </w:p>
        </w:tc>
      </w:tr>
      <w:tr w:rsidR="00EF0707" w:rsidRPr="00D61BD7" w14:paraId="6CE92A33" w14:textId="77777777" w:rsidTr="00E86D4A">
        <w:trPr>
          <w:cantSplit/>
          <w:jc w:val="center"/>
        </w:trPr>
        <w:tc>
          <w:tcPr>
            <w:tcW w:w="7656" w:type="dxa"/>
            <w:gridSpan w:val="3"/>
            <w:tcBorders>
              <w:top w:val="single" w:sz="6" w:space="0" w:color="auto"/>
            </w:tcBorders>
          </w:tcPr>
          <w:p w14:paraId="45ABDA79" w14:textId="77777777" w:rsidR="00EF0707" w:rsidRDefault="00EF0707" w:rsidP="00E86D4A">
            <w:pPr>
              <w:pStyle w:val="Tablelegend"/>
              <w:keepNext/>
              <w:keepLines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(1)</w:t>
            </w:r>
            <w:r>
              <w:rPr>
                <w:position w:val="6"/>
                <w:lang w:val="en-US"/>
              </w:rPr>
              <w:tab/>
            </w:r>
            <w:r>
              <w:rPr>
                <w:lang w:val="en-US"/>
              </w:rPr>
              <w:t>Using multi-state modulation (e.g. 16-QAM).</w:t>
            </w:r>
          </w:p>
        </w:tc>
      </w:tr>
    </w:tbl>
    <w:p w14:paraId="4804D9FE" w14:textId="77777777" w:rsidR="00EF0707" w:rsidRDefault="00EF0707" w:rsidP="00EF0707">
      <w:pPr>
        <w:pStyle w:val="Tablefin"/>
      </w:pPr>
    </w:p>
    <w:p w14:paraId="7D2BBBAA" w14:textId="77777777" w:rsidR="00EF0707" w:rsidRDefault="00EF0707" w:rsidP="00EF0707">
      <w:pPr>
        <w:spacing w:before="240"/>
        <w:rPr>
          <w:lang w:val="en-US"/>
        </w:rPr>
      </w:pPr>
      <w:r>
        <w:rPr>
          <w:b/>
          <w:lang w:val="en-US"/>
        </w:rPr>
        <w:t>5</w:t>
      </w:r>
      <w:r>
        <w:rPr>
          <w:lang w:val="en-US"/>
        </w:rPr>
        <w:tab/>
        <w:t>When, for example, either at a nodal point or within an artery (using cross-polar discrimination), and for capacities of 24 telephone channels or more, additional radio-frequency channels are required, the channel numbers should be as follows:</w:t>
      </w:r>
    </w:p>
    <w:p w14:paraId="11CB5329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24 telephone channels:</w:t>
      </w: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2, 4, 6, 8, ...</w:t>
      </w:r>
      <w:r>
        <w:rPr>
          <w:lang w:val="en-US"/>
        </w:rPr>
        <w:tab/>
        <w:t>(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</w:t>
      </w:r>
      <w:r>
        <w:rPr>
          <w:lang w:val="en-US"/>
        </w:rPr>
        <w:t xml:space="preserve"> 80)</w:t>
      </w:r>
    </w:p>
    <w:p w14:paraId="4041FCAC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60 telephone channels:</w:t>
      </w: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3, 7, 11, 15, ...</w:t>
      </w:r>
      <w:r>
        <w:rPr>
          <w:lang w:val="en-US"/>
        </w:rPr>
        <w:tab/>
        <w:t>(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</w:t>
      </w:r>
      <w:r>
        <w:rPr>
          <w:lang w:val="en-US"/>
        </w:rPr>
        <w:t xml:space="preserve"> 79)</w:t>
      </w:r>
    </w:p>
    <w:p w14:paraId="3E8735D7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120 telephone channels:</w:t>
      </w: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8, 22, 36, 50, ...</w:t>
      </w:r>
      <w:r>
        <w:rPr>
          <w:lang w:val="en-US"/>
        </w:rPr>
        <w:tab/>
        <w:t>(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</w:t>
      </w:r>
      <w:r>
        <w:rPr>
          <w:lang w:val="en-US"/>
        </w:rPr>
        <w:t xml:space="preserve"> 78)</w:t>
      </w:r>
    </w:p>
    <w:p w14:paraId="64294D66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300 telephone channels:</w:t>
      </w: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15, 43, 71.</w:t>
      </w:r>
    </w:p>
    <w:p w14:paraId="1F8B2929" w14:textId="77777777" w:rsidR="00EF0707" w:rsidRDefault="00EF0707" w:rsidP="00EF0707">
      <w:pPr>
        <w:keepNext/>
        <w:keepLines/>
        <w:rPr>
          <w:lang w:val="en-US"/>
        </w:rPr>
      </w:pPr>
      <w:r>
        <w:rPr>
          <w:b/>
          <w:lang w:val="en-US"/>
        </w:rPr>
        <w:t>6</w:t>
      </w:r>
      <w:r>
        <w:rPr>
          <w:b/>
          <w:lang w:val="en-US"/>
        </w:rPr>
        <w:tab/>
      </w:r>
      <w:r>
        <w:rPr>
          <w:lang w:val="en-US"/>
        </w:rPr>
        <w:t>For capacities of 60 telephone channels or more, additional frequencies with channel number:</w:t>
      </w:r>
    </w:p>
    <w:p w14:paraId="38B6BAF9" w14:textId="77777777" w:rsidR="00EF0707" w:rsidRDefault="00EF0707" w:rsidP="00EF0707">
      <w:pPr>
        <w:pStyle w:val="enumlev1"/>
        <w:keepNext/>
        <w:keepLines/>
        <w:tabs>
          <w:tab w:val="left" w:pos="3584"/>
        </w:tabs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2, 4, 6, 8, ...</w:t>
      </w:r>
      <w:r>
        <w:rPr>
          <w:lang w:val="en-US"/>
        </w:rPr>
        <w:tab/>
        <w:t>for 60 telephone channels</w:t>
      </w:r>
    </w:p>
    <w:p w14:paraId="552FBB52" w14:textId="77777777" w:rsidR="00EF0707" w:rsidRDefault="00EF0707" w:rsidP="00EF0707">
      <w:pPr>
        <w:pStyle w:val="enumlev1"/>
        <w:tabs>
          <w:tab w:val="left" w:pos="3584"/>
        </w:tabs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5, 12, 19, 26, ...</w:t>
      </w:r>
      <w:r>
        <w:rPr>
          <w:lang w:val="en-US"/>
        </w:rPr>
        <w:tab/>
        <w:t>for 120 telephone channels</w:t>
      </w:r>
    </w:p>
    <w:p w14:paraId="233222F7" w14:textId="77777777" w:rsidR="00EF0707" w:rsidRDefault="00EF0707" w:rsidP="00EF0707">
      <w:pPr>
        <w:pStyle w:val="enumlev1"/>
        <w:tabs>
          <w:tab w:val="left" w:pos="3584"/>
        </w:tabs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8, 22, 36, 50, ...</w:t>
      </w:r>
      <w:r>
        <w:rPr>
          <w:lang w:val="en-US"/>
        </w:rPr>
        <w:tab/>
        <w:t>for 300 telephone channels</w:t>
      </w:r>
    </w:p>
    <w:p w14:paraId="55741FF7" w14:textId="77777777" w:rsidR="00EF0707" w:rsidRDefault="00EF0707" w:rsidP="00EF0707">
      <w:pPr>
        <w:ind w:right="-142"/>
        <w:rPr>
          <w:lang w:val="en-US"/>
        </w:rPr>
      </w:pPr>
      <w:r>
        <w:rPr>
          <w:lang w:val="en-US"/>
        </w:rPr>
        <w:t>are available for use as offset frequencies. Use of these frequencies may help to reduce interference along a route due to over-reach, or to reduce the requirements for antenna discrimination in a network node.</w:t>
      </w:r>
    </w:p>
    <w:p w14:paraId="62FB3672" w14:textId="77777777" w:rsidR="00EF0707" w:rsidRDefault="00EF0707" w:rsidP="00EF0707">
      <w:pPr>
        <w:pStyle w:val="Note"/>
        <w:rPr>
          <w:lang w:val="en-US"/>
        </w:rPr>
      </w:pPr>
      <w:r>
        <w:rPr>
          <w:lang w:val="en-US"/>
        </w:rPr>
        <w:t>NOTE 1 – Further studies are required to evaluate interference problems caused by intermodulation products between different systems working on the same route.</w:t>
      </w:r>
    </w:p>
    <w:p w14:paraId="5A64ACF2" w14:textId="77777777" w:rsidR="00EF0707" w:rsidRPr="00D216C3" w:rsidRDefault="00EF0707" w:rsidP="00EF0707">
      <w:pPr>
        <w:rPr>
          <w:lang w:val="en-US"/>
        </w:rPr>
      </w:pPr>
    </w:p>
    <w:p w14:paraId="634BB194" w14:textId="77777777" w:rsidR="00EF0707" w:rsidRPr="00937AEE" w:rsidRDefault="00EF0707" w:rsidP="00EF0707">
      <w:pPr>
        <w:pStyle w:val="AnnexNoTitle"/>
      </w:pPr>
      <w:r w:rsidRPr="00937AEE">
        <w:br w:type="page"/>
      </w:r>
    </w:p>
    <w:p w14:paraId="69E869A8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lastRenderedPageBreak/>
        <w:t>Annex 2</w:t>
      </w:r>
      <w:r>
        <w:rPr>
          <w:lang w:val="en-US"/>
        </w:rPr>
        <w:br/>
      </w:r>
      <w:r>
        <w:rPr>
          <w:lang w:val="en-US"/>
        </w:rPr>
        <w:br/>
        <w:t>Utilization of the band 11.7-13.25 GHz</w:t>
      </w:r>
    </w:p>
    <w:p w14:paraId="142A4BA5" w14:textId="77777777" w:rsidR="00EF0707" w:rsidRDefault="00EF0707" w:rsidP="00EF0707">
      <w:pPr>
        <w:pStyle w:val="Annexref"/>
        <w:spacing w:before="240" w:after="120"/>
      </w:pPr>
      <w:r>
        <w:t>(Table 1)</w:t>
      </w:r>
    </w:p>
    <w:p w14:paraId="35A4A4DA" w14:textId="77777777" w:rsidR="00EF0707" w:rsidRDefault="00EF0707" w:rsidP="00EF0707">
      <w:pPr>
        <w:pStyle w:val="Normalaftertitle"/>
        <w:rPr>
          <w:lang w:val="en-US"/>
        </w:rPr>
      </w:pPr>
      <w:r>
        <w:rPr>
          <w:lang w:val="en-US"/>
        </w:rPr>
        <w:t>Recommendation ITU-R F.497 gives radio-frequency channel arrangements for digital and analogue systems in the band 12.75-13.25 GHz. However, some administrations use also parts of the band 11.7-13.25 GHz. Examples are as follows:</w:t>
      </w:r>
    </w:p>
    <w:p w14:paraId="0855039C" w14:textId="77777777" w:rsidR="00EF0707" w:rsidRDefault="00EF0707" w:rsidP="00EF0707">
      <w:pPr>
        <w:pStyle w:val="Heading1"/>
        <w:rPr>
          <w:lang w:val="en-US"/>
        </w:rPr>
      </w:pPr>
      <w:bookmarkStart w:id="3" w:name="_Toc392650867"/>
      <w:r>
        <w:rPr>
          <w:lang w:val="en-US"/>
        </w:rPr>
        <w:t>1</w:t>
      </w:r>
      <w:r>
        <w:rPr>
          <w:lang w:val="en-US"/>
        </w:rPr>
        <w:tab/>
        <w:t>12.5/25 MHz plan</w:t>
      </w:r>
      <w:bookmarkEnd w:id="3"/>
    </w:p>
    <w:p w14:paraId="407824EE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United States of America</w:t>
          </w:r>
        </w:smartTag>
      </w:smartTag>
      <w:r>
        <w:rPr>
          <w:lang w:val="en-US"/>
        </w:rPr>
        <w:t xml:space="preserve">, extensive use is being made of the 12.7-12.95 GHz range primarily for television transmission to feed wired distribution systems (cable television). These systems, often traversing distances of 100 to 500 km, are typically unidirectional, hence a frequency pattern without a </w:t>
      </w:r>
      <w:proofErr w:type="spellStart"/>
      <w:r>
        <w:rPr>
          <w:lang w:val="en-US"/>
        </w:rPr>
        <w:t>guardband</w:t>
      </w:r>
      <w:proofErr w:type="spellEnd"/>
      <w:r>
        <w:rPr>
          <w:lang w:val="en-US"/>
        </w:rPr>
        <w:t xml:space="preserve"> is used, utilizing a 25 MHz spaced main channel plan and a mid-spaced interstitial plan for coordination purposes (e.g. branch routes).</w:t>
      </w:r>
    </w:p>
    <w:p w14:paraId="5C2D8D36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This frequency range is also available for multiple television channel transmission – both vestigial sideband (VSB)/SSB and VSB/FM. These are typically of a short-haul type (5-15 km) and feed multiple receiving points. The rest of the band (12.95-13.25 GHz) uses a similar </w:t>
      </w:r>
      <w:proofErr w:type="spellStart"/>
      <w:r>
        <w:rPr>
          <w:lang w:val="en-US"/>
        </w:rPr>
        <w:t>channelling</w:t>
      </w:r>
      <w:proofErr w:type="spellEnd"/>
      <w:r>
        <w:rPr>
          <w:lang w:val="en-US"/>
        </w:rPr>
        <w:t xml:space="preserve"> pattern, but in this case the prime use is to feed television broadcasting systems, both in fixed, as well as in mobile, configurations.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Japan</w:t>
          </w:r>
        </w:smartTag>
      </w:smartTag>
      <w:r>
        <w:rPr>
          <w:lang w:val="en-US"/>
        </w:rPr>
        <w:t>, the entire frequency range of 12.7</w:t>
      </w:r>
      <w:r>
        <w:rPr>
          <w:lang w:val="en-US"/>
        </w:rPr>
        <w:noBreakHyphen/>
        <w:t>13.25 GHz is used for television pick-up and studio transmitter links with the same 25 MHz channel separations.</w:t>
      </w:r>
    </w:p>
    <w:p w14:paraId="5A8F26C9" w14:textId="77777777" w:rsidR="00EF0707" w:rsidRDefault="00EF0707" w:rsidP="00EF0707">
      <w:pPr>
        <w:pStyle w:val="Heading1"/>
        <w:rPr>
          <w:lang w:val="en-US"/>
        </w:rPr>
      </w:pPr>
      <w:bookmarkStart w:id="4" w:name="_Toc392650868"/>
      <w:r>
        <w:rPr>
          <w:lang w:val="en-US"/>
        </w:rPr>
        <w:t>2</w:t>
      </w:r>
      <w:r>
        <w:rPr>
          <w:lang w:val="en-US"/>
        </w:rPr>
        <w:tab/>
        <w:t xml:space="preserve">20 MHz </w:t>
      </w:r>
      <w:proofErr w:type="gramStart"/>
      <w:r>
        <w:rPr>
          <w:lang w:val="en-US"/>
        </w:rPr>
        <w:t>plan</w:t>
      </w:r>
      <w:bookmarkEnd w:id="4"/>
      <w:proofErr w:type="gramEnd"/>
    </w:p>
    <w:p w14:paraId="40CFC283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In the </w:t>
      </w:r>
      <w:smartTag w:uri="urn:schemas-microsoft-com:office:smarttags" w:element="country-region">
        <w:r>
          <w:rPr>
            <w:lang w:val="en-US"/>
          </w:rPr>
          <w:t>United States of America</w:t>
        </w:r>
      </w:smartTag>
      <w:r>
        <w:rPr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Japan</w:t>
          </w:r>
        </w:smartTag>
      </w:smartTag>
      <w:r>
        <w:rPr>
          <w:lang w:val="en-US"/>
        </w:rPr>
        <w:t xml:space="preserve">, the 12.2-12.7 GHz range is used for both television and telephony data transmission. The </w:t>
      </w:r>
      <w:proofErr w:type="spellStart"/>
      <w:r>
        <w:rPr>
          <w:lang w:val="en-US"/>
        </w:rPr>
        <w:t>channelling</w:t>
      </w:r>
      <w:proofErr w:type="spellEnd"/>
      <w:r>
        <w:rPr>
          <w:lang w:val="en-US"/>
        </w:rPr>
        <w:t xml:space="preserve"> arrangement is based on a 20 MHz pattern. These channels are used for FDM telephony (to 1</w:t>
      </w:r>
      <w:r>
        <w:rPr>
          <w:sz w:val="12"/>
          <w:lang w:val="en-US"/>
        </w:rPr>
        <w:t> </w:t>
      </w:r>
      <w:r>
        <w:rPr>
          <w:lang w:val="en-US"/>
        </w:rPr>
        <w:t>200 channels) or for digital data streams up to 45 Mbit/s. Users of this band include utilities, educational entities, civil government and commerce.</w:t>
      </w:r>
    </w:p>
    <w:p w14:paraId="7D65FF17" w14:textId="77777777" w:rsidR="00EF0707" w:rsidRDefault="00EF0707" w:rsidP="00EF0707">
      <w:pPr>
        <w:pStyle w:val="Heading1"/>
        <w:rPr>
          <w:lang w:val="en-US"/>
        </w:rPr>
      </w:pPr>
      <w:bookmarkStart w:id="5" w:name="_Toc392650869"/>
      <w:r>
        <w:rPr>
          <w:lang w:val="en-US"/>
        </w:rPr>
        <w:t>3</w:t>
      </w:r>
      <w:r>
        <w:rPr>
          <w:lang w:val="en-US"/>
        </w:rPr>
        <w:tab/>
        <w:t>The band 11.7-12.5 GHz</w:t>
      </w:r>
      <w:bookmarkEnd w:id="5"/>
    </w:p>
    <w:p w14:paraId="4CF81DF3" w14:textId="77777777" w:rsidR="00EF0707" w:rsidRDefault="00EF0707" w:rsidP="00EF0707">
      <w:pPr>
        <w:rPr>
          <w:lang w:val="en-US"/>
        </w:rPr>
      </w:pPr>
      <w:r>
        <w:rPr>
          <w:lang w:val="en-US"/>
        </w:rPr>
        <w:t>The development of a channel arrangement with a frequency spacing of 19.18 MHz</w:t>
      </w:r>
      <w:r>
        <w:rPr>
          <w:position w:val="6"/>
          <w:sz w:val="16"/>
          <w:lang w:val="en-US"/>
        </w:rPr>
        <w:t xml:space="preserve"> </w:t>
      </w:r>
      <w:r>
        <w:rPr>
          <w:lang w:val="en-US"/>
        </w:rPr>
        <w:t>(the selection of radio</w:t>
      </w:r>
      <w:r>
        <w:rPr>
          <w:lang w:val="en-US"/>
        </w:rPr>
        <w:noBreakHyphen/>
        <w:t>frequency channels from the 19.18 MHz spacing plan should be determined by agreement between the administrations concerned) in the 11.7-12.5 GHz band will need to take into account the requirements of the broadcasting-satellite service (BSS) to which the band or parts thereof are also allocated, in accordance with the decisions of the World Administrative Radio Conference for the Planning of the Broadcasting-Satellite Service (Geneva, 1977) (WARC BS</w:t>
      </w:r>
      <w:r>
        <w:rPr>
          <w:lang w:val="en-US"/>
        </w:rPr>
        <w:noBreakHyphen/>
        <w:t xml:space="preserve">77), the World Administrative Radio Conference (Geneva, 1979) (WARC-79) and the First Session of the World Administrative Radio Conference on the Use of the Geostationary-Satellite Orbit and the Planning of the Space Services Utilizing It (Geneva, 1985) (WARC Orb-85). For Regions 1 and 3, studies indicate that a channel arrangement should have the following basic characteristics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facilitate sharing between the two services:</w:t>
      </w:r>
    </w:p>
    <w:p w14:paraId="65A1D236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adjacent channel spacing should be the same as, or a multiple of, the spacing agreed for the BSS (19.18 MHz);</w:t>
      </w:r>
    </w:p>
    <w:p w14:paraId="0C0A40C8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channel frequencies should coincide or be interleaved with the BSS frequencies, that is:</w:t>
      </w:r>
    </w:p>
    <w:p w14:paraId="0063DFFF" w14:textId="77777777" w:rsidR="00EF0707" w:rsidRDefault="00EF0707" w:rsidP="00EF0707">
      <w:pPr>
        <w:pStyle w:val="enumlev3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f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11</w:t>
      </w:r>
      <w:r>
        <w:rPr>
          <w:sz w:val="12"/>
          <w:lang w:val="en-US"/>
        </w:rPr>
        <w:t> </w:t>
      </w:r>
      <w:r>
        <w:rPr>
          <w:lang w:val="en-US"/>
        </w:rPr>
        <w:t xml:space="preserve">708.3 </w:t>
      </w:r>
      <w:r>
        <w:rPr>
          <w:rFonts w:ascii="Symbol" w:hAnsi="Symbol"/>
        </w:rPr>
        <w:t></w:t>
      </w:r>
      <w:r>
        <w:rPr>
          <w:lang w:val="en-US"/>
        </w:rPr>
        <w:t xml:space="preserve"> 19.18 </w:t>
      </w:r>
      <w:r>
        <w:rPr>
          <w:i/>
          <w:lang w:val="en-US"/>
        </w:rPr>
        <w:t>n                </w:t>
      </w:r>
      <w:r>
        <w:rPr>
          <w:lang w:val="en-US"/>
        </w:rPr>
        <w:t>MHz</w:t>
      </w:r>
    </w:p>
    <w:p w14:paraId="1294FAFA" w14:textId="77777777" w:rsidR="00EF0707" w:rsidRDefault="00EF0707" w:rsidP="00EF0707">
      <w:pPr>
        <w:pStyle w:val="enumlev2"/>
        <w:tabs>
          <w:tab w:val="clear" w:pos="1588"/>
          <w:tab w:val="left" w:pos="1440"/>
        </w:tabs>
        <w:rPr>
          <w:lang w:val="en-US"/>
        </w:rPr>
      </w:pPr>
      <w:r>
        <w:rPr>
          <w:lang w:val="en-US"/>
        </w:rPr>
        <w:lastRenderedPageBreak/>
        <w:t>or</w:t>
      </w:r>
      <w:r>
        <w:rPr>
          <w:rFonts w:ascii="Symbol" w:hAnsi="Symbol"/>
          <w:lang w:val="en-US"/>
        </w:rPr>
        <w:tab/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  <w:sz w:val="12"/>
        </w:rPr>
        <w:t></w:t>
      </w:r>
      <w:r>
        <w:rPr>
          <w:i/>
          <w:lang w:val="en-US"/>
        </w:rPr>
        <w:t>f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11</w:t>
      </w:r>
      <w:r>
        <w:rPr>
          <w:sz w:val="12"/>
          <w:lang w:val="en-US"/>
        </w:rPr>
        <w:t> </w:t>
      </w:r>
      <w:r>
        <w:rPr>
          <w:lang w:val="en-US"/>
        </w:rPr>
        <w:t xml:space="preserve">717.89 </w:t>
      </w:r>
      <w:r>
        <w:rPr>
          <w:rFonts w:ascii="Symbol" w:hAnsi="Symbol"/>
        </w:rPr>
        <w:t></w:t>
      </w:r>
      <w:r>
        <w:rPr>
          <w:lang w:val="en-US"/>
        </w:rPr>
        <w:t xml:space="preserve"> 19.18 </w:t>
      </w:r>
      <w:r>
        <w:rPr>
          <w:i/>
          <w:lang w:val="en-US"/>
        </w:rPr>
        <w:t>n</w:t>
      </w:r>
      <w:r>
        <w:rPr>
          <w:i/>
          <w:sz w:val="8"/>
          <w:lang w:val="en-US"/>
        </w:rPr>
        <w:t xml:space="preserve"> </w:t>
      </w:r>
      <w:r>
        <w:rPr>
          <w:i/>
          <w:lang w:val="en-US"/>
        </w:rPr>
        <w:t>              </w:t>
      </w:r>
      <w:r>
        <w:rPr>
          <w:lang w:val="en-US"/>
        </w:rPr>
        <w:t>MHz</w:t>
      </w:r>
    </w:p>
    <w:p w14:paraId="786D0B48" w14:textId="77777777" w:rsidR="00EF0707" w:rsidRDefault="00EF0707" w:rsidP="00EF0707">
      <w:pPr>
        <w:rPr>
          <w:lang w:val="en-US"/>
        </w:rPr>
      </w:pPr>
      <w:r>
        <w:rPr>
          <w:lang w:val="en-US"/>
        </w:rPr>
        <w:tab/>
        <w:t>where:</w:t>
      </w:r>
    </w:p>
    <w:p w14:paraId="0A56B5CA" w14:textId="77777777" w:rsidR="00EF0707" w:rsidRDefault="00EF0707" w:rsidP="00EF0707">
      <w:pPr>
        <w:pStyle w:val="enumlev3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..., 40;</w:t>
      </w:r>
    </w:p>
    <w:p w14:paraId="3B88A9F9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go and return channel separations should be compatible with BSS frequency grouping.</w:t>
      </w:r>
    </w:p>
    <w:p w14:paraId="04ED9A04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In the band 11.7-12.5 GHz, certain countries propose to use FWSs with SSB modulation for the simultaneous transmission of several television and sound-broadcasting signals by one or more transmitters to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receiving stations. The frequencies indicating the channel to be used for an individual television plus sound signal should correspond to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of the modulating band of the individual signal.</w:t>
      </w:r>
    </w:p>
    <w:p w14:paraId="2A3A35CA" w14:textId="77777777" w:rsidR="00EF0707" w:rsidRDefault="00EF0707" w:rsidP="00EF0707">
      <w:pPr>
        <w:rPr>
          <w:lang w:val="en-US"/>
        </w:rPr>
      </w:pPr>
    </w:p>
    <w:p w14:paraId="162E51EA" w14:textId="77777777" w:rsidR="00EF0707" w:rsidRDefault="00EF0707" w:rsidP="00EF0707">
      <w:pPr>
        <w:rPr>
          <w:lang w:val="en-US"/>
        </w:rPr>
      </w:pPr>
    </w:p>
    <w:p w14:paraId="0A093515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t>Annex 3</w:t>
      </w:r>
      <w:r>
        <w:rPr>
          <w:lang w:val="en-US"/>
        </w:rPr>
        <w:br/>
      </w:r>
      <w:r>
        <w:rPr>
          <w:lang w:val="en-US"/>
        </w:rPr>
        <w:br/>
        <w:t>Radio-frequency channel arrangement in the band 14.25-14.5 GHz</w:t>
      </w:r>
      <w:r>
        <w:rPr>
          <w:lang w:val="en-US"/>
        </w:rPr>
        <w:br/>
        <w:t>using a 14/28 MHz channel spacing</w:t>
      </w:r>
    </w:p>
    <w:p w14:paraId="1E462D83" w14:textId="77777777" w:rsidR="00EF0707" w:rsidRDefault="00EF0707" w:rsidP="00EF0707">
      <w:pPr>
        <w:pStyle w:val="Annexref"/>
        <w:spacing w:before="240" w:after="120"/>
      </w:pPr>
      <w:r>
        <w:t>(Table 1)</w:t>
      </w:r>
    </w:p>
    <w:p w14:paraId="054CCDFD" w14:textId="77777777" w:rsidR="00EF0707" w:rsidRDefault="00EF0707" w:rsidP="00EF0707">
      <w:pPr>
        <w:pStyle w:val="Normalaftertitle"/>
        <w:rPr>
          <w:lang w:val="en-US"/>
        </w:rPr>
      </w:pPr>
      <w:r>
        <w:rPr>
          <w:lang w:val="en-US"/>
        </w:rPr>
        <w:t xml:space="preserve">In the United Kingdom, the basic 14/28 MHz pattern is used in the band 14.25-14.5 GHz, as an extension of the 13 GHz band in Recommendation ITU-R F.497, to provide analogue television or medium and </w:t>
      </w:r>
      <w:proofErr w:type="gramStart"/>
      <w:r>
        <w:rPr>
          <w:lang w:val="en-US"/>
        </w:rPr>
        <w:t>low capacity</w:t>
      </w:r>
      <w:proofErr w:type="gramEnd"/>
      <w:r>
        <w:rPr>
          <w:lang w:val="en-US"/>
        </w:rPr>
        <w:t xml:space="preserve"> digital channels with channel spacings of 28, 14, 7 and 3.5 </w:t>
      </w:r>
      <w:proofErr w:type="spellStart"/>
      <w:r>
        <w:rPr>
          <w:lang w:val="en-US"/>
        </w:rPr>
        <w:t>MHz.</w:t>
      </w:r>
      <w:proofErr w:type="spellEnd"/>
    </w:p>
    <w:p w14:paraId="6E871CC1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Recommendation ITU-R F.636 shows preferred channel arrangements in the band 14.4-15.35 GHz, using the basic pattern which takes account of the differing restrictions imposed by various administrations in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of the band.</w:t>
      </w:r>
    </w:p>
    <w:p w14:paraId="5066FAA5" w14:textId="77777777" w:rsidR="00EF0707" w:rsidRDefault="00EF0707" w:rsidP="00EF0707">
      <w:pPr>
        <w:keepNext/>
        <w:keepLines/>
        <w:rPr>
          <w:lang w:val="en-US"/>
        </w:rPr>
      </w:pPr>
      <w:r>
        <w:rPr>
          <w:lang w:val="en-US"/>
        </w:rPr>
        <w:t>The basic 28 MHz channel arrangement is as follows:</w:t>
      </w:r>
    </w:p>
    <w:p w14:paraId="19AA6063" w14:textId="77777777" w:rsidR="00EF0707" w:rsidRDefault="00EF0707" w:rsidP="00EF0707">
      <w:pPr>
        <w:pStyle w:val="enumlev1"/>
        <w:keepNext/>
        <w:keepLines/>
        <w:tabs>
          <w:tab w:val="left" w:pos="3402"/>
          <w:tab w:val="left" w:pos="5753"/>
          <w:tab w:val="left" w:pos="6096"/>
        </w:tabs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2</w:t>
      </w:r>
      <w:r>
        <w:rPr>
          <w:sz w:val="12"/>
          <w:lang w:val="en-US"/>
        </w:rPr>
        <w:t> </w:t>
      </w:r>
      <w:r>
        <w:rPr>
          <w:lang w:val="en-US"/>
        </w:rPr>
        <w:t xml:space="preserve">534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lang w:val="en-US"/>
        </w:rPr>
        <w:t>n</w:t>
      </w:r>
      <w:r>
        <w:rPr>
          <w:lang w:val="en-US"/>
        </w:rPr>
        <w:t>                MHz</w:t>
      </w:r>
    </w:p>
    <w:p w14:paraId="384084A4" w14:textId="77777777" w:rsidR="00EF0707" w:rsidRDefault="00EF0707" w:rsidP="00EF0707">
      <w:pPr>
        <w:pStyle w:val="enumlev1"/>
        <w:keepNext/>
        <w:keepLines/>
        <w:tabs>
          <w:tab w:val="left" w:pos="3304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</w:r>
      <w:r w:rsidRPr="00B55818">
        <w:rPr>
          <w:position w:val="-12"/>
        </w:rPr>
        <w:object w:dxaOrig="300" w:dyaOrig="360" w14:anchorId="264450BA">
          <v:shape id="_x0000_i1031" type="#_x0000_t75" style="width:15.05pt;height:17.55pt" o:ole="">
            <v:imagedata r:id="rId61" o:title=""/>
          </v:shape>
          <o:OLEObject Type="Embed" ProgID="Equation.3" ShapeID="_x0000_i1031" DrawAspect="Content" ObjectID="_1787996045" r:id="rId62"/>
        </w:object>
      </w:r>
      <w:r>
        <w:rPr>
          <w:rFonts w:ascii="Tms Rmn" w:hAnsi="Tms Rmn"/>
          <w:sz w:val="10"/>
          <w:lang w:val="en-US"/>
        </w:rPr>
        <w:t> 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2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 xml:space="preserve">674 </w:t>
      </w:r>
      <w:r>
        <w:rPr>
          <w:rFonts w:ascii="Symbol" w:hAnsi="Symbol"/>
        </w:rPr>
        <w:t></w:t>
      </w:r>
      <w:r>
        <w:rPr>
          <w:lang w:val="en-US"/>
        </w:rPr>
        <w:t xml:space="preserve"> 28</w:t>
      </w:r>
      <w:r>
        <w:rPr>
          <w:i/>
          <w:lang w:val="en-US"/>
        </w:rPr>
        <w:t xml:space="preserve"> n</w:t>
      </w:r>
      <w:r>
        <w:rPr>
          <w:lang w:val="en-US"/>
        </w:rPr>
        <w:t>                MHz</w:t>
      </w:r>
    </w:p>
    <w:p w14:paraId="1E2D56C8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4C66E9E8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  <w:t>reference frequency</w:t>
      </w:r>
    </w:p>
    <w:p w14:paraId="23284C6A" w14:textId="77777777" w:rsidR="00EF0707" w:rsidRDefault="00EF0707" w:rsidP="00EF0707">
      <w:pPr>
        <w:pStyle w:val="enumlev1"/>
        <w:rPr>
          <w:lang w:val="en-US"/>
        </w:rPr>
      </w:pPr>
      <w:r>
        <w:rPr>
          <w:i/>
          <w:lang w:val="en-US"/>
        </w:rPr>
        <w:tab/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1, 2, 3, 4.</w:t>
      </w:r>
    </w:p>
    <w:p w14:paraId="5C083DE5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The frequency arrangement with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701 MHz is shown in Fig. 3.</w:t>
      </w:r>
    </w:p>
    <w:p w14:paraId="433B6DA8" w14:textId="77777777" w:rsidR="00EF0707" w:rsidRDefault="00EF0707" w:rsidP="00EF0707">
      <w:pPr>
        <w:pStyle w:val="FigureNo"/>
        <w:rPr>
          <w:lang w:val="en-US"/>
        </w:rPr>
      </w:pPr>
      <w:r>
        <w:rPr>
          <w:lang w:val="en-US"/>
        </w:rPr>
        <w:lastRenderedPageBreak/>
        <w:t>figure 3</w:t>
      </w:r>
    </w:p>
    <w:p w14:paraId="59EA9C59" w14:textId="77777777" w:rsidR="00EF0707" w:rsidRDefault="00EF0707" w:rsidP="00EF0707">
      <w:pPr>
        <w:pStyle w:val="Figuretitle"/>
        <w:rPr>
          <w:rFonts w:ascii="Times New Roman"/>
          <w:b w:val="0"/>
          <w:bCs/>
          <w:lang w:val="en-US"/>
        </w:rPr>
      </w:pPr>
      <w:r>
        <w:rPr>
          <w:lang w:val="en-US"/>
        </w:rPr>
        <w:t>Radio-frequency channel arrangement in the frequency band 14.25-14.5 GHz</w:t>
      </w:r>
      <w:r>
        <w:rPr>
          <w:lang w:val="en-US"/>
        </w:rPr>
        <w:br/>
      </w:r>
      <w:r w:rsidRPr="008D63F5">
        <w:rPr>
          <w:rFonts w:ascii="Times New Roman"/>
          <w:b w:val="0"/>
          <w:bCs/>
          <w:lang w:val="en-US"/>
        </w:rPr>
        <w:t>(All frequencies in MHz)</w:t>
      </w:r>
    </w:p>
    <w:p w14:paraId="187CE5C4" w14:textId="77777777" w:rsidR="00EF0707" w:rsidRPr="008D63F5" w:rsidRDefault="00EF0707" w:rsidP="00EF0707">
      <w:pPr>
        <w:pStyle w:val="Figure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F115103" wp14:editId="465D9C1B">
            <wp:extent cx="3898400" cy="1429515"/>
            <wp:effectExtent l="0" t="0" r="6985" b="0"/>
            <wp:docPr id="17049403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4033" name="Picture 2" descr="A black background with a black square&#10;&#10;Description automatically generated with medium confidence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400" cy="14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451B" w14:textId="77777777" w:rsidR="00EF0707" w:rsidRDefault="00EF0707" w:rsidP="00EF0707">
      <w:pPr>
        <w:pStyle w:val="Note"/>
        <w:spacing w:before="240"/>
        <w:rPr>
          <w:lang w:val="en-US"/>
        </w:rPr>
      </w:pPr>
      <w:r>
        <w:rPr>
          <w:lang w:val="en-US"/>
        </w:rPr>
        <w:t xml:space="preserve">NOTE 1 – Due to the narrow edge and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guardbands</w:t>
      </w:r>
      <w:proofErr w:type="spellEnd"/>
      <w:r>
        <w:rPr>
          <w:lang w:val="en-US"/>
        </w:rPr>
        <w:t>, channels 1 and 4 are unsuitable for use at 34 Mbit/s on a 28 MHz channel spacing. These channels are, therefore, restricted to use for 625</w:t>
      </w:r>
      <w:r>
        <w:rPr>
          <w:lang w:val="en-US"/>
        </w:rPr>
        <w:noBreakHyphen/>
        <w:t xml:space="preserve">line analogue television or </w:t>
      </w:r>
      <w:proofErr w:type="gramStart"/>
      <w:r>
        <w:rPr>
          <w:lang w:val="en-US"/>
        </w:rPr>
        <w:t>low capacity</w:t>
      </w:r>
      <w:proofErr w:type="gramEnd"/>
      <w:r>
        <w:rPr>
          <w:lang w:val="en-US"/>
        </w:rPr>
        <w:t xml:space="preserve"> digital systems, with the channels subdivided to 7 and 3.5 MHz, in a similar manner to that adopted in Recommendation ITU-R F.497, § 10, Alternatives I and III.</w:t>
      </w:r>
    </w:p>
    <w:p w14:paraId="0272D96E" w14:textId="77777777" w:rsidR="00EF0707" w:rsidRDefault="00EF0707" w:rsidP="00EF0707">
      <w:pPr>
        <w:rPr>
          <w:lang w:val="en-US"/>
        </w:rPr>
      </w:pPr>
    </w:p>
    <w:p w14:paraId="0B0C026B" w14:textId="77777777" w:rsidR="00EF0707" w:rsidRDefault="00EF0707" w:rsidP="00EF0707">
      <w:pPr>
        <w:rPr>
          <w:lang w:val="en-US"/>
        </w:rPr>
      </w:pPr>
    </w:p>
    <w:p w14:paraId="66C571DA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t>Annex 4</w:t>
      </w:r>
      <w:r>
        <w:rPr>
          <w:lang w:val="en-US"/>
        </w:rPr>
        <w:br/>
      </w:r>
      <w:r>
        <w:rPr>
          <w:lang w:val="en-US"/>
        </w:rPr>
        <w:br/>
        <w:t>Radio-frequency channel arrangement in the band 14.25-14.5 GHz</w:t>
      </w:r>
      <w:r>
        <w:rPr>
          <w:lang w:val="en-US"/>
        </w:rPr>
        <w:br/>
        <w:t>using 7, 14 and 28 MHz channel spacing</w:t>
      </w:r>
    </w:p>
    <w:p w14:paraId="3FADA4C2" w14:textId="77777777" w:rsidR="00EF0707" w:rsidRDefault="00EF0707" w:rsidP="00EF0707">
      <w:pPr>
        <w:pStyle w:val="Annexref"/>
        <w:spacing w:before="240" w:after="120"/>
      </w:pPr>
      <w:r>
        <w:t>(Table 1)</w:t>
      </w:r>
    </w:p>
    <w:p w14:paraId="0396789A" w14:textId="77777777" w:rsidR="00EF0707" w:rsidRDefault="00EF0707" w:rsidP="00EF0707">
      <w:pPr>
        <w:pStyle w:val="Normalaftertitle"/>
        <w:rPr>
          <w:lang w:val="en-US"/>
        </w:rPr>
      </w:pPr>
      <w:r>
        <w:rPr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Italy</w:t>
          </w:r>
        </w:smartTag>
      </w:smartTag>
      <w:r>
        <w:rPr>
          <w:lang w:val="en-US"/>
        </w:rPr>
        <w:t>, the band 14.25-14.5 GHz is used, with radio channels of various width, for the transmission of digital TV signals with different coding formats.</w:t>
      </w:r>
    </w:p>
    <w:p w14:paraId="3E9D626B" w14:textId="77777777" w:rsidR="00EF0707" w:rsidRDefault="00EF0707" w:rsidP="00EF0707">
      <w:pPr>
        <w:rPr>
          <w:lang w:val="en-US"/>
        </w:rPr>
      </w:pPr>
      <w:r>
        <w:rPr>
          <w:lang w:val="en-US"/>
        </w:rPr>
        <w:t>The basic 28 MHz channel arrangement is derived as follows:</w:t>
      </w:r>
    </w:p>
    <w:p w14:paraId="36D57EBC" w14:textId="77777777" w:rsidR="00EF0707" w:rsidRDefault="00EF0707" w:rsidP="00EF0707">
      <w:pPr>
        <w:pStyle w:val="enumlev1"/>
        <w:tabs>
          <w:tab w:val="left" w:pos="3402"/>
          <w:tab w:val="left" w:pos="5753"/>
        </w:tabs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i/>
          <w:vertAlign w:val="subscript"/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2</w:t>
      </w:r>
      <w:r>
        <w:rPr>
          <w:sz w:val="12"/>
          <w:lang w:val="en-US"/>
        </w:rPr>
        <w:t> </w:t>
      </w:r>
      <w:r>
        <w:rPr>
          <w:lang w:val="en-US"/>
        </w:rPr>
        <w:t xml:space="preserve">536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lang w:val="en-US"/>
        </w:rPr>
        <w:t>n                </w:t>
      </w:r>
      <w:r>
        <w:rPr>
          <w:lang w:val="en-US"/>
        </w:rPr>
        <w:t>MHz</w:t>
      </w:r>
    </w:p>
    <w:p w14:paraId="376BC04C" w14:textId="77777777" w:rsidR="00EF0707" w:rsidRDefault="00EF0707" w:rsidP="00EF0707">
      <w:pPr>
        <w:pStyle w:val="enumlev1"/>
        <w:tabs>
          <w:tab w:val="left" w:pos="3304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proofErr w:type="gramStart"/>
      <w:r>
        <w:rPr>
          <w:i/>
          <w:vertAlign w:val="subscript"/>
          <w:lang w:val="en-US"/>
        </w:rPr>
        <w:t>’</w:t>
      </w:r>
      <w:r>
        <w:rPr>
          <w:i/>
          <w:lang w:val="en-US"/>
        </w:rPr>
        <w:t xml:space="preserve"> </w:t>
      </w:r>
      <w:r>
        <w:rPr>
          <w:rFonts w:ascii="Tms Rmn" w:hAnsi="Tms Rmn"/>
          <w:sz w:val="10"/>
          <w:lang w:val="en-US"/>
        </w:rPr>
        <w:t> </w:t>
      </w:r>
      <w:r>
        <w:rPr>
          <w:rFonts w:ascii="Symbol" w:hAnsi="Symbol"/>
        </w:rPr>
        <w:t></w:t>
      </w:r>
      <w:proofErr w:type="gram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2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 xml:space="preserve">672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lang w:val="en-US"/>
        </w:rPr>
        <w:t>n                </w:t>
      </w:r>
      <w:r>
        <w:rPr>
          <w:lang w:val="en-US"/>
        </w:rPr>
        <w:t>MHz</w:t>
      </w:r>
    </w:p>
    <w:p w14:paraId="3BBD00D2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5CD550A1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sz w:val="16"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ab/>
        <w:t>reference frequency</w:t>
      </w:r>
    </w:p>
    <w:p w14:paraId="7E83103E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1, 2, 3, 4.</w:t>
      </w:r>
    </w:p>
    <w:p w14:paraId="05131FFA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 xml:space="preserve">The frequency arrangement with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701 MHz is shown in Fig. 4.</w:t>
      </w:r>
    </w:p>
    <w:p w14:paraId="49BE5A44" w14:textId="77777777" w:rsidR="00EF0707" w:rsidRDefault="00EF0707" w:rsidP="00EF0707">
      <w:pPr>
        <w:rPr>
          <w:lang w:val="en-US"/>
        </w:rPr>
      </w:pPr>
      <w:r>
        <w:rPr>
          <w:lang w:val="en-US"/>
        </w:rPr>
        <w:t>Channel arrangements with the lower 7 and 14</w:t>
      </w:r>
      <w:r>
        <w:rPr>
          <w:lang w:val="en-US" w:eastAsia="ja-JP"/>
        </w:rPr>
        <w:t> </w:t>
      </w:r>
      <w:r>
        <w:rPr>
          <w:lang w:val="en-US"/>
        </w:rPr>
        <w:t>MHz are obtained by subdivision of the basic 28 MHz channels.</w:t>
      </w:r>
    </w:p>
    <w:p w14:paraId="2699AF22" w14:textId="77777777" w:rsidR="00EF0707" w:rsidRDefault="00EF0707" w:rsidP="00EF0707">
      <w:pPr>
        <w:pStyle w:val="FigureNo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FIGURE 4</w:t>
      </w:r>
    </w:p>
    <w:p w14:paraId="70E06951" w14:textId="77777777" w:rsidR="00EF0707" w:rsidRDefault="00EF0707" w:rsidP="00EF0707">
      <w:pPr>
        <w:pStyle w:val="Figuretitle"/>
        <w:rPr>
          <w:lang w:val="en-US"/>
        </w:rPr>
      </w:pPr>
      <w:r>
        <w:rPr>
          <w:lang w:val="en-US"/>
        </w:rPr>
        <w:t xml:space="preserve">Radio-frequency channel </w:t>
      </w:r>
      <w:r w:rsidRPr="00C32C77">
        <w:rPr>
          <w:lang w:val="en-US"/>
        </w:rPr>
        <w:t>arrangements</w:t>
      </w:r>
      <w:r>
        <w:rPr>
          <w:lang w:val="en-US"/>
        </w:rPr>
        <w:t xml:space="preserve"> for FWSs operating in the 14 GHz band with 28 MHz separation</w:t>
      </w:r>
    </w:p>
    <w:p w14:paraId="6C352A94" w14:textId="77777777" w:rsidR="00EF0707" w:rsidRDefault="00EF0707" w:rsidP="00EF0707">
      <w:pPr>
        <w:spacing w:before="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(All frequencies in MHz)</w:t>
      </w:r>
    </w:p>
    <w:p w14:paraId="4EAF6E2B" w14:textId="77777777" w:rsidR="00EF0707" w:rsidRDefault="00EF0707" w:rsidP="00EF0707">
      <w:pPr>
        <w:pStyle w:val="Figure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03AA49C" wp14:editId="34C99E42">
            <wp:extent cx="4968250" cy="2136652"/>
            <wp:effectExtent l="0" t="0" r="3810" b="0"/>
            <wp:docPr id="66870212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02129" name="Picture 1" descr="A black background with a black square&#10;&#10;Description automatically generated with medium confidence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50" cy="213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51F2" w14:textId="77777777" w:rsidR="00EF0707" w:rsidRDefault="00EF0707" w:rsidP="00EF0707">
      <w:pPr>
        <w:rPr>
          <w:lang w:val="en-US"/>
        </w:rPr>
      </w:pPr>
    </w:p>
    <w:p w14:paraId="2EAE8117" w14:textId="77777777" w:rsidR="00EF0707" w:rsidRPr="00AF0FE4" w:rsidRDefault="00EF0707" w:rsidP="00EF0707">
      <w:pPr>
        <w:rPr>
          <w:lang w:val="en-US"/>
        </w:rPr>
      </w:pPr>
    </w:p>
    <w:p w14:paraId="779B1077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t>Annex 5</w:t>
      </w:r>
      <w:r>
        <w:rPr>
          <w:lang w:val="en-US"/>
        </w:rPr>
        <w:br/>
      </w:r>
      <w:r>
        <w:rPr>
          <w:lang w:val="en-US"/>
        </w:rPr>
        <w:br/>
        <w:t>Radio-frequency channel arrangement in the band 31.0-31.3 GHz</w:t>
      </w:r>
    </w:p>
    <w:p w14:paraId="12D39F84" w14:textId="77777777" w:rsidR="00EF0707" w:rsidRDefault="00EF0707" w:rsidP="00EF0707">
      <w:pPr>
        <w:pStyle w:val="Annexref"/>
        <w:spacing w:before="240" w:after="120"/>
      </w:pPr>
      <w:r>
        <w:t>(Table 2)</w:t>
      </w:r>
    </w:p>
    <w:p w14:paraId="5B9B4F36" w14:textId="77777777" w:rsidR="00EF0707" w:rsidRDefault="00EF0707" w:rsidP="00EF0707">
      <w:pPr>
        <w:pStyle w:val="Normalaftertitle"/>
        <w:rPr>
          <w:lang w:val="en-US"/>
        </w:rPr>
      </w:pPr>
      <w:r>
        <w:rPr>
          <w:lang w:val="en-US"/>
        </w:rPr>
        <w:t xml:space="preserve">This band is intended, in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United States of America</w:t>
          </w:r>
        </w:smartTag>
      </w:smartTag>
      <w:r>
        <w:rPr>
          <w:lang w:val="en-US"/>
        </w:rPr>
        <w:t>, for use without prior frequency coordination and without protection against harmful interference. Either 25 MHz or 50 MHz channels can be used.</w:t>
      </w:r>
    </w:p>
    <w:p w14:paraId="703AB6A9" w14:textId="77777777" w:rsidR="00EF0707" w:rsidRDefault="00EF0707" w:rsidP="00EF0707">
      <w:pPr>
        <w:rPr>
          <w:lang w:val="en-US"/>
        </w:rPr>
      </w:pPr>
      <w:r>
        <w:rPr>
          <w:lang w:val="en-US"/>
        </w:rPr>
        <w:t>The radio-frequency channel arrangement with 25 MHz channels can be represented as follows:</w:t>
      </w:r>
    </w:p>
    <w:p w14:paraId="177E6EC1" w14:textId="77777777" w:rsidR="00EF0707" w:rsidRDefault="00EF0707" w:rsidP="00EF0707">
      <w:pPr>
        <w:pStyle w:val="Equation"/>
      </w:pPr>
      <w:r>
        <w:rPr>
          <w:lang w:val="en-US"/>
        </w:rPr>
        <w:tab/>
      </w:r>
      <w:r>
        <w:rPr>
          <w:lang w:val="en-US"/>
        </w:rPr>
        <w:tab/>
      </w:r>
      <w:r w:rsidRPr="00B55818">
        <w:rPr>
          <w:position w:val="-12"/>
        </w:rPr>
        <w:object w:dxaOrig="1440" w:dyaOrig="360" w14:anchorId="25D9B315">
          <v:shape id="_x0000_i1032" type="#_x0000_t75" style="width:1in;height:17.55pt" o:ole="">
            <v:imagedata r:id="rId65" o:title=""/>
          </v:shape>
          <o:OLEObject Type="Embed" ProgID="Equation.3" ShapeID="_x0000_i1032" DrawAspect="Content" ObjectID="_1787996046" r:id="rId66"/>
        </w:object>
      </w:r>
    </w:p>
    <w:p w14:paraId="686B913E" w14:textId="77777777" w:rsidR="00EF0707" w:rsidRDefault="00EF0707" w:rsidP="00EF0707">
      <w:pPr>
        <w:pStyle w:val="Equation"/>
        <w:rPr>
          <w:lang w:val="en-US"/>
        </w:rPr>
      </w:pPr>
      <w:r>
        <w:rPr>
          <w:lang w:val="en-US"/>
        </w:rPr>
        <w:t>where:</w:t>
      </w:r>
    </w:p>
    <w:p w14:paraId="01AFDB08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1, 2, 3, ..., 12</w:t>
      </w:r>
    </w:p>
    <w:p w14:paraId="52727DC6" w14:textId="77777777" w:rsidR="00EF0707" w:rsidRDefault="00EF0707" w:rsidP="00EF0707">
      <w:pPr>
        <w:pStyle w:val="enumlev1"/>
        <w:rPr>
          <w:lang w:val="en-US"/>
        </w:rPr>
      </w:pPr>
      <w:r>
        <w:rPr>
          <w:i/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(reference frequency) </w:t>
      </w:r>
      <w:r>
        <w:rPr>
          <w:rFonts w:ascii="Symbol" w:hAnsi="Symbol"/>
        </w:rPr>
        <w:t></w:t>
      </w:r>
      <w:r>
        <w:rPr>
          <w:lang w:val="en-US"/>
        </w:rPr>
        <w:t xml:space="preserve"> 30</w:t>
      </w:r>
      <w:r>
        <w:rPr>
          <w:sz w:val="12"/>
          <w:lang w:val="en-US"/>
        </w:rPr>
        <w:t> </w:t>
      </w:r>
      <w:r>
        <w:rPr>
          <w:lang w:val="en-US"/>
        </w:rPr>
        <w:t xml:space="preserve">987.5 </w:t>
      </w:r>
      <w:proofErr w:type="spellStart"/>
      <w:r>
        <w:rPr>
          <w:lang w:val="en-US"/>
        </w:rPr>
        <w:t>MHz.</w:t>
      </w:r>
      <w:proofErr w:type="spellEnd"/>
    </w:p>
    <w:p w14:paraId="0D4FF3CB" w14:textId="77777777" w:rsidR="00EF0707" w:rsidRDefault="00EF0707" w:rsidP="00EF0707">
      <w:pPr>
        <w:rPr>
          <w:lang w:val="en-US"/>
        </w:rPr>
      </w:pPr>
      <w:r>
        <w:rPr>
          <w:lang w:val="en-US"/>
        </w:rPr>
        <w:t>The corresponding arrangement for 50 MHz channels is as follows:</w:t>
      </w:r>
    </w:p>
    <w:p w14:paraId="4F487B93" w14:textId="77777777" w:rsidR="00EF0707" w:rsidRDefault="00EF0707" w:rsidP="00EF0707">
      <w:pPr>
        <w:pStyle w:val="Equation"/>
      </w:pPr>
      <w:r>
        <w:rPr>
          <w:lang w:val="en-US"/>
        </w:rPr>
        <w:tab/>
      </w:r>
      <w:r>
        <w:rPr>
          <w:lang w:val="en-US"/>
        </w:rPr>
        <w:tab/>
      </w:r>
      <w:r w:rsidRPr="00B55818">
        <w:rPr>
          <w:position w:val="-12"/>
        </w:rPr>
        <w:object w:dxaOrig="1440" w:dyaOrig="360" w14:anchorId="2BB7F95B">
          <v:shape id="_x0000_i1033" type="#_x0000_t75" style="width:1in;height:17.55pt" o:ole="">
            <v:imagedata r:id="rId67" o:title=""/>
          </v:shape>
          <o:OLEObject Type="Embed" ProgID="Equation.3" ShapeID="_x0000_i1033" DrawAspect="Content" ObjectID="_1787996047" r:id="rId68"/>
        </w:object>
      </w:r>
    </w:p>
    <w:p w14:paraId="2AB9A586" w14:textId="77777777" w:rsidR="00EF0707" w:rsidRDefault="00EF0707" w:rsidP="00EF0707">
      <w:pPr>
        <w:pStyle w:val="Equation"/>
        <w:keepNext/>
        <w:keepLines/>
        <w:rPr>
          <w:lang w:val="en-US"/>
        </w:rPr>
      </w:pPr>
      <w:r>
        <w:rPr>
          <w:lang w:val="en-US"/>
        </w:rPr>
        <w:t>where:</w:t>
      </w:r>
    </w:p>
    <w:p w14:paraId="2F0FC778" w14:textId="77777777" w:rsidR="00EF0707" w:rsidRDefault="00EF0707" w:rsidP="00EF0707">
      <w:pPr>
        <w:pStyle w:val="enumlev1"/>
        <w:keepNext/>
        <w:keepLines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1, 2, 3, 4, 5, 6</w:t>
      </w:r>
    </w:p>
    <w:p w14:paraId="0B640C81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(reference frequency) </w:t>
      </w:r>
      <w:r>
        <w:rPr>
          <w:rFonts w:ascii="Symbol" w:hAnsi="Symbol"/>
        </w:rPr>
        <w:t></w:t>
      </w:r>
      <w:r>
        <w:rPr>
          <w:lang w:val="en-US"/>
        </w:rPr>
        <w:t xml:space="preserve"> 30</w:t>
      </w:r>
      <w:r>
        <w:rPr>
          <w:sz w:val="12"/>
          <w:lang w:val="en-US"/>
        </w:rPr>
        <w:t> </w:t>
      </w:r>
      <w:r>
        <w:rPr>
          <w:lang w:val="en-US"/>
        </w:rPr>
        <w:t xml:space="preserve">975 </w:t>
      </w:r>
      <w:proofErr w:type="spellStart"/>
      <w:r>
        <w:rPr>
          <w:lang w:val="en-US"/>
        </w:rPr>
        <w:t>MHz.</w:t>
      </w:r>
      <w:proofErr w:type="spellEnd"/>
    </w:p>
    <w:p w14:paraId="18407666" w14:textId="77777777" w:rsidR="00EF0707" w:rsidRDefault="00EF0707" w:rsidP="00EF0707">
      <w:pPr>
        <w:rPr>
          <w:lang w:val="en-US"/>
        </w:rPr>
      </w:pPr>
      <w:r>
        <w:rPr>
          <w:lang w:val="en-US"/>
        </w:rPr>
        <w:t>For two-way operation in either radio-frequency channel arrangement, the go-return separation is 150 </w:t>
      </w:r>
      <w:proofErr w:type="spellStart"/>
      <w:r>
        <w:rPr>
          <w:lang w:val="en-US"/>
        </w:rPr>
        <w:t>MHz.</w:t>
      </w:r>
      <w:proofErr w:type="spellEnd"/>
    </w:p>
    <w:p w14:paraId="7C0AF01B" w14:textId="77777777" w:rsidR="00EF0707" w:rsidRDefault="00EF0707" w:rsidP="00EF0707">
      <w:pPr>
        <w:pStyle w:val="AnnexNoTitle"/>
        <w:rPr>
          <w:lang w:val="en-US"/>
        </w:rPr>
      </w:pPr>
      <w:r>
        <w:rPr>
          <w:lang w:val="en-US"/>
        </w:rPr>
        <w:lastRenderedPageBreak/>
        <w:t>Annex 6</w:t>
      </w:r>
      <w:r>
        <w:rPr>
          <w:lang w:val="en-US"/>
        </w:rPr>
        <w:br/>
      </w:r>
      <w:r>
        <w:rPr>
          <w:lang w:val="en-US"/>
        </w:rPr>
        <w:br/>
        <w:t>Radio-frequency channel arrangements in the band 31.0-31.3 GHz</w:t>
      </w:r>
    </w:p>
    <w:p w14:paraId="4AAA3FD5" w14:textId="77777777" w:rsidR="00EF0707" w:rsidRDefault="00EF0707" w:rsidP="00EF0707">
      <w:pPr>
        <w:pStyle w:val="Annexref"/>
        <w:spacing w:before="240" w:after="120"/>
      </w:pPr>
      <w:r>
        <w:t>(Table 2)</w:t>
      </w:r>
    </w:p>
    <w:p w14:paraId="005FAA52" w14:textId="77777777" w:rsidR="00EF0707" w:rsidRDefault="00EF0707" w:rsidP="00EF0707">
      <w:pPr>
        <w:pStyle w:val="Normalaftertitle"/>
        <w:rPr>
          <w:lang w:val="en-US"/>
        </w:rPr>
      </w:pPr>
      <w:r>
        <w:rPr>
          <w:lang w:val="en-US"/>
        </w:rPr>
        <w:t>This band is intended to be used in some CEPT countries, according to the following channel arrangements for TDD or FDD FWS systems.</w:t>
      </w:r>
    </w:p>
    <w:p w14:paraId="7115BA64" w14:textId="77777777" w:rsidR="00EF0707" w:rsidRDefault="00EF0707" w:rsidP="00EF070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Channel arrangement in the band 31.0-31.3 GHz for TDD systems</w:t>
      </w:r>
    </w:p>
    <w:p w14:paraId="699C8DC8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frequencies for channel separations of 3.5 MHz, 7 MHz, 14 MHz and 28 MHz shall be derived as follows:</w:t>
      </w:r>
    </w:p>
    <w:p w14:paraId="35F818D5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Let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ab/>
        <w:t>be the reference frequency of 31 000 MHz,</w:t>
      </w:r>
    </w:p>
    <w:p w14:paraId="09DD81CB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ab/>
        <w:t xml:space="preserve">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frequency of a radio-frequency channel in the band 31.0-31.3 GHz,</w:t>
      </w:r>
    </w:p>
    <w:p w14:paraId="11C8F721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then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frequencies of individual channels are expressed by the following relationships:</w:t>
      </w:r>
    </w:p>
    <w:p w14:paraId="65BD712C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for systems with a channel separation of 28 MHz:</w:t>
      </w:r>
    </w:p>
    <w:p w14:paraId="2FAB8A10" w14:textId="77777777" w:rsidR="00EF0707" w:rsidRDefault="00EF0707" w:rsidP="00EF0707">
      <w:pPr>
        <w:pStyle w:val="Equation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3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iCs/>
          <w:lang w:val="en-US"/>
        </w:rPr>
        <w:t>n</w:t>
      </w:r>
      <w:r>
        <w:rPr>
          <w:lang w:val="en-US"/>
        </w:rPr>
        <w:t>                   MHz</w:t>
      </w:r>
    </w:p>
    <w:p w14:paraId="62DC62EC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3BCBF324" w14:textId="77777777" w:rsidR="00EF0707" w:rsidRDefault="00EF0707" w:rsidP="00EF0707">
      <w:pPr>
        <w:pStyle w:val="Equationlegend"/>
        <w:tabs>
          <w:tab w:val="left" w:pos="720"/>
        </w:tabs>
      </w:pPr>
      <w:r>
        <w:tab/>
      </w:r>
      <w:r>
        <w:rPr>
          <w:i/>
          <w:iCs/>
        </w:rPr>
        <w:t>n</w:t>
      </w:r>
      <w:r>
        <w:t xml:space="preserve"> </w:t>
      </w:r>
      <w:r>
        <w:rPr>
          <w:rFonts w:ascii="Symbol" w:hAnsi="Symbol"/>
        </w:rPr>
        <w:t></w:t>
      </w:r>
      <w:r>
        <w:t xml:space="preserve"> 1, 2, 3, …......9</w:t>
      </w:r>
    </w:p>
    <w:p w14:paraId="1A3B8C24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for systems with a channel separation of 14 MHz:</w:t>
      </w:r>
    </w:p>
    <w:p w14:paraId="797BEF4E" w14:textId="77777777" w:rsidR="00EF0707" w:rsidRDefault="00EF0707" w:rsidP="00EF0707">
      <w:pPr>
        <w:pStyle w:val="Equation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10 </w:t>
      </w:r>
      <w:r>
        <w:rPr>
          <w:rFonts w:ascii="Symbol" w:hAnsi="Symbol"/>
        </w:rPr>
        <w:t></w:t>
      </w:r>
      <w:r>
        <w:rPr>
          <w:lang w:val="en-US"/>
        </w:rPr>
        <w:t xml:space="preserve"> 14 </w:t>
      </w:r>
      <w:r>
        <w:rPr>
          <w:i/>
          <w:iCs/>
          <w:lang w:val="en-US"/>
        </w:rPr>
        <w:t>n</w:t>
      </w:r>
      <w:r>
        <w:rPr>
          <w:lang w:val="en-US"/>
        </w:rPr>
        <w:t>                MHz</w:t>
      </w:r>
    </w:p>
    <w:p w14:paraId="22988650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50657205" w14:textId="77777777" w:rsidR="00EF0707" w:rsidRDefault="00EF0707" w:rsidP="00EF0707">
      <w:pPr>
        <w:pStyle w:val="Equationlegend"/>
        <w:tabs>
          <w:tab w:val="left" w:pos="720"/>
        </w:tabs>
      </w:pPr>
      <w:r>
        <w:tab/>
      </w:r>
      <w:r>
        <w:tab/>
      </w:r>
      <w:r>
        <w:rPr>
          <w:i/>
          <w:iCs/>
        </w:rPr>
        <w:t>n</w:t>
      </w:r>
      <w:r>
        <w:t xml:space="preserve"> </w:t>
      </w:r>
      <w:r>
        <w:rPr>
          <w:rFonts w:ascii="Symbol" w:hAnsi="Symbol"/>
        </w:rPr>
        <w:t></w:t>
      </w:r>
      <w:r>
        <w:t xml:space="preserve"> 1, 2, 3, …......18</w:t>
      </w:r>
    </w:p>
    <w:p w14:paraId="5ED4042E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for systems with a channel separation of 7 MHz:</w:t>
      </w:r>
    </w:p>
    <w:p w14:paraId="06B134CD" w14:textId="77777777" w:rsidR="00EF0707" w:rsidRDefault="00EF0707" w:rsidP="00EF0707">
      <w:pPr>
        <w:pStyle w:val="Equation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13.5 </w:t>
      </w:r>
      <w:r>
        <w:rPr>
          <w:rFonts w:ascii="Symbol" w:hAnsi="Symbol"/>
        </w:rPr>
        <w:t></w:t>
      </w:r>
      <w:r>
        <w:rPr>
          <w:lang w:val="en-US"/>
        </w:rPr>
        <w:t xml:space="preserve"> 7 </w:t>
      </w:r>
      <w:r>
        <w:rPr>
          <w:i/>
          <w:iCs/>
          <w:lang w:val="en-US"/>
        </w:rPr>
        <w:t>n</w:t>
      </w:r>
      <w:r>
        <w:rPr>
          <w:lang w:val="en-US"/>
        </w:rPr>
        <w:t>                MHz</w:t>
      </w:r>
    </w:p>
    <w:p w14:paraId="57435903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4DBABF4D" w14:textId="77777777" w:rsidR="00EF0707" w:rsidRDefault="00EF0707" w:rsidP="00EF0707">
      <w:pPr>
        <w:pStyle w:val="Equationlegend"/>
        <w:tabs>
          <w:tab w:val="left" w:pos="720"/>
        </w:tabs>
      </w:pPr>
      <w:r>
        <w:tab/>
      </w:r>
      <w:r>
        <w:rPr>
          <w:i/>
          <w:iCs/>
        </w:rPr>
        <w:t>n</w:t>
      </w:r>
      <w:r>
        <w:t xml:space="preserve"> </w:t>
      </w:r>
      <w:r>
        <w:rPr>
          <w:rFonts w:ascii="Symbol" w:hAnsi="Symbol"/>
        </w:rPr>
        <w:t></w:t>
      </w:r>
      <w:r>
        <w:t xml:space="preserve"> 1, 2, 3, …......36</w:t>
      </w:r>
    </w:p>
    <w:p w14:paraId="1049C671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for systems with a channel separation of 3.5 MHz:</w:t>
      </w:r>
    </w:p>
    <w:p w14:paraId="794E8BE1" w14:textId="77777777" w:rsidR="00EF0707" w:rsidRDefault="00EF0707" w:rsidP="00EF0707">
      <w:pPr>
        <w:pStyle w:val="Equation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15.25 </w:t>
      </w:r>
      <w:r>
        <w:rPr>
          <w:rFonts w:ascii="Symbol" w:hAnsi="Symbol"/>
        </w:rPr>
        <w:t></w:t>
      </w:r>
      <w:r>
        <w:rPr>
          <w:lang w:val="en-US"/>
        </w:rPr>
        <w:t xml:space="preserve"> 3.5 </w:t>
      </w:r>
      <w:r>
        <w:rPr>
          <w:i/>
          <w:iCs/>
          <w:lang w:val="en-US"/>
        </w:rPr>
        <w:t>n</w:t>
      </w:r>
      <w:r>
        <w:rPr>
          <w:lang w:val="en-US"/>
        </w:rPr>
        <w:t>           MHz</w:t>
      </w:r>
    </w:p>
    <w:p w14:paraId="555924BB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57E30CA6" w14:textId="77777777" w:rsidR="00EF0707" w:rsidRDefault="00EF0707" w:rsidP="00EF0707">
      <w:pPr>
        <w:pStyle w:val="Equationlegend"/>
        <w:tabs>
          <w:tab w:val="left" w:pos="720"/>
        </w:tabs>
      </w:pPr>
      <w:r>
        <w:tab/>
      </w:r>
      <w:r>
        <w:tab/>
      </w:r>
      <w:r>
        <w:rPr>
          <w:i/>
          <w:iCs/>
        </w:rPr>
        <w:t>n</w:t>
      </w:r>
      <w:r>
        <w:t xml:space="preserve"> </w:t>
      </w:r>
      <w:r>
        <w:rPr>
          <w:rFonts w:ascii="Symbol" w:hAnsi="Symbol"/>
        </w:rPr>
        <w:t></w:t>
      </w:r>
      <w:r>
        <w:t xml:space="preserve"> 1, 2, 3, …......72.</w:t>
      </w:r>
    </w:p>
    <w:p w14:paraId="3C6919AA" w14:textId="77777777" w:rsidR="00EF0707" w:rsidRDefault="00EF0707" w:rsidP="00EF0707">
      <w:pPr>
        <w:pStyle w:val="TableNo"/>
        <w:keepLines/>
      </w:pPr>
      <w:r>
        <w:lastRenderedPageBreak/>
        <w:t>TABLE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66"/>
        <w:gridCol w:w="1244"/>
        <w:gridCol w:w="871"/>
        <w:gridCol w:w="973"/>
      </w:tblGrid>
      <w:tr w:rsidR="00EF0707" w14:paraId="03C528D5" w14:textId="77777777" w:rsidTr="00E86D4A">
        <w:trPr>
          <w:trHeight w:val="400"/>
          <w:jc w:val="center"/>
        </w:trPr>
        <w:tc>
          <w:tcPr>
            <w:tcW w:w="1134" w:type="dxa"/>
            <w:vAlign w:val="center"/>
          </w:tcPr>
          <w:p w14:paraId="270A7509" w14:textId="77777777" w:rsidR="00EF0707" w:rsidRDefault="00EF0707" w:rsidP="00E86D4A">
            <w:pPr>
              <w:pStyle w:val="Tablehead"/>
              <w:keepLines/>
            </w:pPr>
            <w:r>
              <w:rPr>
                <w:i/>
                <w:iCs/>
              </w:rPr>
              <w:t>XS</w:t>
            </w:r>
            <w:r>
              <w:br/>
              <w:t>(MHz)</w:t>
            </w:r>
          </w:p>
        </w:tc>
        <w:tc>
          <w:tcPr>
            <w:tcW w:w="1134" w:type="dxa"/>
            <w:vAlign w:val="center"/>
          </w:tcPr>
          <w:p w14:paraId="5738B1C9" w14:textId="77777777" w:rsidR="00EF0707" w:rsidRDefault="00EF0707" w:rsidP="00E86D4A">
            <w:pPr>
              <w:pStyle w:val="Tablehead"/>
              <w:keepLines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1166" w:type="dxa"/>
            <w:vAlign w:val="center"/>
          </w:tcPr>
          <w:p w14:paraId="35094BDB" w14:textId="77777777" w:rsidR="00EF0707" w:rsidRDefault="00EF0707" w:rsidP="00E86D4A">
            <w:pPr>
              <w:pStyle w:val="Tablehead"/>
              <w:keepLines/>
            </w:pP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br/>
              <w:t>(MHz)</w:t>
            </w:r>
          </w:p>
        </w:tc>
        <w:tc>
          <w:tcPr>
            <w:tcW w:w="1244" w:type="dxa"/>
            <w:vAlign w:val="center"/>
          </w:tcPr>
          <w:p w14:paraId="40AFD03F" w14:textId="77777777" w:rsidR="00EF0707" w:rsidRDefault="00EF0707" w:rsidP="00E86D4A">
            <w:pPr>
              <w:pStyle w:val="Tablehead"/>
              <w:keepLines/>
            </w:pPr>
            <w:proofErr w:type="spellStart"/>
            <w:r>
              <w:rPr>
                <w:i/>
                <w:iCs/>
              </w:rPr>
              <w:t>f</w:t>
            </w:r>
            <w:r>
              <w:rPr>
                <w:i/>
                <w:iCs/>
                <w:vertAlign w:val="subscript"/>
              </w:rPr>
              <w:t>n</w:t>
            </w:r>
            <w:proofErr w:type="spellEnd"/>
            <w:r>
              <w:br/>
              <w:t>(MHz)</w:t>
            </w:r>
          </w:p>
        </w:tc>
        <w:tc>
          <w:tcPr>
            <w:tcW w:w="871" w:type="dxa"/>
            <w:vAlign w:val="center"/>
          </w:tcPr>
          <w:p w14:paraId="33D4E9DD" w14:textId="77777777" w:rsidR="00EF0707" w:rsidRDefault="00EF0707" w:rsidP="00E86D4A">
            <w:pPr>
              <w:pStyle w:val="Tablehead"/>
              <w:keepLines/>
            </w:pPr>
            <w:r>
              <w:rPr>
                <w:i/>
                <w:iCs/>
              </w:rPr>
              <w:t>Z</w:t>
            </w:r>
            <w:r>
              <w:rPr>
                <w:vertAlign w:val="subscript"/>
              </w:rPr>
              <w:t>1</w:t>
            </w:r>
            <w:r>
              <w:rPr>
                <w:i/>
                <w:iCs/>
              </w:rPr>
              <w:t>S</w:t>
            </w:r>
            <w:r>
              <w:br/>
              <w:t>(MHz)</w:t>
            </w:r>
          </w:p>
        </w:tc>
        <w:tc>
          <w:tcPr>
            <w:tcW w:w="973" w:type="dxa"/>
            <w:vAlign w:val="center"/>
          </w:tcPr>
          <w:p w14:paraId="0A1C891F" w14:textId="77777777" w:rsidR="00EF0707" w:rsidRDefault="00EF0707" w:rsidP="00E86D4A">
            <w:pPr>
              <w:pStyle w:val="Tablehead"/>
              <w:keepLines/>
            </w:pPr>
            <w:r>
              <w:rPr>
                <w:i/>
                <w:iCs/>
              </w:rPr>
              <w:t>Z</w:t>
            </w:r>
            <w:r>
              <w:rPr>
                <w:vertAlign w:val="subscript"/>
              </w:rPr>
              <w:t>2</w:t>
            </w:r>
            <w:r>
              <w:rPr>
                <w:i/>
                <w:iCs/>
              </w:rPr>
              <w:t>S</w:t>
            </w:r>
            <w:r>
              <w:br/>
              <w:t>(MHz)</w:t>
            </w:r>
          </w:p>
        </w:tc>
      </w:tr>
      <w:tr w:rsidR="00EF0707" w14:paraId="05D8E988" w14:textId="77777777" w:rsidTr="00E86D4A">
        <w:trPr>
          <w:trHeight w:val="400"/>
          <w:jc w:val="center"/>
        </w:trPr>
        <w:tc>
          <w:tcPr>
            <w:tcW w:w="1134" w:type="dxa"/>
            <w:vAlign w:val="center"/>
          </w:tcPr>
          <w:p w14:paraId="3DBC1A31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7445A715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proofErr w:type="gramStart"/>
            <w:r>
              <w:t>1,…</w:t>
            </w:r>
            <w:proofErr w:type="gramEnd"/>
            <w:r>
              <w:t>9</w:t>
            </w:r>
          </w:p>
        </w:tc>
        <w:tc>
          <w:tcPr>
            <w:tcW w:w="1166" w:type="dxa"/>
            <w:vAlign w:val="center"/>
          </w:tcPr>
          <w:p w14:paraId="2F27D64D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31 031</w:t>
            </w:r>
          </w:p>
        </w:tc>
        <w:tc>
          <w:tcPr>
            <w:tcW w:w="1244" w:type="dxa"/>
            <w:vAlign w:val="center"/>
          </w:tcPr>
          <w:p w14:paraId="2655239D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31 255</w:t>
            </w:r>
          </w:p>
        </w:tc>
        <w:tc>
          <w:tcPr>
            <w:tcW w:w="871" w:type="dxa"/>
            <w:vAlign w:val="center"/>
          </w:tcPr>
          <w:p w14:paraId="2B43F722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</w:t>
            </w:r>
          </w:p>
        </w:tc>
        <w:tc>
          <w:tcPr>
            <w:tcW w:w="973" w:type="dxa"/>
            <w:vAlign w:val="center"/>
          </w:tcPr>
          <w:p w14:paraId="696C968F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45</w:t>
            </w:r>
          </w:p>
        </w:tc>
      </w:tr>
      <w:tr w:rsidR="00EF0707" w14:paraId="53CB5A47" w14:textId="77777777" w:rsidTr="00E86D4A">
        <w:trPr>
          <w:trHeight w:val="400"/>
          <w:jc w:val="center"/>
        </w:trPr>
        <w:tc>
          <w:tcPr>
            <w:tcW w:w="1134" w:type="dxa"/>
            <w:vAlign w:val="center"/>
          </w:tcPr>
          <w:p w14:paraId="6D83CA5D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73F74852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proofErr w:type="gramStart"/>
            <w:r>
              <w:t>1,…</w:t>
            </w:r>
            <w:proofErr w:type="gramEnd"/>
            <w:r>
              <w:t>18</w:t>
            </w:r>
          </w:p>
        </w:tc>
        <w:tc>
          <w:tcPr>
            <w:tcW w:w="1166" w:type="dxa"/>
            <w:vAlign w:val="center"/>
          </w:tcPr>
          <w:p w14:paraId="709E596A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31 024</w:t>
            </w:r>
          </w:p>
        </w:tc>
        <w:tc>
          <w:tcPr>
            <w:tcW w:w="1244" w:type="dxa"/>
            <w:vAlign w:val="center"/>
          </w:tcPr>
          <w:p w14:paraId="05D91971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31 262</w:t>
            </w:r>
          </w:p>
        </w:tc>
        <w:tc>
          <w:tcPr>
            <w:tcW w:w="871" w:type="dxa"/>
            <w:vAlign w:val="center"/>
          </w:tcPr>
          <w:p w14:paraId="74B1C71C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24</w:t>
            </w:r>
          </w:p>
        </w:tc>
        <w:tc>
          <w:tcPr>
            <w:tcW w:w="973" w:type="dxa"/>
            <w:vAlign w:val="center"/>
          </w:tcPr>
          <w:p w14:paraId="63306CD0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38</w:t>
            </w:r>
          </w:p>
        </w:tc>
      </w:tr>
      <w:tr w:rsidR="00EF0707" w14:paraId="3C1372A1" w14:textId="77777777" w:rsidTr="00E86D4A">
        <w:trPr>
          <w:trHeight w:val="400"/>
          <w:jc w:val="center"/>
        </w:trPr>
        <w:tc>
          <w:tcPr>
            <w:tcW w:w="1134" w:type="dxa"/>
            <w:vAlign w:val="center"/>
          </w:tcPr>
          <w:p w14:paraId="3B533327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01DE4573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proofErr w:type="gramStart"/>
            <w:r>
              <w:t>1,…</w:t>
            </w:r>
            <w:proofErr w:type="gramEnd"/>
            <w:r>
              <w:t>36</w:t>
            </w:r>
          </w:p>
        </w:tc>
        <w:tc>
          <w:tcPr>
            <w:tcW w:w="1166" w:type="dxa"/>
            <w:vAlign w:val="center"/>
          </w:tcPr>
          <w:p w14:paraId="471AFDEE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31 020.5</w:t>
            </w:r>
          </w:p>
        </w:tc>
        <w:tc>
          <w:tcPr>
            <w:tcW w:w="1244" w:type="dxa"/>
            <w:vAlign w:val="center"/>
          </w:tcPr>
          <w:p w14:paraId="718C734B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31 265.5</w:t>
            </w:r>
          </w:p>
        </w:tc>
        <w:tc>
          <w:tcPr>
            <w:tcW w:w="871" w:type="dxa"/>
            <w:vAlign w:val="center"/>
          </w:tcPr>
          <w:p w14:paraId="3430014D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20.5</w:t>
            </w:r>
          </w:p>
        </w:tc>
        <w:tc>
          <w:tcPr>
            <w:tcW w:w="973" w:type="dxa"/>
            <w:vAlign w:val="center"/>
          </w:tcPr>
          <w:p w14:paraId="30AEC6F5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34.5</w:t>
            </w:r>
          </w:p>
        </w:tc>
      </w:tr>
      <w:tr w:rsidR="00EF0707" w14:paraId="04B322AA" w14:textId="77777777" w:rsidTr="00E86D4A">
        <w:trPr>
          <w:trHeight w:val="400"/>
          <w:jc w:val="center"/>
        </w:trPr>
        <w:tc>
          <w:tcPr>
            <w:tcW w:w="1134" w:type="dxa"/>
            <w:vAlign w:val="center"/>
          </w:tcPr>
          <w:p w14:paraId="51216B38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3.5</w:t>
            </w:r>
          </w:p>
        </w:tc>
        <w:tc>
          <w:tcPr>
            <w:tcW w:w="1134" w:type="dxa"/>
            <w:vAlign w:val="center"/>
          </w:tcPr>
          <w:p w14:paraId="0A1B304B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proofErr w:type="gramStart"/>
            <w:r>
              <w:t>1,…</w:t>
            </w:r>
            <w:proofErr w:type="gramEnd"/>
            <w:r>
              <w:t>72</w:t>
            </w:r>
          </w:p>
        </w:tc>
        <w:tc>
          <w:tcPr>
            <w:tcW w:w="1166" w:type="dxa"/>
            <w:vAlign w:val="center"/>
          </w:tcPr>
          <w:p w14:paraId="501864C4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31 018.75</w:t>
            </w:r>
          </w:p>
        </w:tc>
        <w:tc>
          <w:tcPr>
            <w:tcW w:w="1244" w:type="dxa"/>
            <w:vAlign w:val="center"/>
          </w:tcPr>
          <w:p w14:paraId="52DEA3E5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31 267.25</w:t>
            </w:r>
          </w:p>
        </w:tc>
        <w:tc>
          <w:tcPr>
            <w:tcW w:w="871" w:type="dxa"/>
            <w:vAlign w:val="center"/>
          </w:tcPr>
          <w:p w14:paraId="42426939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18.75</w:t>
            </w:r>
          </w:p>
        </w:tc>
        <w:tc>
          <w:tcPr>
            <w:tcW w:w="973" w:type="dxa"/>
            <w:vAlign w:val="center"/>
          </w:tcPr>
          <w:p w14:paraId="08CB922B" w14:textId="77777777" w:rsidR="00EF0707" w:rsidRDefault="00EF0707" w:rsidP="00E86D4A">
            <w:pPr>
              <w:pStyle w:val="Tabletext"/>
              <w:keepNext/>
              <w:keepLines/>
              <w:jc w:val="center"/>
            </w:pPr>
            <w:r>
              <w:t>32.75</w:t>
            </w:r>
          </w:p>
        </w:tc>
      </w:tr>
    </w:tbl>
    <w:p w14:paraId="67457938" w14:textId="77777777" w:rsidR="00EF0707" w:rsidRDefault="00EF0707" w:rsidP="00EF0707">
      <w:pPr>
        <w:pStyle w:val="Tablefin"/>
        <w:rPr>
          <w:sz w:val="2"/>
        </w:rPr>
      </w:pPr>
    </w:p>
    <w:p w14:paraId="6F4852A6" w14:textId="77777777" w:rsidR="00EF0707" w:rsidRDefault="00EF0707" w:rsidP="00EF070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Channel arrangement in the band 31.0-31.3 GHz for FDD systems</w:t>
      </w:r>
    </w:p>
    <w:p w14:paraId="4497AD6E" w14:textId="77777777" w:rsidR="00EF0707" w:rsidRDefault="00EF0707" w:rsidP="00EF0707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frequencies for channel separations of 3.5 MHz, 7 MHz, 14 MHz and 28 MHz shall be derived as follows:</w:t>
      </w:r>
    </w:p>
    <w:p w14:paraId="09E52A02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Let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ab/>
        <w:t>be the reference frequency of 31 150 MHz,</w:t>
      </w:r>
    </w:p>
    <w:p w14:paraId="3789486C" w14:textId="77777777" w:rsidR="00EF0707" w:rsidRDefault="00EF0707" w:rsidP="00EF0707">
      <w:pPr>
        <w:pStyle w:val="enumlev1"/>
        <w:ind w:left="1191" w:hanging="1191"/>
        <w:rPr>
          <w:lang w:val="en-US"/>
        </w:rPr>
      </w:pP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ab/>
        <w:t xml:space="preserve">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frequency (MHz) of the radio-frequency channel in the lower half of the band,</w:t>
      </w:r>
    </w:p>
    <w:p w14:paraId="28AC2BD5" w14:textId="77777777" w:rsidR="00EF0707" w:rsidRDefault="00EF0707" w:rsidP="00EF0707">
      <w:pPr>
        <w:pStyle w:val="enumlev1"/>
        <w:tabs>
          <w:tab w:val="clear" w:pos="794"/>
          <w:tab w:val="left" w:pos="720"/>
        </w:tabs>
        <w:ind w:left="1191" w:hanging="1191"/>
        <w:rPr>
          <w:lang w:val="en-US"/>
        </w:rPr>
      </w:pPr>
      <w:r>
        <w:rPr>
          <w:lang w:val="en-US"/>
        </w:rPr>
        <w:tab/>
      </w:r>
      <w:r w:rsidRPr="00B55818">
        <w:rPr>
          <w:position w:val="-12"/>
        </w:rPr>
        <w:object w:dxaOrig="300" w:dyaOrig="360" w14:anchorId="4BE5F1E6">
          <v:shape id="_x0000_i1034" type="#_x0000_t75" style="width:15.05pt;height:17.55pt" o:ole="">
            <v:imagedata r:id="rId69" o:title=""/>
          </v:shape>
          <o:OLEObject Type="Embed" ProgID="Equation.3" ShapeID="_x0000_i1034" DrawAspect="Content" ObjectID="_1787996048" r:id="rId70"/>
        </w:object>
      </w:r>
      <w:r>
        <w:rPr>
          <w:lang w:val="en-US"/>
        </w:rPr>
        <w:tab/>
        <w:t xml:space="preserve">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frequency (MHz) of the radio-frequency channel in the upper half of the band,</w:t>
      </w:r>
    </w:p>
    <w:p w14:paraId="701A40A0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 xml:space="preserve">Duplex spacing </w:t>
      </w:r>
      <w:r>
        <w:rPr>
          <w:rFonts w:ascii="Symbol" w:hAnsi="Symbol"/>
        </w:rPr>
        <w:t></w:t>
      </w:r>
      <w:r>
        <w:rPr>
          <w:lang w:val="en-US"/>
        </w:rPr>
        <w:t xml:space="preserve"> 140 MHz,</w:t>
      </w:r>
    </w:p>
    <w:p w14:paraId="3A2E2772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 xml:space="preserve">Centre gap </w:t>
      </w:r>
      <w:r>
        <w:rPr>
          <w:rFonts w:ascii="Symbol" w:hAnsi="Symbol"/>
        </w:rPr>
        <w:t></w:t>
      </w:r>
      <w:r>
        <w:rPr>
          <w:lang w:val="en-US"/>
        </w:rPr>
        <w:t xml:space="preserve"> 28 </w:t>
      </w:r>
      <w:proofErr w:type="spellStart"/>
      <w:r>
        <w:rPr>
          <w:lang w:val="en-US"/>
        </w:rPr>
        <w:t>MHz.</w:t>
      </w:r>
      <w:proofErr w:type="spellEnd"/>
    </w:p>
    <w:p w14:paraId="17AC1ADB" w14:textId="77777777" w:rsidR="00EF0707" w:rsidRDefault="00EF0707" w:rsidP="00EF0707">
      <w:pPr>
        <w:rPr>
          <w:lang w:val="en-US"/>
        </w:rPr>
      </w:pPr>
      <w:r>
        <w:rPr>
          <w:lang w:val="en-US"/>
        </w:rPr>
        <w:t>Then the frequencies (MHz) of individual channels are expressed by the following relationships:</w:t>
      </w:r>
    </w:p>
    <w:p w14:paraId="408F0040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for a channel separation of 28 MHz:</w:t>
      </w:r>
    </w:p>
    <w:p w14:paraId="49097609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– 147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iCs/>
          <w:lang w:val="en-US"/>
        </w:rPr>
        <w:t>n</w:t>
      </w:r>
      <w:r>
        <w:rPr>
          <w:lang w:val="en-US"/>
        </w:rPr>
        <w:tab/>
      </w:r>
    </w:p>
    <w:p w14:paraId="0B02087F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  <w:t xml:space="preserve"> </w:t>
      </w:r>
      <w:r>
        <w:rPr>
          <w:sz w:val="16"/>
          <w:lang w:val="en-US"/>
        </w:rPr>
        <w:t xml:space="preserve"> </w:t>
      </w:r>
      <w:r w:rsidRPr="00B55818">
        <w:rPr>
          <w:position w:val="-12"/>
        </w:rPr>
        <w:object w:dxaOrig="300" w:dyaOrig="360" w14:anchorId="4F7DD63A">
          <v:shape id="_x0000_i1035" type="#_x0000_t75" style="width:15.05pt;height:17.55pt" o:ole="">
            <v:imagedata r:id="rId69" o:title=""/>
          </v:shape>
          <o:OLEObject Type="Embed" ProgID="Equation.3" ShapeID="_x0000_i1035" DrawAspect="Content" ObjectID="_1787996049" r:id="rId71"/>
        </w:objec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– 7 </w:t>
      </w:r>
      <w:r>
        <w:rPr>
          <w:rFonts w:ascii="Symbol" w:hAnsi="Symbol"/>
        </w:rPr>
        <w:t></w:t>
      </w:r>
      <w:r>
        <w:rPr>
          <w:lang w:val="en-US"/>
        </w:rPr>
        <w:t xml:space="preserve"> 28 </w:t>
      </w:r>
      <w:r>
        <w:rPr>
          <w:i/>
          <w:iCs/>
          <w:lang w:val="en-US"/>
        </w:rPr>
        <w:t>n</w:t>
      </w:r>
    </w:p>
    <w:p w14:paraId="680C9FB7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4758166F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i/>
          <w:iCs/>
          <w:lang w:val="en-US"/>
        </w:rPr>
        <w:tab/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… 4</w:t>
      </w:r>
    </w:p>
    <w:p w14:paraId="196169D5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for a channel separation of 14 MHz:</w:t>
      </w:r>
    </w:p>
    <w:p w14:paraId="4925CB1F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– 140 </w:t>
      </w:r>
      <w:r>
        <w:rPr>
          <w:rFonts w:ascii="Symbol" w:hAnsi="Symbol"/>
        </w:rPr>
        <w:t></w:t>
      </w:r>
      <w:r>
        <w:rPr>
          <w:lang w:val="en-US"/>
        </w:rPr>
        <w:t xml:space="preserve"> 14 </w:t>
      </w:r>
      <w:r>
        <w:rPr>
          <w:i/>
          <w:iCs/>
          <w:lang w:val="en-US"/>
        </w:rPr>
        <w:t>n</w:t>
      </w:r>
      <w:r>
        <w:rPr>
          <w:lang w:val="en-US"/>
        </w:rPr>
        <w:tab/>
      </w:r>
    </w:p>
    <w:p w14:paraId="49EE4DAF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  <w:t xml:space="preserve"> </w:t>
      </w:r>
      <w:r>
        <w:rPr>
          <w:sz w:val="16"/>
          <w:lang w:val="en-US"/>
        </w:rPr>
        <w:t xml:space="preserve"> </w:t>
      </w:r>
      <w:r w:rsidRPr="00B55818">
        <w:rPr>
          <w:position w:val="-12"/>
        </w:rPr>
        <w:object w:dxaOrig="300" w:dyaOrig="360" w14:anchorId="29904876">
          <v:shape id="_x0000_i1036" type="#_x0000_t75" style="width:15.05pt;height:17.55pt" o:ole="">
            <v:imagedata r:id="rId69" o:title=""/>
          </v:shape>
          <o:OLEObject Type="Embed" ProgID="Equation.3" ShapeID="_x0000_i1036" DrawAspect="Content" ObjectID="_1787996050" r:id="rId72"/>
        </w:objec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0 </w:t>
      </w:r>
      <w:r>
        <w:rPr>
          <w:rFonts w:ascii="Symbol" w:hAnsi="Symbol"/>
        </w:rPr>
        <w:t></w:t>
      </w:r>
      <w:r>
        <w:rPr>
          <w:lang w:val="en-US"/>
        </w:rPr>
        <w:t xml:space="preserve"> 14 </w:t>
      </w:r>
      <w:r>
        <w:rPr>
          <w:i/>
          <w:iCs/>
          <w:lang w:val="en-US"/>
        </w:rPr>
        <w:t>n</w:t>
      </w:r>
    </w:p>
    <w:p w14:paraId="56272237" w14:textId="77777777" w:rsidR="00EF0707" w:rsidRDefault="00EF0707" w:rsidP="00EF0707">
      <w:pPr>
        <w:rPr>
          <w:lang w:val="en-US"/>
        </w:rPr>
      </w:pPr>
      <w:r>
        <w:rPr>
          <w:lang w:val="en-US"/>
        </w:rPr>
        <w:t>where:</w:t>
      </w:r>
    </w:p>
    <w:p w14:paraId="36588A8C" w14:textId="77777777" w:rsidR="00EF0707" w:rsidRDefault="00EF0707" w:rsidP="00EF0707">
      <w:pPr>
        <w:pStyle w:val="enumlev1"/>
        <w:rPr>
          <w:lang w:val="en-US"/>
        </w:rPr>
      </w:pPr>
      <w:r>
        <w:rPr>
          <w:i/>
          <w:iCs/>
          <w:lang w:val="en-US"/>
        </w:rPr>
        <w:tab/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… 8</w:t>
      </w:r>
    </w:p>
    <w:p w14:paraId="7DC7EC48" w14:textId="77777777" w:rsidR="00EF0707" w:rsidRDefault="00EF0707" w:rsidP="00EF0707">
      <w:pPr>
        <w:pStyle w:val="enumlev1"/>
        <w:spacing w:before="240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for a channel separation of 7 MHz:</w:t>
      </w:r>
    </w:p>
    <w:p w14:paraId="79C074AC" w14:textId="77777777" w:rsidR="00EF0707" w:rsidRDefault="00EF0707" w:rsidP="00EF0707">
      <w:pPr>
        <w:pStyle w:val="enumlev1"/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– 136.5 </w:t>
      </w:r>
      <w:r>
        <w:rPr>
          <w:rFonts w:ascii="Symbol" w:hAnsi="Symbol"/>
        </w:rPr>
        <w:t></w:t>
      </w:r>
      <w:r>
        <w:rPr>
          <w:lang w:val="en-US"/>
        </w:rPr>
        <w:t xml:space="preserve"> 7 </w:t>
      </w:r>
      <w:r>
        <w:rPr>
          <w:i/>
          <w:iCs/>
          <w:lang w:val="en-US"/>
        </w:rPr>
        <w:t>n</w:t>
      </w:r>
      <w:r>
        <w:rPr>
          <w:lang w:val="en-US"/>
        </w:rPr>
        <w:tab/>
      </w:r>
    </w:p>
    <w:p w14:paraId="6748E7B0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  <w:t xml:space="preserve"> </w:t>
      </w:r>
      <w:r>
        <w:rPr>
          <w:sz w:val="16"/>
          <w:lang w:val="en-US"/>
        </w:rPr>
        <w:t xml:space="preserve"> </w:t>
      </w:r>
      <w:r w:rsidRPr="00B55818">
        <w:rPr>
          <w:position w:val="-12"/>
        </w:rPr>
        <w:object w:dxaOrig="300" w:dyaOrig="360" w14:anchorId="1F38A518">
          <v:shape id="_x0000_i1037" type="#_x0000_t75" style="width:15.05pt;height:17.55pt" o:ole="">
            <v:imagedata r:id="rId69" o:title=""/>
          </v:shape>
          <o:OLEObject Type="Embed" ProgID="Equation.3" ShapeID="_x0000_i1037" DrawAspect="Content" ObjectID="_1787996051" r:id="rId73"/>
        </w:objec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3.5 </w:t>
      </w:r>
      <w:r>
        <w:rPr>
          <w:rFonts w:ascii="Symbol" w:hAnsi="Symbol"/>
        </w:rPr>
        <w:t></w:t>
      </w:r>
      <w:r>
        <w:rPr>
          <w:lang w:val="en-US"/>
        </w:rPr>
        <w:t xml:space="preserve"> 7 </w:t>
      </w:r>
      <w:r>
        <w:rPr>
          <w:i/>
          <w:iCs/>
          <w:lang w:val="en-US"/>
        </w:rPr>
        <w:t>n</w:t>
      </w:r>
    </w:p>
    <w:p w14:paraId="72ED38DB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lang w:val="en-US"/>
        </w:rPr>
        <w:t>where:</w:t>
      </w:r>
    </w:p>
    <w:p w14:paraId="11AB154F" w14:textId="77777777" w:rsidR="00EF0707" w:rsidRDefault="00EF0707" w:rsidP="00EF0707">
      <w:pPr>
        <w:pStyle w:val="enumlev1"/>
        <w:tabs>
          <w:tab w:val="left" w:pos="3420"/>
        </w:tabs>
        <w:rPr>
          <w:lang w:val="en-US"/>
        </w:rPr>
      </w:pPr>
      <w:r>
        <w:rPr>
          <w:i/>
          <w:iCs/>
          <w:lang w:val="en-US"/>
        </w:rPr>
        <w:tab/>
        <w:t>n</w:t>
      </w:r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1, 2, … 16</w:t>
      </w:r>
    </w:p>
    <w:p w14:paraId="6B5D32F7" w14:textId="77777777" w:rsidR="00EF0707" w:rsidRDefault="00EF0707" w:rsidP="00EF0707">
      <w:pPr>
        <w:pStyle w:val="enumlev1"/>
        <w:keepNext/>
        <w:keepLines/>
        <w:spacing w:before="240"/>
        <w:rPr>
          <w:lang w:val="en-US"/>
        </w:rPr>
      </w:pPr>
      <w:r>
        <w:rPr>
          <w:lang w:val="en-US"/>
        </w:rPr>
        <w:lastRenderedPageBreak/>
        <w:t>d)</w:t>
      </w:r>
      <w:r>
        <w:rPr>
          <w:lang w:val="en-US"/>
        </w:rPr>
        <w:tab/>
        <w:t>for a channel separation of 3.5 MHz:</w:t>
      </w:r>
    </w:p>
    <w:p w14:paraId="71792191" w14:textId="77777777" w:rsidR="00EF0707" w:rsidRDefault="00EF0707" w:rsidP="00EF0707">
      <w:pPr>
        <w:pStyle w:val="enumlev1"/>
        <w:keepNext/>
        <w:keepLines/>
        <w:rPr>
          <w:lang w:val="en-US"/>
        </w:rPr>
      </w:pPr>
      <w:r>
        <w:rPr>
          <w:lang w:val="en-US"/>
        </w:rPr>
        <w:tab/>
        <w:t>lower half of the band:</w:t>
      </w:r>
      <w:r>
        <w:rPr>
          <w:lang w:val="en-US"/>
        </w:rPr>
        <w:tab/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– 134.75 </w:t>
      </w:r>
      <w:r>
        <w:rPr>
          <w:rFonts w:ascii="Symbol" w:hAnsi="Symbol"/>
        </w:rPr>
        <w:t></w:t>
      </w:r>
      <w:r>
        <w:rPr>
          <w:lang w:val="en-US"/>
        </w:rPr>
        <w:t xml:space="preserve"> 3.5 </w:t>
      </w:r>
      <w:r>
        <w:rPr>
          <w:i/>
          <w:iCs/>
          <w:lang w:val="en-US"/>
        </w:rPr>
        <w:t>n</w:t>
      </w:r>
      <w:r>
        <w:rPr>
          <w:lang w:val="en-US"/>
        </w:rPr>
        <w:tab/>
      </w:r>
    </w:p>
    <w:p w14:paraId="4F09B0FC" w14:textId="77777777" w:rsidR="00EF0707" w:rsidRDefault="00EF0707" w:rsidP="00EF0707">
      <w:pPr>
        <w:pStyle w:val="enumlev1"/>
        <w:keepNext/>
        <w:keepLines/>
        <w:tabs>
          <w:tab w:val="left" w:pos="3420"/>
        </w:tabs>
        <w:rPr>
          <w:lang w:val="en-US"/>
        </w:rPr>
      </w:pPr>
      <w:r>
        <w:rPr>
          <w:lang w:val="en-US"/>
        </w:rPr>
        <w:tab/>
        <w:t>upper half of the band:</w:t>
      </w:r>
      <w:r>
        <w:rPr>
          <w:lang w:val="en-US"/>
        </w:rPr>
        <w:tab/>
        <w:t xml:space="preserve"> </w:t>
      </w:r>
      <w:r>
        <w:rPr>
          <w:sz w:val="16"/>
          <w:lang w:val="en-US"/>
        </w:rPr>
        <w:t xml:space="preserve"> </w:t>
      </w:r>
      <w:r w:rsidRPr="00B55818">
        <w:rPr>
          <w:position w:val="-12"/>
        </w:rPr>
        <w:object w:dxaOrig="300" w:dyaOrig="360" w14:anchorId="5B225578">
          <v:shape id="_x0000_i1038" type="#_x0000_t75" style="width:15.05pt;height:17.55pt" o:ole="">
            <v:imagedata r:id="rId69" o:title=""/>
          </v:shape>
          <o:OLEObject Type="Embed" ProgID="Equation.3" ShapeID="_x0000_i1038" DrawAspect="Content" ObjectID="_1787996052" r:id="rId74"/>
        </w:object>
      </w:r>
      <w:r>
        <w:rPr>
          <w:rFonts w:ascii="Symbol" w:hAnsi="Symbol"/>
        </w:rPr>
        <w:t>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</w:t>
      </w:r>
      <w:r>
        <w:rPr>
          <w:rFonts w:ascii="Symbol" w:hAnsi="Symbol"/>
        </w:rPr>
        <w:t></w:t>
      </w:r>
      <w:r>
        <w:rPr>
          <w:lang w:val="en-US"/>
        </w:rPr>
        <w:t xml:space="preserve"> 5.25 </w:t>
      </w:r>
      <w:r>
        <w:rPr>
          <w:rFonts w:ascii="Symbol" w:hAnsi="Symbol"/>
        </w:rPr>
        <w:t></w:t>
      </w:r>
      <w:r>
        <w:rPr>
          <w:lang w:val="en-US"/>
        </w:rPr>
        <w:t xml:space="preserve"> 3.5 </w:t>
      </w:r>
      <w:r>
        <w:rPr>
          <w:i/>
          <w:iCs/>
          <w:lang w:val="en-US"/>
        </w:rPr>
        <w:t>n</w:t>
      </w:r>
    </w:p>
    <w:p w14:paraId="41D79062" w14:textId="77777777" w:rsidR="00EF0707" w:rsidRDefault="00EF0707" w:rsidP="00EF0707">
      <w:r>
        <w:t>where:</w:t>
      </w:r>
    </w:p>
    <w:p w14:paraId="05CADB78" w14:textId="77777777" w:rsidR="00EF0707" w:rsidRDefault="00EF0707" w:rsidP="00EF0707">
      <w:pPr>
        <w:pStyle w:val="enumlev1"/>
        <w:tabs>
          <w:tab w:val="left" w:pos="3420"/>
        </w:tabs>
      </w:pPr>
      <w:r>
        <w:tab/>
      </w:r>
      <w:r>
        <w:rPr>
          <w:i/>
          <w:iCs/>
        </w:rPr>
        <w:t>n</w:t>
      </w:r>
      <w:r>
        <w:t xml:space="preserve"> </w:t>
      </w:r>
      <w:r>
        <w:rPr>
          <w:rFonts w:ascii="Symbol" w:hAnsi="Symbol"/>
        </w:rPr>
        <w:t></w:t>
      </w:r>
      <w:r>
        <w:t xml:space="preserve"> 1, 2, … 32.</w:t>
      </w:r>
      <w:r w:rsidRPr="00B55818">
        <w:rPr>
          <w:position w:val="-10"/>
        </w:rPr>
        <w:object w:dxaOrig="180" w:dyaOrig="340" w14:anchorId="4F35CEEF">
          <v:shape id="_x0000_i1039" type="#_x0000_t75" style="width:8.15pt;height:16.3pt" o:ole="">
            <v:imagedata r:id="rId75" o:title=""/>
          </v:shape>
          <o:OLEObject Type="Embed" ProgID="Equation.3" ShapeID="_x0000_i1039" DrawAspect="Content" ObjectID="_1787996053" r:id="rId76"/>
        </w:object>
      </w:r>
    </w:p>
    <w:p w14:paraId="5252323B" w14:textId="77777777" w:rsidR="00EF0707" w:rsidRDefault="00EF0707" w:rsidP="00EF0707">
      <w:pPr>
        <w:pStyle w:val="TableNo"/>
      </w:pPr>
      <w:r>
        <w:t>TABLE 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7"/>
        <w:gridCol w:w="1261"/>
        <w:gridCol w:w="1239"/>
        <w:gridCol w:w="1160"/>
        <w:gridCol w:w="1160"/>
        <w:gridCol w:w="870"/>
        <w:gridCol w:w="869"/>
        <w:gridCol w:w="725"/>
        <w:gridCol w:w="760"/>
      </w:tblGrid>
      <w:tr w:rsidR="00EF0707" w14:paraId="5FDC51D2" w14:textId="77777777" w:rsidTr="00E86D4A">
        <w:trPr>
          <w:trHeight w:val="400"/>
          <w:jc w:val="center"/>
        </w:trPr>
        <w:tc>
          <w:tcPr>
            <w:tcW w:w="828" w:type="dxa"/>
            <w:vAlign w:val="center"/>
          </w:tcPr>
          <w:p w14:paraId="365DDEA5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  <w:ind w:left="-85" w:right="-85"/>
              <w:rPr>
                <w:i/>
                <w:iCs/>
              </w:rPr>
            </w:pPr>
            <w:r>
              <w:rPr>
                <w:i/>
                <w:iCs/>
              </w:rPr>
              <w:t>XS</w:t>
            </w:r>
            <w:r>
              <w:rPr>
                <w:i/>
                <w:iCs/>
              </w:rPr>
              <w:br/>
            </w:r>
            <w:r>
              <w:t>(MHz)</w:t>
            </w:r>
          </w:p>
        </w:tc>
        <w:tc>
          <w:tcPr>
            <w:tcW w:w="767" w:type="dxa"/>
            <w:vAlign w:val="center"/>
          </w:tcPr>
          <w:p w14:paraId="4A333848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1261" w:type="dxa"/>
            <w:vAlign w:val="center"/>
          </w:tcPr>
          <w:p w14:paraId="2A0301EB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br/>
              <w:t>(MHz)</w:t>
            </w:r>
          </w:p>
        </w:tc>
        <w:tc>
          <w:tcPr>
            <w:tcW w:w="1239" w:type="dxa"/>
            <w:vAlign w:val="center"/>
          </w:tcPr>
          <w:p w14:paraId="506D4D17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proofErr w:type="spellStart"/>
            <w:r>
              <w:rPr>
                <w:i/>
                <w:iCs/>
              </w:rPr>
              <w:t>f</w:t>
            </w:r>
            <w:r>
              <w:rPr>
                <w:i/>
                <w:iCs/>
                <w:vertAlign w:val="subscript"/>
              </w:rPr>
              <w:t>n</w:t>
            </w:r>
            <w:proofErr w:type="spellEnd"/>
            <w:r>
              <w:br/>
              <w:t>(MHz)</w:t>
            </w:r>
          </w:p>
        </w:tc>
        <w:tc>
          <w:tcPr>
            <w:tcW w:w="1160" w:type="dxa"/>
            <w:vAlign w:val="center"/>
          </w:tcPr>
          <w:p w14:paraId="0C335874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r w:rsidRPr="00B55818">
              <w:rPr>
                <w:position w:val="-26"/>
              </w:rPr>
              <w:object w:dxaOrig="700" w:dyaOrig="639" w14:anchorId="5E5087B4">
                <v:shape id="_x0000_i1040" type="#_x0000_t75" style="width:34.45pt;height:31.3pt" o:ole="">
                  <v:imagedata r:id="rId77" o:title=""/>
                </v:shape>
                <o:OLEObject Type="Embed" ProgID="Equation.3" ShapeID="_x0000_i1040" DrawAspect="Content" ObjectID="_1787996054" r:id="rId78"/>
              </w:object>
            </w:r>
          </w:p>
        </w:tc>
        <w:tc>
          <w:tcPr>
            <w:tcW w:w="1160" w:type="dxa"/>
            <w:vAlign w:val="center"/>
          </w:tcPr>
          <w:p w14:paraId="28D51F9A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r w:rsidRPr="00B55818">
              <w:rPr>
                <w:position w:val="-26"/>
              </w:rPr>
              <w:object w:dxaOrig="700" w:dyaOrig="639" w14:anchorId="5272FF46">
                <v:shape id="_x0000_i1041" type="#_x0000_t75" style="width:34.45pt;height:31.3pt" o:ole="">
                  <v:imagedata r:id="rId79" o:title=""/>
                </v:shape>
                <o:OLEObject Type="Embed" ProgID="Equation.3" ShapeID="_x0000_i1041" DrawAspect="Content" ObjectID="_1787996055" r:id="rId80"/>
              </w:object>
            </w:r>
          </w:p>
        </w:tc>
        <w:tc>
          <w:tcPr>
            <w:tcW w:w="870" w:type="dxa"/>
            <w:vAlign w:val="center"/>
          </w:tcPr>
          <w:p w14:paraId="132A1909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r>
              <w:rPr>
                <w:i/>
                <w:iCs/>
              </w:rPr>
              <w:t>ZS</w:t>
            </w:r>
            <w:r>
              <w:rPr>
                <w:vertAlign w:val="subscript"/>
              </w:rPr>
              <w:t>1</w:t>
            </w:r>
            <w:r>
              <w:br/>
              <w:t>(MHz)</w:t>
            </w:r>
          </w:p>
        </w:tc>
        <w:tc>
          <w:tcPr>
            <w:tcW w:w="869" w:type="dxa"/>
            <w:vAlign w:val="center"/>
          </w:tcPr>
          <w:p w14:paraId="510F29B0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</w:pPr>
            <w:r>
              <w:rPr>
                <w:i/>
                <w:iCs/>
              </w:rPr>
              <w:t>ZS</w:t>
            </w:r>
            <w:r>
              <w:rPr>
                <w:vertAlign w:val="subscript"/>
              </w:rPr>
              <w:t>2</w:t>
            </w:r>
            <w:r>
              <w:br/>
              <w:t>(MHz)</w:t>
            </w:r>
          </w:p>
        </w:tc>
        <w:tc>
          <w:tcPr>
            <w:tcW w:w="725" w:type="dxa"/>
            <w:vAlign w:val="center"/>
          </w:tcPr>
          <w:p w14:paraId="4DBF2059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  <w:ind w:left="-85" w:right="-85"/>
            </w:pPr>
            <w:r>
              <w:rPr>
                <w:i/>
                <w:iCs/>
              </w:rPr>
              <w:t>YS</w:t>
            </w:r>
            <w:r>
              <w:br/>
              <w:t>(MHz)</w:t>
            </w:r>
          </w:p>
        </w:tc>
        <w:tc>
          <w:tcPr>
            <w:tcW w:w="760" w:type="dxa"/>
            <w:vAlign w:val="center"/>
          </w:tcPr>
          <w:p w14:paraId="3848E740" w14:textId="77777777" w:rsidR="00EF0707" w:rsidRDefault="00EF0707" w:rsidP="00E86D4A">
            <w:pPr>
              <w:pStyle w:val="Tablehead"/>
              <w:framePr w:hSpace="181" w:wrap="notBeside" w:vAnchor="text" w:hAnchor="text" w:xAlign="center" w:y="1"/>
              <w:spacing w:before="0"/>
              <w:ind w:left="-85" w:right="-85"/>
            </w:pPr>
            <w:r>
              <w:rPr>
                <w:i/>
                <w:iCs/>
              </w:rPr>
              <w:t>DS</w:t>
            </w:r>
            <w:r>
              <w:br/>
              <w:t>(MHz)</w:t>
            </w:r>
          </w:p>
        </w:tc>
      </w:tr>
      <w:tr w:rsidR="00EF0707" w14:paraId="39E90FE0" w14:textId="77777777" w:rsidTr="00E86D4A">
        <w:trPr>
          <w:trHeight w:val="400"/>
          <w:jc w:val="center"/>
        </w:trPr>
        <w:tc>
          <w:tcPr>
            <w:tcW w:w="828" w:type="dxa"/>
            <w:vAlign w:val="center"/>
          </w:tcPr>
          <w:p w14:paraId="223BE1BF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28</w:t>
            </w:r>
          </w:p>
        </w:tc>
        <w:tc>
          <w:tcPr>
            <w:tcW w:w="767" w:type="dxa"/>
            <w:vAlign w:val="center"/>
          </w:tcPr>
          <w:p w14:paraId="6E502AE9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1…4</w:t>
            </w:r>
          </w:p>
        </w:tc>
        <w:tc>
          <w:tcPr>
            <w:tcW w:w="1261" w:type="dxa"/>
            <w:vAlign w:val="center"/>
          </w:tcPr>
          <w:p w14:paraId="148B1446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31 031</w:t>
            </w:r>
          </w:p>
        </w:tc>
        <w:tc>
          <w:tcPr>
            <w:tcW w:w="1239" w:type="dxa"/>
            <w:vAlign w:val="center"/>
          </w:tcPr>
          <w:p w14:paraId="36957D00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31 115</w:t>
            </w:r>
          </w:p>
        </w:tc>
        <w:tc>
          <w:tcPr>
            <w:tcW w:w="1160" w:type="dxa"/>
            <w:vAlign w:val="center"/>
          </w:tcPr>
          <w:p w14:paraId="1FE92BFD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31 171</w:t>
            </w:r>
          </w:p>
        </w:tc>
        <w:tc>
          <w:tcPr>
            <w:tcW w:w="1160" w:type="dxa"/>
            <w:vAlign w:val="center"/>
          </w:tcPr>
          <w:p w14:paraId="4F494B39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31 255</w:t>
            </w:r>
          </w:p>
        </w:tc>
        <w:tc>
          <w:tcPr>
            <w:tcW w:w="870" w:type="dxa"/>
            <w:vAlign w:val="center"/>
          </w:tcPr>
          <w:p w14:paraId="49D79A08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</w:t>
            </w:r>
          </w:p>
        </w:tc>
        <w:tc>
          <w:tcPr>
            <w:tcW w:w="869" w:type="dxa"/>
            <w:vAlign w:val="center"/>
          </w:tcPr>
          <w:p w14:paraId="6F3CF3F4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45</w:t>
            </w:r>
          </w:p>
        </w:tc>
        <w:tc>
          <w:tcPr>
            <w:tcW w:w="725" w:type="dxa"/>
            <w:vAlign w:val="center"/>
          </w:tcPr>
          <w:p w14:paraId="1067C9AF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56</w:t>
            </w:r>
          </w:p>
        </w:tc>
        <w:tc>
          <w:tcPr>
            <w:tcW w:w="760" w:type="dxa"/>
            <w:vAlign w:val="center"/>
          </w:tcPr>
          <w:p w14:paraId="78B103BB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140</w:t>
            </w:r>
          </w:p>
        </w:tc>
      </w:tr>
      <w:tr w:rsidR="00EF0707" w14:paraId="670EAB43" w14:textId="77777777" w:rsidTr="00E86D4A">
        <w:trPr>
          <w:trHeight w:val="400"/>
          <w:jc w:val="center"/>
        </w:trPr>
        <w:tc>
          <w:tcPr>
            <w:tcW w:w="828" w:type="dxa"/>
            <w:vAlign w:val="center"/>
          </w:tcPr>
          <w:p w14:paraId="3D12D06D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14</w:t>
            </w:r>
          </w:p>
        </w:tc>
        <w:tc>
          <w:tcPr>
            <w:tcW w:w="767" w:type="dxa"/>
            <w:vAlign w:val="center"/>
          </w:tcPr>
          <w:p w14:paraId="15D2CD73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1…8</w:t>
            </w:r>
          </w:p>
        </w:tc>
        <w:tc>
          <w:tcPr>
            <w:tcW w:w="1261" w:type="dxa"/>
            <w:vAlign w:val="center"/>
          </w:tcPr>
          <w:p w14:paraId="5320852D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31 024</w:t>
            </w:r>
          </w:p>
        </w:tc>
        <w:tc>
          <w:tcPr>
            <w:tcW w:w="1239" w:type="dxa"/>
            <w:vAlign w:val="center"/>
          </w:tcPr>
          <w:p w14:paraId="21A1E55E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31 122</w:t>
            </w:r>
          </w:p>
        </w:tc>
        <w:tc>
          <w:tcPr>
            <w:tcW w:w="1160" w:type="dxa"/>
            <w:vAlign w:val="center"/>
          </w:tcPr>
          <w:p w14:paraId="5AE90EB4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31 164</w:t>
            </w:r>
          </w:p>
        </w:tc>
        <w:tc>
          <w:tcPr>
            <w:tcW w:w="1160" w:type="dxa"/>
            <w:vAlign w:val="center"/>
          </w:tcPr>
          <w:p w14:paraId="39E5FB23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31 262</w:t>
            </w:r>
          </w:p>
        </w:tc>
        <w:tc>
          <w:tcPr>
            <w:tcW w:w="870" w:type="dxa"/>
            <w:vAlign w:val="center"/>
          </w:tcPr>
          <w:p w14:paraId="46E04F32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24</w:t>
            </w:r>
          </w:p>
        </w:tc>
        <w:tc>
          <w:tcPr>
            <w:tcW w:w="869" w:type="dxa"/>
            <w:vAlign w:val="center"/>
          </w:tcPr>
          <w:p w14:paraId="264B1712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38</w:t>
            </w:r>
          </w:p>
        </w:tc>
        <w:tc>
          <w:tcPr>
            <w:tcW w:w="725" w:type="dxa"/>
            <w:vAlign w:val="center"/>
          </w:tcPr>
          <w:p w14:paraId="29C0C237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42</w:t>
            </w:r>
          </w:p>
        </w:tc>
        <w:tc>
          <w:tcPr>
            <w:tcW w:w="760" w:type="dxa"/>
            <w:vAlign w:val="center"/>
          </w:tcPr>
          <w:p w14:paraId="62E7860E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140</w:t>
            </w:r>
          </w:p>
        </w:tc>
      </w:tr>
      <w:tr w:rsidR="00EF0707" w14:paraId="794DD2CA" w14:textId="77777777" w:rsidTr="00E86D4A">
        <w:trPr>
          <w:trHeight w:val="400"/>
          <w:jc w:val="center"/>
        </w:trPr>
        <w:tc>
          <w:tcPr>
            <w:tcW w:w="828" w:type="dxa"/>
            <w:vAlign w:val="center"/>
          </w:tcPr>
          <w:p w14:paraId="38CD23EC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7</w:t>
            </w:r>
          </w:p>
        </w:tc>
        <w:tc>
          <w:tcPr>
            <w:tcW w:w="767" w:type="dxa"/>
            <w:vAlign w:val="center"/>
          </w:tcPr>
          <w:p w14:paraId="30E7F4DE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1…16</w:t>
            </w:r>
          </w:p>
        </w:tc>
        <w:tc>
          <w:tcPr>
            <w:tcW w:w="1261" w:type="dxa"/>
            <w:vAlign w:val="center"/>
          </w:tcPr>
          <w:p w14:paraId="4DA9C436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31 020.5</w:t>
            </w:r>
          </w:p>
        </w:tc>
        <w:tc>
          <w:tcPr>
            <w:tcW w:w="1239" w:type="dxa"/>
            <w:vAlign w:val="center"/>
          </w:tcPr>
          <w:p w14:paraId="04D9241D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31 125.5</w:t>
            </w:r>
          </w:p>
        </w:tc>
        <w:tc>
          <w:tcPr>
            <w:tcW w:w="1160" w:type="dxa"/>
            <w:vAlign w:val="center"/>
          </w:tcPr>
          <w:p w14:paraId="194B0D82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31 160.5</w:t>
            </w:r>
          </w:p>
        </w:tc>
        <w:tc>
          <w:tcPr>
            <w:tcW w:w="1160" w:type="dxa"/>
            <w:vAlign w:val="center"/>
          </w:tcPr>
          <w:p w14:paraId="6F51E4B4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31 265.5</w:t>
            </w:r>
          </w:p>
        </w:tc>
        <w:tc>
          <w:tcPr>
            <w:tcW w:w="870" w:type="dxa"/>
            <w:vAlign w:val="center"/>
          </w:tcPr>
          <w:p w14:paraId="33BFBB3D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20.5</w:t>
            </w:r>
          </w:p>
        </w:tc>
        <w:tc>
          <w:tcPr>
            <w:tcW w:w="869" w:type="dxa"/>
            <w:vAlign w:val="center"/>
          </w:tcPr>
          <w:p w14:paraId="5D7ED1B9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34.5</w:t>
            </w:r>
          </w:p>
        </w:tc>
        <w:tc>
          <w:tcPr>
            <w:tcW w:w="725" w:type="dxa"/>
            <w:vAlign w:val="center"/>
          </w:tcPr>
          <w:p w14:paraId="654099BF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35</w:t>
            </w:r>
          </w:p>
        </w:tc>
        <w:tc>
          <w:tcPr>
            <w:tcW w:w="760" w:type="dxa"/>
            <w:vAlign w:val="center"/>
          </w:tcPr>
          <w:p w14:paraId="7A5711AB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140</w:t>
            </w:r>
          </w:p>
        </w:tc>
      </w:tr>
      <w:tr w:rsidR="00EF0707" w14:paraId="54281FDF" w14:textId="77777777" w:rsidTr="00E86D4A">
        <w:trPr>
          <w:trHeight w:val="400"/>
          <w:jc w:val="center"/>
        </w:trPr>
        <w:tc>
          <w:tcPr>
            <w:tcW w:w="828" w:type="dxa"/>
            <w:vAlign w:val="center"/>
          </w:tcPr>
          <w:p w14:paraId="399C9162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3.5</w:t>
            </w:r>
          </w:p>
        </w:tc>
        <w:tc>
          <w:tcPr>
            <w:tcW w:w="767" w:type="dxa"/>
            <w:vAlign w:val="center"/>
          </w:tcPr>
          <w:p w14:paraId="46823C23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1…32</w:t>
            </w:r>
          </w:p>
        </w:tc>
        <w:tc>
          <w:tcPr>
            <w:tcW w:w="1261" w:type="dxa"/>
            <w:vAlign w:val="center"/>
          </w:tcPr>
          <w:p w14:paraId="0D49D4E6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31 018.75</w:t>
            </w:r>
          </w:p>
        </w:tc>
        <w:tc>
          <w:tcPr>
            <w:tcW w:w="1239" w:type="dxa"/>
            <w:vAlign w:val="center"/>
          </w:tcPr>
          <w:p w14:paraId="64792849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31 127.25</w:t>
            </w:r>
          </w:p>
        </w:tc>
        <w:tc>
          <w:tcPr>
            <w:tcW w:w="1160" w:type="dxa"/>
            <w:vAlign w:val="center"/>
          </w:tcPr>
          <w:p w14:paraId="170B6338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31 158.75</w:t>
            </w:r>
          </w:p>
        </w:tc>
        <w:tc>
          <w:tcPr>
            <w:tcW w:w="1160" w:type="dxa"/>
            <w:vAlign w:val="center"/>
          </w:tcPr>
          <w:p w14:paraId="2AEA27FF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31 267.25</w:t>
            </w:r>
          </w:p>
        </w:tc>
        <w:tc>
          <w:tcPr>
            <w:tcW w:w="870" w:type="dxa"/>
            <w:vAlign w:val="center"/>
          </w:tcPr>
          <w:p w14:paraId="740D3481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18.75</w:t>
            </w:r>
          </w:p>
        </w:tc>
        <w:tc>
          <w:tcPr>
            <w:tcW w:w="869" w:type="dxa"/>
            <w:vAlign w:val="center"/>
          </w:tcPr>
          <w:p w14:paraId="39A43505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32.75</w:t>
            </w:r>
          </w:p>
        </w:tc>
        <w:tc>
          <w:tcPr>
            <w:tcW w:w="725" w:type="dxa"/>
            <w:vAlign w:val="center"/>
          </w:tcPr>
          <w:p w14:paraId="6B92D9E7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31.5</w:t>
            </w:r>
          </w:p>
        </w:tc>
        <w:tc>
          <w:tcPr>
            <w:tcW w:w="760" w:type="dxa"/>
            <w:vAlign w:val="center"/>
          </w:tcPr>
          <w:p w14:paraId="7BBE71FE" w14:textId="77777777" w:rsidR="00EF0707" w:rsidRDefault="00EF0707" w:rsidP="00E86D4A">
            <w:pPr>
              <w:pStyle w:val="Tabletext"/>
              <w:framePr w:hSpace="181" w:wrap="notBeside" w:vAnchor="text" w:hAnchor="text" w:xAlign="center" w:y="1"/>
              <w:jc w:val="center"/>
            </w:pPr>
            <w:r>
              <w:t>140</w:t>
            </w:r>
          </w:p>
        </w:tc>
      </w:tr>
    </w:tbl>
    <w:p w14:paraId="225B9EEE" w14:textId="77777777" w:rsidR="00EF0707" w:rsidRDefault="00EF0707" w:rsidP="00EF0707">
      <w:pPr>
        <w:pStyle w:val="Tablefin"/>
      </w:pPr>
    </w:p>
    <w:p w14:paraId="2970190F" w14:textId="77777777" w:rsidR="001A4518" w:rsidRDefault="001A4518" w:rsidP="00330B8B">
      <w:pPr>
        <w:pStyle w:val="Line"/>
      </w:pPr>
    </w:p>
    <w:sectPr w:rsidR="001A4518" w:rsidSect="00EF0707">
      <w:headerReference w:type="even" r:id="rId81"/>
      <w:headerReference w:type="default" r:id="rId82"/>
      <w:footerReference w:type="default" r:id="rId83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F8839" w14:textId="77777777" w:rsidR="001A4518" w:rsidRDefault="001A4518">
      <w:r>
        <w:separator/>
      </w:r>
    </w:p>
  </w:endnote>
  <w:endnote w:type="continuationSeparator" w:id="0">
    <w:p w14:paraId="59F20045" w14:textId="77777777" w:rsidR="001A4518" w:rsidRDefault="001A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C276" w14:textId="77777777" w:rsidR="001A4518" w:rsidRDefault="001A4518">
    <w:pPr>
      <w:pStyle w:val="Footer"/>
    </w:pPr>
    <w:r>
      <w:drawing>
        <wp:anchor distT="0" distB="0" distL="0" distR="0" simplePos="0" relativeHeight="251659264" behindDoc="0" locked="0" layoutInCell="1" allowOverlap="1" wp14:anchorId="3CFD61DA" wp14:editId="5F9FC927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F370" w14:textId="7C5C9EAA" w:rsidR="00EF0707" w:rsidRDefault="00EF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EEC5" w14:textId="77777777" w:rsidR="001A4518" w:rsidRDefault="001A4518">
      <w:r>
        <w:separator/>
      </w:r>
    </w:p>
  </w:footnote>
  <w:footnote w:type="continuationSeparator" w:id="0">
    <w:p w14:paraId="49BC5597" w14:textId="77777777" w:rsidR="001A4518" w:rsidRDefault="001A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8DF2" w14:textId="77777777" w:rsidR="001A4518" w:rsidRDefault="001A451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1A4518" w:rsidRPr="00A239D1" w14:paraId="70EE0DA5" w14:textId="77777777" w:rsidTr="0019307B">
      <w:tc>
        <w:tcPr>
          <w:tcW w:w="4634" w:type="dxa"/>
          <w:vAlign w:val="center"/>
        </w:tcPr>
        <w:p w14:paraId="7F52AAEA" w14:textId="77777777" w:rsidR="001A4518" w:rsidRPr="005B0371" w:rsidRDefault="001A4518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2173C234" w14:textId="77777777" w:rsidR="001A4518" w:rsidRPr="00260B24" w:rsidRDefault="001A4518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International Telecommunication Union</w:t>
          </w:r>
        </w:p>
      </w:tc>
    </w:tr>
    <w:tr w:rsidR="001A4518" w:rsidRPr="00A239D1" w14:paraId="3B053ED7" w14:textId="77777777" w:rsidTr="0019307B">
      <w:tc>
        <w:tcPr>
          <w:tcW w:w="4634" w:type="dxa"/>
          <w:vAlign w:val="center"/>
        </w:tcPr>
        <w:p w14:paraId="778E5B17" w14:textId="77777777" w:rsidR="001A4518" w:rsidRPr="00260B24" w:rsidRDefault="001A4518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Recommendations</w:t>
          </w:r>
        </w:p>
      </w:tc>
      <w:tc>
        <w:tcPr>
          <w:tcW w:w="5998" w:type="dxa"/>
          <w:vAlign w:val="center"/>
        </w:tcPr>
        <w:p w14:paraId="2B496DC7" w14:textId="77777777" w:rsidR="001A4518" w:rsidRPr="00260B24" w:rsidRDefault="001A4518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Radiocommunication Sector</w:t>
          </w:r>
        </w:p>
      </w:tc>
    </w:tr>
  </w:tbl>
  <w:p w14:paraId="534885E3" w14:textId="77777777" w:rsidR="001A4518" w:rsidRDefault="001A4518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FC2B745" wp14:editId="3BFD889D">
          <wp:simplePos x="0" y="0"/>
          <wp:positionH relativeFrom="column">
            <wp:posOffset>-358302</wp:posOffset>
          </wp:positionH>
          <wp:positionV relativeFrom="paragraph">
            <wp:posOffset>-534670</wp:posOffset>
          </wp:positionV>
          <wp:extent cx="1945758" cy="414616"/>
          <wp:effectExtent l="0" t="0" r="0" b="0"/>
          <wp:wrapNone/>
          <wp:docPr id="5" name="Picture 5" descr="ITU Publica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TU Publicati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8" cy="41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ED1DF" wp14:editId="1E75FB88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AE10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0452FC1" w14:textId="77777777" w:rsidR="001A4518" w:rsidRDefault="001A4518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47A1" wp14:editId="29ABC04F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06521" id="docshapegroup6" o:spid="_x0000_s1026" alt="Header separator line" style="position:absolute;margin-left:0;margin-top:94.2pt;width:595.3pt;height:18.6pt;z-index:251662336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5B97" w14:textId="133166C7" w:rsidR="001A4518" w:rsidRPr="00D72623" w:rsidRDefault="001A4518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</w:rPr>
      <w:t>i</w:t>
    </w:r>
    <w:proofErr w:type="spellStart"/>
    <w:r>
      <w:rPr>
        <w:rStyle w:val="PageNumber"/>
        <w:b/>
        <w:bCs/>
      </w:rPr>
      <w:t>i</w:t>
    </w:r>
    <w:proofErr w:type="spellEnd"/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65E49">
      <w:rPr>
        <w:b/>
        <w:bCs/>
        <w:noProof/>
      </w:rPr>
      <w:t>ITU-R  F.746-11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87CB" w14:textId="77777777" w:rsidR="001A4518" w:rsidRDefault="001A4518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ITU-R  F.XXX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92F2" w14:textId="5E003A1A" w:rsidR="00607D68" w:rsidRDefault="00607D68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9E00A8">
      <w:rPr>
        <w:lang w:val="fr-FR"/>
      </w:rPr>
      <w:fldChar w:fldCharType="begin"/>
    </w:r>
    <w:r w:rsidR="009E00A8" w:rsidRPr="009E00A8">
      <w:rPr>
        <w:lang w:val="en-US"/>
      </w:rPr>
      <w:instrText xml:space="preserve"> DOCPROPERTY "Header" \* MERGEFORMAT </w:instrText>
    </w:r>
    <w:r w:rsidR="009E00A8">
      <w:rPr>
        <w:lang w:val="fr-FR"/>
      </w:rPr>
      <w:fldChar w:fldCharType="separate"/>
    </w:r>
    <w:r w:rsidR="001A4518" w:rsidRPr="001A4518">
      <w:rPr>
        <w:b/>
        <w:bCs/>
        <w:lang w:val="en-US"/>
      </w:rPr>
      <w:t xml:space="preserve">Rec. </w:t>
    </w:r>
    <w:r w:rsidR="009E00A8">
      <w:rPr>
        <w:b/>
        <w:bCs/>
        <w:lang w:val="en-US"/>
      </w:rPr>
      <w:fldChar w:fldCharType="end"/>
    </w:r>
    <w:r w:rsidRPr="009E00A8">
      <w:rPr>
        <w:b/>
        <w:bCs/>
        <w:lang w:val="en-US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65E49">
      <w:rPr>
        <w:b/>
        <w:bCs/>
        <w:noProof/>
      </w:rPr>
      <w:t>ITU-R  F.746-11</w:t>
    </w:r>
    <w:r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7DF0" w14:textId="2C8F234B" w:rsidR="00607D68" w:rsidRDefault="00607D68">
    <w:pPr>
      <w:pStyle w:val="Header"/>
    </w:pPr>
    <w:r>
      <w:tab/>
    </w:r>
    <w:r w:rsidR="00D65E49">
      <w:fldChar w:fldCharType="begin"/>
    </w:r>
    <w:r w:rsidR="00D65E49">
      <w:instrText xml:space="preserve"> DOCPROPERTY "Header" \* MERGEFORMAT </w:instrText>
    </w:r>
    <w:r w:rsidR="00D65E49">
      <w:fldChar w:fldCharType="separate"/>
    </w:r>
    <w:r w:rsidR="001A4518" w:rsidRPr="001A4518">
      <w:rPr>
        <w:b/>
        <w:bCs/>
      </w:rPr>
      <w:t xml:space="preserve">Rec. </w:t>
    </w:r>
    <w:r w:rsidR="00D65E4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D65E49">
      <w:rPr>
        <w:b/>
        <w:bCs/>
        <w:noProof/>
      </w:rPr>
      <w:t>ITU-R  F.746-11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242AEE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233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18"/>
    <w:rsid w:val="001A4518"/>
    <w:rsid w:val="00217EBF"/>
    <w:rsid w:val="00242AEE"/>
    <w:rsid w:val="002D76C4"/>
    <w:rsid w:val="002F5FED"/>
    <w:rsid w:val="00330B8B"/>
    <w:rsid w:val="0049502D"/>
    <w:rsid w:val="0052529D"/>
    <w:rsid w:val="00607D68"/>
    <w:rsid w:val="00622E48"/>
    <w:rsid w:val="007468DA"/>
    <w:rsid w:val="008131AC"/>
    <w:rsid w:val="009E00A8"/>
    <w:rsid w:val="00A6617B"/>
    <w:rsid w:val="00AB0DC8"/>
    <w:rsid w:val="00B44E24"/>
    <w:rsid w:val="00D238F3"/>
    <w:rsid w:val="00D65E49"/>
    <w:rsid w:val="00DC2B47"/>
    <w:rsid w:val="00DF4176"/>
    <w:rsid w:val="00EF0707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43"/>
    <o:shapelayout v:ext="edit">
      <o:idmap v:ext="edit" data="1"/>
    </o:shapelayout>
  </w:shapeDefaults>
  <w:decimalSymbol w:val="."/>
  <w:listSeparator w:val=","/>
  <w14:docId w14:val="32211422"/>
  <w15:docId w15:val="{A56D66CD-DE4F-4589-A31C-C172A9C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qFormat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autoRedefine/>
    <w:rsid w:val="00242AEE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rsid w:val="00EF0707"/>
    <w:pPr>
      <w:keepNext/>
      <w:keepLines/>
      <w:spacing w:before="480" w:after="80"/>
      <w:jc w:val="center"/>
      <w:outlineLvl w:val="0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link w:val="TableNoChar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link w:val="TabletitleChar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242AEE"/>
    <w:pPr>
      <w:spacing w:after="480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7468DA"/>
    <w:pPr>
      <w:ind w:left="-85" w:firstLine="0"/>
    </w:pPr>
    <w:rPr>
      <w:lang w:val="en-US"/>
    </w:r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customStyle="1" w:styleId="Heading1Char">
    <w:name w:val="Heading 1 Char"/>
    <w:basedOn w:val="DefaultParagraphFont"/>
    <w:link w:val="Heading1"/>
    <w:rsid w:val="001A4518"/>
    <w:rPr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518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A4518"/>
    <w:rPr>
      <w:noProof/>
      <w:sz w:val="18"/>
      <w:lang w:val="en-GB" w:eastAsia="en-US"/>
    </w:rPr>
  </w:style>
  <w:style w:type="character" w:styleId="Hyperlink">
    <w:name w:val="Hyperlink"/>
    <w:basedOn w:val="DefaultParagraphFont"/>
    <w:rsid w:val="001A4518"/>
    <w:rPr>
      <w:color w:val="0000FF"/>
      <w:u w:val="single"/>
    </w:rPr>
  </w:style>
  <w:style w:type="table" w:styleId="TableGrid">
    <w:name w:val="Table Grid"/>
    <w:basedOn w:val="TableNormal"/>
    <w:uiPriority w:val="39"/>
    <w:rsid w:val="001A4518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1A45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1A45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1A45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1A451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Proposal">
    <w:name w:val="Proposal"/>
    <w:basedOn w:val="Normal"/>
    <w:next w:val="Normal"/>
    <w:rsid w:val="00EF070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hAnsi="Times New Roman Bold"/>
    </w:rPr>
  </w:style>
  <w:style w:type="character" w:customStyle="1" w:styleId="TabletextChar">
    <w:name w:val="Table_text Char"/>
    <w:basedOn w:val="DefaultParagraphFont"/>
    <w:link w:val="Tabletext"/>
    <w:rsid w:val="00EF0707"/>
    <w:rPr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rsid w:val="00EF0707"/>
    <w:rPr>
      <w:b/>
      <w:sz w:val="24"/>
      <w:lang w:val="en-GB" w:eastAsia="en-US"/>
    </w:rPr>
  </w:style>
  <w:style w:type="character" w:customStyle="1" w:styleId="TableNoChar">
    <w:name w:val="Table_No Char"/>
    <w:link w:val="TableNo"/>
    <w:locked/>
    <w:rsid w:val="00EF0707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EF0707"/>
    <w:rPr>
      <w:sz w:val="24"/>
      <w:lang w:val="fr-FR" w:eastAsia="en-US"/>
    </w:rPr>
  </w:style>
  <w:style w:type="paragraph" w:customStyle="1" w:styleId="EditorsNote">
    <w:name w:val="EditorsNote"/>
    <w:basedOn w:val="Normal"/>
    <w:rsid w:val="00EF07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i/>
      <w:iCs/>
    </w:rPr>
  </w:style>
  <w:style w:type="paragraph" w:customStyle="1" w:styleId="Source">
    <w:name w:val="Source"/>
    <w:basedOn w:val="Normal"/>
    <w:next w:val="Normal"/>
    <w:link w:val="SourceChar"/>
    <w:rsid w:val="00EF07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EF070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EF07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character" w:customStyle="1" w:styleId="Title1Char">
    <w:name w:val="Title 1 Char"/>
    <w:link w:val="Title1"/>
    <w:locked/>
    <w:rsid w:val="00EF0707"/>
    <w:rPr>
      <w:caps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F0707"/>
    <w:rPr>
      <w:b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F5F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rec/R-REC-F.637/en" TargetMode="External"/><Relationship Id="rId21" Type="http://schemas.openxmlformats.org/officeDocument/2006/relationships/hyperlink" Target="https://www.itu.int/rec/R-REC-F.497/en" TargetMode="External"/><Relationship Id="rId42" Type="http://schemas.openxmlformats.org/officeDocument/2006/relationships/hyperlink" Target="https://www.itu.int/rec/R-REC-F.1567/en" TargetMode="External"/><Relationship Id="rId47" Type="http://schemas.openxmlformats.org/officeDocument/2006/relationships/image" Target="media/image3.png"/><Relationship Id="rId63" Type="http://schemas.openxmlformats.org/officeDocument/2006/relationships/image" Target="media/image12.png"/><Relationship Id="rId68" Type="http://schemas.openxmlformats.org/officeDocument/2006/relationships/oleObject" Target="embeddings/oleObject9.bin"/><Relationship Id="rId84" Type="http://schemas.openxmlformats.org/officeDocument/2006/relationships/fontTable" Target="fontTable.xml"/><Relationship Id="rId16" Type="http://schemas.openxmlformats.org/officeDocument/2006/relationships/hyperlink" Target="https://www.itu.int/rec/R-REC-F.383/en" TargetMode="External"/><Relationship Id="rId11" Type="http://schemas.openxmlformats.org/officeDocument/2006/relationships/hyperlink" Target="https://www.itu.int/publ/R-REC/en" TargetMode="External"/><Relationship Id="rId32" Type="http://schemas.openxmlformats.org/officeDocument/2006/relationships/hyperlink" Target="https://www.itu.int/rec/R-REC-F.1098/en" TargetMode="External"/><Relationship Id="rId37" Type="http://schemas.openxmlformats.org/officeDocument/2006/relationships/hyperlink" Target="https://www.itu.int/rec/R-REC-F.1243/en" TargetMode="External"/><Relationship Id="rId53" Type="http://schemas.openxmlformats.org/officeDocument/2006/relationships/oleObject" Target="embeddings/oleObject3.bin"/><Relationship Id="rId58" Type="http://schemas.openxmlformats.org/officeDocument/2006/relationships/image" Target="media/image9.wmf"/><Relationship Id="rId74" Type="http://schemas.openxmlformats.org/officeDocument/2006/relationships/oleObject" Target="embeddings/oleObject14.bin"/><Relationship Id="rId79" Type="http://schemas.openxmlformats.org/officeDocument/2006/relationships/image" Target="media/image19.wmf"/><Relationship Id="rId5" Type="http://schemas.openxmlformats.org/officeDocument/2006/relationships/footnotes" Target="footnotes.xml"/><Relationship Id="rId19" Type="http://schemas.openxmlformats.org/officeDocument/2006/relationships/hyperlink" Target="https://www.itu.int/rec/R-REC-F.386/en" TargetMode="External"/><Relationship Id="rId14" Type="http://schemas.openxmlformats.org/officeDocument/2006/relationships/hyperlink" Target="https://www.itu.int/rec/R-REC-P.310/en" TargetMode="External"/><Relationship Id="rId22" Type="http://schemas.openxmlformats.org/officeDocument/2006/relationships/hyperlink" Target="https://www.itu.int/rec/R-REC-P.530/en" TargetMode="External"/><Relationship Id="rId27" Type="http://schemas.openxmlformats.org/officeDocument/2006/relationships/hyperlink" Target="https://www.itu.int/rec/R-REC-F.701/en" TargetMode="External"/><Relationship Id="rId30" Type="http://schemas.openxmlformats.org/officeDocument/2006/relationships/hyperlink" Target="https://www.itu.int/rec/R-REC-F.749/en" TargetMode="External"/><Relationship Id="rId35" Type="http://schemas.openxmlformats.org/officeDocument/2006/relationships/hyperlink" Target="https://www.itu.int/rec/R-REC-F.1191/en" TargetMode="External"/><Relationship Id="rId43" Type="http://schemas.openxmlformats.org/officeDocument/2006/relationships/hyperlink" Target="https://www.itu.int/rec/R-REC-F.1568/en" TargetMode="External"/><Relationship Id="rId48" Type="http://schemas.openxmlformats.org/officeDocument/2006/relationships/image" Target="media/image4.wmf"/><Relationship Id="rId56" Type="http://schemas.openxmlformats.org/officeDocument/2006/relationships/image" Target="media/image8.wmf"/><Relationship Id="rId64" Type="http://schemas.openxmlformats.org/officeDocument/2006/relationships/image" Target="media/image13.png"/><Relationship Id="rId69" Type="http://schemas.openxmlformats.org/officeDocument/2006/relationships/image" Target="media/image16.wmf"/><Relationship Id="rId77" Type="http://schemas.openxmlformats.org/officeDocument/2006/relationships/image" Target="media/image18.wmf"/><Relationship Id="rId8" Type="http://schemas.openxmlformats.org/officeDocument/2006/relationships/header" Target="header2.xml"/><Relationship Id="rId51" Type="http://schemas.openxmlformats.org/officeDocument/2006/relationships/oleObject" Target="embeddings/oleObject2.bin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7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itu.int/rec/R-REC-F.384/en" TargetMode="External"/><Relationship Id="rId25" Type="http://schemas.openxmlformats.org/officeDocument/2006/relationships/hyperlink" Target="https://www.itu.int/rec/R-REC-F.636/en" TargetMode="External"/><Relationship Id="rId33" Type="http://schemas.openxmlformats.org/officeDocument/2006/relationships/hyperlink" Target="https://www.itu.int/rec/R-REC-F.1099/en" TargetMode="External"/><Relationship Id="rId38" Type="http://schemas.openxmlformats.org/officeDocument/2006/relationships/hyperlink" Target="https://www.itu.int/rec/R-REC-F.1488/en" TargetMode="External"/><Relationship Id="rId46" Type="http://schemas.openxmlformats.org/officeDocument/2006/relationships/hyperlink" Target="https://www.itu.int/rec/R-REC-F.2006/en" TargetMode="External"/><Relationship Id="rId59" Type="http://schemas.openxmlformats.org/officeDocument/2006/relationships/oleObject" Target="embeddings/oleObject6.bin"/><Relationship Id="rId67" Type="http://schemas.openxmlformats.org/officeDocument/2006/relationships/image" Target="media/image15.wmf"/><Relationship Id="rId20" Type="http://schemas.openxmlformats.org/officeDocument/2006/relationships/hyperlink" Target="https://www.itu.int/rec/R-REC-F.387/en" TargetMode="External"/><Relationship Id="rId41" Type="http://schemas.openxmlformats.org/officeDocument/2006/relationships/hyperlink" Target="https://www.itu.int/rec/R-REC-F.1520/en" TargetMode="External"/><Relationship Id="rId54" Type="http://schemas.openxmlformats.org/officeDocument/2006/relationships/image" Target="media/image7.wmf"/><Relationship Id="rId62" Type="http://schemas.openxmlformats.org/officeDocument/2006/relationships/oleObject" Target="embeddings/oleObject7.bin"/><Relationship Id="rId70" Type="http://schemas.openxmlformats.org/officeDocument/2006/relationships/oleObject" Target="embeddings/oleObject10.bin"/><Relationship Id="rId75" Type="http://schemas.openxmlformats.org/officeDocument/2006/relationships/image" Target="media/image17.wmf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rec/R-REC-F.382/en" TargetMode="External"/><Relationship Id="rId23" Type="http://schemas.openxmlformats.org/officeDocument/2006/relationships/hyperlink" Target="https://www.itu.int/rec/R-REC-F.595/en" TargetMode="External"/><Relationship Id="rId28" Type="http://schemas.openxmlformats.org/officeDocument/2006/relationships/hyperlink" Target="https://www.itu.int/rec/R-REC-F.747/en" TargetMode="External"/><Relationship Id="rId36" Type="http://schemas.openxmlformats.org/officeDocument/2006/relationships/hyperlink" Target="https://www.itu.int/rec/R-REC-F.1242/en" TargetMode="External"/><Relationship Id="rId49" Type="http://schemas.openxmlformats.org/officeDocument/2006/relationships/oleObject" Target="embeddings/oleObject1.bin"/><Relationship Id="rId57" Type="http://schemas.openxmlformats.org/officeDocument/2006/relationships/oleObject" Target="embeddings/oleObject5.bin"/><Relationship Id="rId10" Type="http://schemas.openxmlformats.org/officeDocument/2006/relationships/hyperlink" Target="http://www.itu.int/ITU-R/go/patents/en" TargetMode="External"/><Relationship Id="rId31" Type="http://schemas.openxmlformats.org/officeDocument/2006/relationships/hyperlink" Target="https://www.itu.int/rec/R-REC-F.1093/en" TargetMode="External"/><Relationship Id="rId44" Type="http://schemas.openxmlformats.org/officeDocument/2006/relationships/hyperlink" Target="https://www.itu.int/rec/R-REC-F.2004/en" TargetMode="External"/><Relationship Id="rId52" Type="http://schemas.openxmlformats.org/officeDocument/2006/relationships/image" Target="media/image6.wmf"/><Relationship Id="rId60" Type="http://schemas.openxmlformats.org/officeDocument/2006/relationships/image" Target="media/image10.png"/><Relationship Id="rId65" Type="http://schemas.openxmlformats.org/officeDocument/2006/relationships/image" Target="media/image14.wmf"/><Relationship Id="rId73" Type="http://schemas.openxmlformats.org/officeDocument/2006/relationships/oleObject" Target="embeddings/oleObject13.bin"/><Relationship Id="rId78" Type="http://schemas.openxmlformats.org/officeDocument/2006/relationships/oleObject" Target="embeddings/oleObject16.bin"/><Relationship Id="rId8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itu.int/rec/R-REC-F.385/en" TargetMode="External"/><Relationship Id="rId39" Type="http://schemas.openxmlformats.org/officeDocument/2006/relationships/hyperlink" Target="https://www.itu.int/rec/R-REC-F.1496/en" TargetMode="External"/><Relationship Id="rId34" Type="http://schemas.openxmlformats.org/officeDocument/2006/relationships/hyperlink" Target="https://www.itu.int/rec/R-REC-F.1101/en" TargetMode="External"/><Relationship Id="rId50" Type="http://schemas.openxmlformats.org/officeDocument/2006/relationships/image" Target="media/image5.wmf"/><Relationship Id="rId55" Type="http://schemas.openxmlformats.org/officeDocument/2006/relationships/oleObject" Target="embeddings/oleObject4.bin"/><Relationship Id="rId76" Type="http://schemas.openxmlformats.org/officeDocument/2006/relationships/oleObject" Target="embeddings/oleObject15.bin"/><Relationship Id="rId7" Type="http://schemas.openxmlformats.org/officeDocument/2006/relationships/header" Target="header1.xml"/><Relationship Id="rId71" Type="http://schemas.openxmlformats.org/officeDocument/2006/relationships/oleObject" Target="embeddings/oleObject11.bin"/><Relationship Id="rId2" Type="http://schemas.openxmlformats.org/officeDocument/2006/relationships/styles" Target="styles.xml"/><Relationship Id="rId29" Type="http://schemas.openxmlformats.org/officeDocument/2006/relationships/hyperlink" Target="https://www.itu.int/rec/R-REC-F.748/en" TargetMode="External"/><Relationship Id="rId24" Type="http://schemas.openxmlformats.org/officeDocument/2006/relationships/hyperlink" Target="https://www.itu.int/rec/R-REC-F.635/en" TargetMode="External"/><Relationship Id="rId40" Type="http://schemas.openxmlformats.org/officeDocument/2006/relationships/hyperlink" Target="https://www.itu.int/rec/R-REC-F.1497/en" TargetMode="External"/><Relationship Id="rId45" Type="http://schemas.openxmlformats.org/officeDocument/2006/relationships/hyperlink" Target="https://www.itu.int/rec/R-REC-F.2005/en" TargetMode="External"/><Relationship Id="rId66" Type="http://schemas.openxmlformats.org/officeDocument/2006/relationships/oleObject" Target="embeddings/oleObject8.bin"/><Relationship Id="rId61" Type="http://schemas.openxmlformats.org/officeDocument/2006/relationships/image" Target="media/image11.wmf"/><Relationship Id="rId8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44</TotalTime>
  <Pages>20</Pages>
  <Words>5239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ITU-R F.746-11 (12/2023) - Radio-frequency arrangements for fixed service systems</vt:lpstr>
    </vt:vector>
  </TitlesOfParts>
  <Manager/>
  <Company>ITU</Company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ITU-R F.746-11 (12/2023) - Radio-frequency arrangements for fixed service systems</dc:title>
  <dc:subject/>
  <dc:creator>Gachet, Christelle</dc:creator>
  <cp:keywords/>
  <dc:description/>
  <cp:lastModifiedBy>Gomez, Yoanni</cp:lastModifiedBy>
  <cp:revision>4</cp:revision>
  <cp:lastPrinted>2005-02-10T15:54:00Z</cp:lastPrinted>
  <dcterms:created xsi:type="dcterms:W3CDTF">2024-08-30T14:32:00Z</dcterms:created>
  <dcterms:modified xsi:type="dcterms:W3CDTF">2024-09-16T10:30:00Z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