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F94" w:rsidRDefault="00881F94" w:rsidP="00881F94">
      <w:bookmarkStart w:id="0" w:name="_GoBack"/>
      <w:bookmarkEnd w:id="0"/>
    </w:p>
    <w:p w:rsidR="00881F94" w:rsidRDefault="00881F94" w:rsidP="00881F94"/>
    <w:p w:rsidR="00881F94" w:rsidRDefault="00881F94" w:rsidP="00881F94"/>
    <w:p w:rsidR="00881F94" w:rsidRDefault="00881F94" w:rsidP="00881F94"/>
    <w:p w:rsidR="00881F94" w:rsidRDefault="00881F94" w:rsidP="00881F94"/>
    <w:p w:rsidR="00881F94" w:rsidRDefault="00881F94" w:rsidP="00881F94"/>
    <w:p w:rsidR="00881F94" w:rsidRDefault="00881F94" w:rsidP="00881F94"/>
    <w:p w:rsidR="00881F94" w:rsidRDefault="00881F94" w:rsidP="00881F94"/>
    <w:p w:rsidR="00881F94" w:rsidRDefault="00881F94" w:rsidP="00881F94"/>
    <w:p w:rsidR="00881F94" w:rsidRDefault="00881F94" w:rsidP="00881F94"/>
    <w:p w:rsidR="00881F94" w:rsidRDefault="00881F94" w:rsidP="00881F94"/>
    <w:p w:rsidR="00881F94" w:rsidRDefault="00881F94" w:rsidP="00881F94"/>
    <w:tbl>
      <w:tblPr>
        <w:tblW w:w="10089" w:type="dxa"/>
        <w:tblLook w:val="01E0" w:firstRow="1" w:lastRow="1" w:firstColumn="1" w:lastColumn="1" w:noHBand="0" w:noVBand="0"/>
      </w:tblPr>
      <w:tblGrid>
        <w:gridCol w:w="10089"/>
      </w:tblGrid>
      <w:tr w:rsidR="00881F94" w:rsidRPr="00A443C2" w:rsidTr="00881F94">
        <w:tc>
          <w:tcPr>
            <w:tcW w:w="10089" w:type="dxa"/>
          </w:tcPr>
          <w:p w:rsidR="00881F94" w:rsidRPr="00B033C8" w:rsidRDefault="00881F94" w:rsidP="00881F94">
            <w:pPr>
              <w:spacing w:before="380" w:line="280" w:lineRule="exact"/>
              <w:jc w:val="right"/>
              <w:rPr>
                <w:rFonts w:ascii="Tahoma" w:hAnsi="Tahoma" w:cs="Tahoma"/>
                <w:b/>
                <w:bCs/>
                <w:iCs/>
                <w:color w:val="243285"/>
                <w:sz w:val="32"/>
                <w:szCs w:val="32"/>
                <w:lang w:val="en-US"/>
              </w:rPr>
            </w:pPr>
          </w:p>
          <w:p w:rsidR="00881F94" w:rsidRPr="00EF154C" w:rsidRDefault="00881F94" w:rsidP="00EF154C">
            <w:pPr>
              <w:spacing w:before="380" w:line="280" w:lineRule="exact"/>
              <w:jc w:val="right"/>
              <w:rPr>
                <w:rFonts w:ascii="Tahoma" w:hAnsi="Tahoma" w:cs="Tahoma"/>
                <w:b/>
                <w:bCs/>
                <w:iCs/>
                <w:color w:val="243285"/>
                <w:sz w:val="36"/>
                <w:szCs w:val="36"/>
                <w:lang w:val="fr-CH"/>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EF154C">
              <w:rPr>
                <w:rFonts w:ascii="Tahoma" w:hAnsi="Tahoma" w:cs="Tahoma"/>
                <w:b/>
                <w:bCs/>
                <w:iCs/>
                <w:color w:val="243285"/>
                <w:sz w:val="36"/>
                <w:szCs w:val="36"/>
              </w:rPr>
              <w:t>635</w:t>
            </w:r>
            <w:r w:rsidR="00EF154C">
              <w:rPr>
                <w:rFonts w:ascii="Tahoma" w:hAnsi="Tahoma" w:cs="Tahoma"/>
                <w:b/>
                <w:bCs/>
                <w:iCs/>
                <w:color w:val="243285"/>
                <w:sz w:val="36"/>
                <w:szCs w:val="36"/>
                <w:lang w:val="fr-CH"/>
              </w:rPr>
              <w:t>-7</w:t>
            </w:r>
          </w:p>
          <w:p w:rsidR="00881F94" w:rsidRPr="00A443C2" w:rsidRDefault="00881F94" w:rsidP="00EF154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EF154C">
              <w:rPr>
                <w:rFonts w:ascii="Tahoma" w:hAnsi="Tahoma" w:cs="Tahoma"/>
                <w:b/>
                <w:bCs/>
                <w:iCs/>
                <w:color w:val="243285"/>
                <w:szCs w:val="24"/>
              </w:rPr>
              <w:t>2</w:t>
            </w:r>
            <w:r w:rsidRPr="00A443C2">
              <w:rPr>
                <w:rFonts w:ascii="Tahoma" w:hAnsi="Tahoma" w:cs="Tahoma"/>
                <w:b/>
                <w:bCs/>
                <w:iCs/>
                <w:color w:val="243285"/>
                <w:szCs w:val="24"/>
              </w:rPr>
              <w:t>/</w:t>
            </w:r>
            <w:r w:rsidR="00EF154C">
              <w:rPr>
                <w:rFonts w:ascii="Tahoma" w:hAnsi="Tahoma" w:cs="Tahoma"/>
                <w:b/>
                <w:bCs/>
                <w:iCs/>
                <w:color w:val="243285"/>
                <w:szCs w:val="24"/>
              </w:rPr>
              <w:t>2013</w:t>
            </w:r>
            <w:r w:rsidRPr="00A443C2">
              <w:rPr>
                <w:rFonts w:ascii="Tahoma" w:hAnsi="Tahoma" w:cs="Tahoma"/>
                <w:b/>
                <w:bCs/>
                <w:iCs/>
                <w:color w:val="243285"/>
                <w:szCs w:val="24"/>
              </w:rPr>
              <w:t>)</w:t>
            </w:r>
          </w:p>
        </w:tc>
      </w:tr>
      <w:tr w:rsidR="00881F94" w:rsidRPr="00F54FBD" w:rsidTr="00881F94">
        <w:tc>
          <w:tcPr>
            <w:tcW w:w="10089" w:type="dxa"/>
          </w:tcPr>
          <w:p w:rsidR="00881F94" w:rsidRDefault="00881F94" w:rsidP="00881F94">
            <w:pPr>
              <w:spacing w:before="80" w:line="500" w:lineRule="exact"/>
              <w:jc w:val="right"/>
              <w:rPr>
                <w:rFonts w:ascii="Tahoma" w:hAnsi="Tahoma" w:cs="Tahoma"/>
                <w:b/>
                <w:bCs/>
                <w:iCs/>
                <w:color w:val="243285"/>
                <w:sz w:val="44"/>
                <w:szCs w:val="44"/>
              </w:rPr>
            </w:pPr>
          </w:p>
          <w:p w:rsidR="00881F94" w:rsidRDefault="00EF154C" w:rsidP="00881560">
            <w:pPr>
              <w:spacing w:before="80" w:line="500" w:lineRule="exact"/>
              <w:jc w:val="right"/>
              <w:rPr>
                <w:rFonts w:ascii="Tahoma" w:hAnsi="Tahoma" w:cs="Tahoma"/>
                <w:b/>
                <w:bCs/>
                <w:iCs/>
                <w:color w:val="243285"/>
                <w:sz w:val="44"/>
                <w:szCs w:val="44"/>
              </w:rPr>
            </w:pPr>
            <w:r w:rsidRPr="00EF154C">
              <w:rPr>
                <w:rFonts w:ascii="Tahoma" w:hAnsi="Tahoma" w:cs="Tahoma"/>
                <w:b/>
                <w:bCs/>
                <w:iCs/>
                <w:color w:val="243285"/>
                <w:sz w:val="44"/>
                <w:szCs w:val="44"/>
              </w:rPr>
              <w:t xml:space="preserve">Disposition des canaux radioélectriques fondée sur un plan homogène </w:t>
            </w:r>
            <w:r w:rsidRPr="00EF154C">
              <w:rPr>
                <w:rFonts w:ascii="Tahoma" w:hAnsi="Tahoma" w:cs="Tahoma"/>
                <w:b/>
                <w:bCs/>
                <w:iCs/>
                <w:color w:val="243285"/>
                <w:sz w:val="44"/>
                <w:szCs w:val="44"/>
              </w:rPr>
              <w:br/>
              <w:t xml:space="preserve">pour les systèmes hertziens fixes fonctionnant dans la bande </w:t>
            </w:r>
            <w:r w:rsidRPr="00EF154C">
              <w:rPr>
                <w:rFonts w:ascii="Tahoma" w:hAnsi="Tahoma" w:cs="Tahoma"/>
                <w:b/>
                <w:bCs/>
                <w:iCs/>
                <w:color w:val="243285"/>
                <w:sz w:val="44"/>
                <w:szCs w:val="44"/>
              </w:rPr>
              <w:br/>
              <w:t>des 4 GHz (3</w:t>
            </w:r>
            <w:r w:rsidR="00881560">
              <w:rPr>
                <w:rFonts w:ascii="Tahoma" w:hAnsi="Tahoma" w:cs="Tahoma"/>
                <w:b/>
                <w:bCs/>
                <w:iCs/>
                <w:color w:val="243285"/>
                <w:sz w:val="44"/>
                <w:szCs w:val="44"/>
              </w:rPr>
              <w:t> </w:t>
            </w:r>
            <w:r w:rsidRPr="00EF154C">
              <w:rPr>
                <w:rFonts w:ascii="Tahoma" w:hAnsi="Tahoma" w:cs="Tahoma"/>
                <w:b/>
                <w:bCs/>
                <w:iCs/>
                <w:color w:val="243285"/>
                <w:sz w:val="44"/>
                <w:szCs w:val="44"/>
              </w:rPr>
              <w:t>400-4 200 MHz)</w:t>
            </w:r>
          </w:p>
          <w:p w:rsidR="00881F94" w:rsidRPr="00F54FBD" w:rsidRDefault="00881F94" w:rsidP="00881F94">
            <w:pPr>
              <w:spacing w:before="80" w:line="500" w:lineRule="exact"/>
              <w:jc w:val="right"/>
              <w:rPr>
                <w:rFonts w:ascii="Tahoma" w:hAnsi="Tahoma" w:cs="Tahoma"/>
                <w:b/>
                <w:bCs/>
                <w:iCs/>
                <w:color w:val="243285"/>
                <w:sz w:val="44"/>
                <w:szCs w:val="44"/>
              </w:rPr>
            </w:pPr>
          </w:p>
        </w:tc>
      </w:tr>
      <w:tr w:rsidR="00881F94" w:rsidRPr="00F54FBD" w:rsidTr="00881F94">
        <w:tc>
          <w:tcPr>
            <w:tcW w:w="10089" w:type="dxa"/>
          </w:tcPr>
          <w:p w:rsidR="00881F94" w:rsidRPr="00F54FBD" w:rsidRDefault="00881F94" w:rsidP="00881F94">
            <w:pPr>
              <w:spacing w:before="80" w:line="280" w:lineRule="exact"/>
              <w:ind w:right="640"/>
              <w:rPr>
                <w:rFonts w:ascii="Tahoma" w:hAnsi="Tahoma" w:cs="Tahoma"/>
                <w:b/>
                <w:bCs/>
                <w:iCs/>
                <w:color w:val="243285"/>
                <w:sz w:val="32"/>
                <w:szCs w:val="32"/>
              </w:rPr>
            </w:pPr>
          </w:p>
          <w:p w:rsidR="00881F94" w:rsidRPr="00F54FBD" w:rsidRDefault="00881F94" w:rsidP="00881F94">
            <w:pPr>
              <w:spacing w:before="80" w:line="280" w:lineRule="exact"/>
              <w:ind w:right="640"/>
              <w:rPr>
                <w:rFonts w:ascii="Tahoma" w:hAnsi="Tahoma" w:cs="Tahoma"/>
                <w:b/>
                <w:bCs/>
                <w:iCs/>
                <w:color w:val="243285"/>
                <w:sz w:val="32"/>
                <w:szCs w:val="32"/>
              </w:rPr>
            </w:pPr>
          </w:p>
          <w:p w:rsidR="00881F94" w:rsidRPr="00F54FBD" w:rsidRDefault="00881F94" w:rsidP="00881F94">
            <w:pPr>
              <w:spacing w:before="80" w:after="180" w:line="360" w:lineRule="exact"/>
              <w:ind w:right="720"/>
              <w:rPr>
                <w:rFonts w:ascii="Tahoma" w:hAnsi="Tahoma" w:cs="Tahoma"/>
                <w:b/>
                <w:bCs/>
                <w:iCs/>
                <w:color w:val="243285"/>
                <w:sz w:val="36"/>
                <w:szCs w:val="36"/>
              </w:rPr>
            </w:pPr>
          </w:p>
          <w:p w:rsidR="00881F94" w:rsidRPr="00F54FBD" w:rsidRDefault="00881F94" w:rsidP="00881F9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881F94" w:rsidRPr="00F54FBD" w:rsidRDefault="00881F94" w:rsidP="00881F9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881F94" w:rsidRPr="00F54FBD" w:rsidRDefault="00881F94" w:rsidP="00881F94">
      <w:pPr>
        <w:spacing w:before="80"/>
        <w:rPr>
          <w:i/>
          <w:sz w:val="22"/>
        </w:rPr>
      </w:pPr>
    </w:p>
    <w:p w:rsidR="00881F94" w:rsidRPr="00F54FBD" w:rsidRDefault="00881F94" w:rsidP="00881F94">
      <w:pPr>
        <w:spacing w:before="80"/>
        <w:rPr>
          <w:i/>
          <w:sz w:val="22"/>
        </w:rPr>
      </w:pPr>
    </w:p>
    <w:p w:rsidR="00881F94" w:rsidRPr="00F54FBD" w:rsidRDefault="00881F94" w:rsidP="00881F94">
      <w:pPr>
        <w:spacing w:before="80"/>
        <w:rPr>
          <w:i/>
          <w:sz w:val="22"/>
        </w:rPr>
      </w:pPr>
    </w:p>
    <w:p w:rsidR="00881F94" w:rsidRPr="00F54FBD" w:rsidRDefault="00881F94" w:rsidP="00881F94">
      <w:pPr>
        <w:spacing w:before="80"/>
        <w:rPr>
          <w:i/>
          <w:sz w:val="22"/>
        </w:rPr>
      </w:pPr>
    </w:p>
    <w:p w:rsidR="00881F94" w:rsidRPr="00F54FBD" w:rsidRDefault="00881F94" w:rsidP="00881F94">
      <w:pPr>
        <w:spacing w:before="80"/>
        <w:rPr>
          <w:i/>
          <w:sz w:val="22"/>
        </w:rPr>
      </w:pPr>
    </w:p>
    <w:p w:rsidR="00881F94" w:rsidRPr="00F54FBD" w:rsidRDefault="00881F94" w:rsidP="00881F94">
      <w:pPr>
        <w:spacing w:before="80"/>
        <w:rPr>
          <w:i/>
          <w:sz w:val="22"/>
        </w:rPr>
      </w:pPr>
    </w:p>
    <w:p w:rsidR="00881F94" w:rsidRPr="00F54FBD" w:rsidRDefault="00881F94" w:rsidP="00881F94">
      <w:pPr>
        <w:pStyle w:val="Equation"/>
        <w:tabs>
          <w:tab w:val="clear" w:pos="4820"/>
          <w:tab w:val="clear" w:pos="9639"/>
          <w:tab w:val="left" w:pos="1191"/>
          <w:tab w:val="left" w:pos="1588"/>
          <w:tab w:val="left" w:pos="1985"/>
        </w:tabs>
        <w:rPr>
          <w:rFonts w:ascii="Palatino Linotype" w:hAnsi="Palatino Linotype"/>
        </w:rPr>
        <w:sectPr w:rsidR="00881F94" w:rsidRPr="00F54FBD">
          <w:headerReference w:type="even" r:id="rId6"/>
          <w:headerReference w:type="default" r:id="rId7"/>
          <w:pgSz w:w="11907" w:h="16840" w:code="9"/>
          <w:pgMar w:top="1089" w:right="1089" w:bottom="284" w:left="1089" w:header="567" w:footer="284" w:gutter="0"/>
          <w:pgNumType w:start="1"/>
          <w:cols w:space="720"/>
        </w:sectPr>
      </w:pPr>
    </w:p>
    <w:p w:rsidR="00881F94" w:rsidRPr="00F54FBD" w:rsidRDefault="00881F94" w:rsidP="00881F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881F94" w:rsidRPr="00F54FBD" w:rsidRDefault="00881F94" w:rsidP="00881F9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81F94" w:rsidRPr="00F54FBD" w:rsidRDefault="00881F94" w:rsidP="00881F9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81F94" w:rsidRPr="00E44CBB" w:rsidRDefault="00881F94" w:rsidP="00881F9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81F94" w:rsidRPr="00E44CBB" w:rsidRDefault="00881F94" w:rsidP="00881F9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81F94" w:rsidRPr="00127062" w:rsidRDefault="00881F94" w:rsidP="00881F9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81F94" w:rsidRPr="009454F8" w:rsidTr="00881F94">
        <w:tc>
          <w:tcPr>
            <w:tcW w:w="9360" w:type="dxa"/>
            <w:gridSpan w:val="2"/>
          </w:tcPr>
          <w:p w:rsidR="00881F94" w:rsidRPr="009454F8" w:rsidRDefault="00881F94" w:rsidP="00881F9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81F94" w:rsidRPr="009454F8" w:rsidRDefault="00881F94" w:rsidP="00881F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881F94" w:rsidRPr="00036EE3" w:rsidTr="00881F94">
        <w:tc>
          <w:tcPr>
            <w:tcW w:w="1140" w:type="dxa"/>
            <w:tcBorders>
              <w:bottom w:val="nil"/>
            </w:tcBorders>
          </w:tcPr>
          <w:p w:rsidR="00881F94" w:rsidRPr="00614CC6" w:rsidRDefault="00881F94" w:rsidP="00881F94">
            <w:pPr>
              <w:spacing w:before="90" w:after="100"/>
              <w:ind w:left="57"/>
              <w:rPr>
                <w:b/>
                <w:bCs/>
                <w:sz w:val="20"/>
                <w:lang w:val="en-US"/>
              </w:rPr>
            </w:pPr>
            <w:r w:rsidRPr="00614CC6">
              <w:rPr>
                <w:b/>
                <w:bCs/>
                <w:sz w:val="20"/>
                <w:lang w:val="en-US"/>
              </w:rPr>
              <w:t>Séries</w:t>
            </w:r>
          </w:p>
        </w:tc>
        <w:tc>
          <w:tcPr>
            <w:tcW w:w="8220" w:type="dxa"/>
            <w:tcBorders>
              <w:bottom w:val="nil"/>
            </w:tcBorders>
          </w:tcPr>
          <w:p w:rsidR="00881F94" w:rsidRPr="00614CC6" w:rsidRDefault="00881F94" w:rsidP="00881F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81F94" w:rsidRPr="005E427C" w:rsidTr="00881F94">
        <w:tc>
          <w:tcPr>
            <w:tcW w:w="1140" w:type="dxa"/>
            <w:tcBorders>
              <w:top w:val="nil"/>
              <w:bottom w:val="nil"/>
            </w:tcBorders>
            <w:shd w:val="clear" w:color="auto" w:fill="auto"/>
          </w:tcPr>
          <w:p w:rsidR="00881F94" w:rsidRPr="005E427C" w:rsidRDefault="00881F94" w:rsidP="00881F94">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881F94" w:rsidRPr="005E427C" w:rsidRDefault="00881F94" w:rsidP="00881F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881F94" w:rsidRPr="009454F8" w:rsidTr="00881F94">
        <w:tc>
          <w:tcPr>
            <w:tcW w:w="1140" w:type="dxa"/>
            <w:tcBorders>
              <w:top w:val="nil"/>
              <w:bottom w:val="nil"/>
            </w:tcBorders>
          </w:tcPr>
          <w:p w:rsidR="00881F94" w:rsidRPr="00614CC6" w:rsidRDefault="00881F94" w:rsidP="00881F94">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881F94" w:rsidRPr="00614CC6" w:rsidRDefault="00881F94" w:rsidP="00881F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81F94" w:rsidRPr="00E80F1D" w:rsidTr="00881F94">
        <w:tc>
          <w:tcPr>
            <w:tcW w:w="1140" w:type="dxa"/>
            <w:tcBorders>
              <w:top w:val="nil"/>
              <w:bottom w:val="nil"/>
            </w:tcBorders>
            <w:shd w:val="clear" w:color="auto" w:fill="auto"/>
          </w:tcPr>
          <w:p w:rsidR="00881F94" w:rsidRPr="00E80F1D" w:rsidRDefault="00881F94" w:rsidP="00881F94">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881F94" w:rsidRPr="00E80F1D" w:rsidRDefault="00881F94" w:rsidP="00881F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881F94" w:rsidRPr="00ED2695" w:rsidTr="00881F94">
        <w:tc>
          <w:tcPr>
            <w:tcW w:w="1140" w:type="dxa"/>
            <w:tcBorders>
              <w:top w:val="nil"/>
              <w:bottom w:val="nil"/>
            </w:tcBorders>
            <w:shd w:val="clear" w:color="auto" w:fill="auto"/>
          </w:tcPr>
          <w:p w:rsidR="00881F94" w:rsidRPr="00614CC6" w:rsidRDefault="00881F94" w:rsidP="00881F94">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881F94" w:rsidRPr="00614CC6" w:rsidRDefault="00881F94" w:rsidP="00881F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81F94" w:rsidRPr="00E80F1D" w:rsidTr="00881F94">
        <w:tc>
          <w:tcPr>
            <w:tcW w:w="1140" w:type="dxa"/>
            <w:tcBorders>
              <w:top w:val="nil"/>
              <w:bottom w:val="nil"/>
            </w:tcBorders>
            <w:shd w:val="clear" w:color="auto" w:fill="F3F3F3"/>
          </w:tcPr>
          <w:p w:rsidR="00881F94" w:rsidRPr="00E80F1D" w:rsidRDefault="00881F94" w:rsidP="00881F94">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881F94" w:rsidRPr="00E80F1D" w:rsidRDefault="00881F94" w:rsidP="00881F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881F94" w:rsidRPr="00B21066" w:rsidTr="00881F94">
        <w:tc>
          <w:tcPr>
            <w:tcW w:w="1140" w:type="dxa"/>
            <w:tcBorders>
              <w:top w:val="nil"/>
              <w:bottom w:val="nil"/>
            </w:tcBorders>
            <w:shd w:val="clear" w:color="auto" w:fill="auto"/>
          </w:tcPr>
          <w:p w:rsidR="00881F94" w:rsidRPr="00B21066" w:rsidRDefault="00881F94" w:rsidP="00881F94">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881F94" w:rsidRPr="00B21066" w:rsidRDefault="00881F94" w:rsidP="00881F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881F94" w:rsidRPr="00036EE3" w:rsidTr="00881F94">
        <w:tc>
          <w:tcPr>
            <w:tcW w:w="1140" w:type="dxa"/>
            <w:tcBorders>
              <w:top w:val="nil"/>
            </w:tcBorders>
          </w:tcPr>
          <w:p w:rsidR="00881F94" w:rsidRPr="00614CC6" w:rsidRDefault="00881F94" w:rsidP="00881F94">
            <w:pPr>
              <w:spacing w:before="30" w:after="30"/>
              <w:ind w:left="57"/>
              <w:jc w:val="left"/>
              <w:rPr>
                <w:b/>
                <w:bCs/>
                <w:sz w:val="20"/>
                <w:lang w:val="fr-CH"/>
              </w:rPr>
            </w:pPr>
            <w:r w:rsidRPr="00614CC6">
              <w:rPr>
                <w:b/>
                <w:bCs/>
                <w:sz w:val="20"/>
                <w:lang w:val="fr-CH"/>
              </w:rPr>
              <w:t>P</w:t>
            </w:r>
          </w:p>
        </w:tc>
        <w:tc>
          <w:tcPr>
            <w:tcW w:w="8220" w:type="dxa"/>
            <w:tcBorders>
              <w:top w:val="nil"/>
            </w:tcBorders>
          </w:tcPr>
          <w:p w:rsidR="00881F94" w:rsidRPr="00614CC6" w:rsidRDefault="00881F94" w:rsidP="00881F94">
            <w:pPr>
              <w:spacing w:before="30" w:after="30"/>
              <w:jc w:val="left"/>
              <w:rPr>
                <w:sz w:val="20"/>
                <w:lang w:val="fr-CH"/>
              </w:rPr>
            </w:pPr>
            <w:r w:rsidRPr="00614CC6">
              <w:rPr>
                <w:sz w:val="20"/>
              </w:rPr>
              <w:t>Propagation des ondes radioélectriques</w:t>
            </w:r>
          </w:p>
        </w:tc>
      </w:tr>
      <w:tr w:rsidR="00881F94" w:rsidRPr="00036EE3" w:rsidTr="00881F94">
        <w:tc>
          <w:tcPr>
            <w:tcW w:w="1140" w:type="dxa"/>
          </w:tcPr>
          <w:p w:rsidR="00881F94" w:rsidRPr="00614CC6" w:rsidRDefault="00881F94" w:rsidP="00881F94">
            <w:pPr>
              <w:spacing w:before="30" w:after="30"/>
              <w:ind w:left="57"/>
              <w:jc w:val="left"/>
              <w:rPr>
                <w:b/>
                <w:bCs/>
                <w:sz w:val="20"/>
                <w:lang w:val="en-US"/>
              </w:rPr>
            </w:pPr>
            <w:r w:rsidRPr="00614CC6">
              <w:rPr>
                <w:b/>
                <w:bCs/>
                <w:sz w:val="20"/>
                <w:lang w:val="en-US"/>
              </w:rPr>
              <w:t>RA</w:t>
            </w:r>
          </w:p>
        </w:tc>
        <w:tc>
          <w:tcPr>
            <w:tcW w:w="8220" w:type="dxa"/>
          </w:tcPr>
          <w:p w:rsidR="00881F94" w:rsidRPr="00614CC6" w:rsidRDefault="00881F94" w:rsidP="00881F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81F94" w:rsidRPr="00036EE3" w:rsidTr="00881F94">
        <w:tc>
          <w:tcPr>
            <w:tcW w:w="1140" w:type="dxa"/>
          </w:tcPr>
          <w:p w:rsidR="00881F94" w:rsidRPr="00614CC6" w:rsidRDefault="00881F94" w:rsidP="00881F94">
            <w:pPr>
              <w:spacing w:before="30" w:after="30"/>
              <w:ind w:left="57"/>
              <w:jc w:val="left"/>
              <w:rPr>
                <w:b/>
                <w:bCs/>
                <w:sz w:val="20"/>
                <w:lang w:val="en-US"/>
              </w:rPr>
            </w:pPr>
            <w:r w:rsidRPr="00614CC6">
              <w:rPr>
                <w:b/>
                <w:bCs/>
                <w:sz w:val="20"/>
                <w:lang w:val="en-US"/>
              </w:rPr>
              <w:t>RS</w:t>
            </w:r>
          </w:p>
        </w:tc>
        <w:tc>
          <w:tcPr>
            <w:tcW w:w="8220" w:type="dxa"/>
          </w:tcPr>
          <w:p w:rsidR="00881F94" w:rsidRPr="00614CC6" w:rsidRDefault="00881F94" w:rsidP="00881F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81F94" w:rsidRPr="00036EE3" w:rsidTr="00881F94">
        <w:tc>
          <w:tcPr>
            <w:tcW w:w="1140" w:type="dxa"/>
          </w:tcPr>
          <w:p w:rsidR="00881F94" w:rsidRPr="00614CC6" w:rsidRDefault="00881F94" w:rsidP="00881F94">
            <w:pPr>
              <w:spacing w:before="30" w:after="30"/>
              <w:ind w:left="57"/>
              <w:jc w:val="left"/>
              <w:rPr>
                <w:b/>
                <w:bCs/>
                <w:sz w:val="20"/>
                <w:lang w:val="en-US"/>
              </w:rPr>
            </w:pPr>
            <w:r w:rsidRPr="00614CC6">
              <w:rPr>
                <w:b/>
                <w:bCs/>
                <w:sz w:val="20"/>
                <w:lang w:val="en-US"/>
              </w:rPr>
              <w:t>S</w:t>
            </w:r>
          </w:p>
        </w:tc>
        <w:tc>
          <w:tcPr>
            <w:tcW w:w="8220" w:type="dxa"/>
          </w:tcPr>
          <w:p w:rsidR="00881F94" w:rsidRPr="00614CC6" w:rsidRDefault="00881F94" w:rsidP="00881F94">
            <w:pPr>
              <w:spacing w:before="30" w:after="30"/>
              <w:jc w:val="left"/>
              <w:rPr>
                <w:sz w:val="20"/>
                <w:lang w:val="en-US"/>
              </w:rPr>
            </w:pPr>
            <w:r w:rsidRPr="00614CC6">
              <w:rPr>
                <w:sz w:val="20"/>
              </w:rPr>
              <w:t>Service fixe par satellite</w:t>
            </w:r>
          </w:p>
        </w:tc>
      </w:tr>
      <w:tr w:rsidR="00881F94" w:rsidRPr="00036EE3" w:rsidTr="00881F94">
        <w:tc>
          <w:tcPr>
            <w:tcW w:w="1140" w:type="dxa"/>
          </w:tcPr>
          <w:p w:rsidR="00881F94" w:rsidRPr="00614CC6" w:rsidRDefault="00881F94" w:rsidP="00881F94">
            <w:pPr>
              <w:spacing w:before="30" w:after="30"/>
              <w:ind w:left="57"/>
              <w:jc w:val="left"/>
              <w:rPr>
                <w:b/>
                <w:bCs/>
                <w:sz w:val="20"/>
                <w:lang w:val="en-US"/>
              </w:rPr>
            </w:pPr>
            <w:r w:rsidRPr="00614CC6">
              <w:rPr>
                <w:b/>
                <w:bCs/>
                <w:sz w:val="20"/>
                <w:lang w:val="en-US"/>
              </w:rPr>
              <w:t>SA</w:t>
            </w:r>
          </w:p>
        </w:tc>
        <w:tc>
          <w:tcPr>
            <w:tcW w:w="8220" w:type="dxa"/>
          </w:tcPr>
          <w:p w:rsidR="00881F94" w:rsidRPr="00614CC6" w:rsidRDefault="00881F94" w:rsidP="00881F94">
            <w:pPr>
              <w:spacing w:before="30" w:after="30"/>
              <w:jc w:val="left"/>
              <w:rPr>
                <w:sz w:val="20"/>
                <w:lang w:val="en-US"/>
              </w:rPr>
            </w:pPr>
            <w:r w:rsidRPr="00614CC6">
              <w:rPr>
                <w:sz w:val="20"/>
              </w:rPr>
              <w:t>Applications spatiales et météorologie</w:t>
            </w:r>
          </w:p>
        </w:tc>
      </w:tr>
      <w:tr w:rsidR="00881F94" w:rsidRPr="00614CC6" w:rsidTr="00881F94">
        <w:tc>
          <w:tcPr>
            <w:tcW w:w="1140" w:type="dxa"/>
          </w:tcPr>
          <w:p w:rsidR="00881F94" w:rsidRPr="00614CC6" w:rsidRDefault="00881F94" w:rsidP="00881F94">
            <w:pPr>
              <w:spacing w:before="30" w:after="30"/>
              <w:ind w:left="57"/>
              <w:jc w:val="left"/>
              <w:rPr>
                <w:b/>
                <w:bCs/>
                <w:sz w:val="20"/>
                <w:lang w:val="en-US"/>
              </w:rPr>
            </w:pPr>
            <w:r w:rsidRPr="00614CC6">
              <w:rPr>
                <w:b/>
                <w:bCs/>
                <w:sz w:val="20"/>
                <w:lang w:val="en-US"/>
              </w:rPr>
              <w:t>SF</w:t>
            </w:r>
          </w:p>
        </w:tc>
        <w:tc>
          <w:tcPr>
            <w:tcW w:w="8220" w:type="dxa"/>
          </w:tcPr>
          <w:p w:rsidR="00881F94" w:rsidRPr="00614CC6" w:rsidRDefault="00881F94" w:rsidP="00881F94">
            <w:pPr>
              <w:spacing w:before="30" w:after="30"/>
              <w:jc w:val="left"/>
              <w:rPr>
                <w:sz w:val="20"/>
              </w:rPr>
            </w:pPr>
            <w:r w:rsidRPr="00614CC6">
              <w:rPr>
                <w:sz w:val="20"/>
              </w:rPr>
              <w:t>Partage des fréquences et coordination entre les systèmes du service fixe par satellite et du service fixe</w:t>
            </w:r>
          </w:p>
        </w:tc>
      </w:tr>
      <w:tr w:rsidR="00881F94" w:rsidRPr="00036EE3" w:rsidTr="00881F94">
        <w:tc>
          <w:tcPr>
            <w:tcW w:w="1140" w:type="dxa"/>
            <w:shd w:val="clear" w:color="auto" w:fill="auto"/>
          </w:tcPr>
          <w:p w:rsidR="00881F94" w:rsidRPr="00592F9F" w:rsidRDefault="00881F94" w:rsidP="00881F94">
            <w:pPr>
              <w:spacing w:before="30" w:after="30"/>
              <w:ind w:left="57"/>
              <w:jc w:val="left"/>
              <w:rPr>
                <w:b/>
                <w:bCs/>
                <w:sz w:val="20"/>
                <w:lang w:val="en-US"/>
              </w:rPr>
            </w:pPr>
            <w:r w:rsidRPr="00592F9F">
              <w:rPr>
                <w:b/>
                <w:bCs/>
                <w:sz w:val="20"/>
                <w:lang w:val="en-US"/>
              </w:rPr>
              <w:t>SM</w:t>
            </w:r>
          </w:p>
        </w:tc>
        <w:tc>
          <w:tcPr>
            <w:tcW w:w="8220" w:type="dxa"/>
            <w:shd w:val="clear" w:color="auto" w:fill="auto"/>
          </w:tcPr>
          <w:p w:rsidR="00881F94" w:rsidRPr="00592F9F" w:rsidRDefault="00881F94" w:rsidP="00881F94">
            <w:pPr>
              <w:spacing w:before="30" w:after="30"/>
              <w:jc w:val="left"/>
              <w:rPr>
                <w:sz w:val="20"/>
                <w:lang w:val="en-US"/>
              </w:rPr>
            </w:pPr>
            <w:r w:rsidRPr="00592F9F">
              <w:rPr>
                <w:sz w:val="20"/>
              </w:rPr>
              <w:t>Gestion du spectre</w:t>
            </w:r>
          </w:p>
        </w:tc>
      </w:tr>
      <w:tr w:rsidR="00881F94" w:rsidRPr="00036EE3" w:rsidTr="00881F94">
        <w:tc>
          <w:tcPr>
            <w:tcW w:w="1140" w:type="dxa"/>
          </w:tcPr>
          <w:p w:rsidR="00881F94" w:rsidRPr="00614CC6" w:rsidRDefault="00881F94" w:rsidP="00881F94">
            <w:pPr>
              <w:spacing w:before="30" w:after="30"/>
              <w:ind w:left="57"/>
              <w:jc w:val="left"/>
              <w:rPr>
                <w:b/>
                <w:bCs/>
                <w:sz w:val="20"/>
                <w:lang w:val="en-US"/>
              </w:rPr>
            </w:pPr>
            <w:r w:rsidRPr="00614CC6">
              <w:rPr>
                <w:b/>
                <w:bCs/>
                <w:sz w:val="20"/>
                <w:lang w:val="en-US"/>
              </w:rPr>
              <w:t>SNG</w:t>
            </w:r>
          </w:p>
        </w:tc>
        <w:tc>
          <w:tcPr>
            <w:tcW w:w="8220" w:type="dxa"/>
          </w:tcPr>
          <w:p w:rsidR="00881F94" w:rsidRPr="00614CC6" w:rsidRDefault="00881F94" w:rsidP="00881F94">
            <w:pPr>
              <w:spacing w:before="30" w:after="30"/>
              <w:jc w:val="left"/>
              <w:rPr>
                <w:sz w:val="20"/>
                <w:lang w:val="en-US"/>
              </w:rPr>
            </w:pPr>
            <w:r w:rsidRPr="00614CC6">
              <w:rPr>
                <w:sz w:val="20"/>
              </w:rPr>
              <w:t>Reportage d'actualités par satellite</w:t>
            </w:r>
          </w:p>
        </w:tc>
      </w:tr>
      <w:tr w:rsidR="00881F94" w:rsidRPr="00614CC6" w:rsidTr="00881F94">
        <w:tc>
          <w:tcPr>
            <w:tcW w:w="1140" w:type="dxa"/>
          </w:tcPr>
          <w:p w:rsidR="00881F94" w:rsidRPr="00614CC6" w:rsidRDefault="00881F94" w:rsidP="00881F94">
            <w:pPr>
              <w:spacing w:before="30" w:after="30"/>
              <w:ind w:left="57"/>
              <w:jc w:val="left"/>
              <w:rPr>
                <w:b/>
                <w:bCs/>
                <w:sz w:val="20"/>
                <w:lang w:val="en-US"/>
              </w:rPr>
            </w:pPr>
            <w:r w:rsidRPr="00614CC6">
              <w:rPr>
                <w:b/>
                <w:bCs/>
                <w:sz w:val="20"/>
                <w:lang w:val="en-US"/>
              </w:rPr>
              <w:t>TF</w:t>
            </w:r>
          </w:p>
        </w:tc>
        <w:tc>
          <w:tcPr>
            <w:tcW w:w="8220" w:type="dxa"/>
          </w:tcPr>
          <w:p w:rsidR="00881F94" w:rsidRPr="00614CC6" w:rsidRDefault="00881F94" w:rsidP="00881F94">
            <w:pPr>
              <w:spacing w:before="30" w:after="30"/>
              <w:jc w:val="left"/>
              <w:rPr>
                <w:sz w:val="20"/>
              </w:rPr>
            </w:pPr>
            <w:r w:rsidRPr="00614CC6">
              <w:rPr>
                <w:sz w:val="20"/>
              </w:rPr>
              <w:t>Emissions de fréquences étalon et de signaux horaires</w:t>
            </w:r>
          </w:p>
        </w:tc>
      </w:tr>
      <w:tr w:rsidR="00881F94" w:rsidRPr="00036EE3" w:rsidTr="00881F94">
        <w:tc>
          <w:tcPr>
            <w:tcW w:w="1140" w:type="dxa"/>
          </w:tcPr>
          <w:p w:rsidR="00881F94" w:rsidRPr="00614CC6" w:rsidRDefault="00881F94" w:rsidP="00881F94">
            <w:pPr>
              <w:spacing w:before="30" w:after="30"/>
              <w:ind w:left="57"/>
              <w:jc w:val="left"/>
              <w:rPr>
                <w:b/>
                <w:bCs/>
                <w:sz w:val="20"/>
                <w:lang w:val="en-US"/>
              </w:rPr>
            </w:pPr>
            <w:r w:rsidRPr="00614CC6">
              <w:rPr>
                <w:b/>
                <w:bCs/>
                <w:sz w:val="20"/>
                <w:lang w:val="en-US"/>
              </w:rPr>
              <w:t>V</w:t>
            </w:r>
          </w:p>
        </w:tc>
        <w:tc>
          <w:tcPr>
            <w:tcW w:w="8220" w:type="dxa"/>
          </w:tcPr>
          <w:p w:rsidR="00881F94" w:rsidRPr="00614CC6" w:rsidRDefault="00881F94" w:rsidP="00881F94">
            <w:pPr>
              <w:spacing w:before="30" w:after="140"/>
              <w:jc w:val="left"/>
              <w:rPr>
                <w:sz w:val="20"/>
                <w:lang w:val="en-US"/>
              </w:rPr>
            </w:pPr>
            <w:r w:rsidRPr="00614CC6">
              <w:rPr>
                <w:sz w:val="20"/>
              </w:rPr>
              <w:t>Vocabulaire et sujets associés</w:t>
            </w:r>
          </w:p>
        </w:tc>
      </w:tr>
    </w:tbl>
    <w:p w:rsidR="00881F94" w:rsidRPr="00036EE3" w:rsidRDefault="00881F94" w:rsidP="00881F94">
      <w:pPr>
        <w:spacing w:before="0"/>
        <w:jc w:val="center"/>
        <w:rPr>
          <w:sz w:val="20"/>
          <w:lang w:val="en-US"/>
        </w:rPr>
      </w:pPr>
    </w:p>
    <w:p w:rsidR="00881F94" w:rsidRPr="00036EE3" w:rsidRDefault="00881F94" w:rsidP="00881F9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81F94" w:rsidRPr="00756B4D" w:rsidTr="00881F94">
        <w:tc>
          <w:tcPr>
            <w:tcW w:w="9360" w:type="dxa"/>
          </w:tcPr>
          <w:p w:rsidR="00881F94" w:rsidRPr="00756B4D" w:rsidRDefault="00881F94" w:rsidP="00881F94">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81F94" w:rsidRPr="00756B4D" w:rsidRDefault="00881F94" w:rsidP="00881F94">
      <w:pPr>
        <w:spacing w:before="0"/>
        <w:jc w:val="center"/>
        <w:rPr>
          <w:sz w:val="22"/>
        </w:rPr>
      </w:pPr>
    </w:p>
    <w:p w:rsidR="00881F94" w:rsidRPr="00614CC6" w:rsidRDefault="00881F94" w:rsidP="00881F94">
      <w:pPr>
        <w:spacing w:before="100"/>
        <w:jc w:val="right"/>
        <w:rPr>
          <w:i/>
          <w:iCs/>
          <w:sz w:val="20"/>
        </w:rPr>
      </w:pPr>
      <w:r w:rsidRPr="00614CC6">
        <w:rPr>
          <w:i/>
          <w:iCs/>
          <w:sz w:val="20"/>
        </w:rPr>
        <w:t>Publication électronique</w:t>
      </w:r>
    </w:p>
    <w:p w:rsidR="00881F94" w:rsidRPr="00614CC6" w:rsidRDefault="00881F94" w:rsidP="00881F94">
      <w:pPr>
        <w:spacing w:before="0"/>
        <w:jc w:val="right"/>
        <w:rPr>
          <w:sz w:val="20"/>
        </w:rPr>
      </w:pPr>
      <w:r w:rsidRPr="00614CC6">
        <w:rPr>
          <w:sz w:val="20"/>
        </w:rPr>
        <w:t>Genève, 20</w:t>
      </w:r>
      <w:r>
        <w:rPr>
          <w:sz w:val="20"/>
        </w:rPr>
        <w:t>14</w:t>
      </w:r>
    </w:p>
    <w:p w:rsidR="00881F94" w:rsidRPr="00614CC6" w:rsidRDefault="00881F94" w:rsidP="00881F94">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14</w:t>
      </w:r>
    </w:p>
    <w:p w:rsidR="00881F94" w:rsidRPr="00614CC6" w:rsidRDefault="00881F94" w:rsidP="00881F9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81F94" w:rsidRPr="00614CC6" w:rsidRDefault="00881F94" w:rsidP="00881F94">
      <w:pPr>
        <w:spacing w:before="160"/>
        <w:rPr>
          <w:i/>
          <w:sz w:val="20"/>
          <w:highlight w:val="yellow"/>
        </w:rPr>
        <w:sectPr w:rsidR="00881F94" w:rsidRPr="00614CC6" w:rsidSect="00881F94">
          <w:headerReference w:type="even" r:id="rId10"/>
          <w:headerReference w:type="default" r:id="rId11"/>
          <w:pgSz w:w="11907" w:h="16834" w:code="9"/>
          <w:pgMar w:top="1418" w:right="1134" w:bottom="1134" w:left="1134" w:header="720" w:footer="482" w:gutter="0"/>
          <w:pgNumType w:fmt="lowerRoman" w:start="2"/>
          <w:cols w:space="720"/>
        </w:sectPr>
      </w:pPr>
    </w:p>
    <w:p w:rsidR="00881F94" w:rsidRPr="00756B4D" w:rsidRDefault="00881F94" w:rsidP="00EF154C">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EF154C">
        <w:rPr>
          <w:rStyle w:val="href"/>
        </w:rPr>
        <w:t>635-7</w:t>
      </w:r>
      <w:r w:rsidR="00EF154C" w:rsidRPr="00E46A11">
        <w:rPr>
          <w:rStyle w:val="FootnoteReference"/>
        </w:rPr>
        <w:footnoteReference w:customMarkFollows="1" w:id="1"/>
        <w:sym w:font="Symbol" w:char="F02A"/>
      </w:r>
    </w:p>
    <w:p w:rsidR="00A6617B" w:rsidRDefault="00EF154C" w:rsidP="00881560">
      <w:pPr>
        <w:pStyle w:val="Rectitle"/>
        <w:rPr>
          <w:lang w:val="fr-CH"/>
        </w:rPr>
      </w:pPr>
      <w:r w:rsidRPr="00EF154C">
        <w:rPr>
          <w:lang w:val="fr-CH"/>
        </w:rPr>
        <w:t xml:space="preserve">Disposition des canaux radioélectriques fondée sur un plan homogène </w:t>
      </w:r>
      <w:r w:rsidRPr="00EF154C">
        <w:rPr>
          <w:lang w:val="fr-CH"/>
        </w:rPr>
        <w:br/>
        <w:t xml:space="preserve">pour les systèmes hertziens fixes fonctionnant dans la bande </w:t>
      </w:r>
      <w:r w:rsidRPr="00EF154C">
        <w:rPr>
          <w:lang w:val="fr-CH"/>
        </w:rPr>
        <w:br/>
        <w:t>des 4 GHz (3</w:t>
      </w:r>
      <w:r w:rsidR="00881560">
        <w:rPr>
          <w:lang w:val="fr-CH"/>
        </w:rPr>
        <w:t> </w:t>
      </w:r>
      <w:r w:rsidRPr="00EF154C">
        <w:rPr>
          <w:lang w:val="fr-CH"/>
        </w:rPr>
        <w:t>400-4 200 MHz)</w:t>
      </w:r>
    </w:p>
    <w:p w:rsidR="00EF154C" w:rsidRPr="00E46A11" w:rsidRDefault="00EF154C" w:rsidP="00EF154C">
      <w:pPr>
        <w:pStyle w:val="Recref"/>
      </w:pPr>
      <w:r w:rsidRPr="00E46A11">
        <w:t xml:space="preserve">(Question UIT-R </w:t>
      </w:r>
      <w:r w:rsidRPr="00E46A11">
        <w:rPr>
          <w:lang w:eastAsia="ja-JP"/>
        </w:rPr>
        <w:t>247</w:t>
      </w:r>
      <w:r w:rsidRPr="00E46A11">
        <w:t>/</w:t>
      </w:r>
      <w:r w:rsidRPr="00E46A11">
        <w:rPr>
          <w:lang w:eastAsia="ja-JP"/>
        </w:rPr>
        <w:t>5</w:t>
      </w:r>
      <w:r w:rsidRPr="00E46A11">
        <w:t>)</w:t>
      </w:r>
    </w:p>
    <w:p w:rsidR="00EF154C" w:rsidRPr="00E46A11" w:rsidRDefault="00EF154C" w:rsidP="00EF154C">
      <w:pPr>
        <w:pStyle w:val="Recdate"/>
      </w:pPr>
      <w:bookmarkStart w:id="4" w:name="Revision_history"/>
      <w:r w:rsidRPr="00E46A11">
        <w:t>(1986-1990-1992-1995-1997-1999-2001-2013)</w:t>
      </w:r>
      <w:bookmarkEnd w:id="4"/>
    </w:p>
    <w:p w:rsidR="00EF154C" w:rsidRPr="00E46A11" w:rsidRDefault="00EF154C" w:rsidP="00EF154C">
      <w:pPr>
        <w:pStyle w:val="HeadingSum"/>
        <w:rPr>
          <w:lang w:val="fr-FR"/>
        </w:rPr>
      </w:pPr>
      <w:r w:rsidRPr="00E46A11">
        <w:rPr>
          <w:lang w:val="fr-FR"/>
        </w:rPr>
        <w:t>Domaine d'application</w:t>
      </w:r>
    </w:p>
    <w:p w:rsidR="00EF154C" w:rsidRPr="00E46A11" w:rsidRDefault="00EF154C" w:rsidP="00EF154C">
      <w:pPr>
        <w:pStyle w:val="Summary"/>
        <w:rPr>
          <w:lang w:val="fr-FR"/>
        </w:rPr>
      </w:pPr>
      <w:r w:rsidRPr="00E46A11">
        <w:rPr>
          <w:lang w:val="fr-FR"/>
        </w:rPr>
        <w:t xml:space="preserve">La présente Recommandation fournit les dispositions des canaux radioélectriques pour les systèmes hertziens fixes (FWS) fonctionnant dans la bande des 4 GHz (3 400-4 200 MHz), qui peuvent être utilisées pour des systèmes de grande, moyenne ou faible capacité. Le corps de la présente Recommandation décrit un plan homogène d'intervalles de 10 MHz, avec lequel il est possible de désigner des dispositions spécifiques pour les multiples de canaux des intervalles. Un certain nombre de dispositions des canaux radioélectriques avec un espacement de 30, 40 et 80 MHz, désignées dans ladite bande de fréquences, sont présentées dans l'Annexe 1, conformément au plan recommandé avec un espacement de 10 MHz. </w:t>
      </w:r>
    </w:p>
    <w:p w:rsidR="00EF154C" w:rsidRPr="00E46A11" w:rsidRDefault="00EF154C" w:rsidP="00EF154C">
      <w:pPr>
        <w:pStyle w:val="Normalaftertitle"/>
      </w:pPr>
      <w:r w:rsidRPr="00E46A11">
        <w:t>L'Assemblée des radiocommunications de l'UIT,</w:t>
      </w:r>
    </w:p>
    <w:p w:rsidR="00EF154C" w:rsidRPr="00E46A11" w:rsidRDefault="00EF154C" w:rsidP="00EF154C">
      <w:pPr>
        <w:pStyle w:val="Call"/>
      </w:pPr>
      <w:r w:rsidRPr="00E46A11">
        <w:t>considérant</w:t>
      </w:r>
    </w:p>
    <w:p w:rsidR="00EF154C" w:rsidRPr="00E46A11" w:rsidRDefault="00EF154C" w:rsidP="00EF154C">
      <w:r w:rsidRPr="00C94D81">
        <w:rPr>
          <w:i/>
          <w:iCs/>
        </w:rPr>
        <w:t>a)</w:t>
      </w:r>
      <w:r w:rsidRPr="00E46A11">
        <w:tab/>
        <w:t xml:space="preserve">que des faisceaux hertziens numériques de grande capacité de l'ordre de 140 Mbit/s ou fonctionnant aux débits binaires de la hiérarchie numérique synchrone (SDH, </w:t>
      </w:r>
      <w:r w:rsidRPr="00E46A11">
        <w:rPr>
          <w:i/>
          <w:iCs/>
        </w:rPr>
        <w:t>synchronous digital hierarchy</w:t>
      </w:r>
      <w:r w:rsidRPr="00E46A11">
        <w:t>), sont nécessaires dans la bande des 4 GHz;</w:t>
      </w:r>
    </w:p>
    <w:p w:rsidR="00EF154C" w:rsidRPr="00E46A11" w:rsidRDefault="00EF154C" w:rsidP="00EF154C">
      <w:r w:rsidRPr="00C94D81">
        <w:rPr>
          <w:i/>
          <w:iCs/>
        </w:rPr>
        <w:t>b)</w:t>
      </w:r>
      <w:r w:rsidRPr="00E46A11">
        <w:tab/>
        <w:t>que les limites inférieures de la bande des 4 GHz ne sont pas uniformes et varient d'un pays à un autre de 3</w:t>
      </w:r>
      <w:r w:rsidRPr="00E46A11">
        <w:rPr>
          <w:sz w:val="12"/>
        </w:rPr>
        <w:t> </w:t>
      </w:r>
      <w:r w:rsidRPr="00E46A11">
        <w:t>400 à 3</w:t>
      </w:r>
      <w:r w:rsidRPr="00E46A11">
        <w:rPr>
          <w:sz w:val="12"/>
        </w:rPr>
        <w:t> </w:t>
      </w:r>
      <w:r w:rsidRPr="00E46A11">
        <w:t>800 MHz;</w:t>
      </w:r>
    </w:p>
    <w:p w:rsidR="00EF154C" w:rsidRPr="00E46A11" w:rsidRDefault="00EF154C" w:rsidP="00EF154C">
      <w:r w:rsidRPr="00C94D81">
        <w:rPr>
          <w:i/>
          <w:iCs/>
        </w:rPr>
        <w:t>c)</w:t>
      </w:r>
      <w:r w:rsidRPr="00E46A11">
        <w:tab/>
        <w:t>que l'utilisation efficace de bandes de largeurs différentes ne peut être obtenue que par des dispositions de canaux radioélectriques adaptées à la largeur de bande disponible;</w:t>
      </w:r>
    </w:p>
    <w:p w:rsidR="00EF154C" w:rsidRPr="00E46A11" w:rsidRDefault="00EF154C" w:rsidP="00EF154C">
      <w:r w:rsidRPr="00C94D81">
        <w:rPr>
          <w:i/>
          <w:iCs/>
        </w:rPr>
        <w:t>d)</w:t>
      </w:r>
      <w:r w:rsidRPr="00E46A11">
        <w:tab/>
        <w:t>qu'un degré élevé de compatibilité entre canaux radioélectriques de dispositions différentes peut être atteint en choisissant toutes les fréquences centrales dans une structure de base uniforme;</w:t>
      </w:r>
    </w:p>
    <w:p w:rsidR="00EF154C" w:rsidRPr="00E46A11" w:rsidRDefault="00EF154C" w:rsidP="00EF154C">
      <w:r w:rsidRPr="004F5588">
        <w:rPr>
          <w:i/>
          <w:iCs/>
        </w:rPr>
        <w:t>e)</w:t>
      </w:r>
      <w:r w:rsidRPr="00E46A11">
        <w:tab/>
        <w:t>que les espacements au centre des dispositions de canaux et les bandes de garde aux limites de la bande peuvent être choisis en renonçant à utiliser un nombre convenable de canaux radioélectriques de la structure de base homogène;</w:t>
      </w:r>
    </w:p>
    <w:p w:rsidR="00EF154C" w:rsidRPr="00E46A11" w:rsidRDefault="00EF154C" w:rsidP="00EF154C">
      <w:r w:rsidRPr="004F5588">
        <w:rPr>
          <w:i/>
          <w:iCs/>
        </w:rPr>
        <w:t>f)</w:t>
      </w:r>
      <w:r w:rsidRPr="00E46A11">
        <w:tab/>
        <w:t>que l'espacement uniforme dans la structure de base ne devrait pas être abusivement petit (c'est-à-dire que le nombre de canaux radioélectriques ne devrait pas être trop élevé) ni trop grand au point de compromettre l'utilisation efficace du spectre disponible;</w:t>
      </w:r>
    </w:p>
    <w:p w:rsidR="00EF154C" w:rsidRPr="00E46A11" w:rsidRDefault="00EF154C" w:rsidP="00EF154C">
      <w:r w:rsidRPr="004F5588">
        <w:rPr>
          <w:i/>
          <w:iCs/>
        </w:rPr>
        <w:t>g)</w:t>
      </w:r>
      <w:r w:rsidRPr="00E46A11">
        <w:tab/>
        <w:t>que les fréquences nominales de la structure de base devraient être définies par une fréquence de référence unique;</w:t>
      </w:r>
    </w:p>
    <w:p w:rsidR="00EF154C" w:rsidRPr="00E46A11" w:rsidRDefault="00EF154C" w:rsidP="00EF154C">
      <w:r w:rsidRPr="004F5588">
        <w:rPr>
          <w:i/>
          <w:iCs/>
        </w:rPr>
        <w:t>h)</w:t>
      </w:r>
      <w:r w:rsidRPr="00E46A11">
        <w:tab/>
        <w:t>que les faisceaux hertziens numériques à une seule porteuse et à plusieurs porteuses (multiporteuses) sont, les uns et les autres, des moyens utiles pour l'obtention du meilleur compromis technique et économique en matière de conception des systèmes,</w:t>
      </w:r>
    </w:p>
    <w:p w:rsidR="00EF154C" w:rsidRPr="00E46A11" w:rsidRDefault="00EF154C" w:rsidP="00EF154C">
      <w:pPr>
        <w:pStyle w:val="Call"/>
      </w:pPr>
      <w:r w:rsidRPr="00E46A11">
        <w:lastRenderedPageBreak/>
        <w:t>recommande</w:t>
      </w:r>
    </w:p>
    <w:p w:rsidR="00EF154C" w:rsidRPr="00E46A11" w:rsidRDefault="00EF154C" w:rsidP="00EF154C">
      <w:r w:rsidRPr="00E46A11">
        <w:rPr>
          <w:b/>
        </w:rPr>
        <w:t>1</w:t>
      </w:r>
      <w:r w:rsidRPr="00E46A11">
        <w:tab/>
        <w:t xml:space="preserve">que la disposition préférée des canaux radioélectriques pour les faisceaux hertziens de grande capacité de l'ordre de 140 Mbit/s, ou fonctionnant aux débits binaires de la SDH (Note 1) et utilisant la bande des 4 GHz (voir </w:t>
      </w:r>
      <w:r>
        <w:t xml:space="preserve">la </w:t>
      </w:r>
      <w:r w:rsidRPr="00E46A11">
        <w:t>Note 1), soit choisie dans une structure homogène ayant les caractéristiques suivantes:</w:t>
      </w:r>
    </w:p>
    <w:p w:rsidR="00EF154C" w:rsidRPr="00E46A11" w:rsidRDefault="00EF154C" w:rsidP="00EF154C">
      <w:r w:rsidRPr="00E46A11">
        <w:t xml:space="preserve">fréquences centrales </w:t>
      </w:r>
      <w:r w:rsidRPr="00E46A11">
        <w:rPr>
          <w:i/>
        </w:rPr>
        <w:t>f</w:t>
      </w:r>
      <w:r w:rsidRPr="00E46A11">
        <w:rPr>
          <w:i/>
          <w:position w:val="-4"/>
          <w:sz w:val="18"/>
        </w:rPr>
        <w:t>n</w:t>
      </w:r>
      <w:r w:rsidRPr="00E46A11">
        <w:t xml:space="preserve"> des canaux radioélectriques dans le plan fondamental:</w:t>
      </w:r>
    </w:p>
    <w:p w:rsidR="00EF154C" w:rsidRPr="00E46A11" w:rsidRDefault="00EF154C" w:rsidP="00EF154C">
      <w:pPr>
        <w:pStyle w:val="Equation"/>
      </w:pPr>
      <w:r w:rsidRPr="00E46A11">
        <w:tab/>
      </w:r>
      <w:r w:rsidRPr="00E46A11">
        <w:tab/>
      </w:r>
      <w:r w:rsidRPr="00E46A11">
        <w:rPr>
          <w:i/>
        </w:rPr>
        <w:t>f</w:t>
      </w:r>
      <w:r w:rsidRPr="00E46A11">
        <w:rPr>
          <w:i/>
          <w:position w:val="-4"/>
          <w:sz w:val="18"/>
        </w:rPr>
        <w:t>n</w:t>
      </w:r>
      <w:r w:rsidRPr="00E46A11">
        <w:t xml:space="preserve"> </w:t>
      </w:r>
      <w:r w:rsidRPr="00E46A11">
        <w:rPr>
          <w:rFonts w:ascii="Symbol" w:hAnsi="Symbol"/>
        </w:rPr>
        <w:t></w:t>
      </w:r>
      <w:r w:rsidRPr="00E46A11">
        <w:t xml:space="preserve"> 4</w:t>
      </w:r>
      <w:r w:rsidRPr="00E46A11">
        <w:rPr>
          <w:sz w:val="14"/>
        </w:rPr>
        <w:t> </w:t>
      </w:r>
      <w:r w:rsidRPr="00E46A11">
        <w:t>200 </w:t>
      </w:r>
      <w:r w:rsidRPr="00E46A11">
        <w:rPr>
          <w:rFonts w:ascii="Symbol" w:hAnsi="Symbol"/>
        </w:rPr>
        <w:t></w:t>
      </w:r>
      <w:r w:rsidRPr="00E46A11">
        <w:t xml:space="preserve"> 10 </w:t>
      </w:r>
      <w:r w:rsidRPr="00E46A11">
        <w:rPr>
          <w:i/>
        </w:rPr>
        <w:t>m</w:t>
      </w:r>
      <w:r w:rsidRPr="00E46A11">
        <w:t xml:space="preserve">  MHz</w:t>
      </w:r>
      <w:r w:rsidRPr="00E46A11">
        <w:tab/>
        <w:t>(1)</w:t>
      </w:r>
    </w:p>
    <w:p w:rsidR="00EF154C" w:rsidRPr="00E46A11" w:rsidRDefault="00EF154C" w:rsidP="00EF154C">
      <w:r w:rsidRPr="00E46A11">
        <w:t>où:</w:t>
      </w:r>
    </w:p>
    <w:p w:rsidR="00EF154C" w:rsidRPr="00E46A11" w:rsidRDefault="00EF154C" w:rsidP="00EF154C">
      <w:pPr>
        <w:pStyle w:val="Equationlegend"/>
        <w:ind w:hanging="2410"/>
        <w:rPr>
          <w:lang w:val="fr-FR"/>
        </w:rPr>
      </w:pPr>
      <w:r w:rsidRPr="00E46A11">
        <w:rPr>
          <w:lang w:val="fr-FR"/>
        </w:rPr>
        <w:tab/>
      </w:r>
      <w:r w:rsidRPr="00E46A11">
        <w:rPr>
          <w:i/>
          <w:lang w:val="fr-FR"/>
        </w:rPr>
        <w:t>m</w:t>
      </w:r>
      <w:r w:rsidRPr="00E46A11">
        <w:rPr>
          <w:i/>
          <w:sz w:val="12"/>
          <w:lang w:val="fr-FR"/>
        </w:rPr>
        <w:t> </w:t>
      </w:r>
      <w:r w:rsidRPr="00E46A11">
        <w:rPr>
          <w:lang w:val="fr-FR"/>
        </w:rPr>
        <w:t>:</w:t>
      </w:r>
      <w:r w:rsidRPr="00E46A11">
        <w:rPr>
          <w:lang w:val="fr-FR"/>
        </w:rPr>
        <w:tab/>
        <w:t>nombre entier dépendant de la bande de fréquences disponible: 1, 2, 3, . . . (voir la Note 2);</w:t>
      </w:r>
    </w:p>
    <w:p w:rsidR="00EF154C" w:rsidRPr="00E46A11" w:rsidRDefault="00EF154C" w:rsidP="00EF154C">
      <w:r w:rsidRPr="00E46A11">
        <w:rPr>
          <w:b/>
        </w:rPr>
        <w:t>2</w:t>
      </w:r>
      <w:r w:rsidRPr="00E46A11">
        <w:tab/>
        <w:t>que tous les canaux aller soient situés dans l'une des moitiés de la bande et tous les canaux retour dans l'autre moitié de la bande;</w:t>
      </w:r>
    </w:p>
    <w:p w:rsidR="00EF154C" w:rsidRPr="00E46A11" w:rsidRDefault="00EF154C" w:rsidP="00EF154C">
      <w:r w:rsidRPr="00E46A11">
        <w:rPr>
          <w:b/>
        </w:rPr>
        <w:t>3</w:t>
      </w:r>
      <w:r w:rsidRPr="00E46A11">
        <w:tab/>
        <w:t xml:space="preserve">que l'espacement entre les fréquences </w:t>
      </w:r>
      <w:r w:rsidRPr="00E46A11">
        <w:rPr>
          <w:i/>
        </w:rPr>
        <w:t>XS</w:t>
      </w:r>
      <w:r w:rsidRPr="00E46A11">
        <w:t>, l'espacement central</w:t>
      </w:r>
      <w:r w:rsidRPr="00E46A11">
        <w:rPr>
          <w:i/>
        </w:rPr>
        <w:t xml:space="preserve"> YS</w:t>
      </w:r>
      <w:r w:rsidRPr="00E46A11">
        <w:t xml:space="preserve">, les espacements de garde </w:t>
      </w:r>
      <w:r w:rsidRPr="00E46A11">
        <w:rPr>
          <w:i/>
        </w:rPr>
        <w:t>Z</w:t>
      </w:r>
      <w:r w:rsidRPr="00E46A11">
        <w:rPr>
          <w:position w:val="-4"/>
          <w:sz w:val="18"/>
        </w:rPr>
        <w:t>1</w:t>
      </w:r>
      <w:r w:rsidRPr="00E46A11">
        <w:rPr>
          <w:i/>
        </w:rPr>
        <w:t>S</w:t>
      </w:r>
      <w:r w:rsidRPr="00E46A11">
        <w:t xml:space="preserve"> et </w:t>
      </w:r>
      <w:r w:rsidRPr="00E46A11">
        <w:rPr>
          <w:i/>
        </w:rPr>
        <w:t>Z</w:t>
      </w:r>
      <w:r w:rsidRPr="00E46A11">
        <w:rPr>
          <w:position w:val="-4"/>
          <w:sz w:val="18"/>
        </w:rPr>
        <w:t>2</w:t>
      </w:r>
      <w:r w:rsidRPr="00E46A11">
        <w:rPr>
          <w:i/>
        </w:rPr>
        <w:t>S</w:t>
      </w:r>
      <w:r w:rsidRPr="00E46A11">
        <w:t xml:space="preserve"> aux limites de la bande et la polarisation des antennes fassent l'objet d'un accord entre les administrations intéressées;</w:t>
      </w:r>
    </w:p>
    <w:p w:rsidR="00EF154C" w:rsidRPr="00E46A11" w:rsidRDefault="00EF154C" w:rsidP="00EF154C">
      <w:r w:rsidRPr="00E46A11">
        <w:rPr>
          <w:b/>
        </w:rPr>
        <w:t>4</w:t>
      </w:r>
      <w:r w:rsidRPr="00E46A11">
        <w:tab/>
        <w:t>que la disposition avec canaux alternés ou en cofréquence, dont on trouve des exemples à la Fig. 1, soit utilisée (voir aussi la Note 3);</w:t>
      </w:r>
    </w:p>
    <w:p w:rsidR="00EF154C" w:rsidRPr="00E46A11" w:rsidRDefault="00EF154C" w:rsidP="00EF154C">
      <w:r w:rsidRPr="00E46A11">
        <w:rPr>
          <w:b/>
        </w:rPr>
        <w:t>5</w:t>
      </w:r>
      <w:r w:rsidRPr="00E46A11">
        <w:tab/>
        <w:t xml:space="preserve">que, dans le cas d'une transmission multiporteuses (voir la Note 4 et l'Annexe 1, § 3), l'ensemble des </w:t>
      </w:r>
      <w:r w:rsidRPr="00E46A11">
        <w:rPr>
          <w:i/>
        </w:rPr>
        <w:t>n</w:t>
      </w:r>
      <w:r w:rsidRPr="00E46A11">
        <w:t xml:space="preserve"> porteuses soit considéré comme un seul canal; la fréquence centrale et l'espacement entre canaux sont alors définis conformément à la Fig. 1, quelle que soit la fréquence centrale réelle des porteuses, qui peut varier pour des raisons techniques, en fonction de leur réalisation pratique.</w:t>
      </w:r>
    </w:p>
    <w:p w:rsidR="00EF154C" w:rsidRPr="00E46A11" w:rsidRDefault="00EF154C" w:rsidP="00EF154C">
      <w:r w:rsidRPr="00E46A11">
        <w:t>NOTE 1 – Les débits de transmission bruts effectifs, compte tenu des bits supplémentaires, peuvent être supérieurs de 5% ou plus aux débits binaires nets.</w:t>
      </w:r>
    </w:p>
    <w:p w:rsidR="00EF154C" w:rsidRPr="00E46A11" w:rsidRDefault="00EF154C" w:rsidP="00EF154C">
      <w:r w:rsidRPr="00E46A11">
        <w:t>NOTE 2 – Il convient de tenir dûment compte du fait que, dans certains pays, il est nécessaire d'utiliser des canaux radioélectriques additionnels alternés avec ceux du plan principal: en ce cas, les valeurs des fréquences centrales de ces canaux devraient être inférieures de 5 MHz à celles des fréquences centrales des canaux principaux correspondants, comme l'indique la formule suivante:</w:t>
      </w:r>
    </w:p>
    <w:p w:rsidR="00EF154C" w:rsidRPr="00E46A11" w:rsidRDefault="00EF154C" w:rsidP="00EF154C">
      <w:pPr>
        <w:pStyle w:val="Equation"/>
      </w:pPr>
      <w:bookmarkStart w:id="5" w:name="f002"/>
      <w:bookmarkStart w:id="6" w:name="f001"/>
      <w:r w:rsidRPr="00E46A11">
        <w:tab/>
      </w:r>
      <w:r w:rsidRPr="00E46A11">
        <w:tab/>
      </w:r>
      <w:r w:rsidRPr="00E46A11">
        <w:rPr>
          <w:i/>
        </w:rPr>
        <w:t>f</w:t>
      </w:r>
      <w:r w:rsidRPr="00E46A11">
        <w:rPr>
          <w:i/>
          <w:position w:val="-4"/>
          <w:sz w:val="18"/>
        </w:rPr>
        <w:t>n</w:t>
      </w:r>
      <w:r w:rsidRPr="00E46A11">
        <w:t xml:space="preserve"> </w:t>
      </w:r>
      <w:r w:rsidRPr="00E46A11">
        <w:rPr>
          <w:rFonts w:ascii="Symbol" w:hAnsi="Symbol"/>
        </w:rPr>
        <w:t></w:t>
      </w:r>
      <w:r w:rsidRPr="00E46A11">
        <w:t xml:space="preserve"> 4</w:t>
      </w:r>
      <w:r w:rsidRPr="00E46A11">
        <w:rPr>
          <w:sz w:val="14"/>
        </w:rPr>
        <w:t> </w:t>
      </w:r>
      <w:r w:rsidRPr="00E46A11">
        <w:t>195 </w:t>
      </w:r>
      <w:r w:rsidRPr="00E46A11">
        <w:rPr>
          <w:rFonts w:ascii="Symbol" w:hAnsi="Symbol"/>
        </w:rPr>
        <w:t></w:t>
      </w:r>
      <w:r w:rsidRPr="00E46A11">
        <w:t xml:space="preserve"> 10 </w:t>
      </w:r>
      <w:r w:rsidRPr="00E46A11">
        <w:rPr>
          <w:i/>
        </w:rPr>
        <w:t>m</w:t>
      </w:r>
      <w:bookmarkEnd w:id="5"/>
      <w:bookmarkEnd w:id="6"/>
      <w:r w:rsidRPr="00E46A11">
        <w:t xml:space="preserve">  MHz</w:t>
      </w:r>
    </w:p>
    <w:p w:rsidR="00EF154C" w:rsidRPr="00E46A11" w:rsidRDefault="00EF154C" w:rsidP="00EF154C">
      <w:r w:rsidRPr="00E46A11">
        <w:t>NOTE 3 – Il convient de tenir dûment compte du fait que dans certains pays la bande 3</w:t>
      </w:r>
      <w:r w:rsidRPr="00E46A11">
        <w:rPr>
          <w:sz w:val="12"/>
        </w:rPr>
        <w:t> </w:t>
      </w:r>
      <w:r w:rsidRPr="00E46A11">
        <w:t>700</w:t>
      </w:r>
      <w:r w:rsidRPr="00E46A11">
        <w:noBreakHyphen/>
        <w:t>4</w:t>
      </w:r>
      <w:r w:rsidRPr="00E46A11">
        <w:rPr>
          <w:sz w:val="12"/>
        </w:rPr>
        <w:t> </w:t>
      </w:r>
      <w:r w:rsidRPr="00E46A11">
        <w:t>200 MHz est utilisée. Une disposition des canaux radioélectriques, utilisant cette bande et fondée sur le plan homogène est donnée au § 2 de l'Annexe 1.</w:t>
      </w:r>
    </w:p>
    <w:p w:rsidR="00EF154C" w:rsidRPr="00E46A11" w:rsidRDefault="00EF154C" w:rsidP="008C0F56">
      <w:r w:rsidRPr="00E46A11">
        <w:t xml:space="preserve">NOTE 4 – Un système multiporteuses est un système dans lequel </w:t>
      </w:r>
      <w:r w:rsidRPr="00E46A11">
        <w:rPr>
          <w:i/>
        </w:rPr>
        <w:t>n</w:t>
      </w:r>
      <w:r w:rsidRPr="00E46A11">
        <w:t xml:space="preserve"> signaux de porteuses à modulation numérique (</w:t>
      </w:r>
      <w:r w:rsidRPr="00E46A11">
        <w:rPr>
          <w:i/>
        </w:rPr>
        <w:t>n </w:t>
      </w:r>
      <w:r w:rsidR="008C0F56">
        <w:rPr>
          <w:iCs/>
        </w:rPr>
        <w:t>&gt;</w:t>
      </w:r>
      <w:r w:rsidRPr="00E46A11">
        <w:t xml:space="preserve"> 1) sont émis (ou reçus) simultanément par le même équipement radiofréquences. La fréquence centrale doit être considérée comme la moyenne arithmétique des </w:t>
      </w:r>
      <w:r w:rsidRPr="00E46A11">
        <w:rPr>
          <w:i/>
        </w:rPr>
        <w:t>n</w:t>
      </w:r>
      <w:r w:rsidRPr="00E46A11">
        <w:t xml:space="preserve"> fréquences porteuses du système multiporteuses.</w:t>
      </w:r>
    </w:p>
    <w:p w:rsidR="00EF154C" w:rsidRPr="00E46A11" w:rsidRDefault="00EF154C" w:rsidP="00EF154C">
      <w:pPr>
        <w:pStyle w:val="FigureNo"/>
      </w:pPr>
      <w:r w:rsidRPr="00E46A11">
        <w:lastRenderedPageBreak/>
        <w:t>figure 1</w:t>
      </w:r>
    </w:p>
    <w:p w:rsidR="00EF154C" w:rsidRPr="00E46A11" w:rsidRDefault="00EF154C" w:rsidP="00EF154C">
      <w:pPr>
        <w:pStyle w:val="Figuretitle"/>
        <w:keepLines/>
        <w:rPr>
          <w:i/>
          <w:iCs/>
        </w:rPr>
      </w:pPr>
      <w:r w:rsidRPr="00E46A11">
        <w:t xml:space="preserve">Exemples de dispositions de canaux fondées sur les § 1 et 2 du </w:t>
      </w:r>
      <w:r w:rsidRPr="00E46A11">
        <w:rPr>
          <w:i/>
          <w:iCs/>
        </w:rPr>
        <w:t>recommande</w:t>
      </w:r>
    </w:p>
    <w:p w:rsidR="00EF154C" w:rsidRPr="00E46A11" w:rsidRDefault="00EF154C" w:rsidP="00EF154C">
      <w:pPr>
        <w:keepNext/>
        <w:keepLines/>
        <w:spacing w:before="0" w:after="240"/>
        <w:jc w:val="center"/>
        <w:rPr>
          <w:sz w:val="20"/>
        </w:rPr>
      </w:pPr>
      <w:r w:rsidRPr="00E46A11">
        <w:rPr>
          <w:sz w:val="20"/>
        </w:rPr>
        <w:t xml:space="preserve">(Les définitions de </w:t>
      </w:r>
      <w:r w:rsidRPr="004815E6">
        <w:rPr>
          <w:i/>
          <w:iCs/>
          <w:sz w:val="20"/>
        </w:rPr>
        <w:t>X</w:t>
      </w:r>
      <w:r w:rsidRPr="00E46A11">
        <w:rPr>
          <w:sz w:val="20"/>
        </w:rPr>
        <w:t xml:space="preserve">, </w:t>
      </w:r>
      <w:r w:rsidRPr="004815E6">
        <w:rPr>
          <w:i/>
          <w:iCs/>
          <w:sz w:val="20"/>
        </w:rPr>
        <w:t>Y</w:t>
      </w:r>
      <w:r w:rsidRPr="00E46A11">
        <w:rPr>
          <w:sz w:val="20"/>
        </w:rPr>
        <w:t xml:space="preserve">, </w:t>
      </w:r>
      <w:r w:rsidRPr="004815E6">
        <w:rPr>
          <w:i/>
          <w:iCs/>
          <w:sz w:val="20"/>
        </w:rPr>
        <w:t>Z</w:t>
      </w:r>
      <w:r w:rsidRPr="00E46A11">
        <w:rPr>
          <w:sz w:val="20"/>
        </w:rPr>
        <w:t xml:space="preserve"> et </w:t>
      </w:r>
      <w:r w:rsidRPr="004815E6">
        <w:rPr>
          <w:i/>
          <w:iCs/>
          <w:sz w:val="20"/>
        </w:rPr>
        <w:t>S</w:t>
      </w:r>
      <w:r w:rsidRPr="00E46A11">
        <w:rPr>
          <w:sz w:val="20"/>
        </w:rPr>
        <w:t xml:space="preserve"> figurent dans la Recommandation UIT</w:t>
      </w:r>
      <w:r w:rsidRPr="00E46A11">
        <w:rPr>
          <w:sz w:val="20"/>
        </w:rPr>
        <w:noBreakHyphen/>
        <w:t>R F.746)</w:t>
      </w:r>
    </w:p>
    <w:p w:rsidR="00EF154C" w:rsidRPr="00E46A11" w:rsidRDefault="008668D9" w:rsidP="00EF154C">
      <w:pPr>
        <w:pStyle w:val="Figure"/>
      </w:pPr>
      <w:r>
        <w:object w:dxaOrig="5302" w:dyaOrig="3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6pt;height:273.7pt" o:ole="">
            <v:imagedata r:id="rId12" o:title=""/>
          </v:shape>
          <o:OLEObject Type="Embed" ProgID="CorelDRAW.Graphic.14" ShapeID="_x0000_i1025" DrawAspect="Content" ObjectID="_1462768229" r:id="rId13"/>
        </w:object>
      </w:r>
    </w:p>
    <w:p w:rsidR="00EF154C" w:rsidRPr="00E46A11" w:rsidRDefault="00EF154C" w:rsidP="00372924"/>
    <w:p w:rsidR="00EF154C" w:rsidRPr="00E46A11" w:rsidRDefault="00EF154C" w:rsidP="00372924"/>
    <w:p w:rsidR="00EF154C" w:rsidRPr="00E46A11" w:rsidRDefault="00EF154C" w:rsidP="00372924">
      <w:pPr>
        <w:pStyle w:val="AnnexNoTitle"/>
      </w:pPr>
      <w:r w:rsidRPr="00E46A11">
        <w:t>A</w:t>
      </w:r>
      <w:r w:rsidR="00372924" w:rsidRPr="00E46A11">
        <w:t xml:space="preserve">nnexe </w:t>
      </w:r>
      <w:r w:rsidRPr="00E46A11">
        <w:t>1</w:t>
      </w:r>
      <w:r w:rsidR="00372924">
        <w:br/>
      </w:r>
      <w:r w:rsidR="00372924">
        <w:br/>
      </w:r>
      <w:r w:rsidRPr="00E46A11">
        <w:t>Disposition des fréquences fondée sur un plan homogène</w:t>
      </w:r>
      <w:r w:rsidRPr="00E46A11">
        <w:br/>
        <w:t>pour la bande des 4 GHz</w:t>
      </w:r>
    </w:p>
    <w:p w:rsidR="00EF154C" w:rsidRPr="00E46A11" w:rsidRDefault="00EF154C" w:rsidP="00EF154C">
      <w:pPr>
        <w:pStyle w:val="Normalaftertitle"/>
      </w:pPr>
      <w:r w:rsidRPr="00E46A11">
        <w:t xml:space="preserve">On trouvera ci-après la description de la disposition des canaux radioélectriques fondée sur le § 1 du </w:t>
      </w:r>
      <w:r w:rsidRPr="00E46A11">
        <w:rPr>
          <w:i/>
        </w:rPr>
        <w:t>recommande</w:t>
      </w:r>
      <w:r w:rsidRPr="00E46A11">
        <w:t xml:space="preserve"> pour la bande des 4 GHz.</w:t>
      </w:r>
    </w:p>
    <w:p w:rsidR="00EF154C" w:rsidRPr="00E46A11" w:rsidRDefault="00EF154C" w:rsidP="00EF154C">
      <w:pPr>
        <w:pStyle w:val="Heading1"/>
      </w:pPr>
      <w:r w:rsidRPr="00E46A11">
        <w:t>1</w:t>
      </w:r>
      <w:r w:rsidRPr="00E46A11">
        <w:tab/>
        <w:t>Disposition des canaux radioélectriques à espacement de 40 MHz</w:t>
      </w:r>
    </w:p>
    <w:p w:rsidR="00EF154C" w:rsidRPr="00E46A11" w:rsidRDefault="00EF154C" w:rsidP="00EF154C">
      <w:r w:rsidRPr="00E46A11">
        <w:t>Dans les pays où la limite inférieure de la bande est de 3</w:t>
      </w:r>
      <w:r w:rsidRPr="00E46A11">
        <w:rPr>
          <w:sz w:val="12"/>
        </w:rPr>
        <w:t> </w:t>
      </w:r>
      <w:r w:rsidRPr="00E46A11">
        <w:t>600 MHz, la disposition des fréquences ci</w:t>
      </w:r>
      <w:r w:rsidRPr="00E46A11">
        <w:noBreakHyphen/>
        <w:t>après est adaptée à des systèmes radioélectriques à 155 Mbit/s ou 2 </w:t>
      </w:r>
      <w:r w:rsidRPr="00E46A11">
        <w:rPr>
          <w:rFonts w:ascii="Symbol" w:hAnsi="Symbol"/>
        </w:rPr>
        <w:t></w:t>
      </w:r>
      <w:r w:rsidRPr="00E46A11">
        <w:t xml:space="preserve"> 155 Mbit/s au plus, avec une modulation de niveau supérieur appropriée et une efficacité spectrale de 7,25 bit/s/Hz. </w:t>
      </w:r>
    </w:p>
    <w:p w:rsidR="00EF154C" w:rsidRPr="00E46A11" w:rsidRDefault="00EF154C" w:rsidP="00EF154C">
      <w:r w:rsidRPr="00E46A11">
        <w:t>Cette disposition, représentée sur les Fig. 2a) et 2b), donne un plan de sept canaux aller et sept canaux retour avec les fréquences centrales définies comme suit:</w:t>
      </w:r>
    </w:p>
    <w:p w:rsidR="00EF154C" w:rsidRPr="00E46A11" w:rsidRDefault="00EF154C" w:rsidP="00EF154C">
      <w:pPr>
        <w:pStyle w:val="enumlev1"/>
        <w:tabs>
          <w:tab w:val="clear" w:pos="1191"/>
          <w:tab w:val="clear" w:pos="1588"/>
          <w:tab w:val="clear" w:pos="1985"/>
          <w:tab w:val="left" w:pos="1418"/>
          <w:tab w:val="left" w:pos="1843"/>
          <w:tab w:val="left" w:pos="2268"/>
        </w:tabs>
        <w:ind w:left="1418" w:hanging="1418"/>
      </w:pPr>
      <w:r w:rsidRPr="00E46A11">
        <w:rPr>
          <w:i/>
        </w:rPr>
        <w:tab/>
        <w:t>f</w:t>
      </w:r>
      <w:r w:rsidRPr="00E46A11">
        <w:rPr>
          <w:i/>
          <w:position w:val="-4"/>
          <w:sz w:val="18"/>
        </w:rPr>
        <w:t>n</w:t>
      </w:r>
      <w:r w:rsidRPr="00E46A11">
        <w:rPr>
          <w:position w:val="-4"/>
          <w:sz w:val="12"/>
        </w:rPr>
        <w:t xml:space="preserve"> </w:t>
      </w:r>
      <w:r w:rsidRPr="00E46A11">
        <w:t>:</w:t>
      </w:r>
      <w:r w:rsidRPr="00E46A11">
        <w:tab/>
        <w:t>fréquence centrale d'un canal radioélectrique dans le canal aller (retour) de la bande (MHz)</w:t>
      </w:r>
    </w:p>
    <w:p w:rsidR="00EF154C" w:rsidRPr="00E46A11" w:rsidRDefault="00EF154C" w:rsidP="00EF154C">
      <w:pPr>
        <w:pStyle w:val="enumlev1"/>
        <w:tabs>
          <w:tab w:val="clear" w:pos="1191"/>
          <w:tab w:val="clear" w:pos="1588"/>
          <w:tab w:val="clear" w:pos="1985"/>
          <w:tab w:val="left" w:pos="1418"/>
          <w:tab w:val="left" w:pos="1843"/>
          <w:tab w:val="left" w:pos="2268"/>
          <w:tab w:val="left" w:pos="3261"/>
          <w:tab w:val="left" w:pos="3686"/>
        </w:tabs>
      </w:pPr>
      <w:r w:rsidRPr="00E46A11">
        <w:rPr>
          <w:i/>
        </w:rPr>
        <w:tab/>
        <w:t>f</w:t>
      </w:r>
      <w:r w:rsidRPr="00E46A11">
        <w:rPr>
          <w:i/>
          <w:position w:val="-4"/>
          <w:sz w:val="18"/>
        </w:rPr>
        <w:t>n</w:t>
      </w:r>
      <w:r w:rsidRPr="00E46A11">
        <w:t xml:space="preserve"> </w:t>
      </w:r>
      <w:r w:rsidRPr="00E46A11">
        <w:rPr>
          <w:rFonts w:ascii="Symbol" w:hAnsi="Symbol"/>
        </w:rPr>
        <w:t></w:t>
      </w:r>
      <w:r w:rsidRPr="00E46A11">
        <w:tab/>
        <w:t>4</w:t>
      </w:r>
      <w:r w:rsidRPr="00E46A11">
        <w:rPr>
          <w:sz w:val="12"/>
        </w:rPr>
        <w:t> </w:t>
      </w:r>
      <w:r w:rsidRPr="00E46A11">
        <w:t xml:space="preserve">200 – 10 </w:t>
      </w:r>
      <w:r w:rsidRPr="00E46A11">
        <w:rPr>
          <w:i/>
        </w:rPr>
        <w:t>m</w:t>
      </w:r>
      <w:r w:rsidRPr="00E46A11">
        <w:t xml:space="preserve"> où</w:t>
      </w:r>
      <w:r w:rsidRPr="00E46A11">
        <w:tab/>
      </w:r>
      <w:r w:rsidRPr="00E46A11">
        <w:rPr>
          <w:i/>
        </w:rPr>
        <w:t>m</w:t>
      </w:r>
      <w:r w:rsidRPr="00E46A11">
        <w:rPr>
          <w:iCs/>
        </w:rPr>
        <w:t xml:space="preserve"> </w:t>
      </w:r>
      <w:r w:rsidRPr="00E46A11">
        <w:rPr>
          <w:rFonts w:ascii="Symbol" w:hAnsi="Symbol"/>
        </w:rPr>
        <w:t></w:t>
      </w:r>
      <w:r w:rsidRPr="00E46A11">
        <w:rPr>
          <w:rFonts w:ascii="Symbol" w:hAnsi="Symbol"/>
        </w:rPr>
        <w:t></w:t>
      </w:r>
      <w:r w:rsidRPr="00E46A11">
        <w:t xml:space="preserve"> 58, 54, 50, 46, 42, 38, 34 (voir la Fig. 2 a))</w:t>
      </w:r>
    </w:p>
    <w:p w:rsidR="00EF154C" w:rsidRPr="00E46A11" w:rsidRDefault="00EF154C" w:rsidP="00EF154C">
      <w:pPr>
        <w:pStyle w:val="enumlev1"/>
        <w:tabs>
          <w:tab w:val="clear" w:pos="1191"/>
          <w:tab w:val="clear" w:pos="1588"/>
          <w:tab w:val="clear" w:pos="1985"/>
          <w:tab w:val="left" w:pos="1418"/>
          <w:tab w:val="left" w:pos="1843"/>
          <w:tab w:val="left" w:pos="2268"/>
          <w:tab w:val="left" w:pos="2730"/>
          <w:tab w:val="left" w:pos="3261"/>
          <w:tab w:val="left" w:pos="3686"/>
        </w:tabs>
        <w:rPr>
          <w:i/>
        </w:rPr>
      </w:pPr>
      <w:r w:rsidRPr="00E46A11">
        <w:tab/>
      </w:r>
      <w:r w:rsidRPr="00E46A11">
        <w:tab/>
      </w:r>
      <w:r w:rsidRPr="00E46A11">
        <w:tab/>
      </w:r>
      <w:r w:rsidRPr="00E46A11">
        <w:tab/>
      </w:r>
      <w:r w:rsidRPr="00E46A11">
        <w:tab/>
        <w:t>ou</w:t>
      </w:r>
      <w:r w:rsidRPr="00E46A11">
        <w:tab/>
      </w:r>
      <w:r w:rsidRPr="00E46A11">
        <w:rPr>
          <w:i/>
        </w:rPr>
        <w:t>m</w:t>
      </w:r>
      <w:r w:rsidRPr="00E46A11">
        <w:rPr>
          <w:iCs/>
        </w:rPr>
        <w:t xml:space="preserve"> </w:t>
      </w:r>
      <w:r w:rsidRPr="00E46A11">
        <w:t>= 57, 53, 49, 45, 41, 37, 33 (voir la Fig. 2 b))</w:t>
      </w:r>
    </w:p>
    <w:p w:rsidR="00EF154C" w:rsidRPr="00E46A11" w:rsidRDefault="00EF154C" w:rsidP="00EF154C">
      <w:pPr>
        <w:pStyle w:val="enumlev1"/>
        <w:tabs>
          <w:tab w:val="clear" w:pos="794"/>
          <w:tab w:val="clear" w:pos="1191"/>
          <w:tab w:val="clear" w:pos="1588"/>
          <w:tab w:val="clear" w:pos="1985"/>
          <w:tab w:val="left" w:pos="709"/>
          <w:tab w:val="left" w:pos="1418"/>
          <w:tab w:val="left" w:pos="1843"/>
          <w:tab w:val="left" w:pos="2268"/>
          <w:tab w:val="left" w:pos="3261"/>
          <w:tab w:val="left" w:pos="3686"/>
        </w:tabs>
        <w:ind w:left="1418" w:hanging="1418"/>
      </w:pPr>
      <w:r w:rsidRPr="00E46A11">
        <w:lastRenderedPageBreak/>
        <w:tab/>
      </w:r>
      <w:r w:rsidRPr="00E46A11">
        <w:rPr>
          <w:position w:val="-10"/>
        </w:rPr>
        <w:object w:dxaOrig="279" w:dyaOrig="320">
          <v:shape id="_x0000_i1026" type="#_x0000_t75" style="width:13.85pt;height:15.7pt" o:ole="">
            <v:imagedata r:id="rId14" o:title=""/>
          </v:shape>
          <o:OLEObject Type="Embed" ProgID="Equation.3" ShapeID="_x0000_i1026" DrawAspect="Content" ObjectID="_1462768230" r:id="rId15"/>
        </w:object>
      </w:r>
      <w:r w:rsidRPr="00E46A11">
        <w:rPr>
          <w:position w:val="-4"/>
          <w:sz w:val="12"/>
        </w:rPr>
        <w:t xml:space="preserve"> </w:t>
      </w:r>
      <w:r w:rsidRPr="00E46A11">
        <w:t>:</w:t>
      </w:r>
      <w:r w:rsidRPr="00E46A11">
        <w:tab/>
        <w:t>fréquence centrale d'un canal radioélectrique dans le canal retour (aller) de la bande (MHz)</w:t>
      </w:r>
    </w:p>
    <w:p w:rsidR="00EF154C" w:rsidRPr="00E46A11" w:rsidRDefault="00EF154C" w:rsidP="00EF154C">
      <w:pPr>
        <w:pStyle w:val="enumlev1"/>
        <w:tabs>
          <w:tab w:val="clear" w:pos="794"/>
          <w:tab w:val="clear" w:pos="1191"/>
          <w:tab w:val="clear" w:pos="1588"/>
          <w:tab w:val="clear" w:pos="1985"/>
          <w:tab w:val="left" w:pos="709"/>
          <w:tab w:val="left" w:pos="1418"/>
          <w:tab w:val="left" w:pos="1843"/>
          <w:tab w:val="left" w:pos="2268"/>
          <w:tab w:val="left" w:pos="3261"/>
          <w:tab w:val="left" w:pos="3686"/>
        </w:tabs>
      </w:pPr>
      <w:r w:rsidRPr="00E46A11">
        <w:tab/>
      </w:r>
      <w:r w:rsidRPr="00E46A11">
        <w:rPr>
          <w:position w:val="-10"/>
        </w:rPr>
        <w:object w:dxaOrig="279" w:dyaOrig="320">
          <v:shape id="_x0000_i1027" type="#_x0000_t75" style="width:13.85pt;height:15.7pt" o:ole="">
            <v:imagedata r:id="rId14" o:title=""/>
          </v:shape>
          <o:OLEObject Type="Embed" ProgID="Equation.3" ShapeID="_x0000_i1027" DrawAspect="Content" ObjectID="_1462768231" r:id="rId16"/>
        </w:object>
      </w:r>
      <w:r w:rsidRPr="00E46A11">
        <w:t xml:space="preserve"> </w:t>
      </w:r>
      <w:r w:rsidRPr="00E46A11">
        <w:rPr>
          <w:rFonts w:ascii="Symbol" w:hAnsi="Symbol"/>
        </w:rPr>
        <w:t></w:t>
      </w:r>
      <w:r w:rsidRPr="00E46A11">
        <w:tab/>
      </w:r>
      <w:r w:rsidRPr="00E46A11">
        <w:rPr>
          <w:sz w:val="12"/>
        </w:rPr>
        <w:t xml:space="preserve"> </w:t>
      </w:r>
      <w:r w:rsidRPr="00E46A11">
        <w:t>4</w:t>
      </w:r>
      <w:r w:rsidRPr="00E46A11">
        <w:rPr>
          <w:sz w:val="12"/>
        </w:rPr>
        <w:t> </w:t>
      </w:r>
      <w:r w:rsidRPr="00E46A11">
        <w:t xml:space="preserve">200 – 10 </w:t>
      </w:r>
      <w:r w:rsidRPr="00E46A11">
        <w:rPr>
          <w:i/>
        </w:rPr>
        <w:t>m</w:t>
      </w:r>
      <w:r w:rsidRPr="00E46A11">
        <w:t xml:space="preserve"> où</w:t>
      </w:r>
      <w:r w:rsidRPr="00E46A11">
        <w:tab/>
      </w:r>
      <w:r w:rsidRPr="00E46A11">
        <w:rPr>
          <w:i/>
        </w:rPr>
        <w:t>m</w:t>
      </w:r>
      <w:r w:rsidRPr="00E46A11">
        <w:t xml:space="preserve"> </w:t>
      </w:r>
      <w:r w:rsidRPr="00E46A11">
        <w:rPr>
          <w:rFonts w:ascii="Symbol" w:hAnsi="Symbol"/>
        </w:rPr>
        <w:t></w:t>
      </w:r>
      <w:r w:rsidRPr="00E46A11">
        <w:t xml:space="preserve"> 26, 22, 18, 14, 10, 6, 2 (voir la Fig. 2 a))</w:t>
      </w:r>
    </w:p>
    <w:p w:rsidR="00EF154C" w:rsidRPr="00E46A11" w:rsidRDefault="00EF154C" w:rsidP="00EF154C">
      <w:pPr>
        <w:pStyle w:val="enumlev1"/>
        <w:tabs>
          <w:tab w:val="clear" w:pos="1191"/>
          <w:tab w:val="clear" w:pos="1588"/>
          <w:tab w:val="clear" w:pos="1985"/>
          <w:tab w:val="left" w:pos="1418"/>
          <w:tab w:val="left" w:pos="1843"/>
          <w:tab w:val="left" w:pos="2268"/>
          <w:tab w:val="left" w:pos="2730"/>
          <w:tab w:val="left" w:pos="3261"/>
          <w:tab w:val="left" w:pos="3686"/>
        </w:tabs>
      </w:pPr>
      <w:r w:rsidRPr="00E46A11">
        <w:tab/>
      </w:r>
      <w:r w:rsidRPr="00E46A11">
        <w:tab/>
      </w:r>
      <w:r w:rsidRPr="00E46A11">
        <w:tab/>
      </w:r>
      <w:r w:rsidRPr="00E46A11">
        <w:tab/>
      </w:r>
      <w:r w:rsidRPr="00E46A11">
        <w:tab/>
        <w:t>ou</w:t>
      </w:r>
      <w:r w:rsidRPr="00E46A11">
        <w:tab/>
      </w:r>
      <w:r w:rsidRPr="00E46A11">
        <w:rPr>
          <w:i/>
        </w:rPr>
        <w:t>m</w:t>
      </w:r>
      <w:r w:rsidRPr="00E46A11">
        <w:t xml:space="preserve"> = 27, 23, 19, 15, 11, 7, 3 (voir la Fig.2 b)).</w:t>
      </w:r>
    </w:p>
    <w:p w:rsidR="00EF154C" w:rsidRPr="00E46A11" w:rsidRDefault="00EF154C" w:rsidP="00EF154C">
      <w:pPr>
        <w:tabs>
          <w:tab w:val="left" w:pos="3119"/>
        </w:tabs>
      </w:pPr>
      <w:r w:rsidRPr="00E46A11">
        <w:t xml:space="preserve">Dans la disposition présentée ci-dessus, la réutilisation des bandes par double polarisation cocanal (CCDP, </w:t>
      </w:r>
      <w:r w:rsidRPr="00E46A11">
        <w:rPr>
          <w:i/>
          <w:iCs/>
        </w:rPr>
        <w:t>co-channel dual polarization</w:t>
      </w:r>
      <w:r w:rsidRPr="00E46A11">
        <w:t>) peut-être employée.</w:t>
      </w:r>
    </w:p>
    <w:p w:rsidR="00EF154C" w:rsidRPr="00E46A11" w:rsidRDefault="00EF154C" w:rsidP="002507A2">
      <w:pPr>
        <w:pStyle w:val="FigureNo"/>
      </w:pPr>
      <w:r w:rsidRPr="002507A2">
        <w:lastRenderedPageBreak/>
        <w:t>figure</w:t>
      </w:r>
      <w:r w:rsidRPr="00E46A11">
        <w:t xml:space="preserve"> 2</w:t>
      </w:r>
    </w:p>
    <w:p w:rsidR="00EF154C" w:rsidRPr="00E46A11" w:rsidRDefault="00EF154C" w:rsidP="002507A2">
      <w:pPr>
        <w:pStyle w:val="Figuretitle"/>
        <w:keepLines/>
      </w:pPr>
      <w:r w:rsidRPr="00E46A11">
        <w:t xml:space="preserve">Disposition des canaux radioélectriques </w:t>
      </w:r>
      <w:r w:rsidRPr="002507A2">
        <w:t>dans</w:t>
      </w:r>
      <w:r w:rsidRPr="00E46A11">
        <w:t xml:space="preserve"> la bande des 4 GHz</w:t>
      </w:r>
    </w:p>
    <w:p w:rsidR="00EF154C" w:rsidRPr="00E46A11" w:rsidRDefault="00EF154C" w:rsidP="002507A2">
      <w:pPr>
        <w:pStyle w:val="Figure"/>
        <w:keepNext/>
      </w:pPr>
      <w:r w:rsidRPr="00E46A11">
        <w:t>(F</w:t>
      </w:r>
      <w:r w:rsidRPr="00E46A11">
        <w:rPr>
          <w:caps w:val="0"/>
        </w:rPr>
        <w:t xml:space="preserve">réquences en </w:t>
      </w:r>
      <w:r w:rsidRPr="00E46A11">
        <w:t>mh</w:t>
      </w:r>
      <w:r w:rsidRPr="00E46A11">
        <w:rPr>
          <w:caps w:val="0"/>
        </w:rPr>
        <w:t>z</w:t>
      </w:r>
      <w:r w:rsidRPr="00E46A11">
        <w:t>)</w:t>
      </w:r>
    </w:p>
    <w:p w:rsidR="00EF154C" w:rsidRPr="002507A2" w:rsidRDefault="00EF154C" w:rsidP="002507A2">
      <w:pPr>
        <w:pStyle w:val="Figure"/>
        <w:keepNext/>
      </w:pPr>
      <w:r w:rsidRPr="00E46A11">
        <w:object w:dxaOrig="6702" w:dyaOrig="9320">
          <v:shape id="_x0000_i1028" type="#_x0000_t75" style="width:402pt;height:559.4pt" o:ole="">
            <v:imagedata r:id="rId17" o:title=""/>
          </v:shape>
          <o:OLEObject Type="Embed" ProgID="CorelDRAW.Graphic.14" ShapeID="_x0000_i1028" DrawAspect="Content" ObjectID="_1462768232" r:id="rId18"/>
        </w:object>
      </w:r>
    </w:p>
    <w:p w:rsidR="00EF154C" w:rsidRPr="00E46A11" w:rsidRDefault="00EF154C" w:rsidP="00EF154C">
      <w:pPr>
        <w:pStyle w:val="Heading1"/>
      </w:pPr>
      <w:r w:rsidRPr="00E46A11">
        <w:t>2</w:t>
      </w:r>
      <w:r w:rsidRPr="00E46A11">
        <w:tab/>
        <w:t>Disposition des canaux radioélectriques pour la bande 3,7-4,2 GHz</w:t>
      </w:r>
    </w:p>
    <w:p w:rsidR="00EF154C" w:rsidRPr="00E46A11" w:rsidRDefault="00EF154C" w:rsidP="00EF154C">
      <w:r w:rsidRPr="00E46A11">
        <w:rPr>
          <w:b/>
        </w:rPr>
        <w:t>2.1</w:t>
      </w:r>
      <w:r w:rsidRPr="00E46A11">
        <w:tab/>
        <w:t>La disposition des canaux radioélectriques pour une bande de 500 MHz et pour six canaux aller et six canaux retour au maximum (Groupe 1) avec disposition intercalée de six canaux aller et six canaux retour (Groupe 2) est celle qui est indiquée à la Fig. 3 et qui est obtenue comme suit:</w:t>
      </w:r>
    </w:p>
    <w:p w:rsidR="00EF154C" w:rsidRPr="00E46A11" w:rsidRDefault="00EF154C" w:rsidP="00EF154C">
      <w:pPr>
        <w:pStyle w:val="enumlev1"/>
        <w:tabs>
          <w:tab w:val="clear" w:pos="1191"/>
          <w:tab w:val="left" w:pos="1260"/>
        </w:tabs>
      </w:pPr>
      <w:r w:rsidRPr="00E46A11">
        <w:lastRenderedPageBreak/>
        <w:t>soit</w:t>
      </w:r>
      <w:r w:rsidRPr="00E46A11">
        <w:tab/>
      </w:r>
      <w:r w:rsidRPr="00E46A11">
        <w:rPr>
          <w:i/>
        </w:rPr>
        <w:t>f</w:t>
      </w:r>
      <w:r w:rsidRPr="00E46A11">
        <w:rPr>
          <w:i/>
          <w:position w:val="-4"/>
          <w:sz w:val="18"/>
        </w:rPr>
        <w:t>r</w:t>
      </w:r>
      <w:r w:rsidRPr="00E46A11">
        <w:rPr>
          <w:i/>
          <w:position w:val="-4"/>
          <w:sz w:val="16"/>
        </w:rPr>
        <w:t xml:space="preserve"> </w:t>
      </w:r>
      <w:r w:rsidRPr="00E46A11">
        <w:rPr>
          <w:i/>
          <w:position w:val="-4"/>
          <w:sz w:val="16"/>
        </w:rPr>
        <w:tab/>
      </w:r>
      <w:r w:rsidRPr="00E46A11">
        <w:t>la fréquence limite inférieure de la bande de fréquences occupée (MHz),</w:t>
      </w:r>
    </w:p>
    <w:p w:rsidR="00EF154C" w:rsidRPr="00E46A11" w:rsidRDefault="00EF154C" w:rsidP="00EF154C">
      <w:pPr>
        <w:pStyle w:val="enumlev1"/>
        <w:tabs>
          <w:tab w:val="clear" w:pos="1191"/>
          <w:tab w:val="clear" w:pos="1588"/>
          <w:tab w:val="clear" w:pos="1985"/>
          <w:tab w:val="left" w:pos="1276"/>
        </w:tabs>
        <w:ind w:left="1276" w:hanging="1276"/>
      </w:pPr>
      <w:r w:rsidRPr="00E46A11">
        <w:rPr>
          <w:i/>
        </w:rPr>
        <w:tab/>
        <w:t>f</w:t>
      </w:r>
      <w:r w:rsidRPr="00E46A11">
        <w:rPr>
          <w:i/>
          <w:position w:val="-4"/>
          <w:sz w:val="18"/>
        </w:rPr>
        <w:t>n</w:t>
      </w:r>
      <w:r w:rsidRPr="00E46A11">
        <w:tab/>
        <w:t>la fréquence centrale de l'un des canaux radioélectriques dans la partie aller (retour) de la bande (MHz),</w:t>
      </w:r>
    </w:p>
    <w:p w:rsidR="00EF154C" w:rsidRPr="00E46A11" w:rsidRDefault="00EF154C" w:rsidP="00EF154C">
      <w:pPr>
        <w:pStyle w:val="enumlev1"/>
        <w:tabs>
          <w:tab w:val="clear" w:pos="794"/>
          <w:tab w:val="clear" w:pos="1191"/>
          <w:tab w:val="clear" w:pos="1588"/>
          <w:tab w:val="clear" w:pos="1985"/>
          <w:tab w:val="left" w:pos="709"/>
          <w:tab w:val="left" w:pos="1276"/>
        </w:tabs>
        <w:ind w:left="1276" w:hanging="1276"/>
      </w:pPr>
      <w:r w:rsidRPr="00E46A11">
        <w:tab/>
      </w:r>
      <w:r w:rsidRPr="00E46A11">
        <w:rPr>
          <w:position w:val="-10"/>
        </w:rPr>
        <w:object w:dxaOrig="279" w:dyaOrig="320">
          <v:shape id="_x0000_i1029" type="#_x0000_t75" style="width:13.85pt;height:15.7pt" o:ole="">
            <v:imagedata r:id="rId14" o:title=""/>
          </v:shape>
          <o:OLEObject Type="Embed" ProgID="Equation.3" ShapeID="_x0000_i1029" DrawAspect="Content" ObjectID="_1462768233" r:id="rId19"/>
        </w:object>
      </w:r>
      <w:r w:rsidRPr="00E46A11">
        <w:tab/>
        <w:t>la fréquence centrale de l'un des canaux radioélectriques dans la partie retour (aller) de la bande (MHz),</w:t>
      </w:r>
    </w:p>
    <w:p w:rsidR="00EF154C" w:rsidRPr="00E46A11" w:rsidRDefault="00EF154C" w:rsidP="00EF154C">
      <w:pPr>
        <w:ind w:left="1191" w:hanging="1191"/>
      </w:pPr>
      <w:r w:rsidRPr="00E46A11">
        <w:t>les fréquences de chaque canal s'expriment alors par les relations suivantes:</w:t>
      </w:r>
    </w:p>
    <w:p w:rsidR="00EF154C" w:rsidRPr="00E46A11" w:rsidRDefault="00EF154C" w:rsidP="00881560">
      <w:pPr>
        <w:pStyle w:val="Headingi"/>
      </w:pPr>
      <w:r w:rsidRPr="00E46A11">
        <w:t>Groupe 1</w:t>
      </w:r>
    </w:p>
    <w:p w:rsidR="00EF154C" w:rsidRPr="00E46A11" w:rsidRDefault="00EF154C" w:rsidP="00EF154C">
      <w:pPr>
        <w:pStyle w:val="enumlev1"/>
        <w:tabs>
          <w:tab w:val="left" w:pos="2835"/>
          <w:tab w:val="left" w:pos="3119"/>
          <w:tab w:val="left" w:pos="3402"/>
          <w:tab w:val="left" w:pos="3686"/>
          <w:tab w:val="left" w:pos="3969"/>
          <w:tab w:val="left" w:pos="5103"/>
          <w:tab w:val="left" w:pos="5670"/>
        </w:tabs>
        <w:ind w:left="0" w:firstLine="0"/>
      </w:pPr>
      <w:r w:rsidRPr="00E46A11">
        <w:tab/>
        <w:t>canal aller (retour):</w:t>
      </w:r>
      <w:r w:rsidRPr="00E46A11">
        <w:tab/>
      </w:r>
      <w:r w:rsidRPr="00E46A11">
        <w:rPr>
          <w:i/>
        </w:rPr>
        <w:t>f</w:t>
      </w:r>
      <w:r w:rsidRPr="00E46A11">
        <w:rPr>
          <w:i/>
          <w:position w:val="-4"/>
          <w:sz w:val="18"/>
        </w:rPr>
        <w:t>n</w:t>
      </w:r>
      <w:r w:rsidRPr="00E46A11">
        <w:tab/>
      </w:r>
      <w:r w:rsidRPr="00E46A11">
        <w:rPr>
          <w:rFonts w:ascii="Symbol" w:hAnsi="Symbol"/>
        </w:rPr>
        <w:t></w:t>
      </w:r>
      <w:r w:rsidRPr="00E46A11">
        <w:tab/>
      </w:r>
      <w:r w:rsidRPr="00E46A11">
        <w:rPr>
          <w:i/>
        </w:rPr>
        <w:t>f</w:t>
      </w:r>
      <w:r w:rsidRPr="00E46A11">
        <w:rPr>
          <w:i/>
          <w:position w:val="-4"/>
          <w:sz w:val="18"/>
        </w:rPr>
        <w:t>r</w:t>
      </w:r>
      <w:r w:rsidRPr="00E46A11">
        <w:t xml:space="preserve"> – 50 </w:t>
      </w:r>
      <w:r w:rsidRPr="00E46A11">
        <w:rPr>
          <w:rFonts w:ascii="Symbol" w:hAnsi="Symbol"/>
        </w:rPr>
        <w:t></w:t>
      </w:r>
      <w:r w:rsidRPr="00E46A11">
        <w:t xml:space="preserve"> 80 </w:t>
      </w:r>
      <w:r w:rsidRPr="00E46A11">
        <w:rPr>
          <w:i/>
        </w:rPr>
        <w:t>n</w:t>
      </w:r>
      <w:r w:rsidRPr="00E46A11">
        <w:tab/>
      </w:r>
      <w:r w:rsidRPr="00E46A11">
        <w:tab/>
        <w:t>MHz</w:t>
      </w:r>
    </w:p>
    <w:p w:rsidR="00EF154C" w:rsidRPr="00E46A11" w:rsidRDefault="00EF154C" w:rsidP="00EF154C">
      <w:pPr>
        <w:pStyle w:val="enumlev1"/>
        <w:tabs>
          <w:tab w:val="left" w:pos="2730"/>
          <w:tab w:val="left" w:pos="3119"/>
          <w:tab w:val="left" w:pos="3402"/>
          <w:tab w:val="left" w:pos="3686"/>
          <w:tab w:val="left" w:pos="3969"/>
          <w:tab w:val="left" w:pos="5103"/>
          <w:tab w:val="left" w:pos="5670"/>
        </w:tabs>
        <w:ind w:left="0" w:firstLine="0"/>
      </w:pPr>
      <w:r w:rsidRPr="00E46A11">
        <w:tab/>
        <w:t>canal retour (aller):</w:t>
      </w:r>
      <w:r w:rsidRPr="00E46A11">
        <w:tab/>
      </w:r>
      <w:r w:rsidRPr="00E46A11">
        <w:rPr>
          <w:position w:val="-10"/>
        </w:rPr>
        <w:object w:dxaOrig="279" w:dyaOrig="320">
          <v:shape id="_x0000_i1030" type="#_x0000_t75" style="width:13.85pt;height:15.7pt" o:ole="">
            <v:imagedata r:id="rId14" o:title=""/>
          </v:shape>
          <o:OLEObject Type="Embed" ProgID="Equation.3" ShapeID="_x0000_i1030" DrawAspect="Content" ObjectID="_1462768234" r:id="rId20"/>
        </w:object>
      </w:r>
      <w:r w:rsidRPr="00E46A11">
        <w:tab/>
      </w:r>
      <w:r w:rsidRPr="00E46A11">
        <w:rPr>
          <w:rFonts w:ascii="Symbol" w:hAnsi="Symbol"/>
        </w:rPr>
        <w:t></w:t>
      </w:r>
      <w:r w:rsidRPr="00E46A11">
        <w:tab/>
      </w:r>
      <w:r w:rsidRPr="00E46A11">
        <w:rPr>
          <w:i/>
        </w:rPr>
        <w:t>f</w:t>
      </w:r>
      <w:r w:rsidRPr="00E46A11">
        <w:rPr>
          <w:i/>
          <w:position w:val="-4"/>
          <w:sz w:val="18"/>
        </w:rPr>
        <w:t>r</w:t>
      </w:r>
      <w:r w:rsidRPr="00E46A11">
        <w:t xml:space="preserve"> – 10 </w:t>
      </w:r>
      <w:r w:rsidRPr="00E46A11">
        <w:rPr>
          <w:rFonts w:ascii="Symbol" w:hAnsi="Symbol"/>
        </w:rPr>
        <w:t></w:t>
      </w:r>
      <w:r w:rsidRPr="00E46A11">
        <w:t xml:space="preserve"> 80 </w:t>
      </w:r>
      <w:r w:rsidRPr="00E46A11">
        <w:rPr>
          <w:i/>
        </w:rPr>
        <w:t>n</w:t>
      </w:r>
      <w:r w:rsidRPr="00E46A11">
        <w:tab/>
      </w:r>
      <w:r w:rsidRPr="00E46A11">
        <w:tab/>
        <w:t>MHz</w:t>
      </w:r>
    </w:p>
    <w:p w:rsidR="00EF154C" w:rsidRPr="00E46A11" w:rsidRDefault="00EF154C" w:rsidP="00EF154C">
      <w:pPr>
        <w:spacing w:before="0"/>
        <w:ind w:left="1191" w:hanging="1191"/>
        <w:rPr>
          <w:u w:val="words"/>
        </w:rPr>
      </w:pPr>
      <w:r w:rsidRPr="00E46A11">
        <w:t>où:</w:t>
      </w:r>
    </w:p>
    <w:p w:rsidR="00EF154C" w:rsidRPr="00E46A11" w:rsidRDefault="00EF154C" w:rsidP="00EF154C">
      <w:pPr>
        <w:pStyle w:val="enumlev1"/>
      </w:pPr>
      <w:r w:rsidRPr="00E46A11">
        <w:tab/>
      </w:r>
      <w:r w:rsidRPr="00E46A11">
        <w:rPr>
          <w:i/>
        </w:rPr>
        <w:t>n</w:t>
      </w:r>
      <w:r w:rsidRPr="00E46A11">
        <w:t xml:space="preserve"> </w:t>
      </w:r>
      <w:r w:rsidRPr="00E46A11">
        <w:rPr>
          <w:rFonts w:ascii="Symbol" w:hAnsi="Symbol"/>
        </w:rPr>
        <w:t></w:t>
      </w:r>
      <w:r w:rsidRPr="00E46A11">
        <w:t xml:space="preserve"> 1, 2, 3, 4, 5 et 6.</w:t>
      </w:r>
    </w:p>
    <w:p w:rsidR="00EF154C" w:rsidRPr="00E46A11" w:rsidRDefault="00EF154C" w:rsidP="00881560">
      <w:pPr>
        <w:pStyle w:val="Headingi"/>
      </w:pPr>
      <w:r w:rsidRPr="00E46A11">
        <w:t>Groupe 2</w:t>
      </w:r>
    </w:p>
    <w:p w:rsidR="00EF154C" w:rsidRPr="00E46A11" w:rsidRDefault="00EF154C" w:rsidP="00EF154C">
      <w:pPr>
        <w:pStyle w:val="enumlev1"/>
        <w:tabs>
          <w:tab w:val="left" w:pos="2835"/>
          <w:tab w:val="left" w:pos="3119"/>
          <w:tab w:val="left" w:pos="3402"/>
          <w:tab w:val="left" w:pos="3686"/>
          <w:tab w:val="left" w:pos="3969"/>
          <w:tab w:val="left" w:pos="5103"/>
          <w:tab w:val="left" w:pos="5670"/>
        </w:tabs>
        <w:ind w:left="0" w:firstLine="0"/>
      </w:pPr>
      <w:r w:rsidRPr="00E46A11">
        <w:tab/>
        <w:t>canal aller (retour):</w:t>
      </w:r>
      <w:r w:rsidRPr="00E46A11">
        <w:tab/>
      </w:r>
      <w:r w:rsidRPr="00E46A11">
        <w:rPr>
          <w:i/>
        </w:rPr>
        <w:t>f</w:t>
      </w:r>
      <w:r w:rsidRPr="00E46A11">
        <w:rPr>
          <w:i/>
          <w:position w:val="-4"/>
          <w:sz w:val="18"/>
        </w:rPr>
        <w:t>n</w:t>
      </w:r>
      <w:r w:rsidRPr="00E46A11">
        <w:tab/>
      </w:r>
      <w:r w:rsidRPr="00E46A11">
        <w:rPr>
          <w:rFonts w:ascii="Symbol" w:hAnsi="Symbol"/>
        </w:rPr>
        <w:t></w:t>
      </w:r>
      <w:r w:rsidRPr="00E46A11">
        <w:tab/>
      </w:r>
      <w:r w:rsidRPr="00E46A11">
        <w:rPr>
          <w:i/>
        </w:rPr>
        <w:t>f</w:t>
      </w:r>
      <w:r w:rsidRPr="00E46A11">
        <w:rPr>
          <w:i/>
          <w:position w:val="-4"/>
          <w:sz w:val="18"/>
        </w:rPr>
        <w:t>r</w:t>
      </w:r>
      <w:r w:rsidRPr="00E46A11">
        <w:t xml:space="preserve"> – 70 </w:t>
      </w:r>
      <w:r w:rsidRPr="00E46A11">
        <w:rPr>
          <w:rFonts w:ascii="Symbol" w:hAnsi="Symbol"/>
        </w:rPr>
        <w:t></w:t>
      </w:r>
      <w:r w:rsidRPr="00E46A11">
        <w:t xml:space="preserve"> 80 (</w:t>
      </w:r>
      <w:r w:rsidRPr="00E46A11">
        <w:rPr>
          <w:i/>
        </w:rPr>
        <w:t>n</w:t>
      </w:r>
      <w:r w:rsidRPr="00E46A11">
        <w:t xml:space="preserve"> – 6)</w:t>
      </w:r>
      <w:r w:rsidRPr="00E46A11">
        <w:tab/>
        <w:t>MHz</w:t>
      </w:r>
    </w:p>
    <w:p w:rsidR="00EF154C" w:rsidRPr="00E46A11" w:rsidRDefault="00EF154C" w:rsidP="00EF154C">
      <w:pPr>
        <w:pStyle w:val="enumlev1"/>
        <w:tabs>
          <w:tab w:val="left" w:pos="2730"/>
          <w:tab w:val="left" w:pos="3119"/>
          <w:tab w:val="left" w:pos="3402"/>
          <w:tab w:val="left" w:pos="3686"/>
          <w:tab w:val="left" w:pos="3969"/>
          <w:tab w:val="left" w:pos="5103"/>
          <w:tab w:val="left" w:pos="5670"/>
        </w:tabs>
        <w:ind w:left="0" w:firstLine="0"/>
      </w:pPr>
      <w:r w:rsidRPr="00E46A11">
        <w:tab/>
        <w:t>canal retour (aller):</w:t>
      </w:r>
      <w:r w:rsidRPr="00E46A11">
        <w:tab/>
      </w:r>
      <w:r w:rsidRPr="00E46A11">
        <w:rPr>
          <w:position w:val="-10"/>
        </w:rPr>
        <w:object w:dxaOrig="279" w:dyaOrig="320">
          <v:shape id="_x0000_i1031" type="#_x0000_t75" style="width:13.85pt;height:15.7pt" o:ole="">
            <v:imagedata r:id="rId14" o:title=""/>
          </v:shape>
          <o:OLEObject Type="Embed" ProgID="Equation.3" ShapeID="_x0000_i1031" DrawAspect="Content" ObjectID="_1462768235" r:id="rId21"/>
        </w:object>
      </w:r>
      <w:r w:rsidRPr="00E46A11">
        <w:tab/>
      </w:r>
      <w:r w:rsidRPr="00E46A11">
        <w:rPr>
          <w:rFonts w:ascii="Symbol" w:hAnsi="Symbol"/>
        </w:rPr>
        <w:t></w:t>
      </w:r>
      <w:r w:rsidRPr="00E46A11">
        <w:tab/>
      </w:r>
      <w:r w:rsidRPr="00E46A11">
        <w:rPr>
          <w:i/>
        </w:rPr>
        <w:t>f</w:t>
      </w:r>
      <w:r w:rsidRPr="00E46A11">
        <w:rPr>
          <w:i/>
          <w:position w:val="-4"/>
          <w:sz w:val="18"/>
        </w:rPr>
        <w:t>r</w:t>
      </w:r>
      <w:r w:rsidRPr="00E46A11">
        <w:t xml:space="preserve"> – 30 </w:t>
      </w:r>
      <w:r w:rsidRPr="00E46A11">
        <w:rPr>
          <w:rFonts w:ascii="Symbol" w:hAnsi="Symbol"/>
        </w:rPr>
        <w:t></w:t>
      </w:r>
      <w:r w:rsidRPr="00E46A11">
        <w:t xml:space="preserve"> 80 (</w:t>
      </w:r>
      <w:r w:rsidRPr="00E46A11">
        <w:rPr>
          <w:i/>
        </w:rPr>
        <w:t>n</w:t>
      </w:r>
      <w:r w:rsidRPr="00E46A11">
        <w:t xml:space="preserve"> – 6)</w:t>
      </w:r>
      <w:r w:rsidRPr="00E46A11">
        <w:tab/>
        <w:t>MHz</w:t>
      </w:r>
    </w:p>
    <w:p w:rsidR="00EF154C" w:rsidRPr="00E46A11" w:rsidRDefault="00EF154C" w:rsidP="00EF154C">
      <w:pPr>
        <w:spacing w:before="0"/>
        <w:ind w:left="1191" w:hanging="1191"/>
      </w:pPr>
      <w:r w:rsidRPr="00E46A11">
        <w:t>où:</w:t>
      </w:r>
    </w:p>
    <w:p w:rsidR="00EF154C" w:rsidRPr="00E46A11" w:rsidRDefault="00EF154C" w:rsidP="00EF154C">
      <w:pPr>
        <w:pStyle w:val="enumlev1"/>
      </w:pPr>
      <w:r w:rsidRPr="00E46A11">
        <w:tab/>
      </w:r>
      <w:r w:rsidRPr="00E46A11">
        <w:rPr>
          <w:i/>
        </w:rPr>
        <w:t>n</w:t>
      </w:r>
      <w:r w:rsidRPr="00E46A11">
        <w:t xml:space="preserve"> </w:t>
      </w:r>
      <w:r w:rsidRPr="00E46A11">
        <w:rPr>
          <w:rFonts w:ascii="Symbol" w:hAnsi="Symbol"/>
        </w:rPr>
        <w:t></w:t>
      </w:r>
      <w:r w:rsidRPr="00E46A11">
        <w:t xml:space="preserve"> 7, 8, 9, 10, 11 et 12.</w:t>
      </w:r>
    </w:p>
    <w:p w:rsidR="00EF154C" w:rsidRPr="00E46A11" w:rsidRDefault="00EF154C" w:rsidP="00EF154C">
      <w:pPr>
        <w:pStyle w:val="FigureNo"/>
      </w:pPr>
      <w:r w:rsidRPr="00E46A11">
        <w:t>figure 3</w:t>
      </w:r>
    </w:p>
    <w:p w:rsidR="00EF154C" w:rsidRPr="00E46A11" w:rsidRDefault="00EF154C" w:rsidP="00EF154C">
      <w:pPr>
        <w:pStyle w:val="Figuretitle"/>
      </w:pPr>
      <w:r w:rsidRPr="00E46A11">
        <w:t>Disposition des canaux radioélectriques dans la bande 3,7-4,2 GHz</w:t>
      </w:r>
    </w:p>
    <w:p w:rsidR="00EF154C" w:rsidRPr="00E46A11" w:rsidRDefault="00EF154C" w:rsidP="00EF154C">
      <w:pPr>
        <w:pStyle w:val="Figure"/>
      </w:pPr>
      <w:r w:rsidRPr="00E46A11">
        <w:t>(f</w:t>
      </w:r>
      <w:r w:rsidRPr="00E46A11">
        <w:rPr>
          <w:caps w:val="0"/>
        </w:rPr>
        <w:t xml:space="preserve">réquences en </w:t>
      </w:r>
      <w:r w:rsidRPr="00E46A11">
        <w:t>mh</w:t>
      </w:r>
      <w:r w:rsidRPr="00E46A11">
        <w:rPr>
          <w:caps w:val="0"/>
        </w:rPr>
        <w:t>z</w:t>
      </w:r>
      <w:r w:rsidRPr="00E46A11">
        <w:t>)</w:t>
      </w:r>
    </w:p>
    <w:p w:rsidR="00EF154C" w:rsidRPr="00E46A11" w:rsidRDefault="00EF154C" w:rsidP="00EF154C">
      <w:pPr>
        <w:pStyle w:val="Figure"/>
      </w:pPr>
      <w:r w:rsidRPr="00E46A11">
        <w:object w:dxaOrig="5645" w:dyaOrig="2888">
          <v:shape id="_x0000_i1032" type="#_x0000_t75" style="width:338.3pt;height:173.1pt" o:ole="">
            <v:imagedata r:id="rId22" o:title=""/>
          </v:shape>
          <o:OLEObject Type="Embed" ProgID="CorelDRAW.Graphic.14" ShapeID="_x0000_i1032" DrawAspect="Content" ObjectID="_1462768236" r:id="rId23"/>
        </w:object>
      </w:r>
    </w:p>
    <w:p w:rsidR="00EF154C" w:rsidRPr="00E46A11" w:rsidRDefault="00EF154C" w:rsidP="00EF154C">
      <w:pPr>
        <w:rPr>
          <w:b/>
        </w:rPr>
      </w:pPr>
      <w:r w:rsidRPr="00E46A11">
        <w:rPr>
          <w:b/>
        </w:rPr>
        <w:t>2.2</w:t>
      </w:r>
      <w:r w:rsidRPr="00E46A11">
        <w:rPr>
          <w:b/>
        </w:rPr>
        <w:tab/>
      </w:r>
      <w:r w:rsidRPr="00E46A11">
        <w:rPr>
          <w:bCs/>
        </w:rPr>
        <w:t>Sur le tronçon où se fait l'interconnexion internationale, les canaux aller et retour se trouvent dans le même groupe et sont des canaux adjacents de ce groupe.</w:t>
      </w:r>
    </w:p>
    <w:p w:rsidR="00EF154C" w:rsidRPr="00E46A11" w:rsidRDefault="00EF154C" w:rsidP="00EF154C">
      <w:r w:rsidRPr="00E46A11">
        <w:rPr>
          <w:b/>
        </w:rPr>
        <w:t>2.3</w:t>
      </w:r>
      <w:r w:rsidRPr="00E46A11">
        <w:tab/>
        <w:t>Sur un tronçon quelconque, les canaux aller et les canaux retour d'un même groupe utilisent la même polarisation.</w:t>
      </w:r>
    </w:p>
    <w:p w:rsidR="00EF154C" w:rsidRPr="00E46A11" w:rsidRDefault="00EF154C" w:rsidP="00EF154C">
      <w:r w:rsidRPr="00E46A11">
        <w:rPr>
          <w:b/>
        </w:rPr>
        <w:t>2.4</w:t>
      </w:r>
      <w:r w:rsidRPr="00E46A11">
        <w:tab/>
        <w:t>Sur un tronçon quelconque, les canaux de chaque groupe utilisent des polarisations différentes.</w:t>
      </w:r>
    </w:p>
    <w:p w:rsidR="00EF154C" w:rsidRPr="00E46A11" w:rsidRDefault="00EF154C" w:rsidP="00EF154C">
      <w:r w:rsidRPr="00E46A11">
        <w:rPr>
          <w:b/>
        </w:rPr>
        <w:t>2.5</w:t>
      </w:r>
      <w:r w:rsidRPr="00E46A11">
        <w:tab/>
        <w:t xml:space="preserve">La valeur de </w:t>
      </w:r>
      <w:r w:rsidRPr="00E46A11">
        <w:rPr>
          <w:i/>
        </w:rPr>
        <w:t>f</w:t>
      </w:r>
      <w:r w:rsidRPr="00E46A11">
        <w:rPr>
          <w:i/>
          <w:position w:val="-4"/>
          <w:sz w:val="18"/>
        </w:rPr>
        <w:t>r</w:t>
      </w:r>
      <w:r w:rsidRPr="00E46A11">
        <w:t xml:space="preserve"> est en général 3</w:t>
      </w:r>
      <w:r w:rsidRPr="00E46A11">
        <w:rPr>
          <w:sz w:val="12"/>
        </w:rPr>
        <w:t> </w:t>
      </w:r>
      <w:r w:rsidRPr="00E46A11">
        <w:t>700 MHz.</w:t>
      </w:r>
    </w:p>
    <w:p w:rsidR="00EF154C" w:rsidRPr="00E46A11" w:rsidRDefault="00EF154C" w:rsidP="00EF154C">
      <w:pPr>
        <w:pStyle w:val="Heading1"/>
      </w:pPr>
      <w:r w:rsidRPr="00E46A11">
        <w:lastRenderedPageBreak/>
        <w:t>3</w:t>
      </w:r>
      <w:r w:rsidRPr="00E46A11">
        <w:tab/>
        <w:t>Dispositions des canaux radioélectriques en mode CCDP avec espacement de 80 MHz</w:t>
      </w:r>
    </w:p>
    <w:p w:rsidR="00EF154C" w:rsidRPr="00E46A11" w:rsidRDefault="00EF154C" w:rsidP="00EF154C">
      <w:r w:rsidRPr="00E46A11">
        <w:t>Les dispositions représentées dans les Fig. 4a), 4b) et 4c) sont basées sur l'utilisation d'un système à deux porteuses transmettant à 2 </w:t>
      </w:r>
      <w:r w:rsidRPr="00E46A11">
        <w:rPr>
          <w:rFonts w:ascii="Symbol" w:hAnsi="Symbol"/>
        </w:rPr>
        <w:t></w:t>
      </w:r>
      <w:r w:rsidRPr="00E46A11">
        <w:t> 2 </w:t>
      </w:r>
      <w:r w:rsidRPr="00E46A11">
        <w:rPr>
          <w:rFonts w:ascii="Symbol" w:hAnsi="Symbol"/>
        </w:rPr>
        <w:t></w:t>
      </w:r>
      <w:r w:rsidRPr="00E46A11">
        <w:t> 155,52 Mbit/s (4 </w:t>
      </w:r>
      <w:r w:rsidRPr="00E46A11">
        <w:rPr>
          <w:rFonts w:ascii="Symbol" w:hAnsi="Symbol"/>
        </w:rPr>
        <w:t></w:t>
      </w:r>
      <w:r w:rsidRPr="00E46A11">
        <w:t> STM-1) à l'aide de deux couples de porteuses auxquelles sont appliquées les deux polarisations en mode CCDP.</w:t>
      </w:r>
    </w:p>
    <w:p w:rsidR="00EF154C" w:rsidRPr="00E46A11" w:rsidRDefault="00EF154C" w:rsidP="00EF154C">
      <w:r w:rsidRPr="00E46A11">
        <w:t>Le plan de répartition des canaux radioélectriques de la Fig. 4a) est optimisé pour la bande de fréquences 3</w:t>
      </w:r>
      <w:r w:rsidRPr="00E46A11">
        <w:rPr>
          <w:sz w:val="12"/>
        </w:rPr>
        <w:t> </w:t>
      </w:r>
      <w:r w:rsidRPr="00E46A11">
        <w:t>580</w:t>
      </w:r>
      <w:r w:rsidRPr="00E46A11">
        <w:noBreakHyphen/>
        <w:t>4</w:t>
      </w:r>
      <w:r w:rsidRPr="00E46A11">
        <w:rPr>
          <w:sz w:val="12"/>
        </w:rPr>
        <w:t> </w:t>
      </w:r>
      <w:r w:rsidRPr="00E46A11">
        <w:t>200 MHz.</w:t>
      </w:r>
    </w:p>
    <w:p w:rsidR="00EF154C" w:rsidRPr="00E46A11" w:rsidRDefault="00EF154C" w:rsidP="00EF154C">
      <w:r w:rsidRPr="00E46A11">
        <w:t>La Fig. 4b) représente une disposition applicable à la totalité de la bande de fréquences 3</w:t>
      </w:r>
      <w:r w:rsidRPr="00E46A11">
        <w:rPr>
          <w:sz w:val="12"/>
        </w:rPr>
        <w:t> </w:t>
      </w:r>
      <w:r w:rsidRPr="00E46A11">
        <w:t>400</w:t>
      </w:r>
      <w:r w:rsidRPr="00E46A11">
        <w:noBreakHyphen/>
        <w:t>4</w:t>
      </w:r>
      <w:r w:rsidRPr="00E46A11">
        <w:rPr>
          <w:sz w:val="12"/>
        </w:rPr>
        <w:t> </w:t>
      </w:r>
      <w:r w:rsidRPr="00E46A11">
        <w:t>200 MHz.</w:t>
      </w:r>
    </w:p>
    <w:p w:rsidR="00EF154C" w:rsidRPr="00E46A11" w:rsidRDefault="00EF154C" w:rsidP="00EF154C">
      <w:r w:rsidRPr="00E46A11">
        <w:t>Les dispositions proposées dans les Fig. 4a) et 4b) utilisent le plus grand nombre possible de signaux à 155,52 Mbit/s. En plus des quadruplets de porteuses transmis dans les sous-bandes aller et retour, on utilise, si nécessaire, deux couples de porteuses individuelles à polarisations croisées comme canaux de protection. Etant donné la possibilité de commuter individuellement chaque porteuse (train binaire en bande de base), cette configuration (</w:t>
      </w:r>
      <w:r w:rsidRPr="00E46A11">
        <w:rPr>
          <w:i/>
        </w:rPr>
        <w:t>n</w:t>
      </w:r>
      <w:r w:rsidRPr="00E46A11">
        <w:t> + 2) est au moins aussi efficace qu'une configuration (</w:t>
      </w:r>
      <w:r w:rsidRPr="00E46A11">
        <w:rPr>
          <w:i/>
        </w:rPr>
        <w:t>n</w:t>
      </w:r>
      <w:r w:rsidRPr="00E46A11">
        <w:t>/2 + 1) lorsqu'elle est utilisée pour la diversité en fréquence.</w:t>
      </w:r>
    </w:p>
    <w:p w:rsidR="00EF154C" w:rsidRPr="00E46A11" w:rsidRDefault="00EF154C" w:rsidP="00846FE3">
      <w:r w:rsidRPr="00E46A11">
        <w:t>La Fig</w:t>
      </w:r>
      <w:r w:rsidR="00846FE3">
        <w:t>ure</w:t>
      </w:r>
      <w:r w:rsidRPr="00E46A11">
        <w:t> 4c) représente une disposition des canaux pour la bande 3</w:t>
      </w:r>
      <w:r w:rsidRPr="00E46A11">
        <w:rPr>
          <w:sz w:val="12"/>
        </w:rPr>
        <w:t> </w:t>
      </w:r>
      <w:r w:rsidRPr="00E46A11">
        <w:t>400-3</w:t>
      </w:r>
      <w:r w:rsidRPr="00E46A11">
        <w:rPr>
          <w:sz w:val="12"/>
        </w:rPr>
        <w:t> </w:t>
      </w:r>
      <w:r w:rsidRPr="00E46A11">
        <w:t>800 MHz.</w:t>
      </w:r>
    </w:p>
    <w:p w:rsidR="00EF154C" w:rsidRPr="00E46A11" w:rsidRDefault="00EF154C" w:rsidP="00EF154C">
      <w:pPr>
        <w:pStyle w:val="FigureNo"/>
      </w:pPr>
      <w:r w:rsidRPr="00E46A11">
        <w:lastRenderedPageBreak/>
        <w:t>figure 4</w:t>
      </w:r>
    </w:p>
    <w:p w:rsidR="00EF154C" w:rsidRPr="002324ED" w:rsidRDefault="00EF154C" w:rsidP="00EF154C">
      <w:pPr>
        <w:keepNext/>
        <w:keepLines/>
        <w:jc w:val="center"/>
        <w:rPr>
          <w:sz w:val="18"/>
          <w:szCs w:val="18"/>
        </w:rPr>
      </w:pPr>
      <w:r w:rsidRPr="002324ED">
        <w:rPr>
          <w:sz w:val="18"/>
          <w:szCs w:val="18"/>
        </w:rPr>
        <w:t>(Fréquences en MHz)</w:t>
      </w:r>
    </w:p>
    <w:p w:rsidR="00EF154C" w:rsidRPr="00E46A11" w:rsidRDefault="00016A51" w:rsidP="00EF154C">
      <w:pPr>
        <w:jc w:val="center"/>
        <w:rPr>
          <w:sz w:val="20"/>
        </w:rPr>
      </w:pPr>
      <w:r w:rsidRPr="00E46A11">
        <w:object w:dxaOrig="5694" w:dyaOrig="7113">
          <v:shape id="_x0000_i1033" type="#_x0000_t75" style="width:402.45pt;height:502.6pt" o:ole="">
            <v:imagedata r:id="rId24" o:title=""/>
          </v:shape>
          <o:OLEObject Type="Embed" ProgID="CorelDRAW.Graphic.14" ShapeID="_x0000_i1033" DrawAspect="Content" ObjectID="_1462768237" r:id="rId25"/>
        </w:object>
      </w:r>
    </w:p>
    <w:p w:rsidR="00EF154C" w:rsidRPr="00E46A11" w:rsidRDefault="00EF154C" w:rsidP="00EF154C">
      <w:pPr>
        <w:pStyle w:val="Heading1"/>
      </w:pPr>
      <w:r w:rsidRPr="00E46A11">
        <w:t>4</w:t>
      </w:r>
      <w:r w:rsidRPr="00E46A11">
        <w:tab/>
        <w:t>Disposition des canaux radioélectriques en mode CCDP avec espacement de 30 MHz</w:t>
      </w:r>
    </w:p>
    <w:p w:rsidR="00EF154C" w:rsidRPr="00E46A11" w:rsidRDefault="00EF154C" w:rsidP="003C7CBD">
      <w:r w:rsidRPr="00E46A11">
        <w:t>Dans les pays où la limite inférieure est de 3</w:t>
      </w:r>
      <w:r w:rsidRPr="00E46A11">
        <w:rPr>
          <w:rFonts w:ascii="Tms Rmn" w:hAnsi="Tms Rmn"/>
          <w:sz w:val="12"/>
        </w:rPr>
        <w:t> </w:t>
      </w:r>
      <w:r w:rsidRPr="00E46A11">
        <w:t>600 MHz, la disposition des fréquences ci-après offre sur cette bande une capacité pouvant atteindre 18 </w:t>
      </w:r>
      <w:r w:rsidRPr="00E46A11">
        <w:rPr>
          <w:rFonts w:ascii="Symbol" w:hAnsi="Symbol"/>
        </w:rPr>
        <w:t></w:t>
      </w:r>
      <w:r w:rsidRPr="00E46A11">
        <w:t> STM-1 systèmes.</w:t>
      </w:r>
    </w:p>
    <w:p w:rsidR="00EF154C" w:rsidRPr="00E46A11" w:rsidRDefault="00EF154C" w:rsidP="00EF154C">
      <w:r w:rsidRPr="00E46A11">
        <w:t>Cette disposition, représentée sur la Fig. 5, donne un plan cocanal de 9 canaux aller et 9 canaux retour avec les fréquences centrales définies comme suit:</w:t>
      </w:r>
    </w:p>
    <w:p w:rsidR="00EF154C" w:rsidRPr="00E46A11" w:rsidRDefault="00EF154C" w:rsidP="00EF154C">
      <w:pPr>
        <w:pStyle w:val="enumlev1"/>
        <w:tabs>
          <w:tab w:val="clear" w:pos="1191"/>
          <w:tab w:val="clear" w:pos="1588"/>
          <w:tab w:val="clear" w:pos="1985"/>
          <w:tab w:val="left" w:pos="1418"/>
          <w:tab w:val="left" w:pos="1843"/>
          <w:tab w:val="left" w:pos="2268"/>
        </w:tabs>
        <w:ind w:left="1418" w:hanging="1418"/>
      </w:pPr>
      <w:r w:rsidRPr="00E46A11">
        <w:rPr>
          <w:i/>
        </w:rPr>
        <w:tab/>
        <w:t>f</w:t>
      </w:r>
      <w:r w:rsidRPr="00E46A11">
        <w:rPr>
          <w:i/>
          <w:position w:val="-4"/>
          <w:sz w:val="18"/>
        </w:rPr>
        <w:t>n</w:t>
      </w:r>
      <w:r w:rsidRPr="00E46A11">
        <w:rPr>
          <w:position w:val="-4"/>
          <w:sz w:val="12"/>
        </w:rPr>
        <w:t xml:space="preserve"> </w:t>
      </w:r>
      <w:r w:rsidRPr="00E46A11">
        <w:t>:</w:t>
      </w:r>
      <w:r w:rsidRPr="00E46A11">
        <w:tab/>
        <w:t>fréquence centrale d'un canal radioélectrique dans la partie aller (retour) de la bande (MHz)</w:t>
      </w:r>
    </w:p>
    <w:p w:rsidR="00EF154C" w:rsidRPr="00E46A11" w:rsidRDefault="00EF154C" w:rsidP="00EF154C">
      <w:pPr>
        <w:pStyle w:val="enumlev1"/>
        <w:tabs>
          <w:tab w:val="clear" w:pos="1191"/>
          <w:tab w:val="clear" w:pos="1588"/>
          <w:tab w:val="clear" w:pos="1985"/>
          <w:tab w:val="left" w:pos="1418"/>
          <w:tab w:val="left" w:pos="1843"/>
          <w:tab w:val="left" w:pos="2268"/>
          <w:tab w:val="left" w:pos="3261"/>
          <w:tab w:val="left" w:pos="3686"/>
        </w:tabs>
      </w:pPr>
      <w:r w:rsidRPr="00E46A11">
        <w:rPr>
          <w:i/>
        </w:rPr>
        <w:tab/>
        <w:t>f</w:t>
      </w:r>
      <w:r w:rsidRPr="00E46A11">
        <w:rPr>
          <w:i/>
          <w:position w:val="-4"/>
          <w:sz w:val="18"/>
        </w:rPr>
        <w:t>n</w:t>
      </w:r>
      <w:r w:rsidRPr="00E46A11">
        <w:t xml:space="preserve"> </w:t>
      </w:r>
      <w:r w:rsidRPr="00E46A11">
        <w:rPr>
          <w:rFonts w:ascii="Symbol" w:hAnsi="Symbol"/>
        </w:rPr>
        <w:t></w:t>
      </w:r>
      <w:r w:rsidRPr="00E46A11">
        <w:tab/>
        <w:t>4</w:t>
      </w:r>
      <w:r w:rsidRPr="00E46A11">
        <w:rPr>
          <w:sz w:val="12"/>
        </w:rPr>
        <w:t> </w:t>
      </w:r>
      <w:r w:rsidRPr="00E46A11">
        <w:t xml:space="preserve">200 – 10 </w:t>
      </w:r>
      <w:r w:rsidRPr="00E46A11">
        <w:rPr>
          <w:i/>
        </w:rPr>
        <w:t>m</w:t>
      </w:r>
      <w:r w:rsidRPr="00E46A11">
        <w:t xml:space="preserve"> où</w:t>
      </w:r>
      <w:r w:rsidRPr="00E46A11">
        <w:tab/>
      </w:r>
      <w:r w:rsidRPr="00E46A11">
        <w:rPr>
          <w:i/>
        </w:rPr>
        <w:t>m</w:t>
      </w:r>
      <w:r w:rsidRPr="00E46A11">
        <w:t xml:space="preserve"> </w:t>
      </w:r>
      <w:r w:rsidRPr="00E46A11">
        <w:rPr>
          <w:rFonts w:ascii="Symbol" w:hAnsi="Symbol"/>
        </w:rPr>
        <w:t></w:t>
      </w:r>
      <w:r w:rsidRPr="00E46A11">
        <w:t xml:space="preserve"> 58, 55, 52, 49, 46, 43, 40, 37, 34</w:t>
      </w:r>
    </w:p>
    <w:p w:rsidR="00EF154C" w:rsidRPr="00E46A11" w:rsidRDefault="00EF154C" w:rsidP="00EF154C">
      <w:pPr>
        <w:pStyle w:val="enumlev1"/>
        <w:tabs>
          <w:tab w:val="clear" w:pos="794"/>
          <w:tab w:val="clear" w:pos="1191"/>
          <w:tab w:val="clear" w:pos="1588"/>
          <w:tab w:val="clear" w:pos="1985"/>
          <w:tab w:val="left" w:pos="709"/>
          <w:tab w:val="left" w:pos="1418"/>
          <w:tab w:val="left" w:pos="1843"/>
          <w:tab w:val="left" w:pos="2268"/>
        </w:tabs>
        <w:ind w:left="1418" w:hanging="1418"/>
      </w:pPr>
      <w:r w:rsidRPr="00E46A11">
        <w:lastRenderedPageBreak/>
        <w:tab/>
      </w:r>
      <w:r w:rsidRPr="00E46A11">
        <w:rPr>
          <w:position w:val="-10"/>
        </w:rPr>
        <w:object w:dxaOrig="279" w:dyaOrig="320">
          <v:shape id="_x0000_i1034" type="#_x0000_t75" style="width:13.85pt;height:15.7pt" o:ole="">
            <v:imagedata r:id="rId14" o:title=""/>
          </v:shape>
          <o:OLEObject Type="Embed" ProgID="Equation.3" ShapeID="_x0000_i1034" DrawAspect="Content" ObjectID="_1462768238" r:id="rId26"/>
        </w:object>
      </w:r>
      <w:r w:rsidRPr="00E46A11">
        <w:rPr>
          <w:position w:val="-4"/>
          <w:sz w:val="12"/>
        </w:rPr>
        <w:t xml:space="preserve"> </w:t>
      </w:r>
      <w:r w:rsidRPr="00E46A11">
        <w:t>:</w:t>
      </w:r>
      <w:r w:rsidRPr="00E46A11">
        <w:tab/>
        <w:t>fréquence centrale d'un canal radioélectrique dans la partie retour (aller) de la bande (MHz)</w:t>
      </w:r>
    </w:p>
    <w:p w:rsidR="00EF154C" w:rsidRPr="00E46A11" w:rsidRDefault="00EF154C" w:rsidP="00EF154C">
      <w:pPr>
        <w:pStyle w:val="enumlev1"/>
        <w:tabs>
          <w:tab w:val="clear" w:pos="794"/>
          <w:tab w:val="clear" w:pos="1191"/>
          <w:tab w:val="clear" w:pos="1588"/>
          <w:tab w:val="clear" w:pos="1985"/>
          <w:tab w:val="left" w:pos="1418"/>
          <w:tab w:val="left" w:pos="1843"/>
          <w:tab w:val="left" w:pos="2268"/>
          <w:tab w:val="left" w:pos="3261"/>
          <w:tab w:val="left" w:pos="3686"/>
        </w:tabs>
        <w:ind w:left="700" w:hanging="709"/>
      </w:pPr>
      <w:r w:rsidRPr="00E46A11">
        <w:tab/>
      </w:r>
      <w:r w:rsidRPr="00E46A11">
        <w:rPr>
          <w:position w:val="-10"/>
        </w:rPr>
        <w:object w:dxaOrig="279" w:dyaOrig="320">
          <v:shape id="_x0000_i1035" type="#_x0000_t75" style="width:13.85pt;height:15.7pt" o:ole="">
            <v:imagedata r:id="rId14" o:title=""/>
          </v:shape>
          <o:OLEObject Type="Embed" ProgID="Equation.3" ShapeID="_x0000_i1035" DrawAspect="Content" ObjectID="_1462768239" r:id="rId27"/>
        </w:object>
      </w:r>
      <w:r w:rsidRPr="00E46A11">
        <w:t xml:space="preserve"> </w:t>
      </w:r>
      <w:r w:rsidRPr="00E46A11">
        <w:rPr>
          <w:rFonts w:ascii="Symbol" w:hAnsi="Symbol"/>
        </w:rPr>
        <w:t></w:t>
      </w:r>
      <w:r w:rsidRPr="00E46A11">
        <w:tab/>
      </w:r>
      <w:r w:rsidRPr="00E46A11">
        <w:rPr>
          <w:sz w:val="12"/>
        </w:rPr>
        <w:t xml:space="preserve"> </w:t>
      </w:r>
      <w:r w:rsidRPr="00E46A11">
        <w:t>4</w:t>
      </w:r>
      <w:r w:rsidRPr="00E46A11">
        <w:rPr>
          <w:sz w:val="12"/>
        </w:rPr>
        <w:t> </w:t>
      </w:r>
      <w:r w:rsidRPr="00E46A11">
        <w:t xml:space="preserve">200 – 10 </w:t>
      </w:r>
      <w:r w:rsidRPr="00E46A11">
        <w:rPr>
          <w:i/>
        </w:rPr>
        <w:t>m</w:t>
      </w:r>
      <w:r w:rsidRPr="00E46A11">
        <w:t xml:space="preserve"> où</w:t>
      </w:r>
      <w:r w:rsidRPr="00E46A11">
        <w:tab/>
      </w:r>
      <w:r w:rsidRPr="00E46A11">
        <w:rPr>
          <w:i/>
        </w:rPr>
        <w:t>m</w:t>
      </w:r>
      <w:r w:rsidRPr="00E46A11">
        <w:t xml:space="preserve"> </w:t>
      </w:r>
      <w:r w:rsidRPr="00E46A11">
        <w:rPr>
          <w:rFonts w:ascii="Symbol" w:hAnsi="Symbol"/>
        </w:rPr>
        <w:t></w:t>
      </w:r>
      <w:r w:rsidRPr="00E46A11">
        <w:t xml:space="preserve"> 26, 23, 20, 17, 14, 11, 8, 5, 2.</w:t>
      </w:r>
    </w:p>
    <w:p w:rsidR="00EF154C" w:rsidRPr="00E46A11" w:rsidRDefault="00EF154C" w:rsidP="00EF154C">
      <w:pPr>
        <w:pStyle w:val="FigureNo"/>
      </w:pPr>
      <w:r w:rsidRPr="00E46A11">
        <w:t>figure 5</w:t>
      </w:r>
    </w:p>
    <w:p w:rsidR="00EF154C" w:rsidRPr="00E46A11" w:rsidRDefault="00EF154C" w:rsidP="00EF154C">
      <w:pPr>
        <w:pStyle w:val="Figuretitle"/>
      </w:pPr>
      <w:r w:rsidRPr="00E46A11">
        <w:t>Disposition des canaux radioélectriques dans la bande des 4 GHz</w:t>
      </w:r>
    </w:p>
    <w:p w:rsidR="00EF154C" w:rsidRPr="00E46A11" w:rsidRDefault="00EF154C" w:rsidP="00EF154C">
      <w:pPr>
        <w:pStyle w:val="Figure"/>
      </w:pPr>
      <w:r w:rsidRPr="00E46A11">
        <w:t>(F</w:t>
      </w:r>
      <w:r w:rsidRPr="00E46A11">
        <w:rPr>
          <w:caps w:val="0"/>
        </w:rPr>
        <w:t xml:space="preserve">réquences en </w:t>
      </w:r>
      <w:r w:rsidRPr="00E46A11">
        <w:t>MH</w:t>
      </w:r>
      <w:r w:rsidRPr="00E46A11">
        <w:rPr>
          <w:caps w:val="0"/>
        </w:rPr>
        <w:t>z</w:t>
      </w:r>
      <w:r w:rsidRPr="00E46A11">
        <w:t>)</w:t>
      </w:r>
    </w:p>
    <w:p w:rsidR="00EF154C" w:rsidRPr="00E46A11" w:rsidRDefault="00EF154C" w:rsidP="00EF154C">
      <w:pPr>
        <w:pStyle w:val="Figure"/>
      </w:pPr>
      <w:r w:rsidRPr="00E46A11">
        <w:object w:dxaOrig="6468" w:dyaOrig="2259">
          <v:shape id="_x0000_i1036" type="#_x0000_t75" style="width:388.15pt;height:135.7pt" o:ole="">
            <v:imagedata r:id="rId28" o:title=""/>
          </v:shape>
          <o:OLEObject Type="Embed" ProgID="CorelDRAW.Graphic.14" ShapeID="_x0000_i1036" DrawAspect="Content" ObjectID="_1462768240" r:id="rId29"/>
        </w:object>
      </w:r>
    </w:p>
    <w:p w:rsidR="00EF154C" w:rsidRPr="00E46A11" w:rsidRDefault="00EF154C" w:rsidP="00EF154C"/>
    <w:p w:rsidR="00EF154C" w:rsidRPr="00EF154C" w:rsidRDefault="00EF154C" w:rsidP="00EF154C">
      <w:pPr>
        <w:pStyle w:val="Line"/>
      </w:pPr>
    </w:p>
    <w:sectPr w:rsidR="00EF154C" w:rsidRPr="00EF154C" w:rsidSect="00881560">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F94" w:rsidRDefault="00881F94">
      <w:r>
        <w:separator/>
      </w:r>
    </w:p>
  </w:endnote>
  <w:endnote w:type="continuationSeparator" w:id="0">
    <w:p w:rsidR="00881F94" w:rsidRDefault="00881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F94" w:rsidRDefault="00881F94">
      <w:r>
        <w:separator/>
      </w:r>
    </w:p>
  </w:footnote>
  <w:footnote w:type="continuationSeparator" w:id="0">
    <w:p w:rsidR="00881F94" w:rsidRDefault="00881F94">
      <w:r>
        <w:continuationSeparator/>
      </w:r>
    </w:p>
  </w:footnote>
  <w:footnote w:id="1">
    <w:p w:rsidR="00EF154C" w:rsidRPr="00D5636C" w:rsidRDefault="00EF154C" w:rsidP="00EF154C">
      <w:pPr>
        <w:pStyle w:val="FootnoteText"/>
        <w:rPr>
          <w:lang w:val="fr-CH"/>
        </w:rPr>
      </w:pPr>
      <w:r w:rsidRPr="00D5636C">
        <w:rPr>
          <w:rStyle w:val="FootnoteReference"/>
        </w:rPr>
        <w:sym w:font="Symbol" w:char="F02A"/>
      </w:r>
      <w:r>
        <w:t xml:space="preserve"> </w:t>
      </w:r>
      <w:r>
        <w:rPr>
          <w:lang w:val="fr-CH"/>
        </w:rPr>
        <w:tab/>
        <w:t>La Commission d'études 5 des radiocommunications a apporté des modifications rédactionnelles à cette Recommandation en 2009 conformément aux dispositions de la Résolution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F94" w:rsidRDefault="00881F9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F94" w:rsidRDefault="00881F94" w:rsidP="00881F94">
    <w:pPr>
      <w:pStyle w:val="Header"/>
      <w:ind w:right="360" w:firstLine="360"/>
    </w:pPr>
    <w:r>
      <w:rPr>
        <w:noProof/>
        <w:lang w:val="en-US"/>
      </w:rPr>
      <w:drawing>
        <wp:anchor distT="0" distB="0" distL="114300" distR="114300" simplePos="0" relativeHeight="251659264" behindDoc="1" locked="0" layoutInCell="1" allowOverlap="1" wp14:anchorId="0AB17FC2" wp14:editId="567EE8B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F94" w:rsidRPr="00837CB5" w:rsidRDefault="00881F9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5414A">
      <w:rPr>
        <w:rStyle w:val="PageNumber"/>
        <w:b/>
        <w:bCs/>
        <w:noProof/>
      </w:rPr>
      <w:t>ii</w:t>
    </w:r>
    <w:r>
      <w:rPr>
        <w:rStyle w:val="PageNumber"/>
        <w:b/>
        <w:bCs/>
      </w:rPr>
      <w:fldChar w:fldCharType="end"/>
    </w:r>
    <w:r w:rsidRPr="00837CB5">
      <w:tab/>
    </w:r>
    <w:fldSimple w:instr=" DOCPROPERTY &quot;Header&quot; \* MERGEFORMAT ">
      <w:r>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5414A">
      <w:rPr>
        <w:b/>
        <w:bCs/>
        <w:noProof/>
      </w:rPr>
      <w:t>UIT-R  F.635-7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F94" w:rsidRDefault="00881F94">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F.xxxx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5414A">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81F94" w:rsidRPr="00881F9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5414A">
      <w:rPr>
        <w:b/>
        <w:bCs/>
        <w:noProof/>
      </w:rPr>
      <w:t>UIT-R  F.635-7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881F94" w:rsidRPr="00881F9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5414A">
      <w:rPr>
        <w:b/>
        <w:bCs/>
        <w:noProof/>
      </w:rPr>
      <w:t>UIT-R  F.635-7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5414A">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94"/>
    <w:rsid w:val="00016A51"/>
    <w:rsid w:val="00217EBF"/>
    <w:rsid w:val="002324ED"/>
    <w:rsid w:val="00242AEE"/>
    <w:rsid w:val="002507A2"/>
    <w:rsid w:val="002631CD"/>
    <w:rsid w:val="002D76C4"/>
    <w:rsid w:val="00372924"/>
    <w:rsid w:val="003C7CBD"/>
    <w:rsid w:val="004F5588"/>
    <w:rsid w:val="0052529D"/>
    <w:rsid w:val="00607D68"/>
    <w:rsid w:val="007468DA"/>
    <w:rsid w:val="0075414A"/>
    <w:rsid w:val="00846FE3"/>
    <w:rsid w:val="008668D9"/>
    <w:rsid w:val="00881560"/>
    <w:rsid w:val="00881F94"/>
    <w:rsid w:val="008C0F56"/>
    <w:rsid w:val="009E00A8"/>
    <w:rsid w:val="00A6617B"/>
    <w:rsid w:val="00AB0DC8"/>
    <w:rsid w:val="00B44E24"/>
    <w:rsid w:val="00C94D81"/>
    <w:rsid w:val="00DF4176"/>
    <w:rsid w:val="00EF15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5:docId w15:val="{F7CC3BF8-E496-4D5F-8EE0-1E370842C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F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881F94"/>
    <w:rPr>
      <w:b/>
      <w:sz w:val="24"/>
      <w:lang w:val="fr-FR" w:eastAsia="en-US"/>
    </w:rPr>
  </w:style>
  <w:style w:type="character" w:customStyle="1" w:styleId="HeaderChar">
    <w:name w:val="Header Char"/>
    <w:basedOn w:val="DefaultParagraphFont"/>
    <w:link w:val="Header"/>
    <w:rsid w:val="00881F94"/>
    <w:rPr>
      <w:sz w:val="24"/>
      <w:lang w:val="fr-FR" w:eastAsia="en-US"/>
    </w:rPr>
  </w:style>
  <w:style w:type="character" w:styleId="Hyperlink">
    <w:name w:val="Hyperlink"/>
    <w:basedOn w:val="DefaultParagraphFont"/>
    <w:rsid w:val="00881F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oleObject" Target="embeddings/oleObject10.bin"/><Relationship Id="rId3" Type="http://schemas.openxmlformats.org/officeDocument/2006/relationships/webSettings" Target="webSettings.xml"/><Relationship Id="rId21" Type="http://schemas.openxmlformats.org/officeDocument/2006/relationships/oleObject" Target="embeddings/oleObject7.bin"/><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oleObject" Target="embeddings/oleObject9.bin"/><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oleObject" Target="embeddings/oleObject12.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8.bin"/><Relationship Id="rId28" Type="http://schemas.openxmlformats.org/officeDocument/2006/relationships/image" Target="media/image7.emf"/><Relationship Id="rId10" Type="http://schemas.openxmlformats.org/officeDocument/2006/relationships/header" Target="header3.xml"/><Relationship Id="rId19" Type="http://schemas.openxmlformats.org/officeDocument/2006/relationships/oleObject" Target="embeddings/oleObject5.bin"/><Relationship Id="rId31"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image" Target="media/image5.emf"/><Relationship Id="rId27" Type="http://schemas.openxmlformats.org/officeDocument/2006/relationships/oleObject" Target="embeddings/oleObject11.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79</TotalTime>
  <Pages>11</Pages>
  <Words>2147</Words>
  <Characters>11530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12</cp:revision>
  <cp:lastPrinted>2005-02-10T15:54:00Z</cp:lastPrinted>
  <dcterms:created xsi:type="dcterms:W3CDTF">2014-05-27T13:31:00Z</dcterms:created>
  <dcterms:modified xsi:type="dcterms:W3CDTF">2014-05-28T05:42:00Z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