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C41" w:rsidRPr="005B3EAF" w:rsidRDefault="00384C41">
      <w:pPr>
        <w:pStyle w:val="Rec"/>
        <w:spacing w:before="0"/>
        <w:rPr>
          <w:lang w:val="es-ES_tradnl"/>
        </w:rPr>
      </w:pPr>
      <w:r w:rsidRPr="005B3EAF">
        <w:rPr>
          <w:lang w:val="es-ES_tradnl"/>
        </w:rPr>
        <w:t>RECOMENDACIÓN  UIT-R  F.594-4</w:t>
      </w:r>
      <w:r w:rsidR="005B3EAF" w:rsidRPr="005B3EAF">
        <w:rPr>
          <w:rStyle w:val="FootnoteReference"/>
          <w:lang w:val="es-ES_tradnl"/>
        </w:rPr>
        <w:footnoteReference w:customMarkFollows="1" w:id="1"/>
        <w:t>*</w:t>
      </w:r>
    </w:p>
    <w:p w:rsidR="00384C41" w:rsidRPr="005B3EAF" w:rsidRDefault="00384C41">
      <w:pPr>
        <w:pStyle w:val="RecTitle"/>
        <w:rPr>
          <w:lang w:val="es-ES_tradnl"/>
        </w:rPr>
      </w:pPr>
      <w:r w:rsidRPr="005B3EAF">
        <w:rPr>
          <w:lang w:val="es-ES_tradnl"/>
        </w:rPr>
        <w:t xml:space="preserve">OBJETIVOS  DE  CARACTERÍSTICA  DE  ERROR  DEL  TRAYECTO  DIGITAL  </w:t>
      </w:r>
      <w:r w:rsidRPr="005B3EAF">
        <w:rPr>
          <w:lang w:val="es-ES_tradnl"/>
        </w:rPr>
        <w:br/>
        <w:t xml:space="preserve">FICTICIO  DE  REFERENCIA  PARA  SISTEMAS  DE  RADIOENLACES  QUE  PROPORCIONAN  CONEXIONES  A  UNA  VELOCIDAD  BINARIA  INFERIOR  A  LA  VELOCIDAD  PRIMARIA  </w:t>
      </w:r>
      <w:r w:rsidRPr="005B3EAF">
        <w:rPr>
          <w:lang w:val="es-ES_tradnl"/>
        </w:rPr>
        <w:br/>
        <w:t xml:space="preserve">Y  QUE  FORMA  PARTE  O  CONSTITUYE  TODO  EL  TRAMO  DE  GRADO  ALTO  </w:t>
      </w:r>
      <w:r w:rsidRPr="005B3EAF">
        <w:rPr>
          <w:lang w:val="es-ES_tradnl"/>
        </w:rPr>
        <w:br/>
        <w:t>DE  UNA  RED  DIGITAL  DE  SERVICIOS  INTEGRADOS</w:t>
      </w:r>
    </w:p>
    <w:p w:rsidR="00384C41" w:rsidRPr="005B3EAF" w:rsidRDefault="00384C41">
      <w:pPr>
        <w:pStyle w:val="RecTitleRef"/>
        <w:rPr>
          <w:lang w:val="es-ES_tradnl"/>
        </w:rPr>
      </w:pPr>
      <w:r w:rsidRPr="005B3EAF">
        <w:rPr>
          <w:lang w:val="es-ES_tradnl"/>
        </w:rPr>
        <w:t>(Cuestión UIT-R 134/9)</w:t>
      </w:r>
    </w:p>
    <w:p w:rsidR="00384C41" w:rsidRPr="005B3EAF" w:rsidRDefault="00384C41">
      <w:pPr>
        <w:pStyle w:val="RecTitleDate"/>
        <w:rPr>
          <w:lang w:val="es-ES_tradnl"/>
        </w:rPr>
      </w:pPr>
      <w:r w:rsidRPr="005B3EAF">
        <w:rPr>
          <w:lang w:val="es-ES_tradnl"/>
        </w:rPr>
        <w:t>(1982-1986-1990-1991-1997)</w:t>
      </w:r>
    </w:p>
    <w:p w:rsidR="00384C41" w:rsidRPr="005B3EAF" w:rsidRDefault="00384C41">
      <w:pPr>
        <w:pStyle w:val="headfoot"/>
        <w:rPr>
          <w:lang w:val="es-ES_tradnl"/>
        </w:rPr>
      </w:pPr>
      <w:r w:rsidRPr="005B3EAF">
        <w:rPr>
          <w:color w:val="FFFFFF"/>
          <w:lang w:val="es-ES_tradnl"/>
        </w:rPr>
        <w:t>Rec. UIT-R F.594-4</w:t>
      </w:r>
    </w:p>
    <w:p w:rsidR="005B3EAF" w:rsidRPr="005B3EAF" w:rsidRDefault="005B3EAF" w:rsidP="005B3EAF">
      <w:pPr>
        <w:pStyle w:val="heading"/>
        <w:rPr>
          <w:sz w:val="20"/>
          <w:szCs w:val="20"/>
          <w:lang w:val="es-ES"/>
        </w:rPr>
      </w:pPr>
      <w:r w:rsidRPr="005B3EAF">
        <w:rPr>
          <w:sz w:val="20"/>
          <w:szCs w:val="20"/>
          <w:lang w:val="es-ES"/>
        </w:rPr>
        <w:t>Alcance</w:t>
      </w:r>
    </w:p>
    <w:p w:rsidR="005B3EAF" w:rsidRPr="00E30855" w:rsidRDefault="005B3EAF" w:rsidP="005B3EAF">
      <w:pPr>
        <w:rPr>
          <w:lang w:val="es-ES"/>
        </w:rPr>
      </w:pPr>
      <w:r w:rsidRPr="00E30855">
        <w:rPr>
          <w:lang w:val="es-ES"/>
        </w:rPr>
        <w:t xml:space="preserve">En esta Recomendación se facilitan </w:t>
      </w:r>
      <w:r>
        <w:rPr>
          <w:lang w:val="es-ES"/>
        </w:rPr>
        <w:t xml:space="preserve">los </w:t>
      </w:r>
      <w:r w:rsidRPr="005F4C2E">
        <w:rPr>
          <w:lang w:val="es-ES"/>
        </w:rPr>
        <w:t>objetivos</w:t>
      </w:r>
      <w:r>
        <w:rPr>
          <w:lang w:val="es-ES"/>
        </w:rPr>
        <w:t xml:space="preserve"> </w:t>
      </w:r>
      <w:r w:rsidRPr="005F4C2E">
        <w:rPr>
          <w:lang w:val="es-ES"/>
        </w:rPr>
        <w:t>de</w:t>
      </w:r>
      <w:r>
        <w:rPr>
          <w:lang w:val="es-ES"/>
        </w:rPr>
        <w:t xml:space="preserve"> </w:t>
      </w:r>
      <w:r w:rsidRPr="005F4C2E">
        <w:rPr>
          <w:lang w:val="es-ES"/>
        </w:rPr>
        <w:t>característica</w:t>
      </w:r>
      <w:r>
        <w:rPr>
          <w:lang w:val="es-ES"/>
        </w:rPr>
        <w:t xml:space="preserve"> </w:t>
      </w:r>
      <w:r w:rsidRPr="005F4C2E">
        <w:rPr>
          <w:lang w:val="es-ES"/>
        </w:rPr>
        <w:t>de</w:t>
      </w:r>
      <w:r>
        <w:rPr>
          <w:lang w:val="es-ES"/>
        </w:rPr>
        <w:t xml:space="preserve"> </w:t>
      </w:r>
      <w:r w:rsidRPr="005F4C2E">
        <w:rPr>
          <w:lang w:val="es-ES"/>
        </w:rPr>
        <w:t>error</w:t>
      </w:r>
      <w:r>
        <w:rPr>
          <w:lang w:val="es-ES"/>
        </w:rPr>
        <w:t xml:space="preserve"> </w:t>
      </w:r>
      <w:r w:rsidRPr="005F4C2E">
        <w:rPr>
          <w:lang w:val="es-ES"/>
        </w:rPr>
        <w:t>del</w:t>
      </w:r>
      <w:r>
        <w:rPr>
          <w:lang w:val="es-ES"/>
        </w:rPr>
        <w:t xml:space="preserve"> </w:t>
      </w:r>
      <w:r w:rsidRPr="005F4C2E">
        <w:rPr>
          <w:lang w:val="es-ES"/>
        </w:rPr>
        <w:t>trayecto</w:t>
      </w:r>
      <w:r>
        <w:rPr>
          <w:lang w:val="es-ES"/>
        </w:rPr>
        <w:t xml:space="preserve"> </w:t>
      </w:r>
      <w:r w:rsidRPr="005F4C2E">
        <w:rPr>
          <w:lang w:val="es-ES"/>
        </w:rPr>
        <w:t>digital</w:t>
      </w:r>
      <w:r>
        <w:rPr>
          <w:lang w:val="es-ES"/>
        </w:rPr>
        <w:t xml:space="preserve"> </w:t>
      </w:r>
      <w:r w:rsidRPr="005F4C2E">
        <w:rPr>
          <w:lang w:val="es-ES"/>
        </w:rPr>
        <w:t>ficticio</w:t>
      </w:r>
      <w:r>
        <w:rPr>
          <w:lang w:val="es-ES"/>
        </w:rPr>
        <w:t xml:space="preserve"> </w:t>
      </w:r>
      <w:r w:rsidRPr="005F4C2E">
        <w:rPr>
          <w:lang w:val="es-ES"/>
        </w:rPr>
        <w:t>de</w:t>
      </w:r>
      <w:r>
        <w:rPr>
          <w:lang w:val="es-ES"/>
        </w:rPr>
        <w:t xml:space="preserve"> </w:t>
      </w:r>
      <w:r w:rsidRPr="005F4C2E">
        <w:rPr>
          <w:lang w:val="es-ES"/>
        </w:rPr>
        <w:t>referencia</w:t>
      </w:r>
      <w:r>
        <w:rPr>
          <w:lang w:val="es-ES"/>
        </w:rPr>
        <w:t xml:space="preserve"> </w:t>
      </w:r>
      <w:r w:rsidRPr="005F4C2E">
        <w:rPr>
          <w:lang w:val="es-ES"/>
        </w:rPr>
        <w:t>para</w:t>
      </w:r>
      <w:r>
        <w:rPr>
          <w:lang w:val="es-ES"/>
        </w:rPr>
        <w:t xml:space="preserve"> </w:t>
      </w:r>
      <w:r w:rsidRPr="005F4C2E">
        <w:rPr>
          <w:lang w:val="es-ES"/>
        </w:rPr>
        <w:t>sistemas</w:t>
      </w:r>
      <w:r>
        <w:rPr>
          <w:lang w:val="es-ES"/>
        </w:rPr>
        <w:t xml:space="preserve"> </w:t>
      </w:r>
      <w:r w:rsidRPr="005F4C2E">
        <w:rPr>
          <w:lang w:val="es-ES"/>
        </w:rPr>
        <w:t>de</w:t>
      </w:r>
      <w:r>
        <w:rPr>
          <w:lang w:val="es-ES"/>
        </w:rPr>
        <w:t xml:space="preserve"> </w:t>
      </w:r>
      <w:r w:rsidRPr="005F4C2E">
        <w:rPr>
          <w:lang w:val="es-ES"/>
        </w:rPr>
        <w:t>radioenlaces</w:t>
      </w:r>
      <w:r>
        <w:rPr>
          <w:lang w:val="es-ES"/>
        </w:rPr>
        <w:t xml:space="preserve"> </w:t>
      </w:r>
      <w:r w:rsidRPr="005F4C2E">
        <w:rPr>
          <w:lang w:val="es-ES"/>
        </w:rPr>
        <w:t>que</w:t>
      </w:r>
      <w:r>
        <w:rPr>
          <w:lang w:val="es-ES"/>
        </w:rPr>
        <w:t xml:space="preserve"> </w:t>
      </w:r>
      <w:r w:rsidRPr="005F4C2E">
        <w:rPr>
          <w:lang w:val="es-ES"/>
        </w:rPr>
        <w:t>proporcionan</w:t>
      </w:r>
      <w:r>
        <w:rPr>
          <w:lang w:val="es-ES"/>
        </w:rPr>
        <w:t xml:space="preserve"> </w:t>
      </w:r>
      <w:r w:rsidRPr="005F4C2E">
        <w:rPr>
          <w:lang w:val="es-ES"/>
        </w:rPr>
        <w:t>conexiones</w:t>
      </w:r>
      <w:r>
        <w:rPr>
          <w:lang w:val="es-ES"/>
        </w:rPr>
        <w:t xml:space="preserve"> </w:t>
      </w:r>
      <w:r w:rsidRPr="005F4C2E">
        <w:rPr>
          <w:lang w:val="es-ES"/>
        </w:rPr>
        <w:t>a</w:t>
      </w:r>
      <w:r>
        <w:rPr>
          <w:lang w:val="es-ES"/>
        </w:rPr>
        <w:t xml:space="preserve"> </w:t>
      </w:r>
      <w:r w:rsidRPr="005F4C2E">
        <w:rPr>
          <w:lang w:val="es-ES"/>
        </w:rPr>
        <w:t>una</w:t>
      </w:r>
      <w:r>
        <w:rPr>
          <w:lang w:val="es-ES"/>
        </w:rPr>
        <w:t xml:space="preserve"> </w:t>
      </w:r>
      <w:r w:rsidRPr="005F4C2E">
        <w:rPr>
          <w:lang w:val="es-ES"/>
        </w:rPr>
        <w:t>velocidad</w:t>
      </w:r>
      <w:r>
        <w:rPr>
          <w:lang w:val="es-ES"/>
        </w:rPr>
        <w:t xml:space="preserve"> </w:t>
      </w:r>
      <w:r w:rsidRPr="005F4C2E">
        <w:rPr>
          <w:lang w:val="es-ES"/>
        </w:rPr>
        <w:t>binaria</w:t>
      </w:r>
      <w:r>
        <w:rPr>
          <w:lang w:val="es-ES"/>
        </w:rPr>
        <w:t xml:space="preserve"> </w:t>
      </w:r>
      <w:r w:rsidRPr="005F4C2E">
        <w:rPr>
          <w:lang w:val="es-ES"/>
        </w:rPr>
        <w:t>inferior</w:t>
      </w:r>
      <w:r>
        <w:rPr>
          <w:lang w:val="es-ES"/>
        </w:rPr>
        <w:t xml:space="preserve"> </w:t>
      </w:r>
      <w:r w:rsidRPr="005F4C2E">
        <w:rPr>
          <w:lang w:val="es-ES"/>
        </w:rPr>
        <w:t>a</w:t>
      </w:r>
      <w:r>
        <w:rPr>
          <w:lang w:val="es-ES"/>
        </w:rPr>
        <w:t xml:space="preserve"> </w:t>
      </w:r>
      <w:r w:rsidRPr="005F4C2E">
        <w:rPr>
          <w:lang w:val="es-ES"/>
        </w:rPr>
        <w:t>la</w:t>
      </w:r>
      <w:r>
        <w:rPr>
          <w:lang w:val="es-ES"/>
        </w:rPr>
        <w:t xml:space="preserve"> </w:t>
      </w:r>
      <w:r w:rsidRPr="005F4C2E">
        <w:rPr>
          <w:lang w:val="es-ES"/>
        </w:rPr>
        <w:t>velocidad</w:t>
      </w:r>
      <w:r>
        <w:rPr>
          <w:lang w:val="es-ES"/>
        </w:rPr>
        <w:t xml:space="preserve"> </w:t>
      </w:r>
      <w:r w:rsidRPr="005F4C2E">
        <w:rPr>
          <w:lang w:val="es-ES"/>
        </w:rPr>
        <w:t>primaria</w:t>
      </w:r>
      <w:r>
        <w:rPr>
          <w:lang w:val="es-ES"/>
        </w:rPr>
        <w:t xml:space="preserve"> </w:t>
      </w:r>
      <w:r w:rsidRPr="005F4C2E">
        <w:rPr>
          <w:lang w:val="es-ES"/>
        </w:rPr>
        <w:t>y</w:t>
      </w:r>
      <w:r>
        <w:rPr>
          <w:lang w:val="es-ES"/>
        </w:rPr>
        <w:t xml:space="preserve"> </w:t>
      </w:r>
      <w:r w:rsidRPr="005F4C2E">
        <w:rPr>
          <w:lang w:val="es-ES"/>
        </w:rPr>
        <w:t>que</w:t>
      </w:r>
      <w:r>
        <w:rPr>
          <w:lang w:val="es-ES"/>
        </w:rPr>
        <w:t xml:space="preserve"> </w:t>
      </w:r>
      <w:r w:rsidRPr="005F4C2E">
        <w:rPr>
          <w:lang w:val="es-ES"/>
        </w:rPr>
        <w:t>forma</w:t>
      </w:r>
      <w:r>
        <w:rPr>
          <w:lang w:val="es-ES"/>
        </w:rPr>
        <w:t xml:space="preserve"> </w:t>
      </w:r>
      <w:r w:rsidRPr="005F4C2E">
        <w:rPr>
          <w:lang w:val="es-ES"/>
        </w:rPr>
        <w:t>parte</w:t>
      </w:r>
      <w:r>
        <w:rPr>
          <w:lang w:val="es-ES"/>
        </w:rPr>
        <w:t xml:space="preserve"> </w:t>
      </w:r>
      <w:r w:rsidRPr="005F4C2E">
        <w:rPr>
          <w:lang w:val="es-ES"/>
        </w:rPr>
        <w:t>o</w:t>
      </w:r>
      <w:r>
        <w:rPr>
          <w:lang w:val="es-ES"/>
        </w:rPr>
        <w:t xml:space="preserve"> </w:t>
      </w:r>
      <w:r w:rsidRPr="005F4C2E">
        <w:rPr>
          <w:lang w:val="es-ES"/>
        </w:rPr>
        <w:t>constituye</w:t>
      </w:r>
      <w:r>
        <w:rPr>
          <w:lang w:val="es-ES"/>
        </w:rPr>
        <w:t xml:space="preserve"> </w:t>
      </w:r>
      <w:r w:rsidRPr="005F4C2E">
        <w:rPr>
          <w:lang w:val="es-ES"/>
        </w:rPr>
        <w:t>todo</w:t>
      </w:r>
      <w:r>
        <w:rPr>
          <w:lang w:val="es-ES"/>
        </w:rPr>
        <w:t xml:space="preserve"> </w:t>
      </w:r>
      <w:r w:rsidRPr="005F4C2E">
        <w:rPr>
          <w:lang w:val="es-ES"/>
        </w:rPr>
        <w:t>el</w:t>
      </w:r>
      <w:r>
        <w:rPr>
          <w:lang w:val="es-ES"/>
        </w:rPr>
        <w:t xml:space="preserve"> </w:t>
      </w:r>
      <w:r w:rsidRPr="005F4C2E">
        <w:rPr>
          <w:lang w:val="es-ES"/>
        </w:rPr>
        <w:t>tramo</w:t>
      </w:r>
      <w:r>
        <w:rPr>
          <w:lang w:val="es-ES"/>
        </w:rPr>
        <w:t xml:space="preserve"> </w:t>
      </w:r>
      <w:r w:rsidRPr="005F4C2E">
        <w:rPr>
          <w:lang w:val="es-ES"/>
        </w:rPr>
        <w:t>de</w:t>
      </w:r>
      <w:r>
        <w:rPr>
          <w:lang w:val="es-ES"/>
        </w:rPr>
        <w:t xml:space="preserve"> </w:t>
      </w:r>
      <w:r w:rsidRPr="005F4C2E">
        <w:rPr>
          <w:lang w:val="es-ES"/>
        </w:rPr>
        <w:t>grado</w:t>
      </w:r>
      <w:r>
        <w:rPr>
          <w:lang w:val="es-ES"/>
        </w:rPr>
        <w:t xml:space="preserve"> </w:t>
      </w:r>
      <w:r w:rsidRPr="005F4C2E">
        <w:rPr>
          <w:lang w:val="es-ES"/>
        </w:rPr>
        <w:t>alto</w:t>
      </w:r>
      <w:r>
        <w:rPr>
          <w:lang w:val="es-ES"/>
        </w:rPr>
        <w:t xml:space="preserve"> </w:t>
      </w:r>
      <w:r w:rsidRPr="005F4C2E">
        <w:rPr>
          <w:lang w:val="es-ES"/>
        </w:rPr>
        <w:t>de</w:t>
      </w:r>
      <w:r>
        <w:rPr>
          <w:lang w:val="es-ES"/>
        </w:rPr>
        <w:t xml:space="preserve"> </w:t>
      </w:r>
      <w:r w:rsidRPr="005F4C2E">
        <w:rPr>
          <w:lang w:val="es-ES"/>
        </w:rPr>
        <w:t>una</w:t>
      </w:r>
      <w:r>
        <w:rPr>
          <w:lang w:val="es-ES"/>
        </w:rPr>
        <w:t xml:space="preserve"> </w:t>
      </w:r>
      <w:r w:rsidRPr="005F4C2E">
        <w:rPr>
          <w:lang w:val="es-ES"/>
        </w:rPr>
        <w:t>red</w:t>
      </w:r>
      <w:r>
        <w:rPr>
          <w:lang w:val="es-ES"/>
        </w:rPr>
        <w:t xml:space="preserve"> </w:t>
      </w:r>
      <w:r w:rsidRPr="005F4C2E">
        <w:rPr>
          <w:lang w:val="es-ES"/>
        </w:rPr>
        <w:t>digital</w:t>
      </w:r>
      <w:r>
        <w:rPr>
          <w:lang w:val="es-ES"/>
        </w:rPr>
        <w:t xml:space="preserve"> </w:t>
      </w:r>
      <w:r w:rsidRPr="005F4C2E">
        <w:rPr>
          <w:lang w:val="es-ES"/>
        </w:rPr>
        <w:t>de</w:t>
      </w:r>
      <w:r>
        <w:rPr>
          <w:lang w:val="es-ES"/>
        </w:rPr>
        <w:t xml:space="preserve"> </w:t>
      </w:r>
      <w:r w:rsidRPr="005F4C2E">
        <w:rPr>
          <w:lang w:val="es-ES"/>
        </w:rPr>
        <w:t>servicios</w:t>
      </w:r>
      <w:r>
        <w:rPr>
          <w:lang w:val="es-ES"/>
        </w:rPr>
        <w:t xml:space="preserve"> </w:t>
      </w:r>
      <w:r w:rsidRPr="005F4C2E">
        <w:rPr>
          <w:lang w:val="es-ES"/>
        </w:rPr>
        <w:t>integrados</w:t>
      </w:r>
      <w:r>
        <w:rPr>
          <w:lang w:val="es-ES"/>
        </w:rPr>
        <w:t xml:space="preserve">. En esta Recomendación también se proporciona orientación sobre los factores que determinan los requisitos de calidad de funcionamiento para los sistemas de radioenlace digital utilizados en el </w:t>
      </w:r>
      <w:r w:rsidRPr="00682F8D">
        <w:rPr>
          <w:lang w:val="es-ES"/>
        </w:rPr>
        <w:t>TDFR</w:t>
      </w:r>
      <w:r>
        <w:rPr>
          <w:lang w:val="es-ES"/>
        </w:rPr>
        <w:t>.</w:t>
      </w:r>
      <w:r w:rsidRPr="00E30855">
        <w:rPr>
          <w:lang w:val="es-ES"/>
        </w:rPr>
        <w:t xml:space="preserve"> </w:t>
      </w:r>
    </w:p>
    <w:p w:rsidR="005B3EAF" w:rsidRDefault="005B3EAF" w:rsidP="005B3EAF">
      <w:pPr>
        <w:rPr>
          <w:lang w:val="es-ES_tradnl"/>
        </w:rPr>
      </w:pPr>
      <w:r>
        <w:rPr>
          <w:lang w:val="es-ES"/>
        </w:rPr>
        <w:t xml:space="preserve">También debe señalarse que esta Recomendación sólo podía utilizarse para sistemas concebidos antes de la aprobación de la Recomendación UIT-R </w:t>
      </w:r>
      <w:r w:rsidRPr="00E30855">
        <w:rPr>
          <w:lang w:val="es-ES"/>
        </w:rPr>
        <w:t>F.1668</w:t>
      </w:r>
      <w:r w:rsidRPr="00E30855">
        <w:rPr>
          <w:lang w:val="es-ES" w:eastAsia="ja-JP"/>
        </w:rPr>
        <w:t xml:space="preserve"> </w:t>
      </w:r>
      <w:r>
        <w:rPr>
          <w:lang w:val="es-ES" w:eastAsia="ja-JP"/>
        </w:rPr>
        <w:t>en</w:t>
      </w:r>
      <w:r w:rsidRPr="00E30855">
        <w:rPr>
          <w:lang w:val="es-ES" w:eastAsia="ja-JP"/>
        </w:rPr>
        <w:t xml:space="preserve"> 2004</w:t>
      </w:r>
      <w:r w:rsidRPr="00E30855">
        <w:rPr>
          <w:lang w:val="es-ES"/>
        </w:rPr>
        <w:t>.</w:t>
      </w:r>
    </w:p>
    <w:p w:rsidR="00384C41" w:rsidRPr="005B3EAF" w:rsidRDefault="00384C41">
      <w:pPr>
        <w:pStyle w:val="Normalaftertitle"/>
        <w:rPr>
          <w:lang w:val="es-ES_tradnl"/>
        </w:rPr>
      </w:pPr>
      <w:r w:rsidRPr="005B3EAF">
        <w:rPr>
          <w:lang w:val="es-ES_tradnl"/>
        </w:rPr>
        <w:t>La Asamblea de Radiocomunicaciones de la UIT,</w:t>
      </w:r>
    </w:p>
    <w:p w:rsidR="00384C41" w:rsidRPr="005B3EAF" w:rsidRDefault="00384C41">
      <w:pPr>
        <w:pStyle w:val="call"/>
        <w:rPr>
          <w:lang w:val="es-ES_tradnl"/>
        </w:rPr>
      </w:pPr>
      <w:r w:rsidRPr="005B3EAF">
        <w:rPr>
          <w:lang w:val="es-ES_tradnl"/>
        </w:rPr>
        <w:t>considerando</w:t>
      </w:r>
    </w:p>
    <w:p w:rsidR="00384C41" w:rsidRPr="005B3EAF" w:rsidRDefault="00384C41">
      <w:pPr>
        <w:rPr>
          <w:lang w:val="es-ES_tradnl"/>
        </w:rPr>
      </w:pPr>
      <w:r w:rsidRPr="005B3EAF">
        <w:rPr>
          <w:lang w:val="es-ES_tradnl"/>
        </w:rPr>
        <w:t>a)</w:t>
      </w:r>
      <w:r w:rsidRPr="005B3EAF">
        <w:rPr>
          <w:lang w:val="es-ES_tradnl"/>
        </w:rPr>
        <w:tab/>
        <w:t>que debieran definirse los objetivos de característica de error de los sistemas de radioenlaces digitales;</w:t>
      </w:r>
    </w:p>
    <w:p w:rsidR="00384C41" w:rsidRPr="005B3EAF" w:rsidRDefault="00384C41">
      <w:pPr>
        <w:rPr>
          <w:lang w:val="es-ES_tradnl"/>
        </w:rPr>
      </w:pPr>
      <w:r w:rsidRPr="005B3EAF">
        <w:rPr>
          <w:lang w:val="es-ES_tradnl"/>
        </w:rPr>
        <w:t>b)</w:t>
      </w:r>
      <w:r w:rsidRPr="005B3EAF">
        <w:rPr>
          <w:lang w:val="es-ES_tradnl"/>
        </w:rPr>
        <w:tab/>
        <w:t>que es necesario definir la característica de error admisible del trayecto digital ficticio de referencia (TDFR) para el diseño y la construcción de sistemas de radioenlaces;</w:t>
      </w:r>
    </w:p>
    <w:p w:rsidR="00384C41" w:rsidRPr="005B3EAF" w:rsidRDefault="00384C41">
      <w:pPr>
        <w:rPr>
          <w:lang w:val="es-ES_tradnl"/>
        </w:rPr>
      </w:pPr>
      <w:r w:rsidRPr="005B3EAF">
        <w:rPr>
          <w:lang w:val="es-ES_tradnl"/>
        </w:rPr>
        <w:t>c)</w:t>
      </w:r>
      <w:r w:rsidRPr="005B3EAF">
        <w:rPr>
          <w:lang w:val="es-ES_tradnl"/>
        </w:rPr>
        <w:tab/>
        <w:t>que la propagación y otros efectos sugieren que la característica de error debería expresarse estadísticamente como una fracción de tiempo;</w:t>
      </w:r>
    </w:p>
    <w:p w:rsidR="00384C41" w:rsidRPr="005B3EAF" w:rsidRDefault="00384C41">
      <w:pPr>
        <w:rPr>
          <w:lang w:val="es-ES_tradnl"/>
        </w:rPr>
      </w:pPr>
      <w:r w:rsidRPr="005B3EAF">
        <w:rPr>
          <w:lang w:val="es-ES_tradnl"/>
        </w:rPr>
        <w:t>d)</w:t>
      </w:r>
      <w:r w:rsidRPr="005B3EAF">
        <w:rPr>
          <w:lang w:val="es-ES_tradnl"/>
        </w:rPr>
        <w:tab/>
        <w:t>que las mediciones de la BER requieren cierto tiempo que depende de la magnitud de dicha proporción;</w:t>
      </w:r>
    </w:p>
    <w:p w:rsidR="00384C41" w:rsidRPr="005B3EAF" w:rsidRDefault="00384C41">
      <w:pPr>
        <w:rPr>
          <w:lang w:val="es-ES_tradnl"/>
        </w:rPr>
      </w:pPr>
      <w:r w:rsidRPr="005B3EAF">
        <w:rPr>
          <w:lang w:val="es-ES_tradnl"/>
        </w:rPr>
        <w:t>e)</w:t>
      </w:r>
      <w:r w:rsidRPr="005B3EAF">
        <w:rPr>
          <w:lang w:val="es-ES_tradnl"/>
        </w:rPr>
        <w:tab/>
        <w:t>que puede ser necesario tener en cuenta el efecto de los fenómenos de ráfagas de errores y de fluctuaciones de fase;</w:t>
      </w:r>
    </w:p>
    <w:p w:rsidR="00384C41" w:rsidRPr="005B3EAF" w:rsidRDefault="00384C41">
      <w:pPr>
        <w:rPr>
          <w:lang w:val="es-ES_tradnl"/>
        </w:rPr>
      </w:pPr>
      <w:r w:rsidRPr="005B3EAF">
        <w:rPr>
          <w:lang w:val="es-ES_tradnl"/>
        </w:rPr>
        <w:t>f)</w:t>
      </w:r>
      <w:r w:rsidRPr="005B3EAF">
        <w:rPr>
          <w:lang w:val="es-ES_tradnl"/>
        </w:rPr>
        <w:tab/>
        <w:t>que en explotación normal pueden aparecer periodos de elevada proporción de bits erróneos que causen interrupciones breves, debidas principalmente a condiciones adversas de propagación (véase la Nota 8);</w:t>
      </w:r>
    </w:p>
    <w:p w:rsidR="00384C41" w:rsidRPr="005B3EAF" w:rsidRDefault="00384C41">
      <w:pPr>
        <w:rPr>
          <w:lang w:val="es-ES_tradnl"/>
        </w:rPr>
      </w:pPr>
      <w:r w:rsidRPr="005B3EAF">
        <w:rPr>
          <w:lang w:val="es-ES_tradnl"/>
        </w:rPr>
        <w:t>g)</w:t>
      </w:r>
      <w:r w:rsidRPr="005B3EAF">
        <w:rPr>
          <w:lang w:val="es-ES_tradnl"/>
        </w:rPr>
        <w:tab/>
        <w:t>que el UIT-T ha definido los objetivos de característica de error para una conexión digital internacional que funciona a una velocidad binaria inferior a la velocidad primaria y forma parte de una red digital de servicios integrados (RDSI) (véase la Recomendación UIT-T G.821);</w:t>
      </w:r>
    </w:p>
    <w:p w:rsidR="00384C41" w:rsidRPr="005B3EAF" w:rsidRDefault="00384C41">
      <w:pPr>
        <w:rPr>
          <w:lang w:val="es-ES_tradnl"/>
        </w:rPr>
      </w:pPr>
      <w:r w:rsidRPr="005B3EAF">
        <w:rPr>
          <w:lang w:val="es-ES_tradnl"/>
        </w:rPr>
        <w:t>h)</w:t>
      </w:r>
      <w:r w:rsidRPr="005B3EAF">
        <w:rPr>
          <w:lang w:val="es-ES_tradnl"/>
        </w:rPr>
        <w:tab/>
        <w:t>que en las Recomendaciones UIT-R F.1092 y UIT-R F.1189, basadas en la Recomendación UIT-T G.826, se dan objetivos de característica de error para un trayecto digital de velocidad binaria constante a una velocidad igual o superior a la velocidad primaria cursada por los sistemas de radioenlaces digitales que pueden formar parte de los tramos internacionales y nacionales, respectivamente, de un trayecto ficticio de referencia de 27</w:t>
      </w:r>
      <w:r w:rsidRPr="005B3EAF">
        <w:rPr>
          <w:sz w:val="12"/>
          <w:lang w:val="es-ES_tradnl"/>
        </w:rPr>
        <w:t> </w:t>
      </w:r>
      <w:r w:rsidRPr="005B3EAF">
        <w:rPr>
          <w:lang w:val="es-ES_tradnl"/>
        </w:rPr>
        <w:t>500 km;</w:t>
      </w:r>
    </w:p>
    <w:p w:rsidR="00384C41" w:rsidRPr="005B3EAF" w:rsidRDefault="00384C41">
      <w:pPr>
        <w:rPr>
          <w:lang w:val="es-ES_tradnl"/>
        </w:rPr>
      </w:pPr>
      <w:r w:rsidRPr="005B3EAF">
        <w:rPr>
          <w:lang w:val="es-ES_tradnl"/>
        </w:rPr>
        <w:t>j)</w:t>
      </w:r>
      <w:r w:rsidRPr="005B3EAF">
        <w:rPr>
          <w:lang w:val="es-ES_tradnl"/>
        </w:rPr>
        <w:tab/>
        <w:t>que el TDFR, definido en la Recomendación UIT-R F.556, corresponde al «grado alto de calidad» que se define en la Recomendación UIT-T G.821 y para el cual el UIT-T indica una regla de distribución de la asignación de degradación total,</w:t>
      </w:r>
    </w:p>
    <w:p w:rsidR="00384C41" w:rsidRPr="005B3EAF" w:rsidRDefault="00384C41">
      <w:pPr>
        <w:pStyle w:val="call"/>
        <w:rPr>
          <w:lang w:val="es-ES_tradnl"/>
        </w:rPr>
      </w:pPr>
      <w:r w:rsidRPr="005B3EAF">
        <w:rPr>
          <w:lang w:val="es-ES_tradnl"/>
        </w:rPr>
        <w:t>recomienda</w:t>
      </w:r>
    </w:p>
    <w:p w:rsidR="00384C41" w:rsidRPr="005B3EAF" w:rsidRDefault="00384C41">
      <w:pPr>
        <w:spacing w:line="0" w:lineRule="atLeast"/>
        <w:rPr>
          <w:lang w:val="es-ES_tradnl"/>
        </w:rPr>
      </w:pPr>
      <w:r w:rsidRPr="005B3EAF">
        <w:rPr>
          <w:b/>
          <w:lang w:val="es-ES_tradnl"/>
        </w:rPr>
        <w:t>1</w:t>
      </w:r>
      <w:r w:rsidRPr="005B3EAF">
        <w:rPr>
          <w:lang w:val="es-ES_tradnl"/>
        </w:rPr>
        <w:tab/>
        <w:t xml:space="preserve">que se especifiquen los objetivos de calidad que siguen, para cada dirección del TDFR a </w:t>
      </w:r>
      <w:r w:rsidRPr="005B3EAF">
        <w:rPr>
          <w:i/>
          <w:lang w:val="es-ES_tradnl"/>
        </w:rPr>
        <w:t>N</w:t>
      </w:r>
      <w:r w:rsidRPr="005B3EAF">
        <w:rPr>
          <w:lang w:val="es-ES_tradnl"/>
        </w:rPr>
        <w:t> </w:t>
      </w:r>
      <w:r>
        <w:rPr>
          <w:rFonts w:ascii="Symbol" w:hAnsi="Symbol"/>
        </w:rPr>
        <w:t></w:t>
      </w:r>
      <w:r w:rsidRPr="005B3EAF">
        <w:rPr>
          <w:lang w:val="es-ES_tradnl"/>
        </w:rPr>
        <w:t> 64 kbit/s (1 </w:t>
      </w:r>
      <w:r>
        <w:rPr>
          <w:rFonts w:ascii="Symbol" w:hAnsi="Symbol"/>
        </w:rPr>
        <w:t></w:t>
      </w:r>
      <w:r w:rsidRPr="005B3EAF">
        <w:rPr>
          <w:lang w:val="es-ES_tradnl"/>
        </w:rPr>
        <w:t> </w:t>
      </w:r>
      <w:r w:rsidRPr="005B3EAF">
        <w:rPr>
          <w:i/>
          <w:lang w:val="es-ES_tradnl"/>
        </w:rPr>
        <w:t>N</w:t>
      </w:r>
      <w:r w:rsidRPr="005B3EAF">
        <w:rPr>
          <w:lang w:val="es-ES_tradnl"/>
        </w:rPr>
        <w:t> </w:t>
      </w:r>
      <w:r>
        <w:rPr>
          <w:rFonts w:ascii="Symbol" w:hAnsi="Symbol"/>
        </w:rPr>
        <w:t></w:t>
      </w:r>
      <w:r w:rsidRPr="005B3EAF">
        <w:rPr>
          <w:lang w:val="es-ES_tradnl"/>
        </w:rPr>
        <w:t xml:space="preserve"> 24 (o </w:t>
      </w:r>
      <w:r>
        <w:rPr>
          <w:rFonts w:ascii="Symbol" w:hAnsi="Symbol"/>
        </w:rPr>
        <w:t></w:t>
      </w:r>
      <w:r w:rsidRPr="005B3EAF">
        <w:rPr>
          <w:lang w:val="es-ES_tradnl"/>
        </w:rPr>
        <w:t> 32 respectivamente)), definido en la Recomendación UIT-R F.556 (véase la Nota 1);</w:t>
      </w:r>
    </w:p>
    <w:p w:rsidR="00384C41" w:rsidRPr="005B3EAF" w:rsidRDefault="00384C41">
      <w:pPr>
        <w:spacing w:line="0" w:lineRule="atLeast"/>
        <w:rPr>
          <w:lang w:val="es-ES_tradnl"/>
        </w:rPr>
      </w:pPr>
      <w:r w:rsidRPr="005B3EAF">
        <w:rPr>
          <w:b/>
          <w:lang w:val="es-ES_tradnl"/>
        </w:rPr>
        <w:t>2</w:t>
      </w:r>
      <w:r w:rsidRPr="005B3EAF">
        <w:rPr>
          <w:lang w:val="es-ES_tradnl"/>
        </w:rPr>
        <w:tab/>
        <w:t>que, para los valores que se dan a continuación se tengan en cuenta los desvanecimientos, las interferencias y todas las demás fuentes de degradación de la calidad;</w:t>
      </w:r>
    </w:p>
    <w:p w:rsidR="00384C41" w:rsidRPr="005B3EAF" w:rsidRDefault="00384C41">
      <w:pPr>
        <w:rPr>
          <w:lang w:val="es-ES_tradnl"/>
        </w:rPr>
      </w:pPr>
      <w:r w:rsidRPr="005B3EAF">
        <w:rPr>
          <w:b/>
          <w:lang w:val="es-ES_tradnl"/>
        </w:rPr>
        <w:lastRenderedPageBreak/>
        <w:t>3</w:t>
      </w:r>
      <w:r w:rsidRPr="005B3EAF">
        <w:rPr>
          <w:b/>
          <w:lang w:val="es-ES_tradnl"/>
        </w:rPr>
        <w:tab/>
      </w:r>
      <w:r w:rsidRPr="005B3EAF">
        <w:rPr>
          <w:lang w:val="es-ES_tradnl"/>
        </w:rPr>
        <w:t>que la característica de error se evalúe en función de los eventos segundo con error (ES) y segundo con muchos errores (SES) y los parámetros proporción de segundos con errores (ESR) y proporción de segundos con muchos errores (SESR), como se indica en la Recomendación UIT-T G.821 (véase la Nota 2);</w:t>
      </w:r>
    </w:p>
    <w:p w:rsidR="00384C41" w:rsidRPr="005B3EAF" w:rsidRDefault="00384C41">
      <w:pPr>
        <w:rPr>
          <w:lang w:val="es-ES_tradnl"/>
        </w:rPr>
      </w:pPr>
      <w:r w:rsidRPr="005B3EAF">
        <w:rPr>
          <w:b/>
          <w:lang w:val="es-ES_tradnl"/>
        </w:rPr>
        <w:t>4</w:t>
      </w:r>
      <w:r w:rsidRPr="005B3EAF">
        <w:rPr>
          <w:lang w:val="es-ES_tradnl"/>
        </w:rPr>
        <w:tab/>
        <w:t>que la ESR no exceda de 0,0032 ningún mes;</w:t>
      </w:r>
    </w:p>
    <w:p w:rsidR="00384C41" w:rsidRPr="005B3EAF" w:rsidRDefault="00384C41">
      <w:pPr>
        <w:rPr>
          <w:lang w:val="es-ES_tradnl"/>
        </w:rPr>
      </w:pPr>
      <w:r w:rsidRPr="005B3EAF">
        <w:rPr>
          <w:b/>
          <w:lang w:val="es-ES_tradnl"/>
        </w:rPr>
        <w:t>5</w:t>
      </w:r>
      <w:r w:rsidRPr="005B3EAF">
        <w:rPr>
          <w:lang w:val="es-ES_tradnl"/>
        </w:rPr>
        <w:tab/>
        <w:t>que la SESR no exceda de 0,00054 ningún mes;</w:t>
      </w:r>
    </w:p>
    <w:p w:rsidR="00384C41" w:rsidRPr="005B3EAF" w:rsidRDefault="00384C41">
      <w:pPr>
        <w:rPr>
          <w:lang w:val="es-ES_tradnl"/>
        </w:rPr>
      </w:pPr>
      <w:r w:rsidRPr="005B3EAF">
        <w:rPr>
          <w:b/>
          <w:lang w:val="es-ES_tradnl"/>
        </w:rPr>
        <w:t>6</w:t>
      </w:r>
      <w:r w:rsidRPr="005B3EAF">
        <w:rPr>
          <w:lang w:val="es-ES_tradnl"/>
        </w:rPr>
        <w:tab/>
        <w:t>que se utilice el Anexo 1 como guía en relación con los factores que hay que tener en cuenta en la determinación de los requisitos de calidad de funcionamiento de los sistemas de radioenlaces aplicados al TDFR.</w:t>
      </w:r>
    </w:p>
    <w:p w:rsidR="00384C41" w:rsidRPr="005B3EAF" w:rsidRDefault="00384C41">
      <w:pPr>
        <w:pStyle w:val="Note"/>
        <w:rPr>
          <w:lang w:val="es-ES_tradnl"/>
        </w:rPr>
      </w:pPr>
      <w:r w:rsidRPr="005B3EAF">
        <w:rPr>
          <w:lang w:val="es-ES_tradnl"/>
        </w:rPr>
        <w:t>NOTA 1 – </w:t>
      </w:r>
      <w:r w:rsidRPr="005B3EAF">
        <w:rPr>
          <w:i/>
          <w:lang w:val="es-ES_tradnl"/>
        </w:rPr>
        <w:t>N</w:t>
      </w:r>
      <w:r w:rsidRPr="005B3EAF">
        <w:rPr>
          <w:lang w:val="es-ES_tradnl"/>
        </w:rPr>
        <w:t xml:space="preserve"> es inferior a 24 en la jerarquía basada en la velocidad de 1,544 Mbit/s e inferior a 32 en la jerarquía basada en la velocidad de 2,048 Mbit/s.</w:t>
      </w:r>
    </w:p>
    <w:p w:rsidR="00384C41" w:rsidRPr="005B3EAF" w:rsidRDefault="00384C41">
      <w:pPr>
        <w:pStyle w:val="Note"/>
        <w:rPr>
          <w:lang w:val="es-ES_tradnl"/>
        </w:rPr>
      </w:pPr>
      <w:r w:rsidRPr="005B3EAF">
        <w:rPr>
          <w:lang w:val="es-ES_tradnl"/>
        </w:rPr>
        <w:t>NOTA 2 – Los eventos y los parámetros de característica de error se definen en la Recomendación UIT-T G.821 de la siguiente manera:</w:t>
      </w:r>
    </w:p>
    <w:p w:rsidR="00384C41" w:rsidRPr="005B3EAF" w:rsidRDefault="00384C41">
      <w:pPr>
        <w:pStyle w:val="enumlev1"/>
        <w:tabs>
          <w:tab w:val="left" w:pos="1077"/>
        </w:tabs>
        <w:ind w:left="567" w:hanging="567"/>
        <w:rPr>
          <w:lang w:val="es-ES_tradnl"/>
        </w:rPr>
      </w:pPr>
      <w:r w:rsidRPr="005B3EAF">
        <w:rPr>
          <w:lang w:val="es-ES_tradnl"/>
        </w:rPr>
        <w:t>–</w:t>
      </w:r>
      <w:r w:rsidRPr="005B3EAF">
        <w:rPr>
          <w:lang w:val="es-ES_tradnl"/>
        </w:rPr>
        <w:tab/>
        <w:t>Segundo con error (ES): Periodo de 1 s en el que uno o más bits son erróneos.</w:t>
      </w:r>
    </w:p>
    <w:p w:rsidR="00384C41" w:rsidRPr="005B3EAF" w:rsidRDefault="00384C41">
      <w:pPr>
        <w:pStyle w:val="enumlev1"/>
        <w:tabs>
          <w:tab w:val="left" w:pos="1077"/>
        </w:tabs>
        <w:ind w:left="567" w:hanging="567"/>
        <w:rPr>
          <w:lang w:val="es-ES_tradnl"/>
        </w:rPr>
      </w:pPr>
      <w:r w:rsidRPr="005B3EAF">
        <w:rPr>
          <w:lang w:val="es-ES_tradnl"/>
        </w:rPr>
        <w:t>–</w:t>
      </w:r>
      <w:r w:rsidRPr="005B3EAF">
        <w:rPr>
          <w:lang w:val="es-ES_tradnl"/>
        </w:rPr>
        <w:tab/>
        <w:t>Segundo con muchos errores (SES): Periodo de 1 s que tiene una proporción de bits erróneos de </w:t>
      </w:r>
      <w:r>
        <w:rPr>
          <w:rFonts w:ascii="Symbol" w:hAnsi="Symbol"/>
        </w:rPr>
        <w:t></w:t>
      </w:r>
      <w:r w:rsidRPr="005B3EAF">
        <w:rPr>
          <w:lang w:val="es-ES_tradnl"/>
        </w:rPr>
        <w:t xml:space="preserve"> 1 </w:t>
      </w:r>
      <w:r>
        <w:rPr>
          <w:rFonts w:ascii="Symbol" w:hAnsi="Symbol"/>
        </w:rPr>
        <w:t></w:t>
      </w:r>
      <w:r w:rsidRPr="005B3EAF">
        <w:rPr>
          <w:lang w:val="es-ES_tradnl"/>
        </w:rPr>
        <w:t xml:space="preserve"> 10</w:t>
      </w:r>
      <w:r w:rsidRPr="005B3EAF">
        <w:rPr>
          <w:position w:val="6"/>
          <w:sz w:val="16"/>
          <w:lang w:val="es-ES_tradnl"/>
        </w:rPr>
        <w:t>–3</w:t>
      </w:r>
      <w:r w:rsidRPr="005B3EAF">
        <w:rPr>
          <w:lang w:val="es-ES_tradnl"/>
        </w:rPr>
        <w:t>.</w:t>
      </w:r>
    </w:p>
    <w:p w:rsidR="00384C41" w:rsidRPr="005B3EAF" w:rsidRDefault="00384C41">
      <w:pPr>
        <w:pStyle w:val="enumlev1"/>
        <w:tabs>
          <w:tab w:val="left" w:pos="1077"/>
        </w:tabs>
        <w:rPr>
          <w:lang w:val="es-ES_tradnl"/>
        </w:rPr>
      </w:pPr>
      <w:r w:rsidRPr="005B3EAF">
        <w:rPr>
          <w:lang w:val="es-ES_tradnl"/>
        </w:rPr>
        <w:t>–</w:t>
      </w:r>
      <w:r w:rsidRPr="005B3EAF">
        <w:rPr>
          <w:lang w:val="es-ES_tradnl"/>
        </w:rPr>
        <w:tab/>
        <w:t>Proporción de segundos con errores (ESR): Proporción de segundos con error respecto a la totalidad de los segundos en el tiempo disponible durante un intervalo de medición fijo.</w:t>
      </w:r>
    </w:p>
    <w:p w:rsidR="00384C41" w:rsidRPr="005B3EAF" w:rsidRDefault="00384C41">
      <w:pPr>
        <w:pStyle w:val="enumlev1"/>
        <w:tabs>
          <w:tab w:val="left" w:pos="1077"/>
        </w:tabs>
        <w:rPr>
          <w:lang w:val="es-ES_tradnl"/>
        </w:rPr>
      </w:pPr>
      <w:r w:rsidRPr="005B3EAF">
        <w:rPr>
          <w:lang w:val="es-ES_tradnl"/>
        </w:rPr>
        <w:t>–</w:t>
      </w:r>
      <w:r w:rsidRPr="005B3EAF">
        <w:rPr>
          <w:lang w:val="es-ES_tradnl"/>
        </w:rPr>
        <w:tab/>
        <w:t>Proporción de segundos con muchos errores (SESR): Proporción de segundos con muchos errores respecto a la totalidad de segundos en el tiempo disponible durante un intervalo de medición fijo.</w:t>
      </w:r>
    </w:p>
    <w:p w:rsidR="00384C41" w:rsidRPr="005B3EAF" w:rsidRDefault="00384C41">
      <w:pPr>
        <w:pStyle w:val="Note"/>
        <w:rPr>
          <w:lang w:val="es-ES_tradnl"/>
        </w:rPr>
      </w:pPr>
      <w:r w:rsidRPr="005B3EAF">
        <w:rPr>
          <w:lang w:val="es-ES_tradnl"/>
        </w:rPr>
        <w:t>NOTA 3 – El tren de bits a la salida de un sistema de radioenlaces digitales puede estar sometido a fluctuaciones de fase. El efecto de las fluctuaciones de fase en la característica de error de los sistemas de radioenlaces requiere un estudio más detallado. El UIT-T se ocupa de los aspectos de orden general de estas fluctuaciones.</w:t>
      </w:r>
    </w:p>
    <w:p w:rsidR="00384C41" w:rsidRPr="005B3EAF" w:rsidRDefault="00384C41">
      <w:pPr>
        <w:pStyle w:val="Note"/>
        <w:rPr>
          <w:lang w:val="es-ES_tradnl"/>
        </w:rPr>
      </w:pPr>
      <w:r w:rsidRPr="005B3EAF">
        <w:rPr>
          <w:lang w:val="es-ES_tradnl"/>
        </w:rPr>
        <w:t>NOTA 4 – Esta Recomendación trata del TDFR. Los valores que se dan se destinan a ser utilizados por los diseñadores del sistema y no se pretende que se citen en especificaciones de equipos ni que se utilicen en pruebas de aceptación.</w:t>
      </w:r>
    </w:p>
    <w:p w:rsidR="00384C41" w:rsidRPr="005B3EAF" w:rsidRDefault="00384C41">
      <w:pPr>
        <w:pStyle w:val="Note"/>
        <w:rPr>
          <w:lang w:val="es-ES_tradnl"/>
        </w:rPr>
      </w:pPr>
      <w:r w:rsidRPr="005B3EAF">
        <w:rPr>
          <w:lang w:val="es-ES_tradnl"/>
        </w:rPr>
        <w:t>NOTA 5 – No están incluidas las contribuciones del equipo múltiplex dado que carecen de importancia frente a las contribuciones de los sistemas de transmisión (véase la Recomendación UIT-T G.821).</w:t>
      </w:r>
    </w:p>
    <w:p w:rsidR="00384C41" w:rsidRPr="005B3EAF" w:rsidRDefault="00384C41">
      <w:pPr>
        <w:pStyle w:val="Note"/>
        <w:rPr>
          <w:lang w:val="es-ES_tradnl"/>
        </w:rPr>
      </w:pPr>
      <w:r w:rsidRPr="005B3EAF">
        <w:rPr>
          <w:lang w:val="es-ES_tradnl"/>
        </w:rPr>
        <w:t>NOTA 6 – La Recomendación se aplica únicamente cuando se considera que el sistema está disponible de acuerdo con la Recomendación UIT-R F.557, y se aplica a segundos con muchos errores, cuya duración es inferior a 10 s consecutivos. Los segundos con muchos errores de duración igual o superior a 10 s consecutivos están cubiertos por la Recomendación UIT-R F.557.</w:t>
      </w:r>
    </w:p>
    <w:p w:rsidR="00384C41" w:rsidRPr="005B3EAF" w:rsidRDefault="00384C41">
      <w:pPr>
        <w:pStyle w:val="Note"/>
        <w:rPr>
          <w:lang w:val="es-ES_tradnl"/>
        </w:rPr>
      </w:pPr>
      <w:r w:rsidRPr="005B3EAF">
        <w:rPr>
          <w:lang w:val="es-ES_tradnl"/>
        </w:rPr>
        <w:t>NOTA 7 – Los límites indicados en el § 5 precedente se basan en el criterio de no disponibilidad de 10 s mencionado en la Recomendación UIT-R F.557, por lo que no incluyen necesariamente todas las formas de degradación de la calidad de funcionamiento debidas a condiciones adversas de propagación. Las degradaciones de este tipo que duren 10 s o más estarán limitadas por requisitos de la Recomendación UIT-R F.557.</w:t>
      </w:r>
    </w:p>
    <w:p w:rsidR="00384C41" w:rsidRPr="005B3EAF" w:rsidRDefault="00384C41">
      <w:pPr>
        <w:pStyle w:val="Note"/>
        <w:rPr>
          <w:lang w:val="es-ES_tradnl"/>
        </w:rPr>
      </w:pPr>
      <w:r w:rsidRPr="005B3EAF">
        <w:rPr>
          <w:lang w:val="es-ES_tradnl"/>
        </w:rPr>
        <w:t>NOTA 8 – Las condiciones adversas de propagación pueden dar como resultado la disminución y/o distorsión de la señal deseada, así como el aumento del nivel de las señales interferentes.</w:t>
      </w:r>
    </w:p>
    <w:p w:rsidR="00384C41" w:rsidRPr="005B3EAF" w:rsidRDefault="00384C41">
      <w:pPr>
        <w:pStyle w:val="Note"/>
        <w:rPr>
          <w:lang w:val="es-ES_tradnl"/>
        </w:rPr>
      </w:pPr>
      <w:r w:rsidRPr="005B3EAF">
        <w:rPr>
          <w:lang w:val="es-ES_tradnl"/>
        </w:rPr>
        <w:t>NOTA 9 – Los requisitos están destinados a satisfacer los correspondientes objetivos de calidad de funcionamiento de las Recomendaciones UIT-T G.821 y UIT-T G.921 en todas las condiciones de funcionamiento normalmente contempladas.</w:t>
      </w:r>
    </w:p>
    <w:p w:rsidR="00384C41" w:rsidRPr="005B3EAF" w:rsidRDefault="00384C41">
      <w:pPr>
        <w:rPr>
          <w:lang w:val="es-ES_tradnl"/>
        </w:rPr>
      </w:pPr>
    </w:p>
    <w:p w:rsidR="00384C41" w:rsidRPr="005B3EAF" w:rsidRDefault="00384C41">
      <w:pPr>
        <w:rPr>
          <w:lang w:val="es-ES_tradnl"/>
        </w:rPr>
      </w:pPr>
    </w:p>
    <w:p w:rsidR="00384C41" w:rsidRPr="005B3EAF" w:rsidRDefault="00384C41">
      <w:pPr>
        <w:pStyle w:val="Annex"/>
        <w:rPr>
          <w:lang w:val="es-ES_tradnl"/>
        </w:rPr>
      </w:pPr>
      <w:r w:rsidRPr="005B3EAF">
        <w:rPr>
          <w:lang w:val="es-ES_tradnl"/>
        </w:rPr>
        <w:t>ANEXO  1</w:t>
      </w:r>
    </w:p>
    <w:p w:rsidR="00384C41" w:rsidRPr="005B3EAF" w:rsidRDefault="00384C41">
      <w:pPr>
        <w:pStyle w:val="AnnexTitle"/>
        <w:rPr>
          <w:lang w:val="es-ES_tradnl"/>
        </w:rPr>
      </w:pPr>
      <w:r w:rsidRPr="005B3EAF">
        <w:rPr>
          <w:lang w:val="es-ES_tradnl"/>
        </w:rPr>
        <w:t xml:space="preserve">Factores que hay que tener en cuenta en la determinación </w:t>
      </w:r>
      <w:r w:rsidRPr="005B3EAF">
        <w:rPr>
          <w:lang w:val="es-ES_tradnl"/>
        </w:rPr>
        <w:br/>
        <w:t xml:space="preserve">de los requisitos de calidad de funcionamiento de los </w:t>
      </w:r>
      <w:r w:rsidRPr="005B3EAF">
        <w:rPr>
          <w:lang w:val="es-ES_tradnl"/>
        </w:rPr>
        <w:br/>
        <w:t>sistemas de radioenlaces aplicados al TDFR</w:t>
      </w:r>
    </w:p>
    <w:p w:rsidR="00384C41" w:rsidRPr="005B3EAF" w:rsidRDefault="00384C41">
      <w:pPr>
        <w:pStyle w:val="Normalaftertitle"/>
        <w:rPr>
          <w:lang w:val="es-ES_tradnl"/>
        </w:rPr>
      </w:pPr>
      <w:r w:rsidRPr="005B3EAF">
        <w:rPr>
          <w:lang w:val="es-ES_tradnl"/>
        </w:rPr>
        <w:t>Este Anexo analiza los factores que es preciso tener en cuenta en la determinación de los requisitos de calidad de funcionamiento de los sistemas de radioenlaces aplicados al TDFR.</w:t>
      </w:r>
    </w:p>
    <w:p w:rsidR="00384C41" w:rsidRPr="005B3EAF" w:rsidRDefault="00384C41">
      <w:pPr>
        <w:pStyle w:val="Heading1"/>
        <w:rPr>
          <w:lang w:val="es-ES_tradnl"/>
        </w:rPr>
      </w:pPr>
      <w:r w:rsidRPr="005B3EAF">
        <w:rPr>
          <w:lang w:val="es-ES_tradnl"/>
        </w:rPr>
        <w:lastRenderedPageBreak/>
        <w:t>1</w:t>
      </w:r>
      <w:r w:rsidRPr="005B3EAF">
        <w:rPr>
          <w:lang w:val="es-ES_tradnl"/>
        </w:rPr>
        <w:tab/>
        <w:t>Objetivo de SESR</w:t>
      </w:r>
    </w:p>
    <w:p w:rsidR="00384C41" w:rsidRPr="005B3EAF" w:rsidRDefault="00384C41">
      <w:pPr>
        <w:rPr>
          <w:lang w:val="es-ES_tradnl"/>
        </w:rPr>
      </w:pPr>
      <w:r w:rsidRPr="005B3EAF">
        <w:rPr>
          <w:lang w:val="es-ES_tradnl"/>
        </w:rPr>
        <w:t>La Recomendación UIT-T G.821 señala que:</w:t>
      </w:r>
    </w:p>
    <w:p w:rsidR="00384C41" w:rsidRPr="005B3EAF" w:rsidRDefault="00384C41">
      <w:pPr>
        <w:pStyle w:val="enumlev1"/>
        <w:rPr>
          <w:lang w:val="es-ES_tradnl"/>
        </w:rPr>
      </w:pPr>
      <w:r w:rsidRPr="005B3EAF">
        <w:rPr>
          <w:lang w:val="es-ES_tradnl"/>
        </w:rPr>
        <w:t>–</w:t>
      </w:r>
      <w:r w:rsidRPr="005B3EAF">
        <w:rPr>
          <w:lang w:val="es-ES_tradnl"/>
        </w:rPr>
        <w:tab/>
        <w:t>para una conexión ficticia de referencia de 27</w:t>
      </w:r>
      <w:r w:rsidRPr="005B3EAF">
        <w:rPr>
          <w:sz w:val="12"/>
          <w:lang w:val="es-ES_tradnl"/>
        </w:rPr>
        <w:t> </w:t>
      </w:r>
      <w:r w:rsidRPr="005B3EAF">
        <w:rPr>
          <w:lang w:val="es-ES_tradnl"/>
        </w:rPr>
        <w:t>500 km, la SESR no debe superar el valor 0,002 ningún mes;</w:t>
      </w:r>
    </w:p>
    <w:p w:rsidR="00384C41" w:rsidRPr="005B3EAF" w:rsidRDefault="00384C41">
      <w:pPr>
        <w:pStyle w:val="enumlev1"/>
        <w:rPr>
          <w:lang w:val="es-ES_tradnl"/>
        </w:rPr>
      </w:pPr>
      <w:r w:rsidRPr="005B3EAF">
        <w:rPr>
          <w:lang w:val="es-ES_tradnl"/>
        </w:rPr>
        <w:t>–</w:t>
      </w:r>
      <w:r w:rsidRPr="005B3EAF">
        <w:rPr>
          <w:lang w:val="es-ES_tradnl"/>
        </w:rPr>
        <w:tab/>
        <w:t>la SESR en el tramo de grado alto de 25</w:t>
      </w:r>
      <w:r w:rsidRPr="005B3EAF">
        <w:rPr>
          <w:sz w:val="12"/>
          <w:lang w:val="es-ES_tradnl"/>
        </w:rPr>
        <w:t> </w:t>
      </w:r>
      <w:r w:rsidRPr="005B3EAF">
        <w:rPr>
          <w:lang w:val="es-ES_tradnl"/>
        </w:rPr>
        <w:t>000 km de la conexión ficticia de referencia no debe superar el valor 0,0004 ningún mes. Además, se prevé un margen adicional de 0,0005 para el TDFR de 2</w:t>
      </w:r>
      <w:r w:rsidRPr="005B3EAF">
        <w:rPr>
          <w:sz w:val="12"/>
          <w:lang w:val="es-ES_tradnl"/>
        </w:rPr>
        <w:t> </w:t>
      </w:r>
      <w:r w:rsidRPr="005B3EAF">
        <w:rPr>
          <w:lang w:val="es-ES_tradnl"/>
        </w:rPr>
        <w:t>500 km en los sistemas de radioenlaces para tener en cuenta las condiciones adversas de propagación.</w:t>
      </w:r>
    </w:p>
    <w:p w:rsidR="00384C41" w:rsidRPr="005B3EAF" w:rsidRDefault="00384C41">
      <w:pPr>
        <w:rPr>
          <w:lang w:val="es-ES_tradnl"/>
        </w:rPr>
      </w:pPr>
      <w:r w:rsidRPr="005B3EAF">
        <w:rPr>
          <w:lang w:val="es-ES_tradnl"/>
        </w:rPr>
        <w:t>Por lo tanto, para un TDFR de 2</w:t>
      </w:r>
      <w:r w:rsidRPr="005B3EAF">
        <w:rPr>
          <w:sz w:val="12"/>
          <w:lang w:val="es-ES_tradnl"/>
        </w:rPr>
        <w:t> </w:t>
      </w:r>
      <w:r w:rsidRPr="005B3EAF">
        <w:rPr>
          <w:lang w:val="es-ES_tradnl"/>
        </w:rPr>
        <w:t>500 km, la SESR no debe superar el valor 0,00054 (esto es, 0,0005 </w:t>
      </w:r>
      <w:r>
        <w:rPr>
          <w:rFonts w:ascii="Symbol" w:hAnsi="Symbol"/>
        </w:rPr>
        <w:t></w:t>
      </w:r>
      <w:r w:rsidRPr="005B3EAF">
        <w:rPr>
          <w:lang w:val="es-ES_tradnl"/>
        </w:rPr>
        <w:t xml:space="preserve"> 0,00004, donde 0,00004 se ha obtenido distribuyendo de forma lineal el objetivo de 0,0004 asignado al tramo de grado alto de 25</w:t>
      </w:r>
      <w:r w:rsidRPr="005B3EAF">
        <w:rPr>
          <w:sz w:val="12"/>
          <w:lang w:val="es-ES_tradnl"/>
        </w:rPr>
        <w:t> </w:t>
      </w:r>
      <w:r w:rsidRPr="005B3EAF">
        <w:rPr>
          <w:lang w:val="es-ES_tradnl"/>
        </w:rPr>
        <w:t>000 km de la conexión ficticia de referencia).</w:t>
      </w:r>
    </w:p>
    <w:p w:rsidR="00384C41" w:rsidRPr="005B3EAF" w:rsidRDefault="00384C41" w:rsidP="000D1A43">
      <w:pPr>
        <w:rPr>
          <w:lang w:val="es-ES_tradnl"/>
        </w:rPr>
      </w:pPr>
      <w:r w:rsidRPr="005B3EAF">
        <w:rPr>
          <w:lang w:val="es-ES_tradnl"/>
        </w:rPr>
        <w:t>Con los adelantos que han experimentado los servicios de transmisión de datos a alta velocidad, algunos usuarios pueden necesitar una calidad de transmisión superior a la especificada anteriormente. En particular, los usuarios pueden empezar a preocuparse por la frecuencia y duración de las interrupciones de los circuitos. Aunque es difícil prever la frecuencia de dichas interrupciones a partir de los conocimientos de diseño de los sistemas de radioenlaces, puede que sea conveniente reducir el objetivo de SESR, considerando si puede descartarse el margen adicional indicado en la Recomendación UIT</w:t>
      </w:r>
      <w:r w:rsidR="000D1A43">
        <w:rPr>
          <w:lang w:val="es-ES_tradnl"/>
        </w:rPr>
        <w:noBreakHyphen/>
      </w:r>
      <w:r w:rsidRPr="005B3EAF">
        <w:rPr>
          <w:lang w:val="es-ES_tradnl"/>
        </w:rPr>
        <w:t>T G.821. De ser así, será necesario incluir tecnología avanzada en el diseño de los sistemas de radioenlaces y preparar la Recomendación pertinente para lograr esa calidad de transmisión elevada sin comprometer el sistema desde el punto de vista económico.</w:t>
      </w:r>
    </w:p>
    <w:p w:rsidR="00384C41" w:rsidRPr="005B3EAF" w:rsidRDefault="00384C41">
      <w:pPr>
        <w:rPr>
          <w:lang w:val="es-ES_tradnl"/>
        </w:rPr>
      </w:pPr>
    </w:p>
    <w:p w:rsidR="00384C41" w:rsidRPr="005B3EAF" w:rsidRDefault="00384C41">
      <w:pPr>
        <w:pStyle w:val="Line"/>
        <w:rPr>
          <w:lang w:val="es-ES_tradnl"/>
        </w:rPr>
      </w:pPr>
      <w:bookmarkStart w:id="0" w:name="_GoBack"/>
      <w:bookmarkEnd w:id="0"/>
    </w:p>
    <w:sectPr w:rsidR="00384C41" w:rsidRPr="005B3EAF" w:rsidSect="000D1A43">
      <w:headerReference w:type="even" r:id="rId7"/>
      <w:headerReference w:type="default" r:id="rId8"/>
      <w:pgSz w:w="11907" w:h="16840" w:code="9"/>
      <w:pgMar w:top="1089" w:right="1089" w:bottom="1089" w:left="1089" w:header="482" w:footer="48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C41" w:rsidRDefault="00384C41">
      <w:pPr>
        <w:spacing w:before="0"/>
      </w:pPr>
      <w:r>
        <w:separator/>
      </w:r>
    </w:p>
  </w:endnote>
  <w:endnote w:type="continuationSeparator" w:id="0">
    <w:p w:rsidR="00384C41" w:rsidRDefault="00384C4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M Joanna">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39T36Lfz">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C41" w:rsidRDefault="00384C41">
      <w:r>
        <w:rPr>
          <w:b/>
        </w:rPr>
        <w:t>_______________</w:t>
      </w:r>
    </w:p>
  </w:footnote>
  <w:footnote w:type="continuationSeparator" w:id="0">
    <w:p w:rsidR="00384C41" w:rsidRDefault="00384C41">
      <w:pPr>
        <w:spacing w:before="0"/>
      </w:pPr>
      <w:r>
        <w:continuationSeparator/>
      </w:r>
    </w:p>
  </w:footnote>
  <w:footnote w:id="1">
    <w:p w:rsidR="005B3EAF" w:rsidRPr="005B3EAF" w:rsidRDefault="005B3EAF" w:rsidP="005B3EAF">
      <w:pPr>
        <w:pStyle w:val="FootnoteText"/>
        <w:ind w:left="313" w:hanging="313"/>
        <w:rPr>
          <w:lang w:val="es-ES_tradnl"/>
        </w:rPr>
      </w:pPr>
      <w:r w:rsidRPr="005B3EAF">
        <w:rPr>
          <w:rStyle w:val="FootnoteReference"/>
          <w:lang w:val="es-ES_tradnl"/>
        </w:rPr>
        <w:t>*</w:t>
      </w:r>
      <w:r w:rsidRPr="005B3EAF">
        <w:rPr>
          <w:lang w:val="es-ES_tradnl"/>
        </w:rPr>
        <w:t xml:space="preserve"> </w:t>
      </w:r>
      <w:r w:rsidRPr="005B3EAF">
        <w:rPr>
          <w:lang w:val="es-ES_tradnl"/>
        </w:rPr>
        <w:tab/>
      </w:r>
      <w:r w:rsidRPr="005B3EAF">
        <w:rPr>
          <w:iCs/>
          <w:szCs w:val="24"/>
          <w:lang w:val="es-ES" w:eastAsia="ja-JP" w:bidi="he-IL"/>
        </w:rPr>
        <w:t>La Comisión de Estudio 5 de Radiocomunicaciones introdujo cambios de edición en la presente Recomendación en 2012, con arreglo a lo dispuesto en la Resolución UIT-R 1</w:t>
      </w:r>
      <w:r w:rsidRPr="005B3EAF">
        <w:rPr>
          <w:iCs/>
          <w:szCs w:val="24"/>
          <w:lang w:val="es-ES" w:eastAsia="ja-JP" w:bidi="he-I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C41" w:rsidRDefault="00384C41">
    <w:pPr>
      <w:pStyle w:val="Header"/>
    </w:pPr>
    <w:r>
      <w:fldChar w:fldCharType="begin"/>
    </w:r>
    <w:r>
      <w:instrText>PAGE</w:instrText>
    </w:r>
    <w:r>
      <w:fldChar w:fldCharType="separate"/>
    </w:r>
    <w:r w:rsidR="000D1A43">
      <w:rPr>
        <w:noProof/>
      </w:rPr>
      <w:t>4</w:t>
    </w:r>
    <w:r>
      <w:fldChar w:fldCharType="end"/>
    </w:r>
    <w:r>
      <w:tab/>
    </w:r>
    <w:r>
      <w:fldChar w:fldCharType="begin"/>
    </w:r>
    <w:r>
      <w:instrText>styleref head_foot</w:instrText>
    </w:r>
    <w:r>
      <w:fldChar w:fldCharType="separate"/>
    </w:r>
    <w:r w:rsidR="000D1A43">
      <w:rPr>
        <w:noProof/>
      </w:rPr>
      <w:t>Rec. UIT-R F.594-4</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C41" w:rsidRDefault="00384C41">
    <w:pPr>
      <w:pStyle w:val="Header"/>
    </w:pPr>
    <w:r>
      <w:tab/>
    </w:r>
    <w:r>
      <w:fldChar w:fldCharType="begin"/>
    </w:r>
    <w:r>
      <w:instrText>styleref head_foot</w:instrText>
    </w:r>
    <w:r>
      <w:fldChar w:fldCharType="separate"/>
    </w:r>
    <w:r w:rsidR="000D1A43">
      <w:rPr>
        <w:noProof/>
      </w:rPr>
      <w:t>Rec. UIT-R F.594-4</w:t>
    </w:r>
    <w:r>
      <w:fldChar w:fldCharType="end"/>
    </w:r>
    <w:r>
      <w:tab/>
    </w:r>
    <w:r>
      <w:fldChar w:fldCharType="begin"/>
    </w:r>
    <w:r>
      <w:instrText>PAGE</w:instrText>
    </w:r>
    <w:r>
      <w:fldChar w:fldCharType="separate"/>
    </w:r>
    <w:r w:rsidR="000D1A43">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hideSpellingErrors/>
  <w:hideGrammaticalErrors/>
  <w:attachedTemplate r:id="rId1"/>
  <w:doNotTrackMoves/>
  <w:defaultTabStop w:val="720"/>
  <w:doNotHyphenateCaps/>
  <w:evenAndOddHeader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printColBlack/>
    <w:showBreaksInFrames/>
    <w:suppressTopSpacing/>
    <w:suppressSpBfAfterPgBrk/>
    <w:swapBordersFacingPages/>
    <w:convMailMergeEsc/>
    <w:usePrinterMetrics/>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1752"/>
    <w:rsid w:val="000D1A43"/>
    <w:rsid w:val="00321752"/>
    <w:rsid w:val="00384C41"/>
    <w:rsid w:val="005B3EAF"/>
    <w:rsid w:val="00AA53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36"/>
      <w:jc w:val="both"/>
      <w:textAlignment w:val="baseline"/>
    </w:pPr>
    <w:rPr>
      <w:rFonts w:ascii="Times New Roman" w:hAnsi="Times New Roman"/>
      <w:lang w:val="en-GB"/>
    </w:rPr>
  </w:style>
  <w:style w:type="paragraph" w:styleId="Heading1">
    <w:name w:val="heading 1"/>
    <w:basedOn w:val="Normal"/>
    <w:next w:val="Normal"/>
    <w:qFormat/>
    <w:pPr>
      <w:keepNext/>
      <w:keepLines/>
      <w:tabs>
        <w:tab w:val="clear" w:pos="1191"/>
        <w:tab w:val="clear" w:pos="1588"/>
        <w:tab w:val="clear" w:pos="1985"/>
      </w:tabs>
      <w:spacing w:before="480"/>
      <w:ind w:left="794" w:hanging="794"/>
      <w:outlineLvl w:val="0"/>
    </w:pPr>
    <w:rPr>
      <w:b/>
      <w:bCs/>
      <w:sz w:val="24"/>
      <w:szCs w:val="24"/>
    </w:rPr>
  </w:style>
  <w:style w:type="paragraph" w:styleId="Heading2">
    <w:name w:val="heading 2"/>
    <w:basedOn w:val="Normal"/>
    <w:next w:val="Normal"/>
    <w:qFormat/>
    <w:pPr>
      <w:keepNext/>
      <w:keepLines/>
      <w:tabs>
        <w:tab w:val="clear" w:pos="1191"/>
        <w:tab w:val="clear" w:pos="1588"/>
        <w:tab w:val="clear" w:pos="1985"/>
      </w:tabs>
      <w:spacing w:before="313"/>
      <w:ind w:left="794" w:hanging="794"/>
      <w:outlineLvl w:val="1"/>
    </w:pPr>
    <w:rPr>
      <w:b/>
      <w:bCs/>
      <w:sz w:val="22"/>
      <w:szCs w:val="22"/>
    </w:rPr>
  </w:style>
  <w:style w:type="paragraph" w:styleId="Heading3">
    <w:name w:val="heading 3"/>
    <w:basedOn w:val="Normal"/>
    <w:next w:val="Normal"/>
    <w:qFormat/>
    <w:pPr>
      <w:keepNext/>
      <w:keepLines/>
      <w:tabs>
        <w:tab w:val="clear" w:pos="1191"/>
        <w:tab w:val="clear" w:pos="1588"/>
        <w:tab w:val="clear" w:pos="1985"/>
      </w:tabs>
      <w:spacing w:before="181"/>
      <w:ind w:left="794" w:hanging="794"/>
      <w:outlineLvl w:val="2"/>
    </w:pPr>
    <w:rPr>
      <w:b/>
      <w:bCs/>
    </w:rPr>
  </w:style>
  <w:style w:type="paragraph" w:styleId="Heading4">
    <w:name w:val="heading 4"/>
    <w:basedOn w:val="Heading3"/>
    <w:next w:val="Normal"/>
    <w:qFormat/>
    <w:pPr>
      <w:tabs>
        <w:tab w:val="clear" w:pos="794"/>
        <w:tab w:val="left" w:pos="851"/>
      </w:tabs>
      <w:ind w:left="851" w:hanging="851"/>
      <w:outlineLvl w:val="3"/>
    </w:pPr>
  </w:style>
  <w:style w:type="paragraph" w:styleId="Heading5">
    <w:name w:val="heading 5"/>
    <w:basedOn w:val="Heading3"/>
    <w:next w:val="Normal"/>
    <w:qFormat/>
    <w:pPr>
      <w:tabs>
        <w:tab w:val="clear" w:pos="794"/>
        <w:tab w:val="left" w:pos="1021"/>
      </w:tabs>
      <w:ind w:left="1021" w:hanging="1021"/>
      <w:outlineLvl w:val="4"/>
    </w:pPr>
  </w:style>
  <w:style w:type="paragraph" w:styleId="Heading6">
    <w:name w:val="heading 6"/>
    <w:basedOn w:val="Heading3"/>
    <w:next w:val="Normal"/>
    <w:qFormat/>
    <w:pPr>
      <w:tabs>
        <w:tab w:val="clear" w:pos="794"/>
        <w:tab w:val="left" w:pos="1191"/>
      </w:tabs>
      <w:ind w:left="1191" w:hanging="1191"/>
      <w:outlineLvl w:val="5"/>
    </w:pPr>
  </w:style>
  <w:style w:type="paragraph" w:styleId="Heading7">
    <w:name w:val="heading 7"/>
    <w:basedOn w:val="Heading3"/>
    <w:next w:val="Normal"/>
    <w:qFormat/>
    <w:pPr>
      <w:tabs>
        <w:tab w:val="clear" w:pos="794"/>
        <w:tab w:val="left" w:pos="1361"/>
      </w:tabs>
      <w:ind w:left="0" w:firstLine="0"/>
      <w:outlineLvl w:val="6"/>
    </w:pPr>
  </w:style>
  <w:style w:type="paragraph" w:styleId="Heading8">
    <w:name w:val="heading 8"/>
    <w:basedOn w:val="Heading3"/>
    <w:next w:val="Normal"/>
    <w:qFormat/>
    <w:pPr>
      <w:tabs>
        <w:tab w:val="clear" w:pos="794"/>
        <w:tab w:val="left" w:pos="1418"/>
      </w:tabs>
      <w:ind w:left="1418" w:hanging="1418"/>
      <w:outlineLvl w:val="7"/>
    </w:pPr>
  </w:style>
  <w:style w:type="paragraph" w:styleId="Heading9">
    <w:name w:val="heading 9"/>
    <w:basedOn w:val="Heading3"/>
    <w:next w:val="Normal"/>
    <w:qFormat/>
    <w:pPr>
      <w:tabs>
        <w:tab w:val="clear" w:pos="794"/>
        <w:tab w:val="left" w:pos="1531"/>
      </w:tabs>
      <w:ind w:left="1531" w:hanging="1531"/>
      <w:outlineLvl w:val="8"/>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pPr>
      <w:tabs>
        <w:tab w:val="left" w:pos="7711"/>
        <w:tab w:val="right" w:leader="dot" w:pos="9725"/>
      </w:tabs>
      <w:ind w:left="6350"/>
    </w:pPr>
  </w:style>
  <w:style w:type="paragraph" w:styleId="TOC7">
    <w:name w:val="toc 7"/>
    <w:basedOn w:val="TOC2"/>
    <w:next w:val="Normal"/>
    <w:semiHidden/>
    <w:pPr>
      <w:spacing w:before="20"/>
      <w:ind w:right="652"/>
    </w:pPr>
  </w:style>
  <w:style w:type="paragraph" w:styleId="TOC6">
    <w:name w:val="toc 6"/>
    <w:basedOn w:val="Normal"/>
    <w:next w:val="Normal"/>
    <w:semiHidden/>
    <w:pPr>
      <w:tabs>
        <w:tab w:val="left" w:pos="5104"/>
        <w:tab w:val="right" w:leader="dot" w:pos="9725"/>
      </w:tabs>
      <w:ind w:left="3969"/>
    </w:pPr>
  </w:style>
  <w:style w:type="paragraph" w:styleId="TOC5">
    <w:name w:val="toc 5"/>
    <w:basedOn w:val="Normal"/>
    <w:next w:val="Normal"/>
    <w:semiHidden/>
    <w:pPr>
      <w:tabs>
        <w:tab w:val="left" w:pos="3969"/>
        <w:tab w:val="right" w:leader="dot" w:pos="9725"/>
      </w:tabs>
      <w:ind w:left="2948"/>
    </w:pPr>
  </w:style>
  <w:style w:type="paragraph" w:styleId="TOC4">
    <w:name w:val="toc 4"/>
    <w:basedOn w:val="TOC3"/>
    <w:next w:val="TOC5"/>
    <w:semiHidden/>
    <w:pPr>
      <w:tabs>
        <w:tab w:val="left" w:pos="2948"/>
      </w:tabs>
      <w:ind w:left="2948" w:hanging="907"/>
    </w:pPr>
  </w:style>
  <w:style w:type="paragraph" w:styleId="TOC3">
    <w:name w:val="toc 3"/>
    <w:basedOn w:val="TOC2"/>
    <w:next w:val="TOC4"/>
    <w:semiHidden/>
    <w:pPr>
      <w:tabs>
        <w:tab w:val="clear" w:pos="1247"/>
        <w:tab w:val="left" w:pos="2041"/>
      </w:tabs>
      <w:spacing w:before="20"/>
      <w:ind w:left="2041" w:hanging="794"/>
    </w:pPr>
  </w:style>
  <w:style w:type="paragraph" w:styleId="TOC2">
    <w:name w:val="toc 2"/>
    <w:basedOn w:val="TOC1"/>
    <w:next w:val="TOC3"/>
    <w:semiHidden/>
    <w:pPr>
      <w:tabs>
        <w:tab w:val="clear" w:pos="567"/>
        <w:tab w:val="left" w:pos="1247"/>
      </w:tabs>
      <w:spacing w:before="40"/>
      <w:ind w:left="1247" w:hanging="680"/>
    </w:pPr>
  </w:style>
  <w:style w:type="paragraph" w:styleId="TOC1">
    <w:name w:val="toc 1"/>
    <w:basedOn w:val="Normal"/>
    <w:next w:val="TOC2"/>
    <w:semiHidden/>
    <w:pPr>
      <w:keepNext/>
      <w:tabs>
        <w:tab w:val="clear" w:pos="794"/>
        <w:tab w:val="clear" w:pos="1191"/>
        <w:tab w:val="clear" w:pos="1588"/>
        <w:tab w:val="clear" w:pos="1985"/>
        <w:tab w:val="left" w:pos="567"/>
        <w:tab w:val="right" w:leader="dot" w:pos="9072"/>
        <w:tab w:val="right" w:pos="9725"/>
      </w:tabs>
      <w:spacing w:before="120"/>
      <w:ind w:left="567" w:right="653" w:hanging="567"/>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semiHidden/>
  </w:style>
  <w:style w:type="paragraph" w:styleId="IndexHeading">
    <w:name w:val="index heading"/>
    <w:basedOn w:val="Normal"/>
    <w:next w:val="Index1"/>
    <w:semiHidden/>
  </w:style>
  <w:style w:type="paragraph" w:styleId="Footer">
    <w:name w:val="footer"/>
    <w:basedOn w:val="Normal"/>
    <w:semiHidden/>
    <w:pPr>
      <w:tabs>
        <w:tab w:val="clear" w:pos="794"/>
        <w:tab w:val="clear" w:pos="1191"/>
        <w:tab w:val="clear" w:pos="1588"/>
        <w:tab w:val="clear" w:pos="1985"/>
        <w:tab w:val="center" w:pos="4849"/>
        <w:tab w:val="right" w:pos="9696"/>
      </w:tabs>
      <w:jc w:val="left"/>
    </w:pPr>
    <w:rPr>
      <w:b/>
      <w:bCs/>
    </w:rPr>
  </w:style>
  <w:style w:type="paragraph" w:styleId="Header">
    <w:name w:val="header"/>
    <w:basedOn w:val="Normal"/>
    <w:semiHidden/>
    <w:pPr>
      <w:tabs>
        <w:tab w:val="clear" w:pos="794"/>
        <w:tab w:val="clear" w:pos="1191"/>
        <w:tab w:val="clear" w:pos="1588"/>
        <w:tab w:val="clear" w:pos="1985"/>
        <w:tab w:val="center" w:pos="4849"/>
        <w:tab w:val="right" w:pos="9696"/>
      </w:tabs>
    </w:pPr>
    <w:rPr>
      <w:b/>
      <w:bCs/>
    </w:rPr>
  </w:style>
  <w:style w:type="character" w:styleId="FootnoteReference">
    <w:name w:val="footnote reference"/>
    <w:semiHidden/>
    <w:rPr>
      <w:position w:val="4"/>
      <w:sz w:val="16"/>
      <w:szCs w:val="16"/>
    </w:rPr>
  </w:style>
  <w:style w:type="paragraph" w:styleId="FootnoteText">
    <w:name w:val="footnote text"/>
    <w:basedOn w:val="Normal"/>
    <w:semiHidden/>
    <w:pPr>
      <w:tabs>
        <w:tab w:val="clear" w:pos="794"/>
        <w:tab w:val="clear" w:pos="1191"/>
        <w:tab w:val="clear" w:pos="1588"/>
        <w:tab w:val="clear" w:pos="1985"/>
        <w:tab w:val="left" w:pos="313"/>
      </w:tabs>
    </w:pPr>
    <w:rPr>
      <w:sz w:val="18"/>
      <w:szCs w:val="18"/>
    </w:rPr>
  </w:style>
  <w:style w:type="paragraph" w:styleId="NormalIndent">
    <w:name w:val="Normal Indent"/>
    <w:basedOn w:val="Normal"/>
    <w:semiHidden/>
    <w:pPr>
      <w:ind w:left="600"/>
    </w:pPr>
  </w:style>
  <w:style w:type="paragraph" w:customStyle="1" w:styleId="TableLegend">
    <w:name w:val="Table_Legend"/>
    <w:basedOn w:val="Normal"/>
    <w:next w:val="Normal"/>
    <w:pPr>
      <w:keepNext/>
      <w:spacing w:before="86" w:line="199" w:lineRule="exact"/>
    </w:pPr>
    <w:rPr>
      <w:sz w:val="18"/>
      <w:szCs w:val="18"/>
    </w:rPr>
  </w:style>
  <w:style w:type="paragraph" w:customStyle="1" w:styleId="TableTitle">
    <w:name w:val="Table_Title"/>
    <w:basedOn w:val="Table"/>
    <w:next w:val="Blanc"/>
    <w:pPr>
      <w:spacing w:before="0"/>
    </w:pPr>
    <w:rPr>
      <w:b/>
      <w:bCs/>
    </w:rPr>
  </w:style>
  <w:style w:type="paragraph" w:customStyle="1" w:styleId="Table">
    <w:name w:val="Table_#"/>
    <w:basedOn w:val="Normal"/>
    <w:next w:val="TableTitle"/>
    <w:pPr>
      <w:keepNext/>
      <w:tabs>
        <w:tab w:val="clear" w:pos="794"/>
        <w:tab w:val="clear" w:pos="1191"/>
        <w:tab w:val="clear" w:pos="1588"/>
        <w:tab w:val="clear" w:pos="1985"/>
      </w:tabs>
      <w:spacing w:before="567" w:after="113"/>
      <w:jc w:val="center"/>
    </w:pPr>
    <w:rPr>
      <w:sz w:val="18"/>
      <w:szCs w:val="18"/>
    </w:rPr>
  </w:style>
  <w:style w:type="paragraph" w:customStyle="1" w:styleId="Blanc">
    <w:name w:val="Blanc"/>
    <w:basedOn w:val="Normal"/>
    <w:next w:val="TableText"/>
    <w:pPr>
      <w:keepNext/>
      <w:keepLines/>
      <w:tabs>
        <w:tab w:val="clear" w:pos="794"/>
        <w:tab w:val="clear" w:pos="1191"/>
        <w:tab w:val="clear" w:pos="1588"/>
        <w:tab w:val="clear" w:pos="1985"/>
      </w:tabs>
      <w:spacing w:before="0"/>
    </w:pPr>
    <w:rPr>
      <w:sz w:val="16"/>
      <w:szCs w:val="16"/>
    </w:rPr>
  </w:style>
  <w:style w:type="paragraph" w:customStyle="1" w:styleId="TableText">
    <w:name w:val="Table_Text"/>
    <w:basedOn w:val="TableLegend"/>
    <w:pPr>
      <w:spacing w:before="100" w:after="100" w:line="190" w:lineRule="exact"/>
    </w:pPr>
  </w:style>
  <w:style w:type="paragraph" w:customStyle="1" w:styleId="enumlev1">
    <w:name w:val="enumlev1"/>
    <w:basedOn w:val="Normal"/>
    <w:next w:val="Normal"/>
    <w:pPr>
      <w:tabs>
        <w:tab w:val="clear" w:pos="794"/>
        <w:tab w:val="clear" w:pos="1191"/>
        <w:tab w:val="clear" w:pos="1588"/>
        <w:tab w:val="clear" w:pos="1985"/>
        <w:tab w:val="left" w:pos="397"/>
      </w:tabs>
      <w:spacing w:before="86"/>
      <w:ind w:left="397" w:hanging="397"/>
    </w:pPr>
  </w:style>
  <w:style w:type="paragraph" w:customStyle="1" w:styleId="enumlev2">
    <w:name w:val="enumlev2"/>
    <w:basedOn w:val="enumlev1"/>
    <w:pPr>
      <w:tabs>
        <w:tab w:val="clear" w:pos="397"/>
        <w:tab w:val="left" w:pos="794"/>
      </w:tabs>
      <w:ind w:left="794"/>
    </w:pPr>
  </w:style>
  <w:style w:type="paragraph" w:customStyle="1" w:styleId="enumlev3">
    <w:name w:val="enumlev3"/>
    <w:basedOn w:val="enumlev2"/>
    <w:pPr>
      <w:tabs>
        <w:tab w:val="clear" w:pos="794"/>
        <w:tab w:val="left" w:pos="1191"/>
      </w:tabs>
      <w:ind w:left="1191"/>
    </w:pPr>
  </w:style>
  <w:style w:type="paragraph" w:customStyle="1" w:styleId="Figure">
    <w:name w:val="Figure"/>
    <w:basedOn w:val="Normal"/>
    <w:next w:val="Normal"/>
    <w:pPr>
      <w:keepNext/>
      <w:keepLines/>
      <w:spacing w:before="240"/>
      <w:jc w:val="center"/>
    </w:pPr>
  </w:style>
  <w:style w:type="paragraph" w:customStyle="1" w:styleId="FigureLegend">
    <w:name w:val="Figure_Legend"/>
    <w:basedOn w:val="TableLegend"/>
    <w:next w:val="FigureRemark"/>
    <w:pPr>
      <w:jc w:val="left"/>
    </w:pPr>
  </w:style>
  <w:style w:type="paragraph" w:customStyle="1" w:styleId="FigureRemark">
    <w:name w:val="Figure_Remark"/>
    <w:basedOn w:val="TableLegend"/>
    <w:pPr>
      <w:tabs>
        <w:tab w:val="clear" w:pos="794"/>
        <w:tab w:val="clear" w:pos="1191"/>
        <w:tab w:val="clear" w:pos="1588"/>
        <w:tab w:val="clear" w:pos="1985"/>
        <w:tab w:val="center" w:pos="284"/>
      </w:tabs>
      <w:spacing w:before="142"/>
    </w:pPr>
  </w:style>
  <w:style w:type="paragraph" w:customStyle="1" w:styleId="Figure0">
    <w:name w:val="Figure_#"/>
    <w:basedOn w:val="Table"/>
    <w:next w:val="FigureTitle"/>
  </w:style>
  <w:style w:type="paragraph" w:customStyle="1" w:styleId="FigureTitle">
    <w:name w:val="Figure_Title"/>
    <w:basedOn w:val="TableTitle"/>
    <w:next w:val="FigureLegend"/>
    <w:pPr>
      <w:spacing w:after="240"/>
    </w:pPr>
  </w:style>
  <w:style w:type="paragraph" w:customStyle="1" w:styleId="Annex">
    <w:name w:val="Annex_#"/>
    <w:basedOn w:val="Normal"/>
    <w:next w:val="AnnexRef"/>
    <w:pPr>
      <w:tabs>
        <w:tab w:val="clear" w:pos="794"/>
        <w:tab w:val="clear" w:pos="1191"/>
        <w:tab w:val="clear" w:pos="1588"/>
        <w:tab w:val="clear" w:pos="1985"/>
        <w:tab w:val="center" w:pos="4849"/>
        <w:tab w:val="right" w:pos="9696"/>
      </w:tabs>
      <w:spacing w:before="720" w:after="68"/>
      <w:jc w:val="center"/>
    </w:pPr>
  </w:style>
  <w:style w:type="paragraph" w:customStyle="1" w:styleId="AnnexRef">
    <w:name w:val="Annex_Ref"/>
    <w:basedOn w:val="Normal"/>
    <w:next w:val="AnnexTitle"/>
    <w:pPr>
      <w:tabs>
        <w:tab w:val="clear" w:pos="794"/>
        <w:tab w:val="clear" w:pos="1191"/>
        <w:tab w:val="clear" w:pos="1588"/>
        <w:tab w:val="clear" w:pos="1985"/>
        <w:tab w:val="center" w:pos="4849"/>
        <w:tab w:val="right" w:pos="9696"/>
      </w:tabs>
      <w:spacing w:before="0"/>
      <w:jc w:val="center"/>
    </w:pPr>
  </w:style>
  <w:style w:type="paragraph" w:customStyle="1" w:styleId="AnnexTitle">
    <w:name w:val="Annex_Title"/>
    <w:basedOn w:val="Normal"/>
    <w:next w:val="Normalaftertitle"/>
    <w:pPr>
      <w:tabs>
        <w:tab w:val="clear" w:pos="794"/>
        <w:tab w:val="clear" w:pos="1191"/>
        <w:tab w:val="clear" w:pos="1588"/>
        <w:tab w:val="clear" w:pos="1985"/>
        <w:tab w:val="left" w:pos="4849"/>
        <w:tab w:val="right" w:pos="9696"/>
      </w:tabs>
      <w:spacing w:after="200"/>
      <w:jc w:val="center"/>
    </w:pPr>
    <w:rPr>
      <w:b/>
      <w:bCs/>
      <w:sz w:val="24"/>
      <w:szCs w:val="24"/>
    </w:rPr>
  </w:style>
  <w:style w:type="paragraph" w:customStyle="1" w:styleId="Normalaftertitle">
    <w:name w:val="Normal after title"/>
    <w:basedOn w:val="Normal"/>
    <w:next w:val="Normal"/>
    <w:link w:val="NormalaftertitleChar"/>
    <w:pPr>
      <w:spacing w:before="480"/>
    </w:p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keepNext/>
      <w:keepLines/>
      <w:tabs>
        <w:tab w:val="clear" w:pos="794"/>
        <w:tab w:val="clear" w:pos="1191"/>
        <w:tab w:val="clear" w:pos="1588"/>
        <w:tab w:val="clear" w:pos="1985"/>
      </w:tabs>
      <w:spacing w:before="600"/>
      <w:jc w:val="center"/>
    </w:pPr>
    <w:rPr>
      <w:sz w:val="18"/>
      <w:szCs w:val="18"/>
    </w:rPr>
  </w:style>
  <w:style w:type="paragraph" w:customStyle="1" w:styleId="RefText">
    <w:name w:val="Ref_Text"/>
    <w:basedOn w:val="Normal"/>
    <w:pPr>
      <w:ind w:left="794" w:hanging="794"/>
    </w:pPr>
    <w:rPr>
      <w:sz w:val="18"/>
      <w:szCs w:val="18"/>
    </w:rPr>
  </w:style>
  <w:style w:type="paragraph" w:customStyle="1" w:styleId="listitem">
    <w:name w:val="listitem"/>
    <w:basedOn w:val="Normal"/>
    <w:pPr>
      <w:keepLines/>
      <w:spacing w:before="0"/>
      <w:jc w:val="left"/>
    </w:pPr>
  </w:style>
  <w:style w:type="paragraph" w:customStyle="1" w:styleId="Rec">
    <w:name w:val="Rec_#"/>
    <w:basedOn w:val="Normal"/>
    <w:next w:val="RecTitle"/>
    <w:pPr>
      <w:keepNext/>
      <w:keepLines/>
      <w:tabs>
        <w:tab w:val="clear" w:pos="794"/>
        <w:tab w:val="clear" w:pos="1191"/>
        <w:tab w:val="clear" w:pos="1588"/>
        <w:tab w:val="clear" w:pos="1985"/>
        <w:tab w:val="center" w:pos="4849"/>
        <w:tab w:val="right" w:pos="9696"/>
      </w:tabs>
      <w:spacing w:before="720"/>
      <w:jc w:val="center"/>
    </w:pPr>
  </w:style>
  <w:style w:type="paragraph" w:customStyle="1" w:styleId="RecTitle">
    <w:name w:val="Rec_Title"/>
    <w:basedOn w:val="Rec"/>
    <w:next w:val="RecTitleRef"/>
    <w:pPr>
      <w:spacing w:before="180"/>
    </w:pPr>
    <w:rPr>
      <w:b/>
      <w:bCs/>
    </w:rPr>
  </w:style>
  <w:style w:type="paragraph" w:customStyle="1" w:styleId="RecTitleRef">
    <w:name w:val="Rec_Title/Ref"/>
    <w:basedOn w:val="RecTitle"/>
    <w:next w:val="RecTitleDate"/>
    <w:pPr>
      <w:spacing w:before="136"/>
    </w:pPr>
    <w:rPr>
      <w:b w:val="0"/>
      <w:bCs w:val="0"/>
    </w:rPr>
  </w:style>
  <w:style w:type="paragraph" w:customStyle="1" w:styleId="RecTitleDate">
    <w:name w:val="Rec_Title/Date"/>
    <w:basedOn w:val="RecTitleRef"/>
    <w:next w:val="headfoot"/>
    <w:pPr>
      <w:tabs>
        <w:tab w:val="clear" w:pos="4849"/>
      </w:tabs>
      <w:jc w:val="right"/>
    </w:pPr>
  </w:style>
  <w:style w:type="paragraph" w:customStyle="1" w:styleId="headfoot">
    <w:name w:val="head_foot"/>
    <w:basedOn w:val="Normal"/>
    <w:next w:val="Normalaftertitle"/>
    <w:pPr>
      <w:tabs>
        <w:tab w:val="clear" w:pos="794"/>
        <w:tab w:val="clear" w:pos="1191"/>
        <w:tab w:val="clear" w:pos="1588"/>
        <w:tab w:val="clear" w:pos="1985"/>
      </w:tabs>
      <w:spacing w:before="0"/>
    </w:pPr>
    <w:rPr>
      <w:color w:val="FF0000"/>
      <w:sz w:val="8"/>
      <w:szCs w:val="8"/>
    </w:rPr>
  </w:style>
  <w:style w:type="paragraph" w:customStyle="1" w:styleId="call">
    <w:name w:val="call"/>
    <w:basedOn w:val="Normal"/>
    <w:next w:val="Normal"/>
    <w:pPr>
      <w:keepNext/>
      <w:keepLines/>
      <w:tabs>
        <w:tab w:val="clear" w:pos="1191"/>
        <w:tab w:val="clear" w:pos="1588"/>
        <w:tab w:val="clear" w:pos="1985"/>
      </w:tabs>
      <w:spacing w:before="227"/>
      <w:ind w:left="794"/>
      <w:jc w:val="left"/>
    </w:pPr>
    <w:rPr>
      <w:i/>
      <w:iCs/>
    </w:rPr>
  </w:style>
  <w:style w:type="paragraph" w:customStyle="1" w:styleId="deftitle">
    <w:name w:val="def title"/>
    <w:basedOn w:val="Heading2"/>
    <w:next w:val="deftexte"/>
    <w:pPr>
      <w:outlineLvl w:val="9"/>
    </w:pPr>
  </w:style>
  <w:style w:type="paragraph" w:customStyle="1" w:styleId="deftexte">
    <w:name w:val="def texte"/>
    <w:basedOn w:val="Normal"/>
  </w:style>
  <w:style w:type="paragraph" w:customStyle="1" w:styleId="Equation">
    <w:name w:val="Equation"/>
    <w:basedOn w:val="Normal"/>
    <w:pPr>
      <w:tabs>
        <w:tab w:val="clear" w:pos="1191"/>
        <w:tab w:val="clear" w:pos="1588"/>
        <w:tab w:val="clear" w:pos="1985"/>
        <w:tab w:val="center" w:pos="4849"/>
        <w:tab w:val="right" w:pos="9696"/>
      </w:tabs>
      <w:spacing w:before="140" w:after="40"/>
      <w:jc w:val="left"/>
    </w:pPr>
    <w:rPr>
      <w:sz w:val="22"/>
      <w:szCs w:val="22"/>
    </w:rPr>
  </w:style>
  <w:style w:type="paragraph" w:customStyle="1" w:styleId="Section">
    <w:name w:val="Section #"/>
    <w:basedOn w:val="Normal"/>
    <w:next w:val="Sectiontitle"/>
    <w:pPr>
      <w:keepNext/>
      <w:keepLines/>
      <w:pageBreakBefore/>
      <w:tabs>
        <w:tab w:val="clear" w:pos="794"/>
        <w:tab w:val="clear" w:pos="1191"/>
        <w:tab w:val="clear" w:pos="1588"/>
        <w:tab w:val="clear" w:pos="1985"/>
        <w:tab w:val="left" w:pos="1474"/>
      </w:tabs>
      <w:spacing w:before="0"/>
      <w:ind w:left="1474" w:hanging="1474"/>
      <w:jc w:val="left"/>
    </w:pPr>
  </w:style>
  <w:style w:type="paragraph" w:customStyle="1" w:styleId="Sectiontitle">
    <w:name w:val="Section title"/>
    <w:basedOn w:val="Section"/>
    <w:next w:val="Rec"/>
    <w:pPr>
      <w:pageBreakBefore w:val="0"/>
      <w:spacing w:before="240"/>
    </w:pPr>
    <w:rPr>
      <w:i/>
      <w:iCs/>
    </w:rPr>
  </w:style>
  <w:style w:type="paragraph" w:customStyle="1" w:styleId="heading">
    <w:name w:val="heading"/>
    <w:basedOn w:val="Heading2"/>
    <w:pPr>
      <w:tabs>
        <w:tab w:val="left" w:pos="1191"/>
        <w:tab w:val="left" w:pos="1588"/>
      </w:tabs>
      <w:outlineLvl w:val="9"/>
    </w:pPr>
  </w:style>
  <w:style w:type="paragraph" w:customStyle="1" w:styleId="Line">
    <w:name w:val="Line"/>
    <w:basedOn w:val="Normal"/>
    <w:next w:val="Normal"/>
    <w:pPr>
      <w:pBdr>
        <w:top w:val="single" w:sz="6" w:space="1" w:color="auto"/>
      </w:pBdr>
      <w:tabs>
        <w:tab w:val="clear" w:pos="794"/>
        <w:tab w:val="clear" w:pos="1191"/>
        <w:tab w:val="clear" w:pos="1588"/>
        <w:tab w:val="clear" w:pos="1985"/>
      </w:tabs>
      <w:spacing w:before="240"/>
      <w:ind w:left="3969" w:right="3969"/>
      <w:jc w:val="center"/>
    </w:pPr>
  </w:style>
  <w:style w:type="paragraph" w:customStyle="1" w:styleId="Part">
    <w:name w:val="Part_#"/>
    <w:basedOn w:val="Annex"/>
    <w:next w:val="PartRef"/>
  </w:style>
  <w:style w:type="paragraph" w:customStyle="1" w:styleId="PartRef">
    <w:name w:val="Part_Ref"/>
    <w:basedOn w:val="AnnexRef"/>
  </w:style>
  <w:style w:type="paragraph" w:customStyle="1" w:styleId="PartTitle">
    <w:name w:val="Part_Title"/>
    <w:basedOn w:val="AnnexTitle"/>
    <w:next w:val="Normalaftertitle"/>
  </w:style>
  <w:style w:type="paragraph" w:customStyle="1" w:styleId="Rep">
    <w:name w:val="Rep_#"/>
    <w:basedOn w:val="Rec"/>
    <w:next w:val="RepTitle"/>
  </w:style>
  <w:style w:type="paragraph" w:customStyle="1" w:styleId="RepTitle">
    <w:name w:val="Rep_Title"/>
    <w:basedOn w:val="RecTitle"/>
    <w:next w:val="RepTitleRef"/>
  </w:style>
  <w:style w:type="paragraph" w:customStyle="1" w:styleId="RepTitleRef">
    <w:name w:val="Rep_Title/Ref"/>
    <w:basedOn w:val="RecTitleRef"/>
    <w:next w:val="RepTitleDate"/>
  </w:style>
  <w:style w:type="paragraph" w:customStyle="1" w:styleId="RepTitleDate">
    <w:name w:val="Rep_Title/Date"/>
    <w:basedOn w:val="RecTitleDate"/>
    <w:next w:val="headfoot"/>
  </w:style>
  <w:style w:type="paragraph" w:customStyle="1" w:styleId="RefDoc">
    <w:name w:val="Ref_Doc"/>
    <w:basedOn w:val="RefText"/>
    <w:next w:val="RefText"/>
    <w:pPr>
      <w:spacing w:before="227"/>
    </w:pPr>
    <w:rPr>
      <w:i/>
      <w:iCs/>
    </w:rPr>
  </w:style>
  <w:style w:type="paragraph" w:customStyle="1" w:styleId="Question">
    <w:name w:val="Question_#"/>
    <w:basedOn w:val="Rec"/>
    <w:next w:val="QuestionTitle"/>
    <w:pPr>
      <w:spacing w:before="0"/>
    </w:pPr>
  </w:style>
  <w:style w:type="paragraph" w:customStyle="1" w:styleId="QuestionTitle">
    <w:name w:val="Question_Title"/>
    <w:basedOn w:val="RecTitle"/>
    <w:next w:val="QuestionTitleRef"/>
  </w:style>
  <w:style w:type="paragraph" w:customStyle="1" w:styleId="QuestionTitleRef">
    <w:name w:val="Question_Title/Ref"/>
    <w:basedOn w:val="RecTitleRef"/>
    <w:next w:val="QuestionTitleDate"/>
  </w:style>
  <w:style w:type="paragraph" w:customStyle="1" w:styleId="QuestionTitleDate">
    <w:name w:val="Question_Title/Date"/>
    <w:basedOn w:val="RecTitleDate"/>
    <w:next w:val="headfoot"/>
  </w:style>
  <w:style w:type="paragraph" w:customStyle="1" w:styleId="Res">
    <w:name w:val="Res_#"/>
    <w:basedOn w:val="Rec"/>
    <w:next w:val="ResTitle"/>
  </w:style>
  <w:style w:type="paragraph" w:customStyle="1" w:styleId="ResTitle">
    <w:name w:val="Res_Title"/>
    <w:basedOn w:val="RecTitle"/>
    <w:next w:val="ResTitleRef"/>
  </w:style>
  <w:style w:type="paragraph" w:customStyle="1" w:styleId="ResTitleRef">
    <w:name w:val="Res_Title/Ref"/>
    <w:basedOn w:val="RecTitleRef"/>
    <w:next w:val="ResTitleDate"/>
  </w:style>
  <w:style w:type="paragraph" w:customStyle="1" w:styleId="ResTitleDate">
    <w:name w:val="Res_Title/Date"/>
    <w:basedOn w:val="RecTitleDate"/>
    <w:next w:val="headfoot"/>
  </w:style>
  <w:style w:type="paragraph" w:customStyle="1" w:styleId="Tablefin">
    <w:name w:val="Table_fin"/>
    <w:basedOn w:val="Normal"/>
    <w:next w:val="Normal"/>
    <w:pPr>
      <w:spacing w:before="284"/>
    </w:pPr>
  </w:style>
  <w:style w:type="paragraph" w:customStyle="1" w:styleId="Note">
    <w:name w:val="Note"/>
    <w:basedOn w:val="Normal"/>
    <w:next w:val="Normal"/>
    <w:pPr>
      <w:tabs>
        <w:tab w:val="clear" w:pos="794"/>
        <w:tab w:val="clear" w:pos="1191"/>
        <w:tab w:val="clear" w:pos="1588"/>
        <w:tab w:val="clear" w:pos="1985"/>
      </w:tabs>
      <w:spacing w:before="80"/>
    </w:pPr>
  </w:style>
  <w:style w:type="paragraph" w:customStyle="1" w:styleId="Style">
    <w:name w:val="Style"/>
    <w:basedOn w:val="Normal"/>
    <w:pPr>
      <w:tabs>
        <w:tab w:val="center" w:pos="4196"/>
        <w:tab w:val="left" w:pos="9242"/>
        <w:tab w:val="center" w:pos="12587"/>
      </w:tabs>
      <w:spacing w:before="340" w:line="318" w:lineRule="atLeast"/>
      <w:ind w:right="618"/>
    </w:pPr>
    <w:rPr>
      <w:rFonts w:ascii="M Joanna" w:hAnsi="M Joanna"/>
      <w:i/>
      <w:iCs/>
      <w:sz w:val="28"/>
      <w:szCs w:val="28"/>
    </w:rPr>
  </w:style>
  <w:style w:type="paragraph" w:customStyle="1" w:styleId="Sectionsous">
    <w:name w:val="Section_sous"/>
    <w:basedOn w:val="Section"/>
    <w:next w:val="Rec"/>
    <w:pPr>
      <w:pageBreakBefore w:val="0"/>
      <w:spacing w:before="240"/>
    </w:pPr>
  </w:style>
  <w:style w:type="paragraph" w:customStyle="1" w:styleId="CCI">
    <w:name w:val="CCI"/>
    <w:basedOn w:val="Normal"/>
    <w:next w:val="call"/>
    <w:pPr>
      <w:keepNext/>
      <w:keepLines/>
      <w:tabs>
        <w:tab w:val="clear" w:pos="794"/>
        <w:tab w:val="clear" w:pos="1191"/>
        <w:tab w:val="clear" w:pos="1588"/>
        <w:tab w:val="clear" w:pos="1985"/>
      </w:tabs>
      <w:spacing w:before="199"/>
    </w:pPr>
  </w:style>
  <w:style w:type="paragraph" w:customStyle="1" w:styleId="Fig">
    <w:name w:val="Fig"/>
    <w:basedOn w:val="Figure"/>
    <w:next w:val="Fig0"/>
    <w:pPr>
      <w:keepNext w:val="0"/>
      <w:keepLines w:val="0"/>
      <w:tabs>
        <w:tab w:val="left" w:pos="794"/>
        <w:tab w:val="left" w:pos="1191"/>
        <w:tab w:val="left" w:pos="1588"/>
        <w:tab w:val="left" w:pos="1985"/>
      </w:tabs>
      <w:spacing w:before="136"/>
    </w:pPr>
    <w:rPr>
      <w:lang w:val="en-US"/>
    </w:rPr>
  </w:style>
  <w:style w:type="paragraph" w:customStyle="1" w:styleId="Fig0">
    <w:name w:val="Fig_#"/>
    <w:basedOn w:val="Fig"/>
    <w:next w:val="Normal"/>
    <w:pPr>
      <w:jc w:val="left"/>
    </w:pPr>
    <w:rPr>
      <w:color w:val="FF0000"/>
    </w:rPr>
  </w:style>
  <w:style w:type="paragraph" w:customStyle="1" w:styleId="TitreSerie">
    <w:name w:val="Titre Serie"/>
    <w:basedOn w:val="Normal"/>
    <w:pPr>
      <w:tabs>
        <w:tab w:val="clear" w:pos="794"/>
        <w:tab w:val="clear" w:pos="1191"/>
        <w:tab w:val="clear" w:pos="1588"/>
        <w:tab w:val="clear" w:pos="1985"/>
      </w:tabs>
      <w:spacing w:before="1200" w:after="240"/>
      <w:ind w:left="1418"/>
      <w:jc w:val="left"/>
    </w:pPr>
    <w:rPr>
      <w:rFonts w:ascii="Arial" w:hAnsi="Arial" w:cs="Arial"/>
      <w:sz w:val="32"/>
      <w:szCs w:val="32"/>
      <w:lang w:val="en-US"/>
    </w:rPr>
  </w:style>
  <w:style w:type="paragraph" w:customStyle="1" w:styleId="Sujet">
    <w:name w:val="Sujet"/>
    <w:basedOn w:val="Normal"/>
    <w:pPr>
      <w:tabs>
        <w:tab w:val="clear" w:pos="794"/>
        <w:tab w:val="clear" w:pos="1191"/>
        <w:tab w:val="clear" w:pos="1588"/>
        <w:tab w:val="clear" w:pos="1985"/>
      </w:tabs>
      <w:ind w:left="1418"/>
      <w:jc w:val="left"/>
    </w:pPr>
    <w:rPr>
      <w:rFonts w:ascii="Arial" w:hAnsi="Arial" w:cs="Arial"/>
      <w:sz w:val="32"/>
      <w:szCs w:val="32"/>
      <w:lang w:val="en-US"/>
    </w:rPr>
  </w:style>
  <w:style w:type="paragraph" w:customStyle="1" w:styleId="RecRef">
    <w:name w:val="Rec Ref"/>
    <w:basedOn w:val="Normal"/>
    <w:next w:val="Heading1"/>
    <w:pPr>
      <w:tabs>
        <w:tab w:val="clear" w:pos="794"/>
        <w:tab w:val="clear" w:pos="1191"/>
        <w:tab w:val="clear" w:pos="1588"/>
        <w:tab w:val="clear" w:pos="1985"/>
      </w:tabs>
      <w:jc w:val="center"/>
    </w:pPr>
    <w:rPr>
      <w:i/>
      <w:iCs/>
      <w:lang w:val="en-US"/>
    </w:rPr>
  </w:style>
  <w:style w:type="paragraph" w:customStyle="1" w:styleId="TableFin0">
    <w:name w:val="Table_Fin"/>
    <w:basedOn w:val="Normal"/>
    <w:next w:val="Normal"/>
    <w:pPr>
      <w:tabs>
        <w:tab w:val="clear" w:pos="794"/>
        <w:tab w:val="clear" w:pos="1191"/>
        <w:tab w:val="clear" w:pos="1588"/>
        <w:tab w:val="clear" w:pos="1985"/>
      </w:tabs>
      <w:spacing w:before="284"/>
    </w:pPr>
    <w:rPr>
      <w:lang w:val="en-US"/>
    </w:rPr>
  </w:style>
  <w:style w:type="paragraph" w:customStyle="1" w:styleId="SectionTitle0">
    <w:name w:val="Section_Title"/>
    <w:basedOn w:val="Normal"/>
    <w:pPr>
      <w:tabs>
        <w:tab w:val="clear" w:pos="794"/>
        <w:tab w:val="clear" w:pos="1191"/>
        <w:tab w:val="clear" w:pos="1588"/>
        <w:tab w:val="clear" w:pos="1985"/>
      </w:tabs>
      <w:ind w:left="1418"/>
      <w:jc w:val="left"/>
    </w:pPr>
    <w:rPr>
      <w:rFonts w:ascii="Arial" w:hAnsi="Arial" w:cs="Arial"/>
      <w:sz w:val="32"/>
      <w:szCs w:val="32"/>
      <w:lang w:val="en-US"/>
    </w:rPr>
  </w:style>
  <w:style w:type="paragraph" w:customStyle="1" w:styleId="Rec0">
    <w:name w:val="Rec #"/>
    <w:basedOn w:val="Normal"/>
    <w:next w:val="headfoot"/>
    <w:pPr>
      <w:keepNext/>
      <w:keepLines/>
      <w:tabs>
        <w:tab w:val="clear" w:pos="794"/>
        <w:tab w:val="clear" w:pos="1191"/>
        <w:tab w:val="clear" w:pos="1588"/>
        <w:tab w:val="clear" w:pos="1985"/>
      </w:tabs>
      <w:spacing w:before="720"/>
      <w:jc w:val="left"/>
    </w:pPr>
    <w:rPr>
      <w:b/>
      <w:bCs/>
      <w:lang w:val="en-US"/>
    </w:rPr>
  </w:style>
  <w:style w:type="paragraph" w:customStyle="1" w:styleId="RecTitle0">
    <w:name w:val="Rec Title"/>
    <w:basedOn w:val="Rec0"/>
    <w:next w:val="RecRef"/>
    <w:pPr>
      <w:spacing w:before="240"/>
      <w:jc w:val="center"/>
    </w:pPr>
    <w:rPr>
      <w:caps/>
      <w:sz w:val="24"/>
      <w:szCs w:val="24"/>
    </w:rPr>
  </w:style>
  <w:style w:type="paragraph" w:customStyle="1" w:styleId="CouvRecTitle">
    <w:name w:val="Couv Rec Title"/>
    <w:basedOn w:val="RecTitle0"/>
    <w:pPr>
      <w:ind w:left="1418"/>
      <w:jc w:val="left"/>
    </w:pPr>
    <w:rPr>
      <w:rFonts w:ascii="Arial" w:hAnsi="Arial" w:cs="Arial"/>
      <w:caps w:val="0"/>
      <w:sz w:val="36"/>
      <w:szCs w:val="36"/>
    </w:rPr>
  </w:style>
  <w:style w:type="paragraph" w:customStyle="1" w:styleId="CouvRec">
    <w:name w:val="Couv Rec #"/>
    <w:basedOn w:val="Normal"/>
    <w:pPr>
      <w:tabs>
        <w:tab w:val="clear" w:pos="794"/>
        <w:tab w:val="clear" w:pos="1191"/>
        <w:tab w:val="clear" w:pos="1588"/>
        <w:tab w:val="clear" w:pos="1985"/>
      </w:tabs>
      <w:spacing w:before="6"/>
      <w:ind w:left="1418"/>
    </w:pPr>
    <w:rPr>
      <w:rFonts w:ascii="Arial" w:hAnsi="Arial" w:cs="Arial"/>
      <w:sz w:val="32"/>
      <w:szCs w:val="32"/>
      <w:lang w:val="en-US"/>
    </w:r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40"/>
      <w:jc w:val="left"/>
    </w:pPr>
    <w:rPr>
      <w:noProof/>
    </w:rPr>
  </w:style>
  <w:style w:type="paragraph" w:customStyle="1" w:styleId="ASN1Cont">
    <w:name w:val="ASN.1 Cont."/>
    <w:basedOn w:val="ASN1"/>
    <w:pPr>
      <w:spacing w:before="0"/>
    </w:pPr>
  </w:style>
  <w:style w:type="paragraph" w:customStyle="1" w:styleId="ASN1ital">
    <w:name w:val="ASN.1 ital"/>
    <w:basedOn w:val="Normal"/>
    <w:next w:val="ASN1Cont"/>
    <w:pPr>
      <w:tabs>
        <w:tab w:val="left" w:pos="794"/>
        <w:tab w:val="left" w:pos="1191"/>
        <w:tab w:val="left" w:pos="1588"/>
        <w:tab w:val="left" w:pos="1985"/>
      </w:tabs>
      <w:spacing w:before="0"/>
    </w:pPr>
    <w:rPr>
      <w:i/>
      <w:iCs/>
      <w:lang w:val="en-US"/>
    </w:rPr>
  </w:style>
  <w:style w:type="paragraph" w:customStyle="1" w:styleId="CouvNote">
    <w:name w:val="Couv Note"/>
    <w:basedOn w:val="Normal"/>
    <w:pPr>
      <w:tabs>
        <w:tab w:val="clear" w:pos="794"/>
        <w:tab w:val="clear" w:pos="1191"/>
        <w:tab w:val="clear" w:pos="1588"/>
        <w:tab w:val="clear" w:pos="1985"/>
        <w:tab w:val="left" w:pos="1134"/>
        <w:tab w:val="left" w:pos="1418"/>
      </w:tabs>
      <w:spacing w:before="200"/>
    </w:pPr>
    <w:rPr>
      <w:rFonts w:ascii="Arial" w:hAnsi="Arial" w:cs="Arial"/>
      <w:lang w:val="en-US"/>
    </w:rPr>
  </w:style>
  <w:style w:type="paragraph" w:customStyle="1" w:styleId="SAP">
    <w:name w:val="SAP"/>
    <w:basedOn w:val="Normal"/>
    <w:pPr>
      <w:tabs>
        <w:tab w:val="left" w:pos="794"/>
        <w:tab w:val="left" w:pos="1191"/>
        <w:tab w:val="left" w:pos="1588"/>
        <w:tab w:val="left" w:pos="1985"/>
      </w:tabs>
      <w:spacing w:before="960" w:after="240"/>
      <w:jc w:val="right"/>
    </w:pPr>
    <w:rPr>
      <w:rFonts w:ascii="C39T36Lfz" w:hAnsi="C39T36Lfz"/>
      <w:sz w:val="104"/>
      <w:szCs w:val="104"/>
      <w:lang w:val="en-US"/>
    </w:rPr>
  </w:style>
  <w:style w:type="paragraph" w:customStyle="1" w:styleId="IndexTitle">
    <w:name w:val="Index_Title"/>
    <w:basedOn w:val="AnnexTitle"/>
    <w:pPr>
      <w:tabs>
        <w:tab w:val="clear" w:pos="4849"/>
        <w:tab w:val="clear" w:pos="9696"/>
        <w:tab w:val="left" w:pos="794"/>
        <w:tab w:val="left" w:pos="1191"/>
        <w:tab w:val="left" w:pos="1588"/>
        <w:tab w:val="left" w:pos="1985"/>
      </w:tabs>
      <w:spacing w:before="80" w:after="20"/>
    </w:pPr>
    <w:rPr>
      <w:lang w:val="en-US"/>
    </w:rPr>
  </w:style>
  <w:style w:type="character" w:customStyle="1" w:styleId="NormalaftertitleChar">
    <w:name w:val="Normal after title Char"/>
    <w:link w:val="Normalaftertitle"/>
    <w:locked/>
    <w:rsid w:val="005B3EAF"/>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BR_R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AA651-A2C5-470E-BBEC-0D81350B6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BR_REC.DOT</Template>
  <TotalTime>3</TotalTime>
  <Pages>3</Pages>
  <Words>1296</Words>
  <Characters>7491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F.594-4 - Objetivos de característica de error del trayecto digital ficticio de referencia para sistemas de radioenlaces que proporcionan conexiones a una velocidad binaria inferior a la velocidad primaria y que forma parte o constituye todo el t ...</vt:lpstr>
    </vt:vector>
  </TitlesOfParts>
  <Manager>PV..1677</Manager>
  <Company>ITU</Company>
  <LinksUpToDate>false</LinksUpToDate>
  <CharactersWithSpaces>8706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F.594-4 - Objetivos de característica de error del trayecto digital ficticio de referencia para sistemas de radioenlaces que proporcionan conexiones a una velocidad binaria inferior a la velocidad primaria y que forma parte o constituye todo el t ...</dc:title>
  <dc:subject>Serie F = Servicio fijo</dc:subject>
  <dc:creator>Oficina de Radiocomunicaciones del UIT (BR)</dc:creator>
  <cp:keywords>F, 594-4</cp:keywords>
  <dc:description>Saisie  +    MEP        24.09.97   /    PV_x000d_
BAT                          02.10.97   /    PV</dc:description>
  <cp:lastModifiedBy>Gachet, Christelle</cp:lastModifiedBy>
  <cp:revision>4</cp:revision>
  <cp:lastPrinted>1996-01-31T11:59:00Z</cp:lastPrinted>
  <dcterms:created xsi:type="dcterms:W3CDTF">2014-02-19T15:02:00Z</dcterms:created>
  <dcterms:modified xsi:type="dcterms:W3CDTF">2014-02-19T15:05:00Z</dcterms:modified>
  <cp:category>\\  WW7  //    Folios:     1   à   3</cp:category>
</cp:coreProperties>
</file>