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8D3CB2" w:rsidRDefault="00FE79FE">
      <w:pPr>
        <w:rPr>
          <w:lang w:val="ru-RU"/>
        </w:rPr>
      </w:pPr>
    </w:p>
    <w:p w:rsidR="00FE79FE" w:rsidRPr="008D3CB2" w:rsidRDefault="00FE79FE">
      <w:pPr>
        <w:rPr>
          <w:lang w:val="ru-RU"/>
        </w:rPr>
      </w:pPr>
    </w:p>
    <w:p w:rsidR="00FE79FE" w:rsidRPr="008D3CB2" w:rsidRDefault="00FE79FE">
      <w:pPr>
        <w:rPr>
          <w:lang w:val="ru-RU"/>
        </w:rPr>
      </w:pPr>
    </w:p>
    <w:p w:rsidR="00FE79FE" w:rsidRPr="008D3CB2" w:rsidRDefault="00FE79FE">
      <w:pPr>
        <w:rPr>
          <w:lang w:val="ru-RU"/>
        </w:rPr>
      </w:pPr>
    </w:p>
    <w:p w:rsidR="00FE79FE" w:rsidRPr="008D3CB2" w:rsidRDefault="00FE79FE">
      <w:pPr>
        <w:rPr>
          <w:lang w:val="ru-RU"/>
        </w:rPr>
      </w:pPr>
    </w:p>
    <w:p w:rsidR="00013002" w:rsidRPr="008D3CB2" w:rsidRDefault="00013002">
      <w:pPr>
        <w:rPr>
          <w:lang w:val="ru-RU"/>
        </w:rPr>
      </w:pPr>
    </w:p>
    <w:p w:rsidR="00013002" w:rsidRPr="008D3CB2" w:rsidRDefault="00013002">
      <w:pPr>
        <w:rPr>
          <w:lang w:val="ru-RU"/>
        </w:rPr>
      </w:pPr>
    </w:p>
    <w:p w:rsidR="00013002" w:rsidRPr="008D3CB2" w:rsidRDefault="00013002">
      <w:pPr>
        <w:rPr>
          <w:lang w:val="ru-RU"/>
        </w:rPr>
      </w:pPr>
    </w:p>
    <w:p w:rsidR="00FE79FE" w:rsidRPr="008D3CB2" w:rsidRDefault="00FE79FE">
      <w:pPr>
        <w:rPr>
          <w:lang w:val="ru-RU"/>
        </w:rPr>
      </w:pPr>
    </w:p>
    <w:p w:rsidR="00FE79FE" w:rsidRPr="008D3CB2" w:rsidRDefault="00FE79FE">
      <w:pPr>
        <w:rPr>
          <w:lang w:val="ru-RU"/>
        </w:rPr>
      </w:pPr>
    </w:p>
    <w:p w:rsidR="00FE79FE" w:rsidRPr="008D3CB2" w:rsidRDefault="00FE79FE">
      <w:pPr>
        <w:rPr>
          <w:lang w:val="ru-RU"/>
        </w:rPr>
      </w:pPr>
    </w:p>
    <w:p w:rsidR="00FE79FE" w:rsidRPr="008D3CB2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D3CB2">
        <w:tc>
          <w:tcPr>
            <w:tcW w:w="10089" w:type="dxa"/>
          </w:tcPr>
          <w:p w:rsidR="00276D21" w:rsidRPr="008D3CB2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8D3CB2" w:rsidRDefault="00131900" w:rsidP="007F00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D3C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8D3C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8D3C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8D3C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D3C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557-5</w:t>
            </w:r>
          </w:p>
          <w:p w:rsidR="00FE79FE" w:rsidRPr="008D3CB2" w:rsidRDefault="00FE79FE" w:rsidP="0071797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D3CB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8D3CB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8D3CB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8D3CB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8D3CB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8D3CB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717979" w:rsidRPr="008D3CB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8D3CB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8D3CB2">
        <w:tc>
          <w:tcPr>
            <w:tcW w:w="10089" w:type="dxa"/>
          </w:tcPr>
          <w:p w:rsidR="00013002" w:rsidRPr="008D3CB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8D3CB2" w:rsidRDefault="00717979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D3CB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Показатели готовности для радиорелейных систем гипотетического эталонного цифрового тракта</w:t>
            </w:r>
          </w:p>
          <w:p w:rsidR="00A62A14" w:rsidRPr="008D3CB2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8D3CB2">
        <w:tc>
          <w:tcPr>
            <w:tcW w:w="10089" w:type="dxa"/>
          </w:tcPr>
          <w:p w:rsidR="009E3058" w:rsidRPr="008D3CB2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8D3CB2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8D3CB2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8D3CB2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8D3CB2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D3C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8D3C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8D3CB2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D3CB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8D3CB2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8D3CB2" w:rsidRDefault="00A71FE5" w:rsidP="00CD659B">
      <w:pPr>
        <w:spacing w:before="80"/>
        <w:rPr>
          <w:i/>
          <w:lang w:val="ru-RU"/>
        </w:rPr>
      </w:pPr>
    </w:p>
    <w:p w:rsidR="00FE79FE" w:rsidRPr="008D3CB2" w:rsidRDefault="00FE79FE" w:rsidP="00CD659B">
      <w:pPr>
        <w:spacing w:before="80"/>
        <w:rPr>
          <w:i/>
          <w:lang w:val="ru-RU"/>
        </w:rPr>
      </w:pPr>
    </w:p>
    <w:p w:rsidR="00FE79FE" w:rsidRPr="008D3CB2" w:rsidRDefault="00FE79FE" w:rsidP="00CD659B">
      <w:pPr>
        <w:spacing w:before="80"/>
        <w:rPr>
          <w:i/>
          <w:lang w:val="ru-RU"/>
        </w:rPr>
      </w:pPr>
    </w:p>
    <w:p w:rsidR="00FE79FE" w:rsidRPr="008D3CB2" w:rsidRDefault="00FE79FE" w:rsidP="00CD659B">
      <w:pPr>
        <w:spacing w:before="80"/>
        <w:rPr>
          <w:i/>
          <w:lang w:val="ru-RU"/>
        </w:rPr>
      </w:pPr>
    </w:p>
    <w:p w:rsidR="00FE79FE" w:rsidRPr="008D3CB2" w:rsidRDefault="00FE79FE" w:rsidP="00CD659B">
      <w:pPr>
        <w:spacing w:before="80"/>
        <w:rPr>
          <w:i/>
          <w:lang w:val="ru-RU"/>
        </w:rPr>
      </w:pPr>
    </w:p>
    <w:p w:rsidR="00A71FE5" w:rsidRPr="008D3CB2" w:rsidRDefault="00A71FE5" w:rsidP="00CD659B">
      <w:pPr>
        <w:spacing w:before="80"/>
        <w:rPr>
          <w:i/>
          <w:lang w:val="ru-RU"/>
        </w:rPr>
      </w:pPr>
    </w:p>
    <w:p w:rsidR="00CD659B" w:rsidRPr="008D3CB2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D3CB2" w:rsidSect="00C855C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8D3CB2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8D3CB2">
        <w:rPr>
          <w:b/>
          <w:bCs/>
          <w:szCs w:val="22"/>
          <w:lang w:val="ru-RU"/>
        </w:rPr>
        <w:lastRenderedPageBreak/>
        <w:t>Предисловие</w:t>
      </w:r>
    </w:p>
    <w:p w:rsidR="00C855C0" w:rsidRPr="008D3CB2" w:rsidRDefault="00C855C0" w:rsidP="00C855C0">
      <w:pPr>
        <w:rPr>
          <w:sz w:val="20"/>
          <w:lang w:val="ru-RU"/>
        </w:rPr>
      </w:pPr>
      <w:r w:rsidRPr="008D3CB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8D3CB2" w:rsidRDefault="00C855C0" w:rsidP="00C855C0">
      <w:pPr>
        <w:rPr>
          <w:sz w:val="20"/>
          <w:lang w:val="ru-RU"/>
        </w:rPr>
      </w:pPr>
      <w:r w:rsidRPr="008D3CB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8D3CB2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8D3CB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8D3CB2" w:rsidRDefault="00C855C0" w:rsidP="006E227A">
      <w:pPr>
        <w:rPr>
          <w:sz w:val="20"/>
          <w:lang w:val="ru-RU"/>
        </w:rPr>
      </w:pPr>
      <w:r w:rsidRPr="008D3CB2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 w:rsidRPr="008D3CB2">
        <w:rPr>
          <w:sz w:val="20"/>
          <w:lang w:val="ru-RU"/>
        </w:rPr>
        <w:t xml:space="preserve"> 1</w:t>
      </w:r>
      <w:r w:rsidRPr="008D3CB2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D3CB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8D3CB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8D3CB2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8D3CB2" w:rsidTr="00D40BEE">
        <w:trPr>
          <w:jc w:val="center"/>
        </w:trPr>
        <w:tc>
          <w:tcPr>
            <w:tcW w:w="8856" w:type="dxa"/>
            <w:gridSpan w:val="2"/>
          </w:tcPr>
          <w:p w:rsidR="00C855C0" w:rsidRPr="008D3CB2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8D3CB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8D3CB2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D3CB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D3CB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D3CB2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8D3CB2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8D3CB2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8D3CB2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8D3CB2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8D3CB2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8D3CB2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8D3CB2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8D3CB2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8D3CB2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8D3CB2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8D3CB2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</w:tcPr>
          <w:p w:rsidR="00C855C0" w:rsidRPr="008D3CB2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8D3CB2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8D3CB2" w:rsidTr="00D40BEE">
        <w:trPr>
          <w:jc w:val="center"/>
        </w:trPr>
        <w:tc>
          <w:tcPr>
            <w:tcW w:w="1188" w:type="dxa"/>
          </w:tcPr>
          <w:p w:rsidR="00C855C0" w:rsidRPr="008D3CB2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8D3CB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8D3CB2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8D3CB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8D3CB2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8D3CB2" w:rsidTr="00D40BEE">
        <w:trPr>
          <w:jc w:val="center"/>
        </w:trPr>
        <w:tc>
          <w:tcPr>
            <w:tcW w:w="8856" w:type="dxa"/>
          </w:tcPr>
          <w:p w:rsidR="00C855C0" w:rsidRPr="008D3CB2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8D3CB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8D3CB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8D3CB2">
              <w:rPr>
                <w:i/>
                <w:iCs/>
                <w:sz w:val="20"/>
                <w:lang w:val="ru-RU"/>
              </w:rPr>
              <w:t> </w:t>
            </w:r>
            <w:r w:rsidRPr="008D3CB2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8D3CB2">
              <w:rPr>
                <w:i/>
                <w:iCs/>
                <w:sz w:val="20"/>
                <w:lang w:val="ru-RU"/>
              </w:rPr>
              <w:t xml:space="preserve"> 1</w:t>
            </w:r>
            <w:r w:rsidRPr="008D3CB2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8D3CB2" w:rsidRDefault="00C855C0" w:rsidP="006A4DE9">
      <w:pPr>
        <w:spacing w:before="360"/>
        <w:jc w:val="right"/>
        <w:rPr>
          <w:sz w:val="20"/>
          <w:lang w:val="ru-RU"/>
        </w:rPr>
      </w:pPr>
      <w:r w:rsidRPr="008D3CB2">
        <w:rPr>
          <w:i/>
          <w:iCs/>
          <w:sz w:val="20"/>
          <w:lang w:val="ru-RU"/>
        </w:rPr>
        <w:t>Электронная публикация</w:t>
      </w:r>
      <w:r w:rsidRPr="008D3CB2">
        <w:rPr>
          <w:i/>
          <w:iCs/>
          <w:sz w:val="20"/>
          <w:lang w:val="ru-RU"/>
        </w:rPr>
        <w:br/>
      </w:r>
      <w:r w:rsidRPr="008D3CB2">
        <w:rPr>
          <w:sz w:val="20"/>
          <w:lang w:val="ru-RU"/>
        </w:rPr>
        <w:t>Женева, 201</w:t>
      </w:r>
      <w:r w:rsidR="006A4DE9" w:rsidRPr="008D3CB2">
        <w:rPr>
          <w:sz w:val="20"/>
          <w:lang w:val="ru-RU"/>
        </w:rPr>
        <w:t>5</w:t>
      </w:r>
      <w:r w:rsidRPr="008D3CB2">
        <w:rPr>
          <w:sz w:val="20"/>
          <w:lang w:val="ru-RU"/>
        </w:rPr>
        <w:t xml:space="preserve"> г.</w:t>
      </w:r>
    </w:p>
    <w:p w:rsidR="00C855C0" w:rsidRPr="008D3CB2" w:rsidRDefault="001C6156" w:rsidP="006A4DE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8D3CB2">
        <w:rPr>
          <w:sz w:val="20"/>
          <w:lang w:val="ru-RU"/>
        </w:rPr>
        <w:sym w:font="Symbol" w:char="F0E3"/>
      </w:r>
      <w:r w:rsidRPr="008D3CB2">
        <w:rPr>
          <w:sz w:val="20"/>
          <w:lang w:val="ru-RU"/>
        </w:rPr>
        <w:t xml:space="preserve"> ITU </w:t>
      </w:r>
      <w:bookmarkStart w:id="1" w:name="iiannee"/>
      <w:bookmarkEnd w:id="1"/>
      <w:r w:rsidRPr="008D3CB2">
        <w:rPr>
          <w:sz w:val="20"/>
          <w:lang w:val="ru-RU"/>
        </w:rPr>
        <w:t>201</w:t>
      </w:r>
      <w:r w:rsidR="006A4DE9" w:rsidRPr="008D3CB2">
        <w:rPr>
          <w:sz w:val="20"/>
          <w:lang w:val="ru-RU"/>
        </w:rPr>
        <w:t>5</w:t>
      </w:r>
    </w:p>
    <w:p w:rsidR="001C6156" w:rsidRPr="008D3CB2" w:rsidRDefault="00C855C0" w:rsidP="001C6156">
      <w:pPr>
        <w:rPr>
          <w:sz w:val="18"/>
          <w:szCs w:val="18"/>
          <w:lang w:val="ru-RU"/>
        </w:rPr>
      </w:pPr>
      <w:r w:rsidRPr="008D3CB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8D3CB2" w:rsidRDefault="001C6156" w:rsidP="001C6156">
      <w:pPr>
        <w:spacing w:before="160"/>
        <w:rPr>
          <w:i/>
          <w:sz w:val="20"/>
          <w:lang w:val="ru-RU"/>
        </w:rPr>
        <w:sectPr w:rsidR="001C6156" w:rsidRPr="008D3CB2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91F23" w:rsidRPr="008D3CB2" w:rsidRDefault="00E91F23" w:rsidP="00717979">
      <w:pPr>
        <w:pStyle w:val="RecNo"/>
        <w:rPr>
          <w:lang w:val="ru-RU"/>
        </w:rPr>
      </w:pPr>
      <w:bookmarkStart w:id="2" w:name="irecnoe"/>
      <w:bookmarkEnd w:id="2"/>
      <w:r w:rsidRPr="008D3CB2">
        <w:rPr>
          <w:lang w:val="ru-RU"/>
        </w:rPr>
        <w:lastRenderedPageBreak/>
        <w:t xml:space="preserve">РЕКОМЕНДАЦИЯ  </w:t>
      </w:r>
      <w:r w:rsidRPr="008D3CB2">
        <w:rPr>
          <w:rStyle w:val="href"/>
          <w:lang w:val="ru-RU"/>
        </w:rPr>
        <w:t>МСЭ-R  F.</w:t>
      </w:r>
      <w:r w:rsidR="00717979" w:rsidRPr="008D3CB2">
        <w:rPr>
          <w:rStyle w:val="href"/>
          <w:lang w:val="ru-RU"/>
        </w:rPr>
        <w:t>557-5</w:t>
      </w:r>
    </w:p>
    <w:p w:rsidR="00717979" w:rsidRPr="008D3CB2" w:rsidRDefault="00717979" w:rsidP="00717979">
      <w:pPr>
        <w:pStyle w:val="Rectitle"/>
        <w:rPr>
          <w:lang w:val="ru-RU"/>
        </w:rPr>
      </w:pPr>
      <w:r w:rsidRPr="008D3CB2">
        <w:rPr>
          <w:lang w:val="ru-RU"/>
        </w:rPr>
        <w:t>Показатели готовности для радиорелейных систем гипотетического эталонного цифрового тракта</w:t>
      </w:r>
    </w:p>
    <w:p w:rsidR="00717979" w:rsidRPr="008D3CB2" w:rsidRDefault="00717979" w:rsidP="00717979">
      <w:pPr>
        <w:pStyle w:val="Recdate"/>
        <w:spacing w:before="240"/>
        <w:rPr>
          <w:lang w:val="ru-RU"/>
        </w:rPr>
      </w:pPr>
      <w:r w:rsidRPr="008D3CB2">
        <w:rPr>
          <w:lang w:val="ru-RU"/>
        </w:rPr>
        <w:t>(1978-1986-1990-1991-1997-2014)</w:t>
      </w:r>
    </w:p>
    <w:p w:rsidR="00717979" w:rsidRPr="008D3CB2" w:rsidRDefault="00717979" w:rsidP="00717979">
      <w:pPr>
        <w:pStyle w:val="HeadingSum"/>
        <w:rPr>
          <w:lang w:val="ru-RU"/>
        </w:rPr>
      </w:pPr>
      <w:r w:rsidRPr="008D3CB2">
        <w:rPr>
          <w:lang w:val="ru-RU"/>
        </w:rPr>
        <w:t>Сфера применения</w:t>
      </w:r>
    </w:p>
    <w:p w:rsidR="00717979" w:rsidRPr="008D3CB2" w:rsidRDefault="00717979" w:rsidP="00717979">
      <w:pPr>
        <w:pStyle w:val="Summary"/>
        <w:rPr>
          <w:lang w:val="ru-RU"/>
        </w:rPr>
      </w:pPr>
      <w:r w:rsidRPr="008D3CB2">
        <w:rPr>
          <w:lang w:val="ru-RU"/>
        </w:rPr>
        <w:t xml:space="preserve">В настоящей Рекомендации приводятся показатели готовности для радиорелейных систем гипотетического эталонного цифрового тракта (ГЭЦТ), в том числе понятие неготовности ГЭЦТ и факторы, подлежащие учету при оценке неготовности. Кроме того, в настоящей Рекомендации приводится руководство в отношении готовности и надежности радиорелейных систем. </w:t>
      </w:r>
    </w:p>
    <w:p w:rsidR="00717979" w:rsidRPr="008D3CB2" w:rsidRDefault="00717979" w:rsidP="002558A8">
      <w:pPr>
        <w:rPr>
          <w:lang w:val="ru-RU" w:eastAsia="ja-JP"/>
        </w:rPr>
      </w:pPr>
      <w:r w:rsidRPr="008D3CB2">
        <w:rPr>
          <w:lang w:val="ru-RU"/>
        </w:rPr>
        <w:t>Следует отметить, что настоящая Рекомендация может использоваться только для систем, разработанных до утверждения в 2005 году Рекомендации МСЭ-R F.1703.</w:t>
      </w:r>
    </w:p>
    <w:p w:rsidR="00717979" w:rsidRPr="008D3CB2" w:rsidRDefault="00717979" w:rsidP="002558A8">
      <w:pPr>
        <w:rPr>
          <w:lang w:val="ru-RU" w:eastAsia="ja-JP"/>
        </w:rPr>
      </w:pPr>
      <w:r w:rsidRPr="008D3CB2">
        <w:rPr>
          <w:lang w:val="ru-RU" w:eastAsia="ja-JP"/>
        </w:rPr>
        <w:t>В данной пересмотренной версии исключена гипотетическая эталонная цепь (ГЭЦ) и относящаяся к ней информация об аналоговой связи. С этой информацией можно ознакомиться в предыдущей версии настоящей Рекомендации, а также в справочном документе "Список Рекомендаций МСЭ-R по аналоговым системам фиксированной службы в полосах частот выше 30 МГц" (данный документ размещен на веб-странице Рабочей группы 5C МСЭ-R). В этом документе содержится список всех Рекомендаций, в которых упоминаются аналоговые системы фиксированной службы, в том числе исключенные.</w:t>
      </w:r>
    </w:p>
    <w:p w:rsidR="00717979" w:rsidRPr="008D3CB2" w:rsidRDefault="00717979" w:rsidP="002558A8">
      <w:pPr>
        <w:pStyle w:val="Headingb"/>
        <w:rPr>
          <w:lang w:val="ru-RU"/>
        </w:rPr>
      </w:pPr>
      <w:r w:rsidRPr="008D3CB2">
        <w:rPr>
          <w:lang w:val="ru-RU"/>
        </w:rPr>
        <w:t>Ключевые слова</w:t>
      </w:r>
    </w:p>
    <w:p w:rsidR="00717979" w:rsidRPr="008D3CB2" w:rsidRDefault="00717979" w:rsidP="002558A8">
      <w:pPr>
        <w:rPr>
          <w:lang w:val="ru-RU" w:eastAsia="ja-JP"/>
        </w:rPr>
      </w:pPr>
      <w:r w:rsidRPr="008D3CB2">
        <w:rPr>
          <w:lang w:val="ru-RU" w:eastAsia="ja-JP"/>
        </w:rPr>
        <w:t>Фиксированная служба, гипотетический эталонный цифровой тракт (ГЭЦТ), готовность, неготовность, среднее время между отказами (MTBF), среднее время восстановления (MTTR).</w:t>
      </w:r>
    </w:p>
    <w:p w:rsidR="00717979" w:rsidRPr="008D3CB2" w:rsidRDefault="00717979" w:rsidP="00717979">
      <w:pPr>
        <w:spacing w:before="480"/>
        <w:rPr>
          <w:lang w:val="ru-RU"/>
        </w:rPr>
      </w:pPr>
      <w:r w:rsidRPr="008D3CB2">
        <w:rPr>
          <w:lang w:val="ru-RU"/>
        </w:rPr>
        <w:t>Ассамблея радиосвязи МСЭ,</w:t>
      </w:r>
    </w:p>
    <w:p w:rsidR="00717979" w:rsidRPr="008D3CB2" w:rsidRDefault="00717979" w:rsidP="00717979">
      <w:pPr>
        <w:pStyle w:val="Call"/>
        <w:rPr>
          <w:lang w:val="ru-RU"/>
        </w:rPr>
      </w:pPr>
      <w:r w:rsidRPr="008D3CB2">
        <w:rPr>
          <w:lang w:val="ru-RU"/>
        </w:rPr>
        <w:t>учитывая</w:t>
      </w:r>
      <w:r w:rsidRPr="008D3CB2">
        <w:rPr>
          <w:i w:val="0"/>
          <w:iCs/>
          <w:lang w:val="ru-RU"/>
        </w:rPr>
        <w:t>,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i/>
          <w:lang w:val="ru-RU"/>
        </w:rPr>
        <w:t>a)</w:t>
      </w:r>
      <w:r w:rsidRPr="008D3CB2">
        <w:rPr>
          <w:lang w:val="ru-RU"/>
        </w:rPr>
        <w:tab/>
        <w:t>что гипотетический эталонный цифровой тракт предназначен для использования в качестве руководства для разработчиков и проектировщиков систем, разработанных до 2005 года;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i/>
          <w:lang w:val="ru-RU"/>
        </w:rPr>
        <w:t>b)</w:t>
      </w:r>
      <w:r w:rsidRPr="008D3CB2">
        <w:rPr>
          <w:lang w:val="ru-RU"/>
        </w:rPr>
        <w:tab/>
        <w:t>что готовность радиорелейных систем зависит от многих факторов и, особенно, от организации технического обслуживания (которое определяет время восстановления), надежности оборудования, параметров системы и условий распространения радиоволн. Относительная значимость этих факторов может существенно варьироваться от одной области до другой, причем иногда без возможности контроля;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i/>
          <w:lang w:val="ru-RU"/>
        </w:rPr>
        <w:t>c)</w:t>
      </w:r>
      <w:r w:rsidRPr="008D3CB2">
        <w:rPr>
          <w:lang w:val="ru-RU"/>
        </w:rPr>
        <w:tab/>
        <w:t>что желательно использовать общие показатели готовности как для кабельных, так и для радиорелейных систем,</w:t>
      </w:r>
    </w:p>
    <w:p w:rsidR="00717979" w:rsidRPr="008D3CB2" w:rsidRDefault="00717979" w:rsidP="00717979">
      <w:pPr>
        <w:pStyle w:val="Call"/>
        <w:rPr>
          <w:lang w:val="ru-RU"/>
        </w:rPr>
      </w:pPr>
      <w:r w:rsidRPr="008D3CB2">
        <w:rPr>
          <w:lang w:val="ru-RU"/>
        </w:rPr>
        <w:t>рекомендует</w:t>
      </w:r>
      <w:r w:rsidRPr="008D3CB2">
        <w:rPr>
          <w:i w:val="0"/>
          <w:iCs/>
          <w:lang w:val="ru-RU"/>
        </w:rPr>
        <w:t>,</w:t>
      </w:r>
    </w:p>
    <w:p w:rsidR="00717979" w:rsidRPr="008D3CB2" w:rsidRDefault="00717979" w:rsidP="002558A8">
      <w:pPr>
        <w:rPr>
          <w:lang w:val="ru-RU"/>
        </w:rPr>
      </w:pPr>
      <w:r w:rsidRPr="00941983">
        <w:rPr>
          <w:b/>
          <w:lang w:val="ru-RU"/>
        </w:rPr>
        <w:t>1</w:t>
      </w:r>
      <w:r w:rsidRPr="008D3CB2">
        <w:rPr>
          <w:lang w:val="ru-RU"/>
        </w:rPr>
        <w:tab/>
        <w:t>что показатель готовности, относящийся к гипотетическому эталонному цифровому тракту длиной 2500 км для цифровых радиорелейных систем (Рекомендация МСЭ</w:t>
      </w:r>
      <w:r w:rsidRPr="008D3CB2">
        <w:rPr>
          <w:lang w:val="ru-RU"/>
        </w:rPr>
        <w:noBreakHyphen/>
        <w:t xml:space="preserve">R F.556), должен составлять 99,7% времени, причем для того чтобы этот процент был статистически достоверным, он должен относиться к достаточно длительному периоду времени, продолжительность которого, возможно, превышает один год; этот период находится в стадии изучения (см. </w:t>
      </w:r>
      <w:r w:rsidR="00941983" w:rsidRPr="008D3CB2">
        <w:rPr>
          <w:lang w:val="ru-RU"/>
        </w:rPr>
        <w:t xml:space="preserve">Примечания </w:t>
      </w:r>
      <w:r w:rsidRPr="008D3CB2">
        <w:rPr>
          <w:lang w:val="ru-RU"/>
        </w:rPr>
        <w:t>2, 3 и 4);</w:t>
      </w:r>
    </w:p>
    <w:p w:rsidR="00717979" w:rsidRPr="008D3CB2" w:rsidRDefault="00717979" w:rsidP="00717979">
      <w:pPr>
        <w:rPr>
          <w:lang w:val="ru-RU"/>
        </w:rPr>
      </w:pPr>
      <w:r w:rsidRPr="00941983">
        <w:rPr>
          <w:b/>
          <w:lang w:val="ru-RU"/>
        </w:rPr>
        <w:t>2</w:t>
      </w:r>
      <w:r w:rsidRPr="008D3CB2">
        <w:rPr>
          <w:lang w:val="ru-RU"/>
        </w:rPr>
        <w:tab/>
        <w:t>что понятие неготовности для ГЭЦТ должно быть следующим:</w:t>
      </w:r>
    </w:p>
    <w:p w:rsidR="00717979" w:rsidRPr="008D3CB2" w:rsidRDefault="00717979" w:rsidP="00717979">
      <w:pPr>
        <w:rPr>
          <w:lang w:val="ru-RU"/>
        </w:rPr>
      </w:pPr>
      <w:r w:rsidRPr="00941983">
        <w:rPr>
          <w:b/>
          <w:lang w:val="ru-RU"/>
        </w:rPr>
        <w:t>2.1</w:t>
      </w:r>
      <w:r w:rsidRPr="008D3CB2">
        <w:rPr>
          <w:lang w:val="ru-RU"/>
        </w:rPr>
        <w:tab/>
        <w:t xml:space="preserve">период времени неготовности начинает </w:t>
      </w:r>
      <w:r w:rsidRPr="008D3CB2">
        <w:rPr>
          <w:szCs w:val="22"/>
          <w:lang w:val="ru-RU" w:eastAsia="ja-JP"/>
        </w:rPr>
        <w:t xml:space="preserve">отсчитываться с момента появления последовательности из десяти секунд со значительным количеством ошибок (SES) по крайней мере в </w:t>
      </w:r>
      <w:r w:rsidRPr="008D3CB2">
        <w:rPr>
          <w:szCs w:val="22"/>
          <w:lang w:val="ru-RU" w:eastAsia="ja-JP"/>
        </w:rPr>
        <w:lastRenderedPageBreak/>
        <w:t>одном направлении передачи</w:t>
      </w:r>
      <w:r w:rsidRPr="008D3CB2">
        <w:rPr>
          <w:lang w:val="ru-RU"/>
        </w:rPr>
        <w:t xml:space="preserve"> (см. </w:t>
      </w:r>
      <w:r w:rsidR="00941983" w:rsidRPr="008D3CB2">
        <w:rPr>
          <w:lang w:val="ru-RU"/>
        </w:rPr>
        <w:t xml:space="preserve">Примечания </w:t>
      </w:r>
      <w:r w:rsidRPr="008D3CB2">
        <w:rPr>
          <w:lang w:val="ru-RU"/>
        </w:rPr>
        <w:t>1 и 9). Эти десять секунд считаются временем неготовности. Определение SES дано в Рекомендациях МСЭ</w:t>
      </w:r>
      <w:r w:rsidRPr="008D3CB2">
        <w:rPr>
          <w:lang w:val="ru-RU" w:eastAsia="ja-JP"/>
        </w:rPr>
        <w:t>-T</w:t>
      </w:r>
      <w:r w:rsidRPr="008D3CB2">
        <w:rPr>
          <w:lang w:val="ru-RU"/>
        </w:rPr>
        <w:t xml:space="preserve"> G.821 и МСЭ-T G.826;</w:t>
      </w:r>
    </w:p>
    <w:p w:rsidR="00717979" w:rsidRPr="008D3CB2" w:rsidRDefault="00717979" w:rsidP="002558A8">
      <w:pPr>
        <w:rPr>
          <w:lang w:val="ru-RU"/>
        </w:rPr>
      </w:pPr>
      <w:r w:rsidRPr="00941983">
        <w:rPr>
          <w:b/>
          <w:lang w:val="ru-RU"/>
        </w:rPr>
        <w:t>2.2</w:t>
      </w:r>
      <w:r w:rsidRPr="008D3CB2">
        <w:rPr>
          <w:lang w:val="ru-RU"/>
        </w:rPr>
        <w:tab/>
        <w:t xml:space="preserve">новый период готовности начинает </w:t>
      </w:r>
      <w:r w:rsidRPr="008D3CB2">
        <w:rPr>
          <w:lang w:val="ru-RU" w:eastAsia="ja-JP"/>
        </w:rPr>
        <w:t>отсчитываться с момента появления последовательности из десяти секунд с незначительным количеством ошибок (non-SES) в обоих направлениях передачи</w:t>
      </w:r>
      <w:r w:rsidRPr="008D3CB2">
        <w:rPr>
          <w:lang w:val="ru-RU"/>
        </w:rPr>
        <w:t>. Эти десять секунд считаются временем готовности. Определение SES дано в Рекомендациях МСЭ-Т G.821 и МСЭ-</w:t>
      </w:r>
      <w:r w:rsidRPr="008D3CB2">
        <w:rPr>
          <w:lang w:val="ru-RU" w:eastAsia="ja-JP"/>
        </w:rPr>
        <w:t>T</w:t>
      </w:r>
      <w:r w:rsidRPr="008D3CB2">
        <w:rPr>
          <w:lang w:val="ru-RU"/>
        </w:rPr>
        <w:t xml:space="preserve"> G.826;</w:t>
      </w:r>
    </w:p>
    <w:p w:rsidR="00717979" w:rsidRPr="008D3CB2" w:rsidRDefault="00717979" w:rsidP="002558A8">
      <w:pPr>
        <w:rPr>
          <w:lang w:val="ru-RU"/>
        </w:rPr>
      </w:pPr>
      <w:r w:rsidRPr="00941983">
        <w:rPr>
          <w:b/>
          <w:lang w:val="ru-RU"/>
        </w:rPr>
        <w:t>3</w:t>
      </w:r>
      <w:r w:rsidRPr="008D3CB2">
        <w:rPr>
          <w:lang w:val="ru-RU"/>
        </w:rPr>
        <w:tab/>
        <w:t xml:space="preserve">что при предварительной оценке неготовности обязательно следует учитывать все случаи, которые являются статистически прогнозируемыми, неумышленными и зависят от радиооборудования, источников питания, условий распространения радиоволн, помех, а также от вспомогательного оборудования и действий обслуживающего персонала. Оценка неготовности учитывает среднее время восстановления (см. </w:t>
      </w:r>
      <w:r w:rsidR="00941983" w:rsidRPr="008D3CB2">
        <w:rPr>
          <w:lang w:val="ru-RU"/>
        </w:rPr>
        <w:t xml:space="preserve">Примечания </w:t>
      </w:r>
      <w:r w:rsidRPr="008D3CB2">
        <w:rPr>
          <w:lang w:val="ru-RU"/>
        </w:rPr>
        <w:t>6 и 7);</w:t>
      </w:r>
    </w:p>
    <w:p w:rsidR="00717979" w:rsidRPr="008D3CB2" w:rsidRDefault="00717979" w:rsidP="002558A8">
      <w:pPr>
        <w:rPr>
          <w:lang w:val="ru-RU"/>
        </w:rPr>
      </w:pPr>
      <w:r w:rsidRPr="00941983">
        <w:rPr>
          <w:b/>
          <w:bCs/>
          <w:lang w:val="ru-RU"/>
        </w:rPr>
        <w:t>4</w:t>
      </w:r>
      <w:r w:rsidRPr="008D3CB2">
        <w:rPr>
          <w:lang w:val="ru-RU"/>
        </w:rPr>
        <w:tab/>
        <w:t>что Приложение 1 следует использовать в качестве руководства по готовности и надежности радиорелейных систем;</w:t>
      </w:r>
    </w:p>
    <w:p w:rsidR="00717979" w:rsidRPr="008D3CB2" w:rsidRDefault="00717979" w:rsidP="002558A8">
      <w:pPr>
        <w:rPr>
          <w:lang w:val="ru-RU"/>
        </w:rPr>
      </w:pPr>
      <w:r w:rsidRPr="00941983">
        <w:rPr>
          <w:b/>
          <w:bCs/>
          <w:lang w:val="ru-RU"/>
        </w:rPr>
        <w:t>5</w:t>
      </w:r>
      <w:r w:rsidRPr="008D3CB2">
        <w:rPr>
          <w:lang w:val="ru-RU"/>
        </w:rPr>
        <w:tab/>
        <w:t>что следующие примечания следует рассматривать как часть настоящей Рекомендации:</w:t>
      </w:r>
    </w:p>
    <w:p w:rsidR="00717979" w:rsidRPr="008D3CB2" w:rsidRDefault="00717979" w:rsidP="002558A8">
      <w:pPr>
        <w:pStyle w:val="Note"/>
        <w:rPr>
          <w:lang w:val="ru-RU"/>
        </w:rPr>
      </w:pPr>
      <w:r w:rsidRPr="008D3CB2">
        <w:rPr>
          <w:lang w:val="ru-RU"/>
        </w:rPr>
        <w:t xml:space="preserve">ПРИМЕЧАНИЕ 1. – Общая готовность </w:t>
      </w:r>
      <w:r w:rsidRPr="008D3CB2">
        <w:rPr>
          <w:i/>
          <w:iCs/>
          <w:lang w:val="ru-RU"/>
        </w:rPr>
        <w:t>А</w:t>
      </w:r>
      <w:r w:rsidRPr="008D3CB2">
        <w:rPr>
          <w:lang w:val="ru-RU"/>
        </w:rPr>
        <w:t xml:space="preserve"> определяется следующей формулой:</w:t>
      </w:r>
    </w:p>
    <w:p w:rsidR="00717979" w:rsidRPr="008D3CB2" w:rsidRDefault="00717979" w:rsidP="00717979">
      <w:pPr>
        <w:pStyle w:val="Equation"/>
        <w:rPr>
          <w:lang w:val="ru-RU"/>
        </w:rPr>
      </w:pPr>
      <w:r w:rsidRPr="008D3CB2">
        <w:rPr>
          <w:i/>
          <w:lang w:val="ru-RU"/>
        </w:rPr>
        <w:tab/>
      </w:r>
      <w:r w:rsidRPr="008D3CB2">
        <w:rPr>
          <w:i/>
          <w:lang w:val="ru-RU"/>
        </w:rPr>
        <w:tab/>
        <w:t>A</w:t>
      </w:r>
      <w:r w:rsidRPr="008D3CB2">
        <w:rPr>
          <w:lang w:val="ru-RU"/>
        </w:rPr>
        <w:t xml:space="preserve">   </w:t>
      </w:r>
      <w:r w:rsidRPr="008D3CB2">
        <w:rPr>
          <w:rFonts w:ascii="Symbol" w:hAnsi="Symbol"/>
          <w:lang w:val="ru-RU"/>
        </w:rPr>
        <w:t></w:t>
      </w:r>
      <w:r w:rsidRPr="008D3CB2">
        <w:rPr>
          <w:lang w:val="ru-RU"/>
        </w:rPr>
        <w:t xml:space="preserve">  100 [1  –  </w:t>
      </w:r>
      <w:r w:rsidRPr="008D3CB2">
        <w:rPr>
          <w:rFonts w:ascii="Symbol" w:hAnsi="Symbol"/>
          <w:lang w:val="ru-RU"/>
        </w:rPr>
        <w:t></w:t>
      </w:r>
      <w:r w:rsidRPr="008D3CB2">
        <w:rPr>
          <w:rFonts w:ascii="Symbol" w:hAnsi="Symbol"/>
          <w:lang w:val="ru-RU"/>
        </w:rPr>
        <w:t></w:t>
      </w:r>
      <w:r w:rsidRPr="008D3CB2">
        <w:rPr>
          <w:i/>
          <w:lang w:val="ru-RU"/>
        </w:rPr>
        <w:t>T</w:t>
      </w:r>
      <w:r w:rsidRPr="008D3CB2">
        <w:rPr>
          <w:position w:val="-4"/>
          <w:sz w:val="18"/>
          <w:lang w:val="ru-RU"/>
        </w:rPr>
        <w:t>1</w:t>
      </w:r>
      <w:r w:rsidRPr="008D3CB2">
        <w:rPr>
          <w:lang w:val="ru-RU"/>
        </w:rPr>
        <w:t xml:space="preserve">  </w:t>
      </w:r>
      <w:r w:rsidRPr="008D3CB2">
        <w:rPr>
          <w:rFonts w:ascii="Symbol" w:hAnsi="Symbol"/>
          <w:lang w:val="ru-RU"/>
        </w:rPr>
        <w:t></w:t>
      </w:r>
      <w:r w:rsidRPr="008D3CB2">
        <w:rPr>
          <w:lang w:val="ru-RU"/>
        </w:rPr>
        <w:t xml:space="preserve">  </w:t>
      </w:r>
      <w:r w:rsidRPr="008D3CB2">
        <w:rPr>
          <w:i/>
          <w:lang w:val="ru-RU"/>
        </w:rPr>
        <w:t>T</w:t>
      </w:r>
      <w:r w:rsidRPr="008D3CB2">
        <w:rPr>
          <w:position w:val="-4"/>
          <w:sz w:val="18"/>
          <w:lang w:val="ru-RU"/>
        </w:rPr>
        <w:t>2</w:t>
      </w:r>
      <w:r w:rsidRPr="008D3CB2">
        <w:rPr>
          <w:lang w:val="ru-RU"/>
        </w:rPr>
        <w:t xml:space="preserve">  –  </w:t>
      </w:r>
      <w:r w:rsidRPr="008D3CB2">
        <w:rPr>
          <w:i/>
          <w:lang w:val="ru-RU"/>
        </w:rPr>
        <w:t>T</w:t>
      </w:r>
      <w:r w:rsidRPr="008D3CB2">
        <w:rPr>
          <w:i/>
          <w:position w:val="-4"/>
          <w:sz w:val="16"/>
          <w:lang w:val="ru-RU"/>
        </w:rPr>
        <w:t>b</w:t>
      </w:r>
      <w:r w:rsidRPr="008D3CB2">
        <w:rPr>
          <w:lang w:val="ru-RU"/>
        </w:rPr>
        <w:t>)</w:t>
      </w:r>
      <w:r w:rsidRPr="008D3CB2">
        <w:rPr>
          <w:rFonts w:ascii="Tms Rmn" w:hAnsi="Tms Rmn"/>
          <w:sz w:val="12"/>
          <w:lang w:val="ru-RU"/>
        </w:rPr>
        <w:t> </w:t>
      </w:r>
      <w:r w:rsidRPr="008D3CB2">
        <w:rPr>
          <w:lang w:val="ru-RU"/>
        </w:rPr>
        <w:t>/</w:t>
      </w:r>
      <w:r w:rsidRPr="008D3CB2">
        <w:rPr>
          <w:rFonts w:ascii="Tms Rmn" w:hAnsi="Tms Rmn"/>
          <w:sz w:val="12"/>
          <w:lang w:val="ru-RU"/>
        </w:rPr>
        <w:t> </w:t>
      </w:r>
      <w:r w:rsidRPr="008D3CB2">
        <w:rPr>
          <w:i/>
          <w:lang w:val="ru-RU"/>
        </w:rPr>
        <w:t>T</w:t>
      </w:r>
      <w:r w:rsidRPr="008D3CB2">
        <w:rPr>
          <w:i/>
          <w:position w:val="-4"/>
          <w:sz w:val="18"/>
          <w:lang w:val="ru-RU"/>
        </w:rPr>
        <w:t>e</w:t>
      </w:r>
      <w:r w:rsidRPr="008D3CB2">
        <w:rPr>
          <w:rFonts w:ascii="Symbol" w:hAnsi="Symbol"/>
          <w:lang w:val="ru-RU"/>
        </w:rPr>
        <w:t></w:t>
      </w:r>
      <w:r w:rsidRPr="008D3CB2">
        <w:rPr>
          <w:lang w:val="ru-RU"/>
        </w:rPr>
        <w:t>],</w:t>
      </w:r>
    </w:p>
    <w:p w:rsidR="00717979" w:rsidRPr="008D3CB2" w:rsidRDefault="00717979" w:rsidP="002558A8">
      <w:pPr>
        <w:rPr>
          <w:lang w:val="ru-RU"/>
        </w:rPr>
      </w:pPr>
      <w:r w:rsidRPr="008D3CB2">
        <w:rPr>
          <w:lang w:val="ru-RU"/>
        </w:rPr>
        <w:t>где:</w:t>
      </w:r>
    </w:p>
    <w:p w:rsidR="00717979" w:rsidRPr="008D3CB2" w:rsidRDefault="00717979" w:rsidP="002558A8">
      <w:pPr>
        <w:pStyle w:val="Equationlegend"/>
        <w:rPr>
          <w:lang w:val="ru-RU"/>
        </w:rPr>
      </w:pPr>
      <w:r w:rsidRPr="008D3CB2">
        <w:rPr>
          <w:lang w:val="ru-RU"/>
        </w:rPr>
        <w:tab/>
      </w:r>
      <w:r w:rsidRPr="008D3CB2">
        <w:rPr>
          <w:i/>
          <w:lang w:val="ru-RU"/>
        </w:rPr>
        <w:t>A</w:t>
      </w:r>
      <w:r w:rsidRPr="008D3CB2">
        <w:rPr>
          <w:lang w:val="ru-RU"/>
        </w:rPr>
        <w:t>:</w:t>
      </w:r>
      <w:r w:rsidRPr="008D3CB2">
        <w:rPr>
          <w:lang w:val="ru-RU"/>
        </w:rPr>
        <w:tab/>
        <w:t>процент готовности;</w:t>
      </w:r>
    </w:p>
    <w:p w:rsidR="00717979" w:rsidRPr="008D3CB2" w:rsidRDefault="00717979" w:rsidP="002558A8">
      <w:pPr>
        <w:pStyle w:val="Equationlegend"/>
        <w:rPr>
          <w:lang w:val="ru-RU"/>
        </w:rPr>
      </w:pPr>
      <w:r w:rsidRPr="008D3CB2">
        <w:rPr>
          <w:lang w:val="ru-RU"/>
        </w:rPr>
        <w:tab/>
      </w:r>
      <w:r w:rsidRPr="008D3CB2">
        <w:rPr>
          <w:i/>
          <w:lang w:val="ru-RU"/>
        </w:rPr>
        <w:t>T</w:t>
      </w:r>
      <w:r w:rsidRPr="008D3CB2">
        <w:rPr>
          <w:vertAlign w:val="subscript"/>
          <w:lang w:val="ru-RU"/>
        </w:rPr>
        <w:t>1</w:t>
      </w:r>
      <w:r w:rsidRPr="008D3CB2">
        <w:rPr>
          <w:lang w:val="ru-RU"/>
        </w:rPr>
        <w:t>:</w:t>
      </w:r>
      <w:r w:rsidRPr="008D3CB2">
        <w:rPr>
          <w:lang w:val="ru-RU"/>
        </w:rPr>
        <w:tab/>
        <w:t>общее время неготовности для одного направления передачи;</w:t>
      </w:r>
    </w:p>
    <w:p w:rsidR="00717979" w:rsidRPr="008D3CB2" w:rsidRDefault="00717979" w:rsidP="002558A8">
      <w:pPr>
        <w:pStyle w:val="Equationlegend"/>
        <w:rPr>
          <w:lang w:val="ru-RU"/>
        </w:rPr>
      </w:pPr>
      <w:r w:rsidRPr="008D3CB2">
        <w:rPr>
          <w:lang w:val="ru-RU"/>
        </w:rPr>
        <w:tab/>
      </w:r>
      <w:r w:rsidRPr="008D3CB2">
        <w:rPr>
          <w:i/>
          <w:lang w:val="ru-RU"/>
        </w:rPr>
        <w:t>T</w:t>
      </w:r>
      <w:r w:rsidRPr="008D3CB2">
        <w:rPr>
          <w:vertAlign w:val="subscript"/>
          <w:lang w:val="ru-RU"/>
        </w:rPr>
        <w:t>2</w:t>
      </w:r>
      <w:r w:rsidRPr="008D3CB2">
        <w:rPr>
          <w:lang w:val="ru-RU"/>
        </w:rPr>
        <w:t>:</w:t>
      </w:r>
      <w:r w:rsidRPr="008D3CB2">
        <w:rPr>
          <w:lang w:val="ru-RU"/>
        </w:rPr>
        <w:tab/>
        <w:t>общее время неготовности для другого направления передачи;</w:t>
      </w:r>
    </w:p>
    <w:p w:rsidR="00717979" w:rsidRPr="008D3CB2" w:rsidRDefault="00717979" w:rsidP="002558A8">
      <w:pPr>
        <w:pStyle w:val="Equationlegend"/>
        <w:rPr>
          <w:lang w:val="ru-RU"/>
        </w:rPr>
      </w:pPr>
      <w:r w:rsidRPr="008D3CB2">
        <w:rPr>
          <w:lang w:val="ru-RU"/>
        </w:rPr>
        <w:tab/>
      </w:r>
      <w:r w:rsidRPr="008D3CB2">
        <w:rPr>
          <w:i/>
          <w:lang w:val="ru-RU"/>
        </w:rPr>
        <w:t>T</w:t>
      </w:r>
      <w:r w:rsidRPr="008D3CB2">
        <w:rPr>
          <w:i/>
          <w:vertAlign w:val="subscript"/>
          <w:lang w:val="ru-RU"/>
        </w:rPr>
        <w:t>b</w:t>
      </w:r>
      <w:r w:rsidRPr="008D3CB2">
        <w:rPr>
          <w:lang w:val="ru-RU"/>
        </w:rPr>
        <w:t>:</w:t>
      </w:r>
      <w:r w:rsidRPr="008D3CB2">
        <w:rPr>
          <w:lang w:val="ru-RU"/>
        </w:rPr>
        <w:tab/>
        <w:t>время неготовности для двух направлений;</w:t>
      </w:r>
    </w:p>
    <w:p w:rsidR="00717979" w:rsidRPr="008D3CB2" w:rsidRDefault="00717979" w:rsidP="002558A8">
      <w:pPr>
        <w:pStyle w:val="Equationlegend"/>
        <w:rPr>
          <w:lang w:val="ru-RU"/>
        </w:rPr>
      </w:pPr>
      <w:r w:rsidRPr="008D3CB2">
        <w:rPr>
          <w:lang w:val="ru-RU"/>
        </w:rPr>
        <w:tab/>
      </w:r>
      <w:r w:rsidRPr="008D3CB2">
        <w:rPr>
          <w:i/>
          <w:lang w:val="ru-RU"/>
        </w:rPr>
        <w:t>T</w:t>
      </w:r>
      <w:r w:rsidRPr="008D3CB2">
        <w:rPr>
          <w:i/>
          <w:vertAlign w:val="subscript"/>
          <w:lang w:val="ru-RU"/>
        </w:rPr>
        <w:t>e</w:t>
      </w:r>
      <w:r w:rsidRPr="008D3CB2">
        <w:rPr>
          <w:lang w:val="ru-RU"/>
        </w:rPr>
        <w:t>:</w:t>
      </w:r>
      <w:r w:rsidRPr="008D3CB2">
        <w:rPr>
          <w:lang w:val="ru-RU"/>
        </w:rPr>
        <w:tab/>
        <w:t>период времени оценки.</w:t>
      </w:r>
    </w:p>
    <w:p w:rsidR="00717979" w:rsidRPr="008D3CB2" w:rsidRDefault="00717979" w:rsidP="002558A8">
      <w:pPr>
        <w:rPr>
          <w:lang w:val="ru-RU"/>
        </w:rPr>
      </w:pPr>
      <w:r w:rsidRPr="008D3CB2">
        <w:rPr>
          <w:lang w:val="ru-RU"/>
        </w:rPr>
        <w:t xml:space="preserve">Для симплексной передачи </w:t>
      </w:r>
      <w:r w:rsidRPr="00941983">
        <w:rPr>
          <w:i/>
          <w:iCs/>
          <w:lang w:val="ru-RU"/>
        </w:rPr>
        <w:t>T</w:t>
      </w:r>
      <w:r w:rsidRPr="008D3CB2">
        <w:rPr>
          <w:iCs/>
          <w:vertAlign w:val="subscript"/>
          <w:lang w:val="ru-RU"/>
        </w:rPr>
        <w:t>2</w:t>
      </w:r>
      <w:r w:rsidRPr="008D3CB2">
        <w:rPr>
          <w:lang w:val="ru-RU"/>
        </w:rPr>
        <w:t xml:space="preserve"> = 0; </w:t>
      </w:r>
      <w:r w:rsidRPr="00941983">
        <w:rPr>
          <w:i/>
          <w:iCs/>
          <w:lang w:val="ru-RU"/>
        </w:rPr>
        <w:t>T</w:t>
      </w:r>
      <w:r w:rsidRPr="008D3CB2">
        <w:rPr>
          <w:i/>
          <w:position w:val="-4"/>
          <w:vertAlign w:val="subscript"/>
          <w:lang w:val="ru-RU"/>
        </w:rPr>
        <w:t>b</w:t>
      </w:r>
      <w:r w:rsidRPr="008D3CB2">
        <w:rPr>
          <w:lang w:val="ru-RU"/>
        </w:rPr>
        <w:t> = 0.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ПРИМЕЧАНИЕ 2. – Величина 99,7% является предварительной, и признано, что на практике выбранные показатели могут составлять от 99,5% до 99,9%. Выбор определенного значения в этом диапазоне зависит от оптимального распределения времени отказов, помимо многих иных причин, которые могут изменяться в зависимости от местных условий (например, условий распространения радиоволн, географических размеров, распределения населения, организации технического обслуживания).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Более того, готовность радиорелейных систем – лишь один из многих аспектов, обеспечивающих приемлемое качество обслуживания трафика цифровой передачи, выбор оптимального значения для этого конкретного аспекта может быть сделан только с учетом всех систем передачи, действующих или запланированных к введению в эксплуатацию в исследуемой сети.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Учитывая эти причины, администрации могут выбирать различные величины показателей готовности для использования их планирующей организацией, все эти величины лежат в указанных выше пределах.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ПРИМЕЧАНИЕ 3. – Готовность аппаратуры разделения каналов исключена из рассмотрения. Ожидается, что показатели готовности для этого оборудования будут установлены МСЭ-Т.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ПРИМЕЧАНИЕ 4. – Настоящая Рекомендация относится к ГЭЦТ. Ее цель заключается в установлении коэффициента готовности как показателя для планирования новых радиорелейных систем.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Предполагается, что этот показатель не будет включаться в технические требования для реальных систем и использоваться в ходе приемо-сдаточных испытаний или формирования соглашений по эксплуатации.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Результаты измерений коэффициентов готовности для реальных трактов имеют большой разброс; достоверный коэффициент реальной готовности может быть оценен только как среднее значение большого количества данных, собранных по многим радиорелейным трассам за достаточно продолжительный период.</w:t>
      </w:r>
    </w:p>
    <w:p w:rsidR="00717979" w:rsidRPr="008D3CB2" w:rsidRDefault="00717979" w:rsidP="00941983">
      <w:pPr>
        <w:pStyle w:val="Note"/>
        <w:pageBreakBefore/>
        <w:rPr>
          <w:lang w:val="ru-RU"/>
        </w:rPr>
      </w:pPr>
      <w:r w:rsidRPr="008D3CB2">
        <w:rPr>
          <w:lang w:val="ru-RU"/>
        </w:rPr>
        <w:lastRenderedPageBreak/>
        <w:t>ПРИМЕЧАНИЕ 5. – В Рекомендации МСЭ-R F.695 приведено подразделение показателя готовности на участке высокого качества для трактов, которые организуются на реальных линиях.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ПРИМЕЧАНИЕ 6. – Проектировщики должны указывать принятые ими допущения, касающиеся среднего времени между отказами (MTBF), среднего времени восстановления (MTTR), а также мер, принимаемых в целях недопущения перерывов и замираний (в частности, использование резервных стволов и число пролетов на участке резервирования), и закон распределения замираний длительностью более 10 с.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ПРИМЕЧАНИЕ 7. – Время восстановления, то есть время, прошедшее между нарушением трафика и его восстановлением, включает в себя время обнаружения, время, необходимое ремонтной бригаде для достижения поврежденного участка, а также время самого ремонта. Время восстановления у разных администраций будет разным в зависимости от таких факторов, как доступность места расположения, погодные условия, организация технического обслуживания и другие экономические соображения.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ПРИМЕЧАНИЕ 8. – В настоящей Рекомендации не учитываются усовершенствования, которые могут быть сделаны путем перевода трафика на другие системы, например кабельные или другие радиорелейные системы.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ПРИМЕЧАНИЕ 9. – Перерывы длительностью менее 10 с требуют дальнейшего изучения с учетом перемежающихся перерывов.</w:t>
      </w:r>
    </w:p>
    <w:p w:rsidR="00717979" w:rsidRPr="008D3CB2" w:rsidRDefault="00717979" w:rsidP="00717979">
      <w:pPr>
        <w:pStyle w:val="Note"/>
        <w:rPr>
          <w:lang w:val="ru-RU"/>
        </w:rPr>
      </w:pPr>
      <w:r w:rsidRPr="008D3CB2">
        <w:rPr>
          <w:lang w:val="ru-RU"/>
        </w:rPr>
        <w:t>ПРИМЕЧАНИЕ 10. – Периоды менее 10 с, в течение которых коэффициент ошибок составляет более 1 × 10</w:t>
      </w:r>
      <w:r w:rsidRPr="008D3CB2">
        <w:rPr>
          <w:vertAlign w:val="superscript"/>
          <w:lang w:val="ru-RU"/>
        </w:rPr>
        <w:t>–3</w:t>
      </w:r>
      <w:r w:rsidRPr="008D3CB2">
        <w:rPr>
          <w:lang w:val="ru-RU"/>
        </w:rPr>
        <w:t xml:space="preserve"> рассматриваются в Рекомендации МСЭ-R F.594.</w:t>
      </w:r>
    </w:p>
    <w:p w:rsidR="00717979" w:rsidRPr="008D3CB2" w:rsidRDefault="00717979" w:rsidP="00717979">
      <w:pPr>
        <w:rPr>
          <w:lang w:val="ru-RU"/>
        </w:rPr>
      </w:pPr>
    </w:p>
    <w:p w:rsidR="00717979" w:rsidRPr="008D3CB2" w:rsidRDefault="00717979" w:rsidP="00717979">
      <w:pPr>
        <w:rPr>
          <w:lang w:val="ru-RU"/>
        </w:rPr>
      </w:pPr>
    </w:p>
    <w:p w:rsidR="00717979" w:rsidRPr="008D3CB2" w:rsidRDefault="00717979" w:rsidP="00717979">
      <w:pPr>
        <w:rPr>
          <w:lang w:val="ru-RU"/>
        </w:rPr>
      </w:pPr>
    </w:p>
    <w:p w:rsidR="00717979" w:rsidRPr="008D3CB2" w:rsidRDefault="00717979" w:rsidP="007D720E">
      <w:pPr>
        <w:pStyle w:val="AnnexNoTitle"/>
        <w:rPr>
          <w:lang w:val="ru-RU"/>
        </w:rPr>
      </w:pPr>
      <w:r w:rsidRPr="008D3CB2">
        <w:rPr>
          <w:lang w:val="ru-RU"/>
        </w:rPr>
        <w:t>Приложение 1</w:t>
      </w:r>
      <w:r w:rsidRPr="008D3CB2">
        <w:rPr>
          <w:lang w:val="ru-RU"/>
        </w:rPr>
        <w:br/>
      </w:r>
      <w:r w:rsidRPr="008D3CB2">
        <w:rPr>
          <w:lang w:val="ru-RU"/>
        </w:rPr>
        <w:br/>
        <w:t>Готовность и надежность радиорелейных систем</w:t>
      </w:r>
    </w:p>
    <w:p w:rsidR="00717979" w:rsidRPr="008D3CB2" w:rsidRDefault="00717979" w:rsidP="00717979">
      <w:pPr>
        <w:pStyle w:val="Heading1"/>
        <w:rPr>
          <w:lang w:val="ru-RU"/>
        </w:rPr>
      </w:pPr>
      <w:r w:rsidRPr="008D3CB2">
        <w:rPr>
          <w:lang w:val="ru-RU"/>
        </w:rPr>
        <w:t>1</w:t>
      </w:r>
      <w:r w:rsidRPr="008D3CB2">
        <w:rPr>
          <w:lang w:val="ru-RU"/>
        </w:rPr>
        <w:tab/>
        <w:t>Введение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lang w:val="ru-RU"/>
        </w:rPr>
        <w:t>Настоящее Приложение является руководством, облегчающим интерпретацию данной Рекомендации. Однако следует отметить, что числовые значения и параметры приведены только в качестве примера.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lang w:val="ru-RU"/>
        </w:rPr>
        <w:t>Термины "надежность" и "готовность" в настоящем Приложении соответствуют определениям, принятым МСЭ-R и Международной электротехнической комиссией (МЭК).</w:t>
      </w:r>
    </w:p>
    <w:p w:rsidR="00717979" w:rsidRPr="008D3CB2" w:rsidRDefault="00717979" w:rsidP="00717979">
      <w:pPr>
        <w:pStyle w:val="Heading1"/>
        <w:rPr>
          <w:lang w:val="ru-RU"/>
        </w:rPr>
      </w:pPr>
      <w:r w:rsidRPr="008D3CB2">
        <w:rPr>
          <w:lang w:val="ru-RU"/>
        </w:rPr>
        <w:t>2</w:t>
      </w:r>
      <w:r w:rsidRPr="008D3CB2">
        <w:rPr>
          <w:lang w:val="ru-RU"/>
        </w:rPr>
        <w:tab/>
        <w:t>Причины неготовности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lang w:val="ru-RU"/>
        </w:rPr>
        <w:t xml:space="preserve">Понятие неготовности цифровых радиорелейных систем определено в пункте 2 раздела </w:t>
      </w:r>
      <w:r w:rsidRPr="008D3CB2">
        <w:rPr>
          <w:i/>
          <w:iCs/>
          <w:lang w:val="ru-RU"/>
        </w:rPr>
        <w:t>рекомендует</w:t>
      </w:r>
      <w:r w:rsidRPr="008D3CB2">
        <w:rPr>
          <w:lang w:val="ru-RU"/>
        </w:rPr>
        <w:t>. Проектировщики систем должны учитывать все случаи перерывов или ухудшения качества, влияющие на неготовность системы.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lang w:val="ru-RU"/>
        </w:rPr>
        <w:t>Ниже описаны особенности основных причин неготовности в радиорелейных системах.</w:t>
      </w:r>
    </w:p>
    <w:p w:rsidR="00717979" w:rsidRPr="008D3CB2" w:rsidRDefault="00717979" w:rsidP="00717979">
      <w:pPr>
        <w:pStyle w:val="Heading2"/>
        <w:rPr>
          <w:lang w:val="ru-RU"/>
        </w:rPr>
      </w:pPr>
      <w:r w:rsidRPr="008D3CB2">
        <w:rPr>
          <w:lang w:val="ru-RU"/>
        </w:rPr>
        <w:t>2.1</w:t>
      </w:r>
      <w:r w:rsidRPr="008D3CB2">
        <w:rPr>
          <w:lang w:val="ru-RU"/>
        </w:rPr>
        <w:tab/>
        <w:t>Оборудование</w:t>
      </w:r>
    </w:p>
    <w:p w:rsidR="00717979" w:rsidRPr="008D3CB2" w:rsidRDefault="00717979" w:rsidP="00717979">
      <w:pPr>
        <w:pStyle w:val="enumlev1"/>
        <w:rPr>
          <w:lang w:val="ru-RU"/>
        </w:rPr>
      </w:pPr>
      <w:r w:rsidRPr="008D3CB2">
        <w:rPr>
          <w:lang w:val="ru-RU"/>
        </w:rPr>
        <w:t>–</w:t>
      </w:r>
      <w:r w:rsidRPr="008D3CB2">
        <w:rPr>
          <w:lang w:val="ru-RU"/>
        </w:rPr>
        <w:tab/>
        <w:t>Отказы или ухудшение работы радиооборудования, включая модуляторы и демодуляторы;</w:t>
      </w:r>
    </w:p>
    <w:p w:rsidR="00717979" w:rsidRPr="008D3CB2" w:rsidRDefault="00717979" w:rsidP="00717979">
      <w:pPr>
        <w:pStyle w:val="enumlev1"/>
        <w:rPr>
          <w:lang w:val="ru-RU"/>
        </w:rPr>
      </w:pPr>
      <w:r w:rsidRPr="008D3CB2">
        <w:rPr>
          <w:lang w:val="ru-RU"/>
        </w:rPr>
        <w:t>–</w:t>
      </w:r>
      <w:r w:rsidRPr="008D3CB2">
        <w:rPr>
          <w:lang w:val="ru-RU"/>
        </w:rPr>
        <w:tab/>
        <w:t>отказы вспомогательного оборудования, например аппаратуры резервирования;</w:t>
      </w:r>
    </w:p>
    <w:p w:rsidR="00717979" w:rsidRPr="008D3CB2" w:rsidRDefault="00717979" w:rsidP="00717979">
      <w:pPr>
        <w:pStyle w:val="enumlev1"/>
        <w:rPr>
          <w:lang w:val="ru-RU"/>
        </w:rPr>
      </w:pPr>
      <w:r w:rsidRPr="008D3CB2">
        <w:rPr>
          <w:lang w:val="ru-RU"/>
        </w:rPr>
        <w:t>–</w:t>
      </w:r>
      <w:r w:rsidRPr="008D3CB2">
        <w:rPr>
          <w:lang w:val="ru-RU"/>
        </w:rPr>
        <w:tab/>
        <w:t>отказы источников электропитания оборудования радиорелейных систем;</w:t>
      </w:r>
    </w:p>
    <w:p w:rsidR="00717979" w:rsidRPr="008D3CB2" w:rsidRDefault="00717979" w:rsidP="00717979">
      <w:pPr>
        <w:pStyle w:val="enumlev1"/>
        <w:rPr>
          <w:lang w:val="ru-RU"/>
        </w:rPr>
      </w:pPr>
      <w:r w:rsidRPr="008D3CB2">
        <w:rPr>
          <w:lang w:val="ru-RU"/>
        </w:rPr>
        <w:t>–</w:t>
      </w:r>
      <w:r w:rsidRPr="008D3CB2">
        <w:rPr>
          <w:lang w:val="ru-RU"/>
        </w:rPr>
        <w:tab/>
        <w:t>отказы в антенне или фидере.</w:t>
      </w:r>
    </w:p>
    <w:p w:rsidR="00717979" w:rsidRPr="008D3CB2" w:rsidRDefault="00717979" w:rsidP="00941983">
      <w:pPr>
        <w:pageBreakBefore/>
        <w:rPr>
          <w:lang w:val="ru-RU"/>
        </w:rPr>
      </w:pPr>
      <w:r w:rsidRPr="008D3CB2">
        <w:rPr>
          <w:lang w:val="ru-RU"/>
        </w:rPr>
        <w:lastRenderedPageBreak/>
        <w:t xml:space="preserve">Современные радиорелейные системы проектируются таким образом, чтобы обеспечивать высокую степень надежности, при этом MTBF значительно удлиняется. Как указывается в </w:t>
      </w:r>
      <w:bookmarkStart w:id="3" w:name="_GoBack"/>
      <w:r w:rsidR="00941983" w:rsidRPr="008D3CB2">
        <w:rPr>
          <w:lang w:val="ru-RU"/>
        </w:rPr>
        <w:t xml:space="preserve">Примечании </w:t>
      </w:r>
      <w:bookmarkEnd w:id="3"/>
      <w:r w:rsidRPr="008D3CB2">
        <w:rPr>
          <w:lang w:val="ru-RU"/>
        </w:rPr>
        <w:t>6, неготовность зависит также от MTTR.</w:t>
      </w:r>
    </w:p>
    <w:p w:rsidR="00717979" w:rsidRPr="008D3CB2" w:rsidRDefault="00717979" w:rsidP="00941983">
      <w:pPr>
        <w:rPr>
          <w:lang w:val="ru-RU"/>
        </w:rPr>
      </w:pPr>
      <w:r w:rsidRPr="008D3CB2">
        <w:rPr>
          <w:lang w:val="ru-RU"/>
        </w:rPr>
        <w:t>В пределах типового участка резервирования неготовность вследствие отказов оборудования может достигать порядка 0,01% (см. Рекомендацию МСЭ-R F.695). Это характерно для использования типового оборудования с MTBF порядка нескольких десятков тысяч часов и MTTR в пределах нескольких часов. Однако ГЭЦТ содержит в себе множество участков резервирования. Естественно, вероятность отказов на каждом участке резервирования мала, и отказы случаются один раз в несколько лет. Поэтому для измерения неготовности целесообразно выбрать длительный период усреднения, например один год.</w:t>
      </w:r>
    </w:p>
    <w:p w:rsidR="00717979" w:rsidRPr="008D3CB2" w:rsidRDefault="00717979" w:rsidP="00717979">
      <w:pPr>
        <w:pStyle w:val="Heading2"/>
        <w:rPr>
          <w:lang w:val="ru-RU"/>
        </w:rPr>
      </w:pPr>
      <w:r w:rsidRPr="008D3CB2">
        <w:rPr>
          <w:lang w:val="ru-RU"/>
        </w:rPr>
        <w:t>2.2</w:t>
      </w:r>
      <w:r w:rsidRPr="008D3CB2">
        <w:rPr>
          <w:lang w:val="ru-RU"/>
        </w:rPr>
        <w:tab/>
        <w:t>Условия распространения радиоволн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lang w:val="ru-RU"/>
        </w:rPr>
        <w:t>Перерывы в работе системы вследствие глубоких многолучевых замираний часто длятся менее 10 с, однако иногда бывают случаи замираний длительностью более 10 с, приводящие к состоянию неготовности.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lang w:val="ru-RU"/>
        </w:rPr>
        <w:t>Чрезмерное ослабление сигнала в осадках вследствие сильных ливней или снегопадов длится довольно долго и вызывает состояние неготовности в системах, работающих в диапазонах частот выше 10 ГГц. Возможно получение статистики прогнозирования условий распространения радиоволн путем использования формул и методов, описанных в Рекомендациях МСЭ-R серии Р. Кроме того, поскольку вероятность обильных осадков незначительна, время неготовности, которое они вызывают, может отличаться от года к году. Для оценки времени неготовности могут быть использованы соображения, приведенные в п. 2.1.</w:t>
      </w:r>
    </w:p>
    <w:p w:rsidR="00717979" w:rsidRPr="008D3CB2" w:rsidRDefault="00717979" w:rsidP="00717979">
      <w:pPr>
        <w:pStyle w:val="Heading2"/>
        <w:rPr>
          <w:lang w:val="ru-RU"/>
        </w:rPr>
      </w:pPr>
      <w:r w:rsidRPr="008D3CB2">
        <w:rPr>
          <w:lang w:val="ru-RU"/>
        </w:rPr>
        <w:t>2.3</w:t>
      </w:r>
      <w:r w:rsidRPr="008D3CB2">
        <w:rPr>
          <w:lang w:val="ru-RU"/>
        </w:rPr>
        <w:tab/>
        <w:t>Другие причины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lang w:val="ru-RU"/>
        </w:rPr>
        <w:t>Непредсказуемые импульсы шума, вызванные действием помех главным образом от источников, внешних по отношению к системе, на которую воздействует помеха, могут вызывать состояние неготовности, если мощность шума превышает определенный предел. Этот род перерывов включает помехи от космических систем или радиолокаторов, обусловленные аномальными условиями распространения радиоволн.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lang w:val="ru-RU"/>
        </w:rPr>
        <w:t>Бедствия, например землетрясения, могут приводить к разрушению башен или зданий и в результате – к состоянию неготовности радиорелейных систем.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lang w:val="ru-RU"/>
        </w:rPr>
        <w:t>Деятельность персонала в процессе технического обслуживания также может приводить к состоянию неготовности. Вклад этих факторов, как правило, трудно прогнозировать посредством математических расчетов, однако при проектировании радиорелейных систем они должны учитываться.</w:t>
      </w:r>
    </w:p>
    <w:p w:rsidR="00717979" w:rsidRPr="008D3CB2" w:rsidRDefault="00717979" w:rsidP="00717979">
      <w:pPr>
        <w:pStyle w:val="Heading1"/>
        <w:rPr>
          <w:lang w:val="ru-RU"/>
        </w:rPr>
      </w:pPr>
      <w:r w:rsidRPr="008D3CB2">
        <w:rPr>
          <w:lang w:val="ru-RU"/>
        </w:rPr>
        <w:t>3</w:t>
      </w:r>
      <w:r w:rsidRPr="008D3CB2">
        <w:rPr>
          <w:lang w:val="ru-RU"/>
        </w:rPr>
        <w:tab/>
        <w:t>Переключение на резерв</w:t>
      </w:r>
    </w:p>
    <w:p w:rsidR="00717979" w:rsidRPr="008D3CB2" w:rsidRDefault="00717979" w:rsidP="00717979">
      <w:pPr>
        <w:rPr>
          <w:lang w:val="ru-RU"/>
        </w:rPr>
      </w:pPr>
      <w:r w:rsidRPr="008D3CB2">
        <w:rPr>
          <w:lang w:val="ru-RU"/>
        </w:rPr>
        <w:t xml:space="preserve">Переключение на резерв часто оказывается эффективным средством улучшения готовности системы. В радиорелейных системах обычно используется так называемый метод многоствольного резервирования. При этом методе для </w:t>
      </w:r>
      <w:r w:rsidRPr="008D3CB2">
        <w:rPr>
          <w:i/>
          <w:iCs/>
          <w:lang w:val="ru-RU"/>
        </w:rPr>
        <w:t>N</w:t>
      </w:r>
      <w:r w:rsidRPr="008D3CB2">
        <w:rPr>
          <w:lang w:val="ru-RU"/>
        </w:rPr>
        <w:t xml:space="preserve"> рабочих радиостволов используется один или </w:t>
      </w:r>
      <w:r w:rsidRPr="008D3CB2">
        <w:rPr>
          <w:i/>
          <w:lang w:val="ru-RU"/>
        </w:rPr>
        <w:t>P </w:t>
      </w:r>
      <w:r w:rsidRPr="008D3CB2">
        <w:rPr>
          <w:lang w:val="ru-RU"/>
        </w:rPr>
        <w:t>(</w:t>
      </w:r>
      <w:r w:rsidRPr="008D3CB2">
        <w:rPr>
          <w:i/>
          <w:lang w:val="ru-RU"/>
        </w:rPr>
        <w:t>P </w:t>
      </w:r>
      <w:r w:rsidRPr="008D3CB2">
        <w:rPr>
          <w:rFonts w:ascii="Symbol" w:hAnsi="Symbol"/>
          <w:lang w:val="ru-RU"/>
        </w:rPr>
        <w:t></w:t>
      </w:r>
      <w:r w:rsidRPr="008D3CB2">
        <w:rPr>
          <w:lang w:val="ru-RU"/>
        </w:rPr>
        <w:t xml:space="preserve"> 1) резервных радиостволов. Когда в одном из </w:t>
      </w:r>
      <w:r w:rsidRPr="008D3CB2">
        <w:rPr>
          <w:i/>
          <w:iCs/>
          <w:lang w:val="ru-RU"/>
        </w:rPr>
        <w:t>N</w:t>
      </w:r>
      <w:r w:rsidRPr="008D3CB2">
        <w:rPr>
          <w:i/>
          <w:lang w:val="ru-RU"/>
        </w:rPr>
        <w:t xml:space="preserve"> </w:t>
      </w:r>
      <w:r w:rsidRPr="008D3CB2">
        <w:rPr>
          <w:iCs/>
          <w:lang w:val="ru-RU"/>
        </w:rPr>
        <w:t xml:space="preserve">рабочих радиостволов происходит перерыв в передаче сигнала, неработоспособный радиоствол на </w:t>
      </w:r>
      <w:r w:rsidRPr="008D3CB2">
        <w:rPr>
          <w:i/>
          <w:lang w:val="ru-RU"/>
        </w:rPr>
        <w:t xml:space="preserve">m </w:t>
      </w:r>
      <w:r w:rsidRPr="008D3CB2">
        <w:rPr>
          <w:iCs/>
          <w:lang w:val="ru-RU"/>
        </w:rPr>
        <w:t xml:space="preserve">пролетах немедленно заменяется одним из резервных радиостволов. В таком случае, предполагая, что частота возникновения отказов аппаратуры переключения пренебрежимо мала, для каждого дуплексного радиоствола коэффициент неготовности </w:t>
      </w:r>
      <w:r w:rsidRPr="008D3CB2">
        <w:rPr>
          <w:i/>
          <w:lang w:val="ru-RU"/>
        </w:rPr>
        <w:t>U</w:t>
      </w:r>
      <w:r w:rsidRPr="008D3CB2">
        <w:rPr>
          <w:iCs/>
          <w:lang w:val="ru-RU"/>
        </w:rPr>
        <w:t xml:space="preserve"> вследствие отказов оборудования может быть выражен следующей формулой</w:t>
      </w:r>
      <w:r w:rsidRPr="008D3CB2">
        <w:rPr>
          <w:lang w:val="ru-RU"/>
        </w:rPr>
        <w:t>:</w:t>
      </w:r>
    </w:p>
    <w:p w:rsidR="00717979" w:rsidRPr="008D3CB2" w:rsidRDefault="00717979" w:rsidP="00717979">
      <w:pPr>
        <w:pStyle w:val="Equation"/>
        <w:spacing w:before="240" w:after="120"/>
        <w:rPr>
          <w:lang w:val="ru-RU"/>
        </w:rPr>
      </w:pPr>
      <w:r w:rsidRPr="008D3CB2">
        <w:rPr>
          <w:lang w:val="ru-RU"/>
        </w:rPr>
        <w:tab/>
      </w:r>
      <w:r w:rsidRPr="008D3CB2">
        <w:rPr>
          <w:lang w:val="ru-RU"/>
        </w:rPr>
        <w:tab/>
      </w:r>
      <w:r w:rsidRPr="008D3CB2">
        <w:rPr>
          <w:position w:val="-30"/>
          <w:lang w:val="ru-RU"/>
        </w:rPr>
        <w:object w:dxaOrig="25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85pt;height:36.3pt" o:ole="">
            <v:imagedata r:id="rId14" o:title=""/>
          </v:shape>
          <o:OLEObject Type="Embed" ProgID="Equation.3" ShapeID="_x0000_i1025" DrawAspect="Content" ObjectID="_1496234213" r:id="rId15"/>
        </w:object>
      </w:r>
      <w:r w:rsidRPr="008D3CB2">
        <w:rPr>
          <w:lang w:val="ru-RU"/>
        </w:rPr>
        <w:t>,</w:t>
      </w:r>
      <w:r w:rsidRPr="008D3CB2">
        <w:rPr>
          <w:lang w:val="ru-RU"/>
        </w:rPr>
        <w:tab/>
        <w:t>(1)</w:t>
      </w:r>
    </w:p>
    <w:p w:rsidR="00717979" w:rsidRPr="008D3CB2" w:rsidRDefault="00717979" w:rsidP="00717979">
      <w:pPr>
        <w:keepNext/>
        <w:keepLines/>
        <w:rPr>
          <w:lang w:val="ru-RU"/>
        </w:rPr>
      </w:pPr>
      <w:r w:rsidRPr="008D3CB2">
        <w:rPr>
          <w:lang w:val="ru-RU"/>
        </w:rPr>
        <w:lastRenderedPageBreak/>
        <w:t>где:</w:t>
      </w:r>
    </w:p>
    <w:p w:rsidR="00717979" w:rsidRPr="008D3CB2" w:rsidRDefault="00717979" w:rsidP="00717979">
      <w:pPr>
        <w:pStyle w:val="Equationlegend"/>
        <w:keepNext/>
        <w:keepLines/>
        <w:rPr>
          <w:lang w:val="ru-RU"/>
        </w:rPr>
      </w:pPr>
      <w:r w:rsidRPr="008D3CB2">
        <w:rPr>
          <w:i/>
          <w:lang w:val="ru-RU"/>
        </w:rPr>
        <w:tab/>
        <w:t>m</w:t>
      </w:r>
      <w:r w:rsidRPr="008D3CB2">
        <w:rPr>
          <w:lang w:val="ru-RU"/>
        </w:rPr>
        <w:tab/>
        <w:t>число пролетов, содержащихся на одном участке резервирования;</w:t>
      </w:r>
    </w:p>
    <w:p w:rsidR="00717979" w:rsidRPr="008D3CB2" w:rsidRDefault="00717979" w:rsidP="00717979">
      <w:pPr>
        <w:pStyle w:val="Equationlegend"/>
        <w:keepNext/>
        <w:keepLines/>
        <w:rPr>
          <w:lang w:val="ru-RU"/>
        </w:rPr>
      </w:pPr>
      <w:r w:rsidRPr="008D3CB2">
        <w:rPr>
          <w:i/>
          <w:lang w:val="ru-RU"/>
        </w:rPr>
        <w:tab/>
        <w:t>q</w:t>
      </w:r>
      <w:r w:rsidRPr="008D3CB2">
        <w:rPr>
          <w:lang w:val="ru-RU"/>
        </w:rPr>
        <w:tab/>
        <w:t xml:space="preserve">вероятность перерывов на каждом пролете (для отказов рассматриваемого оборудования, </w:t>
      </w:r>
      <w:r w:rsidRPr="008D3CB2">
        <w:rPr>
          <w:i/>
          <w:lang w:val="ru-RU"/>
        </w:rPr>
        <w:t>q</w:t>
      </w:r>
      <w:r w:rsidRPr="008D3CB2">
        <w:rPr>
          <w:lang w:val="ru-RU"/>
        </w:rPr>
        <w:t> </w:t>
      </w:r>
      <w:r w:rsidRPr="008D3CB2">
        <w:rPr>
          <w:rFonts w:ascii="Symbol" w:hAnsi="Symbol"/>
          <w:lang w:val="ru-RU"/>
        </w:rPr>
        <w:t></w:t>
      </w:r>
      <w:r w:rsidRPr="008D3CB2">
        <w:rPr>
          <w:lang w:val="ru-RU"/>
        </w:rPr>
        <w:t> MTTR/MTBF).</w:t>
      </w:r>
    </w:p>
    <w:p w:rsidR="00717979" w:rsidRPr="008D3CB2" w:rsidRDefault="00717979" w:rsidP="00717979">
      <w:pPr>
        <w:pStyle w:val="Equation"/>
        <w:spacing w:before="240" w:after="120"/>
        <w:rPr>
          <w:lang w:val="ru-RU"/>
        </w:rPr>
      </w:pPr>
      <w:bookmarkStart w:id="4" w:name="F002"/>
      <w:bookmarkStart w:id="5" w:name="F001"/>
      <w:r w:rsidRPr="008D3CB2">
        <w:rPr>
          <w:lang w:val="ru-RU"/>
        </w:rPr>
        <w:tab/>
      </w:r>
      <w:r w:rsidRPr="008D3CB2">
        <w:rPr>
          <w:lang w:val="ru-RU"/>
        </w:rPr>
        <w:tab/>
      </w:r>
      <w:r w:rsidRPr="008D3CB2">
        <w:rPr>
          <w:position w:val="-28"/>
          <w:lang w:val="ru-RU"/>
        </w:rPr>
        <w:object w:dxaOrig="2640" w:dyaOrig="680">
          <v:shape id="_x0000_i1026" type="#_x0000_t75" style="width:131.5pt;height:34.45pt" o:ole="">
            <v:imagedata r:id="rId16" o:title=""/>
          </v:shape>
          <o:OLEObject Type="Embed" ProgID="Equation.3" ShapeID="_x0000_i1026" DrawAspect="Content" ObjectID="_1496234214" r:id="rId17"/>
        </w:object>
      </w:r>
    </w:p>
    <w:bookmarkEnd w:id="4"/>
    <w:bookmarkEnd w:id="5"/>
    <w:p w:rsidR="00717979" w:rsidRPr="008D3CB2" w:rsidRDefault="00717979" w:rsidP="007D720E">
      <w:pPr>
        <w:rPr>
          <w:position w:val="-6"/>
          <w:lang w:val="ru-RU"/>
        </w:rPr>
      </w:pPr>
      <w:r w:rsidRPr="008D3CB2">
        <w:rPr>
          <w:lang w:val="ru-RU"/>
        </w:rPr>
        <w:t xml:space="preserve">Во многих случаях, когда число резервных радиостволов </w:t>
      </w:r>
      <w:r w:rsidRPr="008D3CB2">
        <w:rPr>
          <w:i/>
          <w:lang w:val="ru-RU"/>
        </w:rPr>
        <w:t>P</w:t>
      </w:r>
      <w:r w:rsidRPr="008D3CB2">
        <w:rPr>
          <w:lang w:val="ru-RU"/>
        </w:rPr>
        <w:t> </w:t>
      </w:r>
      <w:r w:rsidRPr="008D3CB2">
        <w:rPr>
          <w:rFonts w:ascii="Symbol" w:hAnsi="Symbol"/>
          <w:lang w:val="ru-RU"/>
        </w:rPr>
        <w:t></w:t>
      </w:r>
      <w:r w:rsidRPr="008D3CB2">
        <w:rPr>
          <w:lang w:val="ru-RU"/>
        </w:rPr>
        <w:t> 1, формула (1) может быть представлена в следующем виде:</w:t>
      </w:r>
    </w:p>
    <w:p w:rsidR="00717979" w:rsidRPr="008D3CB2" w:rsidRDefault="00717979" w:rsidP="00717979">
      <w:pPr>
        <w:pStyle w:val="Equation"/>
        <w:spacing w:before="240" w:after="120"/>
        <w:rPr>
          <w:lang w:val="ru-RU"/>
        </w:rPr>
      </w:pPr>
      <w:bookmarkStart w:id="6" w:name="F003"/>
      <w:r w:rsidRPr="008D3CB2">
        <w:rPr>
          <w:lang w:val="ru-RU"/>
        </w:rPr>
        <w:tab/>
      </w:r>
      <w:r w:rsidRPr="008D3CB2">
        <w:rPr>
          <w:lang w:val="ru-RU"/>
        </w:rPr>
        <w:tab/>
      </w:r>
      <w:r w:rsidRPr="008D3CB2">
        <w:rPr>
          <w:position w:val="-30"/>
          <w:lang w:val="ru-RU"/>
        </w:rPr>
        <w:object w:dxaOrig="2180" w:dyaOrig="720">
          <v:shape id="_x0000_i1027" type="#_x0000_t75" style="width:109.55pt;height:36.3pt" o:ole="">
            <v:imagedata r:id="rId18" o:title=""/>
          </v:shape>
          <o:OLEObject Type="Embed" ProgID="Equation.3" ShapeID="_x0000_i1027" DrawAspect="Content" ObjectID="_1496234215" r:id="rId19"/>
        </w:object>
      </w:r>
      <w:r w:rsidRPr="008D3CB2">
        <w:rPr>
          <w:lang w:val="ru-RU"/>
        </w:rPr>
        <w:t>.</w:t>
      </w:r>
    </w:p>
    <w:bookmarkEnd w:id="6"/>
    <w:p w:rsidR="00717979" w:rsidRPr="008D3CB2" w:rsidRDefault="00717979" w:rsidP="00717979">
      <w:pPr>
        <w:spacing w:before="240"/>
        <w:rPr>
          <w:lang w:val="ru-RU"/>
        </w:rPr>
      </w:pPr>
      <w:r w:rsidRPr="008D3CB2">
        <w:rPr>
          <w:lang w:val="ru-RU"/>
        </w:rPr>
        <w:t>Переключение на резерв эффективно не только при отказах оборудования, но и для борьбы с многолучевыми замираниями за счет получения эффекта частотного разнесения. Информация о частотном разнесении приведена в Рекомендации МСЭ-R F.752.</w:t>
      </w:r>
    </w:p>
    <w:p w:rsidR="007D720E" w:rsidRPr="008D3CB2" w:rsidRDefault="007D720E" w:rsidP="0032202E">
      <w:pPr>
        <w:pStyle w:val="Reasons"/>
        <w:rPr>
          <w:lang w:val="ru-RU"/>
        </w:rPr>
      </w:pPr>
    </w:p>
    <w:p w:rsidR="007D720E" w:rsidRPr="008D3CB2" w:rsidRDefault="007D720E">
      <w:pPr>
        <w:jc w:val="center"/>
        <w:rPr>
          <w:lang w:val="ru-RU"/>
        </w:rPr>
      </w:pPr>
      <w:r w:rsidRPr="008D3CB2">
        <w:rPr>
          <w:lang w:val="ru-RU"/>
        </w:rPr>
        <w:t>______________</w:t>
      </w:r>
    </w:p>
    <w:p w:rsidR="00E91F23" w:rsidRPr="008D3CB2" w:rsidRDefault="00E91F23" w:rsidP="00717979">
      <w:pPr>
        <w:pStyle w:val="Rectitle"/>
        <w:rPr>
          <w:lang w:val="ru-RU"/>
        </w:rPr>
      </w:pPr>
    </w:p>
    <w:p w:rsidR="00934ED7" w:rsidRPr="008D3CB2" w:rsidRDefault="00934ED7" w:rsidP="00C855C0">
      <w:pPr>
        <w:rPr>
          <w:lang w:val="ru-RU"/>
        </w:rPr>
      </w:pPr>
    </w:p>
    <w:sectPr w:rsidR="00934ED7" w:rsidRPr="008D3CB2" w:rsidSect="00E91F23">
      <w:headerReference w:type="first" r:id="rId2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6A4DE9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44674869" wp14:editId="4951B092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739F7ADA" wp14:editId="4838E5B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D56B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6D56B3">
      <w:rPr>
        <w:b/>
        <w:bCs/>
        <w:noProof/>
        <w:szCs w:val="22"/>
        <w:lang w:val="en-US"/>
      </w:rPr>
      <w:t>МСЭ-R  F.557-5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156" w:rsidRDefault="001C6156" w:rsidP="00717979">
    <w:pPr>
      <w:pStyle w:val="Header"/>
    </w:pPr>
    <w:r>
      <w:tab/>
    </w:r>
    <w:r w:rsidR="00717979" w:rsidRPr="00553C5F">
      <w:rPr>
        <w:b/>
        <w:szCs w:val="22"/>
        <w:lang w:val="ru-RU"/>
      </w:rPr>
      <w:t>Рек.</w:t>
    </w:r>
    <w:r w:rsidR="00717979" w:rsidRPr="00553C5F">
      <w:rPr>
        <w:b/>
        <w:szCs w:val="22"/>
        <w:lang w:val="en-US"/>
      </w:rPr>
      <w:t xml:space="preserve"> </w:t>
    </w:r>
    <w:r w:rsidR="00717979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D56B3">
      <w:rPr>
        <w:b/>
        <w:bCs/>
        <w:noProof/>
      </w:rPr>
      <w:t>МСЭ-R  F.557-5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D56B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D56B3">
      <w:rPr>
        <w:b/>
        <w:bCs/>
        <w:noProof/>
        <w:szCs w:val="22"/>
        <w:lang w:val="en-US"/>
      </w:rPr>
      <w:t>МСЭ-R  F.557-5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D56B3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285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391B"/>
    <w:rsid w:val="00127730"/>
    <w:rsid w:val="00131900"/>
    <w:rsid w:val="00147110"/>
    <w:rsid w:val="001511A6"/>
    <w:rsid w:val="00197B47"/>
    <w:rsid w:val="001C6156"/>
    <w:rsid w:val="001D407F"/>
    <w:rsid w:val="002058CE"/>
    <w:rsid w:val="002165F1"/>
    <w:rsid w:val="0025422D"/>
    <w:rsid w:val="002558A8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C38BA"/>
    <w:rsid w:val="00420DFD"/>
    <w:rsid w:val="00424855"/>
    <w:rsid w:val="00431A1D"/>
    <w:rsid w:val="00437A76"/>
    <w:rsid w:val="00470E28"/>
    <w:rsid w:val="004934C5"/>
    <w:rsid w:val="004A1C05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2274"/>
    <w:rsid w:val="00607D68"/>
    <w:rsid w:val="00610FF9"/>
    <w:rsid w:val="006114CA"/>
    <w:rsid w:val="00613212"/>
    <w:rsid w:val="006149B1"/>
    <w:rsid w:val="00680D2B"/>
    <w:rsid w:val="00681B32"/>
    <w:rsid w:val="006A4DE9"/>
    <w:rsid w:val="006A6447"/>
    <w:rsid w:val="006B1D2B"/>
    <w:rsid w:val="006D56B3"/>
    <w:rsid w:val="006E1131"/>
    <w:rsid w:val="006E2037"/>
    <w:rsid w:val="006E227A"/>
    <w:rsid w:val="006E6199"/>
    <w:rsid w:val="00712870"/>
    <w:rsid w:val="00717979"/>
    <w:rsid w:val="00743D85"/>
    <w:rsid w:val="00753CF4"/>
    <w:rsid w:val="007565CC"/>
    <w:rsid w:val="00763B9A"/>
    <w:rsid w:val="007A6AA8"/>
    <w:rsid w:val="007D056D"/>
    <w:rsid w:val="007D720E"/>
    <w:rsid w:val="007F008D"/>
    <w:rsid w:val="008310C9"/>
    <w:rsid w:val="00853CC5"/>
    <w:rsid w:val="00870848"/>
    <w:rsid w:val="008C7848"/>
    <w:rsid w:val="008D3CB2"/>
    <w:rsid w:val="00905CFB"/>
    <w:rsid w:val="00906589"/>
    <w:rsid w:val="00906AD6"/>
    <w:rsid w:val="00917AF2"/>
    <w:rsid w:val="0092418A"/>
    <w:rsid w:val="00934ED7"/>
    <w:rsid w:val="00941983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D238A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E7C5C"/>
    <w:rsid w:val="00BF0366"/>
    <w:rsid w:val="00BF487A"/>
    <w:rsid w:val="00C46BD9"/>
    <w:rsid w:val="00C55258"/>
    <w:rsid w:val="00C73560"/>
    <w:rsid w:val="00C855C0"/>
    <w:rsid w:val="00CB0F14"/>
    <w:rsid w:val="00CD659B"/>
    <w:rsid w:val="00CE0A43"/>
    <w:rsid w:val="00D27B54"/>
    <w:rsid w:val="00D54BEC"/>
    <w:rsid w:val="00D83556"/>
    <w:rsid w:val="00DF4176"/>
    <w:rsid w:val="00E00E97"/>
    <w:rsid w:val="00E17240"/>
    <w:rsid w:val="00E74595"/>
    <w:rsid w:val="00E91F23"/>
    <w:rsid w:val="00EB7C57"/>
    <w:rsid w:val="00ED2695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523BDF27-2E80-430C-90F4-CFCACC799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link w:val="HeadingbChar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link w:val="AnnexNoTitleChar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link w:val="enumlev1Char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link w:val="NoteChar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22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717979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717979"/>
    <w:rPr>
      <w:b/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717979"/>
    <w:rPr>
      <w:b/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717979"/>
    <w:rPr>
      <w:b/>
      <w:sz w:val="26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717979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717979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717979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717979"/>
    <w:rPr>
      <w:sz w:val="22"/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717979"/>
    <w:rPr>
      <w:sz w:val="22"/>
      <w:lang w:eastAsia="en-US"/>
    </w:rPr>
  </w:style>
  <w:style w:type="paragraph" w:customStyle="1" w:styleId="Reasons">
    <w:name w:val="Reasons"/>
    <w:basedOn w:val="Normal"/>
    <w:qFormat/>
    <w:rsid w:val="007D720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w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60D05-BECA-4B77-B8E6-93A11B0C5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34</TotalTime>
  <Pages>7</Pages>
  <Words>2232</Words>
  <Characters>12727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14930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11</cp:revision>
  <cp:lastPrinted>2015-06-19T12:57:00Z</cp:lastPrinted>
  <dcterms:created xsi:type="dcterms:W3CDTF">2015-06-19T12:34:00Z</dcterms:created>
  <dcterms:modified xsi:type="dcterms:W3CDTF">2015-06-19T13:37:00Z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