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AF8E28" w14:textId="77777777" w:rsidR="00FE79FE" w:rsidRPr="007B3BDB" w:rsidRDefault="00FE79FE"/>
    <w:p w14:paraId="11ED7677" w14:textId="77777777" w:rsidR="00013002" w:rsidRPr="007B3BDB" w:rsidRDefault="00013002" w:rsidP="00DE5556">
      <w:pPr>
        <w:tabs>
          <w:tab w:val="clear" w:pos="794"/>
          <w:tab w:val="clear" w:pos="1191"/>
          <w:tab w:val="clear" w:pos="1588"/>
          <w:tab w:val="clear" w:pos="1985"/>
        </w:tabs>
      </w:pPr>
    </w:p>
    <w:p w14:paraId="5DE67637" w14:textId="43883AC6" w:rsidR="00D5024B" w:rsidRPr="007B3BDB" w:rsidRDefault="00D5024B" w:rsidP="00D5024B">
      <w:pPr>
        <w:pStyle w:val="CoverNumber"/>
        <w:rPr>
          <w:lang w:val="es-ES"/>
        </w:rPr>
      </w:pPr>
      <w:r w:rsidRPr="007B3BDB">
        <w:rPr>
          <w:lang w:val="es-ES"/>
        </w:rPr>
        <w:t>Recom</w:t>
      </w:r>
      <w:r w:rsidR="0069322D" w:rsidRPr="007B3BDB">
        <w:rPr>
          <w:lang w:val="es-ES"/>
        </w:rPr>
        <w:t>e</w:t>
      </w:r>
      <w:r w:rsidRPr="007B3BDB">
        <w:rPr>
          <w:lang w:val="es-ES"/>
        </w:rPr>
        <w:t>nda</w:t>
      </w:r>
      <w:r w:rsidR="0069322D" w:rsidRPr="007B3BDB">
        <w:rPr>
          <w:lang w:val="es-ES"/>
        </w:rPr>
        <w:t>c</w:t>
      </w:r>
      <w:r w:rsidRPr="007B3BDB">
        <w:rPr>
          <w:lang w:val="es-ES"/>
        </w:rPr>
        <w:t>i</w:t>
      </w:r>
      <w:r w:rsidR="0069322D" w:rsidRPr="007B3BDB">
        <w:rPr>
          <w:lang w:val="es-ES"/>
        </w:rPr>
        <w:t>ó</w:t>
      </w:r>
      <w:r w:rsidRPr="007B3BDB">
        <w:rPr>
          <w:lang w:val="es-ES"/>
        </w:rPr>
        <w:t xml:space="preserve">n </w:t>
      </w:r>
      <w:r w:rsidR="007624B1" w:rsidRPr="007B3BDB">
        <w:rPr>
          <w:lang w:val="es-ES"/>
        </w:rPr>
        <w:t>U</w:t>
      </w:r>
      <w:r w:rsidRPr="007B3BDB">
        <w:rPr>
          <w:lang w:val="es-ES"/>
        </w:rPr>
        <w:t xml:space="preserve">IT-R </w:t>
      </w:r>
      <w:r w:rsidR="000246E0" w:rsidRPr="007B3BDB">
        <w:rPr>
          <w:lang w:val="es-ES"/>
        </w:rPr>
        <w:t>F</w:t>
      </w:r>
      <w:r w:rsidRPr="007B3BDB">
        <w:rPr>
          <w:lang w:val="es-ES"/>
        </w:rPr>
        <w:t>.</w:t>
      </w:r>
      <w:r w:rsidR="001C079E" w:rsidRPr="007B3BDB">
        <w:rPr>
          <w:lang w:val="es-ES"/>
        </w:rPr>
        <w:t>2172-0</w:t>
      </w:r>
    </w:p>
    <w:p w14:paraId="6D5204A7" w14:textId="54F0607C" w:rsidR="00D5024B" w:rsidRPr="007B3BDB" w:rsidRDefault="00D5024B" w:rsidP="00D5024B">
      <w:pPr>
        <w:pStyle w:val="CoverDate"/>
        <w:rPr>
          <w:lang w:val="es-ES"/>
        </w:rPr>
      </w:pPr>
      <w:r w:rsidRPr="007B3BDB">
        <w:rPr>
          <w:lang w:val="es-ES"/>
        </w:rPr>
        <w:t>(</w:t>
      </w:r>
      <w:r w:rsidR="001C079E" w:rsidRPr="007B3BDB">
        <w:rPr>
          <w:lang w:val="es-ES"/>
        </w:rPr>
        <w:t>02</w:t>
      </w:r>
      <w:r w:rsidRPr="007B3BDB">
        <w:rPr>
          <w:lang w:val="es-ES"/>
        </w:rPr>
        <w:t>/</w:t>
      </w:r>
      <w:r w:rsidR="001C079E" w:rsidRPr="007B3BDB">
        <w:rPr>
          <w:lang w:val="es-ES"/>
        </w:rPr>
        <w:t>2026</w:t>
      </w:r>
      <w:r w:rsidRPr="007B3BDB">
        <w:rPr>
          <w:lang w:val="es-ES"/>
        </w:rPr>
        <w:t>)</w:t>
      </w:r>
    </w:p>
    <w:p w14:paraId="7E89715A" w14:textId="77777777" w:rsidR="00D5024B" w:rsidRPr="007B3BDB" w:rsidRDefault="00A25EE2" w:rsidP="00D5024B">
      <w:pPr>
        <w:pStyle w:val="CoverSeries"/>
        <w:rPr>
          <w:lang w:val="es-ES"/>
        </w:rPr>
      </w:pPr>
      <w:r w:rsidRPr="007B3BDB">
        <w:rPr>
          <w:lang w:val="es-ES"/>
        </w:rPr>
        <w:t>S</w:t>
      </w:r>
      <w:r w:rsidR="0069322D" w:rsidRPr="007B3BDB">
        <w:rPr>
          <w:lang w:val="es-ES"/>
        </w:rPr>
        <w:t>e</w:t>
      </w:r>
      <w:r w:rsidRPr="007B3BDB">
        <w:rPr>
          <w:lang w:val="es-ES"/>
        </w:rPr>
        <w:t xml:space="preserve">rie </w:t>
      </w:r>
      <w:r w:rsidR="000246E0" w:rsidRPr="007B3BDB">
        <w:rPr>
          <w:lang w:val="es-ES"/>
        </w:rPr>
        <w:t>F</w:t>
      </w:r>
      <w:r w:rsidR="00D5024B" w:rsidRPr="007B3BDB">
        <w:rPr>
          <w:lang w:val="es-ES"/>
        </w:rPr>
        <w:t xml:space="preserve">: </w:t>
      </w:r>
      <w:r w:rsidR="000246E0" w:rsidRPr="007B3BDB">
        <w:rPr>
          <w:lang w:val="es-ES"/>
        </w:rPr>
        <w:t>Servicio fijo</w:t>
      </w:r>
    </w:p>
    <w:p w14:paraId="79CE7F1B" w14:textId="691D810C" w:rsidR="00D5024B" w:rsidRPr="007B3BDB" w:rsidRDefault="001C079E" w:rsidP="00D5024B">
      <w:pPr>
        <w:pStyle w:val="CoverTitle"/>
        <w:rPr>
          <w:lang w:val="es-ES"/>
        </w:rPr>
      </w:pPr>
      <w:r w:rsidRPr="007B3BDB">
        <w:rPr>
          <w:lang w:val="es-ES"/>
        </w:rPr>
        <w:t>Disposición de canales y bloques</w:t>
      </w:r>
      <w:r w:rsidR="0060228C">
        <w:rPr>
          <w:lang w:val="es-ES"/>
        </w:rPr>
        <w:t xml:space="preserve"> </w:t>
      </w:r>
      <w:r w:rsidRPr="007B3BDB">
        <w:rPr>
          <w:lang w:val="es-ES"/>
        </w:rPr>
        <w:t>de</w:t>
      </w:r>
      <w:r w:rsidR="003F764E" w:rsidRPr="007B3BDB">
        <w:rPr>
          <w:lang w:val="es-ES"/>
        </w:rPr>
        <w:t xml:space="preserve"> </w:t>
      </w:r>
      <w:r w:rsidRPr="007B3BDB">
        <w:rPr>
          <w:lang w:val="es-ES"/>
        </w:rPr>
        <w:t>radiofrecuencias para sistemas</w:t>
      </w:r>
      <w:r w:rsidR="0060228C">
        <w:rPr>
          <w:lang w:val="es-ES"/>
        </w:rPr>
        <w:t xml:space="preserve"> </w:t>
      </w:r>
      <w:r w:rsidRPr="007B3BDB">
        <w:rPr>
          <w:lang w:val="es-ES"/>
        </w:rPr>
        <w:t>del</w:t>
      </w:r>
      <w:r w:rsidR="003F764E" w:rsidRPr="007B3BDB">
        <w:rPr>
          <w:lang w:val="es-ES"/>
        </w:rPr>
        <w:t xml:space="preserve"> </w:t>
      </w:r>
      <w:r w:rsidRPr="007B3BDB">
        <w:rPr>
          <w:lang w:val="es-ES"/>
        </w:rPr>
        <w:t>servicio fijo que utilizan las gamas de</w:t>
      </w:r>
      <w:r w:rsidR="003F764E" w:rsidRPr="007B3BDB">
        <w:rPr>
          <w:lang w:val="es-ES"/>
        </w:rPr>
        <w:t> </w:t>
      </w:r>
      <w:r w:rsidRPr="007B3BDB">
        <w:rPr>
          <w:lang w:val="es-ES"/>
        </w:rPr>
        <w:t>frecuencias 130-134 GHz, 141</w:t>
      </w:r>
      <w:r w:rsidR="003F764E" w:rsidRPr="007B3BDB">
        <w:rPr>
          <w:lang w:val="es-ES"/>
        </w:rPr>
        <w:noBreakHyphen/>
      </w:r>
      <w:r w:rsidRPr="007B3BDB">
        <w:rPr>
          <w:lang w:val="es-ES"/>
        </w:rPr>
        <w:t>148,5</w:t>
      </w:r>
      <w:r w:rsidR="003F764E" w:rsidRPr="007B3BDB">
        <w:rPr>
          <w:lang w:val="es-ES"/>
        </w:rPr>
        <w:t> </w:t>
      </w:r>
      <w:r w:rsidRPr="007B3BDB">
        <w:rPr>
          <w:lang w:val="es-ES"/>
        </w:rPr>
        <w:t>GHz, 151,5-164 GHz</w:t>
      </w:r>
      <w:r w:rsidR="0060228C">
        <w:rPr>
          <w:lang w:val="es-ES"/>
        </w:rPr>
        <w:t xml:space="preserve"> </w:t>
      </w:r>
      <w:r w:rsidRPr="007B3BDB">
        <w:rPr>
          <w:lang w:val="es-ES"/>
        </w:rPr>
        <w:t>y</w:t>
      </w:r>
      <w:r w:rsidR="0060228C">
        <w:rPr>
          <w:lang w:val="es-ES"/>
        </w:rPr>
        <w:t> </w:t>
      </w:r>
      <w:r w:rsidRPr="007B3BDB">
        <w:rPr>
          <w:lang w:val="es-ES"/>
        </w:rPr>
        <w:t>167</w:t>
      </w:r>
      <w:r w:rsidR="003F764E" w:rsidRPr="007B3BDB">
        <w:rPr>
          <w:lang w:val="es-ES"/>
        </w:rPr>
        <w:noBreakHyphen/>
      </w:r>
      <w:r w:rsidRPr="007B3BDB">
        <w:rPr>
          <w:lang w:val="es-ES"/>
        </w:rPr>
        <w:t>174,8</w:t>
      </w:r>
      <w:r w:rsidR="003F764E" w:rsidRPr="007B3BDB">
        <w:rPr>
          <w:lang w:val="es-ES"/>
        </w:rPr>
        <w:t> </w:t>
      </w:r>
      <w:r w:rsidRPr="007B3BDB">
        <w:rPr>
          <w:lang w:val="es-ES"/>
        </w:rPr>
        <w:t>GHz</w:t>
      </w:r>
    </w:p>
    <w:p w14:paraId="01EF20EE" w14:textId="77777777" w:rsidR="00FE79FE" w:rsidRPr="007B3BDB" w:rsidRDefault="00FE79FE" w:rsidP="005373E0"/>
    <w:p w14:paraId="4DCEF026" w14:textId="77777777" w:rsidR="00A71FE5" w:rsidRPr="007B3BDB" w:rsidRDefault="00A71FE5" w:rsidP="005373E0"/>
    <w:p w14:paraId="16DFC9A9" w14:textId="77777777" w:rsidR="00EE47C4" w:rsidRPr="007B3BDB" w:rsidRDefault="00EE47C4" w:rsidP="005373E0">
      <w:pPr>
        <w:sectPr w:rsidR="00EE47C4" w:rsidRPr="007B3BDB" w:rsidSect="0027411A">
          <w:headerReference w:type="even" r:id="rId7"/>
          <w:headerReference w:type="default" r:id="rId8"/>
          <w:footerReference w:type="default" r:id="rId9"/>
          <w:pgSz w:w="11907" w:h="16840" w:code="9"/>
          <w:pgMar w:top="1089" w:right="1089" w:bottom="284" w:left="1089" w:header="737" w:footer="284" w:gutter="0"/>
          <w:pgNumType w:start="1"/>
          <w:cols w:space="720"/>
          <w:docGrid w:linePitch="326"/>
        </w:sectPr>
      </w:pPr>
    </w:p>
    <w:p w14:paraId="2248196F" w14:textId="77777777" w:rsidR="0069322D" w:rsidRPr="007B3BDB" w:rsidRDefault="0069322D" w:rsidP="0069322D">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0" w:after="0"/>
        <w:rPr>
          <w:bCs/>
          <w:sz w:val="24"/>
          <w:szCs w:val="24"/>
        </w:rPr>
      </w:pPr>
      <w:bookmarkStart w:id="0" w:name="c2tope"/>
      <w:bookmarkEnd w:id="0"/>
      <w:r w:rsidRPr="007B3BDB">
        <w:rPr>
          <w:bCs/>
          <w:sz w:val="24"/>
          <w:szCs w:val="24"/>
        </w:rPr>
        <w:lastRenderedPageBreak/>
        <w:t>Prólogo</w:t>
      </w:r>
    </w:p>
    <w:p w14:paraId="43048447" w14:textId="77777777" w:rsidR="0069322D" w:rsidRPr="007B3BDB" w:rsidRDefault="0069322D" w:rsidP="0069322D">
      <w:pPr>
        <w:spacing w:before="180"/>
        <w:rPr>
          <w:sz w:val="20"/>
        </w:rPr>
      </w:pPr>
      <w:r w:rsidRPr="007B3BDB">
        <w:rPr>
          <w:sz w:val="20"/>
        </w:rPr>
        <w:t>El Sector de Radiocomunicaciones tiene como cometido garantizar la utilización racional, equitativa, eficaz y económica del espectro de frecuencias radioeléctricas por todos los servicios de radiocomunicaciones, incluidos los servicios por satélite, y realizar, sin limitación de gamas de frecuencias, estudios que sirvan de base para la adopción de las Recomendaciones UIT-R.</w:t>
      </w:r>
    </w:p>
    <w:p w14:paraId="1F53602D" w14:textId="77777777" w:rsidR="0069322D" w:rsidRPr="007B3BDB" w:rsidRDefault="0069322D" w:rsidP="0069322D">
      <w:pPr>
        <w:rPr>
          <w:sz w:val="20"/>
        </w:rPr>
      </w:pPr>
      <w:r w:rsidRPr="007B3BDB">
        <w:rPr>
          <w:sz w:val="20"/>
        </w:rPr>
        <w:t>Las Conferencias Mundiales y Regionales de Radiocomunicaciones y las Asambleas de Radiocomunicaciones, con la colaboración de las Comisiones de Estudio, cumplen las funciones reglamentarias y políticas del Sector de Radiocomunicaciones.</w:t>
      </w:r>
    </w:p>
    <w:p w14:paraId="5C9D63A8" w14:textId="28E1E8D4" w:rsidR="0069322D" w:rsidRPr="007B3BDB" w:rsidRDefault="00497B80" w:rsidP="0069322D">
      <w:pPr>
        <w:pStyle w:val="Heading1"/>
        <w:spacing w:before="340"/>
        <w:jc w:val="center"/>
        <w:rPr>
          <w:szCs w:val="24"/>
        </w:rPr>
      </w:pPr>
      <w:r w:rsidRPr="007B3BDB">
        <w:t>Propiedad intelectual</w:t>
      </w:r>
    </w:p>
    <w:p w14:paraId="4EA5B674" w14:textId="77777777" w:rsidR="00944A01" w:rsidRPr="007B3BDB" w:rsidRDefault="00944A01" w:rsidP="00944A01">
      <w:pPr>
        <w:spacing w:before="100"/>
        <w:rPr>
          <w:sz w:val="20"/>
        </w:rPr>
      </w:pPr>
      <w:r w:rsidRPr="007B3BDB">
        <w:rPr>
          <w:sz w:val="20"/>
        </w:rPr>
        <w:t>La UIT señala a la atención la posibilidad de que la utilización o aplicación de la presente Recomendación suponga el empleo de un derecho de propiedad intelectual reivindicado. La UIT no adopta ninguna posición en cuanto a la demostración, validez o aplicabilidad de los derechos de propiedad intelectual reivindicados, ya sea por los miembros de la UIT o por terceros ajenos al proceso de elaboración de Recomendaciones.</w:t>
      </w:r>
    </w:p>
    <w:p w14:paraId="46557122" w14:textId="77777777" w:rsidR="00944A01" w:rsidRPr="007B3BDB" w:rsidRDefault="00944A01" w:rsidP="00944A01">
      <w:pPr>
        <w:spacing w:before="100"/>
        <w:rPr>
          <w:sz w:val="20"/>
        </w:rPr>
      </w:pPr>
      <w:r w:rsidRPr="007B3BDB">
        <w:rPr>
          <w:sz w:val="20"/>
        </w:rPr>
        <w:t xml:space="preserve">En la fecha de aprobación de la presente Recomendación, la UIT ha recibido notificación de propiedad intelectual, protegida por patente, que puede ser necesaria para aplicar esta Recomendación. Sin embargo, se advierte a los implementadores que esto puede no representar la información más reciente y, por lo tanto, se les insta encarecidamente a consultar la información de patentes del UIT-R apropiada disponible en </w:t>
      </w:r>
      <w:hyperlink r:id="rId10" w:history="1">
        <w:r w:rsidRPr="007B3BDB">
          <w:rPr>
            <w:color w:val="0000FF"/>
            <w:sz w:val="20"/>
            <w:u w:val="single"/>
          </w:rPr>
          <w:t>https://www.itu.int/en/ITU-R/study-groups/Pages/itu-r-patent-information.aspx</w:t>
        </w:r>
      </w:hyperlink>
      <w:r w:rsidRPr="007B3BDB">
        <w:rPr>
          <w:sz w:val="20"/>
        </w:rPr>
        <w:t>.</w:t>
      </w:r>
    </w:p>
    <w:p w14:paraId="73083CFA" w14:textId="77777777" w:rsidR="0069322D" w:rsidRPr="007B3BDB" w:rsidRDefault="0069322D" w:rsidP="0069322D">
      <w:pPr>
        <w:spacing w:before="0"/>
        <w:jc w:val="center"/>
        <w:rPr>
          <w:sz w:val="22"/>
        </w:rPr>
      </w:pPr>
    </w:p>
    <w:tbl>
      <w:tblPr>
        <w:tblW w:w="5000" w:type="pct"/>
        <w:tblBorders>
          <w:top w:val="single" w:sz="12" w:space="0" w:color="000080"/>
          <w:left w:val="single" w:sz="12" w:space="0" w:color="000080"/>
          <w:bottom w:val="single" w:sz="12" w:space="0" w:color="000080"/>
          <w:right w:val="single" w:sz="12" w:space="0" w:color="000080"/>
        </w:tblBorders>
        <w:tblLook w:val="0020" w:firstRow="1" w:lastRow="0" w:firstColumn="0" w:lastColumn="0" w:noHBand="0" w:noVBand="0"/>
      </w:tblPr>
      <w:tblGrid>
        <w:gridCol w:w="1170"/>
        <w:gridCol w:w="8439"/>
      </w:tblGrid>
      <w:tr w:rsidR="0069322D" w:rsidRPr="007B3BDB" w14:paraId="1D97FA7C" w14:textId="77777777" w:rsidTr="00D76B70">
        <w:tc>
          <w:tcPr>
            <w:tcW w:w="9360" w:type="dxa"/>
            <w:gridSpan w:val="2"/>
          </w:tcPr>
          <w:p w14:paraId="1E183AC8" w14:textId="77777777" w:rsidR="0069322D" w:rsidRPr="007B3BDB" w:rsidRDefault="0069322D" w:rsidP="000B4BD9">
            <w:pPr>
              <w:pStyle w:val="Chaptitle"/>
              <w:keepLines w:val="0"/>
              <w:tabs>
                <w:tab w:val="clear" w:pos="794"/>
                <w:tab w:val="clear" w:pos="1191"/>
                <w:tab w:val="clear" w:pos="1588"/>
                <w:tab w:val="clear" w:pos="1985"/>
              </w:tabs>
              <w:overflowPunct/>
              <w:spacing w:before="140"/>
              <w:textAlignment w:val="auto"/>
              <w:rPr>
                <w:sz w:val="22"/>
                <w:szCs w:val="22"/>
              </w:rPr>
            </w:pPr>
            <w:r w:rsidRPr="007B3BDB">
              <w:rPr>
                <w:sz w:val="22"/>
                <w:szCs w:val="22"/>
              </w:rPr>
              <w:t xml:space="preserve">Series de las Recomendaciones UIT-R </w:t>
            </w:r>
          </w:p>
          <w:p w14:paraId="2293DD28" w14:textId="77777777" w:rsidR="0069322D" w:rsidRPr="007B3BDB" w:rsidRDefault="0069322D" w:rsidP="000B4BD9">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120" w:after="60"/>
              <w:rPr>
                <w:bCs/>
                <w:sz w:val="18"/>
                <w:szCs w:val="18"/>
              </w:rPr>
            </w:pPr>
            <w:r w:rsidRPr="007B3BDB">
              <w:rPr>
                <w:b w:val="0"/>
                <w:sz w:val="18"/>
                <w:szCs w:val="18"/>
              </w:rPr>
              <w:t xml:space="preserve">(También disponible en línea en </w:t>
            </w:r>
            <w:hyperlink r:id="rId11" w:history="1">
              <w:r w:rsidR="00B96572" w:rsidRPr="007B3BDB">
                <w:rPr>
                  <w:rStyle w:val="Hyperlink"/>
                  <w:b w:val="0"/>
                  <w:bCs/>
                  <w:sz w:val="18"/>
                  <w:szCs w:val="18"/>
                </w:rPr>
                <w:t>https://www.itu.int/publ/R-REC/es</w:t>
              </w:r>
            </w:hyperlink>
            <w:r w:rsidRPr="007B3BDB">
              <w:rPr>
                <w:b w:val="0"/>
                <w:bCs/>
                <w:sz w:val="18"/>
                <w:szCs w:val="18"/>
              </w:rPr>
              <w:t>)</w:t>
            </w:r>
          </w:p>
        </w:tc>
      </w:tr>
      <w:tr w:rsidR="0069322D" w:rsidRPr="007B3BDB" w14:paraId="09CE8139" w14:textId="77777777" w:rsidTr="00D76B70">
        <w:tc>
          <w:tcPr>
            <w:tcW w:w="1140" w:type="dxa"/>
            <w:tcBorders>
              <w:bottom w:val="nil"/>
            </w:tcBorders>
            <w:vAlign w:val="bottom"/>
          </w:tcPr>
          <w:p w14:paraId="6A712E4D" w14:textId="77777777" w:rsidR="0069322D" w:rsidRPr="007B3BDB" w:rsidRDefault="0069322D" w:rsidP="00B96572">
            <w:pPr>
              <w:spacing w:before="180" w:after="100"/>
              <w:ind w:left="57"/>
              <w:jc w:val="left"/>
              <w:rPr>
                <w:b/>
                <w:bCs/>
                <w:sz w:val="20"/>
              </w:rPr>
            </w:pPr>
            <w:r w:rsidRPr="007B3BDB">
              <w:rPr>
                <w:b/>
                <w:bCs/>
                <w:sz w:val="20"/>
              </w:rPr>
              <w:t>Series</w:t>
            </w:r>
          </w:p>
        </w:tc>
        <w:tc>
          <w:tcPr>
            <w:tcW w:w="8220" w:type="dxa"/>
            <w:tcBorders>
              <w:bottom w:val="nil"/>
            </w:tcBorders>
            <w:vAlign w:val="bottom"/>
          </w:tcPr>
          <w:p w14:paraId="130A3636" w14:textId="77777777" w:rsidR="0069322D" w:rsidRPr="007B3BDB" w:rsidRDefault="0069322D" w:rsidP="00B96572">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120" w:after="100"/>
              <w:rPr>
                <w:bCs/>
                <w:sz w:val="20"/>
              </w:rPr>
            </w:pPr>
            <w:r w:rsidRPr="007B3BDB">
              <w:rPr>
                <w:bCs/>
                <w:sz w:val="20"/>
              </w:rPr>
              <w:t>Título</w:t>
            </w:r>
          </w:p>
        </w:tc>
      </w:tr>
      <w:tr w:rsidR="0069322D" w:rsidRPr="007B3BDB" w14:paraId="2E14EA5C" w14:textId="77777777" w:rsidTr="00D76B70">
        <w:tc>
          <w:tcPr>
            <w:tcW w:w="1140" w:type="dxa"/>
            <w:tcBorders>
              <w:top w:val="nil"/>
              <w:bottom w:val="nil"/>
            </w:tcBorders>
          </w:tcPr>
          <w:p w14:paraId="524025BF" w14:textId="77777777" w:rsidR="0069322D" w:rsidRPr="007B3BDB" w:rsidRDefault="0069322D" w:rsidP="00944A01">
            <w:pPr>
              <w:spacing w:before="20" w:after="20"/>
              <w:ind w:left="57"/>
              <w:jc w:val="left"/>
              <w:rPr>
                <w:b/>
                <w:bCs/>
                <w:sz w:val="20"/>
              </w:rPr>
            </w:pPr>
            <w:r w:rsidRPr="007B3BDB">
              <w:rPr>
                <w:b/>
                <w:bCs/>
                <w:sz w:val="20"/>
              </w:rPr>
              <w:t>BO</w:t>
            </w:r>
          </w:p>
        </w:tc>
        <w:tc>
          <w:tcPr>
            <w:tcW w:w="8220" w:type="dxa"/>
            <w:tcBorders>
              <w:top w:val="nil"/>
              <w:bottom w:val="nil"/>
            </w:tcBorders>
          </w:tcPr>
          <w:p w14:paraId="01F4F984" w14:textId="77777777" w:rsidR="0069322D" w:rsidRPr="007B3BDB" w:rsidRDefault="0069322D" w:rsidP="00944A01">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20" w:after="20"/>
              <w:jc w:val="left"/>
              <w:rPr>
                <w:b w:val="0"/>
                <w:sz w:val="20"/>
              </w:rPr>
            </w:pPr>
            <w:r w:rsidRPr="007B3BDB">
              <w:rPr>
                <w:b w:val="0"/>
                <w:sz w:val="20"/>
              </w:rPr>
              <w:t>Distribución por satélite</w:t>
            </w:r>
          </w:p>
        </w:tc>
      </w:tr>
      <w:tr w:rsidR="0069322D" w:rsidRPr="007B3BDB" w14:paraId="6362F5B2" w14:textId="77777777" w:rsidTr="00D76B70">
        <w:tc>
          <w:tcPr>
            <w:tcW w:w="1140" w:type="dxa"/>
            <w:tcBorders>
              <w:top w:val="nil"/>
              <w:bottom w:val="nil"/>
            </w:tcBorders>
          </w:tcPr>
          <w:p w14:paraId="736FA81C" w14:textId="77777777" w:rsidR="0069322D" w:rsidRPr="007B3BDB" w:rsidRDefault="0069322D" w:rsidP="00944A01">
            <w:pPr>
              <w:spacing w:before="20" w:after="20"/>
              <w:ind w:left="57"/>
              <w:jc w:val="left"/>
              <w:rPr>
                <w:b/>
                <w:bCs/>
                <w:sz w:val="20"/>
              </w:rPr>
            </w:pPr>
            <w:r w:rsidRPr="007B3BDB">
              <w:rPr>
                <w:b/>
                <w:bCs/>
                <w:sz w:val="20"/>
              </w:rPr>
              <w:t>BR</w:t>
            </w:r>
          </w:p>
        </w:tc>
        <w:tc>
          <w:tcPr>
            <w:tcW w:w="8220" w:type="dxa"/>
            <w:tcBorders>
              <w:top w:val="nil"/>
              <w:bottom w:val="nil"/>
            </w:tcBorders>
          </w:tcPr>
          <w:p w14:paraId="1D911F1A" w14:textId="77777777" w:rsidR="0069322D" w:rsidRPr="007B3BDB" w:rsidRDefault="0069322D" w:rsidP="00944A01">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20" w:after="20"/>
              <w:jc w:val="left"/>
              <w:rPr>
                <w:b w:val="0"/>
                <w:sz w:val="20"/>
              </w:rPr>
            </w:pPr>
            <w:r w:rsidRPr="007B3BDB">
              <w:rPr>
                <w:b w:val="0"/>
                <w:sz w:val="20"/>
              </w:rPr>
              <w:t>Registro para producción, archivo y reproducción; películas en televisión</w:t>
            </w:r>
          </w:p>
        </w:tc>
      </w:tr>
      <w:tr w:rsidR="0069322D" w:rsidRPr="007B3BDB" w14:paraId="44FBACF6" w14:textId="77777777" w:rsidTr="00D76B70">
        <w:tc>
          <w:tcPr>
            <w:tcW w:w="1140" w:type="dxa"/>
            <w:tcBorders>
              <w:top w:val="nil"/>
              <w:bottom w:val="nil"/>
            </w:tcBorders>
          </w:tcPr>
          <w:p w14:paraId="667891EB" w14:textId="77777777" w:rsidR="0069322D" w:rsidRPr="007B3BDB" w:rsidRDefault="0069322D" w:rsidP="00944A01">
            <w:pPr>
              <w:spacing w:before="20" w:after="20"/>
              <w:ind w:left="57"/>
              <w:jc w:val="left"/>
              <w:rPr>
                <w:b/>
                <w:bCs/>
                <w:sz w:val="20"/>
              </w:rPr>
            </w:pPr>
            <w:r w:rsidRPr="007B3BDB">
              <w:rPr>
                <w:b/>
                <w:bCs/>
                <w:sz w:val="20"/>
              </w:rPr>
              <w:t>BS</w:t>
            </w:r>
          </w:p>
        </w:tc>
        <w:tc>
          <w:tcPr>
            <w:tcW w:w="8220" w:type="dxa"/>
            <w:tcBorders>
              <w:top w:val="nil"/>
              <w:bottom w:val="nil"/>
            </w:tcBorders>
          </w:tcPr>
          <w:p w14:paraId="3A82BF8F" w14:textId="77777777" w:rsidR="0069322D" w:rsidRPr="007B3BDB" w:rsidRDefault="0069322D" w:rsidP="00944A01">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20" w:after="20"/>
              <w:jc w:val="left"/>
              <w:rPr>
                <w:b w:val="0"/>
                <w:sz w:val="20"/>
              </w:rPr>
            </w:pPr>
            <w:r w:rsidRPr="007B3BDB">
              <w:rPr>
                <w:b w:val="0"/>
                <w:bCs/>
                <w:sz w:val="20"/>
              </w:rPr>
              <w:t>Servicio de radiodifusión (sonora)</w:t>
            </w:r>
          </w:p>
        </w:tc>
      </w:tr>
      <w:tr w:rsidR="0069322D" w:rsidRPr="007B3BDB" w14:paraId="68A8776C" w14:textId="77777777" w:rsidTr="00D76B70">
        <w:tc>
          <w:tcPr>
            <w:tcW w:w="1140" w:type="dxa"/>
            <w:tcBorders>
              <w:top w:val="nil"/>
              <w:bottom w:val="nil"/>
            </w:tcBorders>
          </w:tcPr>
          <w:p w14:paraId="0627354F" w14:textId="77777777" w:rsidR="0069322D" w:rsidRPr="007B3BDB" w:rsidRDefault="0069322D" w:rsidP="00944A01">
            <w:pPr>
              <w:spacing w:before="20" w:after="20"/>
              <w:ind w:left="57"/>
              <w:jc w:val="left"/>
              <w:rPr>
                <w:b/>
                <w:bCs/>
                <w:sz w:val="20"/>
              </w:rPr>
            </w:pPr>
            <w:r w:rsidRPr="007B3BDB">
              <w:rPr>
                <w:b/>
                <w:bCs/>
                <w:sz w:val="20"/>
              </w:rPr>
              <w:t>BT</w:t>
            </w:r>
          </w:p>
        </w:tc>
        <w:tc>
          <w:tcPr>
            <w:tcW w:w="8220" w:type="dxa"/>
            <w:tcBorders>
              <w:top w:val="nil"/>
              <w:bottom w:val="nil"/>
            </w:tcBorders>
          </w:tcPr>
          <w:p w14:paraId="2934C64E" w14:textId="77777777" w:rsidR="0069322D" w:rsidRPr="007B3BDB" w:rsidRDefault="0069322D" w:rsidP="00944A01">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20" w:after="20"/>
              <w:jc w:val="left"/>
              <w:rPr>
                <w:b w:val="0"/>
                <w:bCs/>
                <w:sz w:val="20"/>
              </w:rPr>
            </w:pPr>
            <w:r w:rsidRPr="007B3BDB">
              <w:rPr>
                <w:b w:val="0"/>
                <w:bCs/>
                <w:sz w:val="20"/>
              </w:rPr>
              <w:t>Servicio de radiodifusión (televisión)</w:t>
            </w:r>
          </w:p>
        </w:tc>
      </w:tr>
      <w:tr w:rsidR="000246E0" w:rsidRPr="007B3BDB" w14:paraId="07769A75" w14:textId="77777777" w:rsidTr="00D76B70">
        <w:tc>
          <w:tcPr>
            <w:tcW w:w="1140" w:type="dxa"/>
            <w:tcBorders>
              <w:top w:val="nil"/>
              <w:bottom w:val="nil"/>
            </w:tcBorders>
            <w:shd w:val="clear" w:color="auto" w:fill="F2F2F2" w:themeFill="background1" w:themeFillShade="F2"/>
          </w:tcPr>
          <w:p w14:paraId="21FA6951" w14:textId="77777777" w:rsidR="0069322D" w:rsidRPr="007B3BDB" w:rsidRDefault="0069322D" w:rsidP="00944A01">
            <w:pPr>
              <w:spacing w:before="20" w:after="20"/>
              <w:ind w:left="57"/>
              <w:jc w:val="left"/>
              <w:rPr>
                <w:b/>
                <w:bCs/>
                <w:color w:val="000080"/>
                <w:sz w:val="20"/>
              </w:rPr>
            </w:pPr>
            <w:r w:rsidRPr="007B3BDB">
              <w:rPr>
                <w:b/>
                <w:bCs/>
                <w:color w:val="000080"/>
                <w:sz w:val="20"/>
              </w:rPr>
              <w:t>F</w:t>
            </w:r>
          </w:p>
        </w:tc>
        <w:tc>
          <w:tcPr>
            <w:tcW w:w="8220" w:type="dxa"/>
            <w:tcBorders>
              <w:top w:val="nil"/>
              <w:bottom w:val="nil"/>
            </w:tcBorders>
            <w:shd w:val="clear" w:color="auto" w:fill="F2F2F2" w:themeFill="background1" w:themeFillShade="F2"/>
          </w:tcPr>
          <w:p w14:paraId="1EA6FE4D" w14:textId="77777777" w:rsidR="0069322D" w:rsidRPr="007B3BDB" w:rsidRDefault="0069322D" w:rsidP="00944A01">
            <w:pPr>
              <w:pStyle w:val="Tabletext"/>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20" w:after="20"/>
              <w:rPr>
                <w:b/>
                <w:bCs/>
                <w:color w:val="000080"/>
                <w:sz w:val="20"/>
              </w:rPr>
            </w:pPr>
            <w:r w:rsidRPr="007B3BDB">
              <w:rPr>
                <w:b/>
                <w:bCs/>
                <w:color w:val="000080"/>
                <w:sz w:val="20"/>
              </w:rPr>
              <w:t>Servicio fijo</w:t>
            </w:r>
          </w:p>
        </w:tc>
      </w:tr>
      <w:tr w:rsidR="0069322D" w:rsidRPr="007B3BDB" w14:paraId="427CD318" w14:textId="77777777" w:rsidTr="00D76B70">
        <w:tc>
          <w:tcPr>
            <w:tcW w:w="1140" w:type="dxa"/>
            <w:tcBorders>
              <w:top w:val="nil"/>
              <w:bottom w:val="nil"/>
            </w:tcBorders>
          </w:tcPr>
          <w:p w14:paraId="6C101CBE" w14:textId="77777777" w:rsidR="0069322D" w:rsidRPr="007B3BDB" w:rsidRDefault="0069322D" w:rsidP="00944A01">
            <w:pPr>
              <w:spacing w:before="20" w:after="20"/>
              <w:ind w:left="57"/>
              <w:jc w:val="left"/>
              <w:rPr>
                <w:rFonts w:hAnsi="Times New Roman Bold"/>
                <w:b/>
                <w:bCs/>
                <w:sz w:val="20"/>
              </w:rPr>
            </w:pPr>
            <w:r w:rsidRPr="007B3BDB">
              <w:rPr>
                <w:rFonts w:hAnsi="Times New Roman Bold"/>
                <w:b/>
                <w:bCs/>
                <w:sz w:val="20"/>
              </w:rPr>
              <w:t>M</w:t>
            </w:r>
          </w:p>
        </w:tc>
        <w:tc>
          <w:tcPr>
            <w:tcW w:w="8220" w:type="dxa"/>
            <w:tcBorders>
              <w:top w:val="nil"/>
              <w:bottom w:val="nil"/>
            </w:tcBorders>
          </w:tcPr>
          <w:p w14:paraId="412BA59A" w14:textId="77777777" w:rsidR="0069322D" w:rsidRPr="007B3BDB" w:rsidRDefault="0069322D" w:rsidP="00944A01">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20" w:after="20"/>
              <w:jc w:val="left"/>
              <w:rPr>
                <w:rFonts w:hAnsi="Times New Roman Bold"/>
                <w:b w:val="0"/>
                <w:sz w:val="20"/>
              </w:rPr>
            </w:pPr>
            <w:r w:rsidRPr="007B3BDB">
              <w:rPr>
                <w:rFonts w:hAnsi="Times New Roman Bold"/>
                <w:b w:val="0"/>
                <w:sz w:val="20"/>
              </w:rPr>
              <w:t>Servicios m</w:t>
            </w:r>
            <w:r w:rsidRPr="007B3BDB">
              <w:rPr>
                <w:rFonts w:hAnsi="Times New Roman Bold"/>
                <w:b w:val="0"/>
                <w:sz w:val="20"/>
              </w:rPr>
              <w:t>ó</w:t>
            </w:r>
            <w:r w:rsidRPr="007B3BDB">
              <w:rPr>
                <w:rFonts w:hAnsi="Times New Roman Bold"/>
                <w:b w:val="0"/>
                <w:sz w:val="20"/>
              </w:rPr>
              <w:t>viles, de radiodeterminaci</w:t>
            </w:r>
            <w:r w:rsidRPr="007B3BDB">
              <w:rPr>
                <w:rFonts w:hAnsi="Times New Roman Bold"/>
                <w:b w:val="0"/>
                <w:sz w:val="20"/>
              </w:rPr>
              <w:t>ó</w:t>
            </w:r>
            <w:r w:rsidRPr="007B3BDB">
              <w:rPr>
                <w:rFonts w:hAnsi="Times New Roman Bold"/>
                <w:b w:val="0"/>
                <w:sz w:val="20"/>
              </w:rPr>
              <w:t>n, de aficionados y otros servicios por sat</w:t>
            </w:r>
            <w:r w:rsidRPr="007B3BDB">
              <w:rPr>
                <w:rFonts w:hAnsi="Times New Roman Bold"/>
                <w:b w:val="0"/>
                <w:sz w:val="20"/>
              </w:rPr>
              <w:t>é</w:t>
            </w:r>
            <w:r w:rsidRPr="007B3BDB">
              <w:rPr>
                <w:rFonts w:hAnsi="Times New Roman Bold"/>
                <w:b w:val="0"/>
                <w:sz w:val="20"/>
              </w:rPr>
              <w:t>lite conexos</w:t>
            </w:r>
          </w:p>
        </w:tc>
      </w:tr>
      <w:tr w:rsidR="0069322D" w:rsidRPr="007B3BDB" w14:paraId="39D4BDE5" w14:textId="77777777" w:rsidTr="00D76B70">
        <w:tc>
          <w:tcPr>
            <w:tcW w:w="1140" w:type="dxa"/>
            <w:tcBorders>
              <w:top w:val="nil"/>
              <w:bottom w:val="nil"/>
            </w:tcBorders>
          </w:tcPr>
          <w:p w14:paraId="49BB2ADE" w14:textId="77777777" w:rsidR="0069322D" w:rsidRPr="007B3BDB" w:rsidRDefault="0069322D" w:rsidP="00944A01">
            <w:pPr>
              <w:spacing w:before="20" w:after="20"/>
              <w:ind w:left="57"/>
              <w:jc w:val="left"/>
              <w:rPr>
                <w:b/>
                <w:bCs/>
                <w:sz w:val="20"/>
              </w:rPr>
            </w:pPr>
            <w:r w:rsidRPr="007B3BDB">
              <w:rPr>
                <w:b/>
                <w:bCs/>
                <w:sz w:val="20"/>
              </w:rPr>
              <w:t>P</w:t>
            </w:r>
          </w:p>
        </w:tc>
        <w:tc>
          <w:tcPr>
            <w:tcW w:w="8220" w:type="dxa"/>
            <w:tcBorders>
              <w:top w:val="nil"/>
              <w:bottom w:val="nil"/>
            </w:tcBorders>
          </w:tcPr>
          <w:p w14:paraId="2C6856C0" w14:textId="77777777" w:rsidR="0069322D" w:rsidRPr="007B3BDB" w:rsidRDefault="0069322D" w:rsidP="00944A01">
            <w:pPr>
              <w:spacing w:before="20" w:after="20"/>
              <w:jc w:val="left"/>
              <w:rPr>
                <w:sz w:val="20"/>
              </w:rPr>
            </w:pPr>
            <w:r w:rsidRPr="007B3BDB">
              <w:rPr>
                <w:sz w:val="20"/>
              </w:rPr>
              <w:t>Propagación de las ondas radioeléctricas</w:t>
            </w:r>
          </w:p>
        </w:tc>
      </w:tr>
      <w:tr w:rsidR="0069322D" w:rsidRPr="007B3BDB" w14:paraId="08D001C8" w14:textId="77777777" w:rsidTr="00D76B70">
        <w:tc>
          <w:tcPr>
            <w:tcW w:w="1140" w:type="dxa"/>
            <w:tcBorders>
              <w:top w:val="nil"/>
              <w:bottom w:val="nil"/>
            </w:tcBorders>
          </w:tcPr>
          <w:p w14:paraId="3185D23C" w14:textId="77777777" w:rsidR="0069322D" w:rsidRPr="007B3BDB" w:rsidRDefault="0069322D" w:rsidP="00944A01">
            <w:pPr>
              <w:spacing w:before="20" w:after="20"/>
              <w:ind w:left="57"/>
              <w:jc w:val="left"/>
              <w:rPr>
                <w:b/>
                <w:bCs/>
                <w:sz w:val="20"/>
              </w:rPr>
            </w:pPr>
            <w:r w:rsidRPr="007B3BDB">
              <w:rPr>
                <w:b/>
                <w:bCs/>
                <w:sz w:val="20"/>
              </w:rPr>
              <w:t>RA</w:t>
            </w:r>
          </w:p>
        </w:tc>
        <w:tc>
          <w:tcPr>
            <w:tcW w:w="8220" w:type="dxa"/>
            <w:tcBorders>
              <w:top w:val="nil"/>
              <w:bottom w:val="nil"/>
            </w:tcBorders>
          </w:tcPr>
          <w:p w14:paraId="75DF0BAE" w14:textId="77777777" w:rsidR="0069322D" w:rsidRPr="007B3BDB" w:rsidRDefault="0069322D" w:rsidP="00944A01">
            <w:pPr>
              <w:pStyle w:val="Tabletext"/>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20" w:after="20"/>
              <w:rPr>
                <w:sz w:val="20"/>
              </w:rPr>
            </w:pPr>
            <w:r w:rsidRPr="007B3BDB">
              <w:rPr>
                <w:sz w:val="20"/>
              </w:rPr>
              <w:t>Radioastronomía</w:t>
            </w:r>
          </w:p>
        </w:tc>
      </w:tr>
      <w:tr w:rsidR="0069322D" w:rsidRPr="007B3BDB" w14:paraId="4817448C" w14:textId="77777777" w:rsidTr="00D76B70">
        <w:tc>
          <w:tcPr>
            <w:tcW w:w="1140" w:type="dxa"/>
            <w:tcBorders>
              <w:top w:val="nil"/>
              <w:bottom w:val="nil"/>
            </w:tcBorders>
          </w:tcPr>
          <w:p w14:paraId="2EE11AF7" w14:textId="77777777" w:rsidR="0069322D" w:rsidRPr="007B3BDB" w:rsidRDefault="0069322D" w:rsidP="00944A01">
            <w:pPr>
              <w:spacing w:before="20" w:after="20"/>
              <w:ind w:left="57"/>
              <w:jc w:val="left"/>
              <w:rPr>
                <w:b/>
                <w:bCs/>
                <w:sz w:val="20"/>
              </w:rPr>
            </w:pPr>
            <w:r w:rsidRPr="007B3BDB">
              <w:rPr>
                <w:b/>
                <w:bCs/>
                <w:sz w:val="20"/>
              </w:rPr>
              <w:t>RS</w:t>
            </w:r>
          </w:p>
        </w:tc>
        <w:tc>
          <w:tcPr>
            <w:tcW w:w="8220" w:type="dxa"/>
            <w:tcBorders>
              <w:top w:val="nil"/>
              <w:bottom w:val="nil"/>
            </w:tcBorders>
          </w:tcPr>
          <w:p w14:paraId="0CD4503F" w14:textId="77777777" w:rsidR="0069322D" w:rsidRPr="007B3BDB" w:rsidRDefault="0069322D" w:rsidP="00944A01">
            <w:pPr>
              <w:pStyle w:val="Tabletext"/>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20" w:after="20"/>
              <w:rPr>
                <w:sz w:val="20"/>
              </w:rPr>
            </w:pPr>
            <w:r w:rsidRPr="007B3BDB">
              <w:rPr>
                <w:sz w:val="20"/>
              </w:rPr>
              <w:t>Sistemas de detección a distancia</w:t>
            </w:r>
          </w:p>
        </w:tc>
      </w:tr>
      <w:tr w:rsidR="0069322D" w:rsidRPr="007B3BDB" w14:paraId="2C949537" w14:textId="77777777" w:rsidTr="00D76B70">
        <w:tc>
          <w:tcPr>
            <w:tcW w:w="1140" w:type="dxa"/>
            <w:tcBorders>
              <w:top w:val="nil"/>
              <w:bottom w:val="nil"/>
            </w:tcBorders>
          </w:tcPr>
          <w:p w14:paraId="3FAD8986" w14:textId="77777777" w:rsidR="0069322D" w:rsidRPr="007B3BDB" w:rsidRDefault="0069322D" w:rsidP="00944A01">
            <w:pPr>
              <w:spacing w:before="20" w:after="20"/>
              <w:ind w:left="57"/>
              <w:jc w:val="left"/>
              <w:rPr>
                <w:b/>
                <w:bCs/>
                <w:sz w:val="20"/>
              </w:rPr>
            </w:pPr>
            <w:r w:rsidRPr="007B3BDB">
              <w:rPr>
                <w:b/>
                <w:bCs/>
                <w:sz w:val="20"/>
              </w:rPr>
              <w:t>S</w:t>
            </w:r>
          </w:p>
        </w:tc>
        <w:tc>
          <w:tcPr>
            <w:tcW w:w="8220" w:type="dxa"/>
            <w:tcBorders>
              <w:top w:val="nil"/>
              <w:bottom w:val="nil"/>
            </w:tcBorders>
          </w:tcPr>
          <w:p w14:paraId="7F81AB46" w14:textId="77777777" w:rsidR="0069322D" w:rsidRPr="007B3BDB" w:rsidRDefault="0069322D" w:rsidP="00944A01">
            <w:pPr>
              <w:spacing w:before="20" w:after="20"/>
              <w:jc w:val="left"/>
              <w:rPr>
                <w:sz w:val="20"/>
              </w:rPr>
            </w:pPr>
            <w:r w:rsidRPr="007B3BDB">
              <w:rPr>
                <w:sz w:val="20"/>
              </w:rPr>
              <w:t>Servicio fijo por satélite</w:t>
            </w:r>
          </w:p>
        </w:tc>
      </w:tr>
      <w:tr w:rsidR="000246E0" w:rsidRPr="007B3BDB" w14:paraId="3A75D6B1" w14:textId="77777777" w:rsidTr="00D76B70">
        <w:tc>
          <w:tcPr>
            <w:tcW w:w="1140" w:type="dxa"/>
            <w:tcBorders>
              <w:top w:val="nil"/>
              <w:bottom w:val="nil"/>
            </w:tcBorders>
            <w:shd w:val="clear" w:color="auto" w:fill="FFFFFF" w:themeFill="background1"/>
          </w:tcPr>
          <w:p w14:paraId="5B2D3153" w14:textId="77777777" w:rsidR="0069322D" w:rsidRPr="007B3BDB" w:rsidRDefault="0069322D" w:rsidP="00944A01">
            <w:pPr>
              <w:spacing w:before="20" w:after="20"/>
              <w:ind w:left="57"/>
              <w:jc w:val="left"/>
              <w:rPr>
                <w:b/>
                <w:bCs/>
                <w:sz w:val="20"/>
              </w:rPr>
            </w:pPr>
            <w:r w:rsidRPr="007B3BDB">
              <w:rPr>
                <w:b/>
                <w:bCs/>
                <w:sz w:val="20"/>
              </w:rPr>
              <w:t>SA</w:t>
            </w:r>
          </w:p>
        </w:tc>
        <w:tc>
          <w:tcPr>
            <w:tcW w:w="8220" w:type="dxa"/>
            <w:tcBorders>
              <w:top w:val="nil"/>
              <w:bottom w:val="nil"/>
            </w:tcBorders>
            <w:shd w:val="clear" w:color="auto" w:fill="FFFFFF" w:themeFill="background1"/>
          </w:tcPr>
          <w:p w14:paraId="6FCA2EE4" w14:textId="77777777" w:rsidR="0069322D" w:rsidRPr="007B3BDB" w:rsidRDefault="0069322D" w:rsidP="00944A01">
            <w:pPr>
              <w:spacing w:before="20" w:after="20"/>
              <w:jc w:val="left"/>
              <w:rPr>
                <w:sz w:val="20"/>
              </w:rPr>
            </w:pPr>
            <w:r w:rsidRPr="007B3BDB">
              <w:rPr>
                <w:sz w:val="20"/>
              </w:rPr>
              <w:t>Aplicaciones espaciales y meteorología</w:t>
            </w:r>
          </w:p>
        </w:tc>
      </w:tr>
      <w:tr w:rsidR="0069322D" w:rsidRPr="007B3BDB" w14:paraId="13040EAB" w14:textId="77777777" w:rsidTr="00D76B70">
        <w:tc>
          <w:tcPr>
            <w:tcW w:w="1140" w:type="dxa"/>
            <w:tcBorders>
              <w:top w:val="nil"/>
            </w:tcBorders>
          </w:tcPr>
          <w:p w14:paraId="55BA1380" w14:textId="77777777" w:rsidR="0069322D" w:rsidRPr="007B3BDB" w:rsidRDefault="0069322D" w:rsidP="00944A01">
            <w:pPr>
              <w:spacing w:before="20" w:after="20"/>
              <w:ind w:left="57"/>
              <w:jc w:val="left"/>
              <w:rPr>
                <w:b/>
                <w:bCs/>
                <w:sz w:val="20"/>
              </w:rPr>
            </w:pPr>
            <w:r w:rsidRPr="007B3BDB">
              <w:rPr>
                <w:b/>
                <w:bCs/>
                <w:sz w:val="20"/>
              </w:rPr>
              <w:t>SF</w:t>
            </w:r>
          </w:p>
        </w:tc>
        <w:tc>
          <w:tcPr>
            <w:tcW w:w="8220" w:type="dxa"/>
            <w:tcBorders>
              <w:top w:val="nil"/>
            </w:tcBorders>
          </w:tcPr>
          <w:p w14:paraId="5E8AEF1D" w14:textId="77777777" w:rsidR="0069322D" w:rsidRPr="007B3BDB" w:rsidRDefault="0069322D" w:rsidP="00944A01">
            <w:pPr>
              <w:spacing w:before="20" w:after="20"/>
              <w:jc w:val="left"/>
              <w:rPr>
                <w:bCs/>
                <w:sz w:val="20"/>
              </w:rPr>
            </w:pPr>
            <w:r w:rsidRPr="007B3BDB">
              <w:rPr>
                <w:bCs/>
                <w:sz w:val="20"/>
              </w:rPr>
              <w:t>Compartición de frecuencias y coordinación entre los sistemas del servicio fijo por satélite y del servicio fijo</w:t>
            </w:r>
          </w:p>
        </w:tc>
      </w:tr>
      <w:tr w:rsidR="0069322D" w:rsidRPr="007B3BDB" w14:paraId="608B2F9E" w14:textId="77777777" w:rsidTr="00D76B70">
        <w:tc>
          <w:tcPr>
            <w:tcW w:w="1140" w:type="dxa"/>
          </w:tcPr>
          <w:p w14:paraId="1DB37583" w14:textId="77777777" w:rsidR="0069322D" w:rsidRPr="007B3BDB" w:rsidRDefault="0069322D" w:rsidP="00944A01">
            <w:pPr>
              <w:spacing w:before="20" w:after="20"/>
              <w:ind w:left="57"/>
              <w:jc w:val="left"/>
              <w:rPr>
                <w:b/>
                <w:bCs/>
                <w:sz w:val="20"/>
              </w:rPr>
            </w:pPr>
            <w:r w:rsidRPr="007B3BDB">
              <w:rPr>
                <w:b/>
                <w:bCs/>
                <w:sz w:val="20"/>
              </w:rPr>
              <w:t>SM</w:t>
            </w:r>
          </w:p>
        </w:tc>
        <w:tc>
          <w:tcPr>
            <w:tcW w:w="8220" w:type="dxa"/>
          </w:tcPr>
          <w:p w14:paraId="08AFEFB2" w14:textId="77777777" w:rsidR="0069322D" w:rsidRPr="007B3BDB" w:rsidRDefault="0069322D" w:rsidP="00944A01">
            <w:pPr>
              <w:spacing w:before="20" w:after="20"/>
              <w:jc w:val="left"/>
              <w:rPr>
                <w:sz w:val="20"/>
              </w:rPr>
            </w:pPr>
            <w:r w:rsidRPr="007B3BDB">
              <w:rPr>
                <w:sz w:val="20"/>
              </w:rPr>
              <w:t>Gestión del espectro</w:t>
            </w:r>
          </w:p>
        </w:tc>
      </w:tr>
      <w:tr w:rsidR="0069322D" w:rsidRPr="007B3BDB" w14:paraId="3482A1C6" w14:textId="77777777" w:rsidTr="00D76B70">
        <w:tc>
          <w:tcPr>
            <w:tcW w:w="1140" w:type="dxa"/>
          </w:tcPr>
          <w:p w14:paraId="56AEA3D4" w14:textId="77777777" w:rsidR="0069322D" w:rsidRPr="007B3BDB" w:rsidRDefault="0069322D" w:rsidP="00944A01">
            <w:pPr>
              <w:spacing w:before="20" w:after="20"/>
              <w:ind w:left="57"/>
              <w:jc w:val="left"/>
              <w:rPr>
                <w:b/>
                <w:bCs/>
                <w:sz w:val="20"/>
              </w:rPr>
            </w:pPr>
            <w:r w:rsidRPr="007B3BDB">
              <w:rPr>
                <w:b/>
                <w:bCs/>
                <w:sz w:val="20"/>
              </w:rPr>
              <w:t>SNG</w:t>
            </w:r>
          </w:p>
        </w:tc>
        <w:tc>
          <w:tcPr>
            <w:tcW w:w="8220" w:type="dxa"/>
          </w:tcPr>
          <w:p w14:paraId="04CFD748" w14:textId="77777777" w:rsidR="0069322D" w:rsidRPr="007B3BDB" w:rsidRDefault="0069322D" w:rsidP="00944A01">
            <w:pPr>
              <w:spacing w:before="20" w:after="20"/>
              <w:jc w:val="left"/>
              <w:rPr>
                <w:bCs/>
                <w:sz w:val="20"/>
              </w:rPr>
            </w:pPr>
            <w:r w:rsidRPr="007B3BDB">
              <w:rPr>
                <w:bCs/>
                <w:sz w:val="20"/>
              </w:rPr>
              <w:t>Periodismo electrónico por satélite</w:t>
            </w:r>
          </w:p>
        </w:tc>
      </w:tr>
      <w:tr w:rsidR="0069322D" w:rsidRPr="007B3BDB" w14:paraId="5BDCFF80" w14:textId="77777777" w:rsidTr="00D76B70">
        <w:tc>
          <w:tcPr>
            <w:tcW w:w="1140" w:type="dxa"/>
          </w:tcPr>
          <w:p w14:paraId="128500C0" w14:textId="77777777" w:rsidR="0069322D" w:rsidRPr="007B3BDB" w:rsidRDefault="0069322D" w:rsidP="00944A01">
            <w:pPr>
              <w:spacing w:before="20" w:after="20"/>
              <w:ind w:left="57"/>
              <w:jc w:val="left"/>
              <w:rPr>
                <w:b/>
                <w:bCs/>
                <w:sz w:val="20"/>
              </w:rPr>
            </w:pPr>
            <w:r w:rsidRPr="007B3BDB">
              <w:rPr>
                <w:b/>
                <w:bCs/>
                <w:sz w:val="20"/>
              </w:rPr>
              <w:t>TF</w:t>
            </w:r>
          </w:p>
        </w:tc>
        <w:tc>
          <w:tcPr>
            <w:tcW w:w="8220" w:type="dxa"/>
          </w:tcPr>
          <w:p w14:paraId="137A74BC" w14:textId="77777777" w:rsidR="0069322D" w:rsidRPr="007B3BDB" w:rsidRDefault="0069322D" w:rsidP="00944A01">
            <w:pPr>
              <w:spacing w:before="20" w:after="20"/>
              <w:jc w:val="left"/>
              <w:rPr>
                <w:bCs/>
                <w:sz w:val="20"/>
              </w:rPr>
            </w:pPr>
            <w:r w:rsidRPr="007B3BDB">
              <w:rPr>
                <w:bCs/>
                <w:sz w:val="20"/>
              </w:rPr>
              <w:t>Emisiones de frecuencias patrón y señales horarias</w:t>
            </w:r>
          </w:p>
        </w:tc>
      </w:tr>
      <w:tr w:rsidR="0069322D" w:rsidRPr="007B3BDB" w14:paraId="74A522E8" w14:textId="77777777" w:rsidTr="00D76B70">
        <w:tc>
          <w:tcPr>
            <w:tcW w:w="1140" w:type="dxa"/>
          </w:tcPr>
          <w:p w14:paraId="4842BBF9" w14:textId="77777777" w:rsidR="0069322D" w:rsidRPr="007B3BDB" w:rsidRDefault="0069322D" w:rsidP="00944A01">
            <w:pPr>
              <w:spacing w:before="20" w:after="20"/>
              <w:ind w:left="57"/>
              <w:jc w:val="left"/>
              <w:rPr>
                <w:b/>
                <w:bCs/>
                <w:sz w:val="20"/>
              </w:rPr>
            </w:pPr>
            <w:r w:rsidRPr="007B3BDB">
              <w:rPr>
                <w:b/>
                <w:bCs/>
                <w:sz w:val="20"/>
              </w:rPr>
              <w:t>V</w:t>
            </w:r>
          </w:p>
        </w:tc>
        <w:tc>
          <w:tcPr>
            <w:tcW w:w="8220" w:type="dxa"/>
          </w:tcPr>
          <w:p w14:paraId="43321D91" w14:textId="77777777" w:rsidR="0069322D" w:rsidRPr="007B3BDB" w:rsidRDefault="0069322D" w:rsidP="00944A01">
            <w:pPr>
              <w:spacing w:before="20" w:after="20"/>
              <w:jc w:val="left"/>
              <w:rPr>
                <w:bCs/>
                <w:sz w:val="20"/>
              </w:rPr>
            </w:pPr>
            <w:r w:rsidRPr="007B3BDB">
              <w:rPr>
                <w:bCs/>
                <w:sz w:val="20"/>
              </w:rPr>
              <w:t>Vocabulario y cuestiones afines</w:t>
            </w:r>
          </w:p>
        </w:tc>
      </w:tr>
    </w:tbl>
    <w:p w14:paraId="7E39194F" w14:textId="77777777" w:rsidR="0069322D" w:rsidRPr="007B3BDB" w:rsidRDefault="0069322D" w:rsidP="0069322D">
      <w:pPr>
        <w:spacing w:before="0" w:after="140"/>
        <w:jc w:val="center"/>
        <w:rPr>
          <w:sz w:val="20"/>
        </w:rPr>
      </w:pPr>
    </w:p>
    <w:tbl>
      <w:tblPr>
        <w:tblStyle w:val="TableGrid"/>
        <w:tblW w:w="5000" w:type="pct"/>
        <w:tblBorders>
          <w:top w:val="single" w:sz="12" w:space="0" w:color="000080"/>
          <w:left w:val="single" w:sz="12" w:space="0" w:color="000080"/>
          <w:bottom w:val="single" w:sz="12" w:space="0" w:color="000080"/>
          <w:right w:val="single" w:sz="12" w:space="0" w:color="000080"/>
          <w:insideH w:val="none" w:sz="0" w:space="0" w:color="auto"/>
          <w:insideV w:val="none" w:sz="0" w:space="0" w:color="auto"/>
        </w:tblBorders>
        <w:tblLook w:val="01E0" w:firstRow="1" w:lastRow="1" w:firstColumn="1" w:lastColumn="1" w:noHBand="0" w:noVBand="0"/>
      </w:tblPr>
      <w:tblGrid>
        <w:gridCol w:w="9609"/>
      </w:tblGrid>
      <w:tr w:rsidR="0069322D" w:rsidRPr="007B3BDB" w14:paraId="0141F3A4" w14:textId="77777777" w:rsidTr="00A54B73">
        <w:tc>
          <w:tcPr>
            <w:tcW w:w="9609" w:type="dxa"/>
          </w:tcPr>
          <w:p w14:paraId="564DC9C2" w14:textId="77777777" w:rsidR="0069322D" w:rsidRPr="007B3BDB" w:rsidRDefault="0069322D" w:rsidP="00B96572">
            <w:pPr>
              <w:spacing w:before="92" w:after="92"/>
              <w:rPr>
                <w:rFonts w:ascii="Times New Roman" w:hAnsi="Times New Roman" w:cs="Times New Roman"/>
                <w:i/>
                <w:iCs/>
                <w:sz w:val="20"/>
              </w:rPr>
            </w:pPr>
            <w:r w:rsidRPr="007B3BDB">
              <w:rPr>
                <w:rFonts w:ascii="Times New Roman" w:hAnsi="Times New Roman" w:cs="Times New Roman"/>
                <w:b/>
                <w:bCs/>
                <w:i/>
                <w:iCs/>
                <w:sz w:val="20"/>
              </w:rPr>
              <w:t>Nota</w:t>
            </w:r>
            <w:r w:rsidRPr="007B3BDB">
              <w:rPr>
                <w:rFonts w:ascii="Times New Roman" w:hAnsi="Times New Roman" w:cs="Times New Roman"/>
                <w:i/>
                <w:iCs/>
                <w:sz w:val="20"/>
              </w:rPr>
              <w:t>: Esta Recomendación UIT-R fue aprobada en inglés conforme al procedimiento detallado en la Resolución UIT</w:t>
            </w:r>
            <w:r w:rsidR="00B96572" w:rsidRPr="007B3BDB">
              <w:rPr>
                <w:rFonts w:ascii="Times New Roman" w:hAnsi="Times New Roman" w:cs="Times New Roman"/>
                <w:i/>
                <w:iCs/>
                <w:sz w:val="20"/>
              </w:rPr>
              <w:noBreakHyphen/>
            </w:r>
            <w:r w:rsidRPr="007B3BDB">
              <w:rPr>
                <w:rFonts w:ascii="Times New Roman" w:hAnsi="Times New Roman" w:cs="Times New Roman"/>
                <w:i/>
                <w:iCs/>
                <w:sz w:val="20"/>
              </w:rPr>
              <w:t>R</w:t>
            </w:r>
            <w:r w:rsidR="00B96572" w:rsidRPr="007B3BDB">
              <w:rPr>
                <w:rFonts w:ascii="Times New Roman" w:hAnsi="Times New Roman" w:cs="Times New Roman"/>
                <w:i/>
                <w:iCs/>
                <w:sz w:val="20"/>
              </w:rPr>
              <w:t> </w:t>
            </w:r>
            <w:r w:rsidRPr="007B3BDB">
              <w:rPr>
                <w:rFonts w:ascii="Times New Roman" w:hAnsi="Times New Roman" w:cs="Times New Roman"/>
                <w:i/>
                <w:iCs/>
                <w:sz w:val="20"/>
              </w:rPr>
              <w:t>1.</w:t>
            </w:r>
          </w:p>
        </w:tc>
      </w:tr>
    </w:tbl>
    <w:p w14:paraId="5A2C9E16" w14:textId="77777777" w:rsidR="0069322D" w:rsidRPr="007B3BDB" w:rsidRDefault="0069322D" w:rsidP="0069322D">
      <w:pPr>
        <w:spacing w:before="0"/>
        <w:jc w:val="center"/>
        <w:rPr>
          <w:sz w:val="22"/>
        </w:rPr>
      </w:pPr>
    </w:p>
    <w:p w14:paraId="7CB9A514" w14:textId="77777777" w:rsidR="0069322D" w:rsidRPr="007B3BDB" w:rsidRDefault="0069322D" w:rsidP="0069322D">
      <w:pPr>
        <w:spacing w:before="60"/>
        <w:jc w:val="right"/>
        <w:rPr>
          <w:i/>
          <w:iCs/>
          <w:sz w:val="20"/>
        </w:rPr>
      </w:pPr>
      <w:r w:rsidRPr="007B3BDB">
        <w:rPr>
          <w:i/>
          <w:iCs/>
          <w:sz w:val="20"/>
        </w:rPr>
        <w:t>Publicación electrónica</w:t>
      </w:r>
    </w:p>
    <w:p w14:paraId="78FEFBEE" w14:textId="1D4E44AA" w:rsidR="0069322D" w:rsidRPr="007B3BDB" w:rsidRDefault="0069322D" w:rsidP="0069322D">
      <w:pPr>
        <w:spacing w:before="0" w:after="40"/>
        <w:jc w:val="right"/>
        <w:rPr>
          <w:sz w:val="20"/>
        </w:rPr>
      </w:pPr>
      <w:r w:rsidRPr="007B3BDB">
        <w:rPr>
          <w:sz w:val="20"/>
        </w:rPr>
        <w:t>Ginebra, 20</w:t>
      </w:r>
      <w:r w:rsidR="00B96572" w:rsidRPr="007B3BDB">
        <w:rPr>
          <w:sz w:val="20"/>
        </w:rPr>
        <w:t>2</w:t>
      </w:r>
      <w:r w:rsidR="00944A01" w:rsidRPr="007B3BDB">
        <w:rPr>
          <w:sz w:val="20"/>
        </w:rPr>
        <w:t>6</w:t>
      </w:r>
    </w:p>
    <w:p w14:paraId="6913C97A" w14:textId="77777777" w:rsidR="0069322D" w:rsidRPr="007B3BDB" w:rsidRDefault="0069322D" w:rsidP="0069322D">
      <w:pPr>
        <w:spacing w:before="0" w:after="120"/>
        <w:jc w:val="center"/>
        <w:rPr>
          <w:sz w:val="22"/>
        </w:rPr>
      </w:pPr>
    </w:p>
    <w:p w14:paraId="37253C71" w14:textId="5C09D620" w:rsidR="0069322D" w:rsidRPr="007B3BDB" w:rsidRDefault="0069322D" w:rsidP="0069322D">
      <w:pPr>
        <w:spacing w:before="0"/>
        <w:jc w:val="center"/>
        <w:rPr>
          <w:sz w:val="20"/>
        </w:rPr>
      </w:pPr>
      <w:r w:rsidRPr="007B3BDB">
        <w:rPr>
          <w:sz w:val="20"/>
        </w:rPr>
        <w:sym w:font="Symbol" w:char="F0E3"/>
      </w:r>
      <w:r w:rsidRPr="007B3BDB">
        <w:rPr>
          <w:sz w:val="20"/>
        </w:rPr>
        <w:t xml:space="preserve"> UIT </w:t>
      </w:r>
      <w:bookmarkStart w:id="1" w:name="iiannee"/>
      <w:bookmarkEnd w:id="1"/>
      <w:r w:rsidRPr="007B3BDB">
        <w:rPr>
          <w:sz w:val="20"/>
        </w:rPr>
        <w:t>20</w:t>
      </w:r>
      <w:r w:rsidR="00B96572" w:rsidRPr="007B3BDB">
        <w:rPr>
          <w:sz w:val="20"/>
        </w:rPr>
        <w:t>2</w:t>
      </w:r>
      <w:r w:rsidR="00944A01" w:rsidRPr="007B3BDB">
        <w:rPr>
          <w:sz w:val="20"/>
        </w:rPr>
        <w:t>6</w:t>
      </w:r>
    </w:p>
    <w:p w14:paraId="2A8C7CD7" w14:textId="77777777" w:rsidR="00D5024B" w:rsidRPr="007B3BDB" w:rsidRDefault="0069322D" w:rsidP="0069322D">
      <w:pPr>
        <w:rPr>
          <w:sz w:val="18"/>
          <w:szCs w:val="18"/>
        </w:rPr>
      </w:pPr>
      <w:r w:rsidRPr="007B3BDB">
        <w:rPr>
          <w:sz w:val="18"/>
          <w:szCs w:val="18"/>
        </w:rPr>
        <w:t>Reservados todos los derechos. Ninguna parte de esta publicación puede reproducirse por ningún procedimiento sin previa autorización escrita por parte de la UIT.</w:t>
      </w:r>
    </w:p>
    <w:p w14:paraId="6A9E0A03" w14:textId="77777777" w:rsidR="007565CC" w:rsidRPr="007B3BDB" w:rsidRDefault="007565CC" w:rsidP="00A971A1">
      <w:pPr>
        <w:spacing w:before="160"/>
        <w:rPr>
          <w:i/>
          <w:sz w:val="20"/>
        </w:rPr>
        <w:sectPr w:rsidR="007565CC" w:rsidRPr="007B3BDB" w:rsidSect="002058CE">
          <w:headerReference w:type="even" r:id="rId12"/>
          <w:headerReference w:type="default" r:id="rId13"/>
          <w:pgSz w:w="11907" w:h="16834" w:code="9"/>
          <w:pgMar w:top="1418" w:right="1134" w:bottom="1134" w:left="1134" w:header="720" w:footer="482" w:gutter="0"/>
          <w:paperSrc w:first="15" w:other="15"/>
          <w:pgNumType w:fmt="lowerRoman" w:start="2"/>
          <w:cols w:space="720"/>
        </w:sectPr>
      </w:pPr>
    </w:p>
    <w:p w14:paraId="4BF300FC" w14:textId="40B63F49" w:rsidR="00B874C6" w:rsidRPr="007B3BDB" w:rsidRDefault="00F17CED" w:rsidP="00944A01">
      <w:pPr>
        <w:pStyle w:val="RecNo"/>
        <w:rPr>
          <w:rStyle w:val="href"/>
        </w:rPr>
      </w:pPr>
      <w:bookmarkStart w:id="2" w:name="irecnoe"/>
      <w:bookmarkEnd w:id="2"/>
      <w:r w:rsidRPr="007B3BDB">
        <w:lastRenderedPageBreak/>
        <w:t>RECOMENDACIÓN</w:t>
      </w:r>
      <w:r w:rsidR="0060228C">
        <w:t xml:space="preserve"> </w:t>
      </w:r>
      <w:r w:rsidR="007B3BDB" w:rsidRPr="007B3BDB">
        <w:t xml:space="preserve"> </w:t>
      </w:r>
      <w:r w:rsidR="00A25EE2" w:rsidRPr="007B3BDB">
        <w:rPr>
          <w:rStyle w:val="href"/>
        </w:rPr>
        <w:t>UI</w:t>
      </w:r>
      <w:r w:rsidR="00B874C6" w:rsidRPr="007B3BDB">
        <w:rPr>
          <w:rStyle w:val="href"/>
        </w:rPr>
        <w:t>T-R</w:t>
      </w:r>
      <w:r w:rsidR="007B3BDB" w:rsidRPr="007B3BDB">
        <w:rPr>
          <w:rStyle w:val="href"/>
        </w:rPr>
        <w:t xml:space="preserve"> </w:t>
      </w:r>
      <w:r w:rsidR="0060228C">
        <w:rPr>
          <w:rStyle w:val="href"/>
        </w:rPr>
        <w:t xml:space="preserve"> </w:t>
      </w:r>
      <w:r w:rsidR="00ED1EFA" w:rsidRPr="007B3BDB">
        <w:rPr>
          <w:rStyle w:val="href"/>
        </w:rPr>
        <w:t>F</w:t>
      </w:r>
      <w:r w:rsidR="00B874C6" w:rsidRPr="007B3BDB">
        <w:rPr>
          <w:rStyle w:val="href"/>
        </w:rPr>
        <w:t>.</w:t>
      </w:r>
      <w:r w:rsidR="001C079E" w:rsidRPr="007B3BDB">
        <w:rPr>
          <w:rStyle w:val="href"/>
        </w:rPr>
        <w:t>2172-0</w:t>
      </w:r>
    </w:p>
    <w:p w14:paraId="6F52C2DC" w14:textId="3180A880" w:rsidR="001C079E" w:rsidRPr="007B3BDB" w:rsidRDefault="001C079E" w:rsidP="001C079E">
      <w:pPr>
        <w:pStyle w:val="Rectitle"/>
      </w:pPr>
      <w:r w:rsidRPr="007B3BDB">
        <w:t>Disposición de canales y bloques de radiofrecuencias para sistemas del servicio fijo que utilizan las gamas de frecuencias 130-134 GHz, 141-148,5 GHz,</w:t>
      </w:r>
      <w:r w:rsidR="0060228C">
        <w:t xml:space="preserve"> </w:t>
      </w:r>
      <w:r w:rsidRPr="007B3BDB">
        <w:t>151,5</w:t>
      </w:r>
      <w:r w:rsidR="0060228C">
        <w:noBreakHyphen/>
      </w:r>
      <w:r w:rsidRPr="007B3BDB">
        <w:t>164 GHz y 167-174,8 GHz</w:t>
      </w:r>
    </w:p>
    <w:p w14:paraId="6481F24D" w14:textId="4F634515" w:rsidR="001C079E" w:rsidRPr="0060228C" w:rsidRDefault="0060228C" w:rsidP="001C079E">
      <w:pPr>
        <w:pStyle w:val="Recref"/>
      </w:pPr>
      <w:r w:rsidRPr="0060228C">
        <w:t xml:space="preserve">Cuestión </w:t>
      </w:r>
      <w:hyperlink r:id="rId14" w:history="1">
        <w:r w:rsidR="001C079E" w:rsidRPr="0060228C">
          <w:rPr>
            <w:rStyle w:val="Hyperlink"/>
            <w:color w:val="auto"/>
            <w:u w:val="none"/>
          </w:rPr>
          <w:t>UIT-R 247-1/5</w:t>
        </w:r>
      </w:hyperlink>
    </w:p>
    <w:p w14:paraId="42FC29FE" w14:textId="7A16E851" w:rsidR="001C079E" w:rsidRPr="007B3BDB" w:rsidRDefault="001C079E" w:rsidP="001C079E">
      <w:pPr>
        <w:pStyle w:val="Recdate"/>
      </w:pPr>
      <w:r w:rsidRPr="007B3BDB">
        <w:t>(2026)</w:t>
      </w:r>
    </w:p>
    <w:p w14:paraId="737A67AF" w14:textId="0A9FC707" w:rsidR="00010135" w:rsidRPr="007B3BDB" w:rsidRDefault="0060228C" w:rsidP="0060228C">
      <w:pPr>
        <w:pStyle w:val="HeadingSum"/>
      </w:pPr>
      <w:r>
        <w:t>Cometido</w:t>
      </w:r>
    </w:p>
    <w:p w14:paraId="39E8AD05" w14:textId="67135832" w:rsidR="00010135" w:rsidRPr="007B3BDB" w:rsidRDefault="00010135" w:rsidP="0060228C">
      <w:pPr>
        <w:pStyle w:val="Summary"/>
        <w:rPr>
          <w:szCs w:val="22"/>
        </w:rPr>
      </w:pPr>
      <w:r w:rsidRPr="007B3BDB">
        <w:t xml:space="preserve">En esta Recomendación se describe la disposición de canales y bloques en las partes de la gama de frecuencias 130,0-174,8 GHz atribuidas al servicio fijo. Las configuraciones se basan en una disposición de canal de 250 MHz básica, a partir de la cual puede definirse un tamaño de canal de </w:t>
      </w:r>
      <w:r w:rsidRPr="007B3BDB">
        <w:rPr>
          <w:i/>
          <w:iCs/>
        </w:rPr>
        <w:t>N </w:t>
      </w:r>
      <w:r w:rsidR="0060228C">
        <w:t>×</w:t>
      </w:r>
      <w:r w:rsidRPr="007B3BDB">
        <w:t> 250 MHz, y se proponen para aplicaciones dúplex por división de frecuencia (FDD) o dúplex por división de tiempo (TDD). También pueden considerarse esquemas dúplex alternativos, como el dúplex por división de frecuencia flexible (fFDD)</w:t>
      </w:r>
      <w:r w:rsidRPr="007B3BDB">
        <w:rPr>
          <w:rFonts w:eastAsia="MS Mincho"/>
          <w:position w:val="6"/>
          <w:sz w:val="18"/>
        </w:rPr>
        <w:footnoteReference w:id="1"/>
      </w:r>
      <w:r w:rsidRPr="007B3BDB">
        <w:t xml:space="preserve"> o el dúplex completo (FD)</w:t>
      </w:r>
      <w:r w:rsidRPr="007B3BDB">
        <w:rPr>
          <w:rFonts w:eastAsia="MS Mincho"/>
          <w:position w:val="6"/>
          <w:sz w:val="18"/>
        </w:rPr>
        <w:footnoteReference w:id="2"/>
      </w:r>
      <w:bookmarkStart w:id="5" w:name="_Hlk198804103"/>
      <w:bookmarkEnd w:id="5"/>
      <w:r w:rsidRPr="007B3BDB">
        <w:t>.</w:t>
      </w:r>
    </w:p>
    <w:p w14:paraId="2E4269D1" w14:textId="77777777" w:rsidR="00010135" w:rsidRPr="0060228C" w:rsidRDefault="00010135" w:rsidP="0060228C">
      <w:pPr>
        <w:pStyle w:val="Headingb"/>
      </w:pPr>
      <w:r w:rsidRPr="0060228C">
        <w:t>Palabras clave</w:t>
      </w:r>
    </w:p>
    <w:p w14:paraId="44E237F7" w14:textId="77777777" w:rsidR="00010135" w:rsidRPr="007B3BDB" w:rsidRDefault="00010135" w:rsidP="0060228C">
      <w:pPr>
        <w:rPr>
          <w:rFonts w:eastAsia="MS Mincho"/>
        </w:rPr>
      </w:pPr>
      <w:r w:rsidRPr="007B3BDB">
        <w:t>130-174,8 GHz, FDD, FDD flexible, dúplex completo, disposición de canal</w:t>
      </w:r>
    </w:p>
    <w:p w14:paraId="3589CBAF" w14:textId="77777777" w:rsidR="00010135" w:rsidRPr="007B3BDB" w:rsidRDefault="00010135" w:rsidP="00010135">
      <w:pPr>
        <w:pStyle w:val="Headingb"/>
      </w:pPr>
      <w:r w:rsidRPr="007B3BDB">
        <w:t>Acrónimos/Abreviaturas</w:t>
      </w:r>
    </w:p>
    <w:p w14:paraId="0257C0F6" w14:textId="2E33D0DC" w:rsidR="00010135" w:rsidRPr="007B3BDB" w:rsidRDefault="00010135" w:rsidP="00010135">
      <w:pPr>
        <w:tabs>
          <w:tab w:val="clear" w:pos="794"/>
        </w:tabs>
      </w:pPr>
      <w:bookmarkStart w:id="6" w:name="_Hlk195532836"/>
      <w:r w:rsidRPr="007B3BDB">
        <w:t>DS</w:t>
      </w:r>
      <w:r w:rsidRPr="007B3BDB">
        <w:tab/>
        <w:t>Separación dúplex (</w:t>
      </w:r>
      <w:r w:rsidRPr="007B3BDB">
        <w:rPr>
          <w:i/>
          <w:iCs/>
        </w:rPr>
        <w:t>duplex separation</w:t>
      </w:r>
      <w:r w:rsidRPr="007B3BDB">
        <w:t>)</w:t>
      </w:r>
    </w:p>
    <w:p w14:paraId="3420A394" w14:textId="77777777" w:rsidR="00010135" w:rsidRPr="007B3BDB" w:rsidRDefault="00010135" w:rsidP="00010135">
      <w:pPr>
        <w:tabs>
          <w:tab w:val="clear" w:pos="794"/>
        </w:tabs>
      </w:pPr>
      <w:r w:rsidRPr="007B3BDB">
        <w:t>FD</w:t>
      </w:r>
      <w:r w:rsidRPr="007B3BDB">
        <w:tab/>
        <w:t>Dúplex completo (</w:t>
      </w:r>
      <w:r w:rsidRPr="007B3BDB">
        <w:rPr>
          <w:i/>
          <w:iCs/>
        </w:rPr>
        <w:t>full duplex</w:t>
      </w:r>
      <w:r w:rsidRPr="007B3BDB">
        <w:t>)</w:t>
      </w:r>
    </w:p>
    <w:p w14:paraId="63303F81" w14:textId="77777777" w:rsidR="00010135" w:rsidRPr="007B3BDB" w:rsidRDefault="00010135" w:rsidP="00010135">
      <w:pPr>
        <w:tabs>
          <w:tab w:val="clear" w:pos="794"/>
        </w:tabs>
      </w:pPr>
      <w:r w:rsidRPr="007B3BDB">
        <w:t>FDD</w:t>
      </w:r>
      <w:r w:rsidRPr="007B3BDB">
        <w:tab/>
        <w:t>Dúplex por división de frecuencia (</w:t>
      </w:r>
      <w:r w:rsidRPr="007B3BDB">
        <w:rPr>
          <w:i/>
          <w:iCs/>
        </w:rPr>
        <w:t>frequency division duplex</w:t>
      </w:r>
      <w:r w:rsidRPr="007B3BDB">
        <w:t>)</w:t>
      </w:r>
    </w:p>
    <w:p w14:paraId="4D01106E" w14:textId="6EC7CED2" w:rsidR="00010135" w:rsidRPr="007B3BDB" w:rsidRDefault="00010135" w:rsidP="00010135">
      <w:pPr>
        <w:tabs>
          <w:tab w:val="clear" w:pos="794"/>
        </w:tabs>
      </w:pPr>
      <w:r w:rsidRPr="007B3BDB">
        <w:t>fFDD</w:t>
      </w:r>
      <w:r w:rsidRPr="007B3BDB">
        <w:tab/>
        <w:t>FDD flexible</w:t>
      </w:r>
      <w:r w:rsidR="0060228C">
        <w:t xml:space="preserve"> (</w:t>
      </w:r>
      <w:r w:rsidR="0060228C" w:rsidRPr="0060228C">
        <w:rPr>
          <w:i/>
          <w:iCs/>
        </w:rPr>
        <w:t>flexible FDD</w:t>
      </w:r>
      <w:r w:rsidR="0060228C">
        <w:t>)</w:t>
      </w:r>
    </w:p>
    <w:p w14:paraId="7C5C4F0F" w14:textId="77777777" w:rsidR="00010135" w:rsidRPr="007B3BDB" w:rsidRDefault="00010135" w:rsidP="00010135">
      <w:pPr>
        <w:tabs>
          <w:tab w:val="clear" w:pos="794"/>
        </w:tabs>
      </w:pPr>
      <w:r w:rsidRPr="007B3BDB">
        <w:t>P-P</w:t>
      </w:r>
      <w:r w:rsidRPr="007B3BDB">
        <w:tab/>
        <w:t>Punto a punto</w:t>
      </w:r>
    </w:p>
    <w:p w14:paraId="7C51E0AA" w14:textId="77777777" w:rsidR="00010135" w:rsidRPr="007B3BDB" w:rsidRDefault="00010135" w:rsidP="00010135">
      <w:pPr>
        <w:tabs>
          <w:tab w:val="clear" w:pos="794"/>
        </w:tabs>
      </w:pPr>
      <w:r w:rsidRPr="007B3BDB">
        <w:t>RR</w:t>
      </w:r>
      <w:r w:rsidRPr="007B3BDB">
        <w:tab/>
        <w:t>Reglamento de Radiocomunicaciones</w:t>
      </w:r>
    </w:p>
    <w:p w14:paraId="7B7E50C3" w14:textId="040CF038" w:rsidR="0060228C" w:rsidRPr="007B3BDB" w:rsidRDefault="0060228C" w:rsidP="0060228C">
      <w:pPr>
        <w:tabs>
          <w:tab w:val="clear" w:pos="794"/>
        </w:tabs>
      </w:pPr>
      <w:r w:rsidRPr="007B3BDB">
        <w:t>SETS</w:t>
      </w:r>
      <w:r w:rsidRPr="007B3BDB">
        <w:tab/>
        <w:t>Servicio de exploración de la tierra por satélite</w:t>
      </w:r>
    </w:p>
    <w:p w14:paraId="73B0F966" w14:textId="77777777" w:rsidR="0060228C" w:rsidRPr="007B3BDB" w:rsidRDefault="0060228C" w:rsidP="0060228C">
      <w:pPr>
        <w:tabs>
          <w:tab w:val="clear" w:pos="794"/>
        </w:tabs>
      </w:pPr>
      <w:r w:rsidRPr="007B3BDB">
        <w:t>SF</w:t>
      </w:r>
      <w:r w:rsidRPr="007B3BDB">
        <w:tab/>
        <w:t>Servicio fijo</w:t>
      </w:r>
    </w:p>
    <w:p w14:paraId="6C24E173" w14:textId="77777777" w:rsidR="00010135" w:rsidRPr="007B3BDB" w:rsidRDefault="00010135" w:rsidP="00010135">
      <w:pPr>
        <w:tabs>
          <w:tab w:val="clear" w:pos="794"/>
        </w:tabs>
      </w:pPr>
      <w:r w:rsidRPr="007B3BDB">
        <w:t>TDD</w:t>
      </w:r>
      <w:r w:rsidRPr="007B3BDB">
        <w:tab/>
        <w:t>Dúplex por división de tiempo (</w:t>
      </w:r>
      <w:r w:rsidRPr="007B3BDB">
        <w:rPr>
          <w:i/>
          <w:iCs/>
        </w:rPr>
        <w:t>time division duplex</w:t>
      </w:r>
      <w:r w:rsidRPr="007B3BDB">
        <w:t>)</w:t>
      </w:r>
    </w:p>
    <w:bookmarkEnd w:id="6"/>
    <w:p w14:paraId="5DE9F72E" w14:textId="77777777" w:rsidR="00010135" w:rsidRPr="007B3BDB" w:rsidRDefault="00010135" w:rsidP="00010135">
      <w:pPr>
        <w:pStyle w:val="Headingb"/>
      </w:pPr>
      <w:r w:rsidRPr="007B3BDB">
        <w:t>Recomendaciones del UIT-R conexas</w:t>
      </w:r>
    </w:p>
    <w:p w14:paraId="73BC8A08" w14:textId="44585A3D" w:rsidR="00010135" w:rsidRPr="0060228C" w:rsidRDefault="00010135" w:rsidP="0060228C">
      <w:pPr>
        <w:pStyle w:val="Reftext"/>
      </w:pPr>
      <w:bookmarkStart w:id="7" w:name="_Hlk195532857"/>
      <w:r w:rsidRPr="0060228C">
        <w:t xml:space="preserve">Recomendación </w:t>
      </w:r>
      <w:hyperlink r:id="rId15" w:history="1">
        <w:r w:rsidRPr="0060228C">
          <w:rPr>
            <w:rStyle w:val="Hyperlink"/>
            <w:color w:val="auto"/>
            <w:u w:val="none"/>
          </w:rPr>
          <w:t>UIT-R P.676</w:t>
        </w:r>
      </w:hyperlink>
      <w:r w:rsidR="007B3BDB" w:rsidRPr="0060228C">
        <w:t xml:space="preserve"> </w:t>
      </w:r>
      <w:r w:rsidR="00D1270A" w:rsidRPr="0060228C">
        <w:t xml:space="preserve">– </w:t>
      </w:r>
      <w:r w:rsidRPr="0060228C">
        <w:t>Atenuación debida a los gases atmosféricos</w:t>
      </w:r>
      <w:hyperlink r:id="rId16" w:history="1"/>
    </w:p>
    <w:p w14:paraId="23084B72" w14:textId="04D9BE89" w:rsidR="00010135" w:rsidRPr="0060228C" w:rsidRDefault="00010135" w:rsidP="0060228C">
      <w:pPr>
        <w:pStyle w:val="Reftext"/>
        <w:rPr>
          <w:rFonts w:eastAsia="MS Mincho"/>
        </w:rPr>
      </w:pPr>
      <w:r w:rsidRPr="0060228C">
        <w:t xml:space="preserve">Recomendación </w:t>
      </w:r>
      <w:hyperlink r:id="rId17" w:history="1">
        <w:r w:rsidRPr="0060228C">
          <w:rPr>
            <w:rStyle w:val="Hyperlink"/>
            <w:color w:val="auto"/>
            <w:u w:val="none"/>
          </w:rPr>
          <w:t>UIT-R P.838</w:t>
        </w:r>
      </w:hyperlink>
      <w:r w:rsidR="007B3BDB" w:rsidRPr="0060228C">
        <w:t xml:space="preserve"> </w:t>
      </w:r>
      <w:r w:rsidR="00D1270A" w:rsidRPr="0060228C">
        <w:t xml:space="preserve">– </w:t>
      </w:r>
      <w:r w:rsidRPr="0060228C">
        <w:t>Modelo de la atenuación específica debida a la lluvia para los métodos de predicción</w:t>
      </w:r>
      <w:hyperlink r:id="rId18" w:history="1"/>
    </w:p>
    <w:p w14:paraId="46CA744E" w14:textId="551FEA2A" w:rsidR="0060228C" w:rsidRPr="0060228C" w:rsidRDefault="0060228C" w:rsidP="0060228C">
      <w:pPr>
        <w:pStyle w:val="Reftext"/>
        <w:rPr>
          <w:rFonts w:eastAsia="MS Mincho"/>
        </w:rPr>
      </w:pPr>
      <w:bookmarkStart w:id="8" w:name="_Hlk198534214"/>
      <w:r w:rsidRPr="0060228C">
        <w:lastRenderedPageBreak/>
        <w:t xml:space="preserve">Recomendación </w:t>
      </w:r>
      <w:hyperlink r:id="rId19" w:history="1">
        <w:r w:rsidRPr="0060228C">
          <w:rPr>
            <w:rStyle w:val="Hyperlink"/>
            <w:color w:val="auto"/>
            <w:u w:val="none"/>
          </w:rPr>
          <w:t>UIT-R F.1519</w:t>
        </w:r>
      </w:hyperlink>
      <w:r w:rsidRPr="0060228C">
        <w:t xml:space="preserve"> – Orientaciones sobre disposiciones de frecuencias basadas en bloques de frecuencia para sistemas del servicio fijo</w:t>
      </w:r>
      <w:hyperlink r:id="rId20" w:history="1"/>
    </w:p>
    <w:p w14:paraId="78A36FB3" w14:textId="17685EC2" w:rsidR="00010135" w:rsidRPr="0060228C" w:rsidRDefault="00010135" w:rsidP="0060228C">
      <w:pPr>
        <w:pStyle w:val="Reftext"/>
        <w:rPr>
          <w:rFonts w:eastAsia="MS Mincho"/>
        </w:rPr>
      </w:pPr>
      <w:r w:rsidRPr="0060228C">
        <w:t xml:space="preserve">Informe </w:t>
      </w:r>
      <w:hyperlink r:id="rId21" w:history="1">
        <w:r w:rsidRPr="0060228C">
          <w:rPr>
            <w:rStyle w:val="Hyperlink"/>
            <w:color w:val="auto"/>
            <w:u w:val="none"/>
          </w:rPr>
          <w:t>UIT-R F.2558</w:t>
        </w:r>
      </w:hyperlink>
      <w:r w:rsidR="007B3BDB" w:rsidRPr="0060228C">
        <w:t xml:space="preserve"> </w:t>
      </w:r>
      <w:r w:rsidR="00D1270A" w:rsidRPr="0060228C">
        <w:t xml:space="preserve">– </w:t>
      </w:r>
      <w:r w:rsidRPr="0060228C">
        <w:t xml:space="preserve">Estudios sobre niveles de emisiones no deseadas fuera de las bandas atribuidas a sistemas del servicio fijo que funcionan en las bandas de frecuencias de 94,1 GHz a 174,8 GHz para la protección del servicio de exploración de la Tierra por satélite (pasivo) que funciona en bandas adyacentes en las que se aplica el número </w:t>
      </w:r>
      <w:r w:rsidRPr="0060228C">
        <w:rPr>
          <w:b/>
          <w:bCs/>
        </w:rPr>
        <w:t>5.340</w:t>
      </w:r>
      <w:r w:rsidRPr="0060228C">
        <w:t xml:space="preserve"> del Reglamento de Radiocomunicaciones</w:t>
      </w:r>
      <w:hyperlink r:id="rId22" w:history="1"/>
      <w:bookmarkStart w:id="9" w:name="_Hlk135149666"/>
      <w:bookmarkEnd w:id="8"/>
    </w:p>
    <w:p w14:paraId="31012EC6" w14:textId="7B110664" w:rsidR="00010135" w:rsidRPr="007B3BDB" w:rsidRDefault="00010135" w:rsidP="0060228C">
      <w:pPr>
        <w:rPr>
          <w:rFonts w:eastAsia="MS Mincho"/>
        </w:rPr>
      </w:pPr>
      <w:r w:rsidRPr="007B3BDB">
        <w:t>NOTA</w:t>
      </w:r>
      <w:r w:rsidR="0060228C">
        <w:t> </w:t>
      </w:r>
      <w:r w:rsidRPr="007B3BDB">
        <w:t>–</w:t>
      </w:r>
      <w:r w:rsidR="0060228C">
        <w:t> </w:t>
      </w:r>
      <w:r w:rsidRPr="007B3BDB">
        <w:t>En todos los casos, debe utilizarse la edición más reciente de la Recomendación o del Informe en</w:t>
      </w:r>
      <w:r w:rsidR="008951E0" w:rsidRPr="007B3BDB">
        <w:t> </w:t>
      </w:r>
      <w:r w:rsidRPr="007B3BDB">
        <w:t>vigor.</w:t>
      </w:r>
      <w:bookmarkEnd w:id="9"/>
    </w:p>
    <w:bookmarkEnd w:id="7"/>
    <w:p w14:paraId="156C2871" w14:textId="77777777" w:rsidR="00010135" w:rsidRPr="007B3BDB" w:rsidRDefault="00010135" w:rsidP="00010135">
      <w:pPr>
        <w:pStyle w:val="Normalaftertitle"/>
        <w:rPr>
          <w:szCs w:val="24"/>
        </w:rPr>
      </w:pPr>
      <w:r w:rsidRPr="007B3BDB">
        <w:t>La Asamblea de Radiocomunicaciones de la UIT,</w:t>
      </w:r>
    </w:p>
    <w:p w14:paraId="7158279A" w14:textId="77777777" w:rsidR="00010135" w:rsidRPr="007B3BDB" w:rsidRDefault="00010135" w:rsidP="00010135">
      <w:pPr>
        <w:pStyle w:val="Call"/>
      </w:pPr>
      <w:r w:rsidRPr="007B3BDB">
        <w:rPr>
          <w:iCs/>
        </w:rPr>
        <w:t>considerando</w:t>
      </w:r>
    </w:p>
    <w:p w14:paraId="5DF433C2" w14:textId="77777777" w:rsidR="00010135" w:rsidRPr="007B3BDB" w:rsidRDefault="00010135" w:rsidP="00010135">
      <w:pPr>
        <w:rPr>
          <w:rFonts w:eastAsia="MS Mincho"/>
        </w:rPr>
      </w:pPr>
      <w:r w:rsidRPr="007B3BDB">
        <w:rPr>
          <w:i/>
          <w:iCs/>
        </w:rPr>
        <w:t>a)</w:t>
      </w:r>
      <w:r w:rsidRPr="007B3BDB">
        <w:tab/>
        <w:t>que se necesitan enlaces fijos de muy alta capacidad para el retroceso de células móviles y otros enlaces de datos multiGbit/s;</w:t>
      </w:r>
    </w:p>
    <w:p w14:paraId="7C727A35" w14:textId="5B790B48" w:rsidR="00010135" w:rsidRPr="007B3BDB" w:rsidRDefault="00010135" w:rsidP="00010135">
      <w:pPr>
        <w:rPr>
          <w:rFonts w:eastAsia="MS Mincho"/>
        </w:rPr>
      </w:pPr>
      <w:r w:rsidRPr="007B3BDB">
        <w:rPr>
          <w:i/>
          <w:iCs/>
        </w:rPr>
        <w:t>b)</w:t>
      </w:r>
      <w:r w:rsidRPr="007B3BDB">
        <w:tab/>
        <w:t>que las características de propagación de las bandas de frecuencias 130-134</w:t>
      </w:r>
      <w:r w:rsidR="004D298F">
        <w:t> </w:t>
      </w:r>
      <w:r w:rsidRPr="007B3BDB">
        <w:t>GHz, 141</w:t>
      </w:r>
      <w:r w:rsidR="008951E0" w:rsidRPr="007B3BDB">
        <w:noBreakHyphen/>
      </w:r>
      <w:r w:rsidRPr="007B3BDB">
        <w:t>148,5 GHz, 151,5-164 GHz y 167-174,8 GHz son idóneas para la utilización de enlaces del servicio fijo (SF) de corto alcance con diversas anchuras de banda ocupadas en redes de muy alta densidad para aplicaciones, en particular para el retroceso/la conexión frontal de las redes móviles de la próxima generación;</w:t>
      </w:r>
      <w:bookmarkStart w:id="10" w:name="_Hlk198819929"/>
      <w:bookmarkEnd w:id="10"/>
    </w:p>
    <w:p w14:paraId="4EC73033" w14:textId="77777777" w:rsidR="00010135" w:rsidRPr="007B3BDB" w:rsidRDefault="00010135" w:rsidP="00010135">
      <w:pPr>
        <w:rPr>
          <w:rFonts w:eastAsia="MS Mincho"/>
        </w:rPr>
      </w:pPr>
      <w:r w:rsidRPr="007B3BDB">
        <w:rPr>
          <w:i/>
          <w:iCs/>
        </w:rPr>
        <w:t>c)</w:t>
      </w:r>
      <w:r w:rsidRPr="007B3BDB">
        <w:tab/>
        <w:t>que las aplicaciones del SF pueden requerir diferentes disposiciones de radiocanales;</w:t>
      </w:r>
    </w:p>
    <w:p w14:paraId="4A90F290" w14:textId="6F36081B" w:rsidR="00010135" w:rsidRPr="007B3BDB" w:rsidRDefault="00010135" w:rsidP="00010135">
      <w:pPr>
        <w:rPr>
          <w:rFonts w:eastAsia="MS Mincho"/>
        </w:rPr>
      </w:pPr>
      <w:r w:rsidRPr="007B3BDB">
        <w:rPr>
          <w:i/>
          <w:iCs/>
        </w:rPr>
        <w:t>d)</w:t>
      </w:r>
      <w:r w:rsidRPr="007B3BDB">
        <w:tab/>
        <w:t>que las tecnologías avanzadas de sistemas punto a punto permiten utilizar canales de radiofrecuencia no emparejados (TDD o FD</w:t>
      </w:r>
      <w:r w:rsidRPr="007B3BDB">
        <w:rPr>
          <w:rFonts w:eastAsia="MS Mincho"/>
          <w:position w:val="6"/>
          <w:sz w:val="18"/>
        </w:rPr>
        <w:footnoteReference w:id="3"/>
      </w:r>
      <w:r w:rsidRPr="007B3BDB">
        <w:t>) o emparejados como sistemas dúplex estrecho (fFDD)</w:t>
      </w:r>
      <w:r w:rsidRPr="007B3BDB">
        <w:rPr>
          <w:rFonts w:eastAsia="MS Mincho"/>
          <w:position w:val="6"/>
          <w:sz w:val="18"/>
        </w:rPr>
        <w:footnoteReference w:id="4"/>
      </w:r>
      <w:r w:rsidRPr="007B3BDB">
        <w:t>;</w:t>
      </w:r>
    </w:p>
    <w:p w14:paraId="35B65694" w14:textId="77777777" w:rsidR="00010135" w:rsidRPr="007B3BDB" w:rsidRDefault="00010135" w:rsidP="00010135">
      <w:pPr>
        <w:rPr>
          <w:rFonts w:eastAsia="MS Mincho"/>
        </w:rPr>
      </w:pPr>
      <w:r w:rsidRPr="007B3BDB">
        <w:rPr>
          <w:i/>
          <w:iCs/>
        </w:rPr>
        <w:t>e)</w:t>
      </w:r>
      <w:r w:rsidRPr="007B3BDB">
        <w:tab/>
        <w:t>que, en algunos casos, con una disposición flexible de subbandas o bloques, se pueden aplicar diferentes tecnologías de sistemas inalámbricos fijos;</w:t>
      </w:r>
    </w:p>
    <w:p w14:paraId="2F24448F" w14:textId="7C0E5CD6" w:rsidR="00010135" w:rsidRPr="007B3BDB" w:rsidRDefault="00010135" w:rsidP="00010135">
      <w:pPr>
        <w:rPr>
          <w:rFonts w:eastAsia="MS Mincho"/>
        </w:rPr>
      </w:pPr>
      <w:r w:rsidRPr="007B3BDB">
        <w:rPr>
          <w:i/>
          <w:iCs/>
        </w:rPr>
        <w:t>f)</w:t>
      </w:r>
      <w:r w:rsidRPr="007B3BDB">
        <w:tab/>
        <w:t>que, dado que la diferencia de pérdida de propagación en las bandas 130-134</w:t>
      </w:r>
      <w:r w:rsidR="004D298F">
        <w:t> </w:t>
      </w:r>
      <w:r w:rsidRPr="007B3BDB">
        <w:t>GHz, 141</w:t>
      </w:r>
      <w:r w:rsidR="005A5760" w:rsidRPr="007B3BDB">
        <w:noBreakHyphen/>
      </w:r>
      <w:r w:rsidRPr="007B3BDB">
        <w:t>148,5</w:t>
      </w:r>
      <w:r w:rsidR="005A5760" w:rsidRPr="007B3BDB">
        <w:t> </w:t>
      </w:r>
      <w:r w:rsidRPr="007B3BDB">
        <w:t>GHz, 151,5-164 GHz y 167-174,8 GHz está dentro del rango de 1 dB para longitudes de salto de hasta 1 km, existe también la posibilidad de utilizar estas bandas juntas para enlaces dúplex por división de frecuencia (FDD) con gran separación dúplex, en caso necesario;</w:t>
      </w:r>
    </w:p>
    <w:p w14:paraId="1D66DECB" w14:textId="77777777" w:rsidR="00010135" w:rsidRPr="007B3BDB" w:rsidRDefault="00010135" w:rsidP="00010135">
      <w:pPr>
        <w:rPr>
          <w:rFonts w:eastAsia="MS Mincho"/>
        </w:rPr>
      </w:pPr>
      <w:r w:rsidRPr="007B3BDB">
        <w:rPr>
          <w:i/>
          <w:iCs/>
        </w:rPr>
        <w:t>g)</w:t>
      </w:r>
      <w:r w:rsidRPr="007B3BDB">
        <w:tab/>
        <w:t xml:space="preserve">que también es posible una separación dúplex más estrecha con técnicas avanzadas de cancelación digital y que, si se considera que la longitud de onda es muy corta en estas bandas, se puede recurrir a una antena transmisora/receptora (Tx/Rx) pequeña independiente integrada en el mismo equipo, </w:t>
      </w:r>
    </w:p>
    <w:p w14:paraId="0E7DD81B" w14:textId="77777777" w:rsidR="00010135" w:rsidRPr="007B3BDB" w:rsidRDefault="00010135" w:rsidP="004D298F">
      <w:pPr>
        <w:pStyle w:val="Call"/>
      </w:pPr>
      <w:r w:rsidRPr="007B3BDB">
        <w:rPr>
          <w:iCs/>
        </w:rPr>
        <w:lastRenderedPageBreak/>
        <w:t>reconociendo</w:t>
      </w:r>
    </w:p>
    <w:p w14:paraId="0CD84CCB" w14:textId="77777777" w:rsidR="00010135" w:rsidRPr="007B3BDB" w:rsidRDefault="00010135" w:rsidP="004D298F">
      <w:pPr>
        <w:keepNext/>
        <w:keepLines/>
        <w:rPr>
          <w:rFonts w:eastAsia="MS Mincho"/>
        </w:rPr>
      </w:pPr>
      <w:r w:rsidRPr="007B3BDB">
        <w:rPr>
          <w:i/>
          <w:iCs/>
        </w:rPr>
        <w:t>a)</w:t>
      </w:r>
      <w:r w:rsidRPr="007B3BDB">
        <w:tab/>
        <w:t xml:space="preserve">que en el número </w:t>
      </w:r>
      <w:r w:rsidRPr="007B3BDB">
        <w:rPr>
          <w:b/>
          <w:bCs/>
        </w:rPr>
        <w:t xml:space="preserve">5.340 </w:t>
      </w:r>
      <w:r w:rsidRPr="007B3BDB">
        <w:t>del RR de la UIT se prohíben todas las emisiones, entre otras, en las bandas 148,5-151,5 GHz y 164-167 GHz, por lo que se ha de procurar limitar las emisiones fuera de banda del SF que funciona en las bandas 141-148,5 GHz, 151,5-164 GHz y 167-174,8 GHz en esas bandas adyacentes;</w:t>
      </w:r>
    </w:p>
    <w:p w14:paraId="6106B813" w14:textId="77777777" w:rsidR="00010135" w:rsidRPr="007B3BDB" w:rsidRDefault="00010135" w:rsidP="00010135">
      <w:pPr>
        <w:rPr>
          <w:rFonts w:eastAsia="MS Mincho"/>
        </w:rPr>
      </w:pPr>
      <w:r w:rsidRPr="007B3BDB">
        <w:rPr>
          <w:i/>
          <w:iCs/>
        </w:rPr>
        <w:t>b)</w:t>
      </w:r>
      <w:r w:rsidRPr="007B3BDB">
        <w:tab/>
        <w:t>que en la Recomendación UIT-R F.1519 se ofrecen orientaciones sobre disposiciones de frecuencias basadas en bloques de frecuencia para sistemas del SF;</w:t>
      </w:r>
    </w:p>
    <w:p w14:paraId="59D090CF" w14:textId="2D1B2305" w:rsidR="00010135" w:rsidRPr="007B3BDB" w:rsidRDefault="00010135" w:rsidP="00010135">
      <w:pPr>
        <w:rPr>
          <w:rFonts w:eastAsia="MS Mincho"/>
        </w:rPr>
      </w:pPr>
      <w:r w:rsidRPr="007B3BDB">
        <w:rPr>
          <w:i/>
          <w:iCs/>
        </w:rPr>
        <w:t>c)</w:t>
      </w:r>
      <w:r w:rsidRPr="007B3BDB">
        <w:tab/>
        <w:t>que las bandas de frecuencias 130-134 GHz, 141-148,5 GHz, 151,5-164 GHz y 167</w:t>
      </w:r>
      <w:r w:rsidR="005A5760" w:rsidRPr="007B3BDB">
        <w:noBreakHyphen/>
      </w:r>
      <w:r w:rsidRPr="007B3BDB">
        <w:t>174,8</w:t>
      </w:r>
      <w:r w:rsidR="005A5760" w:rsidRPr="007B3BDB">
        <w:t> </w:t>
      </w:r>
      <w:r w:rsidRPr="007B3BDB">
        <w:t>GHz están atribuidas a título primario al SF, así como a otros servicios a título coprimario,</w:t>
      </w:r>
    </w:p>
    <w:p w14:paraId="31504239" w14:textId="77777777" w:rsidR="00010135" w:rsidRPr="007B3BDB" w:rsidRDefault="00010135" w:rsidP="00010135">
      <w:pPr>
        <w:pStyle w:val="Call"/>
        <w:rPr>
          <w:rFonts w:eastAsia="MS Mincho"/>
        </w:rPr>
      </w:pPr>
      <w:r w:rsidRPr="007B3BDB">
        <w:rPr>
          <w:iCs/>
        </w:rPr>
        <w:t>recomienda</w:t>
      </w:r>
    </w:p>
    <w:p w14:paraId="6F094332" w14:textId="77777777" w:rsidR="00010135" w:rsidRPr="007B3BDB" w:rsidRDefault="00010135" w:rsidP="00010135">
      <w:pPr>
        <w:rPr>
          <w:rFonts w:eastAsia="MS Mincho"/>
        </w:rPr>
      </w:pPr>
      <w:r w:rsidRPr="007B3BDB">
        <w:t>1</w:t>
      </w:r>
      <w:r w:rsidRPr="007B3BDB">
        <w:tab/>
        <w:t>que, para la disposición preferida de canales o bloques de radiofrecuencia para las bandas 130-134 GHz, 141-148,5 GHz, 151,5-164 GHz y 167-174,8 GHz para enlaces del servicio fijo, se considere utilizar las disposiciones de canales básicas de 250 MHz que figuran en el Anexo 1;</w:t>
      </w:r>
    </w:p>
    <w:p w14:paraId="5163C1BC" w14:textId="77777777" w:rsidR="00010135" w:rsidRPr="007B3BDB" w:rsidRDefault="00010135" w:rsidP="00010135">
      <w:pPr>
        <w:rPr>
          <w:rFonts w:eastAsia="MS Mincho"/>
        </w:rPr>
      </w:pPr>
      <w:r w:rsidRPr="007B3BDB">
        <w:t>2</w:t>
      </w:r>
      <w:r w:rsidRPr="007B3BDB">
        <w:tab/>
        <w:t>que se considere la posibilidad de agregar de forma flexible esos canales básicos de 250 MHz para componer canales más anchos, teniendo en cuenta la eficacia espectral adecuada;</w:t>
      </w:r>
    </w:p>
    <w:p w14:paraId="7B0C2AC6" w14:textId="77777777" w:rsidR="00010135" w:rsidRPr="007B3BDB" w:rsidRDefault="00010135" w:rsidP="00010135">
      <w:pPr>
        <w:rPr>
          <w:rFonts w:eastAsia="MS Mincho"/>
        </w:rPr>
      </w:pPr>
      <w:r w:rsidRPr="007B3BDB">
        <w:t>3</w:t>
      </w:r>
      <w:r w:rsidRPr="007B3BDB">
        <w:tab/>
        <w:t>que para aplicar la asignación basada en bloques, obtenida por agregación de canales, de acuerdo con el ejemplo del Anexo 2, la anchura de los bloques sea múltiplo de 250 MHz y que su utilización permita cualquier tamaño de canal y método dúplex adecuados, como se muestra en los ejemplos del Anexo 2;</w:t>
      </w:r>
    </w:p>
    <w:p w14:paraId="1CD1FA33" w14:textId="6C8E5050" w:rsidR="00010135" w:rsidRDefault="00010135" w:rsidP="00010135">
      <w:r w:rsidRPr="007B3BDB">
        <w:t>4</w:t>
      </w:r>
      <w:r w:rsidRPr="007B3BDB">
        <w:tab/>
        <w:t>que exista la posibilidad de asignar canales dúplex FDD tradicionales en las bandas</w:t>
      </w:r>
      <w:r w:rsidR="005A5760" w:rsidRPr="007B3BDB">
        <w:t> </w:t>
      </w:r>
      <w:r w:rsidRPr="007B3BDB">
        <w:t>130</w:t>
      </w:r>
      <w:r w:rsidR="005A5760" w:rsidRPr="007B3BDB">
        <w:noBreakHyphen/>
      </w:r>
      <w:r w:rsidRPr="007B3BDB">
        <w:t>134</w:t>
      </w:r>
      <w:r w:rsidR="005A5760" w:rsidRPr="007B3BDB">
        <w:t> </w:t>
      </w:r>
      <w:r w:rsidRPr="007B3BDB">
        <w:t>GHz, 141-148,5 GHz, 151,5-164 GHz y 167-174,8 GHz, utilizadas como bandas emparejadas, con la adopción de una separación dúplex superior a 15 GHz adecuada; véase como ejemplo el Anexo 3.</w:t>
      </w:r>
    </w:p>
    <w:p w14:paraId="750B9F60" w14:textId="77777777" w:rsidR="004D298F" w:rsidRDefault="004D298F" w:rsidP="00010135"/>
    <w:p w14:paraId="1C1731AF" w14:textId="77777777" w:rsidR="004D298F" w:rsidRDefault="004D298F" w:rsidP="00010135"/>
    <w:p w14:paraId="5955E2E9" w14:textId="77777777" w:rsidR="00010135" w:rsidRPr="007B3BDB" w:rsidRDefault="00010135" w:rsidP="00010135">
      <w:pPr>
        <w:pStyle w:val="AnnexNoTitle"/>
      </w:pPr>
      <w:bookmarkStart w:id="11" w:name="_Toc199936721"/>
      <w:bookmarkStart w:id="12" w:name="_Toc202792385"/>
      <w:r w:rsidRPr="007B3BDB">
        <w:t>Anex</w:t>
      </w:r>
      <w:bookmarkEnd w:id="11"/>
      <w:bookmarkEnd w:id="12"/>
      <w:r w:rsidRPr="007B3BDB">
        <w:t>o 1</w:t>
      </w:r>
      <w:r w:rsidRPr="007B3BDB">
        <w:br/>
      </w:r>
      <w:r w:rsidRPr="007B3BDB">
        <w:br/>
      </w:r>
      <w:r w:rsidRPr="007B3BDB">
        <w:rPr>
          <w:bCs/>
        </w:rPr>
        <w:t>Disposición de radiocanales en la banda 130-174,8 GHz</w:t>
      </w:r>
    </w:p>
    <w:p w14:paraId="4EEED8DD" w14:textId="77777777" w:rsidR="00010135" w:rsidRPr="007B3BDB" w:rsidRDefault="00010135" w:rsidP="004D298F">
      <w:pPr>
        <w:pStyle w:val="Headingb"/>
        <w:spacing w:before="360"/>
      </w:pPr>
      <w:bookmarkStart w:id="13" w:name="_Hlk195534382"/>
      <w:r w:rsidRPr="007B3BDB">
        <w:t>Disposición de canal básica</w:t>
      </w:r>
    </w:p>
    <w:p w14:paraId="3C02766B" w14:textId="652FD206" w:rsidR="00010135" w:rsidRPr="007B3BDB" w:rsidRDefault="00010135" w:rsidP="004D298F">
      <w:r w:rsidRPr="007B3BDB">
        <w:t>En la Fig</w:t>
      </w:r>
      <w:r w:rsidR="004D298F">
        <w:t>. </w:t>
      </w:r>
      <w:r w:rsidRPr="007B3BDB">
        <w:t>1 se muestra la subdivisión de las bandas disponibles en canales elementales de 250</w:t>
      </w:r>
      <w:r w:rsidR="005A5760" w:rsidRPr="007B3BDB">
        <w:t> </w:t>
      </w:r>
      <w:r w:rsidRPr="007B3BDB">
        <w:t>MHz; se proporcionan bandas de guarda de 125 MHz como mínimo.</w:t>
      </w:r>
    </w:p>
    <w:p w14:paraId="4585C26F" w14:textId="77777777" w:rsidR="00010135" w:rsidRPr="007B3BDB" w:rsidRDefault="00010135" w:rsidP="004D298F">
      <w:pPr>
        <w:pStyle w:val="FigureNo"/>
      </w:pPr>
      <w:r w:rsidRPr="007B3BDB">
        <w:lastRenderedPageBreak/>
        <w:t>Figura 1</w:t>
      </w:r>
    </w:p>
    <w:p w14:paraId="3780F4D1" w14:textId="77777777" w:rsidR="00010135" w:rsidRPr="007B3BDB" w:rsidRDefault="00010135" w:rsidP="004D298F">
      <w:pPr>
        <w:pStyle w:val="Figuretitle"/>
        <w:keepLines/>
      </w:pPr>
      <w:r w:rsidRPr="007B3BDB">
        <w:t>Disposición de canales básica para uso del SF en la banda 130-174,8 GHz</w:t>
      </w:r>
    </w:p>
    <w:p w14:paraId="693CBD41" w14:textId="117E702D" w:rsidR="00010135" w:rsidRPr="007B3BDB" w:rsidRDefault="00CC2574" w:rsidP="004D298F">
      <w:pPr>
        <w:pStyle w:val="Figure"/>
        <w:keepNext/>
      </w:pPr>
      <w:r w:rsidRPr="007B3BDB">
        <w:rPr>
          <w:noProof/>
        </w:rPr>
        <w:drawing>
          <wp:inline distT="0" distB="0" distL="0" distR="0" wp14:anchorId="3AA2178F" wp14:editId="02B6AFAA">
            <wp:extent cx="6120765" cy="2426335"/>
            <wp:effectExtent l="0" t="0" r="0" b="0"/>
            <wp:docPr id="5" name="Picture 5" descr="La Figura 1 muestra la disposición de canales básica para uso del SF en la banda 130-174,8 GHz&#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a Figura 1 muestra la disposición de canales básica para uso del SF en la banda 130-174,8 GHz&#10;"/>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120765" cy="2426335"/>
                    </a:xfrm>
                    <a:prstGeom prst="rect">
                      <a:avLst/>
                    </a:prstGeom>
                  </pic:spPr>
                </pic:pic>
              </a:graphicData>
            </a:graphic>
          </wp:inline>
        </w:drawing>
      </w:r>
    </w:p>
    <w:p w14:paraId="4D4336C5" w14:textId="4259869D" w:rsidR="00010135" w:rsidRPr="007B3BDB" w:rsidRDefault="00010135" w:rsidP="00010135">
      <w:pPr>
        <w:pStyle w:val="Normalaftertitle"/>
        <w:rPr>
          <w:rFonts w:eastAsia="MS Mincho"/>
        </w:rPr>
      </w:pPr>
      <w:r w:rsidRPr="007B3BDB">
        <w:t>La frecuencia central de los canales puede obtenerse como sigue</w:t>
      </w:r>
      <w:r w:rsidRPr="007B3BDB">
        <w:rPr>
          <w:rFonts w:eastAsia="MS Mincho"/>
        </w:rPr>
        <w:t>:</w:t>
      </w:r>
    </w:p>
    <w:p w14:paraId="26990859" w14:textId="79C10020" w:rsidR="00010135" w:rsidRPr="007B3BDB" w:rsidRDefault="00010135" w:rsidP="00010135">
      <w:pPr>
        <w:tabs>
          <w:tab w:val="clear" w:pos="794"/>
          <w:tab w:val="clear" w:pos="1191"/>
          <w:tab w:val="clear" w:pos="1588"/>
          <w:tab w:val="clear" w:pos="1985"/>
          <w:tab w:val="left" w:pos="1134"/>
          <w:tab w:val="left" w:pos="1871"/>
          <w:tab w:val="left" w:pos="2608"/>
          <w:tab w:val="left" w:pos="3345"/>
        </w:tabs>
        <w:spacing w:before="80"/>
        <w:ind w:left="1134" w:hanging="1134"/>
        <w:jc w:val="left"/>
        <w:rPr>
          <w:rFonts w:eastAsia="MS Mincho"/>
        </w:rPr>
      </w:pPr>
      <w:r w:rsidRPr="007B3BDB">
        <w:rPr>
          <w:rFonts w:eastAsia="MS Mincho"/>
        </w:rPr>
        <w:tab/>
      </w:r>
      <w:r w:rsidRPr="007B3BDB">
        <w:rPr>
          <w:rFonts w:eastAsia="MS Mincho"/>
          <w:i/>
          <w:iCs/>
        </w:rPr>
        <w:t>F</w:t>
      </w:r>
      <w:r w:rsidRPr="007B3BDB">
        <w:rPr>
          <w:rFonts w:eastAsia="MS Mincho"/>
          <w:i/>
          <w:iCs/>
          <w:vertAlign w:val="subscript"/>
        </w:rPr>
        <w:t>N</w:t>
      </w:r>
      <w:r w:rsidRPr="007B3BDB">
        <w:rPr>
          <w:rFonts w:eastAsia="MS Mincho"/>
        </w:rPr>
        <w:t xml:space="preserve"> = 130 + </w:t>
      </w:r>
      <w:r w:rsidRPr="007B3BDB">
        <w:rPr>
          <w:rFonts w:eastAsia="MS Mincho"/>
          <w:i/>
          <w:iCs/>
        </w:rPr>
        <w:t>N</w:t>
      </w:r>
      <w:r w:rsidRPr="007B3BDB">
        <w:rPr>
          <w:rFonts w:eastAsia="MS Mincho"/>
        </w:rPr>
        <w:t xml:space="preserve"> × 0,250 GHz </w:t>
      </w:r>
      <w:r w:rsidRPr="007B3BDB">
        <w:rPr>
          <w:rFonts w:eastAsia="MS Mincho"/>
        </w:rPr>
        <w:tab/>
      </w:r>
      <w:r w:rsidRPr="007B3BDB">
        <w:rPr>
          <w:rFonts w:eastAsia="MS Mincho"/>
          <w:i/>
          <w:iCs/>
        </w:rPr>
        <w:t>N</w:t>
      </w:r>
      <w:r w:rsidRPr="007B3BDB">
        <w:rPr>
          <w:rFonts w:eastAsia="MS Mincho"/>
        </w:rPr>
        <w:t>: 1 a 15</w:t>
      </w:r>
      <w:r w:rsidRPr="007B3BDB">
        <w:rPr>
          <w:rFonts w:eastAsia="MS Mincho"/>
        </w:rPr>
        <w:tab/>
      </w:r>
      <w:r w:rsidRPr="007B3BDB">
        <w:rPr>
          <w:rFonts w:eastAsia="MS Mincho"/>
        </w:rPr>
        <w:tab/>
        <w:t xml:space="preserve">Subbanda </w:t>
      </w:r>
      <w:r w:rsidR="005A5760" w:rsidRPr="007B3BDB">
        <w:rPr>
          <w:rFonts w:eastAsia="MS Mincho"/>
        </w:rPr>
        <w:t>«</w:t>
      </w:r>
      <w:r w:rsidRPr="007B3BDB">
        <w:rPr>
          <w:rFonts w:eastAsia="MS Mincho"/>
        </w:rPr>
        <w:t>a</w:t>
      </w:r>
      <w:r w:rsidR="005A5760" w:rsidRPr="007B3BDB">
        <w:rPr>
          <w:rFonts w:eastAsia="MS Mincho"/>
        </w:rPr>
        <w:t>»</w:t>
      </w:r>
    </w:p>
    <w:p w14:paraId="57E1FD92" w14:textId="3CE4CBFE" w:rsidR="00010135" w:rsidRPr="007B3BDB" w:rsidRDefault="00010135" w:rsidP="00010135">
      <w:pPr>
        <w:tabs>
          <w:tab w:val="clear" w:pos="794"/>
          <w:tab w:val="clear" w:pos="1191"/>
          <w:tab w:val="clear" w:pos="1588"/>
          <w:tab w:val="clear" w:pos="1985"/>
          <w:tab w:val="left" w:pos="1134"/>
          <w:tab w:val="left" w:pos="1871"/>
          <w:tab w:val="left" w:pos="2608"/>
          <w:tab w:val="left" w:pos="3345"/>
        </w:tabs>
        <w:spacing w:before="80"/>
        <w:ind w:left="1134" w:hanging="1134"/>
        <w:jc w:val="left"/>
        <w:rPr>
          <w:rFonts w:eastAsia="MS Mincho"/>
        </w:rPr>
      </w:pPr>
      <w:r w:rsidRPr="007B3BDB">
        <w:rPr>
          <w:rFonts w:eastAsia="MS Mincho"/>
        </w:rPr>
        <w:tab/>
      </w:r>
      <w:r w:rsidRPr="007B3BDB">
        <w:rPr>
          <w:rFonts w:eastAsia="MS Mincho"/>
          <w:i/>
          <w:iCs/>
        </w:rPr>
        <w:t>F</w:t>
      </w:r>
      <w:r w:rsidRPr="007B3BDB">
        <w:rPr>
          <w:rFonts w:eastAsia="MS Mincho"/>
          <w:i/>
          <w:iCs/>
          <w:vertAlign w:val="subscript"/>
        </w:rPr>
        <w:t>N</w:t>
      </w:r>
      <w:r w:rsidRPr="007B3BDB">
        <w:rPr>
          <w:rFonts w:eastAsia="MS Mincho"/>
        </w:rPr>
        <w:t xml:space="preserve"> = 141 + </w:t>
      </w:r>
      <w:r w:rsidRPr="007B3BDB">
        <w:rPr>
          <w:rFonts w:eastAsia="MS Mincho"/>
          <w:i/>
          <w:iCs/>
        </w:rPr>
        <w:t>N</w:t>
      </w:r>
      <w:r w:rsidRPr="007B3BDB">
        <w:rPr>
          <w:rFonts w:eastAsia="MS Mincho"/>
        </w:rPr>
        <w:t xml:space="preserve"> × 0,250 GHz </w:t>
      </w:r>
      <w:r w:rsidRPr="007B3BDB">
        <w:rPr>
          <w:rFonts w:eastAsia="MS Mincho"/>
        </w:rPr>
        <w:tab/>
      </w:r>
      <w:r w:rsidRPr="007B3BDB">
        <w:rPr>
          <w:rFonts w:eastAsia="MS Mincho"/>
          <w:i/>
          <w:iCs/>
        </w:rPr>
        <w:t>N</w:t>
      </w:r>
      <w:r w:rsidRPr="007B3BDB">
        <w:rPr>
          <w:rFonts w:eastAsia="MS Mincho"/>
        </w:rPr>
        <w:t>: 1 a 29</w:t>
      </w:r>
      <w:r w:rsidRPr="007B3BDB">
        <w:rPr>
          <w:rFonts w:eastAsia="MS Mincho"/>
        </w:rPr>
        <w:tab/>
      </w:r>
      <w:r w:rsidRPr="007B3BDB">
        <w:rPr>
          <w:rFonts w:eastAsia="MS Mincho"/>
        </w:rPr>
        <w:tab/>
        <w:t xml:space="preserve">Subbanda </w:t>
      </w:r>
      <w:r w:rsidR="005A5760" w:rsidRPr="007B3BDB">
        <w:rPr>
          <w:rFonts w:eastAsia="MS Mincho"/>
        </w:rPr>
        <w:t>«</w:t>
      </w:r>
      <w:r w:rsidRPr="007B3BDB">
        <w:rPr>
          <w:rFonts w:eastAsia="MS Mincho"/>
        </w:rPr>
        <w:t>b</w:t>
      </w:r>
      <w:r w:rsidR="005A5760" w:rsidRPr="007B3BDB">
        <w:rPr>
          <w:rFonts w:eastAsia="MS Mincho"/>
        </w:rPr>
        <w:t>»</w:t>
      </w:r>
    </w:p>
    <w:p w14:paraId="13C9AF92" w14:textId="25F559AF" w:rsidR="00010135" w:rsidRPr="007B3BDB" w:rsidRDefault="00010135" w:rsidP="00010135">
      <w:pPr>
        <w:tabs>
          <w:tab w:val="clear" w:pos="794"/>
          <w:tab w:val="clear" w:pos="1191"/>
          <w:tab w:val="clear" w:pos="1588"/>
          <w:tab w:val="clear" w:pos="1985"/>
          <w:tab w:val="left" w:pos="1134"/>
          <w:tab w:val="left" w:pos="1871"/>
          <w:tab w:val="left" w:pos="2608"/>
          <w:tab w:val="left" w:pos="3345"/>
        </w:tabs>
        <w:spacing w:before="80"/>
        <w:ind w:left="1134" w:hanging="1134"/>
        <w:jc w:val="left"/>
        <w:rPr>
          <w:rFonts w:eastAsia="MS Mincho"/>
        </w:rPr>
      </w:pPr>
      <w:r w:rsidRPr="007B3BDB">
        <w:rPr>
          <w:rFonts w:eastAsia="MS Mincho"/>
        </w:rPr>
        <w:tab/>
      </w:r>
      <w:r w:rsidRPr="007B3BDB">
        <w:rPr>
          <w:rFonts w:eastAsia="MS Mincho"/>
          <w:i/>
          <w:iCs/>
        </w:rPr>
        <w:t>F</w:t>
      </w:r>
      <w:r w:rsidRPr="007B3BDB">
        <w:rPr>
          <w:rFonts w:eastAsia="MS Mincho"/>
          <w:i/>
          <w:iCs/>
          <w:vertAlign w:val="subscript"/>
        </w:rPr>
        <w:t>N</w:t>
      </w:r>
      <w:r w:rsidRPr="007B3BDB">
        <w:rPr>
          <w:rFonts w:eastAsia="MS Mincho"/>
        </w:rPr>
        <w:t xml:space="preserve"> = 151.5 + </w:t>
      </w:r>
      <w:r w:rsidRPr="007B3BDB">
        <w:rPr>
          <w:rFonts w:eastAsia="MS Mincho"/>
          <w:i/>
          <w:iCs/>
        </w:rPr>
        <w:t>N</w:t>
      </w:r>
      <w:r w:rsidRPr="007B3BDB">
        <w:rPr>
          <w:rFonts w:eastAsia="MS Mincho"/>
        </w:rPr>
        <w:t xml:space="preserve"> × 0,250 GHz </w:t>
      </w:r>
      <w:r w:rsidRPr="007B3BDB">
        <w:rPr>
          <w:rFonts w:eastAsia="MS Mincho"/>
        </w:rPr>
        <w:tab/>
      </w:r>
      <w:r w:rsidRPr="007B3BDB">
        <w:rPr>
          <w:rFonts w:eastAsia="MS Mincho"/>
          <w:i/>
          <w:iCs/>
        </w:rPr>
        <w:t>N</w:t>
      </w:r>
      <w:r w:rsidRPr="007B3BDB">
        <w:rPr>
          <w:rFonts w:eastAsia="MS Mincho"/>
        </w:rPr>
        <w:t>: 1 a 49</w:t>
      </w:r>
      <w:r w:rsidRPr="007B3BDB">
        <w:rPr>
          <w:rFonts w:eastAsia="MS Mincho"/>
        </w:rPr>
        <w:tab/>
      </w:r>
      <w:r w:rsidRPr="007B3BDB">
        <w:rPr>
          <w:rFonts w:eastAsia="MS Mincho"/>
        </w:rPr>
        <w:tab/>
        <w:t xml:space="preserve">Subbanda </w:t>
      </w:r>
      <w:r w:rsidR="005A5760" w:rsidRPr="007B3BDB">
        <w:rPr>
          <w:rFonts w:eastAsia="MS Mincho"/>
        </w:rPr>
        <w:t>«</w:t>
      </w:r>
      <w:r w:rsidRPr="007B3BDB">
        <w:rPr>
          <w:rFonts w:eastAsia="MS Mincho"/>
        </w:rPr>
        <w:t>c</w:t>
      </w:r>
      <w:r w:rsidR="005A5760" w:rsidRPr="007B3BDB">
        <w:rPr>
          <w:rFonts w:eastAsia="MS Mincho"/>
        </w:rPr>
        <w:t>»</w:t>
      </w:r>
    </w:p>
    <w:p w14:paraId="3B612C3C" w14:textId="399A5E8E" w:rsidR="00010135" w:rsidRDefault="00010135" w:rsidP="00010135">
      <w:pPr>
        <w:tabs>
          <w:tab w:val="clear" w:pos="794"/>
          <w:tab w:val="clear" w:pos="1191"/>
          <w:tab w:val="clear" w:pos="1588"/>
          <w:tab w:val="clear" w:pos="1985"/>
          <w:tab w:val="left" w:pos="1134"/>
          <w:tab w:val="left" w:pos="1871"/>
          <w:tab w:val="left" w:pos="2608"/>
          <w:tab w:val="left" w:pos="3345"/>
        </w:tabs>
        <w:spacing w:before="80"/>
        <w:ind w:left="1134" w:hanging="1134"/>
        <w:jc w:val="left"/>
        <w:rPr>
          <w:rFonts w:eastAsia="MS Mincho"/>
        </w:rPr>
      </w:pPr>
      <w:r w:rsidRPr="007B3BDB">
        <w:rPr>
          <w:rFonts w:eastAsia="MS Mincho"/>
        </w:rPr>
        <w:tab/>
      </w:r>
      <w:r w:rsidRPr="007B3BDB">
        <w:rPr>
          <w:rFonts w:eastAsia="MS Mincho"/>
          <w:i/>
          <w:iCs/>
        </w:rPr>
        <w:t>F</w:t>
      </w:r>
      <w:r w:rsidRPr="007B3BDB">
        <w:rPr>
          <w:rFonts w:eastAsia="MS Mincho"/>
          <w:i/>
          <w:iCs/>
          <w:vertAlign w:val="subscript"/>
        </w:rPr>
        <w:t>N</w:t>
      </w:r>
      <w:r w:rsidRPr="007B3BDB">
        <w:rPr>
          <w:rFonts w:eastAsia="MS Mincho"/>
        </w:rPr>
        <w:t xml:space="preserve"> = 167 + </w:t>
      </w:r>
      <w:r w:rsidRPr="007B3BDB">
        <w:rPr>
          <w:rFonts w:eastAsia="MS Mincho"/>
          <w:i/>
          <w:iCs/>
        </w:rPr>
        <w:t>N</w:t>
      </w:r>
      <w:r w:rsidRPr="007B3BDB">
        <w:rPr>
          <w:rFonts w:eastAsia="MS Mincho"/>
        </w:rPr>
        <w:t xml:space="preserve"> × 0,250 GHz </w:t>
      </w:r>
      <w:r w:rsidRPr="007B3BDB">
        <w:rPr>
          <w:rFonts w:eastAsia="MS Mincho"/>
        </w:rPr>
        <w:tab/>
      </w:r>
      <w:r w:rsidRPr="007B3BDB">
        <w:rPr>
          <w:rFonts w:eastAsia="MS Mincho"/>
          <w:i/>
          <w:iCs/>
        </w:rPr>
        <w:t>N</w:t>
      </w:r>
      <w:r w:rsidRPr="007B3BDB">
        <w:rPr>
          <w:rFonts w:eastAsia="MS Mincho"/>
        </w:rPr>
        <w:t>: 1 a 30</w:t>
      </w:r>
      <w:r w:rsidRPr="007B3BDB">
        <w:rPr>
          <w:rFonts w:eastAsia="MS Mincho"/>
        </w:rPr>
        <w:tab/>
      </w:r>
      <w:r w:rsidRPr="007B3BDB">
        <w:rPr>
          <w:rFonts w:eastAsia="MS Mincho"/>
        </w:rPr>
        <w:tab/>
        <w:t xml:space="preserve">Subbanda </w:t>
      </w:r>
      <w:r w:rsidR="005A5760" w:rsidRPr="007B3BDB">
        <w:rPr>
          <w:rFonts w:eastAsia="MS Mincho"/>
        </w:rPr>
        <w:t>«</w:t>
      </w:r>
      <w:r w:rsidRPr="007B3BDB">
        <w:rPr>
          <w:rFonts w:eastAsia="MS Mincho"/>
        </w:rPr>
        <w:t>d</w:t>
      </w:r>
      <w:r w:rsidR="005A5760" w:rsidRPr="007B3BDB">
        <w:rPr>
          <w:rFonts w:eastAsia="MS Mincho"/>
        </w:rPr>
        <w:t>»</w:t>
      </w:r>
    </w:p>
    <w:p w14:paraId="071CE1B7" w14:textId="77777777" w:rsidR="004D298F" w:rsidRDefault="004D298F" w:rsidP="004D298F">
      <w:pPr>
        <w:rPr>
          <w:rFonts w:eastAsia="MS Mincho"/>
        </w:rPr>
      </w:pPr>
    </w:p>
    <w:p w14:paraId="353C6843" w14:textId="77777777" w:rsidR="004D298F" w:rsidRPr="007B3BDB" w:rsidRDefault="004D298F" w:rsidP="004D298F">
      <w:pPr>
        <w:rPr>
          <w:rFonts w:eastAsia="MS Mincho"/>
        </w:rPr>
      </w:pPr>
    </w:p>
    <w:p w14:paraId="19EADC7B" w14:textId="77777777" w:rsidR="00010135" w:rsidRPr="007B3BDB" w:rsidRDefault="00010135" w:rsidP="00010135">
      <w:pPr>
        <w:pStyle w:val="AnnexNoTitle"/>
      </w:pPr>
      <w:r w:rsidRPr="007B3BDB">
        <w:t>Anexo 2</w:t>
      </w:r>
      <w:r w:rsidRPr="007B3BDB">
        <w:br/>
      </w:r>
      <w:r w:rsidRPr="007B3BDB">
        <w:br/>
      </w:r>
      <w:r w:rsidRPr="007B3BDB">
        <w:rPr>
          <w:bCs/>
        </w:rPr>
        <w:t>Ejemplos de utilización por bloques en la banda de RF 130-174,8 GHz</w:t>
      </w:r>
    </w:p>
    <w:p w14:paraId="621916A0" w14:textId="77777777" w:rsidR="00010135" w:rsidRPr="007B3BDB" w:rsidRDefault="00010135" w:rsidP="004D298F">
      <w:pPr>
        <w:pStyle w:val="Headingb"/>
        <w:spacing w:before="360"/>
      </w:pPr>
      <w:r w:rsidRPr="007B3BDB">
        <w:t>Agregación de canales</w:t>
      </w:r>
    </w:p>
    <w:p w14:paraId="7785DDF3" w14:textId="42789EC3" w:rsidR="00010135" w:rsidRPr="007B3BDB" w:rsidRDefault="00010135" w:rsidP="004D298F">
      <w:pPr>
        <w:rPr>
          <w:rFonts w:eastAsia="MS Mincho"/>
        </w:rPr>
      </w:pPr>
      <w:r w:rsidRPr="007B3BDB">
        <w:t xml:space="preserve">En la </w:t>
      </w:r>
      <w:r w:rsidR="004D298F" w:rsidRPr="007B3BDB">
        <w:t>Fig</w:t>
      </w:r>
      <w:r w:rsidR="004D298F">
        <w:t>. </w:t>
      </w:r>
      <w:r w:rsidRPr="007B3BDB">
        <w:t>2 se presenta un ejemplo de uso de bloques que cubren toda la banda.</w:t>
      </w:r>
    </w:p>
    <w:p w14:paraId="65A0ADB5" w14:textId="77777777" w:rsidR="00010135" w:rsidRPr="007B3BDB" w:rsidRDefault="00010135" w:rsidP="00010135">
      <w:pPr>
        <w:pStyle w:val="FigureNo"/>
        <w:rPr>
          <w:rFonts w:eastAsia="MS Mincho"/>
        </w:rPr>
      </w:pPr>
      <w:r w:rsidRPr="007B3BDB">
        <w:lastRenderedPageBreak/>
        <w:t>FIGURA 2</w:t>
      </w:r>
    </w:p>
    <w:p w14:paraId="6034F176" w14:textId="77777777" w:rsidR="00010135" w:rsidRPr="007B3BDB" w:rsidRDefault="00010135" w:rsidP="00010135">
      <w:pPr>
        <w:pStyle w:val="Figuretitle"/>
        <w:rPr>
          <w:rFonts w:eastAsia="MS Mincho"/>
        </w:rPr>
      </w:pPr>
      <w:bookmarkStart w:id="14" w:name="_Ref501109213"/>
      <w:r w:rsidRPr="007B3BDB">
        <w:rPr>
          <w:bCs/>
        </w:rPr>
        <w:t>Ejemplo del uso de canales agregados en bloques</w:t>
      </w:r>
      <w:bookmarkEnd w:id="14"/>
    </w:p>
    <w:p w14:paraId="6A202D9B" w14:textId="07A74DBF" w:rsidR="00010135" w:rsidRPr="007B3BDB" w:rsidRDefault="008C65A4" w:rsidP="00010135">
      <w:pPr>
        <w:pStyle w:val="Figure"/>
        <w:rPr>
          <w:rFonts w:eastAsia="MS Mincho"/>
          <w:lang w:eastAsia="zh-CN"/>
        </w:rPr>
      </w:pPr>
      <w:r w:rsidRPr="007B3BDB">
        <w:rPr>
          <w:rFonts w:eastAsia="MS Mincho"/>
          <w:noProof/>
          <w:lang w:eastAsia="zh-CN"/>
        </w:rPr>
        <w:drawing>
          <wp:inline distT="0" distB="0" distL="0" distR="0" wp14:anchorId="385E4A71" wp14:editId="7A063E57">
            <wp:extent cx="5885727" cy="2680604"/>
            <wp:effectExtent l="0" t="0" r="1270" b="5715"/>
            <wp:docPr id="8" name="Picture 8" descr="La Figura 2 muestra un ejemplo del uso de canales agregados en bloqu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La Figura 2 muestra un ejemplo del uso de canales agregados en bloques&#10;"/>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04864" cy="2689320"/>
                    </a:xfrm>
                    <a:prstGeom prst="rect">
                      <a:avLst/>
                    </a:prstGeom>
                  </pic:spPr>
                </pic:pic>
              </a:graphicData>
            </a:graphic>
          </wp:inline>
        </w:drawing>
      </w:r>
    </w:p>
    <w:p w14:paraId="7DD52C1B" w14:textId="77777777" w:rsidR="00010135" w:rsidRPr="007B3BDB" w:rsidRDefault="00010135" w:rsidP="00010135">
      <w:pPr>
        <w:pStyle w:val="Headingb"/>
      </w:pPr>
      <w:bookmarkStart w:id="15" w:name="_Ref501109301"/>
      <w:r w:rsidRPr="007B3BDB">
        <w:t>Tamaño de bloque</w:t>
      </w:r>
    </w:p>
    <w:p w14:paraId="760A00D1" w14:textId="1EAFADE1" w:rsidR="00010135" w:rsidRPr="007B3BDB" w:rsidRDefault="00010135" w:rsidP="004D298F">
      <w:pPr>
        <w:rPr>
          <w:rFonts w:eastAsia="MS Mincho"/>
        </w:rPr>
      </w:pPr>
      <w:r w:rsidRPr="007B3BDB">
        <w:t xml:space="preserve">El tamaño de bloque debe ser un múltiplo entero del tamaño de canal básico de 250 MHz; en principio, no se indica límite superior para el tamaño de bloque, dentro de una subbanda específica. En el ejemplo de la </w:t>
      </w:r>
      <w:r w:rsidR="004D298F" w:rsidRPr="007B3BDB">
        <w:t>Fig</w:t>
      </w:r>
      <w:r w:rsidR="004D298F">
        <w:t>. </w:t>
      </w:r>
      <w:r w:rsidRPr="007B3BDB">
        <w:t>2, se considera un tamaño promedio de 2 000 MHz (8 canales básicos).</w:t>
      </w:r>
    </w:p>
    <w:p w14:paraId="78CE3940" w14:textId="286F7409" w:rsidR="00010135" w:rsidRPr="007B3BDB" w:rsidRDefault="00010135" w:rsidP="00010135">
      <w:pPr>
        <w:pStyle w:val="Headingb"/>
        <w:rPr>
          <w:rFonts w:eastAsia="MS Mincho"/>
        </w:rPr>
      </w:pPr>
      <w:r w:rsidRPr="007B3BDB">
        <w:t>Uso de los canales/bloques</w:t>
      </w:r>
    </w:p>
    <w:p w14:paraId="1A7738AD" w14:textId="54AE41E4" w:rsidR="00010135" w:rsidRPr="007B3BDB" w:rsidRDefault="00010135" w:rsidP="00010135">
      <w:pPr>
        <w:tabs>
          <w:tab w:val="clear" w:pos="794"/>
          <w:tab w:val="clear" w:pos="1191"/>
          <w:tab w:val="clear" w:pos="1588"/>
          <w:tab w:val="clear" w:pos="1985"/>
          <w:tab w:val="left" w:pos="1134"/>
          <w:tab w:val="left" w:pos="1871"/>
          <w:tab w:val="left" w:pos="2268"/>
        </w:tabs>
        <w:rPr>
          <w:rFonts w:eastAsia="MS Mincho"/>
        </w:rPr>
      </w:pPr>
      <w:r w:rsidRPr="007B3BDB">
        <w:t>Siempre que se respete el canal de 250</w:t>
      </w:r>
      <w:r w:rsidR="004D298F">
        <w:t> </w:t>
      </w:r>
      <w:r w:rsidRPr="007B3BDB">
        <w:t>MHz o sus agregaciones, los canales dentro del bloque o de los bloques pueden utilizarse libremente en bloques emparejados FDD convencionales, de manera que cada uno de los dos bloques se utilice para un solo sentido del enlace, con la posibilidad de utilizar canales de ida/retorno dentro del mismo bloque o bloques, por ejemplo, conmutando el bloque global entre los dos sentidos, como en TDD, o utilizando continuamente el bloque para ambos sentidos, como en el dúplex flexible por división de frecuencia (fFDD) y dúplex completo (FD).</w:t>
      </w:r>
    </w:p>
    <w:p w14:paraId="6AC5F207" w14:textId="77777777" w:rsidR="00010135" w:rsidRPr="007B3BDB" w:rsidRDefault="00010135" w:rsidP="00010135">
      <w:pPr>
        <w:tabs>
          <w:tab w:val="clear" w:pos="794"/>
          <w:tab w:val="clear" w:pos="1191"/>
          <w:tab w:val="clear" w:pos="1588"/>
          <w:tab w:val="clear" w:pos="1985"/>
          <w:tab w:val="left" w:pos="1134"/>
          <w:tab w:val="left" w:pos="1871"/>
          <w:tab w:val="left" w:pos="2268"/>
        </w:tabs>
        <w:rPr>
          <w:rFonts w:eastAsia="MS Mincho"/>
        </w:rPr>
      </w:pPr>
      <w:r w:rsidRPr="007B3BDB">
        <w:t>Dentro de cada bloque, se puede utilizar una combinación simétrica o asimétrica de canales para ida/retorno.</w:t>
      </w:r>
    </w:p>
    <w:p w14:paraId="46E2E4B0" w14:textId="1886E473" w:rsidR="00010135" w:rsidRPr="007B3BDB" w:rsidRDefault="00010135" w:rsidP="00010135">
      <w:pPr>
        <w:tabs>
          <w:tab w:val="clear" w:pos="794"/>
          <w:tab w:val="clear" w:pos="1191"/>
          <w:tab w:val="clear" w:pos="1588"/>
          <w:tab w:val="clear" w:pos="1985"/>
          <w:tab w:val="left" w:pos="1134"/>
          <w:tab w:val="left" w:pos="1871"/>
          <w:tab w:val="left" w:pos="2268"/>
        </w:tabs>
        <w:rPr>
          <w:rFonts w:eastAsia="MS Mincho"/>
        </w:rPr>
      </w:pPr>
      <w:r w:rsidRPr="007B3BDB">
        <w:t xml:space="preserve">Los bloques pueden utilizarse solos o por pares con una separación superior 15 GHz adecuada; por ejemplo, en el ejemplo de la </w:t>
      </w:r>
      <w:r w:rsidR="004D298F" w:rsidRPr="007B3BDB">
        <w:t>Fig</w:t>
      </w:r>
      <w:r w:rsidR="004D298F">
        <w:t>. </w:t>
      </w:r>
      <w:r w:rsidRPr="007B3BDB">
        <w:t>2, se empareja el bloque 2b con el bloque 4c (con separación dúplex de 15,5 GHz) o el bloque 2a con el bloque 2c (con separación dúplex de 22 GHz).</w:t>
      </w:r>
    </w:p>
    <w:p w14:paraId="096C0E61" w14:textId="65541CD4" w:rsidR="00010135" w:rsidRPr="007B3BDB" w:rsidRDefault="00010135" w:rsidP="00010135">
      <w:pPr>
        <w:tabs>
          <w:tab w:val="clear" w:pos="794"/>
          <w:tab w:val="clear" w:pos="1191"/>
          <w:tab w:val="clear" w:pos="1588"/>
          <w:tab w:val="clear" w:pos="1985"/>
          <w:tab w:val="left" w:pos="1134"/>
          <w:tab w:val="left" w:pos="1871"/>
          <w:tab w:val="left" w:pos="2268"/>
        </w:tabs>
        <w:rPr>
          <w:rFonts w:eastAsia="MS Mincho"/>
        </w:rPr>
      </w:pPr>
      <w:r w:rsidRPr="007B3BDB">
        <w:t xml:space="preserve">En las </w:t>
      </w:r>
      <w:r w:rsidR="004D298F" w:rsidRPr="007B3BDB">
        <w:t>Fig</w:t>
      </w:r>
      <w:r w:rsidR="004D298F">
        <w:t>s </w:t>
      </w:r>
      <w:r w:rsidRPr="007B3BDB">
        <w:t>3 y 4 se muestran ejemplos de coexistencia ida/retorno dentro del mismo bloque (o bloques) en fFDD para el caso simétrico/asimétrico, respectivamente.</w:t>
      </w:r>
    </w:p>
    <w:p w14:paraId="11705BEF" w14:textId="288A5B31" w:rsidR="00010135" w:rsidRPr="007B3BDB" w:rsidRDefault="00010135" w:rsidP="00010135">
      <w:pPr>
        <w:tabs>
          <w:tab w:val="clear" w:pos="794"/>
          <w:tab w:val="clear" w:pos="1191"/>
          <w:tab w:val="clear" w:pos="1588"/>
          <w:tab w:val="clear" w:pos="1985"/>
          <w:tab w:val="left" w:pos="1134"/>
          <w:tab w:val="left" w:pos="1871"/>
          <w:tab w:val="left" w:pos="2268"/>
        </w:tabs>
        <w:rPr>
          <w:rFonts w:eastAsia="MS Mincho"/>
        </w:rPr>
      </w:pPr>
      <w:r w:rsidRPr="007B3BDB">
        <w:t xml:space="preserve">En las </w:t>
      </w:r>
      <w:r w:rsidR="004D298F" w:rsidRPr="007B3BDB">
        <w:t>Fig</w:t>
      </w:r>
      <w:r w:rsidR="004D298F">
        <w:t>s </w:t>
      </w:r>
      <w:r w:rsidRPr="007B3BDB">
        <w:t>5 y 6 se muestran ejemplos de uso de FDD convencional para el caso simétrico/asimétrico, respectivamente.</w:t>
      </w:r>
    </w:p>
    <w:p w14:paraId="1E83983F" w14:textId="77777777" w:rsidR="00010135" w:rsidRPr="007B3BDB" w:rsidRDefault="00010135" w:rsidP="00010135">
      <w:pPr>
        <w:pStyle w:val="FigureNo"/>
        <w:rPr>
          <w:rFonts w:eastAsia="MS Mincho"/>
        </w:rPr>
      </w:pPr>
      <w:r w:rsidRPr="007B3BDB">
        <w:rPr>
          <w:rFonts w:eastAsia="MS Mincho"/>
        </w:rPr>
        <w:lastRenderedPageBreak/>
        <w:t>FIGURA 3</w:t>
      </w:r>
    </w:p>
    <w:bookmarkEnd w:id="15"/>
    <w:p w14:paraId="39747A1C" w14:textId="77777777" w:rsidR="00010135" w:rsidRPr="007B3BDB" w:rsidRDefault="00010135" w:rsidP="00010135">
      <w:pPr>
        <w:pStyle w:val="Figuretitle"/>
        <w:rPr>
          <w:rFonts w:eastAsia="MS Mincho"/>
        </w:rPr>
      </w:pPr>
      <w:r w:rsidRPr="007B3BDB">
        <w:rPr>
          <w:rFonts w:eastAsia="MS Mincho"/>
        </w:rPr>
        <w:t>Ejemplos de uso de fFDD en bloque para tamaños de canal de ida y vuelta simétricos</w:t>
      </w:r>
    </w:p>
    <w:p w14:paraId="447D5A1D" w14:textId="5E9EDB41" w:rsidR="00010135" w:rsidRPr="007B3BDB" w:rsidRDefault="00AC37E3" w:rsidP="00010135">
      <w:pPr>
        <w:pStyle w:val="Figure"/>
        <w:rPr>
          <w:rFonts w:eastAsia="MS Mincho"/>
          <w:lang w:eastAsia="zh-CN"/>
        </w:rPr>
      </w:pPr>
      <w:r w:rsidRPr="007B3BDB">
        <w:rPr>
          <w:rFonts w:eastAsia="MS Mincho"/>
          <w:noProof/>
          <w:lang w:eastAsia="zh-CN"/>
        </w:rPr>
        <w:drawing>
          <wp:inline distT="0" distB="0" distL="0" distR="0" wp14:anchorId="0F4E470D" wp14:editId="28A22E80">
            <wp:extent cx="6120765" cy="1524635"/>
            <wp:effectExtent l="0" t="0" r="0" b="0"/>
            <wp:docPr id="14" name="Picture 14" descr="La Figura 3 muestra ejemplos de uso de fFDD en bloque para tamaños de canal de ida y vuelta simétric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La Figura 3 muestra ejemplos de uso de fFDD en bloque para tamaños de canal de ida y vuelta simétricos"/>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120765" cy="1524635"/>
                    </a:xfrm>
                    <a:prstGeom prst="rect">
                      <a:avLst/>
                    </a:prstGeom>
                  </pic:spPr>
                </pic:pic>
              </a:graphicData>
            </a:graphic>
          </wp:inline>
        </w:drawing>
      </w:r>
    </w:p>
    <w:p w14:paraId="30CCF730" w14:textId="77777777" w:rsidR="00010135" w:rsidRPr="007B3BDB" w:rsidRDefault="00010135" w:rsidP="00010135">
      <w:pPr>
        <w:pStyle w:val="FigureNo"/>
        <w:rPr>
          <w:rFonts w:eastAsia="MS Mincho"/>
        </w:rPr>
      </w:pPr>
      <w:bookmarkStart w:id="16" w:name="_Ref501109313"/>
      <w:r w:rsidRPr="007B3BDB">
        <w:rPr>
          <w:rFonts w:eastAsia="MS Mincho"/>
        </w:rPr>
        <w:t>FIGURA 4</w:t>
      </w:r>
    </w:p>
    <w:bookmarkEnd w:id="16"/>
    <w:p w14:paraId="4233B5A5" w14:textId="77777777" w:rsidR="00010135" w:rsidRPr="007B3BDB" w:rsidRDefault="00010135" w:rsidP="00010135">
      <w:pPr>
        <w:pStyle w:val="Figuretitle"/>
        <w:rPr>
          <w:rFonts w:eastAsia="MS Mincho"/>
        </w:rPr>
      </w:pPr>
      <w:r w:rsidRPr="007B3BDB">
        <w:rPr>
          <w:rFonts w:eastAsia="MS Mincho"/>
        </w:rPr>
        <w:t>Ejemplos de uso de fFDD en bloque para tamaños de canal de ida y vuelta asimétricos</w:t>
      </w:r>
    </w:p>
    <w:p w14:paraId="4FD8BD5E" w14:textId="3884D0F3" w:rsidR="00010135" w:rsidRPr="007B3BDB" w:rsidRDefault="00025391" w:rsidP="0048147C">
      <w:pPr>
        <w:pStyle w:val="Figure"/>
        <w:rPr>
          <w:rFonts w:eastAsia="MS Mincho"/>
          <w:lang w:eastAsia="zh-CN"/>
        </w:rPr>
      </w:pPr>
      <w:r w:rsidRPr="007B3BDB">
        <w:rPr>
          <w:rFonts w:eastAsia="MS Mincho"/>
          <w:noProof/>
          <w:lang w:eastAsia="zh-CN"/>
        </w:rPr>
        <w:drawing>
          <wp:inline distT="0" distB="0" distL="0" distR="0" wp14:anchorId="5A50D90F" wp14:editId="68AA1CF9">
            <wp:extent cx="3483871" cy="1795276"/>
            <wp:effectExtent l="0" t="0" r="2540" b="0"/>
            <wp:docPr id="16" name="Picture 16" descr="La Figura 4 muestra ejemplos de uso de fFDD en bloque para tamaños de canal de ida y vuelta asimétric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La Figura 4 muestra ejemplos de uso de fFDD en bloque para tamaños de canal de ida y vuelta asimétricos"/>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483871" cy="1795276"/>
                    </a:xfrm>
                    <a:prstGeom prst="rect">
                      <a:avLst/>
                    </a:prstGeom>
                  </pic:spPr>
                </pic:pic>
              </a:graphicData>
            </a:graphic>
          </wp:inline>
        </w:drawing>
      </w:r>
    </w:p>
    <w:p w14:paraId="48E5964A" w14:textId="77777777" w:rsidR="00010135" w:rsidRPr="007B3BDB" w:rsidRDefault="00010135" w:rsidP="00010135">
      <w:pPr>
        <w:pStyle w:val="FigureNo"/>
        <w:rPr>
          <w:rFonts w:eastAsia="MS Mincho"/>
        </w:rPr>
      </w:pPr>
      <w:bookmarkStart w:id="17" w:name="_Ref501109329"/>
      <w:r w:rsidRPr="007B3BDB">
        <w:rPr>
          <w:rFonts w:eastAsia="MS Mincho"/>
        </w:rPr>
        <w:t>FIGURA 5</w:t>
      </w:r>
    </w:p>
    <w:bookmarkEnd w:id="17"/>
    <w:p w14:paraId="2AC3783D" w14:textId="77777777" w:rsidR="00010135" w:rsidRPr="007B3BDB" w:rsidRDefault="00010135" w:rsidP="00010135">
      <w:pPr>
        <w:pStyle w:val="Figuretitle"/>
        <w:rPr>
          <w:rFonts w:eastAsia="MS Mincho"/>
        </w:rPr>
      </w:pPr>
      <w:r w:rsidRPr="007B3BDB">
        <w:rPr>
          <w:rFonts w:eastAsia="MS Mincho"/>
        </w:rPr>
        <w:t>Ejemplo de uso de FDD en bloques emparejados para tamaños de canal de ida y vuelta simétricos</w:t>
      </w:r>
    </w:p>
    <w:p w14:paraId="27E89075" w14:textId="7D8FB9A5" w:rsidR="00010135" w:rsidRPr="007B3BDB" w:rsidRDefault="00025391" w:rsidP="00010135">
      <w:pPr>
        <w:pStyle w:val="Figure"/>
        <w:rPr>
          <w:rFonts w:eastAsia="MS Mincho"/>
          <w:lang w:eastAsia="zh-CN"/>
        </w:rPr>
      </w:pPr>
      <w:r w:rsidRPr="007B3BDB">
        <w:rPr>
          <w:rFonts w:eastAsia="MS Mincho"/>
          <w:noProof/>
          <w:lang w:eastAsia="zh-CN"/>
        </w:rPr>
        <w:drawing>
          <wp:inline distT="0" distB="0" distL="0" distR="0" wp14:anchorId="0DD1FC56" wp14:editId="5068CC49">
            <wp:extent cx="4675642" cy="1975108"/>
            <wp:effectExtent l="0" t="0" r="0" b="6350"/>
            <wp:docPr id="15" name="Picture 15" descr="La Figura 5 muestra ejemplos de uso de FDD en bloques emparejados para tamaños de canal de ida y vuelta simétric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La Figura 5 muestra ejemplos de uso de FDD en bloques emparejados para tamaños de canal de ida y vuelta simétricos"/>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675642" cy="1975108"/>
                    </a:xfrm>
                    <a:prstGeom prst="rect">
                      <a:avLst/>
                    </a:prstGeom>
                  </pic:spPr>
                </pic:pic>
              </a:graphicData>
            </a:graphic>
          </wp:inline>
        </w:drawing>
      </w:r>
    </w:p>
    <w:p w14:paraId="6BD5B6F6" w14:textId="77777777" w:rsidR="00010135" w:rsidRPr="007B3BDB" w:rsidRDefault="00010135" w:rsidP="00010135">
      <w:pPr>
        <w:pStyle w:val="FigureNo"/>
        <w:rPr>
          <w:rFonts w:eastAsia="MS Mincho"/>
        </w:rPr>
      </w:pPr>
      <w:bookmarkStart w:id="18" w:name="_Ref501109358"/>
      <w:r w:rsidRPr="007B3BDB">
        <w:rPr>
          <w:rFonts w:eastAsia="MS Mincho"/>
        </w:rPr>
        <w:lastRenderedPageBreak/>
        <w:t>FIGURA 6</w:t>
      </w:r>
    </w:p>
    <w:p w14:paraId="00D8FA9A" w14:textId="77777777" w:rsidR="00010135" w:rsidRPr="007B3BDB" w:rsidRDefault="00010135" w:rsidP="00010135">
      <w:pPr>
        <w:pStyle w:val="Figuretitle"/>
        <w:rPr>
          <w:rFonts w:eastAsia="MS Mincho"/>
        </w:rPr>
      </w:pPr>
      <w:r w:rsidRPr="007B3BDB">
        <w:rPr>
          <w:rFonts w:eastAsia="MS Mincho"/>
        </w:rPr>
        <w:t>Ejemplo de uso de FDD en bloques emparejados para tamaños de canal de ida y vuelta asimétricos</w:t>
      </w:r>
    </w:p>
    <w:p w14:paraId="1F12838B" w14:textId="2056716D" w:rsidR="00010135" w:rsidRPr="007B3BDB" w:rsidRDefault="00FF6B10" w:rsidP="00010135">
      <w:pPr>
        <w:pStyle w:val="Figure"/>
        <w:rPr>
          <w:rFonts w:eastAsia="MS Mincho"/>
          <w:lang w:eastAsia="zh-CN"/>
        </w:rPr>
      </w:pPr>
      <w:r w:rsidRPr="007B3BDB">
        <w:rPr>
          <w:rFonts w:eastAsia="MS Mincho"/>
          <w:noProof/>
          <w:lang w:eastAsia="zh-CN"/>
        </w:rPr>
        <w:drawing>
          <wp:inline distT="0" distB="0" distL="0" distR="0" wp14:anchorId="2D335E30" wp14:editId="48A221A4">
            <wp:extent cx="4501905" cy="2142748"/>
            <wp:effectExtent l="0" t="0" r="0" b="0"/>
            <wp:docPr id="17" name="Picture 17" descr="La Figura 6 muestra ejemplos de uso de FDD en bloques emparejados para tamaños de canal de ida y vuelta asimétric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La Figura 6 muestra ejemplos de uso de FDD en bloques emparejados para tamaños de canal de ida y vuelta asimétricos"/>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501905" cy="2142748"/>
                    </a:xfrm>
                    <a:prstGeom prst="rect">
                      <a:avLst/>
                    </a:prstGeom>
                  </pic:spPr>
                </pic:pic>
              </a:graphicData>
            </a:graphic>
          </wp:inline>
        </w:drawing>
      </w:r>
    </w:p>
    <w:p w14:paraId="2C469A55" w14:textId="77777777" w:rsidR="004D298F" w:rsidRDefault="004D298F" w:rsidP="004D298F">
      <w:pPr>
        <w:rPr>
          <w:rFonts w:eastAsia="MS Mincho"/>
          <w:lang w:eastAsia="zh-CN"/>
        </w:rPr>
      </w:pPr>
    </w:p>
    <w:p w14:paraId="05BF7037" w14:textId="77777777" w:rsidR="004D298F" w:rsidRDefault="004D298F" w:rsidP="004D298F">
      <w:pPr>
        <w:rPr>
          <w:rFonts w:eastAsia="MS Mincho"/>
          <w:lang w:eastAsia="zh-CN"/>
        </w:rPr>
      </w:pPr>
    </w:p>
    <w:bookmarkEnd w:id="18"/>
    <w:p w14:paraId="41F70219" w14:textId="77777777" w:rsidR="00010135" w:rsidRPr="007B3BDB" w:rsidRDefault="00010135" w:rsidP="00010135">
      <w:pPr>
        <w:pStyle w:val="AnnexNoTitle"/>
      </w:pPr>
      <w:r w:rsidRPr="007B3BDB">
        <w:t>Anexo 3</w:t>
      </w:r>
      <w:r w:rsidRPr="007B3BDB">
        <w:br/>
      </w:r>
      <w:r w:rsidRPr="007B3BDB">
        <w:br/>
      </w:r>
      <w:r w:rsidRPr="007B3BDB">
        <w:rPr>
          <w:bCs/>
        </w:rPr>
        <w:t>Posible ejemplo de disposición de canales para uso FDD</w:t>
      </w:r>
      <w:r w:rsidRPr="007B3BDB">
        <w:rPr>
          <w:bCs/>
        </w:rPr>
        <w:br/>
        <w:t>en la banda de RF</w:t>
      </w:r>
      <w:r w:rsidRPr="007B3BDB">
        <w:t xml:space="preserve"> 130-174.8 GHz</w:t>
      </w:r>
    </w:p>
    <w:bookmarkEnd w:id="13"/>
    <w:p w14:paraId="3C185BA7" w14:textId="4243279D" w:rsidR="00010135" w:rsidRPr="007B3BDB" w:rsidRDefault="00010135" w:rsidP="00010135">
      <w:pPr>
        <w:pStyle w:val="Normalaftertitle"/>
        <w:rPr>
          <w:rFonts w:eastAsia="MS Mincho"/>
        </w:rPr>
      </w:pPr>
      <w:r w:rsidRPr="007B3BDB">
        <w:t xml:space="preserve">En la </w:t>
      </w:r>
      <w:r w:rsidR="004D298F" w:rsidRPr="007B3BDB">
        <w:t>Fig</w:t>
      </w:r>
      <w:r w:rsidR="004D298F">
        <w:t>. </w:t>
      </w:r>
      <w:r w:rsidRPr="007B3BDB">
        <w:t>7 se presenta un ejemplo de disposición de canales para uso FDD, conforme con la separación dúplex recomendada superior a 15 GHz. Debido al acoplamiento peculiar de las cuatro subbandas disponibles, partes grandes de la banda que deben quedar desemparejadas; en este ejemplo, la subbanda superior D se mantiene totalmente desemparejada. Sin embargo, pueden preverse otras soluciones.</w:t>
      </w:r>
    </w:p>
    <w:p w14:paraId="0D80DA4E" w14:textId="77777777" w:rsidR="00010135" w:rsidRPr="007B3BDB" w:rsidRDefault="00010135" w:rsidP="00010135">
      <w:pPr>
        <w:tabs>
          <w:tab w:val="clear" w:pos="794"/>
          <w:tab w:val="clear" w:pos="1191"/>
          <w:tab w:val="clear" w:pos="1588"/>
          <w:tab w:val="clear" w:pos="1985"/>
          <w:tab w:val="left" w:pos="1134"/>
          <w:tab w:val="left" w:pos="1871"/>
          <w:tab w:val="left" w:pos="2268"/>
        </w:tabs>
        <w:rPr>
          <w:rFonts w:eastAsia="MS Mincho"/>
        </w:rPr>
      </w:pPr>
      <w:r w:rsidRPr="007B3BDB">
        <w:t>Los canales desemparejados aún podrían agregarse en bloques no emparejados para uso TDD, FD o fFDD.</w:t>
      </w:r>
    </w:p>
    <w:p w14:paraId="2343A480" w14:textId="77777777" w:rsidR="00010135" w:rsidRPr="007B3BDB" w:rsidRDefault="00010135" w:rsidP="00010135">
      <w:pPr>
        <w:pStyle w:val="FigureNo"/>
        <w:rPr>
          <w:rFonts w:eastAsia="MS Mincho"/>
        </w:rPr>
      </w:pPr>
      <w:bookmarkStart w:id="19" w:name="_Ref501109406"/>
      <w:r w:rsidRPr="007B3BDB">
        <w:lastRenderedPageBreak/>
        <w:t>FIGURA 7</w:t>
      </w:r>
    </w:p>
    <w:p w14:paraId="750A84E2" w14:textId="77777777" w:rsidR="00010135" w:rsidRPr="007B3BDB" w:rsidRDefault="00010135" w:rsidP="00010135">
      <w:pPr>
        <w:pStyle w:val="Figuretitle"/>
        <w:rPr>
          <w:rFonts w:eastAsia="MS Mincho"/>
        </w:rPr>
      </w:pPr>
      <w:r w:rsidRPr="007B3BDB">
        <w:rPr>
          <w:bCs/>
        </w:rPr>
        <w:t>Ejemplo de uso de canales FDD en la banda 130-174,8 GHz</w:t>
      </w:r>
    </w:p>
    <w:bookmarkEnd w:id="19"/>
    <w:p w14:paraId="2F98CFC2" w14:textId="705E333B" w:rsidR="00010135" w:rsidRPr="007B3BDB" w:rsidRDefault="00A279F0" w:rsidP="00F4355D">
      <w:pPr>
        <w:pStyle w:val="Figure"/>
        <w:rPr>
          <w:rFonts w:eastAsia="MS Mincho"/>
          <w:lang w:eastAsia="zh-CN"/>
        </w:rPr>
      </w:pPr>
      <w:r w:rsidRPr="007B3BDB">
        <w:rPr>
          <w:rFonts w:eastAsia="MS Mincho"/>
          <w:noProof/>
          <w:lang w:eastAsia="zh-CN"/>
        </w:rPr>
        <w:drawing>
          <wp:inline distT="0" distB="0" distL="0" distR="0" wp14:anchorId="68E03F63" wp14:editId="6E9433D7">
            <wp:extent cx="6120765" cy="2900680"/>
            <wp:effectExtent l="0" t="0" r="0" b="0"/>
            <wp:docPr id="18" name="Picture 18" descr="La Figura 7 muestra un ejemplo de uso de canales FDD en la banda 130-174,8 GH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La Figura 7 muestra un ejemplo de uso de canales FDD en la banda 130-174,8 GHz"/>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120765" cy="2900680"/>
                    </a:xfrm>
                    <a:prstGeom prst="rect">
                      <a:avLst/>
                    </a:prstGeom>
                  </pic:spPr>
                </pic:pic>
              </a:graphicData>
            </a:graphic>
          </wp:inline>
        </w:drawing>
      </w:r>
    </w:p>
    <w:p w14:paraId="50F011B4" w14:textId="3F630758" w:rsidR="00010135" w:rsidRPr="007B3BDB" w:rsidRDefault="00010135" w:rsidP="004D298F">
      <w:pPr>
        <w:pStyle w:val="Normalaftertitle"/>
        <w:rPr>
          <w:rFonts w:eastAsia="MS Mincho"/>
        </w:rPr>
      </w:pPr>
      <w:r w:rsidRPr="007B3BDB">
        <w:t xml:space="preserve">Los canales de ida/retorno se subdividen en dos conjuntos (A, B) y dos conjuntos no emparejados (UL y UH), como se muestra en la </w:t>
      </w:r>
      <w:r w:rsidR="004D298F" w:rsidRPr="007B3BDB">
        <w:t>Fig</w:t>
      </w:r>
      <w:r w:rsidR="004D298F">
        <w:t>. </w:t>
      </w:r>
      <w:r w:rsidRPr="007B3BDB">
        <w:t>7. Las frecuencias centrales pueden obtenerse mediante las siguientes fórmulas.</w:t>
      </w:r>
    </w:p>
    <w:p w14:paraId="24E40A1F" w14:textId="1898A384" w:rsidR="00010135" w:rsidRPr="007B3BDB" w:rsidRDefault="00010135" w:rsidP="00010135">
      <w:pPr>
        <w:pStyle w:val="Headingb"/>
        <w:rPr>
          <w:rFonts w:eastAsia="MS Mincho"/>
        </w:rPr>
      </w:pPr>
      <w:r w:rsidRPr="007B3BDB">
        <w:t xml:space="preserve">Frecuencias centrales de los canales con sufijo A en la </w:t>
      </w:r>
      <w:r w:rsidR="004D298F" w:rsidRPr="007B3BDB">
        <w:t>Fig</w:t>
      </w:r>
      <w:r w:rsidR="004D298F">
        <w:t>. </w:t>
      </w:r>
      <w:r w:rsidRPr="007B3BDB">
        <w:t>7</w:t>
      </w:r>
    </w:p>
    <w:p w14:paraId="5B651808" w14:textId="77777777" w:rsidR="00010135" w:rsidRPr="007B3BDB" w:rsidRDefault="00010135" w:rsidP="00010135">
      <w:pPr>
        <w:rPr>
          <w:rFonts w:eastAsia="MS Mincho"/>
        </w:rPr>
      </w:pPr>
      <w:r w:rsidRPr="007B3BDB">
        <w:rPr>
          <w:rFonts w:eastAsia="MS Mincho"/>
        </w:rPr>
        <w:t>Separación de dúplex (DS): 21,5 GHz</w:t>
      </w:r>
    </w:p>
    <w:p w14:paraId="5057E3C4" w14:textId="77777777" w:rsidR="00010135" w:rsidRPr="007B3BDB" w:rsidRDefault="00010135" w:rsidP="00010135">
      <w:pPr>
        <w:tabs>
          <w:tab w:val="clear" w:pos="794"/>
          <w:tab w:val="clear" w:pos="1191"/>
          <w:tab w:val="clear" w:pos="1588"/>
          <w:tab w:val="clear" w:pos="1985"/>
          <w:tab w:val="left" w:pos="567"/>
          <w:tab w:val="left" w:pos="1134"/>
          <w:tab w:val="left" w:pos="1871"/>
          <w:tab w:val="left" w:pos="2608"/>
          <w:tab w:val="left" w:pos="3345"/>
        </w:tabs>
        <w:spacing w:before="80"/>
        <w:ind w:left="1134" w:hanging="1134"/>
        <w:jc w:val="left"/>
        <w:rPr>
          <w:rFonts w:eastAsia="MS Mincho"/>
        </w:rPr>
      </w:pPr>
      <w:r w:rsidRPr="007B3BDB">
        <w:rPr>
          <w:rFonts w:eastAsia="MS Mincho"/>
        </w:rPr>
        <w:tab/>
      </w:r>
      <w:r w:rsidRPr="007B3BDB">
        <w:rPr>
          <w:rFonts w:eastAsia="MS Mincho"/>
          <w:i/>
          <w:iCs/>
        </w:rPr>
        <w:t>FA</w:t>
      </w:r>
      <w:r w:rsidRPr="007B3BDB">
        <w:rPr>
          <w:rFonts w:eastAsia="MS Mincho"/>
          <w:i/>
          <w:iCs/>
          <w:vertAlign w:val="subscript"/>
        </w:rPr>
        <w:t>N</w:t>
      </w:r>
      <w:r w:rsidRPr="007B3BDB">
        <w:rPr>
          <w:rFonts w:eastAsia="MS Mincho"/>
        </w:rPr>
        <w:t xml:space="preserve"> = 130 + </w:t>
      </w:r>
      <w:r w:rsidRPr="007B3BDB">
        <w:rPr>
          <w:rFonts w:eastAsia="MS Mincho"/>
          <w:i/>
          <w:iCs/>
        </w:rPr>
        <w:t>N</w:t>
      </w:r>
      <w:r w:rsidRPr="007B3BDB">
        <w:rPr>
          <w:rFonts w:eastAsia="MS Mincho"/>
        </w:rPr>
        <w:t> × 0,250</w:t>
      </w:r>
      <w:r w:rsidRPr="007B3BDB">
        <w:rPr>
          <w:rFonts w:eastAsia="MS Mincho"/>
        </w:rPr>
        <w:tab/>
      </w:r>
      <w:r w:rsidRPr="007B3BDB">
        <w:rPr>
          <w:rFonts w:eastAsia="MS Mincho"/>
        </w:rPr>
        <w:tab/>
      </w:r>
      <w:r w:rsidRPr="007B3BDB">
        <w:rPr>
          <w:rFonts w:eastAsia="MS Mincho"/>
        </w:rPr>
        <w:tab/>
      </w:r>
      <w:r w:rsidRPr="007B3BDB">
        <w:rPr>
          <w:rFonts w:eastAsia="MS Mincho"/>
          <w:i/>
          <w:iCs/>
        </w:rPr>
        <w:t>N</w:t>
      </w:r>
      <w:r w:rsidRPr="007B3BDB">
        <w:rPr>
          <w:rFonts w:eastAsia="MS Mincho"/>
        </w:rPr>
        <w:t>: 1 a 15 (canales en la subbanda 130-134 GHz)</w:t>
      </w:r>
    </w:p>
    <w:p w14:paraId="56C9AF84" w14:textId="77777777" w:rsidR="00010135" w:rsidRPr="007B3BDB" w:rsidRDefault="00010135" w:rsidP="00010135">
      <w:pPr>
        <w:tabs>
          <w:tab w:val="clear" w:pos="794"/>
          <w:tab w:val="clear" w:pos="1191"/>
          <w:tab w:val="clear" w:pos="1588"/>
          <w:tab w:val="clear" w:pos="1985"/>
          <w:tab w:val="left" w:pos="567"/>
          <w:tab w:val="left" w:pos="1134"/>
          <w:tab w:val="left" w:pos="1871"/>
          <w:tab w:val="left" w:pos="2608"/>
          <w:tab w:val="left" w:pos="3345"/>
        </w:tabs>
        <w:spacing w:before="80"/>
        <w:ind w:left="1134" w:hanging="1134"/>
        <w:jc w:val="left"/>
        <w:rPr>
          <w:rFonts w:eastAsia="MS Mincho"/>
        </w:rPr>
      </w:pPr>
      <w:r w:rsidRPr="007B3BDB">
        <w:rPr>
          <w:rFonts w:eastAsia="MS Mincho"/>
        </w:rPr>
        <w:tab/>
      </w:r>
      <w:r w:rsidRPr="007B3BDB">
        <w:rPr>
          <w:rFonts w:eastAsia="MS Mincho"/>
          <w:i/>
          <w:iCs/>
        </w:rPr>
        <w:t>F’A</w:t>
      </w:r>
      <w:r w:rsidRPr="007B3BDB">
        <w:rPr>
          <w:rFonts w:eastAsia="MS Mincho"/>
          <w:i/>
          <w:iCs/>
          <w:vertAlign w:val="subscript"/>
        </w:rPr>
        <w:t>N</w:t>
      </w:r>
      <w:r w:rsidRPr="007B3BDB">
        <w:rPr>
          <w:rFonts w:eastAsia="MS Mincho"/>
        </w:rPr>
        <w:t xml:space="preserve"> = 151,5 + </w:t>
      </w:r>
      <w:r w:rsidRPr="007B3BDB">
        <w:rPr>
          <w:rFonts w:eastAsia="MS Mincho"/>
          <w:i/>
          <w:iCs/>
        </w:rPr>
        <w:t>N</w:t>
      </w:r>
      <w:r w:rsidRPr="007B3BDB">
        <w:rPr>
          <w:rFonts w:eastAsia="MS Mincho"/>
        </w:rPr>
        <w:t xml:space="preserve"> × 0,250 GHz </w:t>
      </w:r>
      <w:r w:rsidRPr="007B3BDB">
        <w:rPr>
          <w:rFonts w:eastAsia="MS Mincho"/>
        </w:rPr>
        <w:tab/>
      </w:r>
      <w:r w:rsidRPr="007B3BDB">
        <w:rPr>
          <w:rFonts w:eastAsia="MS Mincho"/>
          <w:i/>
          <w:iCs/>
        </w:rPr>
        <w:t>N</w:t>
      </w:r>
      <w:r w:rsidRPr="007B3BDB">
        <w:rPr>
          <w:rFonts w:eastAsia="MS Mincho"/>
        </w:rPr>
        <w:t>: 1 a 15 (canales en la subbanda 151,5-164 GHz)</w:t>
      </w:r>
    </w:p>
    <w:p w14:paraId="125F4894" w14:textId="3D52D0D6" w:rsidR="00010135" w:rsidRPr="007B3BDB" w:rsidRDefault="00010135" w:rsidP="00010135">
      <w:pPr>
        <w:pStyle w:val="Headingb"/>
        <w:rPr>
          <w:rFonts w:eastAsia="MS Mincho"/>
          <w:lang w:eastAsia="zh-CN"/>
        </w:rPr>
      </w:pPr>
      <w:r w:rsidRPr="007B3BDB">
        <w:t xml:space="preserve">Frecuencias centrales de los canales con sufijo B en la </w:t>
      </w:r>
      <w:r w:rsidR="004D298F" w:rsidRPr="007B3BDB">
        <w:t>Fig</w:t>
      </w:r>
      <w:r w:rsidR="004D298F">
        <w:t>. </w:t>
      </w:r>
      <w:r w:rsidRPr="007B3BDB">
        <w:t>7</w:t>
      </w:r>
    </w:p>
    <w:p w14:paraId="6C6FFF46" w14:textId="77777777" w:rsidR="00010135" w:rsidRPr="007B3BDB" w:rsidRDefault="00010135" w:rsidP="00010135">
      <w:pPr>
        <w:rPr>
          <w:rFonts w:eastAsia="MS Mincho"/>
        </w:rPr>
      </w:pPr>
      <w:r w:rsidRPr="007B3BDB">
        <w:rPr>
          <w:rFonts w:eastAsia="MS Mincho"/>
        </w:rPr>
        <w:t>Separación de dúplex (DS): 15,5 GHz</w:t>
      </w:r>
    </w:p>
    <w:p w14:paraId="1FA11266" w14:textId="77777777" w:rsidR="00010135" w:rsidRPr="007B3BDB" w:rsidRDefault="00010135" w:rsidP="00010135">
      <w:pPr>
        <w:tabs>
          <w:tab w:val="clear" w:pos="794"/>
          <w:tab w:val="clear" w:pos="1191"/>
          <w:tab w:val="clear" w:pos="1588"/>
          <w:tab w:val="clear" w:pos="1985"/>
          <w:tab w:val="left" w:pos="567"/>
          <w:tab w:val="left" w:pos="1134"/>
          <w:tab w:val="left" w:pos="1871"/>
          <w:tab w:val="left" w:pos="2608"/>
          <w:tab w:val="left" w:pos="3345"/>
        </w:tabs>
        <w:spacing w:before="80"/>
        <w:ind w:left="1134" w:hanging="1134"/>
        <w:jc w:val="left"/>
        <w:rPr>
          <w:rFonts w:eastAsia="MS Mincho"/>
          <w:spacing w:val="-2"/>
        </w:rPr>
      </w:pPr>
      <w:r w:rsidRPr="007B3BDB">
        <w:rPr>
          <w:rFonts w:eastAsia="MS Mincho"/>
          <w:spacing w:val="-2"/>
        </w:rPr>
        <w:tab/>
      </w:r>
      <w:r w:rsidRPr="007B3BDB">
        <w:rPr>
          <w:rFonts w:eastAsia="MS Mincho"/>
          <w:i/>
          <w:iCs/>
          <w:spacing w:val="-2"/>
        </w:rPr>
        <w:t>FB</w:t>
      </w:r>
      <w:r w:rsidRPr="007B3BDB">
        <w:rPr>
          <w:rFonts w:eastAsia="MS Mincho"/>
          <w:i/>
          <w:iCs/>
          <w:spacing w:val="-2"/>
          <w:vertAlign w:val="subscript"/>
        </w:rPr>
        <w:t>N</w:t>
      </w:r>
      <w:r w:rsidRPr="007B3BDB">
        <w:rPr>
          <w:rFonts w:eastAsia="MS Mincho"/>
          <w:spacing w:val="-2"/>
        </w:rPr>
        <w:t xml:space="preserve"> = 141 + </w:t>
      </w:r>
      <w:r w:rsidRPr="007B3BDB">
        <w:rPr>
          <w:rFonts w:eastAsia="MS Mincho"/>
          <w:i/>
          <w:iCs/>
          <w:spacing w:val="-2"/>
        </w:rPr>
        <w:t>N</w:t>
      </w:r>
      <w:r w:rsidRPr="007B3BDB">
        <w:rPr>
          <w:rFonts w:eastAsia="MS Mincho"/>
          <w:spacing w:val="-2"/>
        </w:rPr>
        <w:t> × 0,250 GHz</w:t>
      </w:r>
      <w:r w:rsidRPr="007B3BDB">
        <w:rPr>
          <w:rFonts w:eastAsia="MS Mincho"/>
          <w:spacing w:val="-2"/>
        </w:rPr>
        <w:tab/>
      </w:r>
      <w:r w:rsidRPr="007B3BDB">
        <w:rPr>
          <w:rFonts w:eastAsia="MS Mincho"/>
          <w:spacing w:val="-2"/>
        </w:rPr>
        <w:tab/>
      </w:r>
      <w:r w:rsidRPr="007B3BDB">
        <w:rPr>
          <w:rFonts w:eastAsia="MS Mincho"/>
          <w:spacing w:val="-2"/>
        </w:rPr>
        <w:tab/>
      </w:r>
      <w:r w:rsidRPr="007B3BDB">
        <w:rPr>
          <w:rFonts w:eastAsia="MS Mincho"/>
          <w:i/>
          <w:iCs/>
          <w:spacing w:val="-2"/>
        </w:rPr>
        <w:t>N</w:t>
      </w:r>
      <w:r w:rsidRPr="007B3BDB">
        <w:rPr>
          <w:rFonts w:eastAsia="MS Mincho"/>
          <w:spacing w:val="-2"/>
        </w:rPr>
        <w:t>: 1 a 29 (</w:t>
      </w:r>
      <w:r w:rsidRPr="007B3BDB">
        <w:rPr>
          <w:rFonts w:eastAsia="MS Mincho"/>
        </w:rPr>
        <w:t xml:space="preserve">canales en la subbanda </w:t>
      </w:r>
      <w:r w:rsidRPr="007B3BDB">
        <w:rPr>
          <w:rFonts w:eastAsia="MS Mincho"/>
          <w:spacing w:val="-2"/>
        </w:rPr>
        <w:t>141</w:t>
      </w:r>
      <w:r w:rsidRPr="007B3BDB">
        <w:rPr>
          <w:rFonts w:eastAsia="MS Mincho"/>
          <w:spacing w:val="-2"/>
        </w:rPr>
        <w:noBreakHyphen/>
        <w:t>148,5 GHz)</w:t>
      </w:r>
    </w:p>
    <w:p w14:paraId="014B912D" w14:textId="77777777" w:rsidR="00010135" w:rsidRPr="007B3BDB" w:rsidRDefault="00010135" w:rsidP="00010135">
      <w:pPr>
        <w:tabs>
          <w:tab w:val="clear" w:pos="794"/>
          <w:tab w:val="clear" w:pos="1191"/>
          <w:tab w:val="clear" w:pos="1588"/>
          <w:tab w:val="clear" w:pos="1985"/>
          <w:tab w:val="left" w:pos="567"/>
          <w:tab w:val="left" w:pos="1134"/>
          <w:tab w:val="left" w:pos="1871"/>
          <w:tab w:val="left" w:pos="2608"/>
          <w:tab w:val="left" w:pos="3345"/>
        </w:tabs>
        <w:spacing w:before="80"/>
        <w:ind w:left="1134" w:hanging="1134"/>
        <w:jc w:val="left"/>
        <w:rPr>
          <w:rFonts w:eastAsia="MS Mincho"/>
        </w:rPr>
      </w:pPr>
      <w:r w:rsidRPr="007B3BDB">
        <w:rPr>
          <w:rFonts w:eastAsia="MS Mincho"/>
        </w:rPr>
        <w:tab/>
      </w:r>
      <w:r w:rsidRPr="007B3BDB">
        <w:rPr>
          <w:rFonts w:eastAsia="MS Mincho"/>
          <w:i/>
          <w:iCs/>
        </w:rPr>
        <w:t>F’B</w:t>
      </w:r>
      <w:r w:rsidRPr="007B3BDB">
        <w:rPr>
          <w:rFonts w:eastAsia="MS Mincho"/>
          <w:i/>
          <w:iCs/>
          <w:vertAlign w:val="subscript"/>
        </w:rPr>
        <w:t>N</w:t>
      </w:r>
      <w:r w:rsidRPr="007B3BDB">
        <w:rPr>
          <w:rFonts w:eastAsia="MS Mincho"/>
        </w:rPr>
        <w:t xml:space="preserve"> = 151,5 + 5 + </w:t>
      </w:r>
      <w:r w:rsidRPr="007B3BDB">
        <w:rPr>
          <w:rFonts w:eastAsia="MS Mincho"/>
          <w:i/>
          <w:iCs/>
        </w:rPr>
        <w:t>N</w:t>
      </w:r>
      <w:r w:rsidRPr="007B3BDB">
        <w:rPr>
          <w:rFonts w:eastAsia="MS Mincho"/>
        </w:rPr>
        <w:t> × 0,250 GHz</w:t>
      </w:r>
      <w:r w:rsidRPr="007B3BDB">
        <w:rPr>
          <w:rFonts w:eastAsia="MS Mincho"/>
        </w:rPr>
        <w:tab/>
      </w:r>
      <w:r w:rsidRPr="007B3BDB">
        <w:rPr>
          <w:rFonts w:eastAsia="MS Mincho"/>
          <w:i/>
          <w:iCs/>
        </w:rPr>
        <w:t>N</w:t>
      </w:r>
      <w:r w:rsidRPr="007B3BDB">
        <w:rPr>
          <w:rFonts w:eastAsia="MS Mincho"/>
        </w:rPr>
        <w:t>: 1 a 29 (canales en la subbanda 151,5</w:t>
      </w:r>
      <w:r w:rsidRPr="007B3BDB">
        <w:rPr>
          <w:rFonts w:eastAsia="MS Mincho"/>
        </w:rPr>
        <w:noBreakHyphen/>
        <w:t>164 GHz)</w:t>
      </w:r>
    </w:p>
    <w:p w14:paraId="4B0D0EB7" w14:textId="2B20E9A7" w:rsidR="00010135" w:rsidRPr="007B3BDB" w:rsidRDefault="00010135" w:rsidP="00010135">
      <w:pPr>
        <w:pStyle w:val="Headingb"/>
        <w:rPr>
          <w:rFonts w:eastAsia="MS Mincho"/>
          <w:lang w:eastAsia="zh-CN"/>
        </w:rPr>
      </w:pPr>
      <w:r w:rsidRPr="007B3BDB">
        <w:t xml:space="preserve">Frecuencias centrales de los canales con sufijo UL en la </w:t>
      </w:r>
      <w:r w:rsidR="004D298F" w:rsidRPr="007B3BDB">
        <w:t>Fig</w:t>
      </w:r>
      <w:r w:rsidR="004D298F">
        <w:t>. </w:t>
      </w:r>
      <w:r w:rsidRPr="007B3BDB">
        <w:t>7</w:t>
      </w:r>
    </w:p>
    <w:p w14:paraId="4EFA5221" w14:textId="77777777" w:rsidR="00010135" w:rsidRPr="007B3BDB" w:rsidRDefault="00010135" w:rsidP="00010135">
      <w:pPr>
        <w:keepNext/>
        <w:tabs>
          <w:tab w:val="clear" w:pos="794"/>
          <w:tab w:val="clear" w:pos="1191"/>
          <w:tab w:val="clear" w:pos="1588"/>
          <w:tab w:val="clear" w:pos="1985"/>
          <w:tab w:val="left" w:pos="567"/>
          <w:tab w:val="left" w:pos="1134"/>
          <w:tab w:val="left" w:pos="1871"/>
          <w:tab w:val="left" w:pos="2608"/>
          <w:tab w:val="left" w:pos="3345"/>
        </w:tabs>
        <w:spacing w:before="80"/>
        <w:ind w:left="1134" w:hanging="1134"/>
        <w:jc w:val="left"/>
        <w:rPr>
          <w:rFonts w:eastAsia="MS Mincho"/>
          <w:spacing w:val="-2"/>
        </w:rPr>
      </w:pPr>
      <w:r w:rsidRPr="007B3BDB">
        <w:rPr>
          <w:rFonts w:eastAsia="MS Mincho"/>
          <w:spacing w:val="-2"/>
        </w:rPr>
        <w:tab/>
      </w:r>
      <w:r w:rsidRPr="007B3BDB">
        <w:rPr>
          <w:rFonts w:eastAsia="MS Mincho"/>
          <w:i/>
          <w:iCs/>
          <w:spacing w:val="-2"/>
        </w:rPr>
        <w:t>FUL</w:t>
      </w:r>
      <w:r w:rsidRPr="007B3BDB">
        <w:rPr>
          <w:rFonts w:eastAsia="MS Mincho"/>
          <w:i/>
          <w:iCs/>
          <w:spacing w:val="-2"/>
          <w:vertAlign w:val="subscript"/>
        </w:rPr>
        <w:t>N</w:t>
      </w:r>
      <w:r w:rsidRPr="007B3BDB">
        <w:rPr>
          <w:rFonts w:eastAsia="MS Mincho"/>
          <w:spacing w:val="-2"/>
        </w:rPr>
        <w:t xml:space="preserve"> = 151.5 + 3.75 + </w:t>
      </w:r>
      <w:r w:rsidRPr="007B3BDB">
        <w:rPr>
          <w:rFonts w:eastAsia="MS Mincho"/>
          <w:i/>
          <w:iCs/>
          <w:spacing w:val="-2"/>
        </w:rPr>
        <w:t>N</w:t>
      </w:r>
      <w:r w:rsidRPr="007B3BDB">
        <w:rPr>
          <w:rFonts w:eastAsia="MS Mincho"/>
          <w:spacing w:val="-2"/>
        </w:rPr>
        <w:t> × 0.250 GHz</w:t>
      </w:r>
      <w:r w:rsidRPr="007B3BDB">
        <w:rPr>
          <w:rFonts w:eastAsia="MS Mincho"/>
          <w:spacing w:val="-2"/>
        </w:rPr>
        <w:tab/>
      </w:r>
      <w:r w:rsidRPr="007B3BDB">
        <w:rPr>
          <w:rFonts w:eastAsia="MS Mincho"/>
          <w:i/>
          <w:iCs/>
          <w:spacing w:val="-2"/>
        </w:rPr>
        <w:t>N</w:t>
      </w:r>
      <w:r w:rsidRPr="007B3BDB">
        <w:rPr>
          <w:rFonts w:eastAsia="MS Mincho"/>
          <w:spacing w:val="-2"/>
        </w:rPr>
        <w:t>: 1 a 5 (</w:t>
      </w:r>
      <w:r w:rsidRPr="007B3BDB">
        <w:rPr>
          <w:rFonts w:eastAsia="MS Mincho"/>
        </w:rPr>
        <w:t>canales en la subbanda</w:t>
      </w:r>
      <w:r w:rsidRPr="007B3BDB">
        <w:rPr>
          <w:rFonts w:eastAsia="MS Mincho"/>
          <w:spacing w:val="-2"/>
        </w:rPr>
        <w:t xml:space="preserve"> 151,5</w:t>
      </w:r>
      <w:r w:rsidRPr="007B3BDB">
        <w:rPr>
          <w:rFonts w:eastAsia="MS Mincho"/>
          <w:spacing w:val="-2"/>
        </w:rPr>
        <w:noBreakHyphen/>
        <w:t>164 GHz)</w:t>
      </w:r>
    </w:p>
    <w:p w14:paraId="742DA483" w14:textId="4D5443BA" w:rsidR="00010135" w:rsidRPr="007B3BDB" w:rsidRDefault="00010135" w:rsidP="00010135">
      <w:pPr>
        <w:pStyle w:val="Headingb"/>
      </w:pPr>
      <w:r w:rsidRPr="007B3BDB">
        <w:t xml:space="preserve">Frecuencias centrales de los canales con sufijo UH en la </w:t>
      </w:r>
      <w:r w:rsidR="004D298F" w:rsidRPr="007B3BDB">
        <w:t>Fig</w:t>
      </w:r>
      <w:r w:rsidR="004D298F">
        <w:t>. </w:t>
      </w:r>
      <w:r w:rsidRPr="007B3BDB">
        <w:t>7</w:t>
      </w:r>
    </w:p>
    <w:p w14:paraId="160D1E58" w14:textId="77777777" w:rsidR="00010135" w:rsidRPr="007B3BDB" w:rsidRDefault="00010135" w:rsidP="00010135">
      <w:pPr>
        <w:keepNext/>
        <w:keepLines/>
        <w:tabs>
          <w:tab w:val="clear" w:pos="794"/>
          <w:tab w:val="clear" w:pos="1191"/>
          <w:tab w:val="clear" w:pos="1588"/>
          <w:tab w:val="clear" w:pos="1985"/>
          <w:tab w:val="left" w:pos="567"/>
          <w:tab w:val="left" w:pos="1134"/>
          <w:tab w:val="left" w:pos="1871"/>
          <w:tab w:val="left" w:pos="2608"/>
          <w:tab w:val="left" w:pos="3345"/>
        </w:tabs>
        <w:spacing w:before="80"/>
        <w:ind w:left="1134" w:hanging="1134"/>
        <w:jc w:val="left"/>
        <w:rPr>
          <w:rFonts w:eastAsia="MS Mincho"/>
        </w:rPr>
      </w:pPr>
      <w:r w:rsidRPr="007B3BDB">
        <w:rPr>
          <w:rFonts w:eastAsia="MS Mincho"/>
        </w:rPr>
        <w:tab/>
      </w:r>
      <w:r w:rsidRPr="007B3BDB">
        <w:rPr>
          <w:rFonts w:eastAsia="MS Mincho"/>
          <w:i/>
          <w:iCs/>
        </w:rPr>
        <w:t>FUH</w:t>
      </w:r>
      <w:r w:rsidRPr="007B3BDB">
        <w:rPr>
          <w:rFonts w:eastAsia="MS Mincho"/>
          <w:i/>
          <w:iCs/>
          <w:vertAlign w:val="subscript"/>
        </w:rPr>
        <w:t>N</w:t>
      </w:r>
      <w:r w:rsidRPr="007B3BDB">
        <w:rPr>
          <w:rFonts w:eastAsia="MS Mincho"/>
        </w:rPr>
        <w:t xml:space="preserve"> = 167 + </w:t>
      </w:r>
      <w:r w:rsidRPr="007B3BDB">
        <w:rPr>
          <w:rFonts w:eastAsia="MS Mincho"/>
          <w:i/>
          <w:iCs/>
        </w:rPr>
        <w:t>N</w:t>
      </w:r>
      <w:r w:rsidRPr="007B3BDB">
        <w:rPr>
          <w:rFonts w:eastAsia="MS Mincho"/>
        </w:rPr>
        <w:t> × 0,250 GHz</w:t>
      </w:r>
      <w:r w:rsidRPr="007B3BDB">
        <w:rPr>
          <w:rFonts w:eastAsia="MS Mincho"/>
        </w:rPr>
        <w:tab/>
      </w:r>
      <w:r w:rsidRPr="007B3BDB">
        <w:rPr>
          <w:rFonts w:eastAsia="MS Mincho"/>
        </w:rPr>
        <w:tab/>
      </w:r>
      <w:r w:rsidRPr="007B3BDB">
        <w:rPr>
          <w:rFonts w:eastAsia="MS Mincho"/>
          <w:i/>
          <w:iCs/>
        </w:rPr>
        <w:t>N</w:t>
      </w:r>
      <w:r w:rsidRPr="007B3BDB">
        <w:rPr>
          <w:rFonts w:eastAsia="MS Mincho"/>
        </w:rPr>
        <w:t>: 1 a 30 (canales en la subbanda 167-174,8 GHz)</w:t>
      </w:r>
    </w:p>
    <w:p w14:paraId="4D97571D" w14:textId="77777777" w:rsidR="00B874C6" w:rsidRPr="007B3BDB" w:rsidRDefault="00B874C6" w:rsidP="00B874C6"/>
    <w:p w14:paraId="41F5E0EE" w14:textId="0A4463CB" w:rsidR="00B874C6" w:rsidRPr="007B3BDB" w:rsidRDefault="00B874C6" w:rsidP="00B874C6">
      <w:pPr>
        <w:pStyle w:val="Line"/>
        <w:rPr>
          <w:lang w:val="es-ES"/>
        </w:rPr>
      </w:pPr>
    </w:p>
    <w:sectPr w:rsidR="00B874C6" w:rsidRPr="007B3BDB" w:rsidSect="007565CC">
      <w:footerReference w:type="default" r:id="rId30"/>
      <w:pgSz w:w="11907" w:h="16834" w:code="9"/>
      <w:pgMar w:top="1418" w:right="1134" w:bottom="1134" w:left="1134" w:header="720" w:footer="48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B9FF03" w14:textId="77777777" w:rsidR="00472F1E" w:rsidRDefault="00472F1E">
      <w:r>
        <w:separator/>
      </w:r>
    </w:p>
  </w:endnote>
  <w:endnote w:type="continuationSeparator" w:id="0">
    <w:p w14:paraId="1A46A0EE" w14:textId="77777777" w:rsidR="00472F1E" w:rsidRDefault="00472F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Next LT Pro Medium">
    <w:altName w:val="Calibri"/>
    <w:panose1 w:val="020B0604020202020204"/>
    <w:charset w:val="00"/>
    <w:family w:val="swiss"/>
    <w:notTrueType/>
    <w:pitch w:val="variable"/>
    <w:sig w:usb0="800000AF" w:usb1="5000204A" w:usb2="00000000" w:usb3="00000000" w:csb0="00000093" w:csb1="00000000"/>
  </w:font>
  <w:font w:name="AvenirNext LT Pro Regular">
    <w:altName w:val="Calibri"/>
    <w:panose1 w:val="020B0504020202020204"/>
    <w:charset w:val="00"/>
    <w:family w:val="swiss"/>
    <w:notTrueType/>
    <w:pitch w:val="variable"/>
    <w:sig w:usb0="800000AF" w:usb1="5000204A"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CB56F" w14:textId="77777777" w:rsidR="00301DB3" w:rsidRDefault="00301DB3">
    <w:pPr>
      <w:pStyle w:val="Footer"/>
    </w:pPr>
    <w:r>
      <w:drawing>
        <wp:anchor distT="0" distB="0" distL="0" distR="0" simplePos="0" relativeHeight="251656192" behindDoc="0" locked="0" layoutInCell="1" allowOverlap="1" wp14:anchorId="1C34BD1A" wp14:editId="2E474D50">
          <wp:simplePos x="0" y="0"/>
          <wp:positionH relativeFrom="page">
            <wp:posOffset>6346209</wp:posOffset>
          </wp:positionH>
          <wp:positionV relativeFrom="page">
            <wp:posOffset>9501505</wp:posOffset>
          </wp:positionV>
          <wp:extent cx="738000" cy="813600"/>
          <wp:effectExtent l="0" t="0" r="0" b="0"/>
          <wp:wrapNone/>
          <wp:docPr id="1" name="image1.png" descr="International Telecommunication Un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International Telecommunication Union logo"/>
                  <pic:cNvPicPr/>
                </pic:nvPicPr>
                <pic:blipFill>
                  <a:blip r:embed="rId1" cstate="print"/>
                  <a:stretch>
                    <a:fillRect/>
                  </a:stretch>
                </pic:blipFill>
                <pic:spPr>
                  <a:xfrm>
                    <a:off x="0" y="0"/>
                    <a:ext cx="738000" cy="8136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EFEA3" w14:textId="77777777" w:rsidR="00C15F3E" w:rsidRDefault="00C15F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DCA2B7" w14:textId="77777777" w:rsidR="00472F1E" w:rsidRDefault="00472F1E">
      <w:r>
        <w:separator/>
      </w:r>
    </w:p>
  </w:footnote>
  <w:footnote w:type="continuationSeparator" w:id="0">
    <w:p w14:paraId="7D9E2D61" w14:textId="77777777" w:rsidR="00472F1E" w:rsidRDefault="00472F1E">
      <w:r>
        <w:continuationSeparator/>
      </w:r>
    </w:p>
  </w:footnote>
  <w:footnote w:id="1">
    <w:p w14:paraId="7EDA7FFA" w14:textId="77777777" w:rsidR="00010135" w:rsidRPr="007D5F41" w:rsidRDefault="00010135" w:rsidP="00010135">
      <w:pPr>
        <w:pStyle w:val="FootnoteText"/>
      </w:pPr>
      <w:r>
        <w:rPr>
          <w:rStyle w:val="FootnoteReference"/>
        </w:rPr>
        <w:footnoteRef/>
      </w:r>
      <w:r>
        <w:tab/>
        <w:t>Los sistemas dúplex por división de frecuencia flexible (fFDD) permiten el aislamiento Tx/Rx requerido sin filtros dúplex de RF tradicionales, pero a través de antenas transmisoras/receptoras separadas y/o la capacidad de cancelación digital, lo que permite una separación dúplex más estrecha.</w:t>
      </w:r>
      <w:bookmarkStart w:id="3" w:name="_Hlk198804154"/>
      <w:bookmarkEnd w:id="3"/>
    </w:p>
  </w:footnote>
  <w:footnote w:id="2">
    <w:p w14:paraId="1F6CA0D8" w14:textId="7F68547B" w:rsidR="00010135" w:rsidRPr="007D5F41" w:rsidRDefault="00010135" w:rsidP="00010135">
      <w:pPr>
        <w:pStyle w:val="FootnoteText"/>
      </w:pPr>
      <w:r>
        <w:rPr>
          <w:rStyle w:val="FootnoteReference"/>
        </w:rPr>
        <w:footnoteRef/>
      </w:r>
      <w:r>
        <w:tab/>
        <w:t>Los sistemas dúplex completo (FD) utilizan el mismo canal para la ida que para la vuelta (como los sistemas TDD), pero durante el 100% del tiempo; deben proporcionar el aislamiento Tx/Rx necesario mediante antenas transmisoras/receptoras separadas y cancelación digital, en vez de utilizar un filtro dúplex como en los sistemas FDD convencionales.</w:t>
      </w:r>
      <w:bookmarkStart w:id="4" w:name="_Hlk198804170"/>
      <w:bookmarkEnd w:id="4"/>
    </w:p>
  </w:footnote>
  <w:footnote w:id="3">
    <w:p w14:paraId="25633E3C" w14:textId="1E7A5D98" w:rsidR="00010135" w:rsidRPr="007D5F41" w:rsidRDefault="00010135" w:rsidP="00010135">
      <w:pPr>
        <w:pStyle w:val="FootnoteText"/>
      </w:pPr>
      <w:r w:rsidRPr="000B29CD">
        <w:rPr>
          <w:rStyle w:val="FootnoteReference"/>
          <w:sz w:val="20"/>
        </w:rPr>
        <w:footnoteRef/>
      </w:r>
      <w:r>
        <w:tab/>
        <w:t>Los sistemas dúplex completo (FD) utilizan el mismo canal para la ida que para la vuelta (como los sistemas TDD), pero durante el 100% del tiempo; deben proporcionar el aislamiento Tx/Rx necesario mediante antenas transmisoras/receptoras separadas y cancelación digital, en vez de utilizar un filtro dúplex como en los sistemas FDD convencionales.</w:t>
      </w:r>
    </w:p>
  </w:footnote>
  <w:footnote w:id="4">
    <w:p w14:paraId="6B574D60" w14:textId="77777777" w:rsidR="00010135" w:rsidRPr="007D5F41" w:rsidRDefault="00010135" w:rsidP="00010135">
      <w:pPr>
        <w:pStyle w:val="FootnoteText"/>
      </w:pPr>
      <w:r w:rsidRPr="000B29CD">
        <w:rPr>
          <w:rStyle w:val="FootnoteReference"/>
          <w:sz w:val="20"/>
        </w:rPr>
        <w:footnoteRef/>
      </w:r>
      <w:r>
        <w:tab/>
        <w:t>Mientras que en los sistemas FDD convencionales el aislamiento Tx/Rx se obtiene mediante un filtro dúplex RF, en los sistemas dúplex por división de frecuencia flexible (fFDD) el aislamiento puede obtenerse mediante antenas transmisoras/receptoras separadas y/o cancelación digital (similar a la tecnología XPIC); esto mejora la capacidad de aislamiento Tx/Rx y permite una separación dúplex más estrecha.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3B57B" w14:textId="77777777" w:rsidR="001B164E" w:rsidRDefault="001B164E">
    <w:pPr>
      <w:pStyle w:val="Header"/>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490" w:type="dxa"/>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5"/>
      <w:gridCol w:w="5915"/>
    </w:tblGrid>
    <w:tr w:rsidR="005B0371" w:rsidRPr="00A239D1" w14:paraId="7EF57ACF" w14:textId="77777777" w:rsidTr="0019307B">
      <w:tc>
        <w:tcPr>
          <w:tcW w:w="4634" w:type="dxa"/>
          <w:vAlign w:val="center"/>
        </w:tcPr>
        <w:p w14:paraId="56026B9C" w14:textId="77777777" w:rsidR="00EE47C4" w:rsidRPr="005B0371" w:rsidRDefault="00425BC7" w:rsidP="00B9169E">
          <w:pPr>
            <w:pStyle w:val="Header"/>
            <w:jc w:val="left"/>
            <w:rPr>
              <w:rFonts w:ascii="Arial Black" w:hAnsi="Arial Black" w:cs="Arial"/>
              <w:color w:val="FFFFFF" w:themeColor="background1"/>
              <w:sz w:val="32"/>
              <w:szCs w:val="32"/>
            </w:rPr>
          </w:pPr>
          <w:r w:rsidRPr="005B0371">
            <w:rPr>
              <w:rFonts w:ascii="Arial Black" w:hAnsi="Arial Black" w:cs="Arial"/>
              <w:color w:val="FFFFFF" w:themeColor="background1"/>
              <w:sz w:val="32"/>
              <w:szCs w:val="32"/>
            </w:rPr>
            <w:t xml:space="preserve"> </w:t>
          </w:r>
        </w:p>
      </w:tc>
      <w:tc>
        <w:tcPr>
          <w:tcW w:w="5998" w:type="dxa"/>
          <w:vAlign w:val="center"/>
        </w:tcPr>
        <w:p w14:paraId="35E7214E" w14:textId="77777777" w:rsidR="00EE47C4" w:rsidRPr="00260B24" w:rsidRDefault="00EE47C4" w:rsidP="00744F8B">
          <w:pPr>
            <w:pStyle w:val="Header"/>
            <w:jc w:val="right"/>
            <w:rPr>
              <w:rFonts w:asciiTheme="minorBidi" w:hAnsiTheme="minorBidi"/>
              <w:b/>
              <w:spacing w:val="4"/>
              <w:szCs w:val="24"/>
            </w:rPr>
          </w:pPr>
          <w:r w:rsidRPr="00260B24">
            <w:rPr>
              <w:rFonts w:asciiTheme="minorBidi" w:hAnsiTheme="minorBidi"/>
              <w:b/>
              <w:spacing w:val="4"/>
              <w:szCs w:val="24"/>
            </w:rPr>
            <w:t>Uni</w:t>
          </w:r>
          <w:r w:rsidR="006B1E05">
            <w:rPr>
              <w:rFonts w:asciiTheme="minorBidi" w:hAnsiTheme="minorBidi"/>
              <w:b/>
              <w:spacing w:val="4"/>
              <w:szCs w:val="24"/>
            </w:rPr>
            <w:t>ó</w:t>
          </w:r>
          <w:r w:rsidRPr="00260B24">
            <w:rPr>
              <w:rFonts w:asciiTheme="minorBidi" w:hAnsiTheme="minorBidi"/>
              <w:b/>
              <w:spacing w:val="4"/>
              <w:szCs w:val="24"/>
            </w:rPr>
            <w:t>n</w:t>
          </w:r>
          <w:r w:rsidR="00A25EE2">
            <w:rPr>
              <w:rFonts w:asciiTheme="minorBidi" w:hAnsiTheme="minorBidi"/>
              <w:b/>
              <w:spacing w:val="4"/>
              <w:szCs w:val="24"/>
            </w:rPr>
            <w:t xml:space="preserve"> </w:t>
          </w:r>
          <w:r w:rsidR="006B1E05">
            <w:rPr>
              <w:rFonts w:asciiTheme="minorBidi" w:hAnsiTheme="minorBidi"/>
              <w:b/>
              <w:spacing w:val="4"/>
              <w:szCs w:val="24"/>
            </w:rPr>
            <w:t>I</w:t>
          </w:r>
          <w:r w:rsidR="00A25EE2" w:rsidRPr="00260B24">
            <w:rPr>
              <w:rFonts w:asciiTheme="minorBidi" w:hAnsiTheme="minorBidi"/>
              <w:b/>
              <w:spacing w:val="4"/>
              <w:szCs w:val="24"/>
            </w:rPr>
            <w:t>nterna</w:t>
          </w:r>
          <w:r w:rsidR="0069322D">
            <w:rPr>
              <w:rFonts w:asciiTheme="minorBidi" w:hAnsiTheme="minorBidi"/>
              <w:b/>
              <w:spacing w:val="4"/>
              <w:szCs w:val="24"/>
            </w:rPr>
            <w:t>c</w:t>
          </w:r>
          <w:r w:rsidR="00A25EE2" w:rsidRPr="00260B24">
            <w:rPr>
              <w:rFonts w:asciiTheme="minorBidi" w:hAnsiTheme="minorBidi"/>
              <w:b/>
              <w:spacing w:val="4"/>
              <w:szCs w:val="24"/>
            </w:rPr>
            <w:t xml:space="preserve">ional </w:t>
          </w:r>
          <w:r w:rsidR="00A25EE2">
            <w:rPr>
              <w:rFonts w:asciiTheme="minorBidi" w:hAnsiTheme="minorBidi"/>
              <w:b/>
              <w:spacing w:val="4"/>
              <w:szCs w:val="24"/>
            </w:rPr>
            <w:t xml:space="preserve">de </w:t>
          </w:r>
          <w:r w:rsidR="0069322D">
            <w:rPr>
              <w:rFonts w:asciiTheme="minorBidi" w:hAnsiTheme="minorBidi"/>
              <w:b/>
              <w:spacing w:val="4"/>
              <w:szCs w:val="24"/>
            </w:rPr>
            <w:t>Te</w:t>
          </w:r>
          <w:r w:rsidR="00A25EE2" w:rsidRPr="00260B24">
            <w:rPr>
              <w:rFonts w:asciiTheme="minorBidi" w:hAnsiTheme="minorBidi"/>
              <w:b/>
              <w:spacing w:val="4"/>
              <w:szCs w:val="24"/>
            </w:rPr>
            <w:t>l</w:t>
          </w:r>
          <w:r w:rsidR="0069322D">
            <w:rPr>
              <w:rFonts w:asciiTheme="minorBidi" w:hAnsiTheme="minorBidi"/>
              <w:b/>
              <w:spacing w:val="4"/>
              <w:szCs w:val="24"/>
            </w:rPr>
            <w:t>e</w:t>
          </w:r>
          <w:r w:rsidR="00A25EE2" w:rsidRPr="00260B24">
            <w:rPr>
              <w:rFonts w:asciiTheme="minorBidi" w:hAnsiTheme="minorBidi"/>
              <w:b/>
              <w:spacing w:val="4"/>
              <w:szCs w:val="24"/>
            </w:rPr>
            <w:t>comunica</w:t>
          </w:r>
          <w:r w:rsidR="0069322D">
            <w:rPr>
              <w:rFonts w:asciiTheme="minorBidi" w:hAnsiTheme="minorBidi"/>
              <w:b/>
              <w:spacing w:val="4"/>
              <w:szCs w:val="24"/>
            </w:rPr>
            <w:t>c</w:t>
          </w:r>
          <w:r w:rsidR="00A25EE2" w:rsidRPr="00260B24">
            <w:rPr>
              <w:rFonts w:asciiTheme="minorBidi" w:hAnsiTheme="minorBidi"/>
              <w:b/>
              <w:spacing w:val="4"/>
              <w:szCs w:val="24"/>
            </w:rPr>
            <w:t>ion</w:t>
          </w:r>
          <w:r w:rsidR="0069322D">
            <w:rPr>
              <w:rFonts w:asciiTheme="minorBidi" w:hAnsiTheme="minorBidi"/>
              <w:b/>
              <w:spacing w:val="4"/>
              <w:szCs w:val="24"/>
            </w:rPr>
            <w:t>e</w:t>
          </w:r>
          <w:r w:rsidR="00A25EE2">
            <w:rPr>
              <w:rFonts w:asciiTheme="minorBidi" w:hAnsiTheme="minorBidi"/>
              <w:b/>
              <w:spacing w:val="4"/>
              <w:szCs w:val="24"/>
            </w:rPr>
            <w:t>s</w:t>
          </w:r>
        </w:p>
      </w:tc>
    </w:tr>
    <w:tr w:rsidR="005B0371" w:rsidRPr="00A239D1" w14:paraId="087E35E6" w14:textId="77777777" w:rsidTr="0019307B">
      <w:tc>
        <w:tcPr>
          <w:tcW w:w="4634" w:type="dxa"/>
          <w:vAlign w:val="center"/>
        </w:tcPr>
        <w:p w14:paraId="2A75505C" w14:textId="77777777" w:rsidR="00EE47C4" w:rsidRPr="00260B24" w:rsidRDefault="00EE47C4" w:rsidP="00744F8B">
          <w:pPr>
            <w:pStyle w:val="Header"/>
            <w:jc w:val="left"/>
            <w:rPr>
              <w:rFonts w:asciiTheme="minorBidi" w:hAnsiTheme="minorBidi"/>
              <w:spacing w:val="4"/>
              <w:sz w:val="21"/>
              <w:szCs w:val="21"/>
            </w:rPr>
          </w:pPr>
          <w:r w:rsidRPr="00260B24">
            <w:rPr>
              <w:rFonts w:asciiTheme="minorBidi" w:hAnsiTheme="minorBidi"/>
              <w:spacing w:val="4"/>
              <w:szCs w:val="24"/>
            </w:rPr>
            <w:t>Recom</w:t>
          </w:r>
          <w:r w:rsidR="0069322D">
            <w:rPr>
              <w:rFonts w:asciiTheme="minorBidi" w:hAnsiTheme="minorBidi"/>
              <w:spacing w:val="4"/>
              <w:szCs w:val="24"/>
            </w:rPr>
            <w:t>e</w:t>
          </w:r>
          <w:r w:rsidRPr="00260B24">
            <w:rPr>
              <w:rFonts w:asciiTheme="minorBidi" w:hAnsiTheme="minorBidi"/>
              <w:spacing w:val="4"/>
              <w:szCs w:val="24"/>
            </w:rPr>
            <w:t>nda</w:t>
          </w:r>
          <w:r w:rsidR="0069322D">
            <w:rPr>
              <w:rFonts w:asciiTheme="minorBidi" w:hAnsiTheme="minorBidi"/>
              <w:spacing w:val="4"/>
              <w:szCs w:val="24"/>
            </w:rPr>
            <w:t>c</w:t>
          </w:r>
          <w:r w:rsidRPr="00260B24">
            <w:rPr>
              <w:rFonts w:asciiTheme="minorBidi" w:hAnsiTheme="minorBidi"/>
              <w:spacing w:val="4"/>
              <w:szCs w:val="24"/>
            </w:rPr>
            <w:t>i</w:t>
          </w:r>
          <w:r w:rsidR="0069322D">
            <w:rPr>
              <w:rFonts w:asciiTheme="minorBidi" w:hAnsiTheme="minorBidi"/>
              <w:spacing w:val="4"/>
              <w:szCs w:val="24"/>
            </w:rPr>
            <w:t>o</w:t>
          </w:r>
          <w:r w:rsidRPr="00260B24">
            <w:rPr>
              <w:rFonts w:asciiTheme="minorBidi" w:hAnsiTheme="minorBidi"/>
              <w:spacing w:val="4"/>
              <w:szCs w:val="24"/>
            </w:rPr>
            <w:t>n</w:t>
          </w:r>
          <w:r w:rsidR="0069322D">
            <w:rPr>
              <w:rFonts w:asciiTheme="minorBidi" w:hAnsiTheme="minorBidi"/>
              <w:spacing w:val="4"/>
              <w:szCs w:val="24"/>
            </w:rPr>
            <w:t>e</w:t>
          </w:r>
          <w:r w:rsidR="004A6FEB" w:rsidRPr="00260B24">
            <w:rPr>
              <w:rFonts w:asciiTheme="minorBidi" w:hAnsiTheme="minorBidi"/>
              <w:spacing w:val="4"/>
              <w:szCs w:val="24"/>
            </w:rPr>
            <w:t>s</w:t>
          </w:r>
        </w:p>
      </w:tc>
      <w:tc>
        <w:tcPr>
          <w:tcW w:w="5998" w:type="dxa"/>
          <w:vAlign w:val="center"/>
        </w:tcPr>
        <w:p w14:paraId="7198A852" w14:textId="77777777" w:rsidR="00EE47C4" w:rsidRPr="00260B24" w:rsidRDefault="00A25EE2" w:rsidP="00744F8B">
          <w:pPr>
            <w:pStyle w:val="Header"/>
            <w:jc w:val="right"/>
            <w:rPr>
              <w:rFonts w:asciiTheme="minorBidi" w:hAnsiTheme="minorBidi"/>
              <w:spacing w:val="4"/>
              <w:szCs w:val="24"/>
            </w:rPr>
          </w:pPr>
          <w:r>
            <w:rPr>
              <w:rFonts w:asciiTheme="minorBidi" w:hAnsiTheme="minorBidi"/>
              <w:spacing w:val="4"/>
              <w:szCs w:val="24"/>
            </w:rPr>
            <w:t>Sect</w:t>
          </w:r>
          <w:r w:rsidR="0069322D">
            <w:rPr>
              <w:rFonts w:asciiTheme="minorBidi" w:hAnsiTheme="minorBidi"/>
              <w:spacing w:val="4"/>
              <w:szCs w:val="24"/>
            </w:rPr>
            <w:t>o</w:t>
          </w:r>
          <w:r>
            <w:rPr>
              <w:rFonts w:asciiTheme="minorBidi" w:hAnsiTheme="minorBidi"/>
              <w:spacing w:val="4"/>
              <w:szCs w:val="24"/>
            </w:rPr>
            <w:t xml:space="preserve">r de </w:t>
          </w:r>
          <w:r w:rsidR="00EE47C4" w:rsidRPr="00260B24">
            <w:rPr>
              <w:rFonts w:asciiTheme="minorBidi" w:hAnsiTheme="minorBidi"/>
              <w:spacing w:val="4"/>
              <w:szCs w:val="24"/>
            </w:rPr>
            <w:t>Radiocomunica</w:t>
          </w:r>
          <w:r w:rsidR="0069322D">
            <w:rPr>
              <w:rFonts w:asciiTheme="minorBidi" w:hAnsiTheme="minorBidi"/>
              <w:spacing w:val="4"/>
              <w:szCs w:val="24"/>
            </w:rPr>
            <w:t>c</w:t>
          </w:r>
          <w:r w:rsidR="00EE47C4" w:rsidRPr="00260B24">
            <w:rPr>
              <w:rFonts w:asciiTheme="minorBidi" w:hAnsiTheme="minorBidi"/>
              <w:spacing w:val="4"/>
              <w:szCs w:val="24"/>
            </w:rPr>
            <w:t>ion</w:t>
          </w:r>
          <w:r w:rsidR="0069322D">
            <w:rPr>
              <w:rFonts w:asciiTheme="minorBidi" w:hAnsiTheme="minorBidi"/>
              <w:spacing w:val="4"/>
              <w:szCs w:val="24"/>
            </w:rPr>
            <w:t>e</w:t>
          </w:r>
          <w:r>
            <w:rPr>
              <w:rFonts w:asciiTheme="minorBidi" w:hAnsiTheme="minorBidi"/>
              <w:spacing w:val="4"/>
              <w:szCs w:val="24"/>
            </w:rPr>
            <w:t>s</w:t>
          </w:r>
        </w:p>
      </w:tc>
    </w:tr>
  </w:tbl>
  <w:p w14:paraId="6CE65F71" w14:textId="77777777" w:rsidR="00EE47C4" w:rsidRDefault="0069322D" w:rsidP="004A6FEB">
    <w:pPr>
      <w:pStyle w:val="Header"/>
    </w:pPr>
    <w:r>
      <w:rPr>
        <w:rFonts w:ascii="Arial Black" w:hAnsi="Arial Black" w:cs="Arial"/>
        <w:noProof/>
        <w:sz w:val="32"/>
        <w:szCs w:val="32"/>
      </w:rPr>
      <w:drawing>
        <wp:anchor distT="0" distB="0" distL="114300" distR="114300" simplePos="0" relativeHeight="251660288" behindDoc="0" locked="0" layoutInCell="1" allowOverlap="1" wp14:anchorId="007A60A0" wp14:editId="77F23210">
          <wp:simplePos x="0" y="0"/>
          <wp:positionH relativeFrom="column">
            <wp:posOffset>-252095</wp:posOffset>
          </wp:positionH>
          <wp:positionV relativeFrom="paragraph">
            <wp:posOffset>-562165</wp:posOffset>
          </wp:positionV>
          <wp:extent cx="1781299" cy="383901"/>
          <wp:effectExtent l="0" t="0" r="0" b="0"/>
          <wp:wrapNone/>
          <wp:docPr id="7" name="Picture 7" descr="ITUPublicacion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ITUPublicaciones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1299" cy="38390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507D4">
      <w:rPr>
        <w:rFonts w:ascii="Arial" w:hAnsi="Arial" w:cs="Arial"/>
        <w:noProof/>
      </w:rPr>
      <mc:AlternateContent>
        <mc:Choice Requires="wps">
          <w:drawing>
            <wp:anchor distT="0" distB="0" distL="114300" distR="114300" simplePos="0" relativeHeight="251658240" behindDoc="0" locked="0" layoutInCell="1" allowOverlap="1" wp14:anchorId="3F401677" wp14:editId="5ED71605">
              <wp:simplePos x="0" y="0"/>
              <wp:positionH relativeFrom="column">
                <wp:posOffset>-106045</wp:posOffset>
              </wp:positionH>
              <wp:positionV relativeFrom="paragraph">
                <wp:posOffset>164465</wp:posOffset>
              </wp:positionV>
              <wp:extent cx="301625" cy="172085"/>
              <wp:effectExtent l="17780" t="12065" r="23495" b="15875"/>
              <wp:wrapNone/>
              <wp:docPr id="6" name="AutoShap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01625" cy="172085"/>
                      </a:xfrm>
                      <a:prstGeom prst="triangle">
                        <a:avLst>
                          <a:gd name="adj" fmla="val 50000"/>
                        </a:avLst>
                      </a:prstGeom>
                      <a:solidFill>
                        <a:schemeClr val="bg1">
                          <a:lumMod val="100000"/>
                          <a:lumOff val="0"/>
                        </a:schemeClr>
                      </a:solidFill>
                      <a:ln w="9525">
                        <a:solidFill>
                          <a:srgbClr val="F8F8F8"/>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8246C3"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 o:spid="_x0000_s1026" type="#_x0000_t5" alt="&quot;&quot;" style="position:absolute;margin-left:-8.35pt;margin-top:12.95pt;width:23.75pt;height:13.55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" fillcolor="white [3212]" strokecolor="#f8f8f8"/>
          </w:pict>
        </mc:Fallback>
      </mc:AlternateContent>
    </w:r>
  </w:p>
  <w:p w14:paraId="5CE8564E" w14:textId="77777777" w:rsidR="004A6FEB" w:rsidRDefault="00A507D4" w:rsidP="004A6FEB">
    <w:pPr>
      <w:pStyle w:val="Header"/>
      <w:ind w:right="360"/>
      <w:jc w:val="both"/>
    </w:pPr>
    <w:r>
      <w:rPr>
        <w:noProof/>
      </w:rPr>
      <mc:AlternateContent>
        <mc:Choice Requires="wpg">
          <w:drawing>
            <wp:anchor distT="0" distB="0" distL="114300" distR="114300" simplePos="0" relativeHeight="251659264" behindDoc="0" locked="0" layoutInCell="1" allowOverlap="1" wp14:anchorId="6417FBBB" wp14:editId="68B58967">
              <wp:simplePos x="0" y="0"/>
              <wp:positionH relativeFrom="page">
                <wp:posOffset>0</wp:posOffset>
              </wp:positionH>
              <wp:positionV relativeFrom="page">
                <wp:posOffset>1196340</wp:posOffset>
              </wp:positionV>
              <wp:extent cx="7560310" cy="236220"/>
              <wp:effectExtent l="9525" t="5715" r="12065" b="5715"/>
              <wp:wrapNone/>
              <wp:docPr id="2" name="docshapegroup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236220"/>
                        <a:chOff x="0" y="1884"/>
                        <a:chExt cx="11906" cy="372"/>
                      </a:xfrm>
                    </wpg:grpSpPr>
                    <wps:wsp>
                      <wps:cNvPr id="3" name="docshape7" descr="Header separator line"/>
                      <wps:cNvSpPr>
                        <a:spLocks noChangeArrowheads="1"/>
                      </wps:cNvSpPr>
                      <wps:spPr bwMode="auto">
                        <a:xfrm>
                          <a:off x="0" y="1944"/>
                          <a:ext cx="11906" cy="312"/>
                        </a:xfrm>
                        <a:prstGeom prst="rect">
                          <a:avLst/>
                        </a:prstGeom>
                        <a:solidFill>
                          <a:srgbClr val="009CD6"/>
                        </a:solidFill>
                        <a:ln w="9525">
                          <a:solidFill>
                            <a:srgbClr val="009CD6"/>
                          </a:solidFill>
                          <a:miter lim="800000"/>
                          <a:headEnd/>
                          <a:tailEnd/>
                        </a:ln>
                      </wps:spPr>
                      <wps:bodyPr rot="0" vert="horz" wrap="square" lIns="91440" tIns="45720" rIns="91440" bIns="45720" anchor="t" anchorCtr="0" upright="1">
                        <a:noAutofit/>
                      </wps:bodyPr>
                    </wps:wsp>
                    <wps:wsp>
                      <wps:cNvPr id="4" name="docshape8" descr="Header separator line"/>
                      <wps:cNvSpPr>
                        <a:spLocks/>
                      </wps:cNvSpPr>
                      <wps:spPr bwMode="auto">
                        <a:xfrm>
                          <a:off x="1109" y="1884"/>
                          <a:ext cx="627" cy="314"/>
                        </a:xfrm>
                        <a:custGeom>
                          <a:avLst/>
                          <a:gdLst>
                            <a:gd name="T0" fmla="+- 0 1736 1109"/>
                            <a:gd name="T1" fmla="*/ T0 w 627"/>
                            <a:gd name="T2" fmla="+- 0 1884 1884"/>
                            <a:gd name="T3" fmla="*/ 1884 h 314"/>
                            <a:gd name="T4" fmla="+- 0 1109 1109"/>
                            <a:gd name="T5" fmla="*/ T4 w 627"/>
                            <a:gd name="T6" fmla="+- 0 1884 1884"/>
                            <a:gd name="T7" fmla="*/ 1884 h 314"/>
                            <a:gd name="T8" fmla="+- 0 1423 1109"/>
                            <a:gd name="T9" fmla="*/ T8 w 627"/>
                            <a:gd name="T10" fmla="+- 0 2197 1884"/>
                            <a:gd name="T11" fmla="*/ 2197 h 314"/>
                            <a:gd name="T12" fmla="+- 0 1736 1109"/>
                            <a:gd name="T13" fmla="*/ T12 w 627"/>
                            <a:gd name="T14" fmla="+- 0 1884 1884"/>
                            <a:gd name="T15" fmla="*/ 1884 h 314"/>
                          </a:gdLst>
                          <a:ahLst/>
                          <a:cxnLst>
                            <a:cxn ang="0">
                              <a:pos x="T1" y="T3"/>
                            </a:cxn>
                            <a:cxn ang="0">
                              <a:pos x="T5" y="T7"/>
                            </a:cxn>
                            <a:cxn ang="0">
                              <a:pos x="T9" y="T11"/>
                            </a:cxn>
                            <a:cxn ang="0">
                              <a:pos x="T13" y="T15"/>
                            </a:cxn>
                          </a:cxnLst>
                          <a:rect l="0" t="0" r="r" b="b"/>
                          <a:pathLst>
                            <a:path w="627" h="314">
                              <a:moveTo>
                                <a:pt x="627" y="0"/>
                              </a:moveTo>
                              <a:lnTo>
                                <a:pt x="0" y="0"/>
                              </a:lnTo>
                              <a:lnTo>
                                <a:pt x="314" y="313"/>
                              </a:lnTo>
                              <a:lnTo>
                                <a:pt x="627" y="0"/>
                              </a:lnTo>
                              <a:close/>
                            </a:path>
                          </a:pathLst>
                        </a:custGeom>
                        <a:solidFill>
                          <a:schemeClr val="bg1">
                            <a:lumMod val="100000"/>
                            <a:lumOff val="0"/>
                          </a:schemeClr>
                        </a:solidFill>
                        <a:ln>
                          <a:noFill/>
                        </a:ln>
                        <a:extLst>
                          <a:ext uri="{91240B29-F687-4F45-9708-019B960494DF}">
                            <a14:hiddenLine xmlns:a14="http://schemas.microsoft.com/office/drawing/2010/main" w="9525">
                              <a:solidFill>
                                <a:srgbClr val="009CD6"/>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309D67" id="docshapegroup6" o:spid="_x0000_s1026" alt="&quot;&quot;" style="position:absolute;margin-left:0;margin-top:94.2pt;width:595.3pt;height:18.6pt;z-index:251659264;mso-position-horizontal-relative:page;mso-position-vertical-relative:page" coordorigin=",1884" coordsize="11906,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">
              <v:rect id="docshape7" o:spid="_x0000_s1027" alt="Header separator line" style="position:absolute;top:1944;width:11906;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" fillcolor="#009cd6" strokecolor="#009cd6"/>
              <v:shape id="docshape8" o:spid="_x0000_s1028" alt="Header separator line" style="position:absolute;left:1109;top:1884;width:627;height:314;visibility:visible;mso-wrap-style:square;v-text-anchor:top" coordsize="62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" path="m627,l,,314,313,627,xe" fillcolor="white [3212]" stroked="f" strokecolor="#009cd6">
                <v:path arrowok="t" o:connecttype="custom" o:connectlocs="627,1884;0,1884;314,2197;627,1884" o:connectangles="0,0,0,0"/>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09088" w14:textId="034A50EF" w:rsidR="001B164E" w:rsidRPr="00D72623" w:rsidRDefault="00D72623" w:rsidP="00D72623">
    <w:pPr>
      <w:pStyle w:val="Header"/>
      <w:jc w:val="left"/>
      <w:rPr>
        <w:lang w:val="en-US"/>
      </w:rPr>
    </w:pPr>
    <w:r>
      <w:rPr>
        <w:rStyle w:val="PageNumber"/>
        <w:b/>
        <w:bCs/>
      </w:rPr>
      <w:fldChar w:fldCharType="begin"/>
    </w:r>
    <w:r>
      <w:rPr>
        <w:rStyle w:val="PageNumber"/>
        <w:b/>
        <w:bCs/>
        <w:lang w:val="en-US"/>
      </w:rPr>
      <w:instrText xml:space="preserve"> PAGE </w:instrText>
    </w:r>
    <w:r>
      <w:rPr>
        <w:rStyle w:val="PageNumber"/>
        <w:b/>
        <w:bCs/>
      </w:rPr>
      <w:fldChar w:fldCharType="separate"/>
    </w:r>
    <w:r w:rsidRPr="00F111D6">
      <w:rPr>
        <w:rStyle w:val="PageNumber"/>
        <w:b/>
        <w:bCs/>
        <w:lang w:val="en-GB"/>
      </w:rPr>
      <w:t>ii</w:t>
    </w:r>
    <w:r>
      <w:rPr>
        <w:rStyle w:val="PageNumber"/>
        <w:b/>
        <w:bCs/>
      </w:rPr>
      <w:fldChar w:fldCharType="end"/>
    </w:r>
    <w:r>
      <w:rPr>
        <w:lang w:val="en-US"/>
      </w:rPr>
      <w:tab/>
    </w:r>
    <w:r>
      <w:rPr>
        <w:b/>
        <w:bCs/>
        <w:lang w:val="en-US"/>
      </w:rPr>
      <w:fldChar w:fldCharType="begin"/>
    </w:r>
    <w:r>
      <w:rPr>
        <w:b/>
        <w:bCs/>
        <w:lang w:val="en-US"/>
      </w:rPr>
      <w:instrText xml:space="preserve"> DOCPROPERTY "Header" \* MERGEFORMAT </w:instrText>
    </w:r>
    <w:r>
      <w:rPr>
        <w:b/>
        <w:bCs/>
        <w:lang w:val="en-US"/>
      </w:rPr>
      <w:fldChar w:fldCharType="separate"/>
    </w:r>
    <w:r w:rsidR="002D58FC">
      <w:rPr>
        <w:b/>
        <w:bCs/>
        <w:lang w:val="en-US"/>
      </w:rPr>
      <w:t xml:space="preserve">Rec. </w:t>
    </w:r>
    <w:r>
      <w:rPr>
        <w:b/>
        <w:bCs/>
        <w:lang w:val="en-US"/>
      </w:rPr>
      <w:fldChar w:fldCharType="end"/>
    </w:r>
    <w:r w:rsidRPr="00F111D6">
      <w:rPr>
        <w:b/>
        <w:bCs/>
        <w:lang w:val="en-GB"/>
      </w:rPr>
      <w:t xml:space="preserve"> </w:t>
    </w:r>
    <w:r w:rsidR="001C079E">
      <w:rPr>
        <w:b/>
        <w:bCs/>
      </w:rPr>
      <w:t>UIT-R</w:t>
    </w:r>
    <w:r w:rsidR="007B3BDB">
      <w:rPr>
        <w:b/>
        <w:bCs/>
      </w:rPr>
      <w:t xml:space="preserve"> </w:t>
    </w:r>
    <w:r w:rsidR="001C079E">
      <w:rPr>
        <w:b/>
        <w:bCs/>
      </w:rPr>
      <w:t>F.2172-0</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08CCA" w14:textId="5037F0FA" w:rsidR="001B164E" w:rsidRDefault="001B164E">
    <w:pPr>
      <w:pStyle w:val="Header"/>
    </w:pPr>
    <w:r>
      <w:tab/>
    </w:r>
    <w:r w:rsidR="001C079E">
      <w:rPr>
        <w:b/>
        <w:bCs/>
        <w:lang w:val="en-US"/>
      </w:rPr>
      <w:fldChar w:fldCharType="begin"/>
    </w:r>
    <w:r w:rsidR="001C079E">
      <w:rPr>
        <w:b/>
        <w:bCs/>
        <w:lang w:val="en-US"/>
      </w:rPr>
      <w:instrText xml:space="preserve"> DOCPROPERTY "Header" \* MERGEFORMAT </w:instrText>
    </w:r>
    <w:r w:rsidR="001C079E">
      <w:rPr>
        <w:b/>
        <w:bCs/>
        <w:lang w:val="en-US"/>
      </w:rPr>
      <w:fldChar w:fldCharType="separate"/>
    </w:r>
    <w:r w:rsidR="002D58FC">
      <w:rPr>
        <w:b/>
        <w:bCs/>
        <w:lang w:val="en-US"/>
      </w:rPr>
      <w:t xml:space="preserve">Rec. </w:t>
    </w:r>
    <w:r w:rsidR="001C079E">
      <w:rPr>
        <w:b/>
        <w:bCs/>
        <w:lang w:val="en-US"/>
      </w:rPr>
      <w:fldChar w:fldCharType="end"/>
    </w:r>
    <w:r w:rsidR="001C079E" w:rsidRPr="00F111D6">
      <w:rPr>
        <w:b/>
        <w:bCs/>
        <w:lang w:val="en-GB"/>
      </w:rPr>
      <w:t xml:space="preserve"> </w:t>
    </w:r>
    <w:r w:rsidR="001C079E">
      <w:rPr>
        <w:b/>
        <w:bCs/>
      </w:rPr>
      <w:t>UIT-</w:t>
    </w:r>
    <w:proofErr w:type="gramStart"/>
    <w:r w:rsidR="001C079E">
      <w:rPr>
        <w:b/>
        <w:bCs/>
      </w:rPr>
      <w:t>R  F.2172</w:t>
    </w:r>
    <w:proofErr w:type="gramEnd"/>
    <w:r w:rsidR="001C079E">
      <w:rPr>
        <w:b/>
        <w:bCs/>
      </w:rPr>
      <w:t>-0</w:t>
    </w:r>
    <w:r>
      <w:tab/>
    </w:r>
    <w:r w:rsidR="006C37D5">
      <w:rPr>
        <w:rStyle w:val="PageNumber"/>
        <w:b/>
        <w:bCs/>
      </w:rPr>
      <w:fldChar w:fldCharType="begin"/>
    </w:r>
    <w:r>
      <w:rPr>
        <w:rStyle w:val="PageNumber"/>
        <w:b/>
        <w:bCs/>
      </w:rPr>
      <w:instrText xml:space="preserve"> PAGE </w:instrText>
    </w:r>
    <w:r w:rsidR="006C37D5">
      <w:rPr>
        <w:rStyle w:val="PageNumber"/>
        <w:b/>
        <w:bCs/>
      </w:rPr>
      <w:fldChar w:fldCharType="separate"/>
    </w:r>
    <w:r w:rsidR="00C84DB7">
      <w:rPr>
        <w:rStyle w:val="PageNumber"/>
        <w:b/>
        <w:bCs/>
        <w:noProof/>
      </w:rPr>
      <w:t>1</w:t>
    </w:r>
    <w:r w:rsidR="006C37D5">
      <w:rPr>
        <w:rStyle w:val="PageNumbe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A06A4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4A08C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EB4269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E1089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50222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B38213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885D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50A301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6F01C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108985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2E0741"/>
    <w:multiLevelType w:val="hybridMultilevel"/>
    <w:tmpl w:val="73506790"/>
    <w:lvl w:ilvl="0" w:tplc="9FA02DF4">
      <w:numFmt w:val="bullet"/>
      <w:lvlText w:val="–"/>
      <w:lvlJc w:val="left"/>
      <w:pPr>
        <w:tabs>
          <w:tab w:val="num" w:pos="795"/>
        </w:tabs>
        <w:ind w:left="795" w:hanging="795"/>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382214387">
    <w:abstractNumId w:val="10"/>
  </w:num>
  <w:num w:numId="2" w16cid:durableId="1700011078">
    <w:abstractNumId w:val="9"/>
  </w:num>
  <w:num w:numId="3" w16cid:durableId="2139103092">
    <w:abstractNumId w:val="7"/>
  </w:num>
  <w:num w:numId="4" w16cid:durableId="2112309929">
    <w:abstractNumId w:val="6"/>
  </w:num>
  <w:num w:numId="5" w16cid:durableId="1768962786">
    <w:abstractNumId w:val="5"/>
  </w:num>
  <w:num w:numId="6" w16cid:durableId="2097938461">
    <w:abstractNumId w:val="4"/>
  </w:num>
  <w:num w:numId="7" w16cid:durableId="922376512">
    <w:abstractNumId w:val="8"/>
  </w:num>
  <w:num w:numId="8" w16cid:durableId="2053651020">
    <w:abstractNumId w:val="3"/>
  </w:num>
  <w:num w:numId="9" w16cid:durableId="366878320">
    <w:abstractNumId w:val="2"/>
  </w:num>
  <w:num w:numId="10" w16cid:durableId="1539586472">
    <w:abstractNumId w:val="1"/>
  </w:num>
  <w:num w:numId="11" w16cid:durableId="1395348864">
    <w:abstractNumId w:val="0"/>
  </w:num>
  <w:num w:numId="12" w16cid:durableId="307440756">
    <w:abstractNumId w:val="8"/>
  </w:num>
  <w:num w:numId="13" w16cid:durableId="1782534135">
    <w:abstractNumId w:val="3"/>
  </w:num>
  <w:num w:numId="14" w16cid:durableId="1433747199">
    <w:abstractNumId w:val="2"/>
  </w:num>
  <w:num w:numId="15" w16cid:durableId="962690343">
    <w:abstractNumId w:val="1"/>
  </w:num>
  <w:num w:numId="16" w16cid:durableId="15067477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mirrorMargins/>
  <w:hideSpellingErrors/>
  <w:hideGrammaticalErrors/>
  <w:activeWritingStyle w:appName="MSWord" w:lang="en-US" w:vendorID="64" w:dllVersion="5" w:nlCheck="1" w:checkStyle="0"/>
  <w:activeWritingStyle w:appName="MSWord" w:lang="en-US" w:vendorID="64" w:dllVersion="6" w:nlCheck="1" w:checkStyle="1"/>
  <w:activeWritingStyle w:appName="MSWord" w:lang="fr-FR" w:vendorID="64" w:dllVersion="6" w:nlCheck="1" w:checkStyle="0"/>
  <w:activeWritingStyle w:appName="MSWord" w:lang="en-GB" w:vendorID="64" w:dllVersion="6" w:nlCheck="1" w:checkStyle="1"/>
  <w:activeWritingStyle w:appName="MSWord" w:lang="fr-CH" w:vendorID="64" w:dllVersion="6" w:nlCheck="1" w:checkStyle="0"/>
  <w:activeWritingStyle w:appName="MSWord" w:lang="es-ES_tradnl" w:vendorID="64" w:dllVersion="6" w:nlCheck="1" w:checkStyle="1"/>
  <w:activeWritingStyle w:appName="MSWord" w:lang="fr-FR"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fr-CH" w:vendorID="64" w:dllVersion="0" w:nlCheck="1" w:checkStyle="0"/>
  <w:activeWritingStyle w:appName="MSWord" w:lang="es-ES" w:vendorID="64" w:dllVersion="0" w:nlCheck="1" w:checkStyle="0"/>
  <w:activeWritingStyle w:appName="MSWord" w:lang="en-GB" w:vendorID="64" w:dllVersion="0" w:nlCheck="1" w:checkStyle="0"/>
  <w:activeWritingStyle w:appName="MSWord" w:lang="en-GB" w:vendorID="64" w:dllVersion="4096" w:nlCheck="1" w:checkStyle="0"/>
  <w:activeWritingStyle w:appName="MSWord" w:lang="es-ES" w:vendorID="64" w:dllVersion="4096" w:nlCheck="1" w:checkStyle="0"/>
  <w:activeWritingStyle w:appName="MSWord" w:lang="en-US" w:vendorID="64" w:dllVersion="4096" w:nlCheck="1" w:checkStyle="0"/>
  <w:activeWritingStyle w:appName="MSWord" w:lang="es-ES_tradnl" w:vendorID="64" w:dllVersion="4096" w:nlCheck="1" w:checkStyle="0"/>
  <w:activeWritingStyle w:appName="MSWord" w:lang="fr-CH" w:vendorID="64" w:dllVersion="4096" w:nlCheck="1" w:checkStyle="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50">
      <o:colormru v:ext="edit" colors="#d62a47,#f8f8f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F1E"/>
    <w:rsid w:val="00010135"/>
    <w:rsid w:val="00013002"/>
    <w:rsid w:val="000246E0"/>
    <w:rsid w:val="00025391"/>
    <w:rsid w:val="00036EE3"/>
    <w:rsid w:val="00072484"/>
    <w:rsid w:val="00095530"/>
    <w:rsid w:val="00096612"/>
    <w:rsid w:val="000A4A32"/>
    <w:rsid w:val="000B1B2B"/>
    <w:rsid w:val="000B7683"/>
    <w:rsid w:val="000D0677"/>
    <w:rsid w:val="000E0548"/>
    <w:rsid w:val="000E6A6E"/>
    <w:rsid w:val="000F3C50"/>
    <w:rsid w:val="00102934"/>
    <w:rsid w:val="00120C75"/>
    <w:rsid w:val="00127EEB"/>
    <w:rsid w:val="00131EE7"/>
    <w:rsid w:val="00147110"/>
    <w:rsid w:val="001511A6"/>
    <w:rsid w:val="00171C4D"/>
    <w:rsid w:val="0017562F"/>
    <w:rsid w:val="0019307B"/>
    <w:rsid w:val="001B0927"/>
    <w:rsid w:val="001B164E"/>
    <w:rsid w:val="001B7886"/>
    <w:rsid w:val="001C079E"/>
    <w:rsid w:val="001F38BB"/>
    <w:rsid w:val="002058CE"/>
    <w:rsid w:val="002165F1"/>
    <w:rsid w:val="00233211"/>
    <w:rsid w:val="00260B24"/>
    <w:rsid w:val="0027411A"/>
    <w:rsid w:val="00276D21"/>
    <w:rsid w:val="00282DCF"/>
    <w:rsid w:val="002900BA"/>
    <w:rsid w:val="00296D7F"/>
    <w:rsid w:val="002A5D45"/>
    <w:rsid w:val="002B3CF6"/>
    <w:rsid w:val="002B3E59"/>
    <w:rsid w:val="002C768A"/>
    <w:rsid w:val="002D0BD7"/>
    <w:rsid w:val="002D58FC"/>
    <w:rsid w:val="002D76C4"/>
    <w:rsid w:val="002F5199"/>
    <w:rsid w:val="00301DB3"/>
    <w:rsid w:val="00305119"/>
    <w:rsid w:val="003157F1"/>
    <w:rsid w:val="00346EC2"/>
    <w:rsid w:val="00356B5D"/>
    <w:rsid w:val="00357707"/>
    <w:rsid w:val="0036627C"/>
    <w:rsid w:val="003A2BFD"/>
    <w:rsid w:val="003E5516"/>
    <w:rsid w:val="003F4B75"/>
    <w:rsid w:val="003F764E"/>
    <w:rsid w:val="00410651"/>
    <w:rsid w:val="00420DFD"/>
    <w:rsid w:val="00425BC7"/>
    <w:rsid w:val="00437A76"/>
    <w:rsid w:val="004437E9"/>
    <w:rsid w:val="00445C2F"/>
    <w:rsid w:val="004604B2"/>
    <w:rsid w:val="00470E28"/>
    <w:rsid w:val="00472F1E"/>
    <w:rsid w:val="0047379B"/>
    <w:rsid w:val="00474170"/>
    <w:rsid w:val="00477729"/>
    <w:rsid w:val="0048147C"/>
    <w:rsid w:val="004842E2"/>
    <w:rsid w:val="00486EB3"/>
    <w:rsid w:val="004934C5"/>
    <w:rsid w:val="00497B80"/>
    <w:rsid w:val="004A1A6C"/>
    <w:rsid w:val="004A6FEB"/>
    <w:rsid w:val="004D298F"/>
    <w:rsid w:val="004E61FF"/>
    <w:rsid w:val="005373E0"/>
    <w:rsid w:val="00556548"/>
    <w:rsid w:val="00571B1C"/>
    <w:rsid w:val="00576D47"/>
    <w:rsid w:val="00586EF8"/>
    <w:rsid w:val="005A5760"/>
    <w:rsid w:val="005B0371"/>
    <w:rsid w:val="005B49AB"/>
    <w:rsid w:val="005B50E7"/>
    <w:rsid w:val="005C22C4"/>
    <w:rsid w:val="005C4BAB"/>
    <w:rsid w:val="005D7FAD"/>
    <w:rsid w:val="005E12A5"/>
    <w:rsid w:val="005E69F0"/>
    <w:rsid w:val="005E7B4F"/>
    <w:rsid w:val="005F003B"/>
    <w:rsid w:val="005F2E73"/>
    <w:rsid w:val="00601882"/>
    <w:rsid w:val="0060228C"/>
    <w:rsid w:val="00606BCB"/>
    <w:rsid w:val="00607D68"/>
    <w:rsid w:val="00613212"/>
    <w:rsid w:val="006149B1"/>
    <w:rsid w:val="00640332"/>
    <w:rsid w:val="00680D2B"/>
    <w:rsid w:val="00681B32"/>
    <w:rsid w:val="0069322D"/>
    <w:rsid w:val="00697887"/>
    <w:rsid w:val="006B1D2B"/>
    <w:rsid w:val="006B1E05"/>
    <w:rsid w:val="006C37D5"/>
    <w:rsid w:val="006E1131"/>
    <w:rsid w:val="006E2037"/>
    <w:rsid w:val="006E6199"/>
    <w:rsid w:val="00712870"/>
    <w:rsid w:val="00714AC0"/>
    <w:rsid w:val="0074147D"/>
    <w:rsid w:val="00743D85"/>
    <w:rsid w:val="00744F8B"/>
    <w:rsid w:val="00747D6E"/>
    <w:rsid w:val="00753CF4"/>
    <w:rsid w:val="007565CC"/>
    <w:rsid w:val="007624B1"/>
    <w:rsid w:val="00763B9A"/>
    <w:rsid w:val="00776D7A"/>
    <w:rsid w:val="007A6AA8"/>
    <w:rsid w:val="007B1357"/>
    <w:rsid w:val="007B3343"/>
    <w:rsid w:val="007B3BDB"/>
    <w:rsid w:val="008310C9"/>
    <w:rsid w:val="008335F0"/>
    <w:rsid w:val="00834306"/>
    <w:rsid w:val="008407BB"/>
    <w:rsid w:val="00853CC5"/>
    <w:rsid w:val="00877E6E"/>
    <w:rsid w:val="008951E0"/>
    <w:rsid w:val="008B083A"/>
    <w:rsid w:val="008C65A4"/>
    <w:rsid w:val="008C7848"/>
    <w:rsid w:val="008E45AB"/>
    <w:rsid w:val="00906589"/>
    <w:rsid w:val="00906AD6"/>
    <w:rsid w:val="00917AF2"/>
    <w:rsid w:val="0092418A"/>
    <w:rsid w:val="00934ED7"/>
    <w:rsid w:val="00940D16"/>
    <w:rsid w:val="00944A01"/>
    <w:rsid w:val="009543C3"/>
    <w:rsid w:val="00966E1B"/>
    <w:rsid w:val="00972F51"/>
    <w:rsid w:val="00984A02"/>
    <w:rsid w:val="009947C0"/>
    <w:rsid w:val="009A4039"/>
    <w:rsid w:val="009A41F9"/>
    <w:rsid w:val="009D4BBD"/>
    <w:rsid w:val="009F2D2C"/>
    <w:rsid w:val="009F5580"/>
    <w:rsid w:val="00A03C0E"/>
    <w:rsid w:val="00A16BE1"/>
    <w:rsid w:val="00A239D1"/>
    <w:rsid w:val="00A25EE2"/>
    <w:rsid w:val="00A279F0"/>
    <w:rsid w:val="00A31928"/>
    <w:rsid w:val="00A35B27"/>
    <w:rsid w:val="00A507D4"/>
    <w:rsid w:val="00A5147A"/>
    <w:rsid w:val="00A54B73"/>
    <w:rsid w:val="00A62A14"/>
    <w:rsid w:val="00A6617B"/>
    <w:rsid w:val="00A71FE5"/>
    <w:rsid w:val="00A7534B"/>
    <w:rsid w:val="00A76007"/>
    <w:rsid w:val="00A86DD2"/>
    <w:rsid w:val="00A936CB"/>
    <w:rsid w:val="00A971A1"/>
    <w:rsid w:val="00AA3AD8"/>
    <w:rsid w:val="00AB0DC8"/>
    <w:rsid w:val="00AB405C"/>
    <w:rsid w:val="00AC015D"/>
    <w:rsid w:val="00AC37E3"/>
    <w:rsid w:val="00AD1D24"/>
    <w:rsid w:val="00AE698D"/>
    <w:rsid w:val="00AF0286"/>
    <w:rsid w:val="00AF5326"/>
    <w:rsid w:val="00B019A2"/>
    <w:rsid w:val="00B0286E"/>
    <w:rsid w:val="00B033C8"/>
    <w:rsid w:val="00B111CE"/>
    <w:rsid w:val="00B33425"/>
    <w:rsid w:val="00B42334"/>
    <w:rsid w:val="00B44E24"/>
    <w:rsid w:val="00B54ECC"/>
    <w:rsid w:val="00B60AC0"/>
    <w:rsid w:val="00B714F3"/>
    <w:rsid w:val="00B75A52"/>
    <w:rsid w:val="00B84FD0"/>
    <w:rsid w:val="00B874C6"/>
    <w:rsid w:val="00B87B6B"/>
    <w:rsid w:val="00B9169E"/>
    <w:rsid w:val="00B96572"/>
    <w:rsid w:val="00BB0558"/>
    <w:rsid w:val="00BB7886"/>
    <w:rsid w:val="00BC5D77"/>
    <w:rsid w:val="00BD4283"/>
    <w:rsid w:val="00BF487A"/>
    <w:rsid w:val="00BF5544"/>
    <w:rsid w:val="00C15F3E"/>
    <w:rsid w:val="00C46BD9"/>
    <w:rsid w:val="00C55258"/>
    <w:rsid w:val="00C73560"/>
    <w:rsid w:val="00C84DB7"/>
    <w:rsid w:val="00C87A35"/>
    <w:rsid w:val="00CB0F14"/>
    <w:rsid w:val="00CC2574"/>
    <w:rsid w:val="00CD659B"/>
    <w:rsid w:val="00CE0A43"/>
    <w:rsid w:val="00CF130D"/>
    <w:rsid w:val="00D00118"/>
    <w:rsid w:val="00D0483A"/>
    <w:rsid w:val="00D1270A"/>
    <w:rsid w:val="00D16749"/>
    <w:rsid w:val="00D5024B"/>
    <w:rsid w:val="00D61962"/>
    <w:rsid w:val="00D72623"/>
    <w:rsid w:val="00D76B70"/>
    <w:rsid w:val="00D83556"/>
    <w:rsid w:val="00DE5556"/>
    <w:rsid w:val="00DF4176"/>
    <w:rsid w:val="00E0095C"/>
    <w:rsid w:val="00E17240"/>
    <w:rsid w:val="00E73906"/>
    <w:rsid w:val="00E74595"/>
    <w:rsid w:val="00E77485"/>
    <w:rsid w:val="00EB1CB6"/>
    <w:rsid w:val="00EB7C57"/>
    <w:rsid w:val="00ED1EFA"/>
    <w:rsid w:val="00ED2695"/>
    <w:rsid w:val="00ED3CA8"/>
    <w:rsid w:val="00EE04BA"/>
    <w:rsid w:val="00EE47C4"/>
    <w:rsid w:val="00EF2D52"/>
    <w:rsid w:val="00F111D6"/>
    <w:rsid w:val="00F17CED"/>
    <w:rsid w:val="00F30C9B"/>
    <w:rsid w:val="00F354B1"/>
    <w:rsid w:val="00F354D7"/>
    <w:rsid w:val="00F4355D"/>
    <w:rsid w:val="00F6343F"/>
    <w:rsid w:val="00F72776"/>
    <w:rsid w:val="00F77360"/>
    <w:rsid w:val="00F92A40"/>
    <w:rsid w:val="00FB0E4E"/>
    <w:rsid w:val="00FE79FE"/>
    <w:rsid w:val="00FF322B"/>
    <w:rsid w:val="00FF6B1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d62a47,#f8f8f8"/>
    </o:shapedefaults>
    <o:shapelayout v:ext="edit">
      <o:idmap v:ext="edit" data="2"/>
    </o:shapelayout>
  </w:shapeDefaults>
  <w:decimalSymbol w:val="."/>
  <w:listSeparator w:val=","/>
  <w14:docId w14:val="0C556A8E"/>
  <w15:docId w15:val="{ADBE494D-9119-4C27-9AF2-2513D5EDB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437E9"/>
    <w:pPr>
      <w:tabs>
        <w:tab w:val="left" w:pos="794"/>
        <w:tab w:val="left" w:pos="1191"/>
        <w:tab w:val="left" w:pos="1588"/>
        <w:tab w:val="left" w:pos="1985"/>
      </w:tabs>
      <w:overflowPunct w:val="0"/>
      <w:autoSpaceDE w:val="0"/>
      <w:autoSpaceDN w:val="0"/>
      <w:adjustRightInd w:val="0"/>
      <w:spacing w:before="120"/>
      <w:jc w:val="both"/>
      <w:textAlignment w:val="baseline"/>
    </w:pPr>
    <w:rPr>
      <w:sz w:val="24"/>
      <w:lang w:val="es-ES" w:eastAsia="en-US"/>
    </w:rPr>
  </w:style>
  <w:style w:type="paragraph" w:styleId="Heading1">
    <w:name w:val="heading 1"/>
    <w:basedOn w:val="Normal"/>
    <w:next w:val="Normal"/>
    <w:qFormat/>
    <w:rsid w:val="00A936CB"/>
    <w:pPr>
      <w:keepNext/>
      <w:keepLines/>
      <w:spacing w:before="480"/>
      <w:ind w:left="794" w:hanging="794"/>
      <w:outlineLvl w:val="0"/>
    </w:pPr>
    <w:rPr>
      <w:b/>
    </w:rPr>
  </w:style>
  <w:style w:type="paragraph" w:styleId="Heading2">
    <w:name w:val="heading 2"/>
    <w:basedOn w:val="Heading1"/>
    <w:next w:val="Normal"/>
    <w:qFormat/>
    <w:rsid w:val="00A936CB"/>
    <w:pPr>
      <w:spacing w:before="320"/>
      <w:outlineLvl w:val="1"/>
    </w:pPr>
  </w:style>
  <w:style w:type="paragraph" w:styleId="Heading3">
    <w:name w:val="heading 3"/>
    <w:basedOn w:val="Heading1"/>
    <w:next w:val="Normal"/>
    <w:qFormat/>
    <w:rsid w:val="00A936CB"/>
    <w:pPr>
      <w:spacing w:before="200"/>
      <w:outlineLvl w:val="2"/>
    </w:pPr>
  </w:style>
  <w:style w:type="paragraph" w:styleId="Heading4">
    <w:name w:val="heading 4"/>
    <w:basedOn w:val="Heading3"/>
    <w:next w:val="Normal"/>
    <w:qFormat/>
    <w:rsid w:val="00A936CB"/>
    <w:pPr>
      <w:tabs>
        <w:tab w:val="clear" w:pos="794"/>
        <w:tab w:val="left" w:pos="992"/>
      </w:tabs>
      <w:ind w:left="992" w:hanging="992"/>
      <w:outlineLvl w:val="3"/>
    </w:pPr>
  </w:style>
  <w:style w:type="paragraph" w:styleId="Heading5">
    <w:name w:val="heading 5"/>
    <w:basedOn w:val="Heading4"/>
    <w:next w:val="Normal"/>
    <w:qFormat/>
    <w:rsid w:val="00A936CB"/>
    <w:pPr>
      <w:outlineLvl w:val="4"/>
    </w:pPr>
  </w:style>
  <w:style w:type="paragraph" w:styleId="Heading6">
    <w:name w:val="heading 6"/>
    <w:basedOn w:val="Heading4"/>
    <w:next w:val="Normal"/>
    <w:qFormat/>
    <w:rsid w:val="00A936CB"/>
    <w:pPr>
      <w:tabs>
        <w:tab w:val="clear" w:pos="992"/>
        <w:tab w:val="clear" w:pos="1191"/>
      </w:tabs>
      <w:ind w:left="1588" w:hanging="1588"/>
      <w:outlineLvl w:val="5"/>
    </w:pPr>
  </w:style>
  <w:style w:type="paragraph" w:styleId="Heading7">
    <w:name w:val="heading 7"/>
    <w:basedOn w:val="Heading6"/>
    <w:next w:val="Normal"/>
    <w:qFormat/>
    <w:rsid w:val="00A936CB"/>
    <w:pPr>
      <w:outlineLvl w:val="6"/>
    </w:pPr>
  </w:style>
  <w:style w:type="paragraph" w:styleId="Heading8">
    <w:name w:val="heading 8"/>
    <w:basedOn w:val="Heading6"/>
    <w:next w:val="Normal"/>
    <w:qFormat/>
    <w:rsid w:val="00A936CB"/>
    <w:pPr>
      <w:outlineLvl w:val="7"/>
    </w:pPr>
  </w:style>
  <w:style w:type="paragraph" w:styleId="Heading9">
    <w:name w:val="heading 9"/>
    <w:basedOn w:val="Heading6"/>
    <w:next w:val="Normal"/>
    <w:qFormat/>
    <w:rsid w:val="00A936CB"/>
    <w:pPr>
      <w:jc w:val="lef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936CB"/>
    <w:pPr>
      <w:tabs>
        <w:tab w:val="clear" w:pos="794"/>
        <w:tab w:val="clear" w:pos="1191"/>
        <w:tab w:val="clear" w:pos="1588"/>
        <w:tab w:val="clear" w:pos="1985"/>
        <w:tab w:val="center" w:pos="4848"/>
        <w:tab w:val="right" w:pos="9696"/>
      </w:tabs>
      <w:spacing w:before="0"/>
      <w:jc w:val="center"/>
    </w:pPr>
  </w:style>
  <w:style w:type="paragraph" w:styleId="Footer">
    <w:name w:val="footer"/>
    <w:basedOn w:val="Normal"/>
    <w:rsid w:val="00A936CB"/>
    <w:pPr>
      <w:tabs>
        <w:tab w:val="clear" w:pos="794"/>
        <w:tab w:val="clear" w:pos="1191"/>
        <w:tab w:val="clear" w:pos="1588"/>
        <w:tab w:val="clear" w:pos="1985"/>
      </w:tabs>
      <w:spacing w:before="0"/>
    </w:pPr>
    <w:rPr>
      <w:noProof/>
      <w:sz w:val="18"/>
    </w:rPr>
  </w:style>
  <w:style w:type="character" w:styleId="PageNumber">
    <w:name w:val="page number"/>
    <w:basedOn w:val="DefaultParagraphFont"/>
    <w:rsid w:val="00A936CB"/>
  </w:style>
  <w:style w:type="paragraph" w:customStyle="1" w:styleId="Headingb">
    <w:name w:val="Heading_b"/>
    <w:basedOn w:val="Heading3"/>
    <w:next w:val="Normal"/>
    <w:link w:val="HeadingbChar"/>
    <w:qFormat/>
    <w:rsid w:val="00A936CB"/>
    <w:pPr>
      <w:spacing w:before="160"/>
      <w:ind w:left="0" w:firstLine="0"/>
      <w:outlineLvl w:val="9"/>
    </w:pPr>
  </w:style>
  <w:style w:type="paragraph" w:customStyle="1" w:styleId="Headingi">
    <w:name w:val="Heading_i"/>
    <w:basedOn w:val="Heading3"/>
    <w:next w:val="Normal"/>
    <w:rsid w:val="00A936CB"/>
    <w:pPr>
      <w:spacing w:before="160"/>
      <w:ind w:left="0" w:firstLine="0"/>
    </w:pPr>
    <w:rPr>
      <w:b w:val="0"/>
      <w:i/>
    </w:rPr>
  </w:style>
  <w:style w:type="character" w:customStyle="1" w:styleId="href">
    <w:name w:val="href"/>
    <w:basedOn w:val="DefaultParagraphFont"/>
    <w:rsid w:val="00A936CB"/>
  </w:style>
  <w:style w:type="paragraph" w:customStyle="1" w:styleId="AnnexNoTitle">
    <w:name w:val="Annex_NoTitle"/>
    <w:basedOn w:val="Normal"/>
    <w:next w:val="Normalaftertitle"/>
    <w:rsid w:val="004D298F"/>
    <w:pPr>
      <w:keepNext/>
      <w:keepLines/>
      <w:spacing w:before="480" w:after="80"/>
      <w:jc w:val="center"/>
      <w:outlineLvl w:val="0"/>
    </w:pPr>
    <w:rPr>
      <w:b/>
      <w:sz w:val="28"/>
    </w:rPr>
  </w:style>
  <w:style w:type="paragraph" w:customStyle="1" w:styleId="Normalaftertitle">
    <w:name w:val="Normal_after_title"/>
    <w:basedOn w:val="Normal"/>
    <w:next w:val="Normal"/>
    <w:link w:val="NormalaftertitleChar"/>
    <w:uiPriority w:val="99"/>
    <w:rsid w:val="00A936CB"/>
    <w:pPr>
      <w:spacing w:before="320"/>
    </w:pPr>
  </w:style>
  <w:style w:type="paragraph" w:customStyle="1" w:styleId="enumlev2">
    <w:name w:val="enumlev2"/>
    <w:basedOn w:val="enumlev1"/>
    <w:rsid w:val="00A936CB"/>
    <w:pPr>
      <w:ind w:left="1191" w:hanging="397"/>
    </w:pPr>
  </w:style>
  <w:style w:type="paragraph" w:customStyle="1" w:styleId="enumlev1">
    <w:name w:val="enumlev1"/>
    <w:basedOn w:val="Normal"/>
    <w:rsid w:val="00A936CB"/>
    <w:pPr>
      <w:spacing w:before="80"/>
      <w:ind w:left="794" w:hanging="794"/>
    </w:pPr>
  </w:style>
  <w:style w:type="paragraph" w:customStyle="1" w:styleId="enumlev3">
    <w:name w:val="enumlev3"/>
    <w:basedOn w:val="enumlev2"/>
    <w:rsid w:val="00A936CB"/>
    <w:pPr>
      <w:ind w:left="1588"/>
    </w:pPr>
  </w:style>
  <w:style w:type="paragraph" w:customStyle="1" w:styleId="Note">
    <w:name w:val="Note"/>
    <w:basedOn w:val="Normal"/>
    <w:rsid w:val="00A936CB"/>
    <w:pPr>
      <w:tabs>
        <w:tab w:val="clear" w:pos="794"/>
        <w:tab w:val="clear" w:pos="1191"/>
        <w:tab w:val="clear" w:pos="1588"/>
        <w:tab w:val="clear" w:pos="1985"/>
      </w:tabs>
      <w:spacing w:before="80"/>
    </w:pPr>
    <w:rPr>
      <w:sz w:val="22"/>
    </w:rPr>
  </w:style>
  <w:style w:type="paragraph" w:customStyle="1" w:styleId="RecNo">
    <w:name w:val="Rec_No"/>
    <w:basedOn w:val="Normal"/>
    <w:next w:val="Rectitle"/>
    <w:rsid w:val="00A936CB"/>
    <w:pPr>
      <w:keepNext/>
      <w:keepLines/>
      <w:tabs>
        <w:tab w:val="clear" w:pos="794"/>
        <w:tab w:val="clear" w:pos="1191"/>
        <w:tab w:val="clear" w:pos="1588"/>
        <w:tab w:val="clear" w:pos="1985"/>
      </w:tabs>
      <w:spacing w:before="480"/>
      <w:jc w:val="center"/>
    </w:pPr>
    <w:rPr>
      <w:sz w:val="28"/>
    </w:rPr>
  </w:style>
  <w:style w:type="paragraph" w:customStyle="1" w:styleId="Rectitle">
    <w:name w:val="Rec_title"/>
    <w:basedOn w:val="Normal"/>
    <w:next w:val="Recref"/>
    <w:rsid w:val="00A936CB"/>
    <w:pPr>
      <w:keepNext/>
      <w:keepLines/>
      <w:spacing w:before="240"/>
      <w:jc w:val="center"/>
    </w:pPr>
    <w:rPr>
      <w:b/>
      <w:sz w:val="28"/>
    </w:rPr>
  </w:style>
  <w:style w:type="paragraph" w:customStyle="1" w:styleId="Recref">
    <w:name w:val="Rec_ref"/>
    <w:basedOn w:val="Normal"/>
    <w:next w:val="Recdate"/>
    <w:rsid w:val="00A936CB"/>
    <w:pPr>
      <w:jc w:val="center"/>
    </w:pPr>
  </w:style>
  <w:style w:type="paragraph" w:customStyle="1" w:styleId="Recdate">
    <w:name w:val="Rec_date"/>
    <w:basedOn w:val="Recref"/>
    <w:next w:val="Normalaftertitle"/>
    <w:rsid w:val="00A936CB"/>
    <w:pPr>
      <w:jc w:val="right"/>
    </w:pPr>
  </w:style>
  <w:style w:type="paragraph" w:customStyle="1" w:styleId="HeadingSum">
    <w:name w:val="Heading_Sum"/>
    <w:basedOn w:val="Headingb"/>
    <w:next w:val="Normal"/>
    <w:autoRedefine/>
    <w:rsid w:val="0060228C"/>
    <w:pPr>
      <w:spacing w:before="240"/>
    </w:pPr>
    <w:rPr>
      <w:sz w:val="22"/>
      <w:lang w:val="es-ES_tradnl"/>
    </w:rPr>
  </w:style>
  <w:style w:type="paragraph" w:customStyle="1" w:styleId="AppendixNoTitle">
    <w:name w:val="Appendix_NoTitle"/>
    <w:basedOn w:val="AnnexNoTitle"/>
    <w:next w:val="Normal"/>
    <w:rsid w:val="00A936CB"/>
  </w:style>
  <w:style w:type="paragraph" w:customStyle="1" w:styleId="Tablefin">
    <w:name w:val="Table_fin"/>
    <w:basedOn w:val="Normal"/>
    <w:next w:val="Normal"/>
    <w:rsid w:val="00A936CB"/>
    <w:pPr>
      <w:spacing w:before="0"/>
    </w:pPr>
    <w:rPr>
      <w:sz w:val="20"/>
      <w:lang w:val="en-GB"/>
    </w:rPr>
  </w:style>
  <w:style w:type="paragraph" w:customStyle="1" w:styleId="Tablehead">
    <w:name w:val="Table_head"/>
    <w:basedOn w:val="Normal"/>
    <w:next w:val="Normal"/>
    <w:rsid w:val="00A936C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rsid w:val="00A936C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284" w:right="-85" w:hanging="369"/>
    </w:pPr>
    <w:rPr>
      <w:sz w:val="22"/>
    </w:rPr>
  </w:style>
  <w:style w:type="paragraph" w:customStyle="1" w:styleId="TableNo">
    <w:name w:val="Table_No"/>
    <w:basedOn w:val="Normal"/>
    <w:next w:val="Normal"/>
    <w:rsid w:val="00A936CB"/>
    <w:pPr>
      <w:keepNext/>
      <w:spacing w:before="360" w:after="120"/>
      <w:jc w:val="center"/>
    </w:pPr>
  </w:style>
  <w:style w:type="paragraph" w:customStyle="1" w:styleId="Tabletext">
    <w:name w:val="Table_text"/>
    <w:basedOn w:val="Normal"/>
    <w:rsid w:val="00A936C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Equation">
    <w:name w:val="Equation"/>
    <w:basedOn w:val="Normal"/>
    <w:rsid w:val="00A936CB"/>
    <w:pPr>
      <w:tabs>
        <w:tab w:val="clear" w:pos="1191"/>
        <w:tab w:val="clear" w:pos="1588"/>
        <w:tab w:val="clear" w:pos="1985"/>
        <w:tab w:val="center" w:pos="4820"/>
        <w:tab w:val="right" w:pos="9639"/>
      </w:tabs>
    </w:pPr>
  </w:style>
  <w:style w:type="paragraph" w:customStyle="1" w:styleId="Equationlegend">
    <w:name w:val="Equation_legend"/>
    <w:basedOn w:val="NormalIndent"/>
    <w:rsid w:val="00A936CB"/>
    <w:pPr>
      <w:tabs>
        <w:tab w:val="clear" w:pos="794"/>
        <w:tab w:val="clear" w:pos="1191"/>
        <w:tab w:val="clear" w:pos="1588"/>
        <w:tab w:val="right" w:pos="1701"/>
      </w:tabs>
      <w:spacing w:before="80"/>
      <w:ind w:left="1985" w:hanging="1985"/>
    </w:pPr>
    <w:rPr>
      <w:lang w:val="en-US"/>
    </w:rPr>
  </w:style>
  <w:style w:type="paragraph" w:styleId="NormalIndent">
    <w:name w:val="Normal Indent"/>
    <w:basedOn w:val="Normal"/>
    <w:rsid w:val="00A936CB"/>
    <w:pPr>
      <w:ind w:left="794"/>
    </w:pPr>
  </w:style>
  <w:style w:type="paragraph" w:customStyle="1" w:styleId="Figurelegend">
    <w:name w:val="Figure_legend"/>
    <w:basedOn w:val="Normal"/>
    <w:rsid w:val="00A936CB"/>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link w:val="FigureNoChar"/>
    <w:rsid w:val="00A936CB"/>
    <w:pPr>
      <w:keepNext/>
      <w:keepLines/>
      <w:spacing w:before="480" w:after="80"/>
      <w:jc w:val="center"/>
    </w:pPr>
    <w:rPr>
      <w:caps/>
      <w:sz w:val="18"/>
    </w:rPr>
  </w:style>
  <w:style w:type="paragraph" w:customStyle="1" w:styleId="Figuretitle">
    <w:name w:val="Figure_title"/>
    <w:basedOn w:val="Normal"/>
    <w:next w:val="Figure"/>
    <w:link w:val="FiguretitleChar"/>
    <w:rsid w:val="00A936CB"/>
    <w:pPr>
      <w:keepNext/>
      <w:spacing w:before="0" w:after="120"/>
      <w:jc w:val="center"/>
    </w:pPr>
    <w:rPr>
      <w:rFonts w:ascii="Times New Roman Bold" w:hAnsi="Times New Roman Bold"/>
      <w:b/>
      <w:sz w:val="18"/>
    </w:rPr>
  </w:style>
  <w:style w:type="paragraph" w:customStyle="1" w:styleId="Figure">
    <w:name w:val="Figure"/>
    <w:basedOn w:val="FigureNo"/>
    <w:next w:val="Normal"/>
    <w:link w:val="FigureChar"/>
    <w:rsid w:val="00A936CB"/>
    <w:pPr>
      <w:keepNext w:val="0"/>
      <w:spacing w:before="0" w:after="240"/>
    </w:pPr>
  </w:style>
  <w:style w:type="paragraph" w:customStyle="1" w:styleId="tocpart">
    <w:name w:val="tocpart"/>
    <w:basedOn w:val="Normal"/>
    <w:rsid w:val="00A936CB"/>
    <w:pPr>
      <w:tabs>
        <w:tab w:val="clear" w:pos="794"/>
        <w:tab w:val="clear" w:pos="1191"/>
        <w:tab w:val="clear" w:pos="1588"/>
        <w:tab w:val="clear" w:pos="1985"/>
        <w:tab w:val="left" w:pos="2693"/>
        <w:tab w:val="left" w:pos="8789"/>
        <w:tab w:val="right" w:pos="9639"/>
      </w:tabs>
      <w:ind w:left="2693" w:hanging="2693"/>
    </w:pPr>
  </w:style>
  <w:style w:type="paragraph" w:customStyle="1" w:styleId="ArtNo">
    <w:name w:val="Art_No"/>
    <w:basedOn w:val="Normal"/>
    <w:next w:val="Normal"/>
    <w:rsid w:val="00A936CB"/>
    <w:pPr>
      <w:keepNext/>
      <w:keepLines/>
      <w:spacing w:before="480"/>
      <w:jc w:val="center"/>
    </w:pPr>
    <w:rPr>
      <w:sz w:val="28"/>
    </w:rPr>
  </w:style>
  <w:style w:type="paragraph" w:customStyle="1" w:styleId="Arttitle">
    <w:name w:val="Art_title"/>
    <w:basedOn w:val="Normal"/>
    <w:next w:val="Normalaftertitle"/>
    <w:rsid w:val="00A936CB"/>
    <w:pPr>
      <w:keepNext/>
      <w:keepLines/>
      <w:spacing w:before="240"/>
      <w:jc w:val="center"/>
    </w:pPr>
    <w:rPr>
      <w:b/>
      <w:sz w:val="28"/>
    </w:rPr>
  </w:style>
  <w:style w:type="paragraph" w:customStyle="1" w:styleId="Blanc">
    <w:name w:val="Blanc"/>
    <w:basedOn w:val="Normal"/>
    <w:next w:val="Tabletext"/>
    <w:rsid w:val="00A936CB"/>
    <w:pPr>
      <w:keepNext/>
      <w:keepLines/>
      <w:tabs>
        <w:tab w:val="clear" w:pos="794"/>
        <w:tab w:val="clear" w:pos="1191"/>
        <w:tab w:val="clear" w:pos="1588"/>
        <w:tab w:val="clear" w:pos="1985"/>
      </w:tabs>
      <w:spacing w:before="0"/>
    </w:pPr>
    <w:rPr>
      <w:sz w:val="16"/>
      <w:lang w:val="en-GB"/>
    </w:rPr>
  </w:style>
  <w:style w:type="paragraph" w:customStyle="1" w:styleId="ASN1">
    <w:name w:val="ASN.1"/>
    <w:basedOn w:val="Normal"/>
    <w:next w:val="Normal"/>
    <w:rsid w:val="00A936CB"/>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Call">
    <w:name w:val="Call"/>
    <w:basedOn w:val="Normal"/>
    <w:next w:val="Normal"/>
    <w:link w:val="CallChar"/>
    <w:rsid w:val="00A936CB"/>
    <w:pPr>
      <w:keepNext/>
      <w:keepLines/>
      <w:spacing w:before="160"/>
      <w:ind w:left="794"/>
    </w:pPr>
    <w:rPr>
      <w:i/>
    </w:rPr>
  </w:style>
  <w:style w:type="paragraph" w:customStyle="1" w:styleId="ChapNo">
    <w:name w:val="Chap_No"/>
    <w:basedOn w:val="ArtNo"/>
    <w:next w:val="Chaptitle"/>
    <w:rsid w:val="00A936CB"/>
    <w:rPr>
      <w:b/>
    </w:rPr>
  </w:style>
  <w:style w:type="paragraph" w:customStyle="1" w:styleId="Chaptitle">
    <w:name w:val="Chap_title"/>
    <w:basedOn w:val="Arttitle"/>
    <w:next w:val="Normalaftertitle"/>
    <w:rsid w:val="00A936CB"/>
  </w:style>
  <w:style w:type="character" w:styleId="FootnoteReference">
    <w:name w:val="footnote reference"/>
    <w:aliases w:val="Footnote Reference/,Appel note de bas de p,Footnote symbol,Style 13"/>
    <w:basedOn w:val="DefaultParagraphFont"/>
    <w:rsid w:val="00A936CB"/>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Char1,fn"/>
    <w:basedOn w:val="Normal"/>
    <w:link w:val="FootnoteTextChar"/>
    <w:rsid w:val="00A936CB"/>
    <w:pPr>
      <w:keepLines/>
      <w:tabs>
        <w:tab w:val="left" w:pos="255"/>
      </w:tabs>
      <w:ind w:left="255" w:hanging="255"/>
    </w:pPr>
    <w:rPr>
      <w:sz w:val="22"/>
    </w:rPr>
  </w:style>
  <w:style w:type="paragraph" w:styleId="Index1">
    <w:name w:val="index 1"/>
    <w:basedOn w:val="Normal"/>
    <w:next w:val="Normal"/>
    <w:semiHidden/>
    <w:rsid w:val="00A936CB"/>
  </w:style>
  <w:style w:type="paragraph" w:styleId="Index2">
    <w:name w:val="index 2"/>
    <w:basedOn w:val="Normal"/>
    <w:next w:val="Normal"/>
    <w:semiHidden/>
    <w:rsid w:val="00A936CB"/>
    <w:pPr>
      <w:ind w:left="283"/>
    </w:pPr>
  </w:style>
  <w:style w:type="paragraph" w:styleId="Index3">
    <w:name w:val="index 3"/>
    <w:basedOn w:val="Normal"/>
    <w:next w:val="Normal"/>
    <w:semiHidden/>
    <w:rsid w:val="00A936CB"/>
    <w:pPr>
      <w:ind w:left="566"/>
    </w:pPr>
  </w:style>
  <w:style w:type="paragraph" w:styleId="IndexHeading">
    <w:name w:val="index heading"/>
    <w:basedOn w:val="Normal"/>
    <w:next w:val="Index1"/>
    <w:semiHidden/>
    <w:rsid w:val="00A936CB"/>
  </w:style>
  <w:style w:type="paragraph" w:customStyle="1" w:styleId="Line">
    <w:name w:val="Line"/>
    <w:basedOn w:val="Normal"/>
    <w:next w:val="Normal"/>
    <w:rsid w:val="00A936CB"/>
    <w:pPr>
      <w:pBdr>
        <w:top w:val="single" w:sz="6" w:space="1" w:color="auto"/>
      </w:pBdr>
      <w:tabs>
        <w:tab w:val="clear" w:pos="794"/>
        <w:tab w:val="clear" w:pos="1191"/>
        <w:tab w:val="clear" w:pos="1588"/>
        <w:tab w:val="clear" w:pos="1985"/>
      </w:tabs>
      <w:spacing w:before="240"/>
      <w:ind w:left="3997" w:right="3997"/>
      <w:jc w:val="center"/>
    </w:pPr>
    <w:rPr>
      <w:sz w:val="20"/>
      <w:lang w:val="en-GB"/>
    </w:rPr>
  </w:style>
  <w:style w:type="paragraph" w:customStyle="1" w:styleId="toctemp">
    <w:name w:val="toctemp"/>
    <w:basedOn w:val="Normal"/>
    <w:rsid w:val="00A936CB"/>
    <w:pPr>
      <w:tabs>
        <w:tab w:val="clear" w:pos="794"/>
        <w:tab w:val="clear" w:pos="1191"/>
        <w:tab w:val="clear" w:pos="1588"/>
        <w:tab w:val="clear" w:pos="1985"/>
        <w:tab w:val="left" w:pos="2693"/>
        <w:tab w:val="left" w:leader="dot" w:pos="8789"/>
        <w:tab w:val="right" w:pos="9639"/>
      </w:tabs>
      <w:ind w:left="2693" w:right="964" w:hanging="2693"/>
    </w:pPr>
  </w:style>
  <w:style w:type="paragraph" w:customStyle="1" w:styleId="PartNo">
    <w:name w:val="Part_No"/>
    <w:basedOn w:val="Normal"/>
    <w:next w:val="Normal"/>
    <w:rsid w:val="00A936CB"/>
  </w:style>
  <w:style w:type="paragraph" w:customStyle="1" w:styleId="Partref">
    <w:name w:val="Part_ref"/>
    <w:basedOn w:val="Normal"/>
    <w:next w:val="Normal"/>
    <w:rsid w:val="00A936CB"/>
    <w:pPr>
      <w:keepNext/>
      <w:keepLines/>
      <w:spacing w:after="280"/>
      <w:jc w:val="center"/>
    </w:pPr>
  </w:style>
  <w:style w:type="paragraph" w:customStyle="1" w:styleId="Parttitle">
    <w:name w:val="Part_title"/>
    <w:basedOn w:val="Normal"/>
    <w:next w:val="Normalaftertitle"/>
    <w:rsid w:val="00A936CB"/>
    <w:pPr>
      <w:keepNext/>
      <w:keepLines/>
      <w:tabs>
        <w:tab w:val="clear" w:pos="794"/>
        <w:tab w:val="clear" w:pos="1191"/>
        <w:tab w:val="clear" w:pos="1588"/>
        <w:tab w:val="clear" w:pos="1985"/>
      </w:tabs>
      <w:spacing w:before="280" w:after="40"/>
      <w:jc w:val="center"/>
    </w:pPr>
    <w:rPr>
      <w:b/>
      <w:sz w:val="28"/>
    </w:rPr>
  </w:style>
  <w:style w:type="paragraph" w:customStyle="1" w:styleId="Questiondate">
    <w:name w:val="Question_date"/>
    <w:basedOn w:val="Recdate"/>
    <w:next w:val="Normalaftertitle"/>
    <w:rsid w:val="00A936CB"/>
  </w:style>
  <w:style w:type="paragraph" w:customStyle="1" w:styleId="QuestionNo">
    <w:name w:val="Question_No"/>
    <w:basedOn w:val="RecNo"/>
    <w:next w:val="Normal"/>
    <w:rsid w:val="00A936CB"/>
  </w:style>
  <w:style w:type="paragraph" w:customStyle="1" w:styleId="Questionref">
    <w:name w:val="Question_ref"/>
    <w:basedOn w:val="Recref"/>
    <w:next w:val="Questiondate"/>
    <w:rsid w:val="00A936CB"/>
  </w:style>
  <w:style w:type="paragraph" w:customStyle="1" w:styleId="Questiontitle">
    <w:name w:val="Question_title"/>
    <w:basedOn w:val="Normal"/>
    <w:next w:val="Questionref"/>
    <w:rsid w:val="00A936CB"/>
  </w:style>
  <w:style w:type="paragraph" w:customStyle="1" w:styleId="Reftext">
    <w:name w:val="Ref_text"/>
    <w:basedOn w:val="Normal"/>
    <w:rsid w:val="00A936CB"/>
    <w:pPr>
      <w:ind w:left="794" w:hanging="794"/>
    </w:pPr>
    <w:rPr>
      <w:sz w:val="22"/>
    </w:rPr>
  </w:style>
  <w:style w:type="paragraph" w:customStyle="1" w:styleId="Reftitle">
    <w:name w:val="Ref_title"/>
    <w:basedOn w:val="Normal"/>
    <w:next w:val="Reftext"/>
    <w:rsid w:val="00A936CB"/>
    <w:pPr>
      <w:tabs>
        <w:tab w:val="clear" w:pos="794"/>
        <w:tab w:val="clear" w:pos="1191"/>
        <w:tab w:val="clear" w:pos="1588"/>
        <w:tab w:val="clear" w:pos="1985"/>
      </w:tabs>
      <w:spacing w:before="480"/>
      <w:jc w:val="center"/>
    </w:pPr>
    <w:rPr>
      <w:b/>
      <w:sz w:val="28"/>
    </w:rPr>
  </w:style>
  <w:style w:type="paragraph" w:customStyle="1" w:styleId="Repdate">
    <w:name w:val="Rep_date"/>
    <w:basedOn w:val="Recdate"/>
    <w:next w:val="Normal"/>
    <w:rsid w:val="00A936CB"/>
  </w:style>
  <w:style w:type="paragraph" w:customStyle="1" w:styleId="RepNo">
    <w:name w:val="Rep_No"/>
    <w:basedOn w:val="RecNo"/>
    <w:next w:val="Reptitle"/>
    <w:rsid w:val="00A936CB"/>
  </w:style>
  <w:style w:type="paragraph" w:customStyle="1" w:styleId="Reptitle">
    <w:name w:val="Rep_title"/>
    <w:basedOn w:val="Rectitle"/>
    <w:next w:val="Repref"/>
    <w:rsid w:val="00A936CB"/>
  </w:style>
  <w:style w:type="paragraph" w:customStyle="1" w:styleId="Repref">
    <w:name w:val="Rep_ref"/>
    <w:basedOn w:val="Recref"/>
    <w:next w:val="Repdate"/>
    <w:rsid w:val="00A936CB"/>
  </w:style>
  <w:style w:type="paragraph" w:customStyle="1" w:styleId="Resdate">
    <w:name w:val="Res_date"/>
    <w:basedOn w:val="Recdate"/>
    <w:next w:val="Normalaftertitle"/>
    <w:rsid w:val="00A936CB"/>
  </w:style>
  <w:style w:type="paragraph" w:customStyle="1" w:styleId="ResNo">
    <w:name w:val="Res_No"/>
    <w:basedOn w:val="RecNo"/>
    <w:next w:val="Restitle"/>
    <w:rsid w:val="00A936CB"/>
  </w:style>
  <w:style w:type="paragraph" w:customStyle="1" w:styleId="Restitle">
    <w:name w:val="Res_title"/>
    <w:basedOn w:val="Normal"/>
    <w:next w:val="Resref"/>
    <w:rsid w:val="00A936CB"/>
    <w:pPr>
      <w:spacing w:before="240"/>
      <w:jc w:val="center"/>
    </w:pPr>
    <w:rPr>
      <w:b/>
      <w:sz w:val="28"/>
    </w:rPr>
  </w:style>
  <w:style w:type="paragraph" w:customStyle="1" w:styleId="Resref">
    <w:name w:val="Res_ref"/>
    <w:basedOn w:val="Recref"/>
    <w:next w:val="Resdate"/>
    <w:rsid w:val="00A936CB"/>
  </w:style>
  <w:style w:type="paragraph" w:customStyle="1" w:styleId="SectionNo">
    <w:name w:val="Section_No"/>
    <w:basedOn w:val="Normal"/>
    <w:next w:val="Normal"/>
    <w:rsid w:val="00A936CB"/>
  </w:style>
  <w:style w:type="paragraph" w:customStyle="1" w:styleId="Sectiontitle">
    <w:name w:val="Section_title"/>
    <w:basedOn w:val="Normal"/>
    <w:next w:val="Normalaftertitle"/>
    <w:rsid w:val="00A936CB"/>
    <w:pPr>
      <w:keepNext/>
      <w:keepLines/>
      <w:tabs>
        <w:tab w:val="clear" w:pos="794"/>
        <w:tab w:val="clear" w:pos="1191"/>
        <w:tab w:val="clear" w:pos="1588"/>
        <w:tab w:val="clear" w:pos="1985"/>
      </w:tabs>
      <w:spacing w:before="280" w:after="40"/>
      <w:jc w:val="center"/>
    </w:pPr>
    <w:rPr>
      <w:b/>
      <w:sz w:val="28"/>
    </w:rPr>
  </w:style>
  <w:style w:type="paragraph" w:customStyle="1" w:styleId="toc0">
    <w:name w:val="toc 0"/>
    <w:basedOn w:val="Normal"/>
    <w:next w:val="TOC1"/>
    <w:rsid w:val="00A936CB"/>
    <w:pPr>
      <w:tabs>
        <w:tab w:val="clear" w:pos="794"/>
        <w:tab w:val="clear" w:pos="1191"/>
        <w:tab w:val="clear" w:pos="1588"/>
        <w:tab w:val="clear" w:pos="1985"/>
        <w:tab w:val="right" w:pos="9611"/>
      </w:tabs>
    </w:pPr>
    <w:rPr>
      <w:i/>
    </w:rPr>
  </w:style>
  <w:style w:type="paragraph" w:styleId="TOC1">
    <w:name w:val="toc 1"/>
    <w:basedOn w:val="Normal"/>
    <w:semiHidden/>
    <w:rsid w:val="00A936CB"/>
    <w:pPr>
      <w:keepLines/>
      <w:tabs>
        <w:tab w:val="clear" w:pos="794"/>
        <w:tab w:val="clear" w:pos="1191"/>
        <w:tab w:val="clear" w:pos="1588"/>
        <w:tab w:val="clear" w:pos="1985"/>
        <w:tab w:val="left" w:pos="567"/>
        <w:tab w:val="left" w:leader="dot" w:pos="8789"/>
        <w:tab w:val="right" w:pos="9611"/>
      </w:tabs>
      <w:spacing w:before="240"/>
      <w:ind w:left="567" w:right="851" w:hanging="567"/>
    </w:pPr>
    <w:rPr>
      <w:lang w:val="en-US"/>
    </w:rPr>
  </w:style>
  <w:style w:type="paragraph" w:styleId="TOC2">
    <w:name w:val="toc 2"/>
    <w:basedOn w:val="TOC1"/>
    <w:semiHidden/>
    <w:rsid w:val="00A936CB"/>
    <w:pPr>
      <w:tabs>
        <w:tab w:val="clear" w:pos="567"/>
        <w:tab w:val="left" w:pos="1276"/>
      </w:tabs>
      <w:spacing w:before="160"/>
      <w:ind w:left="1276" w:hanging="709"/>
    </w:pPr>
  </w:style>
  <w:style w:type="paragraph" w:styleId="TOC3">
    <w:name w:val="toc 3"/>
    <w:basedOn w:val="TOC2"/>
    <w:semiHidden/>
    <w:rsid w:val="00A936CB"/>
    <w:pPr>
      <w:tabs>
        <w:tab w:val="clear" w:pos="1276"/>
        <w:tab w:val="left" w:pos="2155"/>
      </w:tabs>
      <w:ind w:left="2155" w:hanging="879"/>
    </w:pPr>
  </w:style>
  <w:style w:type="paragraph" w:styleId="TOC4">
    <w:name w:val="toc 4"/>
    <w:basedOn w:val="TOC3"/>
    <w:semiHidden/>
    <w:rsid w:val="00A936CB"/>
    <w:pPr>
      <w:tabs>
        <w:tab w:val="left" w:pos="3261"/>
      </w:tabs>
      <w:spacing w:before="80"/>
      <w:ind w:left="3261" w:hanging="993"/>
    </w:pPr>
  </w:style>
  <w:style w:type="paragraph" w:styleId="TOC5">
    <w:name w:val="toc 5"/>
    <w:basedOn w:val="TOC4"/>
    <w:semiHidden/>
    <w:rsid w:val="00A936CB"/>
  </w:style>
  <w:style w:type="paragraph" w:styleId="TOC6">
    <w:name w:val="toc 6"/>
    <w:basedOn w:val="TOC4"/>
    <w:semiHidden/>
    <w:rsid w:val="00A936CB"/>
  </w:style>
  <w:style w:type="paragraph" w:styleId="TOC7">
    <w:name w:val="toc 7"/>
    <w:basedOn w:val="TOC4"/>
    <w:semiHidden/>
    <w:rsid w:val="00A936CB"/>
  </w:style>
  <w:style w:type="paragraph" w:styleId="TOC8">
    <w:name w:val="toc 8"/>
    <w:basedOn w:val="TOC4"/>
    <w:semiHidden/>
    <w:rsid w:val="00A936CB"/>
  </w:style>
  <w:style w:type="paragraph" w:customStyle="1" w:styleId="Annexref">
    <w:name w:val="Annex_ref"/>
    <w:basedOn w:val="Normal"/>
    <w:next w:val="Normalaftertitle"/>
    <w:rsid w:val="00A936CB"/>
    <w:pPr>
      <w:keepNext/>
      <w:keepLines/>
      <w:spacing w:after="280"/>
      <w:jc w:val="center"/>
    </w:pPr>
  </w:style>
  <w:style w:type="paragraph" w:customStyle="1" w:styleId="Appendixref">
    <w:name w:val="Appendix_ref"/>
    <w:basedOn w:val="Annexref"/>
    <w:next w:val="Normalaftertitle"/>
    <w:rsid w:val="00A936CB"/>
  </w:style>
  <w:style w:type="paragraph" w:customStyle="1" w:styleId="Tabletitle">
    <w:name w:val="Table_title"/>
    <w:basedOn w:val="Normal"/>
    <w:next w:val="Tablehead"/>
    <w:rsid w:val="00A936CB"/>
    <w:pPr>
      <w:keepNext/>
      <w:spacing w:before="0" w:after="120"/>
      <w:jc w:val="center"/>
    </w:pPr>
    <w:rPr>
      <w:b/>
    </w:rPr>
  </w:style>
  <w:style w:type="paragraph" w:customStyle="1" w:styleId="Summary">
    <w:name w:val="Summary"/>
    <w:basedOn w:val="Normal"/>
    <w:next w:val="Normalaftertitle"/>
    <w:autoRedefine/>
    <w:rsid w:val="0060228C"/>
    <w:pPr>
      <w:spacing w:after="480"/>
    </w:pPr>
    <w:rPr>
      <w:sz w:val="22"/>
      <w:lang w:val="es-ES_tradnl"/>
    </w:rPr>
  </w:style>
  <w:style w:type="character" w:styleId="Hyperlink">
    <w:name w:val="Hyperlink"/>
    <w:basedOn w:val="DefaultParagraphFont"/>
    <w:rsid w:val="00934ED7"/>
    <w:rPr>
      <w:color w:val="0000FF"/>
      <w:u w:val="single"/>
    </w:rPr>
  </w:style>
  <w:style w:type="paragraph" w:customStyle="1" w:styleId="TableLegendNote">
    <w:name w:val="Table_Legend_Note"/>
    <w:basedOn w:val="Tablelegend"/>
    <w:next w:val="Tablelegend"/>
    <w:rsid w:val="00A936CB"/>
    <w:pPr>
      <w:ind w:left="-85" w:firstLine="0"/>
    </w:pPr>
    <w:rPr>
      <w:lang w:val="en-US"/>
    </w:rPr>
  </w:style>
  <w:style w:type="character" w:customStyle="1" w:styleId="HeaderChar">
    <w:name w:val="Header Char"/>
    <w:basedOn w:val="DefaultParagraphFont"/>
    <w:link w:val="Header"/>
    <w:uiPriority w:val="99"/>
    <w:rsid w:val="00EE47C4"/>
    <w:rPr>
      <w:sz w:val="24"/>
      <w:lang w:val="fr-FR" w:eastAsia="en-US"/>
    </w:rPr>
  </w:style>
  <w:style w:type="table" w:styleId="TableGrid">
    <w:name w:val="Table Grid"/>
    <w:basedOn w:val="TableNormal"/>
    <w:uiPriority w:val="39"/>
    <w:rsid w:val="00EE47C4"/>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B083A"/>
    <w:rPr>
      <w:color w:val="605E5C"/>
      <w:shd w:val="clear" w:color="auto" w:fill="E1DFDD"/>
    </w:rPr>
  </w:style>
  <w:style w:type="paragraph" w:customStyle="1" w:styleId="CoverNumber">
    <w:name w:val="Cover Number"/>
    <w:basedOn w:val="Normal"/>
    <w:qFormat/>
    <w:rsid w:val="00B42334"/>
    <w:pPr>
      <w:widowControl w:val="0"/>
      <w:tabs>
        <w:tab w:val="clear" w:pos="794"/>
        <w:tab w:val="clear" w:pos="1191"/>
        <w:tab w:val="clear" w:pos="1588"/>
        <w:tab w:val="clear" w:pos="1985"/>
      </w:tabs>
      <w:overflowPunct/>
      <w:adjustRightInd/>
      <w:spacing w:before="93"/>
      <w:ind w:left="284"/>
      <w:jc w:val="left"/>
      <w:textAlignment w:val="auto"/>
      <w:outlineLvl w:val="0"/>
    </w:pPr>
    <w:rPr>
      <w:rFonts w:ascii="Arial" w:eastAsia="AvenirNext LT Pro Medium" w:hAnsi="Arial" w:cs="AvenirNext LT Pro Medium"/>
      <w:b/>
      <w:bCs/>
      <w:spacing w:val="-10"/>
      <w:sz w:val="44"/>
      <w:szCs w:val="52"/>
      <w:lang w:val="en-US"/>
    </w:rPr>
  </w:style>
  <w:style w:type="paragraph" w:customStyle="1" w:styleId="CoverDate">
    <w:name w:val="Cover Date"/>
    <w:basedOn w:val="Normal"/>
    <w:qFormat/>
    <w:rsid w:val="00260B24"/>
    <w:pPr>
      <w:widowControl w:val="0"/>
      <w:tabs>
        <w:tab w:val="clear" w:pos="794"/>
        <w:tab w:val="clear" w:pos="1191"/>
        <w:tab w:val="clear" w:pos="1588"/>
        <w:tab w:val="clear" w:pos="1985"/>
      </w:tabs>
      <w:overflowPunct/>
      <w:adjustRightInd/>
      <w:spacing w:before="126"/>
      <w:ind w:left="284"/>
      <w:jc w:val="left"/>
      <w:textAlignment w:val="auto"/>
    </w:pPr>
    <w:rPr>
      <w:rFonts w:ascii="Arial" w:eastAsia="AvenirNext LT Pro Regular" w:hAnsi="Arial" w:cs="AvenirNext LT Pro Regular"/>
      <w:b/>
      <w:spacing w:val="-2"/>
      <w:sz w:val="36"/>
      <w:szCs w:val="22"/>
      <w:lang w:val="en-US"/>
    </w:rPr>
  </w:style>
  <w:style w:type="paragraph" w:customStyle="1" w:styleId="CoverSeries">
    <w:name w:val="Cover Series"/>
    <w:basedOn w:val="Normal"/>
    <w:qFormat/>
    <w:rsid w:val="00B42334"/>
    <w:pPr>
      <w:widowControl w:val="0"/>
      <w:tabs>
        <w:tab w:val="clear" w:pos="794"/>
        <w:tab w:val="clear" w:pos="1191"/>
        <w:tab w:val="clear" w:pos="1588"/>
        <w:tab w:val="clear" w:pos="1985"/>
      </w:tabs>
      <w:overflowPunct/>
      <w:adjustRightInd/>
      <w:spacing w:before="241" w:line="244" w:lineRule="auto"/>
      <w:ind w:left="284"/>
      <w:jc w:val="left"/>
      <w:textAlignment w:val="auto"/>
    </w:pPr>
    <w:rPr>
      <w:rFonts w:ascii="Arial" w:eastAsia="AvenirNext LT Pro Regular" w:hAnsi="Arial" w:cs="AvenirNext LT Pro Regular"/>
      <w:bCs/>
      <w:color w:val="1A1A1A"/>
      <w:spacing w:val="-4"/>
      <w:sz w:val="40"/>
      <w:szCs w:val="48"/>
      <w:lang w:val="en-US"/>
    </w:rPr>
  </w:style>
  <w:style w:type="paragraph" w:customStyle="1" w:styleId="CoverTitle">
    <w:name w:val="Cover Title"/>
    <w:basedOn w:val="Normal"/>
    <w:qFormat/>
    <w:rsid w:val="00B42334"/>
    <w:pPr>
      <w:widowControl w:val="0"/>
      <w:tabs>
        <w:tab w:val="clear" w:pos="794"/>
        <w:tab w:val="clear" w:pos="1191"/>
        <w:tab w:val="clear" w:pos="1588"/>
        <w:tab w:val="clear" w:pos="1985"/>
      </w:tabs>
      <w:overflowPunct/>
      <w:adjustRightInd/>
      <w:spacing w:before="338" w:line="244" w:lineRule="auto"/>
      <w:ind w:left="284" w:right="1002"/>
      <w:jc w:val="left"/>
      <w:textAlignment w:val="auto"/>
    </w:pPr>
    <w:rPr>
      <w:rFonts w:ascii="Arial" w:eastAsia="AvenirNext LT Pro Regular" w:hAnsi="Arial" w:cs="AvenirNext LT Pro Regular"/>
      <w:b/>
      <w:bCs/>
      <w:sz w:val="44"/>
      <w:szCs w:val="48"/>
      <w:lang w:val="en-US"/>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Char1 Char"/>
    <w:basedOn w:val="DefaultParagraphFont"/>
    <w:link w:val="FootnoteText"/>
    <w:rsid w:val="00010135"/>
    <w:rPr>
      <w:sz w:val="22"/>
      <w:lang w:val="es-ES" w:eastAsia="en-US"/>
    </w:rPr>
  </w:style>
  <w:style w:type="character" w:customStyle="1" w:styleId="FiguretitleChar">
    <w:name w:val="Figure_title Char"/>
    <w:basedOn w:val="DefaultParagraphFont"/>
    <w:link w:val="Figuretitle"/>
    <w:rsid w:val="00010135"/>
    <w:rPr>
      <w:rFonts w:ascii="Times New Roman Bold" w:hAnsi="Times New Roman Bold"/>
      <w:b/>
      <w:sz w:val="18"/>
      <w:lang w:val="es-ES" w:eastAsia="en-US"/>
    </w:rPr>
  </w:style>
  <w:style w:type="character" w:customStyle="1" w:styleId="HeadingbChar">
    <w:name w:val="Heading_b Char"/>
    <w:basedOn w:val="DefaultParagraphFont"/>
    <w:link w:val="Headingb"/>
    <w:locked/>
    <w:rsid w:val="00010135"/>
    <w:rPr>
      <w:b/>
      <w:sz w:val="24"/>
      <w:lang w:val="es-ES" w:eastAsia="en-US"/>
    </w:rPr>
  </w:style>
  <w:style w:type="character" w:customStyle="1" w:styleId="CallChar">
    <w:name w:val="Call Char"/>
    <w:basedOn w:val="DefaultParagraphFont"/>
    <w:link w:val="Call"/>
    <w:locked/>
    <w:rsid w:val="00010135"/>
    <w:rPr>
      <w:i/>
      <w:sz w:val="24"/>
      <w:lang w:val="es-ES" w:eastAsia="en-US"/>
    </w:rPr>
  </w:style>
  <w:style w:type="character" w:customStyle="1" w:styleId="NormalaftertitleChar">
    <w:name w:val="Normal_after_title Char"/>
    <w:basedOn w:val="DefaultParagraphFont"/>
    <w:link w:val="Normalaftertitle"/>
    <w:uiPriority w:val="99"/>
    <w:locked/>
    <w:rsid w:val="00010135"/>
    <w:rPr>
      <w:sz w:val="24"/>
      <w:lang w:val="es-ES" w:eastAsia="en-US"/>
    </w:rPr>
  </w:style>
  <w:style w:type="character" w:customStyle="1" w:styleId="FigureNoChar">
    <w:name w:val="Figure_No Char"/>
    <w:basedOn w:val="DefaultParagraphFont"/>
    <w:link w:val="FigureNo"/>
    <w:locked/>
    <w:rsid w:val="00010135"/>
    <w:rPr>
      <w:caps/>
      <w:sz w:val="18"/>
      <w:lang w:val="es-ES" w:eastAsia="en-US"/>
    </w:rPr>
  </w:style>
  <w:style w:type="character" w:customStyle="1" w:styleId="FigureChar">
    <w:name w:val="Figure Char"/>
    <w:aliases w:val="fig Char"/>
    <w:basedOn w:val="DefaultParagraphFont"/>
    <w:link w:val="Figure"/>
    <w:locked/>
    <w:rsid w:val="00010135"/>
    <w:rPr>
      <w:caps/>
      <w:sz w:val="18"/>
      <w:lang w:val="es-ES" w:eastAsia="en-US"/>
    </w:rPr>
  </w:style>
  <w:style w:type="character" w:styleId="FollowedHyperlink">
    <w:name w:val="FollowedHyperlink"/>
    <w:basedOn w:val="DefaultParagraphFont"/>
    <w:semiHidden/>
    <w:unhideWhenUsed/>
    <w:rsid w:val="00127EE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9259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yperlink" Target="https://www.itu.int/rec/R-REC-P.838/en" TargetMode="External"/><Relationship Id="rId26" Type="http://schemas.openxmlformats.org/officeDocument/2006/relationships/image" Target="media/image6.png"/><Relationship Id="rId3" Type="http://schemas.openxmlformats.org/officeDocument/2006/relationships/settings" Target="settings.xml"/><Relationship Id="rId21" Type="http://schemas.openxmlformats.org/officeDocument/2006/relationships/hyperlink" Target="https://www.itu.int/pub/R-REP-F.2558/es" TargetMode="External"/><Relationship Id="rId7" Type="http://schemas.openxmlformats.org/officeDocument/2006/relationships/header" Target="header1.xml"/><Relationship Id="rId12" Type="http://schemas.openxmlformats.org/officeDocument/2006/relationships/header" Target="header3.xml"/><Relationship Id="rId17" Type="http://schemas.openxmlformats.org/officeDocument/2006/relationships/hyperlink" Target="https://www.itu.int/rec/R-REC-P.838/es" TargetMode="External"/><Relationship Id="rId25" Type="http://schemas.openxmlformats.org/officeDocument/2006/relationships/image" Target="media/image5.png"/><Relationship Id="rId2" Type="http://schemas.openxmlformats.org/officeDocument/2006/relationships/styles" Target="styles.xml"/><Relationship Id="rId16" Type="http://schemas.openxmlformats.org/officeDocument/2006/relationships/hyperlink" Target="https://www.itu.int/rec/R-REC-P.876/en" TargetMode="External"/><Relationship Id="rId20" Type="http://schemas.openxmlformats.org/officeDocument/2006/relationships/hyperlink" Target="https://www.itu.int/rec/R-REC-F.1519/en" TargetMode="External"/><Relationship Id="rId29"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tu.int/publ/R-REC/es" TargetMode="External"/><Relationship Id="rId24" Type="http://schemas.openxmlformats.org/officeDocument/2006/relationships/image" Target="media/image4.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itu.int/rec/R-REC-P.876/es" TargetMode="External"/><Relationship Id="rId23" Type="http://schemas.openxmlformats.org/officeDocument/2006/relationships/image" Target="media/image3.png"/><Relationship Id="rId28" Type="http://schemas.openxmlformats.org/officeDocument/2006/relationships/image" Target="media/image8.png"/><Relationship Id="rId10" Type="http://schemas.openxmlformats.org/officeDocument/2006/relationships/hyperlink" Target="https://www.itu.int/en/ITU-R/study-groups/Pages/itu-r-patent-information.aspx" TargetMode="External"/><Relationship Id="rId19" Type="http://schemas.openxmlformats.org/officeDocument/2006/relationships/hyperlink" Target="https://www.itu.int/rec/R-REC-F.1519/es"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itu.int/pub/R-QUE-SG05.247/es" TargetMode="External"/><Relationship Id="rId22" Type="http://schemas.openxmlformats.org/officeDocument/2006/relationships/hyperlink" Target="https://www.itu.int/pub/R-REP-F.2558" TargetMode="External"/><Relationship Id="rId27" Type="http://schemas.openxmlformats.org/officeDocument/2006/relationships/image" Target="media/image7.png"/><Relationship Id="rId30"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P:\QPUB\BR\COUVERTURES\RecS\2026-ITU-R_REC_F_S.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2026-ITU-R_REC_F_S.docx</Template>
  <TotalTime>245</TotalTime>
  <Pages>10</Pages>
  <Words>2110</Words>
  <Characters>11561</Characters>
  <Application>Microsoft Office Word</Application>
  <DocSecurity>0</DocSecurity>
  <Lines>481</Lines>
  <Paragraphs>112</Paragraphs>
  <ScaleCrop>false</ScaleCrop>
  <HeadingPairs>
    <vt:vector size="2" baseType="variant">
      <vt:variant>
        <vt:lpstr>Title</vt:lpstr>
      </vt:variant>
      <vt:variant>
        <vt:i4>1</vt:i4>
      </vt:variant>
    </vt:vector>
  </HeadingPairs>
  <TitlesOfParts>
    <vt:vector size="1" baseType="lpstr">
      <vt:lpstr>Recomendación UIT-R F.2172-0 (02/2026) - Disposición de canales y bloques de radiofrecuencias para sistemas del servicio fijo que utilizan las gamas de frecuencias 130-134 GHz, 141 148,5 GHz, 151,5-164 GHz y 167 174,8 GHz</vt:lpstr>
    </vt:vector>
  </TitlesOfParts>
  <Manager/>
  <Company>UIT</Company>
  <LinksUpToDate>false</LinksUpToDate>
  <CharactersWithSpaces>13559</CharactersWithSpaces>
  <SharedDoc>false</SharedDoc>
  <HLinks>
    <vt:vector size="12" baseType="variant">
      <vt:variant>
        <vt:i4>1966164</vt:i4>
      </vt:variant>
      <vt:variant>
        <vt:i4>3</vt:i4>
      </vt:variant>
      <vt:variant>
        <vt:i4>0</vt:i4>
      </vt:variant>
      <vt:variant>
        <vt:i4>5</vt:i4>
      </vt:variant>
      <vt:variant>
        <vt:lpwstr>http://www.itu.int/publ/R-REC/en</vt:lpwstr>
      </vt:variant>
      <vt:variant>
        <vt:lpwstr/>
      </vt:variant>
      <vt:variant>
        <vt:i4>3997742</vt:i4>
      </vt:variant>
      <vt:variant>
        <vt:i4>0</vt:i4>
      </vt:variant>
      <vt:variant>
        <vt:i4>0</vt:i4>
      </vt:variant>
      <vt:variant>
        <vt:i4>5</vt:i4>
      </vt:variant>
      <vt:variant>
        <vt:lpwstr>http://www.itu.int/ITU-R/go/patents/en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Recomendación UIT-R F.2172-0 (02/2026) - Disposición de canales y bloques de radiofrecuencias para sistemas del servicio fijo que utilizan las gamas de frecuencias 130-134 GHz, 141 148,5 GHz, 151,5-164 GHz y 167 174,8 GHz</dc:title>
  <dc:subject>Serie F: Servicio fijo</dc:subject>
  <dc:creator>Oficina de Radiocomunicaciones de la UIT (BR)</dc:creator>
  <cp:keywords>130-174,8 GHz, FDD, FDD flexible, dúplex completo, disposición de canal</cp:keywords>
  <dc:description/>
  <cp:lastModifiedBy>Saez Grau, Ricardo</cp:lastModifiedBy>
  <cp:revision>15</cp:revision>
  <cp:lastPrinted>2026-04-17T09:40:00Z</cp:lastPrinted>
  <dcterms:created xsi:type="dcterms:W3CDTF">2026-04-16T12:46:00Z</dcterms:created>
  <dcterms:modified xsi:type="dcterms:W3CDTF">2026-04-17T09:43:00Z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Rec. </vt:lpwstr>
  </property>
  <property fmtid="{D5CDD505-2E9C-101B-9397-08002B2CF9AE}" pid="3" name="Header 1">
    <vt:lpwstr>Rap. </vt:lpwstr>
  </property>
  <property fmtid="{D5CDD505-2E9C-101B-9397-08002B2CF9AE}" pid="4" name="Header 2">
    <vt:lpwstr>Rep. </vt:lpwstr>
  </property>
  <property fmtid="{D5CDD505-2E9C-101B-9397-08002B2CF9AE}" pid="5" name="Header 3">
    <vt:lpwstr>I. </vt:lpwstr>
  </property>
  <property fmtid="{D5CDD505-2E9C-101B-9397-08002B2CF9AE}" pid="6" name="Header 4">
    <vt:lpwstr>Op. </vt:lpwstr>
  </property>
  <property fmtid="{D5CDD505-2E9C-101B-9397-08002B2CF9AE}" pid="7" name="Header 5">
    <vt:lpwstr>V. </vt:lpwstr>
  </property>
  <property fmtid="{D5CDD505-2E9C-101B-9397-08002B2CF9AE}" pid="8" name="Header 6">
    <vt:lpwstr>Ru. </vt:lpwstr>
  </property>
  <property fmtid="{D5CDD505-2E9C-101B-9397-08002B2CF9AE}" pid="9" name="Language">
    <vt:lpwstr>Spanish</vt:lpwstr>
  </property>
  <property fmtid="{D5CDD505-2E9C-101B-9397-08002B2CF9AE}" pid="10" name="Typist">
    <vt:lpwstr>Saez</vt:lpwstr>
  </property>
  <property fmtid="{D5CDD505-2E9C-101B-9397-08002B2CF9AE}" pid="11" name="Date completed">
    <vt:lpwstr>17 April 2026</vt:lpwstr>
  </property>
</Properties>
</file>