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E48AC" w14:textId="77777777" w:rsidR="00C31B19" w:rsidRPr="00716890" w:rsidRDefault="00C31B19" w:rsidP="00C31B19">
      <w:pPr>
        <w:rPr>
          <w:lang w:val="fr-FR"/>
        </w:rPr>
      </w:pPr>
    </w:p>
    <w:p w14:paraId="45A6F67B" w14:textId="77777777" w:rsidR="00C31B19" w:rsidRPr="00716890" w:rsidRDefault="00C31B19" w:rsidP="00C31B19">
      <w:pPr>
        <w:tabs>
          <w:tab w:val="clear" w:pos="794"/>
          <w:tab w:val="clear" w:pos="1191"/>
          <w:tab w:val="clear" w:pos="1588"/>
          <w:tab w:val="clear" w:pos="1985"/>
        </w:tabs>
        <w:rPr>
          <w:lang w:val="fr-FR"/>
        </w:rPr>
      </w:pPr>
    </w:p>
    <w:p w14:paraId="314A9A3C" w14:textId="2419004A" w:rsidR="00C31B19" w:rsidRPr="00716890" w:rsidRDefault="00C31B19" w:rsidP="00C31B19">
      <w:pPr>
        <w:pStyle w:val="CoverNumber"/>
        <w:rPr>
          <w:lang w:val="fr-FR"/>
        </w:rPr>
      </w:pPr>
      <w:r w:rsidRPr="00716890">
        <w:rPr>
          <w:lang w:val="fr-FR"/>
        </w:rPr>
        <w:t>Recommandation UIT-R F.</w:t>
      </w:r>
      <w:r w:rsidRPr="00716890">
        <w:rPr>
          <w:lang w:val="fr-FR"/>
        </w:rPr>
        <w:t>2172-0</w:t>
      </w:r>
    </w:p>
    <w:p w14:paraId="160BC990" w14:textId="2418FB11" w:rsidR="00C31B19" w:rsidRPr="00716890" w:rsidRDefault="00C31B19" w:rsidP="00C31B19">
      <w:pPr>
        <w:pStyle w:val="CoverDate"/>
        <w:rPr>
          <w:lang w:val="fr-FR"/>
        </w:rPr>
      </w:pPr>
      <w:r w:rsidRPr="00716890">
        <w:rPr>
          <w:lang w:val="fr-FR"/>
        </w:rPr>
        <w:t>(</w:t>
      </w:r>
      <w:r w:rsidRPr="00716890">
        <w:rPr>
          <w:lang w:val="fr-FR"/>
        </w:rPr>
        <w:t>02</w:t>
      </w:r>
      <w:r w:rsidRPr="00716890">
        <w:rPr>
          <w:lang w:val="fr-FR"/>
        </w:rPr>
        <w:t>/</w:t>
      </w:r>
      <w:r w:rsidRPr="00716890">
        <w:rPr>
          <w:lang w:val="fr-FR"/>
        </w:rPr>
        <w:t>2026</w:t>
      </w:r>
      <w:r w:rsidRPr="00716890">
        <w:rPr>
          <w:lang w:val="fr-FR"/>
        </w:rPr>
        <w:t>)</w:t>
      </w:r>
    </w:p>
    <w:p w14:paraId="5D406404" w14:textId="77777777" w:rsidR="00C31B19" w:rsidRPr="00716890" w:rsidRDefault="00C31B19" w:rsidP="00C31B19">
      <w:pPr>
        <w:pStyle w:val="CoverSeries"/>
        <w:rPr>
          <w:lang w:val="fr-FR"/>
        </w:rPr>
      </w:pPr>
      <w:r w:rsidRPr="00716890">
        <w:rPr>
          <w:lang w:val="fr-FR"/>
        </w:rPr>
        <w:t>Série F: Service fixe</w:t>
      </w:r>
    </w:p>
    <w:p w14:paraId="0A49CAF8" w14:textId="5418A93E" w:rsidR="00C31B19" w:rsidRPr="00716890" w:rsidRDefault="00C31B19" w:rsidP="00C31B19">
      <w:pPr>
        <w:pStyle w:val="CoverTitle"/>
        <w:rPr>
          <w:lang w:val="fr-FR"/>
        </w:rPr>
      </w:pPr>
      <w:r w:rsidRPr="00716890">
        <w:rPr>
          <w:lang w:val="fr-FR"/>
        </w:rPr>
        <w:t>Disposition des canaux radioélectriques et des blocs de fréquences radioélectriques pour les systèmes du service fixe fonctionnant dans les gammes de fréquences 130-134 GHz, 141-148,5 GHz, 151,5-164 GHz et</w:t>
      </w:r>
      <w:r w:rsidRPr="00716890">
        <w:rPr>
          <w:lang w:val="fr-FR"/>
        </w:rPr>
        <w:t> </w:t>
      </w:r>
      <w:r w:rsidRPr="00716890">
        <w:rPr>
          <w:lang w:val="fr-FR"/>
        </w:rPr>
        <w:t>167</w:t>
      </w:r>
      <w:r w:rsidRPr="00716890">
        <w:rPr>
          <w:lang w:val="fr-FR"/>
        </w:rPr>
        <w:noBreakHyphen/>
      </w:r>
      <w:r w:rsidRPr="00716890">
        <w:rPr>
          <w:lang w:val="fr-FR"/>
        </w:rPr>
        <w:t>174,8 GHz</w:t>
      </w:r>
    </w:p>
    <w:p w14:paraId="4BFC3395" w14:textId="77777777" w:rsidR="00C31B19" w:rsidRPr="00716890" w:rsidRDefault="00C31B19" w:rsidP="00C31B19">
      <w:pPr>
        <w:rPr>
          <w:lang w:val="fr-FR"/>
        </w:rPr>
      </w:pPr>
    </w:p>
    <w:p w14:paraId="2553AA68" w14:textId="77777777" w:rsidR="00C31B19" w:rsidRPr="00716890" w:rsidRDefault="00C31B19" w:rsidP="00C31B19">
      <w:pPr>
        <w:rPr>
          <w:lang w:val="fr-FR"/>
        </w:rPr>
      </w:pPr>
    </w:p>
    <w:p w14:paraId="15BD1201" w14:textId="77777777" w:rsidR="00C31B19" w:rsidRPr="00716890" w:rsidRDefault="00C31B19" w:rsidP="00C31B19">
      <w:pPr>
        <w:rPr>
          <w:lang w:val="fr-FR"/>
        </w:rPr>
        <w:sectPr w:rsidR="00C31B19" w:rsidRPr="00716890" w:rsidSect="00C31B19">
          <w:headerReference w:type="even" r:id="rId7"/>
          <w:headerReference w:type="default" r:id="rId8"/>
          <w:footerReference w:type="default" r:id="rId9"/>
          <w:pgSz w:w="11907" w:h="16840" w:code="9"/>
          <w:pgMar w:top="1089" w:right="1089" w:bottom="284" w:left="1089" w:header="737" w:footer="284" w:gutter="0"/>
          <w:pgNumType w:start="1"/>
          <w:cols w:space="720"/>
          <w:docGrid w:linePitch="326"/>
        </w:sectPr>
      </w:pPr>
    </w:p>
    <w:p w14:paraId="11686903" w14:textId="77777777" w:rsidR="00C31B19" w:rsidRPr="00716890" w:rsidRDefault="00C31B19" w:rsidP="00C31B19">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80" w:after="0"/>
        <w:rPr>
          <w:bCs/>
          <w:sz w:val="24"/>
          <w:szCs w:val="24"/>
          <w:lang w:val="fr-FR"/>
        </w:rPr>
      </w:pPr>
      <w:bookmarkStart w:id="0" w:name="c2tope"/>
      <w:bookmarkEnd w:id="0"/>
      <w:r w:rsidRPr="00716890">
        <w:rPr>
          <w:bCs/>
          <w:sz w:val="24"/>
          <w:szCs w:val="24"/>
          <w:lang w:val="fr-FR"/>
        </w:rPr>
        <w:lastRenderedPageBreak/>
        <w:t>Avant-propos</w:t>
      </w:r>
    </w:p>
    <w:p w14:paraId="6D9157DA" w14:textId="3521FF99" w:rsidR="00C31B19" w:rsidRPr="00716890" w:rsidRDefault="00C31B19" w:rsidP="00C31B19">
      <w:pPr>
        <w:spacing w:before="240"/>
        <w:rPr>
          <w:sz w:val="20"/>
          <w:lang w:val="fr-FR"/>
        </w:rPr>
      </w:pPr>
      <w:r w:rsidRPr="00716890">
        <w:rPr>
          <w:sz w:val="20"/>
          <w:lang w:val="fr-FR"/>
        </w:rPr>
        <w:t>Le rôle du Secteur des radiocommunications est d</w:t>
      </w:r>
      <w:r w:rsidR="00322E65" w:rsidRPr="00716890">
        <w:rPr>
          <w:sz w:val="20"/>
          <w:lang w:val="fr-FR"/>
        </w:rPr>
        <w:t>'</w:t>
      </w:r>
      <w:r w:rsidRPr="00716890">
        <w:rPr>
          <w:sz w:val="20"/>
          <w:lang w:val="fr-FR"/>
        </w:rPr>
        <w:t>assurer l</w:t>
      </w:r>
      <w:r w:rsidR="00322E65" w:rsidRPr="00716890">
        <w:rPr>
          <w:sz w:val="20"/>
          <w:lang w:val="fr-FR"/>
        </w:rPr>
        <w:t>'</w:t>
      </w:r>
      <w:r w:rsidRPr="00716890">
        <w:rPr>
          <w:sz w:val="20"/>
          <w:lang w:val="fr-FR"/>
        </w:rPr>
        <w:t>utilisation rationnelle, équitable, efficace et économique du spectre radioélectrique par tous les services de radiocommunication, y compris les services par satellite, et de procéder à des études pour toutes les gammes de fréquences, à partir desquelles les Recommandations seront élaborées et adoptées.</w:t>
      </w:r>
    </w:p>
    <w:p w14:paraId="7BE43623" w14:textId="562D9ED7" w:rsidR="00C31B19" w:rsidRPr="00716890" w:rsidRDefault="00C31B19" w:rsidP="00C31B19">
      <w:pPr>
        <w:rPr>
          <w:sz w:val="20"/>
          <w:lang w:val="fr-FR"/>
        </w:rPr>
      </w:pPr>
      <w:r w:rsidRPr="00716890">
        <w:rPr>
          <w:sz w:val="20"/>
          <w:lang w:val="fr-FR"/>
        </w:rPr>
        <w:t>Les fonctions réglementaires et politiques du Secteur des radiocommunications sont remplies par les Conférences mondiales et régionales des radiocommunications et par les Assemblées des radiocommunications assistées par les Commissions d</w:t>
      </w:r>
      <w:r w:rsidR="00322E65" w:rsidRPr="00716890">
        <w:rPr>
          <w:sz w:val="20"/>
          <w:lang w:val="fr-FR"/>
        </w:rPr>
        <w:t>'</w:t>
      </w:r>
      <w:r w:rsidRPr="00716890">
        <w:rPr>
          <w:sz w:val="20"/>
          <w:lang w:val="fr-FR"/>
        </w:rPr>
        <w:t>études.</w:t>
      </w:r>
    </w:p>
    <w:p w14:paraId="7CFDC4F0" w14:textId="77777777" w:rsidR="00C31B19" w:rsidRPr="00716890" w:rsidRDefault="00C31B19" w:rsidP="00C31B19">
      <w:pPr>
        <w:pStyle w:val="Heading1"/>
        <w:spacing w:before="360"/>
        <w:jc w:val="center"/>
        <w:rPr>
          <w:szCs w:val="24"/>
          <w:lang w:val="fr-FR"/>
        </w:rPr>
      </w:pPr>
      <w:r w:rsidRPr="00716890">
        <w:rPr>
          <w:bCs/>
          <w:szCs w:val="24"/>
          <w:lang w:val="fr-FR"/>
        </w:rPr>
        <w:t>Droits de propriété intellectuelle</w:t>
      </w:r>
    </w:p>
    <w:p w14:paraId="2E791E81" w14:textId="5076F37D" w:rsidR="00C31B19" w:rsidRPr="00716890" w:rsidRDefault="00C31B19" w:rsidP="00C31B19">
      <w:pPr>
        <w:tabs>
          <w:tab w:val="clear" w:pos="794"/>
          <w:tab w:val="clear" w:pos="1191"/>
          <w:tab w:val="clear" w:pos="1588"/>
          <w:tab w:val="clear" w:pos="1985"/>
        </w:tabs>
        <w:rPr>
          <w:sz w:val="20"/>
          <w:lang w:val="fr-FR"/>
        </w:rPr>
      </w:pPr>
      <w:r w:rsidRPr="00716890">
        <w:rPr>
          <w:sz w:val="20"/>
          <w:lang w:val="fr-FR"/>
        </w:rPr>
        <w:t>L</w:t>
      </w:r>
      <w:r w:rsidR="00322E65" w:rsidRPr="00716890">
        <w:rPr>
          <w:sz w:val="20"/>
          <w:lang w:val="fr-FR"/>
        </w:rPr>
        <w:t>'</w:t>
      </w:r>
      <w:r w:rsidRPr="00716890">
        <w:rPr>
          <w:sz w:val="20"/>
          <w:lang w:val="fr-FR"/>
        </w:rPr>
        <w:t>UIT attire l</w:t>
      </w:r>
      <w:r w:rsidR="00322E65" w:rsidRPr="00716890">
        <w:rPr>
          <w:sz w:val="20"/>
          <w:lang w:val="fr-FR"/>
        </w:rPr>
        <w:t>'</w:t>
      </w:r>
      <w:r w:rsidRPr="00716890">
        <w:rPr>
          <w:sz w:val="20"/>
          <w:lang w:val="fr-FR"/>
        </w:rPr>
        <w:t>attention sur la possibilité que l</w:t>
      </w:r>
      <w:r w:rsidR="00322E65" w:rsidRPr="00716890">
        <w:rPr>
          <w:sz w:val="20"/>
          <w:lang w:val="fr-FR"/>
        </w:rPr>
        <w:t>'</w:t>
      </w:r>
      <w:r w:rsidRPr="00716890">
        <w:rPr>
          <w:sz w:val="20"/>
          <w:lang w:val="fr-FR"/>
        </w:rPr>
        <w:t>application ou la mise en œuvre de la présente Recommandation puisse donner lieu à l</w:t>
      </w:r>
      <w:r w:rsidR="00322E65" w:rsidRPr="00716890">
        <w:rPr>
          <w:sz w:val="20"/>
          <w:lang w:val="fr-FR"/>
        </w:rPr>
        <w:t>'</w:t>
      </w:r>
      <w:r w:rsidRPr="00716890">
        <w:rPr>
          <w:sz w:val="20"/>
          <w:lang w:val="fr-FR"/>
        </w:rPr>
        <w:t>utilisation d</w:t>
      </w:r>
      <w:r w:rsidR="00322E65" w:rsidRPr="00716890">
        <w:rPr>
          <w:sz w:val="20"/>
          <w:lang w:val="fr-FR"/>
        </w:rPr>
        <w:t>'</w:t>
      </w:r>
      <w:r w:rsidRPr="00716890">
        <w:rPr>
          <w:sz w:val="20"/>
          <w:lang w:val="fr-FR"/>
        </w:rPr>
        <w:t>un droit de propriété intellectuelle. L</w:t>
      </w:r>
      <w:r w:rsidR="00322E65" w:rsidRPr="00716890">
        <w:rPr>
          <w:sz w:val="20"/>
          <w:lang w:val="fr-FR"/>
        </w:rPr>
        <w:t>'</w:t>
      </w:r>
      <w:r w:rsidRPr="00716890">
        <w:rPr>
          <w:sz w:val="20"/>
          <w:lang w:val="fr-FR"/>
        </w:rPr>
        <w:t>UIT ne prend pas position en ce qui concerne l</w:t>
      </w:r>
      <w:r w:rsidR="00322E65" w:rsidRPr="00716890">
        <w:rPr>
          <w:sz w:val="20"/>
          <w:lang w:val="fr-FR"/>
        </w:rPr>
        <w:t>'</w:t>
      </w:r>
      <w:r w:rsidRPr="00716890">
        <w:rPr>
          <w:sz w:val="20"/>
          <w:lang w:val="fr-FR"/>
        </w:rPr>
        <w:t>existence, la validité ou l</w:t>
      </w:r>
      <w:r w:rsidR="00322E65" w:rsidRPr="00716890">
        <w:rPr>
          <w:sz w:val="20"/>
          <w:lang w:val="fr-FR"/>
        </w:rPr>
        <w:t>'</w:t>
      </w:r>
      <w:r w:rsidRPr="00716890">
        <w:rPr>
          <w:sz w:val="20"/>
          <w:lang w:val="fr-FR"/>
        </w:rPr>
        <w:t>applicabilité des droits de propriété intellectuelle, qu</w:t>
      </w:r>
      <w:r w:rsidR="00322E65" w:rsidRPr="00716890">
        <w:rPr>
          <w:sz w:val="20"/>
          <w:lang w:val="fr-FR"/>
        </w:rPr>
        <w:t>'</w:t>
      </w:r>
      <w:r w:rsidRPr="00716890">
        <w:rPr>
          <w:sz w:val="20"/>
          <w:lang w:val="fr-FR"/>
        </w:rPr>
        <w:t>ils soient revendiqués par un membre de l</w:t>
      </w:r>
      <w:r w:rsidR="00322E65" w:rsidRPr="00716890">
        <w:rPr>
          <w:sz w:val="20"/>
          <w:lang w:val="fr-FR"/>
        </w:rPr>
        <w:t>'</w:t>
      </w:r>
      <w:r w:rsidRPr="00716890">
        <w:rPr>
          <w:sz w:val="20"/>
          <w:lang w:val="fr-FR"/>
        </w:rPr>
        <w:t>UIT ou par une tierce partie étrangère à la procédure d</w:t>
      </w:r>
      <w:r w:rsidR="00322E65" w:rsidRPr="00716890">
        <w:rPr>
          <w:sz w:val="20"/>
          <w:lang w:val="fr-FR"/>
        </w:rPr>
        <w:t>'</w:t>
      </w:r>
      <w:r w:rsidRPr="00716890">
        <w:rPr>
          <w:sz w:val="20"/>
          <w:lang w:val="fr-FR"/>
        </w:rPr>
        <w:t>élaboration des Recommandations.</w:t>
      </w:r>
    </w:p>
    <w:p w14:paraId="77940351" w14:textId="2F30E6B7" w:rsidR="00C31B19" w:rsidRPr="00716890" w:rsidRDefault="00C31B19" w:rsidP="00C31B19">
      <w:pPr>
        <w:tabs>
          <w:tab w:val="clear" w:pos="794"/>
          <w:tab w:val="clear" w:pos="1191"/>
          <w:tab w:val="clear" w:pos="1588"/>
          <w:tab w:val="clear" w:pos="1985"/>
        </w:tabs>
        <w:rPr>
          <w:sz w:val="20"/>
          <w:lang w:val="fr-FR"/>
        </w:rPr>
      </w:pPr>
      <w:r w:rsidRPr="00716890">
        <w:rPr>
          <w:sz w:val="20"/>
          <w:lang w:val="fr-FR"/>
        </w:rPr>
        <w:t>À la date d</w:t>
      </w:r>
      <w:r w:rsidR="00322E65" w:rsidRPr="00716890">
        <w:rPr>
          <w:sz w:val="20"/>
          <w:lang w:val="fr-FR"/>
        </w:rPr>
        <w:t>'</w:t>
      </w:r>
      <w:r w:rsidRPr="00716890">
        <w:rPr>
          <w:sz w:val="20"/>
          <w:lang w:val="fr-FR"/>
        </w:rPr>
        <w:t>approbation de la présente Recommandation, l</w:t>
      </w:r>
      <w:r w:rsidR="00322E65" w:rsidRPr="00716890">
        <w:rPr>
          <w:sz w:val="20"/>
          <w:lang w:val="fr-FR"/>
        </w:rPr>
        <w:t>'</w:t>
      </w:r>
      <w:r w:rsidRPr="00716890">
        <w:rPr>
          <w:sz w:val="20"/>
          <w:lang w:val="fr-FR"/>
        </w:rPr>
        <w:t>UIT avait été avisée de l</w:t>
      </w:r>
      <w:r w:rsidR="00322E65" w:rsidRPr="00716890">
        <w:rPr>
          <w:sz w:val="20"/>
          <w:lang w:val="fr-FR"/>
        </w:rPr>
        <w:t>'</w:t>
      </w:r>
      <w:r w:rsidRPr="00716890">
        <w:rPr>
          <w:sz w:val="20"/>
          <w:lang w:val="fr-FR"/>
        </w:rPr>
        <w:t>existence d</w:t>
      </w:r>
      <w:r w:rsidR="00322E65" w:rsidRPr="00716890">
        <w:rPr>
          <w:sz w:val="20"/>
          <w:lang w:val="fr-FR"/>
        </w:rPr>
        <w:t>'</w:t>
      </w:r>
      <w:r w:rsidRPr="00716890">
        <w:rPr>
          <w:sz w:val="20"/>
          <w:lang w:val="fr-FR"/>
        </w:rPr>
        <w:t>une propriété intellectuelle, protégée par des brevets, dont l</w:t>
      </w:r>
      <w:r w:rsidR="00322E65" w:rsidRPr="00716890">
        <w:rPr>
          <w:sz w:val="20"/>
          <w:lang w:val="fr-FR"/>
        </w:rPr>
        <w:t>'</w:t>
      </w:r>
      <w:r w:rsidRPr="00716890">
        <w:rPr>
          <w:sz w:val="20"/>
          <w:lang w:val="fr-FR"/>
        </w:rPr>
        <w:t>acquisition pourrait être requise pour mettre en œuvre la présente Recommandation. Toutefois, comme il ne s</w:t>
      </w:r>
      <w:r w:rsidR="00322E65" w:rsidRPr="00716890">
        <w:rPr>
          <w:sz w:val="20"/>
          <w:lang w:val="fr-FR"/>
        </w:rPr>
        <w:t>'</w:t>
      </w:r>
      <w:r w:rsidRPr="00716890">
        <w:rPr>
          <w:sz w:val="20"/>
          <w:lang w:val="fr-FR"/>
        </w:rPr>
        <w:t>agit peut-être pas de renseignements les plus récents, il est vivement recommandé aux développeurs de consulter les renseignements pertinents de l</w:t>
      </w:r>
      <w:r w:rsidR="00322E65" w:rsidRPr="00716890">
        <w:rPr>
          <w:sz w:val="20"/>
          <w:lang w:val="fr-FR"/>
        </w:rPr>
        <w:t>'</w:t>
      </w:r>
      <w:r w:rsidRPr="00716890">
        <w:rPr>
          <w:sz w:val="20"/>
          <w:lang w:val="fr-FR"/>
        </w:rPr>
        <w:t>UIT-R concernant les brevets à l</w:t>
      </w:r>
      <w:r w:rsidR="00322E65" w:rsidRPr="00716890">
        <w:rPr>
          <w:sz w:val="20"/>
          <w:lang w:val="fr-FR"/>
        </w:rPr>
        <w:t>'</w:t>
      </w:r>
      <w:r w:rsidRPr="00716890">
        <w:rPr>
          <w:sz w:val="20"/>
          <w:lang w:val="fr-FR"/>
        </w:rPr>
        <w:t xml:space="preserve">adresse </w:t>
      </w:r>
      <w:hyperlink r:id="rId10" w:history="1">
        <w:r w:rsidRPr="00716890">
          <w:rPr>
            <w:rStyle w:val="Hyperlink"/>
            <w:sz w:val="20"/>
            <w:lang w:val="fr-FR"/>
          </w:rPr>
          <w:t>https://www.itu.int/en/ITU-R/study-groups/Pages/itu-r-patent-information.aspx</w:t>
        </w:r>
      </w:hyperlink>
      <w:r w:rsidRPr="00716890">
        <w:rPr>
          <w:sz w:val="20"/>
          <w:lang w:val="fr-FR"/>
        </w:rPr>
        <w:t>.</w:t>
      </w:r>
    </w:p>
    <w:p w14:paraId="04502D12" w14:textId="77777777" w:rsidR="00C31B19" w:rsidRPr="00716890" w:rsidRDefault="00C31B19" w:rsidP="00C31B19">
      <w:pPr>
        <w:spacing w:before="0"/>
        <w:jc w:val="center"/>
        <w:rPr>
          <w:sz w:val="22"/>
          <w:lang w:val="fr-FR"/>
        </w:rPr>
      </w:pPr>
    </w:p>
    <w:tbl>
      <w:tblPr>
        <w:tblW w:w="5000" w:type="pct"/>
        <w:tblBorders>
          <w:top w:val="single" w:sz="12" w:space="0" w:color="000080"/>
          <w:left w:val="single" w:sz="12" w:space="0" w:color="000080"/>
          <w:bottom w:val="single" w:sz="12" w:space="0" w:color="000080"/>
          <w:right w:val="single" w:sz="12" w:space="0" w:color="000080"/>
        </w:tblBorders>
        <w:tblLook w:val="0020" w:firstRow="1" w:lastRow="0" w:firstColumn="0" w:lastColumn="0" w:noHBand="0" w:noVBand="0"/>
      </w:tblPr>
      <w:tblGrid>
        <w:gridCol w:w="1170"/>
        <w:gridCol w:w="8439"/>
      </w:tblGrid>
      <w:tr w:rsidR="00C31B19" w:rsidRPr="00716890" w14:paraId="7FD747D2" w14:textId="77777777" w:rsidTr="00E765DD">
        <w:tc>
          <w:tcPr>
            <w:tcW w:w="9609" w:type="dxa"/>
            <w:gridSpan w:val="2"/>
          </w:tcPr>
          <w:p w14:paraId="12DDBBB9" w14:textId="77777777" w:rsidR="00C31B19" w:rsidRPr="00716890" w:rsidRDefault="00C31B19" w:rsidP="00E765DD">
            <w:pPr>
              <w:pStyle w:val="Chaptitle"/>
              <w:keepLines w:val="0"/>
              <w:tabs>
                <w:tab w:val="clear" w:pos="794"/>
                <w:tab w:val="clear" w:pos="1191"/>
                <w:tab w:val="clear" w:pos="1588"/>
                <w:tab w:val="clear" w:pos="1985"/>
              </w:tabs>
              <w:overflowPunct/>
              <w:spacing w:before="140"/>
              <w:textAlignment w:val="auto"/>
              <w:rPr>
                <w:sz w:val="22"/>
                <w:szCs w:val="22"/>
                <w:lang w:val="fr-FR"/>
              </w:rPr>
            </w:pPr>
            <w:r w:rsidRPr="00716890">
              <w:rPr>
                <w:sz w:val="22"/>
                <w:szCs w:val="22"/>
                <w:lang w:val="fr-FR"/>
              </w:rPr>
              <w:t xml:space="preserve">Séries des Recommandations UIT-R </w:t>
            </w:r>
          </w:p>
          <w:p w14:paraId="5F7753D0" w14:textId="546FCA38" w:rsidR="00C31B19" w:rsidRPr="00716890" w:rsidRDefault="00C31B19" w:rsidP="00E765D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60"/>
              <w:rPr>
                <w:bCs/>
                <w:sz w:val="18"/>
                <w:szCs w:val="18"/>
                <w:lang w:val="fr-FR"/>
              </w:rPr>
            </w:pPr>
            <w:r w:rsidRPr="00716890">
              <w:rPr>
                <w:b w:val="0"/>
                <w:sz w:val="18"/>
                <w:szCs w:val="18"/>
                <w:lang w:val="fr-FR"/>
              </w:rPr>
              <w:t>(</w:t>
            </w:r>
            <w:r w:rsidRPr="00716890">
              <w:rPr>
                <w:b w:val="0"/>
                <w:sz w:val="18"/>
                <w:szCs w:val="18"/>
                <w:lang w:val="fr-FR"/>
              </w:rPr>
              <w:t>Également</w:t>
            </w:r>
            <w:r w:rsidRPr="00716890">
              <w:rPr>
                <w:b w:val="0"/>
                <w:sz w:val="18"/>
                <w:szCs w:val="18"/>
                <w:lang w:val="fr-FR"/>
              </w:rPr>
              <w:t xml:space="preserve"> disponible en ligne: </w:t>
            </w:r>
            <w:hyperlink r:id="rId11" w:history="1">
              <w:r w:rsidRPr="00716890">
                <w:rPr>
                  <w:rStyle w:val="Hyperlink"/>
                  <w:b w:val="0"/>
                  <w:bCs/>
                  <w:sz w:val="18"/>
                  <w:szCs w:val="18"/>
                  <w:lang w:val="fr-FR"/>
                </w:rPr>
                <w:t>https://www.itu.int/publ/R-REC/fr</w:t>
              </w:r>
            </w:hyperlink>
            <w:r w:rsidRPr="00716890">
              <w:rPr>
                <w:b w:val="0"/>
                <w:bCs/>
                <w:sz w:val="18"/>
                <w:szCs w:val="18"/>
                <w:lang w:val="fr-FR"/>
              </w:rPr>
              <w:t>)</w:t>
            </w:r>
          </w:p>
        </w:tc>
      </w:tr>
      <w:tr w:rsidR="00C31B19" w:rsidRPr="00716890" w14:paraId="14113BD4" w14:textId="77777777" w:rsidTr="00E765DD">
        <w:tc>
          <w:tcPr>
            <w:tcW w:w="1170" w:type="dxa"/>
            <w:tcBorders>
              <w:bottom w:val="nil"/>
            </w:tcBorders>
          </w:tcPr>
          <w:p w14:paraId="00EB4DC3" w14:textId="77777777" w:rsidR="00C31B19" w:rsidRPr="00716890" w:rsidRDefault="00C31B19" w:rsidP="00E765DD">
            <w:pPr>
              <w:spacing w:before="90" w:after="100"/>
              <w:ind w:left="57"/>
              <w:rPr>
                <w:b/>
                <w:bCs/>
                <w:sz w:val="20"/>
                <w:lang w:val="fr-FR"/>
              </w:rPr>
            </w:pPr>
            <w:r w:rsidRPr="00716890">
              <w:rPr>
                <w:b/>
                <w:bCs/>
                <w:sz w:val="20"/>
                <w:lang w:val="fr-FR"/>
              </w:rPr>
              <w:t>Séries</w:t>
            </w:r>
          </w:p>
        </w:tc>
        <w:tc>
          <w:tcPr>
            <w:tcW w:w="8439" w:type="dxa"/>
            <w:tcBorders>
              <w:bottom w:val="nil"/>
            </w:tcBorders>
          </w:tcPr>
          <w:p w14:paraId="5E12D8BA" w14:textId="77777777" w:rsidR="00C31B19" w:rsidRPr="00716890" w:rsidRDefault="00C31B19" w:rsidP="00E765D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90" w:after="100"/>
              <w:rPr>
                <w:bCs/>
                <w:sz w:val="20"/>
                <w:lang w:val="fr-FR"/>
              </w:rPr>
            </w:pPr>
            <w:r w:rsidRPr="00716890">
              <w:rPr>
                <w:bCs/>
                <w:sz w:val="20"/>
                <w:lang w:val="fr-FR"/>
              </w:rPr>
              <w:t>Titre</w:t>
            </w:r>
          </w:p>
        </w:tc>
      </w:tr>
      <w:tr w:rsidR="00C31B19" w:rsidRPr="00716890" w14:paraId="012D1030" w14:textId="77777777" w:rsidTr="00E765DD">
        <w:tc>
          <w:tcPr>
            <w:tcW w:w="1170" w:type="dxa"/>
            <w:tcBorders>
              <w:top w:val="nil"/>
              <w:bottom w:val="nil"/>
            </w:tcBorders>
          </w:tcPr>
          <w:p w14:paraId="7430F44D" w14:textId="77777777" w:rsidR="00C31B19" w:rsidRPr="00716890" w:rsidRDefault="00C31B19" w:rsidP="00E765DD">
            <w:pPr>
              <w:spacing w:before="30" w:after="30"/>
              <w:ind w:left="57"/>
              <w:jc w:val="left"/>
              <w:rPr>
                <w:rFonts w:ascii="Times New Roman Bold" w:hAnsi="Times New Roman Bold"/>
                <w:b/>
                <w:bCs/>
                <w:sz w:val="20"/>
                <w:lang w:val="fr-FR"/>
              </w:rPr>
            </w:pPr>
            <w:r w:rsidRPr="00716890">
              <w:rPr>
                <w:rFonts w:ascii="Times New Roman Bold" w:hAnsi="Times New Roman Bold"/>
                <w:b/>
                <w:bCs/>
                <w:sz w:val="20"/>
                <w:lang w:val="fr-FR"/>
              </w:rPr>
              <w:t>BO</w:t>
            </w:r>
          </w:p>
        </w:tc>
        <w:tc>
          <w:tcPr>
            <w:tcW w:w="8439" w:type="dxa"/>
            <w:tcBorders>
              <w:top w:val="nil"/>
              <w:bottom w:val="nil"/>
            </w:tcBorders>
          </w:tcPr>
          <w:p w14:paraId="15192855" w14:textId="77777777" w:rsidR="00C31B19" w:rsidRPr="00716890" w:rsidRDefault="00C31B19" w:rsidP="00E765D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716890">
              <w:rPr>
                <w:b w:val="0"/>
                <w:sz w:val="20"/>
                <w:lang w:val="fr-FR"/>
              </w:rPr>
              <w:t>Diffusion par satellite</w:t>
            </w:r>
          </w:p>
        </w:tc>
      </w:tr>
      <w:tr w:rsidR="00C31B19" w:rsidRPr="00716890" w14:paraId="0DE1D953" w14:textId="77777777" w:rsidTr="00E765DD">
        <w:tc>
          <w:tcPr>
            <w:tcW w:w="1170" w:type="dxa"/>
            <w:tcBorders>
              <w:top w:val="nil"/>
              <w:bottom w:val="nil"/>
            </w:tcBorders>
          </w:tcPr>
          <w:p w14:paraId="38D2A39B" w14:textId="77777777" w:rsidR="00C31B19" w:rsidRPr="00716890" w:rsidRDefault="00C31B19" w:rsidP="00E765DD">
            <w:pPr>
              <w:spacing w:before="30" w:after="30"/>
              <w:ind w:left="57"/>
              <w:jc w:val="left"/>
              <w:rPr>
                <w:rFonts w:ascii="Times New Roman Bold" w:hAnsi="Times New Roman Bold"/>
                <w:b/>
                <w:bCs/>
                <w:sz w:val="20"/>
                <w:lang w:val="fr-FR"/>
              </w:rPr>
            </w:pPr>
            <w:r w:rsidRPr="00716890">
              <w:rPr>
                <w:rFonts w:ascii="Times New Roman Bold" w:hAnsi="Times New Roman Bold"/>
                <w:b/>
                <w:bCs/>
                <w:sz w:val="20"/>
                <w:lang w:val="fr-FR"/>
              </w:rPr>
              <w:t>BR</w:t>
            </w:r>
          </w:p>
        </w:tc>
        <w:tc>
          <w:tcPr>
            <w:tcW w:w="8439" w:type="dxa"/>
            <w:tcBorders>
              <w:top w:val="nil"/>
              <w:bottom w:val="nil"/>
            </w:tcBorders>
          </w:tcPr>
          <w:p w14:paraId="03DB448F" w14:textId="340F0270" w:rsidR="00C31B19" w:rsidRPr="00716890" w:rsidRDefault="00C31B19" w:rsidP="00E765D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716890">
              <w:rPr>
                <w:b w:val="0"/>
                <w:sz w:val="20"/>
                <w:lang w:val="fr-FR"/>
              </w:rPr>
              <w:t>Enregistrement pour la production, l</w:t>
            </w:r>
            <w:r w:rsidR="00322E65" w:rsidRPr="00716890">
              <w:rPr>
                <w:b w:val="0"/>
                <w:sz w:val="20"/>
                <w:lang w:val="fr-FR"/>
              </w:rPr>
              <w:t>'</w:t>
            </w:r>
            <w:r w:rsidRPr="00716890">
              <w:rPr>
                <w:b w:val="0"/>
                <w:sz w:val="20"/>
                <w:lang w:val="fr-FR"/>
              </w:rPr>
              <w:t>archivage et la diffusion; films pour la télévision</w:t>
            </w:r>
          </w:p>
        </w:tc>
      </w:tr>
      <w:tr w:rsidR="00C31B19" w:rsidRPr="00716890" w14:paraId="3AAAD946" w14:textId="77777777" w:rsidTr="00E765DD">
        <w:tc>
          <w:tcPr>
            <w:tcW w:w="1170" w:type="dxa"/>
            <w:tcBorders>
              <w:top w:val="nil"/>
              <w:bottom w:val="nil"/>
            </w:tcBorders>
          </w:tcPr>
          <w:p w14:paraId="2C5B018C" w14:textId="77777777" w:rsidR="00C31B19" w:rsidRPr="00716890" w:rsidRDefault="00C31B19" w:rsidP="00E765DD">
            <w:pPr>
              <w:spacing w:before="30" w:after="30"/>
              <w:ind w:left="57"/>
              <w:jc w:val="left"/>
              <w:rPr>
                <w:b/>
                <w:bCs/>
                <w:sz w:val="20"/>
                <w:lang w:val="fr-FR"/>
              </w:rPr>
            </w:pPr>
            <w:r w:rsidRPr="00716890">
              <w:rPr>
                <w:b/>
                <w:bCs/>
                <w:sz w:val="20"/>
                <w:lang w:val="fr-FR"/>
              </w:rPr>
              <w:t>BS</w:t>
            </w:r>
          </w:p>
        </w:tc>
        <w:tc>
          <w:tcPr>
            <w:tcW w:w="8439" w:type="dxa"/>
            <w:tcBorders>
              <w:top w:val="nil"/>
              <w:bottom w:val="nil"/>
            </w:tcBorders>
          </w:tcPr>
          <w:p w14:paraId="3A571AC5" w14:textId="77777777" w:rsidR="00C31B19" w:rsidRPr="00716890" w:rsidRDefault="00C31B19" w:rsidP="00E765D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716890">
              <w:rPr>
                <w:b w:val="0"/>
                <w:sz w:val="20"/>
                <w:lang w:val="fr-FR"/>
              </w:rPr>
              <w:t>Service de radiodiffusion sonore</w:t>
            </w:r>
          </w:p>
        </w:tc>
      </w:tr>
      <w:tr w:rsidR="00C31B19" w:rsidRPr="00716890" w14:paraId="422177EC" w14:textId="77777777" w:rsidTr="00E765DD">
        <w:tc>
          <w:tcPr>
            <w:tcW w:w="1170" w:type="dxa"/>
            <w:tcBorders>
              <w:top w:val="nil"/>
              <w:bottom w:val="nil"/>
            </w:tcBorders>
          </w:tcPr>
          <w:p w14:paraId="475E26E0" w14:textId="77777777" w:rsidR="00C31B19" w:rsidRPr="00716890" w:rsidRDefault="00C31B19" w:rsidP="00E765DD">
            <w:pPr>
              <w:spacing w:before="30" w:after="30"/>
              <w:ind w:left="57"/>
              <w:jc w:val="left"/>
              <w:rPr>
                <w:b/>
                <w:bCs/>
                <w:sz w:val="20"/>
                <w:lang w:val="fr-FR"/>
              </w:rPr>
            </w:pPr>
            <w:r w:rsidRPr="00716890">
              <w:rPr>
                <w:b/>
                <w:bCs/>
                <w:sz w:val="20"/>
                <w:lang w:val="fr-FR"/>
              </w:rPr>
              <w:t>BT</w:t>
            </w:r>
          </w:p>
        </w:tc>
        <w:tc>
          <w:tcPr>
            <w:tcW w:w="8439" w:type="dxa"/>
            <w:tcBorders>
              <w:top w:val="nil"/>
              <w:bottom w:val="nil"/>
            </w:tcBorders>
          </w:tcPr>
          <w:p w14:paraId="02062E0E" w14:textId="77777777" w:rsidR="00C31B19" w:rsidRPr="00716890" w:rsidRDefault="00C31B19" w:rsidP="00E765D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716890">
              <w:rPr>
                <w:b w:val="0"/>
                <w:sz w:val="20"/>
                <w:lang w:val="fr-FR"/>
              </w:rPr>
              <w:t>Service de radiodiffusion télévisuelle</w:t>
            </w:r>
          </w:p>
        </w:tc>
      </w:tr>
      <w:tr w:rsidR="00C31B19" w:rsidRPr="00716890" w14:paraId="5AA343EA" w14:textId="77777777" w:rsidTr="00E765DD">
        <w:tc>
          <w:tcPr>
            <w:tcW w:w="1170" w:type="dxa"/>
            <w:tcBorders>
              <w:top w:val="nil"/>
              <w:bottom w:val="nil"/>
            </w:tcBorders>
            <w:shd w:val="clear" w:color="auto" w:fill="F3F3F3"/>
          </w:tcPr>
          <w:p w14:paraId="1902725B" w14:textId="77777777" w:rsidR="00C31B19" w:rsidRPr="00716890" w:rsidRDefault="00C31B19" w:rsidP="00E765DD">
            <w:pPr>
              <w:spacing w:before="30" w:after="30"/>
              <w:ind w:left="57"/>
              <w:jc w:val="left"/>
              <w:rPr>
                <w:b/>
                <w:bCs/>
                <w:color w:val="000080"/>
                <w:sz w:val="20"/>
                <w:lang w:val="fr-FR"/>
              </w:rPr>
            </w:pPr>
            <w:r w:rsidRPr="00716890">
              <w:rPr>
                <w:b/>
                <w:bCs/>
                <w:color w:val="000080"/>
                <w:sz w:val="20"/>
                <w:lang w:val="fr-FR"/>
              </w:rPr>
              <w:t>F</w:t>
            </w:r>
          </w:p>
        </w:tc>
        <w:tc>
          <w:tcPr>
            <w:tcW w:w="8439" w:type="dxa"/>
            <w:tcBorders>
              <w:top w:val="nil"/>
              <w:bottom w:val="nil"/>
            </w:tcBorders>
            <w:shd w:val="clear" w:color="auto" w:fill="F3F3F3"/>
          </w:tcPr>
          <w:p w14:paraId="0DE9BA78" w14:textId="77777777" w:rsidR="00C31B19" w:rsidRPr="00716890" w:rsidRDefault="00C31B19" w:rsidP="00E765D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Cs/>
                <w:color w:val="000080"/>
                <w:sz w:val="20"/>
                <w:lang w:val="fr-FR"/>
              </w:rPr>
            </w:pPr>
            <w:r w:rsidRPr="00716890">
              <w:rPr>
                <w:bCs/>
                <w:color w:val="000080"/>
                <w:sz w:val="20"/>
                <w:lang w:val="fr-FR"/>
              </w:rPr>
              <w:t>Service fixe</w:t>
            </w:r>
          </w:p>
        </w:tc>
      </w:tr>
      <w:tr w:rsidR="00C31B19" w:rsidRPr="00716890" w14:paraId="1D5D78A9" w14:textId="77777777" w:rsidTr="00E765DD">
        <w:tc>
          <w:tcPr>
            <w:tcW w:w="1170" w:type="dxa"/>
            <w:tcBorders>
              <w:top w:val="nil"/>
              <w:bottom w:val="nil"/>
            </w:tcBorders>
          </w:tcPr>
          <w:p w14:paraId="44715C4C" w14:textId="77777777" w:rsidR="00C31B19" w:rsidRPr="00716890" w:rsidRDefault="00C31B19" w:rsidP="00E765DD">
            <w:pPr>
              <w:spacing w:before="30" w:after="30"/>
              <w:ind w:left="57"/>
              <w:jc w:val="left"/>
              <w:rPr>
                <w:b/>
                <w:bCs/>
                <w:sz w:val="20"/>
                <w:lang w:val="fr-FR"/>
              </w:rPr>
            </w:pPr>
            <w:r w:rsidRPr="00716890">
              <w:rPr>
                <w:b/>
                <w:bCs/>
                <w:sz w:val="20"/>
                <w:lang w:val="fr-FR"/>
              </w:rPr>
              <w:t>M</w:t>
            </w:r>
          </w:p>
        </w:tc>
        <w:tc>
          <w:tcPr>
            <w:tcW w:w="8439" w:type="dxa"/>
            <w:tcBorders>
              <w:top w:val="nil"/>
              <w:bottom w:val="nil"/>
            </w:tcBorders>
          </w:tcPr>
          <w:p w14:paraId="4BEEA5DA" w14:textId="4A17538A" w:rsidR="00C31B19" w:rsidRPr="00716890" w:rsidRDefault="00C31B19" w:rsidP="00E765D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716890">
              <w:rPr>
                <w:b w:val="0"/>
                <w:sz w:val="20"/>
                <w:lang w:val="fr-FR"/>
              </w:rPr>
              <w:t>Services mobile, de radiorepérage et d</w:t>
            </w:r>
            <w:r w:rsidR="00322E65" w:rsidRPr="00716890">
              <w:rPr>
                <w:b w:val="0"/>
                <w:sz w:val="20"/>
                <w:lang w:val="fr-FR"/>
              </w:rPr>
              <w:t>'</w:t>
            </w:r>
            <w:r w:rsidRPr="00716890">
              <w:rPr>
                <w:b w:val="0"/>
                <w:sz w:val="20"/>
                <w:lang w:val="fr-FR"/>
              </w:rPr>
              <w:t>amateur y compris les services par satellite associés</w:t>
            </w:r>
          </w:p>
        </w:tc>
      </w:tr>
      <w:tr w:rsidR="00C31B19" w:rsidRPr="00716890" w14:paraId="161188E0" w14:textId="77777777" w:rsidTr="00E765DD">
        <w:tc>
          <w:tcPr>
            <w:tcW w:w="1170" w:type="dxa"/>
            <w:tcBorders>
              <w:top w:val="nil"/>
              <w:bottom w:val="nil"/>
            </w:tcBorders>
          </w:tcPr>
          <w:p w14:paraId="25EAA46B" w14:textId="77777777" w:rsidR="00C31B19" w:rsidRPr="00716890" w:rsidRDefault="00C31B19" w:rsidP="00E765DD">
            <w:pPr>
              <w:spacing w:before="30" w:after="30"/>
              <w:ind w:left="57"/>
              <w:jc w:val="left"/>
              <w:rPr>
                <w:b/>
                <w:bCs/>
                <w:sz w:val="20"/>
                <w:lang w:val="fr-FR"/>
              </w:rPr>
            </w:pPr>
            <w:r w:rsidRPr="00716890">
              <w:rPr>
                <w:b/>
                <w:bCs/>
                <w:sz w:val="20"/>
                <w:lang w:val="fr-FR"/>
              </w:rPr>
              <w:t>P</w:t>
            </w:r>
          </w:p>
        </w:tc>
        <w:tc>
          <w:tcPr>
            <w:tcW w:w="8439" w:type="dxa"/>
            <w:tcBorders>
              <w:top w:val="nil"/>
              <w:bottom w:val="nil"/>
            </w:tcBorders>
          </w:tcPr>
          <w:p w14:paraId="35B2591D" w14:textId="77777777" w:rsidR="00C31B19" w:rsidRPr="00716890" w:rsidRDefault="00C31B19" w:rsidP="00E765D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716890">
              <w:rPr>
                <w:b w:val="0"/>
                <w:sz w:val="20"/>
                <w:lang w:val="fr-FR"/>
              </w:rPr>
              <w:t>Propagation des ondes radioélectriques</w:t>
            </w:r>
          </w:p>
        </w:tc>
      </w:tr>
      <w:tr w:rsidR="00C31B19" w:rsidRPr="00716890" w14:paraId="4C5E2488" w14:textId="77777777" w:rsidTr="00E765DD">
        <w:tc>
          <w:tcPr>
            <w:tcW w:w="1170" w:type="dxa"/>
            <w:tcBorders>
              <w:top w:val="nil"/>
              <w:bottom w:val="nil"/>
            </w:tcBorders>
          </w:tcPr>
          <w:p w14:paraId="39BCBCF6" w14:textId="77777777" w:rsidR="00C31B19" w:rsidRPr="00716890" w:rsidRDefault="00C31B19" w:rsidP="00E765DD">
            <w:pPr>
              <w:spacing w:before="30" w:after="30"/>
              <w:ind w:left="57"/>
              <w:jc w:val="left"/>
              <w:rPr>
                <w:b/>
                <w:bCs/>
                <w:sz w:val="20"/>
                <w:lang w:val="fr-FR"/>
              </w:rPr>
            </w:pPr>
            <w:r w:rsidRPr="00716890">
              <w:rPr>
                <w:b/>
                <w:bCs/>
                <w:sz w:val="20"/>
                <w:lang w:val="fr-FR"/>
              </w:rPr>
              <w:t>RA</w:t>
            </w:r>
          </w:p>
        </w:tc>
        <w:tc>
          <w:tcPr>
            <w:tcW w:w="8439" w:type="dxa"/>
            <w:tcBorders>
              <w:top w:val="nil"/>
              <w:bottom w:val="nil"/>
            </w:tcBorders>
          </w:tcPr>
          <w:p w14:paraId="18A9FD11" w14:textId="77777777" w:rsidR="00C31B19" w:rsidRPr="00716890" w:rsidRDefault="00C31B19" w:rsidP="00E765D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716890">
              <w:rPr>
                <w:b w:val="0"/>
                <w:sz w:val="20"/>
                <w:lang w:val="fr-FR"/>
              </w:rPr>
              <w:t>Radio astronomie</w:t>
            </w:r>
          </w:p>
        </w:tc>
      </w:tr>
      <w:tr w:rsidR="00C31B19" w:rsidRPr="00716890" w14:paraId="040643B7" w14:textId="77777777" w:rsidTr="00E765DD">
        <w:tc>
          <w:tcPr>
            <w:tcW w:w="1170" w:type="dxa"/>
            <w:tcBorders>
              <w:top w:val="nil"/>
              <w:bottom w:val="nil"/>
            </w:tcBorders>
          </w:tcPr>
          <w:p w14:paraId="52AC4774" w14:textId="77777777" w:rsidR="00C31B19" w:rsidRPr="00716890" w:rsidRDefault="00C31B19" w:rsidP="00E765DD">
            <w:pPr>
              <w:spacing w:before="30" w:after="30"/>
              <w:ind w:left="57"/>
              <w:jc w:val="left"/>
              <w:rPr>
                <w:b/>
                <w:bCs/>
                <w:sz w:val="20"/>
                <w:lang w:val="fr-FR"/>
              </w:rPr>
            </w:pPr>
            <w:r w:rsidRPr="00716890">
              <w:rPr>
                <w:b/>
                <w:bCs/>
                <w:sz w:val="20"/>
                <w:lang w:val="fr-FR"/>
              </w:rPr>
              <w:t>RS</w:t>
            </w:r>
          </w:p>
        </w:tc>
        <w:tc>
          <w:tcPr>
            <w:tcW w:w="8439" w:type="dxa"/>
            <w:tcBorders>
              <w:top w:val="nil"/>
              <w:bottom w:val="nil"/>
            </w:tcBorders>
          </w:tcPr>
          <w:p w14:paraId="363E0302" w14:textId="77777777" w:rsidR="00C31B19" w:rsidRPr="00716890" w:rsidRDefault="00C31B19" w:rsidP="00E765D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716890">
              <w:rPr>
                <w:b w:val="0"/>
                <w:sz w:val="20"/>
                <w:lang w:val="fr-FR"/>
              </w:rPr>
              <w:t>Systèmes de télédétection</w:t>
            </w:r>
          </w:p>
        </w:tc>
      </w:tr>
      <w:tr w:rsidR="00C31B19" w:rsidRPr="00716890" w14:paraId="635A6822" w14:textId="77777777" w:rsidTr="00E765DD">
        <w:tc>
          <w:tcPr>
            <w:tcW w:w="1170" w:type="dxa"/>
            <w:tcBorders>
              <w:top w:val="nil"/>
              <w:bottom w:val="nil"/>
            </w:tcBorders>
          </w:tcPr>
          <w:p w14:paraId="7F606ABD" w14:textId="77777777" w:rsidR="00C31B19" w:rsidRPr="00716890" w:rsidRDefault="00C31B19" w:rsidP="00E765DD">
            <w:pPr>
              <w:spacing w:before="30" w:after="30"/>
              <w:ind w:left="57"/>
              <w:jc w:val="left"/>
              <w:rPr>
                <w:b/>
                <w:bCs/>
                <w:sz w:val="20"/>
                <w:lang w:val="fr-FR"/>
              </w:rPr>
            </w:pPr>
            <w:r w:rsidRPr="00716890">
              <w:rPr>
                <w:b/>
                <w:bCs/>
                <w:sz w:val="20"/>
                <w:lang w:val="fr-FR"/>
              </w:rPr>
              <w:t>S</w:t>
            </w:r>
          </w:p>
        </w:tc>
        <w:tc>
          <w:tcPr>
            <w:tcW w:w="8439" w:type="dxa"/>
            <w:tcBorders>
              <w:top w:val="nil"/>
              <w:bottom w:val="nil"/>
            </w:tcBorders>
          </w:tcPr>
          <w:p w14:paraId="30EBDBC2" w14:textId="77777777" w:rsidR="00C31B19" w:rsidRPr="00716890" w:rsidRDefault="00C31B19" w:rsidP="00E765D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716890">
              <w:rPr>
                <w:b w:val="0"/>
                <w:sz w:val="20"/>
                <w:lang w:val="fr-FR"/>
              </w:rPr>
              <w:t>Service fixe par satellite</w:t>
            </w:r>
          </w:p>
        </w:tc>
      </w:tr>
      <w:tr w:rsidR="00C31B19" w:rsidRPr="00716890" w14:paraId="1ABBB847" w14:textId="77777777" w:rsidTr="00E765DD">
        <w:tc>
          <w:tcPr>
            <w:tcW w:w="1170" w:type="dxa"/>
            <w:tcBorders>
              <w:top w:val="nil"/>
              <w:bottom w:val="nil"/>
            </w:tcBorders>
            <w:shd w:val="clear" w:color="auto" w:fill="FFFFFF" w:themeFill="background1"/>
          </w:tcPr>
          <w:p w14:paraId="1E59C535" w14:textId="77777777" w:rsidR="00C31B19" w:rsidRPr="00716890" w:rsidRDefault="00C31B19" w:rsidP="00E765DD">
            <w:pPr>
              <w:spacing w:before="30" w:after="30"/>
              <w:ind w:left="57"/>
              <w:jc w:val="left"/>
              <w:rPr>
                <w:rFonts w:ascii="Times New Roman Bold" w:hAnsi="Times New Roman Bold"/>
                <w:b/>
                <w:bCs/>
                <w:sz w:val="20"/>
                <w:lang w:val="fr-FR"/>
              </w:rPr>
            </w:pPr>
            <w:r w:rsidRPr="00716890">
              <w:rPr>
                <w:rFonts w:ascii="Times New Roman Bold" w:hAnsi="Times New Roman Bold"/>
                <w:b/>
                <w:bCs/>
                <w:sz w:val="20"/>
                <w:lang w:val="fr-FR"/>
              </w:rPr>
              <w:t>SA</w:t>
            </w:r>
          </w:p>
        </w:tc>
        <w:tc>
          <w:tcPr>
            <w:tcW w:w="8439" w:type="dxa"/>
            <w:tcBorders>
              <w:top w:val="nil"/>
              <w:bottom w:val="nil"/>
            </w:tcBorders>
            <w:shd w:val="clear" w:color="auto" w:fill="FFFFFF" w:themeFill="background1"/>
          </w:tcPr>
          <w:p w14:paraId="74EF4875" w14:textId="77777777" w:rsidR="00C31B19" w:rsidRPr="00716890" w:rsidRDefault="00C31B19" w:rsidP="00E765D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716890">
              <w:rPr>
                <w:b w:val="0"/>
                <w:sz w:val="20"/>
                <w:lang w:val="fr-FR"/>
              </w:rPr>
              <w:t>Applications spatiales et météorologie</w:t>
            </w:r>
          </w:p>
        </w:tc>
      </w:tr>
      <w:tr w:rsidR="00C31B19" w:rsidRPr="00716890" w14:paraId="6C2FBB9D" w14:textId="77777777" w:rsidTr="00E765DD">
        <w:tc>
          <w:tcPr>
            <w:tcW w:w="1170" w:type="dxa"/>
            <w:tcBorders>
              <w:top w:val="nil"/>
            </w:tcBorders>
          </w:tcPr>
          <w:p w14:paraId="2E99345D" w14:textId="77777777" w:rsidR="00C31B19" w:rsidRPr="00716890" w:rsidRDefault="00C31B19" w:rsidP="00E765DD">
            <w:pPr>
              <w:spacing w:before="30" w:after="30"/>
              <w:ind w:left="57"/>
              <w:jc w:val="left"/>
              <w:rPr>
                <w:b/>
                <w:bCs/>
                <w:sz w:val="20"/>
                <w:lang w:val="fr-FR"/>
              </w:rPr>
            </w:pPr>
            <w:r w:rsidRPr="00716890">
              <w:rPr>
                <w:b/>
                <w:bCs/>
                <w:sz w:val="20"/>
                <w:lang w:val="fr-FR"/>
              </w:rPr>
              <w:t>SF</w:t>
            </w:r>
          </w:p>
        </w:tc>
        <w:tc>
          <w:tcPr>
            <w:tcW w:w="8439" w:type="dxa"/>
            <w:tcBorders>
              <w:top w:val="nil"/>
            </w:tcBorders>
          </w:tcPr>
          <w:p w14:paraId="467AB2F2" w14:textId="77777777" w:rsidR="00C31B19" w:rsidRPr="00716890" w:rsidRDefault="00C31B19" w:rsidP="00E765D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716890">
              <w:rPr>
                <w:b w:val="0"/>
                <w:sz w:val="20"/>
                <w:lang w:val="fr-FR"/>
              </w:rPr>
              <w:t>Partage des fréquences et coordination entre les systèmes du service fixe par satellite et du service fixe</w:t>
            </w:r>
          </w:p>
        </w:tc>
      </w:tr>
      <w:tr w:rsidR="00C31B19" w:rsidRPr="00716890" w14:paraId="60F32998" w14:textId="77777777" w:rsidTr="00E765DD">
        <w:tc>
          <w:tcPr>
            <w:tcW w:w="1170" w:type="dxa"/>
          </w:tcPr>
          <w:p w14:paraId="7E3D5DBC" w14:textId="77777777" w:rsidR="00C31B19" w:rsidRPr="00716890" w:rsidRDefault="00C31B19" w:rsidP="00E765DD">
            <w:pPr>
              <w:spacing w:before="30" w:after="30"/>
              <w:ind w:left="57"/>
              <w:jc w:val="left"/>
              <w:rPr>
                <w:b/>
                <w:bCs/>
                <w:sz w:val="20"/>
                <w:lang w:val="fr-FR"/>
              </w:rPr>
            </w:pPr>
            <w:r w:rsidRPr="00716890">
              <w:rPr>
                <w:b/>
                <w:bCs/>
                <w:sz w:val="20"/>
                <w:lang w:val="fr-FR"/>
              </w:rPr>
              <w:t>SM</w:t>
            </w:r>
          </w:p>
        </w:tc>
        <w:tc>
          <w:tcPr>
            <w:tcW w:w="8439" w:type="dxa"/>
          </w:tcPr>
          <w:p w14:paraId="1341DE20" w14:textId="77777777" w:rsidR="00C31B19" w:rsidRPr="00716890" w:rsidRDefault="00C31B19" w:rsidP="00E765D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716890">
              <w:rPr>
                <w:b w:val="0"/>
                <w:sz w:val="20"/>
                <w:lang w:val="fr-FR"/>
              </w:rPr>
              <w:t>Gestion du spectre</w:t>
            </w:r>
          </w:p>
        </w:tc>
      </w:tr>
      <w:tr w:rsidR="00C31B19" w:rsidRPr="00716890" w14:paraId="423A1159" w14:textId="77777777" w:rsidTr="00E765DD">
        <w:tc>
          <w:tcPr>
            <w:tcW w:w="1170" w:type="dxa"/>
          </w:tcPr>
          <w:p w14:paraId="6B8FA05B" w14:textId="77777777" w:rsidR="00C31B19" w:rsidRPr="00716890" w:rsidRDefault="00C31B19" w:rsidP="00E765DD">
            <w:pPr>
              <w:spacing w:before="30" w:after="30"/>
              <w:ind w:left="57"/>
              <w:jc w:val="left"/>
              <w:rPr>
                <w:b/>
                <w:bCs/>
                <w:sz w:val="20"/>
                <w:lang w:val="fr-FR"/>
              </w:rPr>
            </w:pPr>
            <w:r w:rsidRPr="00716890">
              <w:rPr>
                <w:b/>
                <w:bCs/>
                <w:sz w:val="20"/>
                <w:lang w:val="fr-FR"/>
              </w:rPr>
              <w:t>SNG</w:t>
            </w:r>
          </w:p>
        </w:tc>
        <w:tc>
          <w:tcPr>
            <w:tcW w:w="8439" w:type="dxa"/>
          </w:tcPr>
          <w:p w14:paraId="0007B1BB" w14:textId="44ECB681" w:rsidR="00C31B19" w:rsidRPr="00716890" w:rsidRDefault="00C31B19" w:rsidP="00E765D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716890">
              <w:rPr>
                <w:b w:val="0"/>
                <w:sz w:val="20"/>
                <w:lang w:val="fr-FR"/>
              </w:rPr>
              <w:t>Reportage d</w:t>
            </w:r>
            <w:r w:rsidR="00322E65" w:rsidRPr="00716890">
              <w:rPr>
                <w:b w:val="0"/>
                <w:sz w:val="20"/>
                <w:lang w:val="fr-FR"/>
              </w:rPr>
              <w:t>'</w:t>
            </w:r>
            <w:r w:rsidRPr="00716890">
              <w:rPr>
                <w:b w:val="0"/>
                <w:sz w:val="20"/>
                <w:lang w:val="fr-FR"/>
              </w:rPr>
              <w:t>actualités par satellite</w:t>
            </w:r>
          </w:p>
        </w:tc>
      </w:tr>
      <w:tr w:rsidR="00C31B19" w:rsidRPr="00716890" w14:paraId="0E6D49B9" w14:textId="77777777" w:rsidTr="00E765DD">
        <w:tc>
          <w:tcPr>
            <w:tcW w:w="1170" w:type="dxa"/>
          </w:tcPr>
          <w:p w14:paraId="48B868F0" w14:textId="77777777" w:rsidR="00C31B19" w:rsidRPr="00716890" w:rsidRDefault="00C31B19" w:rsidP="00E765DD">
            <w:pPr>
              <w:spacing w:before="30" w:after="30"/>
              <w:ind w:left="57"/>
              <w:jc w:val="left"/>
              <w:rPr>
                <w:rFonts w:ascii="Times New Roman Bold" w:hAnsi="Times New Roman Bold"/>
                <w:b/>
                <w:bCs/>
                <w:sz w:val="20"/>
                <w:lang w:val="fr-FR"/>
              </w:rPr>
            </w:pPr>
            <w:r w:rsidRPr="00716890">
              <w:rPr>
                <w:rFonts w:ascii="Times New Roman Bold" w:hAnsi="Times New Roman Bold"/>
                <w:b/>
                <w:bCs/>
                <w:sz w:val="20"/>
                <w:lang w:val="fr-FR"/>
              </w:rPr>
              <w:t>TF</w:t>
            </w:r>
          </w:p>
        </w:tc>
        <w:tc>
          <w:tcPr>
            <w:tcW w:w="8439" w:type="dxa"/>
          </w:tcPr>
          <w:p w14:paraId="659E8BFD" w14:textId="545D782F" w:rsidR="00C31B19" w:rsidRPr="00716890" w:rsidRDefault="00C31B19" w:rsidP="00E765D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716890">
              <w:rPr>
                <w:b w:val="0"/>
                <w:sz w:val="20"/>
                <w:lang w:val="fr-FR"/>
              </w:rPr>
              <w:t>Émissions</w:t>
            </w:r>
            <w:r w:rsidRPr="00716890">
              <w:rPr>
                <w:b w:val="0"/>
                <w:sz w:val="20"/>
                <w:lang w:val="fr-FR"/>
              </w:rPr>
              <w:t xml:space="preserve"> de fréquences étalon et de signaux horaires</w:t>
            </w:r>
          </w:p>
        </w:tc>
      </w:tr>
      <w:tr w:rsidR="00C31B19" w:rsidRPr="00716890" w14:paraId="316EAC35" w14:textId="77777777" w:rsidTr="00E765DD">
        <w:tc>
          <w:tcPr>
            <w:tcW w:w="1170" w:type="dxa"/>
          </w:tcPr>
          <w:p w14:paraId="11B1E566" w14:textId="77777777" w:rsidR="00C31B19" w:rsidRPr="00716890" w:rsidRDefault="00C31B19" w:rsidP="00E765DD">
            <w:pPr>
              <w:spacing w:before="30" w:after="30"/>
              <w:ind w:left="57"/>
              <w:jc w:val="left"/>
              <w:rPr>
                <w:b/>
                <w:bCs/>
                <w:sz w:val="20"/>
                <w:lang w:val="fr-FR"/>
              </w:rPr>
            </w:pPr>
            <w:r w:rsidRPr="00716890">
              <w:rPr>
                <w:b/>
                <w:bCs/>
                <w:sz w:val="20"/>
                <w:lang w:val="fr-FR"/>
              </w:rPr>
              <w:t>V</w:t>
            </w:r>
          </w:p>
        </w:tc>
        <w:tc>
          <w:tcPr>
            <w:tcW w:w="8439" w:type="dxa"/>
          </w:tcPr>
          <w:p w14:paraId="70BA2D74" w14:textId="77777777" w:rsidR="00C31B19" w:rsidRPr="00716890" w:rsidRDefault="00C31B19" w:rsidP="00E765D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140"/>
              <w:jc w:val="left"/>
              <w:rPr>
                <w:b w:val="0"/>
                <w:sz w:val="20"/>
                <w:lang w:val="fr-FR"/>
              </w:rPr>
            </w:pPr>
            <w:r w:rsidRPr="00716890">
              <w:rPr>
                <w:b w:val="0"/>
                <w:sz w:val="20"/>
                <w:lang w:val="fr-FR"/>
              </w:rPr>
              <w:t>Vocabulaire et sujets associés</w:t>
            </w:r>
          </w:p>
        </w:tc>
      </w:tr>
    </w:tbl>
    <w:p w14:paraId="7DD14AD6" w14:textId="77777777" w:rsidR="00C31B19" w:rsidRPr="00716890" w:rsidRDefault="00C31B19" w:rsidP="00C31B19">
      <w:pPr>
        <w:spacing w:before="0"/>
        <w:jc w:val="center"/>
        <w:rPr>
          <w:sz w:val="20"/>
          <w:lang w:val="fr-FR"/>
        </w:rPr>
      </w:pPr>
    </w:p>
    <w:tbl>
      <w:tblPr>
        <w:tblW w:w="5000" w:type="pct"/>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9609"/>
      </w:tblGrid>
      <w:tr w:rsidR="00C31B19" w:rsidRPr="00716890" w14:paraId="2D4AC541" w14:textId="77777777" w:rsidTr="00E765DD">
        <w:tc>
          <w:tcPr>
            <w:tcW w:w="9609" w:type="dxa"/>
          </w:tcPr>
          <w:p w14:paraId="6130EEEC" w14:textId="77777777" w:rsidR="00C31B19" w:rsidRPr="00716890" w:rsidRDefault="00C31B19" w:rsidP="00E765DD">
            <w:pPr>
              <w:spacing w:before="80" w:after="80"/>
              <w:rPr>
                <w:i/>
                <w:iCs/>
                <w:sz w:val="20"/>
                <w:lang w:val="fr-FR"/>
              </w:rPr>
            </w:pPr>
            <w:r w:rsidRPr="00716890">
              <w:rPr>
                <w:b/>
                <w:bCs/>
                <w:i/>
                <w:iCs/>
                <w:sz w:val="20"/>
                <w:lang w:val="fr-FR"/>
              </w:rPr>
              <w:t>Note</w:t>
            </w:r>
            <w:r w:rsidRPr="00716890">
              <w:rPr>
                <w:i/>
                <w:iCs/>
                <w:sz w:val="20"/>
                <w:lang w:val="fr-FR"/>
              </w:rPr>
              <w:t xml:space="preserve">: Cette Recommandation UIT-R a été approuvée en anglais aux termes de la procédure détaillée dans la Résolution UIT-R 1. </w:t>
            </w:r>
          </w:p>
        </w:tc>
      </w:tr>
    </w:tbl>
    <w:p w14:paraId="287E0935" w14:textId="77777777" w:rsidR="00C31B19" w:rsidRPr="00716890" w:rsidRDefault="00C31B19" w:rsidP="00C31B19">
      <w:pPr>
        <w:spacing w:before="0"/>
        <w:jc w:val="center"/>
        <w:rPr>
          <w:sz w:val="22"/>
          <w:lang w:val="fr-FR"/>
        </w:rPr>
      </w:pPr>
    </w:p>
    <w:p w14:paraId="063411BF" w14:textId="77777777" w:rsidR="00C31B19" w:rsidRPr="00716890" w:rsidRDefault="00C31B19" w:rsidP="00C31B19">
      <w:pPr>
        <w:spacing w:before="100"/>
        <w:jc w:val="right"/>
        <w:rPr>
          <w:i/>
          <w:iCs/>
          <w:sz w:val="20"/>
          <w:lang w:val="fr-FR"/>
        </w:rPr>
      </w:pPr>
      <w:r w:rsidRPr="00716890">
        <w:rPr>
          <w:i/>
          <w:iCs/>
          <w:sz w:val="20"/>
          <w:lang w:val="fr-FR"/>
        </w:rPr>
        <w:t>Publication électronique</w:t>
      </w:r>
    </w:p>
    <w:p w14:paraId="1699778C" w14:textId="77777777" w:rsidR="00C31B19" w:rsidRPr="00716890" w:rsidRDefault="00C31B19" w:rsidP="00C31B19">
      <w:pPr>
        <w:spacing w:before="0"/>
        <w:jc w:val="right"/>
        <w:rPr>
          <w:sz w:val="20"/>
          <w:lang w:val="fr-FR"/>
        </w:rPr>
      </w:pPr>
      <w:r w:rsidRPr="00716890">
        <w:rPr>
          <w:sz w:val="20"/>
          <w:lang w:val="fr-FR"/>
        </w:rPr>
        <w:t>Genève, 2026</w:t>
      </w:r>
    </w:p>
    <w:p w14:paraId="188C0151" w14:textId="77777777" w:rsidR="00C31B19" w:rsidRPr="00716890" w:rsidRDefault="00C31B19" w:rsidP="00C31B19">
      <w:pPr>
        <w:spacing w:before="200"/>
        <w:jc w:val="center"/>
        <w:rPr>
          <w:sz w:val="20"/>
          <w:lang w:val="fr-FR"/>
        </w:rPr>
      </w:pPr>
      <w:r w:rsidRPr="00716890">
        <w:rPr>
          <w:sz w:val="20"/>
          <w:lang w:val="fr-FR"/>
        </w:rPr>
        <w:sym w:font="Symbol" w:char="F0E3"/>
      </w:r>
      <w:r w:rsidRPr="00716890">
        <w:rPr>
          <w:sz w:val="20"/>
          <w:lang w:val="fr-FR"/>
        </w:rPr>
        <w:t xml:space="preserve"> UIT </w:t>
      </w:r>
      <w:bookmarkStart w:id="1" w:name="iiannee"/>
      <w:bookmarkEnd w:id="1"/>
      <w:r w:rsidRPr="00716890">
        <w:rPr>
          <w:sz w:val="20"/>
          <w:lang w:val="fr-FR"/>
        </w:rPr>
        <w:t>2026</w:t>
      </w:r>
    </w:p>
    <w:p w14:paraId="4E1B3087" w14:textId="1CAB619B" w:rsidR="00C31B19" w:rsidRPr="00716890" w:rsidRDefault="00C31B19" w:rsidP="00C31B19">
      <w:pPr>
        <w:rPr>
          <w:sz w:val="18"/>
          <w:szCs w:val="18"/>
          <w:lang w:val="fr-FR"/>
        </w:rPr>
      </w:pPr>
      <w:r w:rsidRPr="00716890">
        <w:rPr>
          <w:sz w:val="18"/>
          <w:szCs w:val="18"/>
          <w:lang w:val="fr-FR"/>
        </w:rPr>
        <w:t>Tous droits réservés. Aucune partie de cette publication ne peut être reproduite, par quelque procédé que ce soit, sans l</w:t>
      </w:r>
      <w:r w:rsidR="00322E65" w:rsidRPr="00716890">
        <w:rPr>
          <w:sz w:val="18"/>
          <w:szCs w:val="18"/>
          <w:lang w:val="fr-FR"/>
        </w:rPr>
        <w:t>'</w:t>
      </w:r>
      <w:r w:rsidRPr="00716890">
        <w:rPr>
          <w:sz w:val="18"/>
          <w:szCs w:val="18"/>
          <w:lang w:val="fr-FR"/>
        </w:rPr>
        <w:t>accord écrit préalable de l</w:t>
      </w:r>
      <w:r w:rsidR="00322E65" w:rsidRPr="00716890">
        <w:rPr>
          <w:sz w:val="18"/>
          <w:szCs w:val="18"/>
          <w:lang w:val="fr-FR"/>
        </w:rPr>
        <w:t>'</w:t>
      </w:r>
      <w:r w:rsidRPr="00716890">
        <w:rPr>
          <w:sz w:val="18"/>
          <w:szCs w:val="18"/>
          <w:lang w:val="fr-FR"/>
        </w:rPr>
        <w:t>UIT.</w:t>
      </w:r>
    </w:p>
    <w:p w14:paraId="04219C6A" w14:textId="77777777" w:rsidR="00C31B19" w:rsidRPr="00716890" w:rsidRDefault="00C31B19" w:rsidP="00C31B19">
      <w:pPr>
        <w:spacing w:before="160"/>
        <w:rPr>
          <w:i/>
          <w:sz w:val="20"/>
          <w:lang w:val="fr-FR"/>
        </w:rPr>
        <w:sectPr w:rsidR="00C31B19" w:rsidRPr="00716890" w:rsidSect="00C31B19">
          <w:headerReference w:type="even" r:id="rId12"/>
          <w:headerReference w:type="default" r:id="rId13"/>
          <w:pgSz w:w="11907" w:h="16834" w:code="9"/>
          <w:pgMar w:top="1418" w:right="1134" w:bottom="1134" w:left="1134" w:header="720" w:footer="482" w:gutter="0"/>
          <w:paperSrc w:first="15" w:other="15"/>
          <w:pgNumType w:fmt="lowerRoman" w:start="2"/>
          <w:cols w:space="720"/>
        </w:sectPr>
      </w:pPr>
    </w:p>
    <w:p w14:paraId="187A3B2B" w14:textId="76F322A0" w:rsidR="00C31B19" w:rsidRPr="00716890" w:rsidRDefault="00C31B19" w:rsidP="00C31B19">
      <w:pPr>
        <w:pStyle w:val="RecNo"/>
        <w:rPr>
          <w:lang w:val="fr-FR"/>
        </w:rPr>
      </w:pPr>
      <w:bookmarkStart w:id="2" w:name="irecnoe"/>
      <w:bookmarkEnd w:id="2"/>
      <w:r w:rsidRPr="00716890">
        <w:rPr>
          <w:lang w:val="fr-FR"/>
        </w:rPr>
        <w:lastRenderedPageBreak/>
        <w:t xml:space="preserve">RECOMMANDATION  </w:t>
      </w:r>
      <w:r w:rsidRPr="00716890">
        <w:rPr>
          <w:rStyle w:val="href"/>
          <w:lang w:val="fr-FR"/>
        </w:rPr>
        <w:t>UIT-R  F.</w:t>
      </w:r>
      <w:r w:rsidRPr="00716890">
        <w:rPr>
          <w:rStyle w:val="href"/>
          <w:lang w:val="fr-FR"/>
        </w:rPr>
        <w:t>2172-0</w:t>
      </w:r>
    </w:p>
    <w:p w14:paraId="643F03AB" w14:textId="6B748F05" w:rsidR="00C31B19" w:rsidRPr="00716890" w:rsidRDefault="00C31B19" w:rsidP="00C31B19">
      <w:pPr>
        <w:pStyle w:val="Rectitle"/>
        <w:rPr>
          <w:lang w:val="fr-FR"/>
        </w:rPr>
      </w:pPr>
      <w:r w:rsidRPr="00716890">
        <w:rPr>
          <w:lang w:val="fr-FR"/>
        </w:rPr>
        <w:t>Disposition des canaux radioélectriques et des blocs de fréquences</w:t>
      </w:r>
      <w:r w:rsidRPr="00716890">
        <w:rPr>
          <w:lang w:val="fr-FR"/>
        </w:rPr>
        <w:t xml:space="preserve"> </w:t>
      </w:r>
      <w:r w:rsidRPr="00716890">
        <w:rPr>
          <w:lang w:val="fr-FR"/>
        </w:rPr>
        <w:t>radioélectriques pour les systèmes du service fixe fonctionnant</w:t>
      </w:r>
      <w:r w:rsidRPr="00716890">
        <w:rPr>
          <w:lang w:val="fr-FR"/>
        </w:rPr>
        <w:t xml:space="preserve"> </w:t>
      </w:r>
      <w:r w:rsidRPr="00716890">
        <w:rPr>
          <w:lang w:val="fr-FR"/>
        </w:rPr>
        <w:br/>
      </w:r>
      <w:r w:rsidRPr="00716890">
        <w:rPr>
          <w:lang w:val="fr-FR"/>
        </w:rPr>
        <w:t>dans les gammes de fréquences 130-134 GHz, 141-148,5 GHz,</w:t>
      </w:r>
      <w:r w:rsidRPr="00716890">
        <w:rPr>
          <w:lang w:val="fr-FR"/>
        </w:rPr>
        <w:t xml:space="preserve"> </w:t>
      </w:r>
      <w:r w:rsidRPr="00716890">
        <w:rPr>
          <w:lang w:val="fr-FR"/>
        </w:rPr>
        <w:br/>
      </w:r>
      <w:r w:rsidRPr="00716890">
        <w:rPr>
          <w:lang w:val="fr-FR"/>
        </w:rPr>
        <w:t>151,5-164 GHz et 167-174,8 GHz</w:t>
      </w:r>
    </w:p>
    <w:p w14:paraId="607CA39E" w14:textId="1DADF6A6" w:rsidR="00C31B19" w:rsidRPr="00716890" w:rsidRDefault="00C31B19" w:rsidP="00C31B19">
      <w:pPr>
        <w:pStyle w:val="Questionref"/>
        <w:rPr>
          <w:lang w:val="fr-FR"/>
        </w:rPr>
      </w:pPr>
      <w:r w:rsidRPr="00716890">
        <w:rPr>
          <w:lang w:val="fr-FR"/>
        </w:rPr>
        <w:t xml:space="preserve">Question </w:t>
      </w:r>
      <w:hyperlink r:id="rId14" w:history="1">
        <w:r w:rsidRPr="00716890">
          <w:rPr>
            <w:rStyle w:val="Hyperlink"/>
            <w:color w:val="auto"/>
            <w:u w:val="none"/>
            <w:lang w:val="fr-FR"/>
          </w:rPr>
          <w:t>UIT-R 247-1/5</w:t>
        </w:r>
      </w:hyperlink>
    </w:p>
    <w:p w14:paraId="289DBED7" w14:textId="77777777" w:rsidR="00C31B19" w:rsidRPr="00716890" w:rsidRDefault="00C31B19" w:rsidP="00C31B19">
      <w:pPr>
        <w:pStyle w:val="Recdate"/>
        <w:rPr>
          <w:lang w:val="fr-FR"/>
        </w:rPr>
      </w:pPr>
      <w:r w:rsidRPr="00716890">
        <w:rPr>
          <w:lang w:val="fr-FR"/>
        </w:rPr>
        <w:t>(2026)</w:t>
      </w:r>
    </w:p>
    <w:p w14:paraId="46AEFACC" w14:textId="389184A7" w:rsidR="00C31B19" w:rsidRPr="00716890" w:rsidRDefault="00C31B19" w:rsidP="004D714A">
      <w:pPr>
        <w:pStyle w:val="HeadingSum"/>
        <w:rPr>
          <w:lang w:val="fr-FR"/>
        </w:rPr>
      </w:pPr>
      <w:r w:rsidRPr="00716890">
        <w:rPr>
          <w:lang w:val="fr-FR"/>
        </w:rPr>
        <w:t>Domaine d</w:t>
      </w:r>
      <w:r w:rsidR="00322E65" w:rsidRPr="00716890">
        <w:rPr>
          <w:lang w:val="fr-FR"/>
        </w:rPr>
        <w:t>'</w:t>
      </w:r>
      <w:r w:rsidRPr="00716890">
        <w:rPr>
          <w:lang w:val="fr-FR"/>
        </w:rPr>
        <w:t>application</w:t>
      </w:r>
    </w:p>
    <w:p w14:paraId="41D842E5" w14:textId="6A676173" w:rsidR="00C31B19" w:rsidRPr="00716890" w:rsidRDefault="00C31B19" w:rsidP="004D714A">
      <w:pPr>
        <w:pStyle w:val="Summary"/>
        <w:rPr>
          <w:lang w:val="fr-FR"/>
        </w:rPr>
      </w:pPr>
      <w:r w:rsidRPr="00716890">
        <w:rPr>
          <w:lang w:val="fr-FR"/>
        </w:rPr>
        <w:t xml:space="preserve">La présente Recommandation décrit les dispositions des canaux et des blocs de fréquences dans les parties de la gamme 130,0-174,8 GHz attribuées au service fixe. Les dispositions reposent sur une grille de canaux de base de 250 MHz à partir de laquelle la largeur de bande de canal de </w:t>
      </w:r>
      <w:r w:rsidRPr="00716890">
        <w:rPr>
          <w:i/>
          <w:iCs/>
          <w:lang w:val="fr-FR"/>
        </w:rPr>
        <w:t>N</w:t>
      </w:r>
      <w:r w:rsidRPr="00716890">
        <w:rPr>
          <w:lang w:val="fr-FR"/>
        </w:rPr>
        <w:t xml:space="preserve"> × 250</w:t>
      </w:r>
      <w:r w:rsidRPr="00716890">
        <w:rPr>
          <w:lang w:val="fr-FR"/>
        </w:rPr>
        <w:t> </w:t>
      </w:r>
      <w:r w:rsidRPr="00716890">
        <w:rPr>
          <w:lang w:val="fr-FR"/>
        </w:rPr>
        <w:t>MHz peut être définie et sont proposées pour des applications en mode duplex par répartition en fréquence (FDD) ou duplex par répartition dans le temps (TDD). D</w:t>
      </w:r>
      <w:r w:rsidR="00322E65" w:rsidRPr="00716890">
        <w:rPr>
          <w:lang w:val="fr-FR"/>
        </w:rPr>
        <w:t>'</w:t>
      </w:r>
      <w:r w:rsidRPr="00716890">
        <w:rPr>
          <w:lang w:val="fr-FR"/>
        </w:rPr>
        <w:t>autres systèmes de duplex, tels que le duplex par répartition souple en fréquence (fFDD)</w:t>
      </w:r>
      <w:r w:rsidR="004D714A" w:rsidRPr="00716890">
        <w:rPr>
          <w:rStyle w:val="FootnoteReference"/>
          <w:lang w:val="fr-FR"/>
        </w:rPr>
        <w:footnoteReference w:id="1"/>
      </w:r>
      <w:r w:rsidRPr="00716890">
        <w:rPr>
          <w:lang w:val="fr-FR"/>
        </w:rPr>
        <w:t xml:space="preserve"> ou le duplex intégral (FD)</w:t>
      </w:r>
      <w:r w:rsidR="004D714A" w:rsidRPr="00716890">
        <w:rPr>
          <w:rStyle w:val="FootnoteReference"/>
          <w:lang w:val="fr-FR"/>
        </w:rPr>
        <w:footnoteReference w:id="2"/>
      </w:r>
      <w:r w:rsidRPr="00716890">
        <w:rPr>
          <w:lang w:val="fr-FR"/>
        </w:rPr>
        <w:t xml:space="preserve"> peuvent également être envisagés.</w:t>
      </w:r>
    </w:p>
    <w:p w14:paraId="208B1C6A" w14:textId="77777777" w:rsidR="00C31B19" w:rsidRPr="00716890" w:rsidRDefault="00C31B19" w:rsidP="00C31B19">
      <w:pPr>
        <w:pStyle w:val="Headingb"/>
        <w:rPr>
          <w:lang w:val="fr-FR"/>
        </w:rPr>
      </w:pPr>
      <w:r w:rsidRPr="00716890">
        <w:rPr>
          <w:lang w:val="fr-FR"/>
        </w:rPr>
        <w:t>Mots clés</w:t>
      </w:r>
    </w:p>
    <w:p w14:paraId="13CDE474" w14:textId="77777777" w:rsidR="00C31B19" w:rsidRPr="00C31B19" w:rsidRDefault="00C31B19" w:rsidP="00C31B19">
      <w:pPr>
        <w:rPr>
          <w:lang w:val="fr-FR"/>
        </w:rPr>
      </w:pPr>
      <w:r w:rsidRPr="00C31B19">
        <w:rPr>
          <w:lang w:val="fr-FR"/>
        </w:rPr>
        <w:t>130-174,8 GHz, duplex FDD, duplex fFDD, duplex intégral, grille de canaux</w:t>
      </w:r>
    </w:p>
    <w:p w14:paraId="5CC1F6BA" w14:textId="6B3AC3DD" w:rsidR="00C31B19" w:rsidRPr="00716890" w:rsidRDefault="009F4234" w:rsidP="00C31B19">
      <w:pPr>
        <w:pStyle w:val="Headingb"/>
        <w:rPr>
          <w:lang w:val="fr-FR"/>
        </w:rPr>
      </w:pPr>
      <w:r w:rsidRPr="00716890">
        <w:rPr>
          <w:lang w:val="fr-FR"/>
        </w:rPr>
        <w:t>Acronymes/abréviations</w:t>
      </w:r>
    </w:p>
    <w:p w14:paraId="404EAD10" w14:textId="77777777" w:rsidR="004D714A" w:rsidRPr="00C31B19" w:rsidRDefault="004D714A" w:rsidP="00780388">
      <w:pPr>
        <w:tabs>
          <w:tab w:val="clear" w:pos="794"/>
          <w:tab w:val="left" w:pos="993"/>
        </w:tabs>
        <w:rPr>
          <w:lang w:val="fr-FR"/>
        </w:rPr>
      </w:pPr>
      <w:r w:rsidRPr="00C31B19">
        <w:rPr>
          <w:lang w:val="fr-FR"/>
        </w:rPr>
        <w:t>DS</w:t>
      </w:r>
      <w:r w:rsidRPr="00C31B19">
        <w:rPr>
          <w:lang w:val="fr-FR"/>
        </w:rPr>
        <w:tab/>
        <w:t>espacement duplex (</w:t>
      </w:r>
      <w:r w:rsidRPr="00C31B19">
        <w:rPr>
          <w:i/>
          <w:iCs/>
          <w:lang w:val="fr-FR"/>
        </w:rPr>
        <w:t>duplex separation</w:t>
      </w:r>
      <w:r w:rsidRPr="00C31B19">
        <w:rPr>
          <w:lang w:val="fr-FR"/>
        </w:rPr>
        <w:t>)</w:t>
      </w:r>
    </w:p>
    <w:p w14:paraId="25520C11" w14:textId="77777777" w:rsidR="004D714A" w:rsidRPr="00C31B19" w:rsidRDefault="004D714A" w:rsidP="00780388">
      <w:pPr>
        <w:tabs>
          <w:tab w:val="clear" w:pos="794"/>
          <w:tab w:val="left" w:pos="993"/>
        </w:tabs>
        <w:rPr>
          <w:lang w:val="fr-FR"/>
        </w:rPr>
      </w:pPr>
      <w:r w:rsidRPr="00C31B19">
        <w:rPr>
          <w:lang w:val="fr-FR"/>
        </w:rPr>
        <w:t>FD</w:t>
      </w:r>
      <w:r w:rsidRPr="00C31B19">
        <w:rPr>
          <w:lang w:val="fr-FR"/>
        </w:rPr>
        <w:tab/>
        <w:t>duplex intégral (</w:t>
      </w:r>
      <w:r w:rsidRPr="00C31B19">
        <w:rPr>
          <w:i/>
          <w:iCs/>
          <w:lang w:val="fr-FR"/>
        </w:rPr>
        <w:t>full duplex</w:t>
      </w:r>
      <w:r w:rsidRPr="00C31B19">
        <w:rPr>
          <w:lang w:val="fr-FR"/>
        </w:rPr>
        <w:t>)</w:t>
      </w:r>
    </w:p>
    <w:p w14:paraId="57A5B188" w14:textId="77777777" w:rsidR="004D714A" w:rsidRPr="00C31B19" w:rsidRDefault="004D714A" w:rsidP="00780388">
      <w:pPr>
        <w:tabs>
          <w:tab w:val="clear" w:pos="794"/>
          <w:tab w:val="left" w:pos="993"/>
        </w:tabs>
        <w:rPr>
          <w:lang w:val="fr-FR"/>
        </w:rPr>
      </w:pPr>
      <w:r w:rsidRPr="00C31B19">
        <w:rPr>
          <w:lang w:val="fr-FR"/>
        </w:rPr>
        <w:t>FDD</w:t>
      </w:r>
      <w:r w:rsidRPr="00C31B19">
        <w:rPr>
          <w:lang w:val="fr-FR"/>
        </w:rPr>
        <w:tab/>
        <w:t>duplex par répartition en fréquence (</w:t>
      </w:r>
      <w:r w:rsidRPr="00C31B19">
        <w:rPr>
          <w:i/>
          <w:iCs/>
          <w:lang w:val="fr-FR"/>
        </w:rPr>
        <w:t>frequency division duplex</w:t>
      </w:r>
      <w:r w:rsidRPr="00C31B19">
        <w:rPr>
          <w:lang w:val="fr-FR"/>
        </w:rPr>
        <w:t>)</w:t>
      </w:r>
    </w:p>
    <w:p w14:paraId="0A988195" w14:textId="77777777" w:rsidR="004D714A" w:rsidRPr="00C31B19" w:rsidRDefault="004D714A" w:rsidP="00780388">
      <w:pPr>
        <w:tabs>
          <w:tab w:val="clear" w:pos="794"/>
          <w:tab w:val="left" w:pos="993"/>
        </w:tabs>
        <w:rPr>
          <w:lang w:val="fr-FR"/>
        </w:rPr>
      </w:pPr>
      <w:r w:rsidRPr="00C31B19">
        <w:rPr>
          <w:lang w:val="fr-FR"/>
        </w:rPr>
        <w:t>fFDD</w:t>
      </w:r>
      <w:r w:rsidRPr="00C31B19">
        <w:rPr>
          <w:lang w:val="fr-FR"/>
        </w:rPr>
        <w:tab/>
        <w:t>duplex par répartition souple en fréquence (</w:t>
      </w:r>
      <w:r w:rsidRPr="00C31B19">
        <w:rPr>
          <w:i/>
          <w:iCs/>
          <w:lang w:val="fr-FR"/>
        </w:rPr>
        <w:t>flexible FDD</w:t>
      </w:r>
      <w:r w:rsidRPr="00C31B19">
        <w:rPr>
          <w:lang w:val="fr-FR"/>
        </w:rPr>
        <w:t>)</w:t>
      </w:r>
    </w:p>
    <w:p w14:paraId="17AFD612" w14:textId="77777777" w:rsidR="004D714A" w:rsidRPr="00C31B19" w:rsidRDefault="004D714A" w:rsidP="00780388">
      <w:pPr>
        <w:tabs>
          <w:tab w:val="clear" w:pos="794"/>
          <w:tab w:val="left" w:pos="993"/>
        </w:tabs>
        <w:rPr>
          <w:lang w:val="fr-FR"/>
        </w:rPr>
      </w:pPr>
      <w:r w:rsidRPr="00C31B19">
        <w:rPr>
          <w:lang w:val="fr-FR"/>
        </w:rPr>
        <w:t>P-P</w:t>
      </w:r>
      <w:r w:rsidRPr="00C31B19">
        <w:rPr>
          <w:lang w:val="fr-FR"/>
        </w:rPr>
        <w:tab/>
        <w:t>point à point (</w:t>
      </w:r>
      <w:r w:rsidRPr="00C31B19">
        <w:rPr>
          <w:i/>
          <w:iCs/>
          <w:lang w:val="fr-FR"/>
        </w:rPr>
        <w:t>point-to-point</w:t>
      </w:r>
      <w:r w:rsidRPr="00C31B19">
        <w:rPr>
          <w:lang w:val="fr-FR"/>
        </w:rPr>
        <w:t>)</w:t>
      </w:r>
    </w:p>
    <w:p w14:paraId="4FB43912" w14:textId="77777777" w:rsidR="004D714A" w:rsidRPr="00C31B19" w:rsidRDefault="004D714A" w:rsidP="00780388">
      <w:pPr>
        <w:tabs>
          <w:tab w:val="clear" w:pos="794"/>
          <w:tab w:val="left" w:pos="993"/>
        </w:tabs>
        <w:rPr>
          <w:lang w:val="fr-FR"/>
        </w:rPr>
      </w:pPr>
      <w:r w:rsidRPr="00C31B19">
        <w:rPr>
          <w:lang w:val="fr-FR"/>
        </w:rPr>
        <w:t>RR</w:t>
      </w:r>
      <w:r w:rsidRPr="00C31B19">
        <w:rPr>
          <w:lang w:val="fr-FR"/>
        </w:rPr>
        <w:tab/>
        <w:t>Règlement des radiocommunications (</w:t>
      </w:r>
      <w:r w:rsidRPr="00C31B19">
        <w:rPr>
          <w:i/>
          <w:iCs/>
          <w:lang w:val="fr-FR"/>
        </w:rPr>
        <w:t>Radio Regulations</w:t>
      </w:r>
      <w:r w:rsidRPr="00C31B19">
        <w:rPr>
          <w:lang w:val="fr-FR"/>
        </w:rPr>
        <w:t>)</w:t>
      </w:r>
    </w:p>
    <w:p w14:paraId="4FFE3AC9" w14:textId="2D36D830" w:rsidR="004D714A" w:rsidRPr="00C31B19" w:rsidRDefault="004D714A" w:rsidP="00780388">
      <w:pPr>
        <w:tabs>
          <w:tab w:val="clear" w:pos="794"/>
          <w:tab w:val="left" w:pos="993"/>
        </w:tabs>
        <w:rPr>
          <w:lang w:val="fr-FR"/>
        </w:rPr>
      </w:pPr>
      <w:r w:rsidRPr="00C31B19">
        <w:rPr>
          <w:lang w:val="fr-FR"/>
        </w:rPr>
        <w:t>SETS</w:t>
      </w:r>
      <w:r w:rsidRPr="00C31B19">
        <w:rPr>
          <w:lang w:val="fr-FR"/>
        </w:rPr>
        <w:tab/>
        <w:t>service d</w:t>
      </w:r>
      <w:r w:rsidR="00322E65" w:rsidRPr="00716890">
        <w:rPr>
          <w:lang w:val="fr-FR"/>
        </w:rPr>
        <w:t>'</w:t>
      </w:r>
      <w:r w:rsidRPr="00C31B19">
        <w:rPr>
          <w:lang w:val="fr-FR"/>
        </w:rPr>
        <w:t>exploration de la Terre par satellite</w:t>
      </w:r>
    </w:p>
    <w:p w14:paraId="6722034A" w14:textId="77777777" w:rsidR="004D714A" w:rsidRPr="00C31B19" w:rsidRDefault="004D714A" w:rsidP="00780388">
      <w:pPr>
        <w:tabs>
          <w:tab w:val="clear" w:pos="794"/>
          <w:tab w:val="left" w:pos="993"/>
        </w:tabs>
        <w:rPr>
          <w:lang w:val="fr-FR"/>
        </w:rPr>
      </w:pPr>
      <w:r w:rsidRPr="00C31B19">
        <w:rPr>
          <w:lang w:val="fr-FR"/>
        </w:rPr>
        <w:t>SF</w:t>
      </w:r>
      <w:r w:rsidRPr="00C31B19">
        <w:rPr>
          <w:lang w:val="fr-FR"/>
        </w:rPr>
        <w:tab/>
        <w:t>service fixe</w:t>
      </w:r>
    </w:p>
    <w:p w14:paraId="1EE518A8" w14:textId="77777777" w:rsidR="004D714A" w:rsidRPr="00C31B19" w:rsidRDefault="004D714A" w:rsidP="00780388">
      <w:pPr>
        <w:tabs>
          <w:tab w:val="clear" w:pos="794"/>
          <w:tab w:val="left" w:pos="993"/>
        </w:tabs>
        <w:rPr>
          <w:lang w:val="fr-FR"/>
        </w:rPr>
      </w:pPr>
      <w:r w:rsidRPr="00C31B19">
        <w:rPr>
          <w:lang w:val="fr-FR"/>
        </w:rPr>
        <w:t>TDD</w:t>
      </w:r>
      <w:r w:rsidRPr="00C31B19">
        <w:rPr>
          <w:lang w:val="fr-FR"/>
        </w:rPr>
        <w:tab/>
        <w:t>duplex par répartition dans le temps (</w:t>
      </w:r>
      <w:r w:rsidRPr="00C31B19">
        <w:rPr>
          <w:i/>
          <w:iCs/>
          <w:lang w:val="fr-FR"/>
        </w:rPr>
        <w:t>time division duplex</w:t>
      </w:r>
      <w:r w:rsidRPr="00C31B19">
        <w:rPr>
          <w:lang w:val="fr-FR"/>
        </w:rPr>
        <w:t>)</w:t>
      </w:r>
    </w:p>
    <w:p w14:paraId="6CD6EEB7" w14:textId="3593860D" w:rsidR="00C31B19" w:rsidRPr="00716890" w:rsidRDefault="00C31B19" w:rsidP="00B0230F">
      <w:pPr>
        <w:pStyle w:val="Headingb"/>
        <w:rPr>
          <w:lang w:val="fr-FR"/>
        </w:rPr>
      </w:pPr>
      <w:r w:rsidRPr="00716890">
        <w:rPr>
          <w:lang w:val="fr-FR"/>
        </w:rPr>
        <w:lastRenderedPageBreak/>
        <w:t>Recommandations</w:t>
      </w:r>
      <w:r w:rsidR="00780388" w:rsidRPr="00716890">
        <w:rPr>
          <w:lang w:val="fr-FR"/>
        </w:rPr>
        <w:t xml:space="preserve"> et Rapports UIT-R</w:t>
      </w:r>
      <w:r w:rsidRPr="00716890">
        <w:rPr>
          <w:lang w:val="fr-FR"/>
        </w:rPr>
        <w:t xml:space="preserve"> connexes</w:t>
      </w:r>
    </w:p>
    <w:p w14:paraId="15A9BCAF" w14:textId="77777777" w:rsidR="00780388" w:rsidRPr="00780388" w:rsidRDefault="00780388" w:rsidP="00780388">
      <w:pPr>
        <w:pStyle w:val="Reftext"/>
        <w:keepNext/>
        <w:keepLines/>
        <w:rPr>
          <w:lang w:val="fr-FR"/>
        </w:rPr>
      </w:pPr>
      <w:r w:rsidRPr="00780388">
        <w:rPr>
          <w:lang w:val="fr-FR"/>
        </w:rPr>
        <w:t xml:space="preserve">Recommandation </w:t>
      </w:r>
      <w:hyperlink r:id="rId15" w:history="1">
        <w:r w:rsidRPr="00780388">
          <w:rPr>
            <w:rStyle w:val="Hyperlink"/>
            <w:color w:val="auto"/>
            <w:u w:val="none"/>
            <w:lang w:val="fr-FR"/>
          </w:rPr>
          <w:t>UIT-R F.1519</w:t>
        </w:r>
      </w:hyperlink>
      <w:r w:rsidRPr="00780388">
        <w:rPr>
          <w:lang w:val="fr-FR"/>
        </w:rPr>
        <w:t xml:space="preserve"> – Indications sur les dispositions de fréquences par blocs pour les systèmes du service fixe</w:t>
      </w:r>
    </w:p>
    <w:p w14:paraId="0C90C7B6" w14:textId="0E6143EB" w:rsidR="00C31B19" w:rsidRPr="00716890" w:rsidRDefault="00C31B19" w:rsidP="00780388">
      <w:pPr>
        <w:pStyle w:val="Reftext"/>
        <w:rPr>
          <w:lang w:val="fr-FR"/>
        </w:rPr>
      </w:pPr>
      <w:r w:rsidRPr="00716890">
        <w:rPr>
          <w:lang w:val="fr-FR"/>
        </w:rPr>
        <w:t xml:space="preserve">Recommandation </w:t>
      </w:r>
      <w:hyperlink r:id="rId16" w:history="1">
        <w:r w:rsidRPr="00716890">
          <w:rPr>
            <w:rStyle w:val="Hyperlink"/>
            <w:color w:val="auto"/>
            <w:u w:val="none"/>
            <w:lang w:val="fr-FR"/>
          </w:rPr>
          <w:t>UIT-R P.676</w:t>
        </w:r>
      </w:hyperlink>
      <w:r w:rsidRPr="00716890">
        <w:rPr>
          <w:lang w:val="fr-FR"/>
        </w:rPr>
        <w:t xml:space="preserve"> – Affaiblissement dû aux gaz de l</w:t>
      </w:r>
      <w:r w:rsidR="00322E65" w:rsidRPr="00716890">
        <w:rPr>
          <w:lang w:val="fr-FR"/>
        </w:rPr>
        <w:t>'</w:t>
      </w:r>
      <w:r w:rsidRPr="00716890">
        <w:rPr>
          <w:lang w:val="fr-FR"/>
        </w:rPr>
        <w:t>atmosphère</w:t>
      </w:r>
    </w:p>
    <w:p w14:paraId="294A53E1" w14:textId="2C150B4D" w:rsidR="00C31B19" w:rsidRPr="00716890" w:rsidRDefault="00C31B19" w:rsidP="00780388">
      <w:pPr>
        <w:pStyle w:val="Reftext"/>
        <w:rPr>
          <w:lang w:val="fr-FR"/>
        </w:rPr>
      </w:pPr>
      <w:r w:rsidRPr="00716890">
        <w:rPr>
          <w:lang w:val="fr-FR"/>
        </w:rPr>
        <w:t xml:space="preserve">Recommandation </w:t>
      </w:r>
      <w:hyperlink r:id="rId17" w:history="1">
        <w:r w:rsidRPr="00716890">
          <w:rPr>
            <w:rStyle w:val="Hyperlink"/>
            <w:color w:val="auto"/>
            <w:u w:val="none"/>
            <w:lang w:val="fr-FR"/>
          </w:rPr>
          <w:t>UIT-R P.838</w:t>
        </w:r>
      </w:hyperlink>
      <w:r w:rsidRPr="00716890">
        <w:rPr>
          <w:lang w:val="fr-FR"/>
        </w:rPr>
        <w:t xml:space="preserve"> – Modèle d</w:t>
      </w:r>
      <w:r w:rsidR="00322E65" w:rsidRPr="00716890">
        <w:rPr>
          <w:lang w:val="fr-FR"/>
        </w:rPr>
        <w:t>'</w:t>
      </w:r>
      <w:r w:rsidRPr="00716890">
        <w:rPr>
          <w:lang w:val="fr-FR"/>
        </w:rPr>
        <w:t>affaiblissement linéique dû à la pluie destiné aux méthodes de prévision</w:t>
      </w:r>
    </w:p>
    <w:p w14:paraId="1B4D01EA" w14:textId="251D3031" w:rsidR="00C31B19" w:rsidRPr="00716890" w:rsidRDefault="00C31B19" w:rsidP="00B0230F">
      <w:pPr>
        <w:pStyle w:val="Reftext"/>
        <w:rPr>
          <w:lang w:val="fr-FR"/>
        </w:rPr>
      </w:pPr>
      <w:r w:rsidRPr="00716890">
        <w:rPr>
          <w:lang w:val="fr-FR"/>
        </w:rPr>
        <w:t xml:space="preserve">Rapport </w:t>
      </w:r>
      <w:hyperlink r:id="rId18" w:history="1">
        <w:r w:rsidRPr="00716890">
          <w:rPr>
            <w:rStyle w:val="Hyperlink"/>
            <w:color w:val="auto"/>
            <w:u w:val="none"/>
            <w:lang w:val="fr-FR"/>
          </w:rPr>
          <w:t>UIT-R F.2558</w:t>
        </w:r>
      </w:hyperlink>
      <w:r w:rsidRPr="00716890">
        <w:rPr>
          <w:lang w:val="fr-FR"/>
        </w:rPr>
        <w:t xml:space="preserve"> – Études relatives aux niveaux des rayonnements non désirés en dehors des bandes attribuées aux systèmes du service fixe fonctionnant dans les bandes de fréquences 94,1-174,8 GHz pour la protection du service d</w:t>
      </w:r>
      <w:r w:rsidR="00322E65" w:rsidRPr="00716890">
        <w:rPr>
          <w:lang w:val="fr-FR"/>
        </w:rPr>
        <w:t>'</w:t>
      </w:r>
      <w:r w:rsidRPr="00716890">
        <w:rPr>
          <w:lang w:val="fr-FR"/>
        </w:rPr>
        <w:t xml:space="preserve">exploration de la Terre par satellite (passive) fonctionnant dans les bandes adjacentes lorsque le numéro </w:t>
      </w:r>
      <w:r w:rsidRPr="00716890">
        <w:rPr>
          <w:b/>
          <w:bCs/>
          <w:lang w:val="fr-FR"/>
        </w:rPr>
        <w:t>5.340</w:t>
      </w:r>
      <w:r w:rsidRPr="00716890">
        <w:rPr>
          <w:lang w:val="fr-FR"/>
        </w:rPr>
        <w:t xml:space="preserve"> du Règlement des radiocommunications s</w:t>
      </w:r>
      <w:r w:rsidR="00322E65" w:rsidRPr="00716890">
        <w:rPr>
          <w:lang w:val="fr-FR"/>
        </w:rPr>
        <w:t>'</w:t>
      </w:r>
      <w:r w:rsidRPr="00716890">
        <w:rPr>
          <w:lang w:val="fr-FR"/>
        </w:rPr>
        <w:t>applique</w:t>
      </w:r>
    </w:p>
    <w:p w14:paraId="744F3BEE" w14:textId="342E1379" w:rsidR="00C31B19" w:rsidRPr="00C31B19" w:rsidRDefault="00C31B19" w:rsidP="00C31B19">
      <w:pPr>
        <w:rPr>
          <w:lang w:val="fr-FR"/>
        </w:rPr>
      </w:pPr>
      <w:r w:rsidRPr="00C31B19">
        <w:rPr>
          <w:lang w:val="fr-FR"/>
        </w:rPr>
        <w:t>NOTE – Dans tous les cas, il convient d</w:t>
      </w:r>
      <w:r w:rsidR="00322E65" w:rsidRPr="00716890">
        <w:rPr>
          <w:lang w:val="fr-FR"/>
        </w:rPr>
        <w:t>'</w:t>
      </w:r>
      <w:r w:rsidRPr="00C31B19">
        <w:rPr>
          <w:lang w:val="fr-FR"/>
        </w:rPr>
        <w:t>utiliser l</w:t>
      </w:r>
      <w:r w:rsidR="00322E65" w:rsidRPr="00716890">
        <w:rPr>
          <w:lang w:val="fr-FR"/>
        </w:rPr>
        <w:t>'</w:t>
      </w:r>
      <w:r w:rsidRPr="00C31B19">
        <w:rPr>
          <w:lang w:val="fr-FR"/>
        </w:rPr>
        <w:t>édition la plus récente de la Recommandation/du Rapport en vigueur.</w:t>
      </w:r>
    </w:p>
    <w:p w14:paraId="1EBB1612" w14:textId="68630582" w:rsidR="00C31B19" w:rsidRPr="00716890" w:rsidRDefault="00C31B19" w:rsidP="00B0230F">
      <w:pPr>
        <w:pStyle w:val="Normalaftertitle"/>
        <w:rPr>
          <w:lang w:val="fr-FR"/>
        </w:rPr>
      </w:pPr>
      <w:r w:rsidRPr="00716890">
        <w:rPr>
          <w:lang w:val="fr-FR"/>
        </w:rPr>
        <w:t>L</w:t>
      </w:r>
      <w:r w:rsidR="00322E65" w:rsidRPr="00716890">
        <w:rPr>
          <w:lang w:val="fr-FR"/>
        </w:rPr>
        <w:t>'</w:t>
      </w:r>
      <w:r w:rsidRPr="00716890">
        <w:rPr>
          <w:lang w:val="fr-FR"/>
        </w:rPr>
        <w:t>Assemblée des radiocommunications de l</w:t>
      </w:r>
      <w:r w:rsidR="00322E65" w:rsidRPr="00716890">
        <w:rPr>
          <w:lang w:val="fr-FR"/>
        </w:rPr>
        <w:t>'</w:t>
      </w:r>
      <w:r w:rsidRPr="00716890">
        <w:rPr>
          <w:lang w:val="fr-FR"/>
        </w:rPr>
        <w:t>UIT,</w:t>
      </w:r>
    </w:p>
    <w:p w14:paraId="0A4A66B7" w14:textId="77777777" w:rsidR="00C31B19" w:rsidRPr="00716890" w:rsidRDefault="00C31B19" w:rsidP="00B0230F">
      <w:pPr>
        <w:pStyle w:val="Call"/>
        <w:rPr>
          <w:lang w:val="fr-FR"/>
        </w:rPr>
      </w:pPr>
      <w:r w:rsidRPr="00716890">
        <w:rPr>
          <w:lang w:val="fr-FR"/>
        </w:rPr>
        <w:t>considérant</w:t>
      </w:r>
    </w:p>
    <w:p w14:paraId="63533A78" w14:textId="7A20DCC0" w:rsidR="00C31B19" w:rsidRPr="00C31B19" w:rsidRDefault="00C31B19" w:rsidP="00C31B19">
      <w:pPr>
        <w:rPr>
          <w:lang w:val="fr-FR"/>
        </w:rPr>
      </w:pPr>
      <w:r w:rsidRPr="00C31B19">
        <w:rPr>
          <w:i/>
          <w:iCs/>
          <w:lang w:val="fr-FR"/>
        </w:rPr>
        <w:t>a)</w:t>
      </w:r>
      <w:r w:rsidRPr="00C31B19">
        <w:rPr>
          <w:i/>
          <w:iCs/>
          <w:lang w:val="fr-FR"/>
        </w:rPr>
        <w:tab/>
      </w:r>
      <w:r w:rsidRPr="00C31B19">
        <w:rPr>
          <w:lang w:val="fr-FR"/>
        </w:rPr>
        <w:t>qu</w:t>
      </w:r>
      <w:r w:rsidR="00322E65" w:rsidRPr="00716890">
        <w:rPr>
          <w:lang w:val="fr-FR"/>
        </w:rPr>
        <w:t>'</w:t>
      </w:r>
      <w:r w:rsidRPr="00C31B19">
        <w:rPr>
          <w:lang w:val="fr-FR"/>
        </w:rPr>
        <w:t>il est nécessaire de disposer de liaisons du service fixe de très grande capacité pour assurer le raccordement des cellules mobiles et d</w:t>
      </w:r>
      <w:r w:rsidR="00322E65" w:rsidRPr="00716890">
        <w:rPr>
          <w:lang w:val="fr-FR"/>
        </w:rPr>
        <w:t>'</w:t>
      </w:r>
      <w:r w:rsidRPr="00C31B19">
        <w:rPr>
          <w:lang w:val="fr-FR"/>
        </w:rPr>
        <w:t>autres liaisons de données de plusieurs Gbit/s;</w:t>
      </w:r>
    </w:p>
    <w:p w14:paraId="0AF6EC15" w14:textId="706DCC93" w:rsidR="00C31B19" w:rsidRPr="00C31B19" w:rsidRDefault="00C31B19" w:rsidP="00C31B19">
      <w:pPr>
        <w:rPr>
          <w:i/>
          <w:iCs/>
          <w:lang w:val="fr-FR"/>
        </w:rPr>
      </w:pPr>
      <w:r w:rsidRPr="00C31B19">
        <w:rPr>
          <w:i/>
          <w:iCs/>
          <w:lang w:val="fr-FR"/>
        </w:rPr>
        <w:t>b)</w:t>
      </w:r>
      <w:r w:rsidRPr="00C31B19">
        <w:rPr>
          <w:i/>
          <w:iCs/>
          <w:lang w:val="fr-FR"/>
        </w:rPr>
        <w:tab/>
      </w:r>
      <w:r w:rsidRPr="00C31B19">
        <w:rPr>
          <w:lang w:val="fr-FR"/>
        </w:rPr>
        <w:t>que les caractéristiques de propagation des bandes de fréquences 130-134</w:t>
      </w:r>
      <w:r w:rsidR="007E699C" w:rsidRPr="00716890">
        <w:rPr>
          <w:lang w:val="fr-FR"/>
        </w:rPr>
        <w:t> </w:t>
      </w:r>
      <w:r w:rsidRPr="00C31B19">
        <w:rPr>
          <w:lang w:val="fr-FR"/>
        </w:rPr>
        <w:t>GHz, 141</w:t>
      </w:r>
      <w:r w:rsidRPr="00C31B19">
        <w:rPr>
          <w:lang w:val="fr-FR"/>
        </w:rPr>
        <w:noBreakHyphen/>
        <w:t>148,5 GHz, 151,5-164 GHz et 167-174,8 GHz conviennent parfaitement pour une utilisation de liaisons du service fixe de courte portée avec diverses largeurs de bande occupées dans des réseaux à très haute densité pour différentes applications, en particulier pour le raccordement vers l</w:t>
      </w:r>
      <w:r w:rsidR="00322E65" w:rsidRPr="00716890">
        <w:rPr>
          <w:lang w:val="fr-FR"/>
        </w:rPr>
        <w:t>'</w:t>
      </w:r>
      <w:r w:rsidRPr="00C31B19">
        <w:rPr>
          <w:lang w:val="fr-FR"/>
        </w:rPr>
        <w:t>avant/vers l</w:t>
      </w:r>
      <w:r w:rsidR="00322E65" w:rsidRPr="00716890">
        <w:rPr>
          <w:lang w:val="fr-FR"/>
        </w:rPr>
        <w:t>'</w:t>
      </w:r>
      <w:r w:rsidRPr="00C31B19">
        <w:rPr>
          <w:lang w:val="fr-FR"/>
        </w:rPr>
        <w:t>arrière des réseaux mobiles de prochaine génération;</w:t>
      </w:r>
    </w:p>
    <w:p w14:paraId="3DCB96FA" w14:textId="2F9F9256" w:rsidR="00C31B19" w:rsidRPr="00C31B19" w:rsidRDefault="00C31B19" w:rsidP="00C31B19">
      <w:pPr>
        <w:rPr>
          <w:i/>
          <w:iCs/>
          <w:lang w:val="fr-FR"/>
        </w:rPr>
      </w:pPr>
      <w:r w:rsidRPr="00C31B19">
        <w:rPr>
          <w:i/>
          <w:iCs/>
          <w:lang w:val="fr-FR"/>
        </w:rPr>
        <w:t>c)</w:t>
      </w:r>
      <w:r w:rsidRPr="00C31B19">
        <w:rPr>
          <w:i/>
          <w:iCs/>
          <w:lang w:val="fr-FR"/>
        </w:rPr>
        <w:tab/>
      </w:r>
      <w:r w:rsidRPr="00C31B19">
        <w:rPr>
          <w:lang w:val="fr-FR"/>
        </w:rPr>
        <w:t>que les applications du service fixe peuvent nécessiter l</w:t>
      </w:r>
      <w:r w:rsidR="00322E65" w:rsidRPr="00716890">
        <w:rPr>
          <w:lang w:val="fr-FR"/>
        </w:rPr>
        <w:t>'</w:t>
      </w:r>
      <w:r w:rsidRPr="00C31B19">
        <w:rPr>
          <w:lang w:val="fr-FR"/>
        </w:rPr>
        <w:t>utilisation de dispositions différentes des canaux radioélectriques;</w:t>
      </w:r>
    </w:p>
    <w:p w14:paraId="466BDB3F" w14:textId="64047F66" w:rsidR="00C31B19" w:rsidRPr="00C31B19" w:rsidRDefault="00C31B19" w:rsidP="00C31B19">
      <w:pPr>
        <w:rPr>
          <w:i/>
          <w:iCs/>
          <w:lang w:val="fr-FR"/>
        </w:rPr>
      </w:pPr>
      <w:r w:rsidRPr="00C31B19">
        <w:rPr>
          <w:i/>
          <w:iCs/>
          <w:lang w:val="fr-FR"/>
        </w:rPr>
        <w:t>d)</w:t>
      </w:r>
      <w:r w:rsidRPr="00C31B19">
        <w:rPr>
          <w:i/>
          <w:iCs/>
          <w:lang w:val="fr-FR"/>
        </w:rPr>
        <w:tab/>
      </w:r>
      <w:r w:rsidRPr="00C31B19">
        <w:rPr>
          <w:lang w:val="fr-FR"/>
        </w:rPr>
        <w:t>que les techniques évoluées des systèmes point à point permettent d</w:t>
      </w:r>
      <w:r w:rsidR="00322E65" w:rsidRPr="00716890">
        <w:rPr>
          <w:lang w:val="fr-FR"/>
        </w:rPr>
        <w:t>'</w:t>
      </w:r>
      <w:r w:rsidRPr="00C31B19">
        <w:rPr>
          <w:lang w:val="fr-FR"/>
        </w:rPr>
        <w:t>utiliser des canaux radioélectriques soit non appariés (duplex par répartition en fréquence ou duplex intégral</w:t>
      </w:r>
      <w:r w:rsidRPr="00C31B19">
        <w:rPr>
          <w:rStyle w:val="FootnoteReference"/>
          <w:lang w:val="fr-FR"/>
        </w:rPr>
        <w:footnoteReference w:id="3"/>
      </w:r>
      <w:r w:rsidRPr="00C31B19">
        <w:rPr>
          <w:lang w:val="fr-FR"/>
        </w:rPr>
        <w:t>), soit appariés sous la forme de systèmes duplex étroits (duplex par répartition souple en fréquence)</w:t>
      </w:r>
      <w:r w:rsidRPr="00C31B19">
        <w:rPr>
          <w:rStyle w:val="FootnoteReference"/>
          <w:lang w:val="fr-FR"/>
        </w:rPr>
        <w:footnoteReference w:id="4"/>
      </w:r>
      <w:r w:rsidRPr="00C31B19">
        <w:rPr>
          <w:lang w:val="fr-FR"/>
        </w:rPr>
        <w:t>;</w:t>
      </w:r>
    </w:p>
    <w:p w14:paraId="32C6E557" w14:textId="39A5E17F" w:rsidR="00C31B19" w:rsidRPr="00C31B19" w:rsidRDefault="00C31B19" w:rsidP="00C31B19">
      <w:pPr>
        <w:rPr>
          <w:i/>
          <w:iCs/>
          <w:lang w:val="fr-FR"/>
        </w:rPr>
      </w:pPr>
      <w:r w:rsidRPr="00C31B19">
        <w:rPr>
          <w:i/>
          <w:iCs/>
          <w:lang w:val="fr-FR"/>
        </w:rPr>
        <w:t>e)</w:t>
      </w:r>
      <w:r w:rsidRPr="00C31B19">
        <w:rPr>
          <w:i/>
          <w:iCs/>
          <w:lang w:val="fr-FR"/>
        </w:rPr>
        <w:tab/>
      </w:r>
      <w:r w:rsidRPr="00C31B19">
        <w:rPr>
          <w:lang w:val="fr-FR"/>
        </w:rPr>
        <w:t>que, dans certains cas, l</w:t>
      </w:r>
      <w:r w:rsidR="00322E65" w:rsidRPr="00716890">
        <w:rPr>
          <w:lang w:val="fr-FR"/>
        </w:rPr>
        <w:t>'</w:t>
      </w:r>
      <w:r w:rsidRPr="00C31B19">
        <w:rPr>
          <w:lang w:val="fr-FR"/>
        </w:rPr>
        <w:t>utilisation d</w:t>
      </w:r>
      <w:r w:rsidR="00322E65" w:rsidRPr="00716890">
        <w:rPr>
          <w:lang w:val="fr-FR"/>
        </w:rPr>
        <w:t>'</w:t>
      </w:r>
      <w:r w:rsidRPr="00C31B19">
        <w:rPr>
          <w:lang w:val="fr-FR"/>
        </w:rPr>
        <w:t>une disposition de sous-bandes ou de blocs souple permet de prendre en charge différentes technologies de systèmes hertziens fixes;</w:t>
      </w:r>
    </w:p>
    <w:p w14:paraId="13591233" w14:textId="37EAB49C" w:rsidR="00C31B19" w:rsidRPr="00C31B19" w:rsidRDefault="00C31B19" w:rsidP="00C31B19">
      <w:pPr>
        <w:rPr>
          <w:i/>
          <w:iCs/>
          <w:lang w:val="fr-FR"/>
        </w:rPr>
      </w:pPr>
      <w:r w:rsidRPr="00C31B19">
        <w:rPr>
          <w:i/>
          <w:iCs/>
          <w:lang w:val="fr-FR"/>
        </w:rPr>
        <w:t>f)</w:t>
      </w:r>
      <w:r w:rsidRPr="00C31B19">
        <w:rPr>
          <w:i/>
          <w:iCs/>
          <w:lang w:val="fr-FR"/>
        </w:rPr>
        <w:tab/>
      </w:r>
      <w:r w:rsidRPr="00C31B19">
        <w:rPr>
          <w:lang w:val="fr-FR"/>
        </w:rPr>
        <w:t>que, la différence d</w:t>
      </w:r>
      <w:r w:rsidR="00322E65" w:rsidRPr="00716890">
        <w:rPr>
          <w:lang w:val="fr-FR"/>
        </w:rPr>
        <w:t>'</w:t>
      </w:r>
      <w:r w:rsidRPr="00C31B19">
        <w:rPr>
          <w:lang w:val="fr-FR"/>
        </w:rPr>
        <w:t>affaiblissement de propagation dans les bandes 130-134</w:t>
      </w:r>
      <w:r w:rsidR="007E699C" w:rsidRPr="00716890">
        <w:rPr>
          <w:lang w:val="fr-FR"/>
        </w:rPr>
        <w:t> </w:t>
      </w:r>
      <w:r w:rsidRPr="00C31B19">
        <w:rPr>
          <w:lang w:val="fr-FR"/>
        </w:rPr>
        <w:t>GHz, 141</w:t>
      </w:r>
      <w:r w:rsidRPr="00C31B19">
        <w:rPr>
          <w:lang w:val="fr-FR"/>
        </w:rPr>
        <w:noBreakHyphen/>
        <w:t>148,5 GHz, 151,5-164</w:t>
      </w:r>
      <w:r w:rsidR="009F4234" w:rsidRPr="00716890">
        <w:rPr>
          <w:lang w:val="fr-FR"/>
        </w:rPr>
        <w:t> </w:t>
      </w:r>
      <w:r w:rsidRPr="00C31B19">
        <w:rPr>
          <w:lang w:val="fr-FR"/>
        </w:rPr>
        <w:t>GHz et 167-174,8</w:t>
      </w:r>
      <w:r w:rsidR="009F4234" w:rsidRPr="00716890">
        <w:rPr>
          <w:lang w:val="fr-FR"/>
        </w:rPr>
        <w:t> </w:t>
      </w:r>
      <w:r w:rsidRPr="00C31B19">
        <w:rPr>
          <w:lang w:val="fr-FR"/>
        </w:rPr>
        <w:t>GHz étant de l</w:t>
      </w:r>
      <w:r w:rsidR="00322E65" w:rsidRPr="00716890">
        <w:rPr>
          <w:lang w:val="fr-FR"/>
        </w:rPr>
        <w:t>'</w:t>
      </w:r>
      <w:r w:rsidRPr="00C31B19">
        <w:rPr>
          <w:lang w:val="fr-FR"/>
        </w:rPr>
        <w:t>ordre de 1 dB pour les longueurs de bond allant jusqu</w:t>
      </w:r>
      <w:r w:rsidR="00322E65" w:rsidRPr="00716890">
        <w:rPr>
          <w:lang w:val="fr-FR"/>
        </w:rPr>
        <w:t>'</w:t>
      </w:r>
      <w:r w:rsidRPr="00C31B19">
        <w:rPr>
          <w:lang w:val="fr-FR"/>
        </w:rPr>
        <w:t>à 1</w:t>
      </w:r>
      <w:r w:rsidR="009F4234" w:rsidRPr="00716890">
        <w:rPr>
          <w:lang w:val="fr-FR"/>
        </w:rPr>
        <w:t> </w:t>
      </w:r>
      <w:r w:rsidRPr="00C31B19">
        <w:rPr>
          <w:lang w:val="fr-FR"/>
        </w:rPr>
        <w:t>km, cela laisse penser également qu</w:t>
      </w:r>
      <w:r w:rsidR="00322E65" w:rsidRPr="00716890">
        <w:rPr>
          <w:lang w:val="fr-FR"/>
        </w:rPr>
        <w:t>'</w:t>
      </w:r>
      <w:r w:rsidRPr="00C31B19">
        <w:rPr>
          <w:lang w:val="fr-FR"/>
        </w:rPr>
        <w:t>il est possible d</w:t>
      </w:r>
      <w:r w:rsidR="00322E65" w:rsidRPr="00716890">
        <w:rPr>
          <w:lang w:val="fr-FR"/>
        </w:rPr>
        <w:t>'</w:t>
      </w:r>
      <w:r w:rsidRPr="00C31B19">
        <w:rPr>
          <w:lang w:val="fr-FR"/>
        </w:rPr>
        <w:t>utiliser ces bandes conjointement pour des liaisons FDD avec un grand espacement duplex, si nécessaire;</w:t>
      </w:r>
    </w:p>
    <w:p w14:paraId="5B1BEEF7" w14:textId="148B6787" w:rsidR="00C31B19" w:rsidRPr="00C31B19" w:rsidRDefault="00C31B19" w:rsidP="00B0230F">
      <w:pPr>
        <w:keepNext/>
        <w:keepLines/>
        <w:rPr>
          <w:lang w:val="fr-FR"/>
        </w:rPr>
      </w:pPr>
      <w:r w:rsidRPr="00C31B19">
        <w:rPr>
          <w:i/>
          <w:iCs/>
          <w:lang w:val="fr-FR"/>
        </w:rPr>
        <w:lastRenderedPageBreak/>
        <w:t>g)</w:t>
      </w:r>
      <w:r w:rsidRPr="00C31B19">
        <w:rPr>
          <w:i/>
          <w:iCs/>
          <w:lang w:val="fr-FR"/>
        </w:rPr>
        <w:tab/>
      </w:r>
      <w:r w:rsidRPr="00C31B19">
        <w:rPr>
          <w:lang w:val="fr-FR"/>
        </w:rPr>
        <w:t>qu</w:t>
      </w:r>
      <w:r w:rsidR="00322E65" w:rsidRPr="00716890">
        <w:rPr>
          <w:lang w:val="fr-FR"/>
        </w:rPr>
        <w:t>'</w:t>
      </w:r>
      <w:r w:rsidRPr="00C31B19">
        <w:rPr>
          <w:lang w:val="fr-FR"/>
        </w:rPr>
        <w:t>un espacement duplex plus étroit est également envisageable avec des techniques d</w:t>
      </w:r>
      <w:r w:rsidR="00322E65" w:rsidRPr="00716890">
        <w:rPr>
          <w:lang w:val="fr-FR"/>
        </w:rPr>
        <w:t>'</w:t>
      </w:r>
      <w:r w:rsidRPr="00C31B19">
        <w:rPr>
          <w:lang w:val="fr-FR"/>
        </w:rPr>
        <w:t>annulation numérique évoluées et que, compte tenu de la très courte longueur d</w:t>
      </w:r>
      <w:r w:rsidR="00322E65" w:rsidRPr="00716890">
        <w:rPr>
          <w:lang w:val="fr-FR"/>
        </w:rPr>
        <w:t>'</w:t>
      </w:r>
      <w:r w:rsidRPr="00C31B19">
        <w:rPr>
          <w:lang w:val="fr-FR"/>
        </w:rPr>
        <w:t>onde dans ces bandes, il est possible d</w:t>
      </w:r>
      <w:r w:rsidR="00322E65" w:rsidRPr="00716890">
        <w:rPr>
          <w:lang w:val="fr-FR"/>
        </w:rPr>
        <w:t>'</w:t>
      </w:r>
      <w:r w:rsidRPr="00C31B19">
        <w:rPr>
          <w:lang w:val="fr-FR"/>
        </w:rPr>
        <w:t>utiliser une petite antenne distincte d</w:t>
      </w:r>
      <w:r w:rsidR="00322E65" w:rsidRPr="00716890">
        <w:rPr>
          <w:lang w:val="fr-FR"/>
        </w:rPr>
        <w:t>'</w:t>
      </w:r>
      <w:r w:rsidRPr="00C31B19">
        <w:rPr>
          <w:lang w:val="fr-FR"/>
        </w:rPr>
        <w:t>émission/de réception (TX/RX) faisant partie intégrante du même équipement,</w:t>
      </w:r>
    </w:p>
    <w:p w14:paraId="59AB5BA9" w14:textId="77777777" w:rsidR="00C31B19" w:rsidRPr="00716890" w:rsidRDefault="00C31B19" w:rsidP="00B0230F">
      <w:pPr>
        <w:pStyle w:val="Call"/>
        <w:rPr>
          <w:lang w:val="fr-FR"/>
        </w:rPr>
      </w:pPr>
      <w:r w:rsidRPr="00716890">
        <w:rPr>
          <w:lang w:val="fr-FR"/>
        </w:rPr>
        <w:t>reconnaissant</w:t>
      </w:r>
    </w:p>
    <w:p w14:paraId="1DE84BBF" w14:textId="428D6B16" w:rsidR="00C31B19" w:rsidRPr="00C31B19" w:rsidRDefault="00C31B19" w:rsidP="00C31B19">
      <w:pPr>
        <w:rPr>
          <w:lang w:val="fr-FR"/>
        </w:rPr>
      </w:pPr>
      <w:r w:rsidRPr="00C31B19">
        <w:rPr>
          <w:i/>
          <w:iCs/>
          <w:lang w:val="fr-FR"/>
        </w:rPr>
        <w:t>a)</w:t>
      </w:r>
      <w:r w:rsidRPr="00C31B19">
        <w:rPr>
          <w:lang w:val="fr-FR"/>
        </w:rPr>
        <w:tab/>
        <w:t>que, compte tenu du fait que toutes les émissions sont interdites dans les bandes</w:t>
      </w:r>
      <w:r w:rsidR="007E699C" w:rsidRPr="00716890">
        <w:rPr>
          <w:lang w:val="fr-FR"/>
        </w:rPr>
        <w:t> </w:t>
      </w:r>
      <w:r w:rsidRPr="00C31B19">
        <w:rPr>
          <w:lang w:val="fr-FR"/>
        </w:rPr>
        <w:t>148,5</w:t>
      </w:r>
      <w:r w:rsidRPr="00C31B19">
        <w:rPr>
          <w:lang w:val="fr-FR"/>
        </w:rPr>
        <w:noBreakHyphen/>
        <w:t xml:space="preserve">151,5 GHz et 164-167 GHz, entre autres, en vertu du numéro </w:t>
      </w:r>
      <w:r w:rsidRPr="00C31B19">
        <w:rPr>
          <w:b/>
          <w:bCs/>
          <w:lang w:val="fr-FR"/>
        </w:rPr>
        <w:t>5.340</w:t>
      </w:r>
      <w:r w:rsidRPr="00C31B19">
        <w:rPr>
          <w:lang w:val="fr-FR"/>
        </w:rPr>
        <w:t xml:space="preserve"> du RR de l</w:t>
      </w:r>
      <w:r w:rsidR="00322E65" w:rsidRPr="00716890">
        <w:rPr>
          <w:lang w:val="fr-FR"/>
        </w:rPr>
        <w:t>'</w:t>
      </w:r>
      <w:r w:rsidRPr="00C31B19">
        <w:rPr>
          <w:lang w:val="fr-FR"/>
        </w:rPr>
        <w:t>UIT, il convient de veiller à limiter les émissions hors bande du service fixe fonctionnant dans les bandes</w:t>
      </w:r>
      <w:r w:rsidR="007E699C" w:rsidRPr="00716890">
        <w:rPr>
          <w:lang w:val="fr-FR"/>
        </w:rPr>
        <w:t> </w:t>
      </w:r>
      <w:r w:rsidRPr="00C31B19">
        <w:rPr>
          <w:lang w:val="fr-FR"/>
        </w:rPr>
        <w:t>141</w:t>
      </w:r>
      <w:r w:rsidRPr="00C31B19">
        <w:rPr>
          <w:lang w:val="fr-FR"/>
        </w:rPr>
        <w:noBreakHyphen/>
        <w:t>148,5 GHz, 151,5</w:t>
      </w:r>
      <w:r w:rsidRPr="00C31B19">
        <w:rPr>
          <w:lang w:val="fr-FR"/>
        </w:rPr>
        <w:noBreakHyphen/>
        <w:t>164 GHz et 167-174,8 GHz dans les bandes adjacentes précitées;</w:t>
      </w:r>
    </w:p>
    <w:p w14:paraId="73AEA0B2" w14:textId="213B05CF" w:rsidR="00C31B19" w:rsidRPr="00C31B19" w:rsidRDefault="00C31B19" w:rsidP="00C31B19">
      <w:pPr>
        <w:rPr>
          <w:lang w:val="fr-FR"/>
        </w:rPr>
      </w:pPr>
      <w:r w:rsidRPr="00C31B19">
        <w:rPr>
          <w:i/>
          <w:iCs/>
          <w:lang w:val="fr-FR"/>
        </w:rPr>
        <w:t>b)</w:t>
      </w:r>
      <w:r w:rsidRPr="00C31B19">
        <w:rPr>
          <w:lang w:val="fr-FR"/>
        </w:rPr>
        <w:tab/>
        <w:t>que la Recommandation UIT-R</w:t>
      </w:r>
      <w:r w:rsidR="0048621B" w:rsidRPr="00716890">
        <w:rPr>
          <w:lang w:val="fr-FR"/>
        </w:rPr>
        <w:t> </w:t>
      </w:r>
      <w:r w:rsidRPr="00C31B19">
        <w:rPr>
          <w:lang w:val="fr-FR"/>
        </w:rPr>
        <w:t>F.1519 donne des indications sur les dispositions de fréquences par blocs pour les systèmes du service fixe;</w:t>
      </w:r>
    </w:p>
    <w:p w14:paraId="0D57C35B" w14:textId="77222ED1" w:rsidR="00C31B19" w:rsidRPr="00C31B19" w:rsidRDefault="00C31B19" w:rsidP="00C31B19">
      <w:pPr>
        <w:rPr>
          <w:lang w:val="fr-FR"/>
        </w:rPr>
      </w:pPr>
      <w:r w:rsidRPr="00C31B19">
        <w:rPr>
          <w:i/>
          <w:iCs/>
          <w:lang w:val="fr-FR"/>
        </w:rPr>
        <w:t>c)</w:t>
      </w:r>
      <w:r w:rsidRPr="00C31B19">
        <w:rPr>
          <w:lang w:val="fr-FR"/>
        </w:rPr>
        <w:tab/>
        <w:t>que les bandes de fréquences 130-134</w:t>
      </w:r>
      <w:r w:rsidR="007E699C" w:rsidRPr="00716890">
        <w:rPr>
          <w:lang w:val="fr-FR"/>
        </w:rPr>
        <w:t> </w:t>
      </w:r>
      <w:r w:rsidRPr="00C31B19">
        <w:rPr>
          <w:lang w:val="fr-FR"/>
        </w:rPr>
        <w:t>GHz, 141-148,5</w:t>
      </w:r>
      <w:r w:rsidR="007E699C" w:rsidRPr="00716890">
        <w:rPr>
          <w:lang w:val="fr-FR"/>
        </w:rPr>
        <w:t> </w:t>
      </w:r>
      <w:r w:rsidRPr="00C31B19">
        <w:rPr>
          <w:lang w:val="fr-FR"/>
        </w:rPr>
        <w:t>GHz, 151,5-164</w:t>
      </w:r>
      <w:r w:rsidR="007E699C" w:rsidRPr="00716890">
        <w:rPr>
          <w:lang w:val="fr-FR"/>
        </w:rPr>
        <w:t> </w:t>
      </w:r>
      <w:r w:rsidRPr="00C31B19">
        <w:rPr>
          <w:lang w:val="fr-FR"/>
        </w:rPr>
        <w:t>GHz et</w:t>
      </w:r>
      <w:r w:rsidR="007E699C" w:rsidRPr="00716890">
        <w:rPr>
          <w:lang w:val="fr-FR"/>
        </w:rPr>
        <w:t> </w:t>
      </w:r>
      <w:r w:rsidRPr="00C31B19">
        <w:rPr>
          <w:lang w:val="fr-FR"/>
        </w:rPr>
        <w:t>167</w:t>
      </w:r>
      <w:r w:rsidRPr="00C31B19">
        <w:rPr>
          <w:lang w:val="fr-FR"/>
        </w:rPr>
        <w:noBreakHyphen/>
        <w:t>174,8 GHz sont attribuées à titre primaire au service fixe, ainsi qu</w:t>
      </w:r>
      <w:r w:rsidR="00322E65" w:rsidRPr="00716890">
        <w:rPr>
          <w:lang w:val="fr-FR"/>
        </w:rPr>
        <w:t>'</w:t>
      </w:r>
      <w:r w:rsidRPr="00C31B19">
        <w:rPr>
          <w:lang w:val="fr-FR"/>
        </w:rPr>
        <w:t>à d</w:t>
      </w:r>
      <w:r w:rsidR="00322E65" w:rsidRPr="00716890">
        <w:rPr>
          <w:lang w:val="fr-FR"/>
        </w:rPr>
        <w:t>'</w:t>
      </w:r>
      <w:r w:rsidRPr="00C31B19">
        <w:rPr>
          <w:lang w:val="fr-FR"/>
        </w:rPr>
        <w:t>autres services à titre primaire avec égalité des droits,</w:t>
      </w:r>
    </w:p>
    <w:p w14:paraId="7AEE22BE" w14:textId="77777777" w:rsidR="00C31B19" w:rsidRPr="00C31B19" w:rsidRDefault="00C31B19" w:rsidP="007E699C">
      <w:pPr>
        <w:pStyle w:val="Call"/>
        <w:rPr>
          <w:lang w:val="fr-FR"/>
        </w:rPr>
      </w:pPr>
      <w:r w:rsidRPr="00C31B19">
        <w:rPr>
          <w:lang w:val="fr-FR"/>
        </w:rPr>
        <w:t>recommande</w:t>
      </w:r>
    </w:p>
    <w:p w14:paraId="1CB7C511" w14:textId="2D926504" w:rsidR="00C31B19" w:rsidRPr="00C31B19" w:rsidRDefault="00C31B19" w:rsidP="00C31B19">
      <w:pPr>
        <w:rPr>
          <w:lang w:val="fr-FR"/>
        </w:rPr>
      </w:pPr>
      <w:r w:rsidRPr="00C31B19">
        <w:rPr>
          <w:lang w:val="fr-FR"/>
        </w:rPr>
        <w:t>1</w:t>
      </w:r>
      <w:r w:rsidRPr="00C31B19">
        <w:rPr>
          <w:lang w:val="fr-FR"/>
        </w:rPr>
        <w:tab/>
        <w:t>d</w:t>
      </w:r>
      <w:r w:rsidR="00322E65" w:rsidRPr="00716890">
        <w:rPr>
          <w:lang w:val="fr-FR"/>
        </w:rPr>
        <w:t>'</w:t>
      </w:r>
      <w:r w:rsidRPr="00C31B19">
        <w:rPr>
          <w:lang w:val="fr-FR"/>
        </w:rPr>
        <w:t>envisager, dans la disposition privilégiée des canaux radioélectriques ou des blocs de fréquences radioélectriques pour les liaisons du service fixe dans les bandes 130-134</w:t>
      </w:r>
      <w:r w:rsidR="009F4234" w:rsidRPr="00716890">
        <w:rPr>
          <w:lang w:val="fr-FR"/>
        </w:rPr>
        <w:t> </w:t>
      </w:r>
      <w:r w:rsidRPr="00C31B19">
        <w:rPr>
          <w:lang w:val="fr-FR"/>
        </w:rPr>
        <w:t>GHz, 141</w:t>
      </w:r>
      <w:r w:rsidRPr="00C31B19">
        <w:rPr>
          <w:lang w:val="fr-FR"/>
        </w:rPr>
        <w:noBreakHyphen/>
        <w:t>148,5 GHz, 151,5-164 GHz et 167-174,8 GHz, d</w:t>
      </w:r>
      <w:r w:rsidR="00322E65" w:rsidRPr="00716890">
        <w:rPr>
          <w:lang w:val="fr-FR"/>
        </w:rPr>
        <w:t>'</w:t>
      </w:r>
      <w:r w:rsidRPr="00C31B19">
        <w:rPr>
          <w:lang w:val="fr-FR"/>
        </w:rPr>
        <w:t>utiliser les dispositions de la grille de canaux de base de 250 MHz figurant à l</w:t>
      </w:r>
      <w:r w:rsidR="00322E65" w:rsidRPr="00716890">
        <w:rPr>
          <w:lang w:val="fr-FR"/>
        </w:rPr>
        <w:t>'</w:t>
      </w:r>
      <w:r w:rsidRPr="00C31B19">
        <w:rPr>
          <w:lang w:val="fr-FR"/>
        </w:rPr>
        <w:t>Annexe 1;</w:t>
      </w:r>
    </w:p>
    <w:p w14:paraId="510FE255" w14:textId="0D24E7D5" w:rsidR="00C31B19" w:rsidRPr="00C31B19" w:rsidRDefault="00C31B19" w:rsidP="00C31B19">
      <w:pPr>
        <w:rPr>
          <w:lang w:val="fr-FR"/>
        </w:rPr>
      </w:pPr>
      <w:r w:rsidRPr="00C31B19">
        <w:rPr>
          <w:lang w:val="fr-FR"/>
        </w:rPr>
        <w:t>2</w:t>
      </w:r>
      <w:r w:rsidRPr="00C31B19">
        <w:rPr>
          <w:lang w:val="fr-FR"/>
        </w:rPr>
        <w:tab/>
        <w:t>d</w:t>
      </w:r>
      <w:r w:rsidR="00322E65" w:rsidRPr="00716890">
        <w:rPr>
          <w:lang w:val="fr-FR"/>
        </w:rPr>
        <w:t>'</w:t>
      </w:r>
      <w:r w:rsidRPr="00C31B19">
        <w:rPr>
          <w:lang w:val="fr-FR"/>
        </w:rPr>
        <w:t>envisager une agrégation souple de ces canaux de base de 250 MHz pour composer des canaux plus larges, tout en tenant compte de la nécessité d</w:t>
      </w:r>
      <w:r w:rsidR="00322E65" w:rsidRPr="00716890">
        <w:rPr>
          <w:lang w:val="fr-FR"/>
        </w:rPr>
        <w:t>'</w:t>
      </w:r>
      <w:r w:rsidRPr="00C31B19">
        <w:rPr>
          <w:lang w:val="fr-FR"/>
        </w:rPr>
        <w:t>utiliser efficacement le spectre;</w:t>
      </w:r>
    </w:p>
    <w:p w14:paraId="696AC9D1" w14:textId="558ACA0A" w:rsidR="00C31B19" w:rsidRPr="00C31B19" w:rsidRDefault="00C31B19" w:rsidP="00C31B19">
      <w:pPr>
        <w:rPr>
          <w:lang w:val="fr-FR"/>
        </w:rPr>
      </w:pPr>
      <w:r w:rsidRPr="00C31B19">
        <w:rPr>
          <w:lang w:val="fr-FR"/>
        </w:rPr>
        <w:t>3</w:t>
      </w:r>
      <w:r w:rsidRPr="00C31B19">
        <w:rPr>
          <w:lang w:val="fr-FR"/>
        </w:rPr>
        <w:tab/>
        <w:t>que, pour utiliser l</w:t>
      </w:r>
      <w:r w:rsidR="00322E65" w:rsidRPr="00716890">
        <w:rPr>
          <w:lang w:val="fr-FR"/>
        </w:rPr>
        <w:t>'</w:t>
      </w:r>
      <w:r w:rsidRPr="00C31B19">
        <w:rPr>
          <w:lang w:val="fr-FR"/>
        </w:rPr>
        <w:t>assignation par blocs, obtenue par agrégation de canaux, conformément à</w:t>
      </w:r>
      <w:r w:rsidR="0048621B" w:rsidRPr="00716890">
        <w:rPr>
          <w:lang w:val="fr-FR"/>
        </w:rPr>
        <w:t> </w:t>
      </w:r>
      <w:r w:rsidRPr="00C31B19">
        <w:rPr>
          <w:lang w:val="fr-FR"/>
        </w:rPr>
        <w:t>l</w:t>
      </w:r>
      <w:r w:rsidR="00322E65" w:rsidRPr="00716890">
        <w:rPr>
          <w:lang w:val="fr-FR"/>
        </w:rPr>
        <w:t>'</w:t>
      </w:r>
      <w:r w:rsidRPr="00C31B19">
        <w:rPr>
          <w:lang w:val="fr-FR"/>
        </w:rPr>
        <w:t>exemple donné dans l</w:t>
      </w:r>
      <w:r w:rsidR="00322E65" w:rsidRPr="00716890">
        <w:rPr>
          <w:lang w:val="fr-FR"/>
        </w:rPr>
        <w:t>'</w:t>
      </w:r>
      <w:r w:rsidRPr="00C31B19">
        <w:rPr>
          <w:lang w:val="fr-FR"/>
        </w:rPr>
        <w:t>Annexe 2, les blocs soient d</w:t>
      </w:r>
      <w:r w:rsidR="00322E65" w:rsidRPr="00716890">
        <w:rPr>
          <w:lang w:val="fr-FR"/>
        </w:rPr>
        <w:t>'</w:t>
      </w:r>
      <w:r w:rsidRPr="00C31B19">
        <w:rPr>
          <w:lang w:val="fr-FR"/>
        </w:rPr>
        <w:t>une largeur multiple de 250 MHz et que leur utilisation permette d</w:t>
      </w:r>
      <w:r w:rsidR="00322E65" w:rsidRPr="007B3CF6">
        <w:rPr>
          <w:lang w:val="fr-FR"/>
        </w:rPr>
        <w:t>'</w:t>
      </w:r>
      <w:r w:rsidRPr="00C31B19">
        <w:rPr>
          <w:lang w:val="fr-FR"/>
        </w:rPr>
        <w:t>utiliser toute</w:t>
      </w:r>
      <w:r w:rsidR="007B3CF6" w:rsidRPr="007B3CF6">
        <w:rPr>
          <w:lang w:val="fr-FR"/>
        </w:rPr>
        <w:t xml:space="preserve"> </w:t>
      </w:r>
      <w:r w:rsidRPr="00C31B19">
        <w:rPr>
          <w:lang w:val="fr-FR"/>
        </w:rPr>
        <w:t>largeur de bande de canal et</w:t>
      </w:r>
      <w:r w:rsidR="007B3CF6" w:rsidRPr="007B3CF6">
        <w:rPr>
          <w:lang w:val="fr-FR"/>
        </w:rPr>
        <w:t xml:space="preserve"> toute</w:t>
      </w:r>
      <w:r w:rsidRPr="00C31B19">
        <w:rPr>
          <w:lang w:val="fr-FR"/>
        </w:rPr>
        <w:t xml:space="preserve"> méthode duplex appropriées, comme indiqué dans les exemples figurant à l</w:t>
      </w:r>
      <w:r w:rsidR="00322E65" w:rsidRPr="00716890">
        <w:rPr>
          <w:lang w:val="fr-FR"/>
        </w:rPr>
        <w:t>'</w:t>
      </w:r>
      <w:r w:rsidRPr="00C31B19">
        <w:rPr>
          <w:lang w:val="fr-FR"/>
        </w:rPr>
        <w:t>Annexe 2;</w:t>
      </w:r>
    </w:p>
    <w:p w14:paraId="40CD4931" w14:textId="1FEB0C05" w:rsidR="00C31B19" w:rsidRPr="00C31B19" w:rsidRDefault="00C31B19" w:rsidP="00C31B19">
      <w:pPr>
        <w:rPr>
          <w:lang w:val="fr-FR"/>
        </w:rPr>
      </w:pPr>
      <w:r w:rsidRPr="00C31B19">
        <w:rPr>
          <w:lang w:val="fr-FR"/>
        </w:rPr>
        <w:t>4</w:t>
      </w:r>
      <w:r w:rsidRPr="00C31B19">
        <w:rPr>
          <w:lang w:val="fr-FR"/>
        </w:rPr>
        <w:tab/>
        <w:t>que les canaux duplex FDD classiques puissent être assignés dans les bandes 130-134 GHz, 141-148,5 GHz, 151,5-164 GHz et 167-174,8 GHz, qui sont utilisées comme bandes appariées, moyennant l</w:t>
      </w:r>
      <w:r w:rsidR="00322E65" w:rsidRPr="00716890">
        <w:rPr>
          <w:lang w:val="fr-FR"/>
        </w:rPr>
        <w:t>'</w:t>
      </w:r>
      <w:r w:rsidRPr="00C31B19">
        <w:rPr>
          <w:lang w:val="fr-FR"/>
        </w:rPr>
        <w:t>adoption d</w:t>
      </w:r>
      <w:r w:rsidR="00322E65" w:rsidRPr="00716890">
        <w:rPr>
          <w:lang w:val="fr-FR"/>
        </w:rPr>
        <w:t>'</w:t>
      </w:r>
      <w:r w:rsidRPr="00C31B19">
        <w:rPr>
          <w:lang w:val="fr-FR"/>
        </w:rPr>
        <w:t>un espacement duplex approprié supérieur à 15 GHz, et que l</w:t>
      </w:r>
      <w:r w:rsidR="00322E65" w:rsidRPr="00716890">
        <w:rPr>
          <w:lang w:val="fr-FR"/>
        </w:rPr>
        <w:t>'</w:t>
      </w:r>
      <w:r w:rsidRPr="00C31B19">
        <w:rPr>
          <w:lang w:val="fr-FR"/>
        </w:rPr>
        <w:t>Annexe 3 soit considérée comme un exemple.</w:t>
      </w:r>
    </w:p>
    <w:p w14:paraId="1E7DB6B8" w14:textId="77777777" w:rsidR="00C31B19" w:rsidRPr="00C31B19" w:rsidRDefault="00C31B19" w:rsidP="00C31B19">
      <w:pPr>
        <w:rPr>
          <w:lang w:val="fr-FR"/>
        </w:rPr>
      </w:pPr>
    </w:p>
    <w:p w14:paraId="57D7631F" w14:textId="77777777" w:rsidR="00C31B19" w:rsidRPr="00C31B19" w:rsidRDefault="00C31B19" w:rsidP="00C31B19">
      <w:pPr>
        <w:rPr>
          <w:lang w:val="fr-FR"/>
        </w:rPr>
      </w:pPr>
    </w:p>
    <w:p w14:paraId="7D027187" w14:textId="77777777" w:rsidR="00C31B19" w:rsidRPr="00716890" w:rsidRDefault="00C31B19" w:rsidP="007E699C">
      <w:pPr>
        <w:pStyle w:val="AnnexNoTitle"/>
        <w:outlineLvl w:val="0"/>
        <w:rPr>
          <w:lang w:val="fr-FR"/>
        </w:rPr>
      </w:pPr>
      <w:r w:rsidRPr="00716890">
        <w:rPr>
          <w:lang w:val="fr-FR"/>
        </w:rPr>
        <w:t>Annexe 1</w:t>
      </w:r>
      <w:r w:rsidRPr="00716890">
        <w:rPr>
          <w:lang w:val="fr-FR"/>
        </w:rPr>
        <w:br/>
      </w:r>
      <w:r w:rsidRPr="00716890">
        <w:rPr>
          <w:lang w:val="fr-FR"/>
        </w:rPr>
        <w:br/>
        <w:t>Disposition des canaux radioélectriques dans la bande 130-174,8 GHz</w:t>
      </w:r>
    </w:p>
    <w:p w14:paraId="61CA3D01" w14:textId="77777777" w:rsidR="00C31B19" w:rsidRPr="00716890" w:rsidRDefault="00C31B19" w:rsidP="007E699C">
      <w:pPr>
        <w:pStyle w:val="Headingb"/>
        <w:rPr>
          <w:lang w:val="fr-FR"/>
        </w:rPr>
      </w:pPr>
      <w:r w:rsidRPr="00716890">
        <w:rPr>
          <w:lang w:val="fr-FR"/>
        </w:rPr>
        <w:t>Grille de canaux de base</w:t>
      </w:r>
    </w:p>
    <w:p w14:paraId="26933E09" w14:textId="7919460E" w:rsidR="00C31B19" w:rsidRPr="00C31B19" w:rsidRDefault="00C31B19" w:rsidP="00C31B19">
      <w:pPr>
        <w:rPr>
          <w:lang w:val="fr-FR"/>
        </w:rPr>
      </w:pPr>
      <w:r w:rsidRPr="00C31B19">
        <w:rPr>
          <w:lang w:val="fr-FR"/>
        </w:rPr>
        <w:t>La Figure 1 illustre la subdivision des bandes disponibles en canaux élémentaires de 250 MHz; des bandes de garde d</w:t>
      </w:r>
      <w:r w:rsidR="00322E65" w:rsidRPr="00716890">
        <w:rPr>
          <w:lang w:val="fr-FR"/>
        </w:rPr>
        <w:t>'</w:t>
      </w:r>
      <w:r w:rsidRPr="00C31B19">
        <w:rPr>
          <w:lang w:val="fr-FR"/>
        </w:rPr>
        <w:t>au moins 125 MHz sont prévues.</w:t>
      </w:r>
    </w:p>
    <w:p w14:paraId="79BF9D9B" w14:textId="77777777" w:rsidR="00C31B19" w:rsidRPr="00716890" w:rsidRDefault="00C31B19" w:rsidP="007E699C">
      <w:pPr>
        <w:pStyle w:val="FigureNo"/>
        <w:rPr>
          <w:lang w:val="fr-FR"/>
        </w:rPr>
      </w:pPr>
      <w:r w:rsidRPr="00716890">
        <w:rPr>
          <w:lang w:val="fr-FR"/>
        </w:rPr>
        <w:lastRenderedPageBreak/>
        <w:t>FIGURE 1</w:t>
      </w:r>
    </w:p>
    <w:p w14:paraId="470E484E" w14:textId="2182D9A7" w:rsidR="00C31B19" w:rsidRPr="00716890" w:rsidRDefault="00C31B19" w:rsidP="007E699C">
      <w:pPr>
        <w:pStyle w:val="Figuretitle"/>
        <w:rPr>
          <w:lang w:val="fr-FR"/>
        </w:rPr>
      </w:pPr>
      <w:r w:rsidRPr="00716890">
        <w:rPr>
          <w:lang w:val="fr-FR"/>
        </w:rPr>
        <w:t>Grille de canaux de base pour l</w:t>
      </w:r>
      <w:r w:rsidR="00322E65" w:rsidRPr="00716890">
        <w:rPr>
          <w:lang w:val="fr-FR"/>
        </w:rPr>
        <w:t>'</w:t>
      </w:r>
      <w:r w:rsidRPr="00716890">
        <w:rPr>
          <w:lang w:val="fr-FR"/>
        </w:rPr>
        <w:t>utilisation du service fixe dans la bande 130-174,8 GHz</w:t>
      </w:r>
    </w:p>
    <w:p w14:paraId="09F8C210" w14:textId="77777777" w:rsidR="00C31B19" w:rsidRPr="00716890" w:rsidRDefault="00C31B19" w:rsidP="007E699C">
      <w:pPr>
        <w:pStyle w:val="Figure"/>
        <w:rPr>
          <w:lang w:val="fr-FR"/>
        </w:rPr>
      </w:pPr>
      <w:r w:rsidRPr="00716890">
        <w:rPr>
          <w:lang w:val="fr-FR"/>
        </w:rPr>
        <w:drawing>
          <wp:inline distT="0" distB="0" distL="0" distR="0" wp14:anchorId="1274C22B" wp14:editId="55AA2F4E">
            <wp:extent cx="6120765" cy="2427605"/>
            <wp:effectExtent l="0" t="0" r="0" b="0"/>
            <wp:docPr id="7" name="Picture 7" descr="La Figure 1 montre la Grille de canaux de base pour l'utilisation du service fixe dans la bande 130-174,8 GH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a Figure 1 montre la Grille de canaux de base pour l'utilisation du service fixe dans la bande 130-174,8 GHz"/>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765" cy="2427605"/>
                    </a:xfrm>
                    <a:prstGeom prst="rect">
                      <a:avLst/>
                    </a:prstGeom>
                    <a:noFill/>
                    <a:ln>
                      <a:noFill/>
                    </a:ln>
                  </pic:spPr>
                </pic:pic>
              </a:graphicData>
            </a:graphic>
          </wp:inline>
        </w:drawing>
      </w:r>
    </w:p>
    <w:p w14:paraId="27399E9B" w14:textId="77777777" w:rsidR="00C31B19" w:rsidRPr="00716890" w:rsidRDefault="00C31B19" w:rsidP="007E699C">
      <w:pPr>
        <w:pStyle w:val="Normalaftertitle"/>
        <w:rPr>
          <w:lang w:val="fr-FR"/>
        </w:rPr>
      </w:pPr>
      <w:r w:rsidRPr="00716890">
        <w:rPr>
          <w:lang w:val="fr-FR"/>
        </w:rPr>
        <w:t xml:space="preserve">La fréquence centrale des canaux peut être obtenue comme suit: </w:t>
      </w:r>
    </w:p>
    <w:p w14:paraId="6721918F" w14:textId="77777777" w:rsidR="009F4234" w:rsidRPr="00716890" w:rsidRDefault="009F4234" w:rsidP="009F4234">
      <w:pPr>
        <w:tabs>
          <w:tab w:val="clear" w:pos="794"/>
          <w:tab w:val="clear" w:pos="1191"/>
          <w:tab w:val="clear" w:pos="1588"/>
          <w:tab w:val="clear" w:pos="1985"/>
          <w:tab w:val="left" w:pos="1134"/>
          <w:tab w:val="left" w:pos="1871"/>
          <w:tab w:val="left" w:pos="2608"/>
          <w:tab w:val="left" w:pos="3345"/>
          <w:tab w:val="left" w:pos="4820"/>
          <w:tab w:val="left" w:pos="6521"/>
        </w:tabs>
        <w:spacing w:before="80"/>
        <w:ind w:left="1134" w:hanging="1134"/>
        <w:jc w:val="left"/>
        <w:rPr>
          <w:rFonts w:eastAsia="MS Mincho"/>
          <w:lang w:val="fr-FR"/>
        </w:rPr>
      </w:pPr>
      <w:r w:rsidRPr="00716890">
        <w:rPr>
          <w:lang w:val="fr-FR"/>
        </w:rPr>
        <w:tab/>
      </w:r>
      <w:r w:rsidRPr="00716890">
        <w:rPr>
          <w:rFonts w:eastAsia="MS Mincho"/>
          <w:i/>
          <w:iCs/>
          <w:lang w:val="fr-FR"/>
        </w:rPr>
        <w:t>F</w:t>
      </w:r>
      <w:r w:rsidRPr="00716890">
        <w:rPr>
          <w:rFonts w:eastAsia="MS Mincho"/>
          <w:i/>
          <w:iCs/>
          <w:vertAlign w:val="subscript"/>
          <w:lang w:val="fr-FR"/>
        </w:rPr>
        <w:t>N</w:t>
      </w:r>
      <w:r w:rsidRPr="00716890">
        <w:rPr>
          <w:rFonts w:eastAsia="MS Mincho"/>
          <w:lang w:val="fr-FR"/>
        </w:rPr>
        <w:t xml:space="preserve"> </w:t>
      </w:r>
      <w:r w:rsidRPr="00716890">
        <w:rPr>
          <w:lang w:val="fr-FR"/>
        </w:rPr>
        <w:t xml:space="preserve">= 130 + </w:t>
      </w:r>
      <w:r w:rsidRPr="00716890">
        <w:rPr>
          <w:i/>
          <w:iCs/>
          <w:lang w:val="fr-FR"/>
        </w:rPr>
        <w:t>N</w:t>
      </w:r>
      <w:r w:rsidRPr="00716890">
        <w:rPr>
          <w:lang w:val="fr-FR"/>
        </w:rPr>
        <w:t xml:space="preserve"> × 0,250 GHz</w:t>
      </w:r>
      <w:r w:rsidRPr="00716890">
        <w:rPr>
          <w:lang w:val="fr-FR"/>
        </w:rPr>
        <w:tab/>
      </w:r>
      <w:r w:rsidRPr="00716890">
        <w:rPr>
          <w:i/>
          <w:iCs/>
          <w:lang w:val="fr-FR"/>
        </w:rPr>
        <w:t>N</w:t>
      </w:r>
      <w:r w:rsidRPr="00716890">
        <w:rPr>
          <w:lang w:val="fr-FR"/>
        </w:rPr>
        <w:t>: 1 à 15</w:t>
      </w:r>
      <w:r w:rsidRPr="00716890">
        <w:rPr>
          <w:lang w:val="fr-FR"/>
        </w:rPr>
        <w:tab/>
        <w:t>Sous-bande «a»</w:t>
      </w:r>
    </w:p>
    <w:p w14:paraId="0DD9F83D" w14:textId="77777777" w:rsidR="009F4234" w:rsidRPr="00716890" w:rsidRDefault="009F4234" w:rsidP="009F4234">
      <w:pPr>
        <w:tabs>
          <w:tab w:val="clear" w:pos="794"/>
          <w:tab w:val="clear" w:pos="1191"/>
          <w:tab w:val="clear" w:pos="1588"/>
          <w:tab w:val="clear" w:pos="1985"/>
          <w:tab w:val="left" w:pos="1134"/>
          <w:tab w:val="left" w:pos="1871"/>
          <w:tab w:val="left" w:pos="2608"/>
          <w:tab w:val="left" w:pos="3345"/>
          <w:tab w:val="left" w:pos="4820"/>
          <w:tab w:val="left" w:pos="6521"/>
        </w:tabs>
        <w:spacing w:before="80"/>
        <w:ind w:left="1134" w:hanging="1134"/>
        <w:jc w:val="left"/>
        <w:rPr>
          <w:rFonts w:eastAsia="MS Mincho"/>
          <w:lang w:val="fr-FR"/>
        </w:rPr>
      </w:pPr>
      <w:r w:rsidRPr="00716890">
        <w:rPr>
          <w:lang w:val="fr-FR"/>
        </w:rPr>
        <w:tab/>
      </w:r>
      <w:r w:rsidRPr="00716890">
        <w:rPr>
          <w:rFonts w:eastAsia="MS Mincho"/>
          <w:i/>
          <w:iCs/>
          <w:lang w:val="fr-FR"/>
        </w:rPr>
        <w:t>F</w:t>
      </w:r>
      <w:r w:rsidRPr="00716890">
        <w:rPr>
          <w:rFonts w:eastAsia="MS Mincho"/>
          <w:i/>
          <w:iCs/>
          <w:vertAlign w:val="subscript"/>
          <w:lang w:val="fr-FR"/>
        </w:rPr>
        <w:t>N</w:t>
      </w:r>
      <w:r w:rsidRPr="00716890">
        <w:rPr>
          <w:rFonts w:eastAsia="MS Mincho"/>
          <w:lang w:val="fr-FR"/>
        </w:rPr>
        <w:t xml:space="preserve"> </w:t>
      </w:r>
      <w:r w:rsidRPr="00716890">
        <w:rPr>
          <w:lang w:val="fr-FR"/>
        </w:rPr>
        <w:t xml:space="preserve">= 141 + </w:t>
      </w:r>
      <w:r w:rsidRPr="00716890">
        <w:rPr>
          <w:i/>
          <w:iCs/>
          <w:lang w:val="fr-FR"/>
        </w:rPr>
        <w:t>N</w:t>
      </w:r>
      <w:r w:rsidRPr="00716890">
        <w:rPr>
          <w:lang w:val="fr-FR"/>
        </w:rPr>
        <w:t xml:space="preserve"> × 0,250 GHz</w:t>
      </w:r>
      <w:r w:rsidRPr="00716890">
        <w:rPr>
          <w:lang w:val="fr-FR"/>
        </w:rPr>
        <w:tab/>
      </w:r>
      <w:r w:rsidRPr="00716890">
        <w:rPr>
          <w:i/>
          <w:iCs/>
          <w:lang w:val="fr-FR"/>
        </w:rPr>
        <w:t>N</w:t>
      </w:r>
      <w:r w:rsidRPr="00716890">
        <w:rPr>
          <w:lang w:val="fr-FR"/>
        </w:rPr>
        <w:t>: 1 à 29</w:t>
      </w:r>
      <w:r w:rsidRPr="00716890">
        <w:rPr>
          <w:lang w:val="fr-FR"/>
        </w:rPr>
        <w:tab/>
        <w:t>Sous-bande «b»</w:t>
      </w:r>
    </w:p>
    <w:p w14:paraId="7E14F51A" w14:textId="77777777" w:rsidR="009F4234" w:rsidRPr="00716890" w:rsidRDefault="009F4234" w:rsidP="009F4234">
      <w:pPr>
        <w:tabs>
          <w:tab w:val="clear" w:pos="794"/>
          <w:tab w:val="clear" w:pos="1191"/>
          <w:tab w:val="clear" w:pos="1588"/>
          <w:tab w:val="clear" w:pos="1985"/>
          <w:tab w:val="left" w:pos="1134"/>
          <w:tab w:val="left" w:pos="1871"/>
          <w:tab w:val="left" w:pos="2608"/>
          <w:tab w:val="left" w:pos="3345"/>
          <w:tab w:val="left" w:pos="4820"/>
          <w:tab w:val="left" w:pos="6521"/>
        </w:tabs>
        <w:spacing w:before="80"/>
        <w:ind w:left="1134" w:hanging="1134"/>
        <w:jc w:val="left"/>
        <w:rPr>
          <w:rFonts w:eastAsia="MS Mincho"/>
          <w:lang w:val="fr-FR"/>
        </w:rPr>
      </w:pPr>
      <w:r w:rsidRPr="00716890">
        <w:rPr>
          <w:lang w:val="fr-FR"/>
        </w:rPr>
        <w:tab/>
      </w:r>
      <w:r w:rsidRPr="00716890">
        <w:rPr>
          <w:rFonts w:eastAsia="MS Mincho"/>
          <w:i/>
          <w:iCs/>
          <w:lang w:val="fr-FR"/>
        </w:rPr>
        <w:t>F</w:t>
      </w:r>
      <w:r w:rsidRPr="00716890">
        <w:rPr>
          <w:rFonts w:eastAsia="MS Mincho"/>
          <w:i/>
          <w:iCs/>
          <w:vertAlign w:val="subscript"/>
          <w:lang w:val="fr-FR"/>
        </w:rPr>
        <w:t>N</w:t>
      </w:r>
      <w:r w:rsidRPr="00716890">
        <w:rPr>
          <w:rFonts w:eastAsia="MS Mincho"/>
          <w:lang w:val="fr-FR"/>
        </w:rPr>
        <w:t xml:space="preserve"> </w:t>
      </w:r>
      <w:r w:rsidRPr="00716890">
        <w:rPr>
          <w:lang w:val="fr-FR"/>
        </w:rPr>
        <w:t xml:space="preserve">= 151,5 + </w:t>
      </w:r>
      <w:r w:rsidRPr="00716890">
        <w:rPr>
          <w:i/>
          <w:iCs/>
          <w:lang w:val="fr-FR"/>
        </w:rPr>
        <w:t>N</w:t>
      </w:r>
      <w:r w:rsidRPr="00716890">
        <w:rPr>
          <w:lang w:val="fr-FR"/>
        </w:rPr>
        <w:t xml:space="preserve"> × 0,250 GHz</w:t>
      </w:r>
      <w:r w:rsidRPr="00716890">
        <w:rPr>
          <w:lang w:val="fr-FR"/>
        </w:rPr>
        <w:tab/>
      </w:r>
      <w:r w:rsidRPr="00716890">
        <w:rPr>
          <w:i/>
          <w:iCs/>
          <w:lang w:val="fr-FR"/>
        </w:rPr>
        <w:t>N</w:t>
      </w:r>
      <w:r w:rsidRPr="00716890">
        <w:rPr>
          <w:lang w:val="fr-FR"/>
        </w:rPr>
        <w:t>: 1 à 49</w:t>
      </w:r>
      <w:r w:rsidRPr="00716890">
        <w:rPr>
          <w:lang w:val="fr-FR"/>
        </w:rPr>
        <w:tab/>
        <w:t>Sous-bande «c»</w:t>
      </w:r>
    </w:p>
    <w:p w14:paraId="050BE873" w14:textId="77777777" w:rsidR="009F4234" w:rsidRPr="00716890" w:rsidRDefault="009F4234" w:rsidP="009F4234">
      <w:pPr>
        <w:tabs>
          <w:tab w:val="clear" w:pos="794"/>
          <w:tab w:val="clear" w:pos="1191"/>
          <w:tab w:val="clear" w:pos="1588"/>
          <w:tab w:val="clear" w:pos="1985"/>
          <w:tab w:val="left" w:pos="1134"/>
          <w:tab w:val="left" w:pos="1871"/>
          <w:tab w:val="left" w:pos="2608"/>
          <w:tab w:val="left" w:pos="3345"/>
          <w:tab w:val="left" w:pos="4820"/>
          <w:tab w:val="left" w:pos="6521"/>
        </w:tabs>
        <w:spacing w:before="80"/>
        <w:ind w:left="1134" w:hanging="1134"/>
        <w:jc w:val="left"/>
        <w:rPr>
          <w:lang w:val="fr-FR"/>
        </w:rPr>
      </w:pPr>
      <w:r w:rsidRPr="00716890">
        <w:rPr>
          <w:lang w:val="fr-FR"/>
        </w:rPr>
        <w:tab/>
      </w:r>
      <w:r w:rsidRPr="00716890">
        <w:rPr>
          <w:rFonts w:eastAsia="MS Mincho"/>
          <w:i/>
          <w:iCs/>
          <w:lang w:val="fr-FR"/>
        </w:rPr>
        <w:t>F</w:t>
      </w:r>
      <w:r w:rsidRPr="00716890">
        <w:rPr>
          <w:rFonts w:eastAsia="MS Mincho"/>
          <w:i/>
          <w:iCs/>
          <w:vertAlign w:val="subscript"/>
          <w:lang w:val="fr-FR"/>
        </w:rPr>
        <w:t>N</w:t>
      </w:r>
      <w:r w:rsidRPr="00716890">
        <w:rPr>
          <w:rFonts w:eastAsia="MS Mincho"/>
          <w:lang w:val="fr-FR"/>
        </w:rPr>
        <w:t xml:space="preserve"> </w:t>
      </w:r>
      <w:r w:rsidRPr="00716890">
        <w:rPr>
          <w:lang w:val="fr-FR"/>
        </w:rPr>
        <w:t xml:space="preserve">= 167 + </w:t>
      </w:r>
      <w:r w:rsidRPr="00716890">
        <w:rPr>
          <w:i/>
          <w:iCs/>
          <w:lang w:val="fr-FR"/>
        </w:rPr>
        <w:t>N</w:t>
      </w:r>
      <w:r w:rsidRPr="00716890">
        <w:rPr>
          <w:lang w:val="fr-FR"/>
        </w:rPr>
        <w:t xml:space="preserve"> × 0,250 GHz</w:t>
      </w:r>
      <w:r w:rsidRPr="00716890">
        <w:rPr>
          <w:lang w:val="fr-FR"/>
        </w:rPr>
        <w:tab/>
      </w:r>
      <w:r w:rsidRPr="00716890">
        <w:rPr>
          <w:i/>
          <w:iCs/>
          <w:lang w:val="fr-FR"/>
        </w:rPr>
        <w:t>N</w:t>
      </w:r>
      <w:r w:rsidRPr="00716890">
        <w:rPr>
          <w:lang w:val="fr-FR"/>
        </w:rPr>
        <w:t>: 1 à 30</w:t>
      </w:r>
      <w:r w:rsidRPr="00716890">
        <w:rPr>
          <w:lang w:val="fr-FR"/>
        </w:rPr>
        <w:tab/>
        <w:t>Sous-bande «d»</w:t>
      </w:r>
    </w:p>
    <w:p w14:paraId="10711F63" w14:textId="77777777" w:rsidR="00C31B19" w:rsidRPr="00C31B19" w:rsidRDefault="00C31B19" w:rsidP="00C31B19">
      <w:pPr>
        <w:rPr>
          <w:lang w:val="fr-FR"/>
        </w:rPr>
      </w:pPr>
    </w:p>
    <w:p w14:paraId="5ECDE1CB" w14:textId="77777777" w:rsidR="00C31B19" w:rsidRPr="00C31B19" w:rsidRDefault="00C31B19" w:rsidP="00C31B19">
      <w:pPr>
        <w:rPr>
          <w:lang w:val="fr-FR"/>
        </w:rPr>
      </w:pPr>
    </w:p>
    <w:p w14:paraId="1B5C17DE" w14:textId="66A6FE52" w:rsidR="00C31B19" w:rsidRPr="00C31B19" w:rsidRDefault="00C31B19" w:rsidP="007E699C">
      <w:pPr>
        <w:pStyle w:val="AnnexNoTitle"/>
        <w:outlineLvl w:val="0"/>
        <w:rPr>
          <w:lang w:val="fr-FR"/>
        </w:rPr>
      </w:pPr>
      <w:r w:rsidRPr="00C31B19">
        <w:rPr>
          <w:lang w:val="fr-FR"/>
        </w:rPr>
        <w:t>Annexe 2</w:t>
      </w:r>
      <w:r w:rsidRPr="00C31B19">
        <w:rPr>
          <w:lang w:val="fr-FR"/>
        </w:rPr>
        <w:br/>
      </w:r>
      <w:r w:rsidRPr="00C31B19">
        <w:rPr>
          <w:lang w:val="fr-FR"/>
        </w:rPr>
        <w:br/>
        <w:t>Exemples d</w:t>
      </w:r>
      <w:r w:rsidR="00322E65" w:rsidRPr="00716890">
        <w:rPr>
          <w:lang w:val="fr-FR"/>
        </w:rPr>
        <w:t>'</w:t>
      </w:r>
      <w:r w:rsidRPr="00C31B19">
        <w:rPr>
          <w:lang w:val="fr-FR"/>
        </w:rPr>
        <w:t>utilisation de blocs dans la bande RF 130-174,8 GHz</w:t>
      </w:r>
    </w:p>
    <w:p w14:paraId="370C6170" w14:textId="77777777" w:rsidR="00C31B19" w:rsidRPr="00716890" w:rsidRDefault="00C31B19" w:rsidP="007E699C">
      <w:pPr>
        <w:pStyle w:val="Headingb"/>
        <w:rPr>
          <w:lang w:val="fr-FR"/>
        </w:rPr>
      </w:pPr>
      <w:r w:rsidRPr="00716890">
        <w:rPr>
          <w:lang w:val="fr-FR"/>
        </w:rPr>
        <w:t>Agrégation des canaux</w:t>
      </w:r>
    </w:p>
    <w:p w14:paraId="7102CB98" w14:textId="5304453D" w:rsidR="00C31B19" w:rsidRPr="00C31B19" w:rsidRDefault="00C31B19" w:rsidP="00C31B19">
      <w:pPr>
        <w:rPr>
          <w:lang w:val="fr-FR"/>
        </w:rPr>
      </w:pPr>
      <w:r w:rsidRPr="00C31B19">
        <w:rPr>
          <w:lang w:val="fr-FR"/>
        </w:rPr>
        <w:t>La Figure 2 donne un exemple d</w:t>
      </w:r>
      <w:r w:rsidR="00322E65" w:rsidRPr="00716890">
        <w:rPr>
          <w:lang w:val="fr-FR"/>
        </w:rPr>
        <w:t>'</w:t>
      </w:r>
      <w:r w:rsidRPr="00C31B19">
        <w:rPr>
          <w:lang w:val="fr-FR"/>
        </w:rPr>
        <w:t>utilisation de blocs couvrant l</w:t>
      </w:r>
      <w:r w:rsidR="00322E65" w:rsidRPr="00716890">
        <w:rPr>
          <w:lang w:val="fr-FR"/>
        </w:rPr>
        <w:t>'</w:t>
      </w:r>
      <w:r w:rsidRPr="00C31B19">
        <w:rPr>
          <w:lang w:val="fr-FR"/>
        </w:rPr>
        <w:t>ensemble de la bande.</w:t>
      </w:r>
    </w:p>
    <w:p w14:paraId="1349721E" w14:textId="77777777" w:rsidR="00C31B19" w:rsidRPr="00716890" w:rsidRDefault="00C31B19" w:rsidP="007E699C">
      <w:pPr>
        <w:pStyle w:val="FigureNo"/>
        <w:rPr>
          <w:lang w:val="fr-FR"/>
        </w:rPr>
      </w:pPr>
      <w:r w:rsidRPr="00716890">
        <w:rPr>
          <w:lang w:val="fr-FR"/>
        </w:rPr>
        <w:lastRenderedPageBreak/>
        <w:t>FIGURE 2</w:t>
      </w:r>
    </w:p>
    <w:p w14:paraId="03ABB1F5" w14:textId="05EF65D7" w:rsidR="00C31B19" w:rsidRPr="00716890" w:rsidRDefault="00C31B19" w:rsidP="007E699C">
      <w:pPr>
        <w:pStyle w:val="Figuretitle"/>
        <w:rPr>
          <w:lang w:val="fr-FR"/>
        </w:rPr>
      </w:pPr>
      <w:r w:rsidRPr="00716890">
        <w:rPr>
          <w:lang w:val="fr-FR"/>
        </w:rPr>
        <w:t>Exemple d</w:t>
      </w:r>
      <w:r w:rsidR="00322E65" w:rsidRPr="00716890">
        <w:rPr>
          <w:lang w:val="fr-FR"/>
        </w:rPr>
        <w:t>'</w:t>
      </w:r>
      <w:r w:rsidRPr="00716890">
        <w:rPr>
          <w:lang w:val="fr-FR"/>
        </w:rPr>
        <w:t>utilisation de canaux agrégés en blocs</w:t>
      </w:r>
    </w:p>
    <w:p w14:paraId="6CD6BB4C" w14:textId="77777777" w:rsidR="00C31B19" w:rsidRPr="00716890" w:rsidRDefault="00C31B19" w:rsidP="007E699C">
      <w:pPr>
        <w:pStyle w:val="Figure"/>
        <w:rPr>
          <w:lang w:val="fr-FR"/>
        </w:rPr>
      </w:pPr>
      <w:r w:rsidRPr="00716890">
        <w:rPr>
          <w:lang w:val="fr-FR"/>
        </w:rPr>
        <w:drawing>
          <wp:inline distT="0" distB="0" distL="0" distR="0" wp14:anchorId="37AB70C8" wp14:editId="45CA127C">
            <wp:extent cx="6120765" cy="2788285"/>
            <wp:effectExtent l="0" t="0" r="0" b="0"/>
            <wp:docPr id="8" name="Picture 8" descr="La Figure 2 montre un Exemple d'utilisation de canaux agrégés en bloc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a Figure 2 montre un Exemple d'utilisation de canaux agrégés en blocs&#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765" cy="2788285"/>
                    </a:xfrm>
                    <a:prstGeom prst="rect">
                      <a:avLst/>
                    </a:prstGeom>
                    <a:noFill/>
                    <a:ln>
                      <a:noFill/>
                    </a:ln>
                  </pic:spPr>
                </pic:pic>
              </a:graphicData>
            </a:graphic>
          </wp:inline>
        </w:drawing>
      </w:r>
    </w:p>
    <w:p w14:paraId="04DC54C4" w14:textId="77777777" w:rsidR="00C31B19" w:rsidRPr="00716890" w:rsidRDefault="00C31B19" w:rsidP="007E699C">
      <w:pPr>
        <w:pStyle w:val="Headingb"/>
        <w:rPr>
          <w:lang w:val="fr-FR"/>
        </w:rPr>
      </w:pPr>
      <w:r w:rsidRPr="00716890">
        <w:rPr>
          <w:lang w:val="fr-FR"/>
        </w:rPr>
        <w:t>Taille des blocs</w:t>
      </w:r>
    </w:p>
    <w:p w14:paraId="13AC83F3" w14:textId="337CC79A" w:rsidR="00C31B19" w:rsidRPr="00C31B19" w:rsidRDefault="00C31B19" w:rsidP="00C31B19">
      <w:pPr>
        <w:rPr>
          <w:lang w:val="fr-FR"/>
        </w:rPr>
      </w:pPr>
      <w:r w:rsidRPr="00C31B19">
        <w:rPr>
          <w:lang w:val="fr-FR"/>
        </w:rPr>
        <w:t>La taille des blocs devrait être un multiple entier de la largeur de bande du canal de 250 MHz de base; en principe, aucune limite supérieure n</w:t>
      </w:r>
      <w:r w:rsidR="00322E65" w:rsidRPr="00716890">
        <w:rPr>
          <w:lang w:val="fr-FR"/>
        </w:rPr>
        <w:t>'</w:t>
      </w:r>
      <w:r w:rsidRPr="00C31B19">
        <w:rPr>
          <w:lang w:val="fr-FR"/>
        </w:rPr>
        <w:t>est donnée pour la taille des blocs à l</w:t>
      </w:r>
      <w:r w:rsidR="00322E65" w:rsidRPr="00716890">
        <w:rPr>
          <w:lang w:val="fr-FR"/>
        </w:rPr>
        <w:t>'</w:t>
      </w:r>
      <w:r w:rsidRPr="00C31B19">
        <w:rPr>
          <w:lang w:val="fr-FR"/>
        </w:rPr>
        <w:t>intérieur d</w:t>
      </w:r>
      <w:r w:rsidR="00322E65" w:rsidRPr="00716890">
        <w:rPr>
          <w:lang w:val="fr-FR"/>
        </w:rPr>
        <w:t>'</w:t>
      </w:r>
      <w:r w:rsidRPr="00C31B19">
        <w:rPr>
          <w:lang w:val="fr-FR"/>
        </w:rPr>
        <w:t>une sous</w:t>
      </w:r>
      <w:r w:rsidRPr="00C31B19">
        <w:rPr>
          <w:lang w:val="fr-FR"/>
        </w:rPr>
        <w:noBreakHyphen/>
        <w:t>bande donnée. Dans l</w:t>
      </w:r>
      <w:r w:rsidR="00322E65" w:rsidRPr="00716890">
        <w:rPr>
          <w:lang w:val="fr-FR"/>
        </w:rPr>
        <w:t>'</w:t>
      </w:r>
      <w:r w:rsidRPr="00C31B19">
        <w:rPr>
          <w:lang w:val="fr-FR"/>
        </w:rPr>
        <w:t>exemple donné dans la Fig</w:t>
      </w:r>
      <w:r w:rsidR="003E06C7" w:rsidRPr="00716890">
        <w:rPr>
          <w:lang w:val="fr-FR"/>
        </w:rPr>
        <w:t>. </w:t>
      </w:r>
      <w:r w:rsidRPr="00C31B19">
        <w:rPr>
          <w:lang w:val="fr-FR"/>
        </w:rPr>
        <w:t>2, une taille moyenne de 2</w:t>
      </w:r>
      <w:r w:rsidR="007E699C" w:rsidRPr="00716890">
        <w:rPr>
          <w:lang w:val="fr-FR"/>
        </w:rPr>
        <w:t> </w:t>
      </w:r>
      <w:r w:rsidRPr="00C31B19">
        <w:rPr>
          <w:lang w:val="fr-FR"/>
        </w:rPr>
        <w:t>000</w:t>
      </w:r>
      <w:r w:rsidR="007E699C" w:rsidRPr="00716890">
        <w:rPr>
          <w:lang w:val="fr-FR"/>
        </w:rPr>
        <w:t> </w:t>
      </w:r>
      <w:r w:rsidRPr="00C31B19">
        <w:rPr>
          <w:lang w:val="fr-FR"/>
        </w:rPr>
        <w:t>MHz (8 canaux de base) est prise en considération.</w:t>
      </w:r>
    </w:p>
    <w:p w14:paraId="5C4EC336" w14:textId="77777777" w:rsidR="00C31B19" w:rsidRPr="00716890" w:rsidRDefault="00C31B19" w:rsidP="007E699C">
      <w:pPr>
        <w:pStyle w:val="Headingb"/>
        <w:rPr>
          <w:lang w:val="fr-FR"/>
        </w:rPr>
      </w:pPr>
      <w:r w:rsidRPr="00716890">
        <w:rPr>
          <w:lang w:val="fr-FR"/>
        </w:rPr>
        <w:t>Utilisation des canaux/blocs</w:t>
      </w:r>
    </w:p>
    <w:p w14:paraId="54A3E8D3" w14:textId="2C25959E" w:rsidR="00C31B19" w:rsidRPr="00C31B19" w:rsidRDefault="00C31B19" w:rsidP="00C31B19">
      <w:pPr>
        <w:rPr>
          <w:lang w:val="fr-FR"/>
        </w:rPr>
      </w:pPr>
      <w:r w:rsidRPr="00C31B19">
        <w:rPr>
          <w:lang w:val="fr-FR"/>
        </w:rPr>
        <w:t>Dans l</w:t>
      </w:r>
      <w:r w:rsidR="00322E65" w:rsidRPr="00716890">
        <w:rPr>
          <w:lang w:val="fr-FR"/>
        </w:rPr>
        <w:t>'</w:t>
      </w:r>
      <w:r w:rsidRPr="00C31B19">
        <w:rPr>
          <w:lang w:val="fr-FR"/>
        </w:rPr>
        <w:t>hypothèse d</w:t>
      </w:r>
      <w:r w:rsidR="00322E65" w:rsidRPr="00716890">
        <w:rPr>
          <w:lang w:val="fr-FR"/>
        </w:rPr>
        <w:t>'</w:t>
      </w:r>
      <w:r w:rsidRPr="00C31B19">
        <w:rPr>
          <w:lang w:val="fr-FR"/>
        </w:rPr>
        <w:t>une grille ou d</w:t>
      </w:r>
      <w:r w:rsidR="00322E65" w:rsidRPr="00716890">
        <w:rPr>
          <w:lang w:val="fr-FR"/>
        </w:rPr>
        <w:t>'</w:t>
      </w:r>
      <w:r w:rsidRPr="00C31B19">
        <w:rPr>
          <w:lang w:val="fr-FR"/>
        </w:rPr>
        <w:t>une agrégation de canaux de 250 MHz, les canaux à l</w:t>
      </w:r>
      <w:r w:rsidR="00322E65" w:rsidRPr="00716890">
        <w:rPr>
          <w:lang w:val="fr-FR"/>
        </w:rPr>
        <w:t>'</w:t>
      </w:r>
      <w:r w:rsidRPr="00C31B19">
        <w:rPr>
          <w:lang w:val="fr-FR"/>
        </w:rPr>
        <w:t>intérieur du ou des blocs peuvent être librement utilisés dans des blocs appariés FDD classiques, où les deux blocs sont utilisés chacun pour un seul sens de la liaison, ou avec l</w:t>
      </w:r>
      <w:r w:rsidR="00322E65" w:rsidRPr="00716890">
        <w:rPr>
          <w:lang w:val="fr-FR"/>
        </w:rPr>
        <w:t>'</w:t>
      </w:r>
      <w:r w:rsidRPr="00C31B19">
        <w:rPr>
          <w:lang w:val="fr-FR"/>
        </w:rPr>
        <w:t>utilisation éventuelle de canaux aller/retour à l</w:t>
      </w:r>
      <w:r w:rsidR="00322E65" w:rsidRPr="00716890">
        <w:rPr>
          <w:lang w:val="fr-FR"/>
        </w:rPr>
        <w:t>'</w:t>
      </w:r>
      <w:r w:rsidRPr="00C31B19">
        <w:rPr>
          <w:lang w:val="fr-FR"/>
        </w:rPr>
        <w:t>intérieur du ou des mêmes blocs (par exemple</w:t>
      </w:r>
      <w:r w:rsidR="009F4234" w:rsidRPr="00716890">
        <w:rPr>
          <w:lang w:val="fr-FR"/>
        </w:rPr>
        <w:t>,</w:t>
      </w:r>
      <w:r w:rsidRPr="00C31B19">
        <w:rPr>
          <w:lang w:val="fr-FR"/>
        </w:rPr>
        <w:t xml:space="preserve"> en passant d</w:t>
      </w:r>
      <w:r w:rsidR="00322E65" w:rsidRPr="00716890">
        <w:rPr>
          <w:lang w:val="fr-FR"/>
        </w:rPr>
        <w:t>'</w:t>
      </w:r>
      <w:r w:rsidRPr="00C31B19">
        <w:rPr>
          <w:lang w:val="fr-FR"/>
        </w:rPr>
        <w:t>un sens à l</w:t>
      </w:r>
      <w:r w:rsidR="00322E65" w:rsidRPr="00716890">
        <w:rPr>
          <w:lang w:val="fr-FR"/>
        </w:rPr>
        <w:t>'</w:t>
      </w:r>
      <w:r w:rsidRPr="00C31B19">
        <w:rPr>
          <w:lang w:val="fr-FR"/>
        </w:rPr>
        <w:t>autre dans l</w:t>
      </w:r>
      <w:r w:rsidR="00322E65" w:rsidRPr="00716890">
        <w:rPr>
          <w:lang w:val="fr-FR"/>
        </w:rPr>
        <w:t>'</w:t>
      </w:r>
      <w:r w:rsidRPr="00C31B19">
        <w:rPr>
          <w:lang w:val="fr-FR"/>
        </w:rPr>
        <w:t>ensemble du bloc, comme en mode duplex TDD, ou en utilisant continuellement le bloc pour les deux sens, comme en mode duplex fFDD ou duplex FD).</w:t>
      </w:r>
    </w:p>
    <w:p w14:paraId="2F27CA4F" w14:textId="77245B1D" w:rsidR="00C31B19" w:rsidRPr="00C31B19" w:rsidRDefault="00C31B19" w:rsidP="00C31B19">
      <w:pPr>
        <w:rPr>
          <w:lang w:val="fr-FR"/>
        </w:rPr>
      </w:pPr>
      <w:r w:rsidRPr="00C31B19">
        <w:rPr>
          <w:lang w:val="fr-FR"/>
        </w:rPr>
        <w:t>À l</w:t>
      </w:r>
      <w:r w:rsidR="00322E65" w:rsidRPr="00716890">
        <w:rPr>
          <w:lang w:val="fr-FR"/>
        </w:rPr>
        <w:t>'</w:t>
      </w:r>
      <w:r w:rsidRPr="00C31B19">
        <w:rPr>
          <w:lang w:val="fr-FR"/>
        </w:rPr>
        <w:t>intérieur de chaque bloc, une combinaison symétrique ou asymétrique de canaux aller/retour est possible.</w:t>
      </w:r>
    </w:p>
    <w:p w14:paraId="24890281" w14:textId="2E65D075" w:rsidR="00C31B19" w:rsidRPr="00C31B19" w:rsidRDefault="00C31B19" w:rsidP="00C31B19">
      <w:pPr>
        <w:rPr>
          <w:lang w:val="fr-FR"/>
        </w:rPr>
      </w:pPr>
      <w:r w:rsidRPr="00C31B19">
        <w:rPr>
          <w:lang w:val="fr-FR"/>
        </w:rPr>
        <w:t>Les blocs peuvent être utilisés seuls ou appariés avec un espacement approprié supérieur à 15 GHz; exemple: dans la Fig</w:t>
      </w:r>
      <w:r w:rsidR="003E06C7" w:rsidRPr="00716890">
        <w:rPr>
          <w:lang w:val="fr-FR"/>
        </w:rPr>
        <w:t>. </w:t>
      </w:r>
      <w:r w:rsidRPr="00C31B19">
        <w:rPr>
          <w:lang w:val="fr-FR"/>
        </w:rPr>
        <w:t>2, le bloc 2b peut être apparié avec le bloc 4c (avec un espacement duplex de</w:t>
      </w:r>
      <w:r w:rsidR="003E06C7" w:rsidRPr="00716890">
        <w:rPr>
          <w:lang w:val="fr-FR"/>
        </w:rPr>
        <w:t> </w:t>
      </w:r>
      <w:r w:rsidRPr="00C31B19">
        <w:rPr>
          <w:lang w:val="fr-FR"/>
        </w:rPr>
        <w:t>15,5 GHz), et le bloc 2a avec le bloc 2c (avec un espacement duplex de 22 GHz).</w:t>
      </w:r>
    </w:p>
    <w:p w14:paraId="3731E57B" w14:textId="49B6C133" w:rsidR="00C31B19" w:rsidRPr="00C31B19" w:rsidRDefault="00C31B19" w:rsidP="00C31B19">
      <w:pPr>
        <w:rPr>
          <w:lang w:val="fr-FR"/>
        </w:rPr>
      </w:pPr>
      <w:r w:rsidRPr="00C31B19">
        <w:rPr>
          <w:lang w:val="fr-FR"/>
        </w:rPr>
        <w:t>Les Figures 3 et 4 donnent respectivement des exemples de coexistence aller/retour à l</w:t>
      </w:r>
      <w:r w:rsidR="00322E65" w:rsidRPr="00716890">
        <w:rPr>
          <w:lang w:val="fr-FR"/>
        </w:rPr>
        <w:t>'</w:t>
      </w:r>
      <w:r w:rsidRPr="00C31B19">
        <w:rPr>
          <w:lang w:val="fr-FR"/>
        </w:rPr>
        <w:t>intérieur du ou des mêmes blocs en mode duplex fFDD pour un cas symétrique/asymétrique.</w:t>
      </w:r>
    </w:p>
    <w:p w14:paraId="103D78A0" w14:textId="489FD24B" w:rsidR="00C31B19" w:rsidRPr="00C31B19" w:rsidRDefault="00C31B19" w:rsidP="00C31B19">
      <w:pPr>
        <w:rPr>
          <w:lang w:val="fr-FR"/>
        </w:rPr>
      </w:pPr>
      <w:r w:rsidRPr="00C31B19">
        <w:rPr>
          <w:lang w:val="fr-FR"/>
        </w:rPr>
        <w:t>Des exemples d</w:t>
      </w:r>
      <w:r w:rsidR="00322E65" w:rsidRPr="00716890">
        <w:rPr>
          <w:lang w:val="fr-FR"/>
        </w:rPr>
        <w:t>'</w:t>
      </w:r>
      <w:r w:rsidRPr="00C31B19">
        <w:rPr>
          <w:lang w:val="fr-FR"/>
        </w:rPr>
        <w:t>utilisation classique du duplex FDD dans un cas symétrique/asymétrique sont présentés respectivement dans les Fig</w:t>
      </w:r>
      <w:r w:rsidR="003E06C7" w:rsidRPr="00716890">
        <w:rPr>
          <w:lang w:val="fr-FR"/>
        </w:rPr>
        <w:t>.</w:t>
      </w:r>
      <w:r w:rsidRPr="00C31B19">
        <w:rPr>
          <w:lang w:val="fr-FR"/>
        </w:rPr>
        <w:t xml:space="preserve"> 5 et 6.</w:t>
      </w:r>
    </w:p>
    <w:p w14:paraId="21495CE8" w14:textId="77777777" w:rsidR="00C31B19" w:rsidRPr="00716890" w:rsidRDefault="00C31B19" w:rsidP="007E699C">
      <w:pPr>
        <w:pStyle w:val="FigureNo"/>
        <w:rPr>
          <w:lang w:val="fr-FR"/>
        </w:rPr>
      </w:pPr>
      <w:r w:rsidRPr="00716890">
        <w:rPr>
          <w:lang w:val="fr-FR"/>
        </w:rPr>
        <w:lastRenderedPageBreak/>
        <w:t>FIGURE 3</w:t>
      </w:r>
    </w:p>
    <w:p w14:paraId="167DEE66" w14:textId="006BD8B6" w:rsidR="00C31B19" w:rsidRPr="00716890" w:rsidRDefault="00C31B19" w:rsidP="007E699C">
      <w:pPr>
        <w:pStyle w:val="Figuretitle"/>
        <w:rPr>
          <w:lang w:val="fr-FR"/>
        </w:rPr>
      </w:pPr>
      <w:r w:rsidRPr="00716890">
        <w:rPr>
          <w:lang w:val="fr-FR"/>
        </w:rPr>
        <w:t>Exemples d</w:t>
      </w:r>
      <w:r w:rsidR="00322E65" w:rsidRPr="00716890">
        <w:rPr>
          <w:lang w:val="fr-FR"/>
        </w:rPr>
        <w:t>'</w:t>
      </w:r>
      <w:r w:rsidRPr="00716890">
        <w:rPr>
          <w:lang w:val="fr-FR"/>
        </w:rPr>
        <w:t>utilisation du duplex fFDD à l</w:t>
      </w:r>
      <w:r w:rsidR="00322E65" w:rsidRPr="00716890">
        <w:rPr>
          <w:lang w:val="fr-FR"/>
        </w:rPr>
        <w:t>'</w:t>
      </w:r>
      <w:r w:rsidRPr="00716890">
        <w:rPr>
          <w:lang w:val="fr-FR"/>
        </w:rPr>
        <w:t>intérieur d</w:t>
      </w:r>
      <w:r w:rsidR="00322E65" w:rsidRPr="00716890">
        <w:rPr>
          <w:lang w:val="fr-FR"/>
        </w:rPr>
        <w:t>'</w:t>
      </w:r>
      <w:r w:rsidRPr="00716890">
        <w:rPr>
          <w:lang w:val="fr-FR"/>
        </w:rPr>
        <w:t>un bloc pour un canal aller-retour symétrique</w:t>
      </w:r>
    </w:p>
    <w:p w14:paraId="782F88C8" w14:textId="77777777" w:rsidR="00C31B19" w:rsidRPr="00716890" w:rsidRDefault="00C31B19" w:rsidP="007E699C">
      <w:pPr>
        <w:pStyle w:val="Figure"/>
        <w:rPr>
          <w:lang w:val="fr-FR"/>
        </w:rPr>
      </w:pPr>
      <w:r w:rsidRPr="00716890">
        <w:rPr>
          <w:lang w:val="fr-FR"/>
        </w:rPr>
        <w:drawing>
          <wp:inline distT="0" distB="0" distL="0" distR="0" wp14:anchorId="295F13C1" wp14:editId="06BDF017">
            <wp:extent cx="6120765" cy="1524635"/>
            <wp:effectExtent l="0" t="0" r="0" b="0"/>
            <wp:docPr id="13" name="Picture 13" descr="La Figure 3 montre des Exemples d'utilisation du duplex fFDD à l'intérieur d'un bloc pour un canal aller-retour symétr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a Figure 3 montre des Exemples d'utilisation du duplex fFDD à l'intérieur d'un bloc pour un canal aller-retour symétriqu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765" cy="1524635"/>
                    </a:xfrm>
                    <a:prstGeom prst="rect">
                      <a:avLst/>
                    </a:prstGeom>
                  </pic:spPr>
                </pic:pic>
              </a:graphicData>
            </a:graphic>
          </wp:inline>
        </w:drawing>
      </w:r>
    </w:p>
    <w:p w14:paraId="529F56AB" w14:textId="77777777" w:rsidR="00C31B19" w:rsidRPr="00C31B19" w:rsidRDefault="00C31B19" w:rsidP="007E699C">
      <w:pPr>
        <w:pStyle w:val="FigureNo"/>
        <w:rPr>
          <w:lang w:val="fr-FR"/>
        </w:rPr>
      </w:pPr>
      <w:r w:rsidRPr="00C31B19">
        <w:rPr>
          <w:lang w:val="fr-FR"/>
        </w:rPr>
        <w:t>FIGURE 4</w:t>
      </w:r>
    </w:p>
    <w:p w14:paraId="45CCBB42" w14:textId="08DC7DDB" w:rsidR="00C31B19" w:rsidRPr="00C31B19" w:rsidRDefault="00C31B19" w:rsidP="007E699C">
      <w:pPr>
        <w:pStyle w:val="Figuretitle"/>
        <w:rPr>
          <w:lang w:val="fr-FR"/>
        </w:rPr>
      </w:pPr>
      <w:r w:rsidRPr="00C31B19">
        <w:rPr>
          <w:lang w:val="fr-FR"/>
        </w:rPr>
        <w:t>Exemples d</w:t>
      </w:r>
      <w:r w:rsidR="00322E65" w:rsidRPr="00716890">
        <w:rPr>
          <w:lang w:val="fr-FR"/>
        </w:rPr>
        <w:t>'</w:t>
      </w:r>
      <w:r w:rsidRPr="00C31B19">
        <w:rPr>
          <w:lang w:val="fr-FR"/>
        </w:rPr>
        <w:t>utilisation du duplex fFDD à l</w:t>
      </w:r>
      <w:r w:rsidR="00322E65" w:rsidRPr="00716890">
        <w:rPr>
          <w:lang w:val="fr-FR"/>
        </w:rPr>
        <w:t>'</w:t>
      </w:r>
      <w:r w:rsidRPr="00C31B19">
        <w:rPr>
          <w:lang w:val="fr-FR"/>
        </w:rPr>
        <w:t>intérieur d</w:t>
      </w:r>
      <w:r w:rsidR="00322E65" w:rsidRPr="00716890">
        <w:rPr>
          <w:lang w:val="fr-FR"/>
        </w:rPr>
        <w:t>'</w:t>
      </w:r>
      <w:r w:rsidRPr="00C31B19">
        <w:rPr>
          <w:lang w:val="fr-FR"/>
        </w:rPr>
        <w:t>un bloc pour un canal aller-retour asymétrique</w:t>
      </w:r>
    </w:p>
    <w:p w14:paraId="5A38A459" w14:textId="69DD8FA3" w:rsidR="00C31B19" w:rsidRPr="00716890" w:rsidRDefault="00322E65" w:rsidP="007E699C">
      <w:pPr>
        <w:pStyle w:val="Figure"/>
        <w:rPr>
          <w:lang w:val="fr-FR"/>
        </w:rPr>
      </w:pPr>
      <w:r w:rsidRPr="00716890">
        <w:rPr>
          <w:lang w:val="fr-FR"/>
        </w:rPr>
        <w:drawing>
          <wp:inline distT="0" distB="0" distL="0" distR="0" wp14:anchorId="73DC5E8B" wp14:editId="524E5278">
            <wp:extent cx="3483871" cy="1795276"/>
            <wp:effectExtent l="0" t="0" r="2540" b="0"/>
            <wp:docPr id="977770072" name="Picture 1" descr="La Figure 4 montre des Exemples d'utilisation du duplex fFDD à l'intérieur d'un bloc pour un canal aller-retour asymétr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770072" name="Picture 1" descr="La Figure 4 montre des Exemples d'utilisation du duplex fFDD à l'intérieur d'un bloc pour un canal aller-retour asymétriqu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83871" cy="1795276"/>
                    </a:xfrm>
                    <a:prstGeom prst="rect">
                      <a:avLst/>
                    </a:prstGeom>
                  </pic:spPr>
                </pic:pic>
              </a:graphicData>
            </a:graphic>
          </wp:inline>
        </w:drawing>
      </w:r>
    </w:p>
    <w:p w14:paraId="4A05CE36" w14:textId="77777777" w:rsidR="00C31B19" w:rsidRPr="00C31B19" w:rsidRDefault="00C31B19" w:rsidP="007E699C">
      <w:pPr>
        <w:pStyle w:val="FigureNo"/>
        <w:rPr>
          <w:lang w:val="fr-FR"/>
        </w:rPr>
      </w:pPr>
      <w:r w:rsidRPr="00C31B19">
        <w:rPr>
          <w:lang w:val="fr-FR"/>
        </w:rPr>
        <w:t>FIGURE 5</w:t>
      </w:r>
    </w:p>
    <w:p w14:paraId="5BC4CC53" w14:textId="3B35B288" w:rsidR="00C31B19" w:rsidRPr="00C31B19" w:rsidRDefault="00C31B19" w:rsidP="007E699C">
      <w:pPr>
        <w:pStyle w:val="Figuretitle"/>
        <w:rPr>
          <w:lang w:val="fr-FR"/>
        </w:rPr>
      </w:pPr>
      <w:r w:rsidRPr="00C31B19">
        <w:rPr>
          <w:lang w:val="fr-FR"/>
        </w:rPr>
        <w:t>Exemple d</w:t>
      </w:r>
      <w:r w:rsidR="00322E65" w:rsidRPr="00716890">
        <w:rPr>
          <w:lang w:val="fr-FR"/>
        </w:rPr>
        <w:t>'</w:t>
      </w:r>
      <w:r w:rsidRPr="00C31B19">
        <w:rPr>
          <w:lang w:val="fr-FR"/>
        </w:rPr>
        <w:t>utilisation du duplex FDD dans des blocs appariés pour des canaux aller-retour symétriques</w:t>
      </w:r>
    </w:p>
    <w:p w14:paraId="27DF7CC5" w14:textId="77777777" w:rsidR="00C31B19" w:rsidRPr="00716890" w:rsidRDefault="00C31B19" w:rsidP="007E699C">
      <w:pPr>
        <w:pStyle w:val="Figure"/>
        <w:rPr>
          <w:lang w:val="fr-FR"/>
        </w:rPr>
      </w:pPr>
      <w:r w:rsidRPr="00716890">
        <w:rPr>
          <w:lang w:val="fr-FR"/>
        </w:rPr>
        <w:drawing>
          <wp:inline distT="0" distB="0" distL="0" distR="0" wp14:anchorId="57FB7AB0" wp14:editId="5A7AB15C">
            <wp:extent cx="4676400" cy="1976518"/>
            <wp:effectExtent l="0" t="0" r="0" b="5080"/>
            <wp:docPr id="10" name="Picture 10" descr="FIGURE 5 montre un Exemple d'utilisation du duplex FDD dans des blocs appariés pour des canaux aller-retour symétriqu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5 montre un Exemple d'utilisation du duplex FDD dans des blocs appariés pour des canaux aller-retour symétriques&#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76400" cy="1976518"/>
                    </a:xfrm>
                    <a:prstGeom prst="rect">
                      <a:avLst/>
                    </a:prstGeom>
                    <a:noFill/>
                    <a:ln>
                      <a:noFill/>
                    </a:ln>
                  </pic:spPr>
                </pic:pic>
              </a:graphicData>
            </a:graphic>
          </wp:inline>
        </w:drawing>
      </w:r>
    </w:p>
    <w:p w14:paraId="43C26BA1" w14:textId="77777777" w:rsidR="00C31B19" w:rsidRPr="00C31B19" w:rsidRDefault="00C31B19" w:rsidP="007E699C">
      <w:pPr>
        <w:pStyle w:val="FigureNo"/>
        <w:rPr>
          <w:lang w:val="fr-FR"/>
        </w:rPr>
      </w:pPr>
      <w:r w:rsidRPr="00C31B19">
        <w:rPr>
          <w:lang w:val="fr-FR"/>
        </w:rPr>
        <w:lastRenderedPageBreak/>
        <w:t>FIGURE 6</w:t>
      </w:r>
    </w:p>
    <w:p w14:paraId="14A7E611" w14:textId="522D4E33" w:rsidR="00C31B19" w:rsidRPr="00C31B19" w:rsidRDefault="00C31B19" w:rsidP="007E699C">
      <w:pPr>
        <w:pStyle w:val="Figuretitle"/>
        <w:rPr>
          <w:lang w:val="fr-FR"/>
        </w:rPr>
      </w:pPr>
      <w:r w:rsidRPr="00C31B19">
        <w:rPr>
          <w:lang w:val="fr-FR"/>
        </w:rPr>
        <w:t>Exemple d</w:t>
      </w:r>
      <w:r w:rsidR="00322E65" w:rsidRPr="00716890">
        <w:rPr>
          <w:lang w:val="fr-FR"/>
        </w:rPr>
        <w:t>'</w:t>
      </w:r>
      <w:r w:rsidRPr="00C31B19">
        <w:rPr>
          <w:lang w:val="fr-FR"/>
        </w:rPr>
        <w:t>utilisation du duplex FDD dans des blocs appariés pour des canaux aller-retour asymétriques</w:t>
      </w:r>
    </w:p>
    <w:p w14:paraId="0831E735" w14:textId="77777777" w:rsidR="00C31B19" w:rsidRPr="00716890" w:rsidRDefault="00C31B19" w:rsidP="007E699C">
      <w:pPr>
        <w:pStyle w:val="Figure"/>
        <w:rPr>
          <w:lang w:val="fr-FR"/>
        </w:rPr>
      </w:pPr>
      <w:r w:rsidRPr="00716890">
        <w:rPr>
          <w:lang w:val="fr-FR"/>
        </w:rPr>
        <w:drawing>
          <wp:inline distT="0" distB="0" distL="0" distR="0" wp14:anchorId="0F1A3AD2" wp14:editId="21A910B8">
            <wp:extent cx="4503600" cy="2142703"/>
            <wp:effectExtent l="0" t="0" r="0" b="0"/>
            <wp:docPr id="11" name="Picture 11" descr="La Figure 6 montre un Exemple d'utilisation du duplex FDD dans des blocs appariés pour des canaux aller-retour asymétr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a Figure 6 montre un Exemple d'utilisation du duplex FDD dans des blocs appariés pour des canaux aller-retour asymétriqu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03600" cy="2142703"/>
                    </a:xfrm>
                    <a:prstGeom prst="rect">
                      <a:avLst/>
                    </a:prstGeom>
                    <a:noFill/>
                    <a:ln>
                      <a:noFill/>
                    </a:ln>
                  </pic:spPr>
                </pic:pic>
              </a:graphicData>
            </a:graphic>
          </wp:inline>
        </w:drawing>
      </w:r>
    </w:p>
    <w:p w14:paraId="7D7F853C" w14:textId="77777777" w:rsidR="00C31B19" w:rsidRPr="00C31B19" w:rsidRDefault="00C31B19" w:rsidP="00C31B19">
      <w:pPr>
        <w:rPr>
          <w:lang w:val="fr-FR"/>
        </w:rPr>
      </w:pPr>
    </w:p>
    <w:p w14:paraId="20275CB7" w14:textId="77777777" w:rsidR="00C31B19" w:rsidRPr="00C31B19" w:rsidRDefault="00C31B19" w:rsidP="00C31B19">
      <w:pPr>
        <w:rPr>
          <w:lang w:val="fr-FR"/>
        </w:rPr>
      </w:pPr>
    </w:p>
    <w:p w14:paraId="211C8D28" w14:textId="77777777" w:rsidR="00C31B19" w:rsidRPr="00716890" w:rsidRDefault="00C31B19" w:rsidP="007E699C">
      <w:pPr>
        <w:pStyle w:val="AnnexNoTitle"/>
        <w:outlineLvl w:val="0"/>
        <w:rPr>
          <w:lang w:val="fr-FR"/>
        </w:rPr>
      </w:pPr>
      <w:r w:rsidRPr="00716890">
        <w:rPr>
          <w:lang w:val="fr-FR"/>
        </w:rPr>
        <w:t>Annexe 3</w:t>
      </w:r>
      <w:r w:rsidRPr="00716890">
        <w:rPr>
          <w:lang w:val="fr-FR"/>
        </w:rPr>
        <w:br/>
      </w:r>
      <w:r w:rsidRPr="00716890">
        <w:rPr>
          <w:lang w:val="fr-FR"/>
        </w:rPr>
        <w:br/>
        <w:t>Exemple possible de disposition des canaux pour une utilisation</w:t>
      </w:r>
      <w:r w:rsidRPr="00716890">
        <w:rPr>
          <w:lang w:val="fr-FR"/>
        </w:rPr>
        <w:br/>
        <w:t>en mode duplex FDD dans la bande RF 130-174,8 GHz</w:t>
      </w:r>
    </w:p>
    <w:p w14:paraId="5F60059B" w14:textId="47089D9A" w:rsidR="00C31B19" w:rsidRPr="00716890" w:rsidRDefault="00C31B19" w:rsidP="007E699C">
      <w:pPr>
        <w:pStyle w:val="Normalaftertitle"/>
        <w:rPr>
          <w:lang w:val="fr-FR"/>
        </w:rPr>
      </w:pPr>
      <w:r w:rsidRPr="00716890">
        <w:rPr>
          <w:lang w:val="fr-FR"/>
        </w:rPr>
        <w:t>La Figure 7 donne un exemple de disposition des canaux pour une utilisation en mode duplex FDD, dans le respect de l</w:t>
      </w:r>
      <w:r w:rsidR="00322E65" w:rsidRPr="00716890">
        <w:rPr>
          <w:lang w:val="fr-FR"/>
        </w:rPr>
        <w:t>'</w:t>
      </w:r>
      <w:r w:rsidRPr="00716890">
        <w:rPr>
          <w:lang w:val="fr-FR"/>
        </w:rPr>
        <w:t>espacement duplex recommandé supérieur à 15 GHz. En raison du couplage particulier des quatre sous-bandes disponibles, de grandes parties doivent rester non appariées; dans cet exemple, la sous-bande supérieure d est maintenue entièrement non appariée. Toutefois, d</w:t>
      </w:r>
      <w:r w:rsidR="00322E65" w:rsidRPr="00716890">
        <w:rPr>
          <w:lang w:val="fr-FR"/>
        </w:rPr>
        <w:t>'</w:t>
      </w:r>
      <w:r w:rsidRPr="00716890">
        <w:rPr>
          <w:lang w:val="fr-FR"/>
        </w:rPr>
        <w:t>autres solutions sont envisageables.</w:t>
      </w:r>
    </w:p>
    <w:p w14:paraId="01C3EF7E" w14:textId="77777777" w:rsidR="00C31B19" w:rsidRPr="00C31B19" w:rsidRDefault="00C31B19" w:rsidP="00C31B19">
      <w:pPr>
        <w:rPr>
          <w:lang w:val="fr-FR"/>
        </w:rPr>
      </w:pPr>
      <w:r w:rsidRPr="00C31B19">
        <w:rPr>
          <w:lang w:val="fr-FR"/>
        </w:rPr>
        <w:t>Les canaux non appariés pourraient encore être agrégés en blocs non appariés pour une utilisation en mode duplex TDD, FD ou fFDD.</w:t>
      </w:r>
    </w:p>
    <w:p w14:paraId="54C762A1" w14:textId="77777777" w:rsidR="00C31B19" w:rsidRPr="00C31B19" w:rsidRDefault="00C31B19" w:rsidP="007E699C">
      <w:pPr>
        <w:pStyle w:val="FigureNo"/>
        <w:rPr>
          <w:lang w:val="fr-FR"/>
        </w:rPr>
      </w:pPr>
      <w:r w:rsidRPr="00C31B19">
        <w:rPr>
          <w:lang w:val="fr-FR"/>
        </w:rPr>
        <w:lastRenderedPageBreak/>
        <w:t>FIGURE 7</w:t>
      </w:r>
    </w:p>
    <w:p w14:paraId="001F9AA1" w14:textId="11CA466B" w:rsidR="00C31B19" w:rsidRPr="00716890" w:rsidRDefault="00C31B19" w:rsidP="007E699C">
      <w:pPr>
        <w:pStyle w:val="Figuretitle"/>
        <w:rPr>
          <w:lang w:val="fr-FR"/>
        </w:rPr>
      </w:pPr>
      <w:r w:rsidRPr="00716890">
        <w:rPr>
          <w:lang w:val="fr-FR"/>
        </w:rPr>
        <w:t>Exemple d</w:t>
      </w:r>
      <w:r w:rsidR="00322E65" w:rsidRPr="00716890">
        <w:rPr>
          <w:lang w:val="fr-FR"/>
        </w:rPr>
        <w:t>'</w:t>
      </w:r>
      <w:r w:rsidRPr="00716890">
        <w:rPr>
          <w:lang w:val="fr-FR"/>
        </w:rPr>
        <w:t>utilisation de canaux en mode duplex FDD dans la bande 130-174,8 GHz</w:t>
      </w:r>
    </w:p>
    <w:p w14:paraId="577BB853" w14:textId="77777777" w:rsidR="00C31B19" w:rsidRPr="00716890" w:rsidRDefault="00C31B19" w:rsidP="007E699C">
      <w:pPr>
        <w:pStyle w:val="Figure"/>
        <w:rPr>
          <w:lang w:val="fr-FR"/>
        </w:rPr>
      </w:pPr>
      <w:r w:rsidRPr="00716890">
        <w:rPr>
          <w:lang w:val="fr-FR"/>
        </w:rPr>
        <w:drawing>
          <wp:inline distT="0" distB="0" distL="0" distR="0" wp14:anchorId="08462B44" wp14:editId="52132356">
            <wp:extent cx="6120765" cy="2901315"/>
            <wp:effectExtent l="0" t="0" r="0" b="0"/>
            <wp:docPr id="12" name="Picture 12" descr="La Figure 7 montre un Exemple d'utilisation de canaux en mode duplex FDD dans la bande 130-174,8 GH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a Figure 7 montre un Exemple d'utilisation de canaux en mode duplex FDD dans la bande 130-174,8 GHz"/>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20765" cy="2901315"/>
                    </a:xfrm>
                    <a:prstGeom prst="rect">
                      <a:avLst/>
                    </a:prstGeom>
                    <a:noFill/>
                    <a:ln>
                      <a:noFill/>
                    </a:ln>
                  </pic:spPr>
                </pic:pic>
              </a:graphicData>
            </a:graphic>
          </wp:inline>
        </w:drawing>
      </w:r>
    </w:p>
    <w:p w14:paraId="405B3DF1" w14:textId="59C9ADBB" w:rsidR="00C31B19" w:rsidRPr="00716890" w:rsidRDefault="00C31B19" w:rsidP="007E699C">
      <w:pPr>
        <w:pStyle w:val="Normalaftertitle"/>
        <w:rPr>
          <w:lang w:val="fr-FR"/>
        </w:rPr>
      </w:pPr>
      <w:r w:rsidRPr="00716890">
        <w:rPr>
          <w:lang w:val="fr-FR"/>
        </w:rPr>
        <w:t>Les canaux aller/retour sont subdivisés en deux ensembles (A, B) et deux ensembles non appariés (UL et UH), comme le montre la Fig</w:t>
      </w:r>
      <w:r w:rsidR="003E06C7" w:rsidRPr="00716890">
        <w:rPr>
          <w:lang w:val="fr-FR"/>
        </w:rPr>
        <w:t>. </w:t>
      </w:r>
      <w:r w:rsidRPr="00716890">
        <w:rPr>
          <w:lang w:val="fr-FR"/>
        </w:rPr>
        <w:t>7. Les fréquences centrales peuvent être obtenues au moyen des formules suivantes.</w:t>
      </w:r>
    </w:p>
    <w:p w14:paraId="07641D19" w14:textId="28D6F329" w:rsidR="00C31B19" w:rsidRPr="00716890" w:rsidRDefault="00C31B19" w:rsidP="007E699C">
      <w:pPr>
        <w:pStyle w:val="Headingb"/>
        <w:rPr>
          <w:lang w:val="fr-FR"/>
        </w:rPr>
      </w:pPr>
      <w:r w:rsidRPr="00716890">
        <w:rPr>
          <w:lang w:val="fr-FR"/>
        </w:rPr>
        <w:t>Fréquences centrales pour les canaux avec le suffixe A dans la Fig</w:t>
      </w:r>
      <w:r w:rsidR="003E06C7" w:rsidRPr="00716890">
        <w:rPr>
          <w:lang w:val="fr-FR"/>
        </w:rPr>
        <w:t xml:space="preserve">. </w:t>
      </w:r>
      <w:r w:rsidRPr="00716890">
        <w:rPr>
          <w:lang w:val="fr-FR"/>
        </w:rPr>
        <w:t>7</w:t>
      </w:r>
    </w:p>
    <w:p w14:paraId="26BCF3B1" w14:textId="77777777" w:rsidR="00C31B19" w:rsidRPr="00C31B19" w:rsidRDefault="00C31B19" w:rsidP="00C31B19">
      <w:pPr>
        <w:rPr>
          <w:lang w:val="fr-FR"/>
        </w:rPr>
      </w:pPr>
      <w:r w:rsidRPr="00C31B19">
        <w:rPr>
          <w:lang w:val="fr-FR"/>
        </w:rPr>
        <w:t>Espacement duplex (DS): 21,5 GHz</w:t>
      </w:r>
    </w:p>
    <w:p w14:paraId="15D1E2A5" w14:textId="77777777" w:rsidR="003E06C7" w:rsidRPr="00716890" w:rsidRDefault="003E06C7" w:rsidP="003E06C7">
      <w:pPr>
        <w:pStyle w:val="enumlev1"/>
        <w:tabs>
          <w:tab w:val="clear" w:pos="794"/>
          <w:tab w:val="clear" w:pos="1191"/>
          <w:tab w:val="clear" w:pos="1588"/>
          <w:tab w:val="clear" w:pos="1985"/>
          <w:tab w:val="left" w:pos="4536"/>
        </w:tabs>
        <w:ind w:left="426" w:hanging="567"/>
        <w:rPr>
          <w:lang w:val="fr-FR"/>
        </w:rPr>
      </w:pPr>
      <w:r w:rsidRPr="00716890">
        <w:rPr>
          <w:lang w:val="fr-FR"/>
        </w:rPr>
        <w:tab/>
      </w:r>
      <w:r w:rsidRPr="00716890">
        <w:rPr>
          <w:i/>
          <w:iCs/>
          <w:lang w:val="fr-FR"/>
        </w:rPr>
        <w:t>FA</w:t>
      </w:r>
      <w:r w:rsidRPr="00716890">
        <w:rPr>
          <w:i/>
          <w:iCs/>
          <w:vertAlign w:val="subscript"/>
          <w:lang w:val="fr-FR"/>
        </w:rPr>
        <w:t>N</w:t>
      </w:r>
      <w:r w:rsidRPr="00716890">
        <w:rPr>
          <w:lang w:val="fr-FR"/>
        </w:rPr>
        <w:t xml:space="preserve"> = 130 + </w:t>
      </w:r>
      <w:r w:rsidRPr="00716890">
        <w:rPr>
          <w:i/>
          <w:iCs/>
          <w:lang w:val="fr-FR"/>
        </w:rPr>
        <w:t>N</w:t>
      </w:r>
      <w:r w:rsidRPr="00716890">
        <w:rPr>
          <w:lang w:val="fr-FR"/>
        </w:rPr>
        <w:t xml:space="preserve"> × 0,250</w:t>
      </w:r>
      <w:r w:rsidRPr="00716890">
        <w:rPr>
          <w:lang w:val="fr-FR"/>
        </w:rPr>
        <w:tab/>
      </w:r>
      <w:r w:rsidRPr="00716890">
        <w:rPr>
          <w:i/>
          <w:iCs/>
          <w:lang w:val="fr-FR"/>
        </w:rPr>
        <w:t>N</w:t>
      </w:r>
      <w:r w:rsidRPr="00716890">
        <w:rPr>
          <w:lang w:val="fr-FR"/>
        </w:rPr>
        <w:t>: 1 à 15 (canaux dans la sous-bande 130-134 GHz)</w:t>
      </w:r>
    </w:p>
    <w:p w14:paraId="2FF0804D" w14:textId="3C8AFD9F" w:rsidR="003E06C7" w:rsidRPr="00716890" w:rsidRDefault="003E06C7" w:rsidP="003E06C7">
      <w:pPr>
        <w:pStyle w:val="enumlev1"/>
        <w:tabs>
          <w:tab w:val="clear" w:pos="794"/>
          <w:tab w:val="clear" w:pos="1191"/>
          <w:tab w:val="clear" w:pos="1588"/>
          <w:tab w:val="clear" w:pos="1985"/>
          <w:tab w:val="left" w:pos="4536"/>
        </w:tabs>
        <w:ind w:left="426" w:hanging="567"/>
        <w:rPr>
          <w:lang w:val="fr-FR"/>
        </w:rPr>
      </w:pPr>
      <w:r w:rsidRPr="00716890">
        <w:rPr>
          <w:lang w:val="fr-FR"/>
        </w:rPr>
        <w:tab/>
      </w:r>
      <w:r w:rsidRPr="00716890">
        <w:rPr>
          <w:i/>
          <w:iCs/>
          <w:lang w:val="fr-FR"/>
        </w:rPr>
        <w:t>F</w:t>
      </w:r>
      <w:r w:rsidR="00322E65" w:rsidRPr="00716890">
        <w:rPr>
          <w:i/>
          <w:iCs/>
          <w:lang w:val="fr-FR"/>
        </w:rPr>
        <w:t>'</w:t>
      </w:r>
      <w:r w:rsidRPr="00716890">
        <w:rPr>
          <w:i/>
          <w:iCs/>
          <w:lang w:val="fr-FR"/>
        </w:rPr>
        <w:t>A</w:t>
      </w:r>
      <w:r w:rsidRPr="00716890">
        <w:rPr>
          <w:i/>
          <w:iCs/>
          <w:vertAlign w:val="subscript"/>
          <w:lang w:val="fr-FR"/>
        </w:rPr>
        <w:t>N</w:t>
      </w:r>
      <w:r w:rsidRPr="00716890">
        <w:rPr>
          <w:lang w:val="fr-FR"/>
        </w:rPr>
        <w:t xml:space="preserve"> = 151,5 + </w:t>
      </w:r>
      <w:r w:rsidRPr="00716890">
        <w:rPr>
          <w:i/>
          <w:iCs/>
          <w:lang w:val="fr-FR"/>
        </w:rPr>
        <w:t xml:space="preserve">N </w:t>
      </w:r>
      <w:r w:rsidRPr="00716890">
        <w:rPr>
          <w:lang w:val="fr-FR"/>
        </w:rPr>
        <w:t>× 0,250 GHz</w:t>
      </w:r>
      <w:r w:rsidRPr="00716890">
        <w:rPr>
          <w:lang w:val="fr-FR"/>
        </w:rPr>
        <w:tab/>
      </w:r>
      <w:r w:rsidRPr="00716890">
        <w:rPr>
          <w:i/>
          <w:iCs/>
          <w:lang w:val="fr-FR"/>
        </w:rPr>
        <w:t>N</w:t>
      </w:r>
      <w:r w:rsidRPr="00716890">
        <w:rPr>
          <w:lang w:val="fr-FR"/>
        </w:rPr>
        <w:t>: 1 à 15 (canaux dans la sous-bande 151,5</w:t>
      </w:r>
      <w:r w:rsidRPr="00716890">
        <w:rPr>
          <w:lang w:val="fr-FR"/>
        </w:rPr>
        <w:noBreakHyphen/>
        <w:t>164 GHz)</w:t>
      </w:r>
    </w:p>
    <w:p w14:paraId="6CF5F81A" w14:textId="79C0CACF" w:rsidR="00C31B19" w:rsidRPr="00716890" w:rsidRDefault="00C31B19" w:rsidP="007E699C">
      <w:pPr>
        <w:pStyle w:val="Headingb"/>
        <w:rPr>
          <w:lang w:val="fr-FR"/>
        </w:rPr>
      </w:pPr>
      <w:r w:rsidRPr="00716890">
        <w:rPr>
          <w:lang w:val="fr-FR"/>
        </w:rPr>
        <w:t>Fréquences centrales pour les canaux avec le suffixe B dans la Fig</w:t>
      </w:r>
      <w:r w:rsidR="003E06C7" w:rsidRPr="00716890">
        <w:rPr>
          <w:lang w:val="fr-FR"/>
        </w:rPr>
        <w:t>. </w:t>
      </w:r>
      <w:r w:rsidRPr="00716890">
        <w:rPr>
          <w:lang w:val="fr-FR"/>
        </w:rPr>
        <w:t>7</w:t>
      </w:r>
    </w:p>
    <w:p w14:paraId="333BE1B3" w14:textId="77777777" w:rsidR="00C31B19" w:rsidRPr="00C31B19" w:rsidRDefault="00C31B19" w:rsidP="00C31B19">
      <w:pPr>
        <w:rPr>
          <w:lang w:val="fr-FR"/>
        </w:rPr>
      </w:pPr>
      <w:r w:rsidRPr="00C31B19">
        <w:rPr>
          <w:lang w:val="fr-FR"/>
        </w:rPr>
        <w:t>Espacement duplex (DS): 15,5 GHz</w:t>
      </w:r>
    </w:p>
    <w:p w14:paraId="750B0FA7" w14:textId="77777777" w:rsidR="003E06C7" w:rsidRPr="00716890" w:rsidRDefault="003E06C7" w:rsidP="003E06C7">
      <w:pPr>
        <w:pStyle w:val="enumlev1"/>
        <w:tabs>
          <w:tab w:val="clear" w:pos="794"/>
          <w:tab w:val="clear" w:pos="1191"/>
          <w:tab w:val="clear" w:pos="1588"/>
          <w:tab w:val="clear" w:pos="1985"/>
          <w:tab w:val="left" w:pos="4536"/>
        </w:tabs>
        <w:ind w:left="426" w:hanging="567"/>
        <w:rPr>
          <w:lang w:val="fr-FR"/>
        </w:rPr>
      </w:pPr>
      <w:r w:rsidRPr="00716890">
        <w:rPr>
          <w:lang w:val="fr-FR"/>
        </w:rPr>
        <w:tab/>
      </w:r>
      <w:r w:rsidRPr="00716890">
        <w:rPr>
          <w:i/>
          <w:iCs/>
          <w:lang w:val="fr-FR"/>
        </w:rPr>
        <w:t>FB</w:t>
      </w:r>
      <w:r w:rsidRPr="00716890">
        <w:rPr>
          <w:i/>
          <w:iCs/>
          <w:vertAlign w:val="subscript"/>
          <w:lang w:val="fr-FR"/>
        </w:rPr>
        <w:t>N</w:t>
      </w:r>
      <w:r w:rsidRPr="00716890">
        <w:rPr>
          <w:lang w:val="fr-FR"/>
        </w:rPr>
        <w:t xml:space="preserve"> = 141 + </w:t>
      </w:r>
      <w:r w:rsidRPr="00716890">
        <w:rPr>
          <w:i/>
          <w:iCs/>
          <w:lang w:val="fr-FR"/>
        </w:rPr>
        <w:t>N</w:t>
      </w:r>
      <w:r w:rsidRPr="00716890">
        <w:rPr>
          <w:lang w:val="fr-FR"/>
        </w:rPr>
        <w:t xml:space="preserve"> × 0,250 GHz</w:t>
      </w:r>
      <w:r w:rsidRPr="00716890">
        <w:rPr>
          <w:lang w:val="fr-FR"/>
        </w:rPr>
        <w:tab/>
      </w:r>
      <w:r w:rsidRPr="00716890">
        <w:rPr>
          <w:i/>
          <w:iCs/>
          <w:lang w:val="fr-FR"/>
        </w:rPr>
        <w:t>N</w:t>
      </w:r>
      <w:r w:rsidRPr="00716890">
        <w:rPr>
          <w:lang w:val="fr-FR"/>
        </w:rPr>
        <w:t>: 1 à 29 (canaux dans la sous-bande 141-148,5 GHz)</w:t>
      </w:r>
    </w:p>
    <w:p w14:paraId="44647CDE" w14:textId="4EE987D4" w:rsidR="003E06C7" w:rsidRPr="00716890" w:rsidRDefault="003E06C7" w:rsidP="003E06C7">
      <w:pPr>
        <w:pStyle w:val="enumlev1"/>
        <w:tabs>
          <w:tab w:val="clear" w:pos="794"/>
          <w:tab w:val="clear" w:pos="1191"/>
          <w:tab w:val="clear" w:pos="1588"/>
          <w:tab w:val="clear" w:pos="1985"/>
          <w:tab w:val="left" w:pos="4536"/>
        </w:tabs>
        <w:ind w:left="426" w:hanging="567"/>
        <w:rPr>
          <w:lang w:val="fr-FR"/>
        </w:rPr>
      </w:pPr>
      <w:r w:rsidRPr="00716890">
        <w:rPr>
          <w:lang w:val="fr-FR"/>
        </w:rPr>
        <w:tab/>
      </w:r>
      <w:r w:rsidRPr="00716890">
        <w:rPr>
          <w:i/>
          <w:iCs/>
          <w:lang w:val="fr-FR"/>
        </w:rPr>
        <w:t>F</w:t>
      </w:r>
      <w:r w:rsidR="00322E65" w:rsidRPr="00716890">
        <w:rPr>
          <w:i/>
          <w:iCs/>
          <w:lang w:val="fr-FR"/>
        </w:rPr>
        <w:t>'</w:t>
      </w:r>
      <w:r w:rsidRPr="00716890">
        <w:rPr>
          <w:i/>
          <w:iCs/>
          <w:lang w:val="fr-FR"/>
        </w:rPr>
        <w:t>B</w:t>
      </w:r>
      <w:r w:rsidRPr="00716890">
        <w:rPr>
          <w:i/>
          <w:iCs/>
          <w:vertAlign w:val="subscript"/>
          <w:lang w:val="fr-FR"/>
        </w:rPr>
        <w:t>N</w:t>
      </w:r>
      <w:r w:rsidRPr="00716890">
        <w:rPr>
          <w:lang w:val="fr-FR"/>
        </w:rPr>
        <w:t xml:space="preserve"> = 151,5 + 5 + </w:t>
      </w:r>
      <w:r w:rsidRPr="00716890">
        <w:rPr>
          <w:i/>
          <w:iCs/>
          <w:lang w:val="fr-FR"/>
        </w:rPr>
        <w:t>N</w:t>
      </w:r>
      <w:r w:rsidRPr="00716890">
        <w:rPr>
          <w:lang w:val="fr-FR"/>
        </w:rPr>
        <w:t xml:space="preserve"> × 0,250 GHz</w:t>
      </w:r>
      <w:r w:rsidRPr="00716890">
        <w:rPr>
          <w:lang w:val="fr-FR"/>
        </w:rPr>
        <w:tab/>
      </w:r>
      <w:r w:rsidRPr="00716890">
        <w:rPr>
          <w:i/>
          <w:iCs/>
          <w:lang w:val="fr-FR"/>
        </w:rPr>
        <w:t>N</w:t>
      </w:r>
      <w:r w:rsidRPr="00716890">
        <w:rPr>
          <w:lang w:val="fr-FR"/>
        </w:rPr>
        <w:t>: 1 à 29 (canaux dans la sous-bande 151,5-164 GHz)</w:t>
      </w:r>
    </w:p>
    <w:p w14:paraId="1AB0D7FF" w14:textId="7A5B383A" w:rsidR="00C31B19" w:rsidRPr="00716890" w:rsidRDefault="00C31B19" w:rsidP="007E699C">
      <w:pPr>
        <w:pStyle w:val="Headingb"/>
        <w:rPr>
          <w:lang w:val="fr-FR"/>
        </w:rPr>
      </w:pPr>
      <w:r w:rsidRPr="00716890">
        <w:rPr>
          <w:lang w:val="fr-FR"/>
        </w:rPr>
        <w:t>Fréquences centrales pour les canaux avec le suffixe UL dans la Fig</w:t>
      </w:r>
      <w:r w:rsidR="003E06C7" w:rsidRPr="00716890">
        <w:rPr>
          <w:lang w:val="fr-FR"/>
        </w:rPr>
        <w:t>. </w:t>
      </w:r>
      <w:r w:rsidRPr="00716890">
        <w:rPr>
          <w:lang w:val="fr-FR"/>
        </w:rPr>
        <w:t>7</w:t>
      </w:r>
    </w:p>
    <w:p w14:paraId="02225A89" w14:textId="77777777" w:rsidR="003E06C7" w:rsidRPr="00716890" w:rsidRDefault="003E06C7" w:rsidP="003E06C7">
      <w:pPr>
        <w:pStyle w:val="enumlev1"/>
        <w:tabs>
          <w:tab w:val="clear" w:pos="794"/>
          <w:tab w:val="clear" w:pos="1191"/>
          <w:tab w:val="clear" w:pos="1588"/>
          <w:tab w:val="clear" w:pos="1985"/>
          <w:tab w:val="left" w:pos="4536"/>
        </w:tabs>
        <w:ind w:left="426" w:hanging="567"/>
        <w:rPr>
          <w:lang w:val="fr-FR"/>
        </w:rPr>
      </w:pPr>
      <w:r w:rsidRPr="00716890">
        <w:rPr>
          <w:lang w:val="fr-FR"/>
        </w:rPr>
        <w:tab/>
      </w:r>
      <w:r w:rsidRPr="00716890">
        <w:rPr>
          <w:i/>
          <w:iCs/>
          <w:lang w:val="fr-FR"/>
        </w:rPr>
        <w:t>FUL</w:t>
      </w:r>
      <w:r w:rsidRPr="00716890">
        <w:rPr>
          <w:i/>
          <w:iCs/>
          <w:vertAlign w:val="subscript"/>
          <w:lang w:val="fr-FR"/>
        </w:rPr>
        <w:t>N</w:t>
      </w:r>
      <w:r w:rsidRPr="00716890">
        <w:rPr>
          <w:lang w:val="fr-FR"/>
        </w:rPr>
        <w:t xml:space="preserve"> = 151,5 + 3,75 + </w:t>
      </w:r>
      <w:r w:rsidRPr="00716890">
        <w:rPr>
          <w:i/>
          <w:iCs/>
          <w:lang w:val="fr-FR"/>
        </w:rPr>
        <w:t>N</w:t>
      </w:r>
      <w:r w:rsidRPr="00716890">
        <w:rPr>
          <w:lang w:val="fr-FR"/>
        </w:rPr>
        <w:t xml:space="preserve"> × 0,250 GHz</w:t>
      </w:r>
      <w:r w:rsidRPr="00716890">
        <w:rPr>
          <w:lang w:val="fr-FR"/>
        </w:rPr>
        <w:tab/>
      </w:r>
      <w:r w:rsidRPr="00716890">
        <w:rPr>
          <w:i/>
          <w:iCs/>
          <w:lang w:val="fr-FR"/>
        </w:rPr>
        <w:t>N</w:t>
      </w:r>
      <w:r w:rsidRPr="00716890">
        <w:rPr>
          <w:lang w:val="fr-FR"/>
        </w:rPr>
        <w:t>: 1 à 5 (canaux dans la sous-bande 151,5-164 GHz)</w:t>
      </w:r>
    </w:p>
    <w:p w14:paraId="7741E251" w14:textId="10E185DD" w:rsidR="00C31B19" w:rsidRPr="00716890" w:rsidRDefault="00C31B19" w:rsidP="007E699C">
      <w:pPr>
        <w:pStyle w:val="Headingb"/>
        <w:rPr>
          <w:lang w:val="fr-FR"/>
        </w:rPr>
      </w:pPr>
      <w:r w:rsidRPr="00716890">
        <w:rPr>
          <w:lang w:val="fr-FR"/>
        </w:rPr>
        <w:t>Fréquences centrales pour les canaux avec le suffixe UH dans la Fig</w:t>
      </w:r>
      <w:r w:rsidR="003E06C7" w:rsidRPr="00716890">
        <w:rPr>
          <w:lang w:val="fr-FR"/>
        </w:rPr>
        <w:t>. </w:t>
      </w:r>
      <w:r w:rsidRPr="00716890">
        <w:rPr>
          <w:lang w:val="fr-FR"/>
        </w:rPr>
        <w:t>7</w:t>
      </w:r>
    </w:p>
    <w:p w14:paraId="60C851AA" w14:textId="77777777" w:rsidR="003E06C7" w:rsidRPr="00716890" w:rsidRDefault="003E06C7" w:rsidP="003E06C7">
      <w:pPr>
        <w:pStyle w:val="enumlev1"/>
        <w:tabs>
          <w:tab w:val="clear" w:pos="794"/>
          <w:tab w:val="clear" w:pos="1191"/>
          <w:tab w:val="clear" w:pos="1588"/>
          <w:tab w:val="clear" w:pos="1985"/>
          <w:tab w:val="left" w:pos="4536"/>
        </w:tabs>
        <w:ind w:left="426" w:hanging="567"/>
        <w:rPr>
          <w:lang w:val="fr-FR"/>
        </w:rPr>
      </w:pPr>
      <w:r w:rsidRPr="00716890">
        <w:rPr>
          <w:lang w:val="fr-FR"/>
        </w:rPr>
        <w:tab/>
      </w:r>
      <w:r w:rsidRPr="00716890">
        <w:rPr>
          <w:i/>
          <w:iCs/>
          <w:lang w:val="fr-FR"/>
        </w:rPr>
        <w:t>FUH</w:t>
      </w:r>
      <w:r w:rsidRPr="00716890">
        <w:rPr>
          <w:i/>
          <w:iCs/>
          <w:vertAlign w:val="subscript"/>
          <w:lang w:val="fr-FR"/>
        </w:rPr>
        <w:t>N</w:t>
      </w:r>
      <w:r w:rsidRPr="00716890">
        <w:rPr>
          <w:lang w:val="fr-FR"/>
        </w:rPr>
        <w:t xml:space="preserve"> = 167 + </w:t>
      </w:r>
      <w:r w:rsidRPr="00716890">
        <w:rPr>
          <w:i/>
          <w:iCs/>
          <w:lang w:val="fr-FR"/>
        </w:rPr>
        <w:t>N</w:t>
      </w:r>
      <w:r w:rsidRPr="00716890">
        <w:rPr>
          <w:lang w:val="fr-FR"/>
        </w:rPr>
        <w:t xml:space="preserve"> × 0,250 GHz</w:t>
      </w:r>
      <w:r w:rsidRPr="00716890">
        <w:rPr>
          <w:lang w:val="fr-FR"/>
        </w:rPr>
        <w:tab/>
      </w:r>
      <w:r w:rsidRPr="00716890">
        <w:rPr>
          <w:i/>
          <w:iCs/>
          <w:lang w:val="fr-FR"/>
        </w:rPr>
        <w:t>N</w:t>
      </w:r>
      <w:r w:rsidRPr="00716890">
        <w:rPr>
          <w:lang w:val="fr-FR"/>
        </w:rPr>
        <w:t>: 1 à 30 (canaux dans la sous-bande 167-174,8 GHz)</w:t>
      </w:r>
    </w:p>
    <w:p w14:paraId="659299EF" w14:textId="77777777" w:rsidR="003E06C7" w:rsidRPr="00716890" w:rsidRDefault="003E06C7" w:rsidP="003E06C7">
      <w:pPr>
        <w:rPr>
          <w:lang w:val="fr-FR"/>
        </w:rPr>
      </w:pPr>
    </w:p>
    <w:p w14:paraId="4F0402DA" w14:textId="77777777" w:rsidR="00C31B19" w:rsidRPr="00716890" w:rsidRDefault="00C31B19" w:rsidP="00C31B19">
      <w:pPr>
        <w:pStyle w:val="Line"/>
        <w:rPr>
          <w:lang w:val="fr-FR"/>
        </w:rPr>
      </w:pPr>
    </w:p>
    <w:sectPr w:rsidR="00C31B19" w:rsidRPr="00716890" w:rsidSect="004D714A">
      <w:headerReference w:type="even" r:id="rId26"/>
      <w:footerReference w:type="default" r:id="rId27"/>
      <w:pgSz w:w="11907" w:h="16834" w:code="9"/>
      <w:pgMar w:top="1418" w:right="1134" w:bottom="1134" w:left="1134" w:header="720" w:footer="482"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F066B" w14:textId="77777777" w:rsidR="00C31B19" w:rsidRDefault="00C31B19">
      <w:r>
        <w:separator/>
      </w:r>
    </w:p>
  </w:endnote>
  <w:endnote w:type="continuationSeparator" w:id="0">
    <w:p w14:paraId="7EB419BF" w14:textId="77777777" w:rsidR="00C31B19" w:rsidRDefault="00C31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venirNext LT Pro Medium">
    <w:altName w:val="Calibri"/>
    <w:panose1 w:val="00000000000000000000"/>
    <w:charset w:val="00"/>
    <w:family w:val="swiss"/>
    <w:notTrueType/>
    <w:pitch w:val="variable"/>
    <w:sig w:usb0="800000AF" w:usb1="5000204A" w:usb2="00000000" w:usb3="00000000" w:csb0="00000093" w:csb1="00000000"/>
  </w:font>
  <w:font w:name="AvenirNext LT Pro Regular">
    <w:altName w:val="Calibri"/>
    <w:panose1 w:val="00000000000000000000"/>
    <w:charset w:val="00"/>
    <w:family w:val="swiss"/>
    <w:notTrueType/>
    <w:pitch w:val="variable"/>
    <w:sig w:usb0="800000AF" w:usb1="5000204A" w:usb2="00000000" w:usb3="00000000" w:csb0="00000093" w:csb1="00000000"/>
  </w:font>
  <w:font w:name="Arial Black">
    <w:panose1 w:val="020B0A04020102020204"/>
    <w:charset w:val="CC"/>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65D77" w14:textId="77777777" w:rsidR="00C31B19" w:rsidRDefault="00C31B19">
    <w:pPr>
      <w:pStyle w:val="Footer"/>
    </w:pPr>
    <w:r>
      <w:drawing>
        <wp:anchor distT="0" distB="0" distL="0" distR="0" simplePos="0" relativeHeight="251655168" behindDoc="0" locked="0" layoutInCell="1" allowOverlap="1" wp14:anchorId="7AEE16EC" wp14:editId="516D28C7">
          <wp:simplePos x="0" y="0"/>
          <wp:positionH relativeFrom="page">
            <wp:posOffset>6346209</wp:posOffset>
          </wp:positionH>
          <wp:positionV relativeFrom="page">
            <wp:posOffset>9501505</wp:posOffset>
          </wp:positionV>
          <wp:extent cx="738000" cy="813600"/>
          <wp:effectExtent l="0" t="0" r="0" b="0"/>
          <wp:wrapNone/>
          <wp:docPr id="1" name="image1.png" descr="Logo 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 UIT"/>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BDFD5" w14:textId="1799E963" w:rsidR="004D714A" w:rsidRDefault="004D71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27160" w14:textId="77777777" w:rsidR="00C31B19" w:rsidRDefault="00C31B19">
      <w:r>
        <w:separator/>
      </w:r>
    </w:p>
  </w:footnote>
  <w:footnote w:type="continuationSeparator" w:id="0">
    <w:p w14:paraId="06760041" w14:textId="77777777" w:rsidR="00C31B19" w:rsidRDefault="00C31B19">
      <w:r>
        <w:continuationSeparator/>
      </w:r>
    </w:p>
  </w:footnote>
  <w:footnote w:id="1">
    <w:p w14:paraId="51D74696" w14:textId="0991ADFA" w:rsidR="004D714A" w:rsidRPr="00B0230F" w:rsidRDefault="004D714A">
      <w:pPr>
        <w:pStyle w:val="FootnoteText"/>
        <w:rPr>
          <w:lang w:val="fr-FR"/>
        </w:rPr>
      </w:pPr>
      <w:r w:rsidRPr="00B0230F">
        <w:rPr>
          <w:rStyle w:val="FootnoteReference"/>
          <w:lang w:val="fr-FR"/>
        </w:rPr>
        <w:footnoteRef/>
      </w:r>
      <w:r w:rsidRPr="00B0230F">
        <w:rPr>
          <w:lang w:val="fr-FR"/>
        </w:rPr>
        <w:tab/>
      </w:r>
      <w:r w:rsidRPr="00B0230F">
        <w:rPr>
          <w:lang w:val="fr-FR"/>
        </w:rPr>
        <w:t>Les systèmes duplex par répartition souple en fréquence (fFDD) permettent l</w:t>
      </w:r>
      <w:r w:rsidR="00322E65">
        <w:rPr>
          <w:lang w:val="fr-FR"/>
        </w:rPr>
        <w:t>'</w:t>
      </w:r>
      <w:r w:rsidRPr="00B0230F">
        <w:rPr>
          <w:lang w:val="fr-FR"/>
        </w:rPr>
        <w:t>isolation TX/RX nécessaire sans filtres duplex radiofréquences traditionnels, mais grâce à des antennes d</w:t>
      </w:r>
      <w:r w:rsidR="00322E65">
        <w:rPr>
          <w:lang w:val="fr-FR"/>
        </w:rPr>
        <w:t>'</w:t>
      </w:r>
      <w:r w:rsidRPr="00B0230F">
        <w:rPr>
          <w:lang w:val="fr-FR"/>
        </w:rPr>
        <w:t>émission/de réception distinctes et/ou à une capacité d</w:t>
      </w:r>
      <w:r w:rsidR="00322E65">
        <w:rPr>
          <w:lang w:val="fr-FR"/>
        </w:rPr>
        <w:t>'</w:t>
      </w:r>
      <w:r w:rsidRPr="00B0230F">
        <w:rPr>
          <w:lang w:val="fr-FR"/>
        </w:rPr>
        <w:t>annulation numérique, permettent un espacement duplex plus étroit.</w:t>
      </w:r>
    </w:p>
  </w:footnote>
  <w:footnote w:id="2">
    <w:p w14:paraId="61B7E34D" w14:textId="657C603F" w:rsidR="004D714A" w:rsidRPr="00B0230F" w:rsidRDefault="004D714A">
      <w:pPr>
        <w:pStyle w:val="FootnoteText"/>
        <w:rPr>
          <w:lang w:val="fr-FR"/>
        </w:rPr>
      </w:pPr>
      <w:r w:rsidRPr="00B0230F">
        <w:rPr>
          <w:rStyle w:val="FootnoteReference"/>
          <w:lang w:val="fr-FR"/>
        </w:rPr>
        <w:footnoteRef/>
      </w:r>
      <w:r w:rsidRPr="00B0230F">
        <w:rPr>
          <w:lang w:val="fr-FR"/>
        </w:rPr>
        <w:tab/>
      </w:r>
      <w:r w:rsidRPr="00B0230F">
        <w:rPr>
          <w:lang w:val="fr-FR"/>
        </w:rPr>
        <w:t>Les systèmes duplex intégral (FD) utilisent le même canal pour l</w:t>
      </w:r>
      <w:r w:rsidR="00322E65">
        <w:rPr>
          <w:lang w:val="fr-FR"/>
        </w:rPr>
        <w:t>'</w:t>
      </w:r>
      <w:r w:rsidRPr="00B0230F">
        <w:rPr>
          <w:lang w:val="fr-FR"/>
        </w:rPr>
        <w:t>aller/retour (que les systèmes TDD), mais pendant 100% du temps; ils devraient assurer l</w:t>
      </w:r>
      <w:r w:rsidR="00322E65">
        <w:rPr>
          <w:lang w:val="fr-FR"/>
        </w:rPr>
        <w:t>'</w:t>
      </w:r>
      <w:r w:rsidRPr="00B0230F">
        <w:rPr>
          <w:lang w:val="fr-FR"/>
        </w:rPr>
        <w:t>isolation TX/RX nécessaire au moyen d</w:t>
      </w:r>
      <w:r w:rsidR="00322E65">
        <w:rPr>
          <w:lang w:val="fr-FR"/>
        </w:rPr>
        <w:t>'</w:t>
      </w:r>
      <w:r w:rsidRPr="00B0230F">
        <w:rPr>
          <w:lang w:val="fr-FR"/>
        </w:rPr>
        <w:t>antennes distinctes d</w:t>
      </w:r>
      <w:r w:rsidR="00322E65">
        <w:rPr>
          <w:lang w:val="fr-FR"/>
        </w:rPr>
        <w:t>'</w:t>
      </w:r>
      <w:r w:rsidRPr="00B0230F">
        <w:rPr>
          <w:lang w:val="fr-FR"/>
        </w:rPr>
        <w:t>émission et de réception et de l</w:t>
      </w:r>
      <w:r w:rsidR="00322E65">
        <w:rPr>
          <w:lang w:val="fr-FR"/>
        </w:rPr>
        <w:t>'</w:t>
      </w:r>
      <w:r w:rsidRPr="00B0230F">
        <w:rPr>
          <w:lang w:val="fr-FR"/>
        </w:rPr>
        <w:t>annulation numérique, plutôt qu</w:t>
      </w:r>
      <w:r w:rsidR="00322E65">
        <w:rPr>
          <w:lang w:val="fr-FR"/>
        </w:rPr>
        <w:t>'</w:t>
      </w:r>
      <w:r w:rsidRPr="00B0230F">
        <w:rPr>
          <w:lang w:val="fr-FR"/>
        </w:rPr>
        <w:t>au moyen d</w:t>
      </w:r>
      <w:r w:rsidR="00322E65">
        <w:rPr>
          <w:lang w:val="fr-FR"/>
        </w:rPr>
        <w:t>'</w:t>
      </w:r>
      <w:r w:rsidRPr="00B0230F">
        <w:rPr>
          <w:lang w:val="fr-FR"/>
        </w:rPr>
        <w:t>un filtre duplex comme dans les systèmes TDD classiques.</w:t>
      </w:r>
    </w:p>
  </w:footnote>
  <w:footnote w:id="3">
    <w:p w14:paraId="5BBBEC16" w14:textId="3C79F9A0" w:rsidR="00C31B19" w:rsidRPr="00B0230F" w:rsidRDefault="00C31B19" w:rsidP="00C31B19">
      <w:pPr>
        <w:pStyle w:val="FootnoteText"/>
        <w:rPr>
          <w:lang w:val="fr-FR"/>
        </w:rPr>
      </w:pPr>
      <w:r w:rsidRPr="00B0230F">
        <w:rPr>
          <w:rStyle w:val="FootnoteReference"/>
          <w:lang w:val="fr-FR"/>
        </w:rPr>
        <w:footnoteRef/>
      </w:r>
      <w:r w:rsidRPr="00B0230F">
        <w:rPr>
          <w:lang w:val="fr-FR"/>
        </w:rPr>
        <w:tab/>
        <w:t>Les systèmes duplex intégral (FD) utilisent le même canal pour l</w:t>
      </w:r>
      <w:r w:rsidR="00322E65">
        <w:rPr>
          <w:lang w:val="fr-FR"/>
        </w:rPr>
        <w:t>'</w:t>
      </w:r>
      <w:r w:rsidRPr="00B0230F">
        <w:rPr>
          <w:lang w:val="fr-FR"/>
        </w:rPr>
        <w:t>aller/retour (que les systèmes TDD), mais pendant 100% du temps; ils devraient assurer l</w:t>
      </w:r>
      <w:r w:rsidR="00322E65">
        <w:rPr>
          <w:lang w:val="fr-FR"/>
        </w:rPr>
        <w:t>'</w:t>
      </w:r>
      <w:r w:rsidRPr="00B0230F">
        <w:rPr>
          <w:lang w:val="fr-FR"/>
        </w:rPr>
        <w:t>isolation TX/RX nécessaire au moyen d</w:t>
      </w:r>
      <w:r w:rsidR="00322E65">
        <w:rPr>
          <w:lang w:val="fr-FR"/>
        </w:rPr>
        <w:t>'</w:t>
      </w:r>
      <w:r w:rsidRPr="00B0230F">
        <w:rPr>
          <w:lang w:val="fr-FR"/>
        </w:rPr>
        <w:t>antennes distinctes d</w:t>
      </w:r>
      <w:r w:rsidR="00322E65">
        <w:rPr>
          <w:lang w:val="fr-FR"/>
        </w:rPr>
        <w:t>'</w:t>
      </w:r>
      <w:r w:rsidRPr="00B0230F">
        <w:rPr>
          <w:lang w:val="fr-FR"/>
        </w:rPr>
        <w:t>émission et de réception et de l</w:t>
      </w:r>
      <w:r w:rsidR="00322E65">
        <w:rPr>
          <w:lang w:val="fr-FR"/>
        </w:rPr>
        <w:t>'</w:t>
      </w:r>
      <w:r w:rsidRPr="00B0230F">
        <w:rPr>
          <w:lang w:val="fr-FR"/>
        </w:rPr>
        <w:t>annulation numérique, plutôt qu</w:t>
      </w:r>
      <w:r w:rsidR="00322E65">
        <w:rPr>
          <w:lang w:val="fr-FR"/>
        </w:rPr>
        <w:t>'</w:t>
      </w:r>
      <w:r w:rsidRPr="00B0230F">
        <w:rPr>
          <w:lang w:val="fr-FR"/>
        </w:rPr>
        <w:t>au moyen d</w:t>
      </w:r>
      <w:r w:rsidR="00322E65">
        <w:rPr>
          <w:lang w:val="fr-FR"/>
        </w:rPr>
        <w:t>'</w:t>
      </w:r>
      <w:r w:rsidRPr="00B0230F">
        <w:rPr>
          <w:lang w:val="fr-FR"/>
        </w:rPr>
        <w:t>un filtre duplex comme dans les systèmes TDD classiques.</w:t>
      </w:r>
    </w:p>
  </w:footnote>
  <w:footnote w:id="4">
    <w:p w14:paraId="535CF935" w14:textId="636F5DBB" w:rsidR="00C31B19" w:rsidRPr="00B0230F" w:rsidRDefault="00C31B19" w:rsidP="00C31B19">
      <w:pPr>
        <w:pStyle w:val="FootnoteText"/>
        <w:rPr>
          <w:lang w:val="fr-FR"/>
        </w:rPr>
      </w:pPr>
      <w:r w:rsidRPr="00B0230F">
        <w:rPr>
          <w:rStyle w:val="FootnoteReference"/>
          <w:lang w:val="fr-FR"/>
        </w:rPr>
        <w:footnoteRef/>
      </w:r>
      <w:r w:rsidRPr="00B0230F">
        <w:rPr>
          <w:lang w:val="fr-FR"/>
        </w:rPr>
        <w:tab/>
        <w:t>Alors que, dans les systèmes FDD classiques, l</w:t>
      </w:r>
      <w:r w:rsidR="00322E65">
        <w:rPr>
          <w:lang w:val="fr-FR"/>
        </w:rPr>
        <w:t>'</w:t>
      </w:r>
      <w:r w:rsidRPr="00B0230F">
        <w:rPr>
          <w:lang w:val="fr-FR"/>
        </w:rPr>
        <w:t>isolation TX/RX est obtenue au moyen d</w:t>
      </w:r>
      <w:r w:rsidR="00322E65">
        <w:rPr>
          <w:lang w:val="fr-FR"/>
        </w:rPr>
        <w:t>'</w:t>
      </w:r>
      <w:r w:rsidRPr="00B0230F">
        <w:rPr>
          <w:lang w:val="fr-FR"/>
        </w:rPr>
        <w:t>un filtre duplex radiofréquence, dans les systèmes duplex par répartition souple en fréquence (fFDD), elle peut être obtenue au moyen d</w:t>
      </w:r>
      <w:r w:rsidR="00322E65">
        <w:rPr>
          <w:lang w:val="fr-FR"/>
        </w:rPr>
        <w:t>'</w:t>
      </w:r>
      <w:r w:rsidRPr="00B0230F">
        <w:rPr>
          <w:lang w:val="fr-FR"/>
        </w:rPr>
        <w:t>antennes d</w:t>
      </w:r>
      <w:r w:rsidR="00322E65">
        <w:rPr>
          <w:lang w:val="fr-FR"/>
        </w:rPr>
        <w:t>'</w:t>
      </w:r>
      <w:r w:rsidRPr="00B0230F">
        <w:rPr>
          <w:lang w:val="fr-FR"/>
        </w:rPr>
        <w:t>émission/de réception distinctes et/ou de l</w:t>
      </w:r>
      <w:r w:rsidR="00322E65">
        <w:rPr>
          <w:lang w:val="fr-FR"/>
        </w:rPr>
        <w:t>'</w:t>
      </w:r>
      <w:r w:rsidRPr="00B0230F">
        <w:rPr>
          <w:lang w:val="fr-FR"/>
        </w:rPr>
        <w:t>annulation numérique (semblable à la technologie XPIC); ceci renforce la capacité d</w:t>
      </w:r>
      <w:r w:rsidR="00322E65">
        <w:rPr>
          <w:lang w:val="fr-FR"/>
        </w:rPr>
        <w:t>'</w:t>
      </w:r>
      <w:r w:rsidRPr="00B0230F">
        <w:rPr>
          <w:lang w:val="fr-FR"/>
        </w:rPr>
        <w:t>isolation TX/RX et permet un espacement duplex plus étroit.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E52D0" w14:textId="77777777" w:rsidR="00C31B19" w:rsidRDefault="00C31B19">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6"/>
      <w:gridCol w:w="5914"/>
    </w:tblGrid>
    <w:tr w:rsidR="00C31B19" w:rsidRPr="00A239D1" w14:paraId="68B07D75" w14:textId="77777777" w:rsidTr="0019307B">
      <w:tc>
        <w:tcPr>
          <w:tcW w:w="4634" w:type="dxa"/>
          <w:vAlign w:val="center"/>
        </w:tcPr>
        <w:p w14:paraId="41C1E313" w14:textId="77777777" w:rsidR="00C31B19" w:rsidRPr="005B0371" w:rsidRDefault="00C31B19" w:rsidP="00B9169E">
          <w:pPr>
            <w:pStyle w:val="Header"/>
            <w:jc w:val="left"/>
            <w:rPr>
              <w:rFonts w:ascii="Arial Black" w:hAnsi="Arial Black" w:cs="Arial"/>
              <w:color w:val="FFFFFF" w:themeColor="background1"/>
              <w:sz w:val="32"/>
              <w:szCs w:val="32"/>
            </w:rPr>
          </w:pPr>
          <w:r w:rsidRPr="005B0371">
            <w:rPr>
              <w:rFonts w:ascii="Arial Black" w:hAnsi="Arial Black" w:cs="Arial"/>
              <w:color w:val="FFFFFF" w:themeColor="background1"/>
              <w:sz w:val="32"/>
              <w:szCs w:val="32"/>
            </w:rPr>
            <w:t xml:space="preserve"> </w:t>
          </w:r>
        </w:p>
      </w:tc>
      <w:tc>
        <w:tcPr>
          <w:tcW w:w="5998" w:type="dxa"/>
          <w:vAlign w:val="center"/>
        </w:tcPr>
        <w:p w14:paraId="4631344E" w14:textId="77777777" w:rsidR="00C31B19" w:rsidRPr="00260B24" w:rsidRDefault="00C31B19" w:rsidP="00744F8B">
          <w:pPr>
            <w:pStyle w:val="Header"/>
            <w:jc w:val="right"/>
            <w:rPr>
              <w:rFonts w:asciiTheme="minorBidi" w:hAnsiTheme="minorBidi"/>
              <w:b/>
              <w:spacing w:val="4"/>
              <w:szCs w:val="24"/>
            </w:rPr>
          </w:pPr>
          <w:r w:rsidRPr="00260B24">
            <w:rPr>
              <w:rFonts w:asciiTheme="minorBidi" w:hAnsiTheme="minorBidi"/>
              <w:b/>
              <w:spacing w:val="4"/>
              <w:szCs w:val="24"/>
            </w:rPr>
            <w:t>Union</w:t>
          </w:r>
          <w:r>
            <w:rPr>
              <w:rFonts w:asciiTheme="minorBidi" w:hAnsiTheme="minorBidi"/>
              <w:b/>
              <w:spacing w:val="4"/>
              <w:szCs w:val="24"/>
            </w:rPr>
            <w:t xml:space="preserve"> i</w:t>
          </w:r>
          <w:r w:rsidRPr="00260B24">
            <w:rPr>
              <w:rFonts w:asciiTheme="minorBidi" w:hAnsiTheme="minorBidi"/>
              <w:b/>
              <w:spacing w:val="4"/>
              <w:szCs w:val="24"/>
            </w:rPr>
            <w:t>nternational</w:t>
          </w:r>
          <w:r>
            <w:rPr>
              <w:rFonts w:asciiTheme="minorBidi" w:hAnsiTheme="minorBidi"/>
              <w:b/>
              <w:spacing w:val="4"/>
              <w:szCs w:val="24"/>
            </w:rPr>
            <w:t>e</w:t>
          </w:r>
          <w:r w:rsidRPr="00260B24">
            <w:rPr>
              <w:rFonts w:asciiTheme="minorBidi" w:hAnsiTheme="minorBidi"/>
              <w:b/>
              <w:spacing w:val="4"/>
              <w:szCs w:val="24"/>
            </w:rPr>
            <w:t xml:space="preserve"> </w:t>
          </w:r>
          <w:r>
            <w:rPr>
              <w:rFonts w:asciiTheme="minorBidi" w:hAnsiTheme="minorBidi"/>
              <w:b/>
              <w:spacing w:val="4"/>
              <w:szCs w:val="24"/>
            </w:rPr>
            <w:t>des té</w:t>
          </w:r>
          <w:r w:rsidRPr="00260B24">
            <w:rPr>
              <w:rFonts w:asciiTheme="minorBidi" w:hAnsiTheme="minorBidi"/>
              <w:b/>
              <w:spacing w:val="4"/>
              <w:szCs w:val="24"/>
            </w:rPr>
            <w:t>l</w:t>
          </w:r>
          <w:r>
            <w:rPr>
              <w:rFonts w:asciiTheme="minorBidi" w:hAnsiTheme="minorBidi"/>
              <w:b/>
              <w:spacing w:val="4"/>
              <w:szCs w:val="24"/>
            </w:rPr>
            <w:t>é</w:t>
          </w:r>
          <w:r w:rsidRPr="00260B24">
            <w:rPr>
              <w:rFonts w:asciiTheme="minorBidi" w:hAnsiTheme="minorBidi"/>
              <w:b/>
              <w:spacing w:val="4"/>
              <w:szCs w:val="24"/>
            </w:rPr>
            <w:t>communication</w:t>
          </w:r>
          <w:r>
            <w:rPr>
              <w:rFonts w:asciiTheme="minorBidi" w:hAnsiTheme="minorBidi"/>
              <w:b/>
              <w:spacing w:val="4"/>
              <w:szCs w:val="24"/>
            </w:rPr>
            <w:t>s</w:t>
          </w:r>
        </w:p>
      </w:tc>
    </w:tr>
    <w:tr w:rsidR="00C31B19" w:rsidRPr="00A239D1" w14:paraId="439973D8" w14:textId="77777777" w:rsidTr="0019307B">
      <w:tc>
        <w:tcPr>
          <w:tcW w:w="4634" w:type="dxa"/>
          <w:vAlign w:val="center"/>
        </w:tcPr>
        <w:p w14:paraId="55C9EBA3" w14:textId="77777777" w:rsidR="00C31B19" w:rsidRPr="00260B24" w:rsidRDefault="00C31B19" w:rsidP="00744F8B">
          <w:pPr>
            <w:pStyle w:val="Header"/>
            <w:jc w:val="left"/>
            <w:rPr>
              <w:rFonts w:asciiTheme="minorBidi" w:hAnsiTheme="minorBidi"/>
              <w:spacing w:val="4"/>
              <w:sz w:val="21"/>
              <w:szCs w:val="21"/>
            </w:rPr>
          </w:pPr>
          <w:r w:rsidRPr="00260B24">
            <w:rPr>
              <w:rFonts w:asciiTheme="minorBidi" w:hAnsiTheme="minorBidi"/>
              <w:spacing w:val="4"/>
              <w:szCs w:val="24"/>
            </w:rPr>
            <w:t>Recomm</w:t>
          </w:r>
          <w:r>
            <w:rPr>
              <w:rFonts w:asciiTheme="minorBidi" w:hAnsiTheme="minorBidi"/>
              <w:spacing w:val="4"/>
              <w:szCs w:val="24"/>
            </w:rPr>
            <w:t>a</w:t>
          </w:r>
          <w:r w:rsidRPr="00260B24">
            <w:rPr>
              <w:rFonts w:asciiTheme="minorBidi" w:hAnsiTheme="minorBidi"/>
              <w:spacing w:val="4"/>
              <w:szCs w:val="24"/>
            </w:rPr>
            <w:t>ndations</w:t>
          </w:r>
        </w:p>
      </w:tc>
      <w:tc>
        <w:tcPr>
          <w:tcW w:w="5998" w:type="dxa"/>
          <w:vAlign w:val="center"/>
        </w:tcPr>
        <w:p w14:paraId="3E61A8E7" w14:textId="77777777" w:rsidR="00C31B19" w:rsidRPr="00260B24" w:rsidRDefault="00C31B19" w:rsidP="00744F8B">
          <w:pPr>
            <w:pStyle w:val="Header"/>
            <w:jc w:val="right"/>
            <w:rPr>
              <w:rFonts w:asciiTheme="minorBidi" w:hAnsiTheme="minorBidi"/>
              <w:spacing w:val="4"/>
              <w:szCs w:val="24"/>
            </w:rPr>
          </w:pPr>
          <w:r>
            <w:rPr>
              <w:rFonts w:asciiTheme="minorBidi" w:hAnsiTheme="minorBidi"/>
              <w:spacing w:val="4"/>
              <w:szCs w:val="24"/>
            </w:rPr>
            <w:t>Secteur des r</w:t>
          </w:r>
          <w:r w:rsidRPr="00260B24">
            <w:rPr>
              <w:rFonts w:asciiTheme="minorBidi" w:hAnsiTheme="minorBidi"/>
              <w:spacing w:val="4"/>
              <w:szCs w:val="24"/>
            </w:rPr>
            <w:t>adiocommunication</w:t>
          </w:r>
          <w:r>
            <w:rPr>
              <w:rFonts w:asciiTheme="minorBidi" w:hAnsiTheme="minorBidi"/>
              <w:spacing w:val="4"/>
              <w:szCs w:val="24"/>
            </w:rPr>
            <w:t>s</w:t>
          </w:r>
        </w:p>
      </w:tc>
    </w:tr>
  </w:tbl>
  <w:p w14:paraId="70FDFBB5" w14:textId="77777777" w:rsidR="00C31B19" w:rsidRDefault="00C31B19" w:rsidP="004A6FEB">
    <w:pPr>
      <w:pStyle w:val="Header"/>
    </w:pPr>
    <w:r>
      <w:rPr>
        <w:rFonts w:ascii="Arial Black" w:hAnsi="Arial Black" w:cs="Arial"/>
        <w:noProof/>
        <w:sz w:val="32"/>
        <w:szCs w:val="32"/>
      </w:rPr>
      <w:drawing>
        <wp:anchor distT="0" distB="0" distL="114300" distR="114300" simplePos="0" relativeHeight="251656192" behindDoc="0" locked="0" layoutInCell="1" allowOverlap="1" wp14:anchorId="7E6CA626" wp14:editId="292EF96A">
          <wp:simplePos x="0" y="0"/>
          <wp:positionH relativeFrom="column">
            <wp:posOffset>-358302</wp:posOffset>
          </wp:positionH>
          <wp:positionV relativeFrom="paragraph">
            <wp:posOffset>-534670</wp:posOffset>
          </wp:positionV>
          <wp:extent cx="1945758" cy="414616"/>
          <wp:effectExtent l="0" t="0" r="0" b="0"/>
          <wp:wrapNone/>
          <wp:docPr id="5" name="Picture 5" descr="ITUPubl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TUPublication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758" cy="4146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rPr>
      <mc:AlternateContent>
        <mc:Choice Requires="wps">
          <w:drawing>
            <wp:anchor distT="0" distB="0" distL="114300" distR="114300" simplePos="0" relativeHeight="251659264" behindDoc="0" locked="0" layoutInCell="1" allowOverlap="1" wp14:anchorId="0A2329DC" wp14:editId="020981F1">
              <wp:simplePos x="0" y="0"/>
              <wp:positionH relativeFrom="column">
                <wp:posOffset>-106045</wp:posOffset>
              </wp:positionH>
              <wp:positionV relativeFrom="paragraph">
                <wp:posOffset>164465</wp:posOffset>
              </wp:positionV>
              <wp:extent cx="301625" cy="172085"/>
              <wp:effectExtent l="17780" t="12065" r="23495" b="15875"/>
              <wp:wrapNone/>
              <wp:docPr id="6"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45279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alt="&quot;&quot;" style="position:absolute;margin-left:-8.35pt;margin-top:12.95pt;width:23.75pt;height:13.5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5AAE5194" w14:textId="77777777" w:rsidR="00C31B19" w:rsidRDefault="00C31B19" w:rsidP="004A6FEB">
    <w:pPr>
      <w:pStyle w:val="Header"/>
      <w:ind w:right="360"/>
      <w:jc w:val="both"/>
    </w:pPr>
    <w:r>
      <w:rPr>
        <w:noProof/>
      </w:rPr>
      <mc:AlternateContent>
        <mc:Choice Requires="wpg">
          <w:drawing>
            <wp:anchor distT="0" distB="0" distL="114300" distR="114300" simplePos="0" relativeHeight="251661312" behindDoc="0" locked="0" layoutInCell="1" allowOverlap="1" wp14:anchorId="41CAA3B0" wp14:editId="15F66611">
              <wp:simplePos x="0" y="0"/>
              <wp:positionH relativeFrom="page">
                <wp:posOffset>0</wp:posOffset>
              </wp:positionH>
              <wp:positionV relativeFrom="page">
                <wp:posOffset>1196340</wp:posOffset>
              </wp:positionV>
              <wp:extent cx="7560310" cy="236220"/>
              <wp:effectExtent l="9525" t="5715" r="12065" b="5715"/>
              <wp:wrapNone/>
              <wp:docPr id="2" name="docshapegroup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3" name="docshape7" descr="Header separator line"/>
                      <wps:cNvSpPr>
                        <a:spLocks noChangeArrowheads="1"/>
                      </wps:cNvSpPr>
                      <wps:spPr bwMode="auto">
                        <a:xfrm>
                          <a:off x="0" y="1944"/>
                          <a:ext cx="11906" cy="312"/>
                        </a:xfrm>
                        <a:prstGeom prst="rect">
                          <a:avLst/>
                        </a:prstGeom>
                        <a:solidFill>
                          <a:srgbClr val="009CD6"/>
                        </a:solidFill>
                        <a:ln w="9525">
                          <a:solidFill>
                            <a:srgbClr val="009CD6"/>
                          </a:solidFill>
                          <a:miter lim="800000"/>
                          <a:headEnd/>
                          <a:tailEnd/>
                        </a:ln>
                      </wps:spPr>
                      <wps:bodyPr rot="0" vert="horz" wrap="square" lIns="91440" tIns="45720" rIns="91440" bIns="45720" anchor="t" anchorCtr="0" upright="1">
                        <a:noAutofit/>
                      </wps:bodyPr>
                    </wps:wsp>
                    <wps:wsp>
                      <wps:cNvPr id="4" name="docshape8" descr="Header separator line"/>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9CD6"/>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47B65A" id="docshapegroup6" o:spid="_x0000_s1026" alt="&quot;&quot;" style="position:absolute;margin-left:0;margin-top:94.2pt;width:595.3pt;height:18.6pt;z-index:251661312;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">
              <v:rect id="docshape7" o:spid="_x0000_s1027" alt="Header separator line"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" fillcolor="#009cd6" strokecolor="#009cd6"/>
              <v:shape id="docshape8" o:spid="_x0000_s1028" alt="Header separator line"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" path="m627,l,,314,313,627,xe" fillcolor="white [3212]" stroked="f" strokecolor="#009cd6">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967F8" w14:textId="60403F9D" w:rsidR="00C31B19" w:rsidRPr="00D72623" w:rsidRDefault="00C31B19" w:rsidP="00D72623">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Pr="004F3F6F">
      <w:rPr>
        <w:rStyle w:val="PageNumber"/>
        <w:b/>
        <w:bCs/>
      </w:rPr>
      <w:t>ii</w:t>
    </w:r>
    <w:r>
      <w:rPr>
        <w:rStyle w:val="PageNumber"/>
        <w:b/>
        <w:bCs/>
      </w:rPr>
      <w:fldChar w:fldCharType="end"/>
    </w: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887228">
      <w:rPr>
        <w:b/>
        <w:bCs/>
        <w:lang w:val="en-US"/>
      </w:rPr>
      <w:t xml:space="preserve">Rec. </w:t>
    </w:r>
    <w:r>
      <w:rPr>
        <w:b/>
        <w:bCs/>
        <w:lang w:val="en-US"/>
      </w:rPr>
      <w:fldChar w:fldCharType="end"/>
    </w:r>
    <w:r w:rsidRPr="004F3F6F">
      <w:rPr>
        <w:b/>
        <w:bCs/>
      </w:rPr>
      <w:t xml:space="preserve"> </w:t>
    </w:r>
    <w:r>
      <w:rPr>
        <w:b/>
        <w:bCs/>
      </w:rPr>
      <w:fldChar w:fldCharType="begin"/>
    </w:r>
    <w:r>
      <w:rPr>
        <w:b/>
        <w:bCs/>
        <w:lang w:val="en-US"/>
      </w:rPr>
      <w:instrText>styleref href</w:instrText>
    </w:r>
    <w:r>
      <w:rPr>
        <w:b/>
        <w:bCs/>
      </w:rPr>
      <w:fldChar w:fldCharType="separate"/>
    </w:r>
    <w:r w:rsidR="00FB27A2">
      <w:rPr>
        <w:b/>
        <w:bCs/>
        <w:noProof/>
        <w:lang w:val="en-US"/>
      </w:rPr>
      <w:t>UIT-R  F.2172-0</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C180A" w14:textId="7763DD12" w:rsidR="00C31B19" w:rsidRDefault="00C31B19">
    <w:pPr>
      <w:pStyle w:val="Header"/>
    </w:pPr>
    <w:r>
      <w:tab/>
    </w:r>
    <w:r>
      <w:rPr>
        <w:b/>
        <w:bCs/>
      </w:rPr>
      <w:fldChar w:fldCharType="begin"/>
    </w:r>
    <w:r>
      <w:rPr>
        <w:b/>
        <w:bCs/>
      </w:rPr>
      <w:instrText xml:space="preserve"> DOCPROPERTY "Header" \* MERGEFORMAT </w:instrText>
    </w:r>
    <w:r>
      <w:rPr>
        <w:b/>
        <w:bCs/>
      </w:rPr>
      <w:fldChar w:fldCharType="separate"/>
    </w:r>
    <w:r w:rsidR="00887228">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sidR="00FB27A2">
      <w:rPr>
        <w:b/>
        <w:bCs/>
        <w:noProof/>
      </w:rPr>
      <w:t>UIT-R  F.2172-0</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w:t>
    </w:r>
    <w:r>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F63AB" w14:textId="34751692" w:rsidR="00607D68" w:rsidRDefault="00607D68">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2</w:t>
    </w:r>
    <w:r>
      <w:rPr>
        <w:rStyle w:val="PageNumber"/>
        <w:b/>
        <w:bCs/>
      </w:rPr>
      <w:fldChar w:fldCharType="end"/>
    </w:r>
    <w:r>
      <w:rPr>
        <w:lang w:val="en-US"/>
      </w:rPr>
      <w:tab/>
    </w:r>
    <w:r w:rsidR="009E00A8">
      <w:rPr>
        <w:lang w:val="fr-FR"/>
      </w:rPr>
      <w:fldChar w:fldCharType="begin"/>
    </w:r>
    <w:r w:rsidR="009E00A8" w:rsidRPr="009E00A8">
      <w:rPr>
        <w:lang w:val="en-US"/>
      </w:rPr>
      <w:instrText xml:space="preserve"> DOCPROPERTY "Header" \* MERGEFORMAT </w:instrText>
    </w:r>
    <w:r w:rsidR="009E00A8">
      <w:rPr>
        <w:lang w:val="fr-FR"/>
      </w:rPr>
      <w:fldChar w:fldCharType="separate"/>
    </w:r>
    <w:r w:rsidR="00887228" w:rsidRPr="00887228">
      <w:rPr>
        <w:b/>
        <w:bCs/>
        <w:lang w:val="en-US"/>
      </w:rPr>
      <w:t xml:space="preserve">Rec. </w:t>
    </w:r>
    <w:r w:rsidR="009E00A8">
      <w:rPr>
        <w:b/>
        <w:bCs/>
        <w:lang w:val="en-US"/>
      </w:rPr>
      <w:fldChar w:fldCharType="end"/>
    </w:r>
    <w:r w:rsidRPr="009E00A8">
      <w:rPr>
        <w:b/>
        <w:bCs/>
        <w:lang w:val="en-US"/>
      </w:rPr>
      <w:t xml:space="preserve"> </w:t>
    </w:r>
    <w:r>
      <w:rPr>
        <w:b/>
        <w:bCs/>
      </w:rPr>
      <w:fldChar w:fldCharType="begin"/>
    </w:r>
    <w:r>
      <w:rPr>
        <w:b/>
        <w:bCs/>
        <w:lang w:val="en-US"/>
      </w:rPr>
      <w:instrText>styleref href</w:instrText>
    </w:r>
    <w:r>
      <w:rPr>
        <w:b/>
        <w:bCs/>
      </w:rPr>
      <w:fldChar w:fldCharType="separate"/>
    </w:r>
    <w:r w:rsidR="00FB27A2">
      <w:rPr>
        <w:b/>
        <w:bCs/>
        <w:noProof/>
        <w:lang w:val="en-US"/>
      </w:rPr>
      <w:t>UIT-R  F.2172-0</w:t>
    </w:r>
    <w:r>
      <w:rPr>
        <w:b/>
        <w:bC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embedSystemFonts/>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fr-CH" w:vendorID="64" w:dllVersion="0" w:nlCheck="1" w:checkStyle="0"/>
  <w:activeWritingStyle w:appName="MSWord" w:lang="es-ES_tradnl"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19"/>
    <w:rsid w:val="001C7D89"/>
    <w:rsid w:val="0021790E"/>
    <w:rsid w:val="00217EBF"/>
    <w:rsid w:val="00242AEE"/>
    <w:rsid w:val="002D76C4"/>
    <w:rsid w:val="00322E65"/>
    <w:rsid w:val="003A14DD"/>
    <w:rsid w:val="003E06C7"/>
    <w:rsid w:val="00471EAB"/>
    <w:rsid w:val="00475F79"/>
    <w:rsid w:val="0048621B"/>
    <w:rsid w:val="004D714A"/>
    <w:rsid w:val="0052529D"/>
    <w:rsid w:val="00581228"/>
    <w:rsid w:val="00607D68"/>
    <w:rsid w:val="00716890"/>
    <w:rsid w:val="007468DA"/>
    <w:rsid w:val="00780388"/>
    <w:rsid w:val="007B3CF6"/>
    <w:rsid w:val="007E699C"/>
    <w:rsid w:val="00887228"/>
    <w:rsid w:val="008B557A"/>
    <w:rsid w:val="009C25F1"/>
    <w:rsid w:val="009E00A8"/>
    <w:rsid w:val="009F4234"/>
    <w:rsid w:val="00A6617B"/>
    <w:rsid w:val="00AB0DC8"/>
    <w:rsid w:val="00B0230F"/>
    <w:rsid w:val="00B44E24"/>
    <w:rsid w:val="00C27920"/>
    <w:rsid w:val="00C31B19"/>
    <w:rsid w:val="00DC2B47"/>
    <w:rsid w:val="00DF4176"/>
    <w:rsid w:val="00F42AC4"/>
    <w:rsid w:val="00FB27A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9F62CC"/>
  <w15:docId w15:val="{D28B5501-2DEA-4983-853B-A97F92D4F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1B19"/>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en-GB" w:eastAsia="en-US"/>
    </w:rPr>
  </w:style>
  <w:style w:type="paragraph" w:styleId="Heading1">
    <w:name w:val="heading 1"/>
    <w:basedOn w:val="Normal"/>
    <w:next w:val="Normal"/>
    <w:link w:val="Heading1Char"/>
    <w:qFormat/>
    <w:rsid w:val="00C31B19"/>
    <w:pPr>
      <w:keepNext/>
      <w:keepLines/>
      <w:spacing w:before="480"/>
      <w:ind w:left="794" w:hanging="794"/>
      <w:outlineLvl w:val="0"/>
    </w:pPr>
    <w:rPr>
      <w:b/>
    </w:rPr>
  </w:style>
  <w:style w:type="paragraph" w:styleId="Heading2">
    <w:name w:val="heading 2"/>
    <w:basedOn w:val="Heading1"/>
    <w:next w:val="Normal"/>
    <w:qFormat/>
    <w:rsid w:val="00C31B19"/>
    <w:pPr>
      <w:spacing w:before="320"/>
      <w:outlineLvl w:val="1"/>
    </w:pPr>
  </w:style>
  <w:style w:type="paragraph" w:styleId="Heading3">
    <w:name w:val="heading 3"/>
    <w:basedOn w:val="Heading1"/>
    <w:next w:val="Normal"/>
    <w:qFormat/>
    <w:rsid w:val="00C31B19"/>
    <w:pPr>
      <w:spacing w:before="200"/>
      <w:outlineLvl w:val="2"/>
    </w:pPr>
  </w:style>
  <w:style w:type="paragraph" w:styleId="Heading4">
    <w:name w:val="heading 4"/>
    <w:basedOn w:val="Heading3"/>
    <w:next w:val="Normal"/>
    <w:qFormat/>
    <w:rsid w:val="00C31B19"/>
    <w:pPr>
      <w:tabs>
        <w:tab w:val="clear" w:pos="794"/>
        <w:tab w:val="left" w:pos="992"/>
      </w:tabs>
      <w:ind w:left="992" w:hanging="992"/>
      <w:outlineLvl w:val="3"/>
    </w:pPr>
  </w:style>
  <w:style w:type="paragraph" w:styleId="Heading5">
    <w:name w:val="heading 5"/>
    <w:basedOn w:val="Heading4"/>
    <w:next w:val="Normal"/>
    <w:qFormat/>
    <w:rsid w:val="00C31B19"/>
    <w:pPr>
      <w:outlineLvl w:val="4"/>
    </w:pPr>
  </w:style>
  <w:style w:type="paragraph" w:styleId="Heading6">
    <w:name w:val="heading 6"/>
    <w:basedOn w:val="Heading4"/>
    <w:next w:val="Normal"/>
    <w:qFormat/>
    <w:rsid w:val="00C31B19"/>
    <w:pPr>
      <w:tabs>
        <w:tab w:val="clear" w:pos="992"/>
        <w:tab w:val="clear" w:pos="1191"/>
      </w:tabs>
      <w:ind w:left="1588" w:hanging="1588"/>
      <w:outlineLvl w:val="5"/>
    </w:pPr>
  </w:style>
  <w:style w:type="paragraph" w:styleId="Heading7">
    <w:name w:val="heading 7"/>
    <w:basedOn w:val="Heading6"/>
    <w:next w:val="Normal"/>
    <w:qFormat/>
    <w:rsid w:val="00C31B19"/>
    <w:pPr>
      <w:outlineLvl w:val="6"/>
    </w:pPr>
  </w:style>
  <w:style w:type="paragraph" w:styleId="Heading8">
    <w:name w:val="heading 8"/>
    <w:basedOn w:val="Heading6"/>
    <w:next w:val="Normal"/>
    <w:qFormat/>
    <w:rsid w:val="00C31B19"/>
    <w:pPr>
      <w:outlineLvl w:val="7"/>
    </w:pPr>
  </w:style>
  <w:style w:type="paragraph" w:styleId="Heading9">
    <w:name w:val="heading 9"/>
    <w:basedOn w:val="Heading6"/>
    <w:next w:val="Normal"/>
    <w:qFormat/>
    <w:rsid w:val="00C31B19"/>
    <w:pPr>
      <w:jc w:val="left"/>
      <w:outlineLvl w:val="8"/>
    </w:pPr>
  </w:style>
  <w:style w:type="character" w:default="1" w:styleId="DefaultParagraphFont">
    <w:name w:val="Default Paragraph Font"/>
    <w:uiPriority w:val="1"/>
    <w:unhideWhenUsed/>
    <w:rsid w:val="00C31B1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31B19"/>
  </w:style>
  <w:style w:type="paragraph" w:styleId="Header">
    <w:name w:val="header"/>
    <w:basedOn w:val="Normal"/>
    <w:link w:val="HeaderChar"/>
    <w:rsid w:val="00C31B19"/>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rsid w:val="00C31B19"/>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C31B19"/>
  </w:style>
  <w:style w:type="paragraph" w:customStyle="1" w:styleId="Headingb">
    <w:name w:val="Heading_b"/>
    <w:basedOn w:val="Heading3"/>
    <w:next w:val="Normal"/>
    <w:rsid w:val="00C31B19"/>
    <w:pPr>
      <w:spacing w:before="160"/>
      <w:ind w:left="0" w:firstLine="0"/>
      <w:outlineLvl w:val="9"/>
    </w:pPr>
  </w:style>
  <w:style w:type="paragraph" w:customStyle="1" w:styleId="Headingi">
    <w:name w:val="Heading_i"/>
    <w:basedOn w:val="Heading3"/>
    <w:next w:val="Normal"/>
    <w:rsid w:val="00C31B19"/>
    <w:pPr>
      <w:spacing w:before="160"/>
      <w:ind w:left="0" w:firstLine="0"/>
    </w:pPr>
    <w:rPr>
      <w:b w:val="0"/>
      <w:i/>
    </w:rPr>
  </w:style>
  <w:style w:type="character" w:customStyle="1" w:styleId="href">
    <w:name w:val="href"/>
    <w:basedOn w:val="DefaultParagraphFont"/>
    <w:rsid w:val="00C31B19"/>
  </w:style>
  <w:style w:type="paragraph" w:customStyle="1" w:styleId="enumlev1">
    <w:name w:val="enumlev1"/>
    <w:basedOn w:val="Normal"/>
    <w:link w:val="enumlev1Char"/>
    <w:rsid w:val="00C31B19"/>
    <w:pPr>
      <w:spacing w:before="80"/>
      <w:ind w:left="794" w:hanging="794"/>
    </w:pPr>
  </w:style>
  <w:style w:type="paragraph" w:customStyle="1" w:styleId="enumlev2">
    <w:name w:val="enumlev2"/>
    <w:basedOn w:val="enumlev1"/>
    <w:rsid w:val="00C31B19"/>
    <w:pPr>
      <w:ind w:left="1191" w:hanging="397"/>
    </w:pPr>
  </w:style>
  <w:style w:type="paragraph" w:customStyle="1" w:styleId="enumlev3">
    <w:name w:val="enumlev3"/>
    <w:basedOn w:val="enumlev2"/>
    <w:rsid w:val="00C31B19"/>
    <w:pPr>
      <w:ind w:left="1588"/>
    </w:pPr>
  </w:style>
  <w:style w:type="paragraph" w:customStyle="1" w:styleId="Normalaftertitle">
    <w:name w:val="Normal_after_title"/>
    <w:basedOn w:val="Normal"/>
    <w:next w:val="Normal"/>
    <w:rsid w:val="00C31B19"/>
    <w:pPr>
      <w:spacing w:before="320"/>
    </w:pPr>
  </w:style>
  <w:style w:type="paragraph" w:customStyle="1" w:styleId="Note">
    <w:name w:val="Note"/>
    <w:basedOn w:val="Normal"/>
    <w:rsid w:val="00C31B19"/>
    <w:pPr>
      <w:tabs>
        <w:tab w:val="clear" w:pos="794"/>
        <w:tab w:val="clear" w:pos="1191"/>
        <w:tab w:val="clear" w:pos="1588"/>
        <w:tab w:val="clear" w:pos="1985"/>
      </w:tabs>
      <w:spacing w:before="80"/>
    </w:pPr>
    <w:rPr>
      <w:sz w:val="22"/>
    </w:rPr>
  </w:style>
  <w:style w:type="paragraph" w:customStyle="1" w:styleId="RecNo">
    <w:name w:val="Rec_No"/>
    <w:basedOn w:val="Normal"/>
    <w:next w:val="Rectitle"/>
    <w:rsid w:val="00C31B19"/>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C31B19"/>
    <w:pPr>
      <w:spacing w:before="240"/>
    </w:pPr>
    <w:rPr>
      <w:sz w:val="22"/>
      <w:lang w:val="es-ES_tradnl"/>
    </w:rPr>
  </w:style>
  <w:style w:type="paragraph" w:customStyle="1" w:styleId="Recref">
    <w:name w:val="Rec_ref"/>
    <w:basedOn w:val="Normal"/>
    <w:next w:val="Recdate"/>
    <w:rsid w:val="00C31B19"/>
    <w:pPr>
      <w:jc w:val="center"/>
    </w:pPr>
  </w:style>
  <w:style w:type="paragraph" w:customStyle="1" w:styleId="Recdate">
    <w:name w:val="Rec_date"/>
    <w:basedOn w:val="Recref"/>
    <w:next w:val="Normalaftertitle"/>
    <w:rsid w:val="00C31B19"/>
    <w:pPr>
      <w:jc w:val="right"/>
    </w:pPr>
  </w:style>
  <w:style w:type="paragraph" w:customStyle="1" w:styleId="AnnexNoTitle">
    <w:name w:val="Annex_NoTitle"/>
    <w:basedOn w:val="Normal"/>
    <w:next w:val="Normalaftertitle"/>
    <w:rsid w:val="00C31B19"/>
    <w:pPr>
      <w:keepNext/>
      <w:keepLines/>
      <w:spacing w:before="480" w:after="80"/>
      <w:jc w:val="center"/>
    </w:pPr>
    <w:rPr>
      <w:b/>
      <w:sz w:val="28"/>
    </w:rPr>
  </w:style>
  <w:style w:type="paragraph" w:customStyle="1" w:styleId="AppendixNoTitle">
    <w:name w:val="Appendix_NoTitle"/>
    <w:basedOn w:val="AnnexNoTitle"/>
    <w:next w:val="Normal"/>
    <w:rsid w:val="00C31B19"/>
  </w:style>
  <w:style w:type="paragraph" w:customStyle="1" w:styleId="Tablefin">
    <w:name w:val="Table_fin"/>
    <w:basedOn w:val="Normal"/>
    <w:next w:val="Normal"/>
    <w:rsid w:val="00C31B19"/>
    <w:pPr>
      <w:spacing w:before="0"/>
    </w:pPr>
    <w:rPr>
      <w:sz w:val="20"/>
    </w:rPr>
  </w:style>
  <w:style w:type="paragraph" w:customStyle="1" w:styleId="Tablehead">
    <w:name w:val="Table_head"/>
    <w:basedOn w:val="Normal"/>
    <w:next w:val="Normal"/>
    <w:rsid w:val="00C31B1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C31B1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rsid w:val="00C31B19"/>
    <w:pPr>
      <w:keepNext/>
      <w:spacing w:before="360" w:after="120"/>
      <w:jc w:val="center"/>
    </w:pPr>
  </w:style>
  <w:style w:type="paragraph" w:customStyle="1" w:styleId="Tabletext">
    <w:name w:val="Table_text"/>
    <w:basedOn w:val="Normal"/>
    <w:rsid w:val="00C31B1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rsid w:val="00C31B19"/>
    <w:pPr>
      <w:tabs>
        <w:tab w:val="clear" w:pos="1191"/>
        <w:tab w:val="clear" w:pos="1588"/>
        <w:tab w:val="clear" w:pos="1985"/>
        <w:tab w:val="center" w:pos="4820"/>
        <w:tab w:val="right" w:pos="9639"/>
      </w:tabs>
    </w:pPr>
  </w:style>
  <w:style w:type="paragraph" w:customStyle="1" w:styleId="Equationlegend">
    <w:name w:val="Equation_legend"/>
    <w:basedOn w:val="NormalIndent"/>
    <w:rsid w:val="00C31B19"/>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C31B19"/>
    <w:pPr>
      <w:ind w:left="794"/>
    </w:pPr>
  </w:style>
  <w:style w:type="paragraph" w:customStyle="1" w:styleId="Figurelegend">
    <w:name w:val="Figure_legend"/>
    <w:basedOn w:val="Normal"/>
    <w:rsid w:val="00C31B19"/>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C31B19"/>
    <w:pPr>
      <w:keepNext/>
      <w:keepLines/>
      <w:spacing w:before="480" w:after="80"/>
      <w:jc w:val="center"/>
    </w:pPr>
    <w:rPr>
      <w:caps/>
      <w:sz w:val="18"/>
    </w:rPr>
  </w:style>
  <w:style w:type="paragraph" w:customStyle="1" w:styleId="tocpart">
    <w:name w:val="tocpart"/>
    <w:basedOn w:val="Normal"/>
    <w:rsid w:val="00C31B19"/>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C31B19"/>
    <w:pPr>
      <w:keepNext/>
      <w:keepLines/>
      <w:spacing w:before="480"/>
      <w:jc w:val="center"/>
    </w:pPr>
    <w:rPr>
      <w:sz w:val="28"/>
    </w:rPr>
  </w:style>
  <w:style w:type="paragraph" w:customStyle="1" w:styleId="Arttitle">
    <w:name w:val="Art_title"/>
    <w:basedOn w:val="Normal"/>
    <w:next w:val="Normalaftertitle"/>
    <w:rsid w:val="00C31B19"/>
    <w:pPr>
      <w:keepNext/>
      <w:keepLines/>
      <w:spacing w:before="240"/>
      <w:jc w:val="center"/>
    </w:pPr>
    <w:rPr>
      <w:b/>
      <w:sz w:val="28"/>
    </w:rPr>
  </w:style>
  <w:style w:type="paragraph" w:customStyle="1" w:styleId="Blanc">
    <w:name w:val="Blanc"/>
    <w:basedOn w:val="Normal"/>
    <w:next w:val="Tabletext"/>
    <w:rsid w:val="00C31B19"/>
    <w:pPr>
      <w:keepNext/>
      <w:keepLines/>
      <w:tabs>
        <w:tab w:val="clear" w:pos="794"/>
        <w:tab w:val="clear" w:pos="1191"/>
        <w:tab w:val="clear" w:pos="1588"/>
        <w:tab w:val="clear" w:pos="1985"/>
      </w:tabs>
      <w:spacing w:before="0"/>
    </w:pPr>
    <w:rPr>
      <w:sz w:val="16"/>
    </w:rPr>
  </w:style>
  <w:style w:type="paragraph" w:customStyle="1" w:styleId="ASN1">
    <w:name w:val="ASN.1"/>
    <w:basedOn w:val="Normal"/>
    <w:next w:val="Normal"/>
    <w:rsid w:val="00C31B19"/>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rsid w:val="00C31B19"/>
    <w:pPr>
      <w:keepNext/>
      <w:keepLines/>
      <w:spacing w:before="160"/>
      <w:ind w:left="794"/>
    </w:pPr>
    <w:rPr>
      <w:i/>
    </w:rPr>
  </w:style>
  <w:style w:type="paragraph" w:customStyle="1" w:styleId="ChapNo">
    <w:name w:val="Chap_No"/>
    <w:basedOn w:val="ArtNo"/>
    <w:next w:val="Chaptitle"/>
    <w:rsid w:val="00C31B19"/>
    <w:rPr>
      <w:b/>
    </w:rPr>
  </w:style>
  <w:style w:type="paragraph" w:customStyle="1" w:styleId="Chaptitle">
    <w:name w:val="Chap_title"/>
    <w:basedOn w:val="Arttitle"/>
    <w:next w:val="Normalaftertitle"/>
    <w:rsid w:val="00C31B19"/>
  </w:style>
  <w:style w:type="character" w:styleId="FootnoteReference">
    <w:name w:val="footnote reference"/>
    <w:basedOn w:val="DefaultParagraphFont"/>
    <w:semiHidden/>
    <w:rsid w:val="00C31B19"/>
    <w:rPr>
      <w:position w:val="6"/>
      <w:sz w:val="18"/>
    </w:rPr>
  </w:style>
  <w:style w:type="paragraph" w:styleId="FootnoteText">
    <w:name w:val="footnote text"/>
    <w:basedOn w:val="Normal"/>
    <w:semiHidden/>
    <w:rsid w:val="00C31B19"/>
    <w:pPr>
      <w:keepLines/>
      <w:tabs>
        <w:tab w:val="left" w:pos="255"/>
      </w:tabs>
      <w:ind w:left="255" w:hanging="255"/>
    </w:pPr>
    <w:rPr>
      <w:sz w:val="22"/>
    </w:rPr>
  </w:style>
  <w:style w:type="paragraph" w:styleId="Index1">
    <w:name w:val="index 1"/>
    <w:basedOn w:val="Normal"/>
    <w:next w:val="Normal"/>
    <w:semiHidden/>
    <w:rsid w:val="00C31B19"/>
  </w:style>
  <w:style w:type="paragraph" w:styleId="Index2">
    <w:name w:val="index 2"/>
    <w:basedOn w:val="Normal"/>
    <w:next w:val="Normal"/>
    <w:semiHidden/>
    <w:rsid w:val="00C31B19"/>
    <w:pPr>
      <w:ind w:left="283"/>
    </w:pPr>
  </w:style>
  <w:style w:type="paragraph" w:styleId="Index3">
    <w:name w:val="index 3"/>
    <w:basedOn w:val="Normal"/>
    <w:next w:val="Normal"/>
    <w:semiHidden/>
    <w:rsid w:val="00C31B19"/>
    <w:pPr>
      <w:ind w:left="566"/>
    </w:pPr>
  </w:style>
  <w:style w:type="paragraph" w:styleId="IndexHeading">
    <w:name w:val="index heading"/>
    <w:basedOn w:val="Normal"/>
    <w:next w:val="Index1"/>
    <w:semiHidden/>
    <w:rsid w:val="00C31B19"/>
  </w:style>
  <w:style w:type="paragraph" w:customStyle="1" w:styleId="Line">
    <w:name w:val="Line"/>
    <w:basedOn w:val="Normal"/>
    <w:next w:val="Normal"/>
    <w:rsid w:val="00C31B19"/>
    <w:pPr>
      <w:pBdr>
        <w:top w:val="single" w:sz="6" w:space="1" w:color="auto"/>
      </w:pBdr>
      <w:tabs>
        <w:tab w:val="clear" w:pos="794"/>
        <w:tab w:val="clear" w:pos="1191"/>
        <w:tab w:val="clear" w:pos="1588"/>
        <w:tab w:val="clear" w:pos="1985"/>
      </w:tabs>
      <w:spacing w:before="240"/>
      <w:ind w:left="3997" w:right="3997"/>
      <w:jc w:val="center"/>
    </w:pPr>
    <w:rPr>
      <w:sz w:val="20"/>
    </w:rPr>
  </w:style>
  <w:style w:type="paragraph" w:customStyle="1" w:styleId="toctemp">
    <w:name w:val="toctemp"/>
    <w:basedOn w:val="Normal"/>
    <w:rsid w:val="00C31B19"/>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C31B19"/>
  </w:style>
  <w:style w:type="paragraph" w:customStyle="1" w:styleId="Partref">
    <w:name w:val="Part_ref"/>
    <w:basedOn w:val="Normal"/>
    <w:next w:val="Normal"/>
    <w:rsid w:val="00C31B19"/>
    <w:pPr>
      <w:keepNext/>
      <w:keepLines/>
      <w:spacing w:after="280"/>
      <w:jc w:val="center"/>
    </w:pPr>
  </w:style>
  <w:style w:type="paragraph" w:customStyle="1" w:styleId="Parttitle">
    <w:name w:val="Part_title"/>
    <w:basedOn w:val="Normal"/>
    <w:next w:val="Normalaftertitle"/>
    <w:rsid w:val="00C31B19"/>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C31B19"/>
  </w:style>
  <w:style w:type="paragraph" w:customStyle="1" w:styleId="QuestionNo">
    <w:name w:val="Question_No"/>
    <w:basedOn w:val="RecNo"/>
    <w:next w:val="Normal"/>
    <w:rsid w:val="00C31B19"/>
  </w:style>
  <w:style w:type="paragraph" w:customStyle="1" w:styleId="Questionref">
    <w:name w:val="Question_ref"/>
    <w:basedOn w:val="Recref"/>
    <w:next w:val="Questiondate"/>
    <w:rsid w:val="00C31B19"/>
  </w:style>
  <w:style w:type="paragraph" w:customStyle="1" w:styleId="Questiontitle">
    <w:name w:val="Question_title"/>
    <w:basedOn w:val="Normal"/>
    <w:next w:val="Questionref"/>
    <w:rsid w:val="00C31B19"/>
  </w:style>
  <w:style w:type="paragraph" w:customStyle="1" w:styleId="Reftext">
    <w:name w:val="Ref_text"/>
    <w:basedOn w:val="Normal"/>
    <w:rsid w:val="00C31B19"/>
    <w:pPr>
      <w:ind w:left="794" w:hanging="794"/>
    </w:pPr>
    <w:rPr>
      <w:sz w:val="22"/>
    </w:rPr>
  </w:style>
  <w:style w:type="paragraph" w:customStyle="1" w:styleId="Reftitle">
    <w:name w:val="Ref_title"/>
    <w:basedOn w:val="Normal"/>
    <w:next w:val="Reftext"/>
    <w:rsid w:val="00C31B19"/>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C31B19"/>
  </w:style>
  <w:style w:type="paragraph" w:customStyle="1" w:styleId="RepNo">
    <w:name w:val="Rep_No"/>
    <w:basedOn w:val="RecNo"/>
    <w:next w:val="Reptitle"/>
    <w:rsid w:val="00C31B19"/>
  </w:style>
  <w:style w:type="paragraph" w:customStyle="1" w:styleId="Repref">
    <w:name w:val="Rep_ref"/>
    <w:basedOn w:val="Recref"/>
    <w:next w:val="Repdate"/>
    <w:rsid w:val="00C31B19"/>
  </w:style>
  <w:style w:type="paragraph" w:customStyle="1" w:styleId="Reptitle">
    <w:name w:val="Rep_title"/>
    <w:basedOn w:val="Rectitle"/>
    <w:next w:val="Repref"/>
    <w:rsid w:val="00C31B19"/>
  </w:style>
  <w:style w:type="paragraph" w:customStyle="1" w:styleId="Resdate">
    <w:name w:val="Res_date"/>
    <w:basedOn w:val="Recdate"/>
    <w:next w:val="Normalaftertitle"/>
    <w:rsid w:val="00C31B19"/>
  </w:style>
  <w:style w:type="paragraph" w:customStyle="1" w:styleId="ResNo">
    <w:name w:val="Res_No"/>
    <w:basedOn w:val="RecNo"/>
    <w:next w:val="Restitle"/>
    <w:rsid w:val="00C31B19"/>
  </w:style>
  <w:style w:type="paragraph" w:customStyle="1" w:styleId="Resref">
    <w:name w:val="Res_ref"/>
    <w:basedOn w:val="Recref"/>
    <w:next w:val="Resdate"/>
    <w:rsid w:val="00C31B19"/>
  </w:style>
  <w:style w:type="paragraph" w:customStyle="1" w:styleId="Restitle">
    <w:name w:val="Res_title"/>
    <w:basedOn w:val="Normal"/>
    <w:next w:val="Resref"/>
    <w:rsid w:val="00C31B19"/>
    <w:pPr>
      <w:spacing w:before="240"/>
      <w:jc w:val="center"/>
    </w:pPr>
    <w:rPr>
      <w:b/>
      <w:sz w:val="28"/>
    </w:rPr>
  </w:style>
  <w:style w:type="paragraph" w:customStyle="1" w:styleId="SectionNo">
    <w:name w:val="Section_No"/>
    <w:basedOn w:val="Normal"/>
    <w:next w:val="Normal"/>
    <w:rsid w:val="00C31B19"/>
  </w:style>
  <w:style w:type="paragraph" w:customStyle="1" w:styleId="Sectiontitle">
    <w:name w:val="Section_title"/>
    <w:basedOn w:val="Normal"/>
    <w:next w:val="Normalaftertitle"/>
    <w:rsid w:val="00C31B19"/>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C31B19"/>
    <w:pPr>
      <w:tabs>
        <w:tab w:val="clear" w:pos="794"/>
        <w:tab w:val="clear" w:pos="1191"/>
        <w:tab w:val="clear" w:pos="1588"/>
        <w:tab w:val="clear" w:pos="1985"/>
        <w:tab w:val="right" w:pos="9611"/>
      </w:tabs>
    </w:pPr>
    <w:rPr>
      <w:i/>
    </w:rPr>
  </w:style>
  <w:style w:type="paragraph" w:styleId="TOC1">
    <w:name w:val="toc 1"/>
    <w:basedOn w:val="Normal"/>
    <w:semiHidden/>
    <w:rsid w:val="00C31B19"/>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rsid w:val="00C31B19"/>
    <w:pPr>
      <w:tabs>
        <w:tab w:val="clear" w:pos="567"/>
        <w:tab w:val="left" w:pos="1276"/>
      </w:tabs>
      <w:spacing w:before="160"/>
      <w:ind w:left="1276" w:hanging="709"/>
    </w:pPr>
  </w:style>
  <w:style w:type="paragraph" w:styleId="TOC3">
    <w:name w:val="toc 3"/>
    <w:basedOn w:val="TOC2"/>
    <w:semiHidden/>
    <w:rsid w:val="00C31B19"/>
    <w:pPr>
      <w:tabs>
        <w:tab w:val="clear" w:pos="1276"/>
        <w:tab w:val="left" w:pos="2155"/>
      </w:tabs>
      <w:ind w:left="2155" w:hanging="879"/>
    </w:pPr>
  </w:style>
  <w:style w:type="paragraph" w:styleId="TOC4">
    <w:name w:val="toc 4"/>
    <w:basedOn w:val="TOC3"/>
    <w:semiHidden/>
    <w:rsid w:val="00C31B19"/>
    <w:pPr>
      <w:tabs>
        <w:tab w:val="left" w:pos="3261"/>
      </w:tabs>
      <w:spacing w:before="80"/>
      <w:ind w:left="3261" w:hanging="993"/>
    </w:pPr>
  </w:style>
  <w:style w:type="paragraph" w:styleId="TOC5">
    <w:name w:val="toc 5"/>
    <w:basedOn w:val="TOC4"/>
    <w:semiHidden/>
    <w:rsid w:val="00C31B19"/>
  </w:style>
  <w:style w:type="paragraph" w:styleId="TOC6">
    <w:name w:val="toc 6"/>
    <w:basedOn w:val="TOC4"/>
    <w:semiHidden/>
    <w:rsid w:val="00C31B19"/>
  </w:style>
  <w:style w:type="paragraph" w:styleId="TOC7">
    <w:name w:val="toc 7"/>
    <w:basedOn w:val="TOC4"/>
    <w:semiHidden/>
    <w:rsid w:val="00C31B19"/>
  </w:style>
  <w:style w:type="paragraph" w:styleId="TOC8">
    <w:name w:val="toc 8"/>
    <w:basedOn w:val="TOC4"/>
    <w:semiHidden/>
    <w:rsid w:val="00C31B19"/>
  </w:style>
  <w:style w:type="paragraph" w:customStyle="1" w:styleId="Rectitle">
    <w:name w:val="Rec_title"/>
    <w:basedOn w:val="Normal"/>
    <w:next w:val="Recref"/>
    <w:rsid w:val="00C31B19"/>
    <w:pPr>
      <w:keepNext/>
      <w:keepLines/>
      <w:spacing w:before="240"/>
      <w:jc w:val="center"/>
    </w:pPr>
    <w:rPr>
      <w:b/>
      <w:sz w:val="28"/>
    </w:rPr>
  </w:style>
  <w:style w:type="paragraph" w:customStyle="1" w:styleId="Annexref">
    <w:name w:val="Annex_ref"/>
    <w:basedOn w:val="Normal"/>
    <w:next w:val="Normalaftertitle"/>
    <w:rsid w:val="00C31B19"/>
    <w:pPr>
      <w:keepNext/>
      <w:keepLines/>
      <w:spacing w:after="280"/>
      <w:jc w:val="center"/>
    </w:pPr>
  </w:style>
  <w:style w:type="paragraph" w:customStyle="1" w:styleId="Appendixref">
    <w:name w:val="Appendix_ref"/>
    <w:basedOn w:val="Annexref"/>
    <w:next w:val="Normalaftertitle"/>
    <w:rsid w:val="00C31B19"/>
  </w:style>
  <w:style w:type="paragraph" w:customStyle="1" w:styleId="Figuretitle">
    <w:name w:val="Figure_title"/>
    <w:basedOn w:val="Normal"/>
    <w:next w:val="Figure"/>
    <w:rsid w:val="00C31B19"/>
    <w:pPr>
      <w:keepNext/>
      <w:spacing w:before="0" w:after="120"/>
      <w:jc w:val="center"/>
    </w:pPr>
    <w:rPr>
      <w:rFonts w:ascii="Times New Roman Bold" w:hAnsi="Times New Roman Bold"/>
      <w:b/>
      <w:sz w:val="18"/>
    </w:rPr>
  </w:style>
  <w:style w:type="paragraph" w:customStyle="1" w:styleId="Tabletitle">
    <w:name w:val="Table_title"/>
    <w:basedOn w:val="Normal"/>
    <w:next w:val="Tablehead"/>
    <w:rsid w:val="00C31B19"/>
    <w:pPr>
      <w:keepNext/>
      <w:spacing w:before="0" w:after="120"/>
      <w:jc w:val="center"/>
    </w:pPr>
    <w:rPr>
      <w:b/>
    </w:rPr>
  </w:style>
  <w:style w:type="paragraph" w:customStyle="1" w:styleId="Summary">
    <w:name w:val="Summary"/>
    <w:basedOn w:val="Normal"/>
    <w:next w:val="Normalaftertitle"/>
    <w:autoRedefine/>
    <w:rsid w:val="00C31B19"/>
    <w:pPr>
      <w:spacing w:after="480"/>
    </w:pPr>
    <w:rPr>
      <w:sz w:val="22"/>
      <w:lang w:val="es-ES_tradnl"/>
    </w:rPr>
  </w:style>
  <w:style w:type="paragraph" w:customStyle="1" w:styleId="TableLegendNote">
    <w:name w:val="Table_Legend_Note"/>
    <w:basedOn w:val="Tablelegend"/>
    <w:next w:val="Tablelegend"/>
    <w:rsid w:val="00C31B19"/>
    <w:pPr>
      <w:ind w:left="-85" w:firstLine="0"/>
    </w:pPr>
    <w:rPr>
      <w:lang w:val="en-US"/>
    </w:rPr>
  </w:style>
  <w:style w:type="paragraph" w:customStyle="1" w:styleId="Figure">
    <w:name w:val="Figure"/>
    <w:basedOn w:val="FigureNo"/>
    <w:next w:val="Normal"/>
    <w:rsid w:val="00C31B19"/>
    <w:pPr>
      <w:keepNext w:val="0"/>
      <w:spacing w:before="0" w:after="240"/>
    </w:pPr>
  </w:style>
  <w:style w:type="character" w:styleId="Hyperlink">
    <w:name w:val="Hyperlink"/>
    <w:aliases w:val="超级链接,ECC Hyperlink"/>
    <w:basedOn w:val="DefaultParagraphFont"/>
    <w:uiPriority w:val="99"/>
    <w:rsid w:val="00C31B19"/>
    <w:rPr>
      <w:color w:val="0000FF"/>
      <w:u w:val="single"/>
    </w:rPr>
  </w:style>
  <w:style w:type="character" w:customStyle="1" w:styleId="HeaderChar">
    <w:name w:val="Header Char"/>
    <w:basedOn w:val="DefaultParagraphFont"/>
    <w:link w:val="Header"/>
    <w:rsid w:val="00C31B19"/>
    <w:rPr>
      <w:sz w:val="24"/>
      <w:lang w:val="en-GB" w:eastAsia="en-US"/>
    </w:rPr>
  </w:style>
  <w:style w:type="table" w:styleId="TableGrid">
    <w:name w:val="Table Grid"/>
    <w:basedOn w:val="TableNormal"/>
    <w:uiPriority w:val="39"/>
    <w:rsid w:val="00C31B19"/>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Number">
    <w:name w:val="Cover Number"/>
    <w:basedOn w:val="Normal"/>
    <w:qFormat/>
    <w:rsid w:val="00C31B19"/>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C31B19"/>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C31B19"/>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C31B19"/>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character" w:customStyle="1" w:styleId="Heading1Char">
    <w:name w:val="Heading 1 Char"/>
    <w:basedOn w:val="DefaultParagraphFont"/>
    <w:link w:val="Heading1"/>
    <w:rsid w:val="00C31B19"/>
    <w:rPr>
      <w:b/>
      <w:sz w:val="24"/>
      <w:lang w:val="en-GB" w:eastAsia="en-US"/>
    </w:rPr>
  </w:style>
  <w:style w:type="character" w:styleId="UnresolvedMention">
    <w:name w:val="Unresolved Mention"/>
    <w:basedOn w:val="DefaultParagraphFont"/>
    <w:uiPriority w:val="99"/>
    <w:semiHidden/>
    <w:unhideWhenUsed/>
    <w:rsid w:val="00B0230F"/>
    <w:rPr>
      <w:color w:val="605E5C"/>
      <w:shd w:val="clear" w:color="auto" w:fill="E1DFDD"/>
    </w:rPr>
  </w:style>
  <w:style w:type="character" w:styleId="CommentReference">
    <w:name w:val="annotation reference"/>
    <w:basedOn w:val="DefaultParagraphFont"/>
    <w:semiHidden/>
    <w:unhideWhenUsed/>
    <w:rsid w:val="00B0230F"/>
    <w:rPr>
      <w:sz w:val="16"/>
      <w:szCs w:val="16"/>
    </w:rPr>
  </w:style>
  <w:style w:type="paragraph" w:styleId="CommentText">
    <w:name w:val="annotation text"/>
    <w:basedOn w:val="Normal"/>
    <w:link w:val="CommentTextChar"/>
    <w:unhideWhenUsed/>
    <w:rsid w:val="00B0230F"/>
    <w:rPr>
      <w:sz w:val="20"/>
    </w:rPr>
  </w:style>
  <w:style w:type="character" w:customStyle="1" w:styleId="CommentTextChar">
    <w:name w:val="Comment Text Char"/>
    <w:basedOn w:val="DefaultParagraphFont"/>
    <w:link w:val="CommentText"/>
    <w:rsid w:val="00B0230F"/>
    <w:rPr>
      <w:lang w:val="en-GB" w:eastAsia="en-US"/>
    </w:rPr>
  </w:style>
  <w:style w:type="paragraph" w:styleId="CommentSubject">
    <w:name w:val="annotation subject"/>
    <w:basedOn w:val="CommentText"/>
    <w:next w:val="CommentText"/>
    <w:link w:val="CommentSubjectChar"/>
    <w:semiHidden/>
    <w:unhideWhenUsed/>
    <w:rsid w:val="00B0230F"/>
    <w:rPr>
      <w:b/>
      <w:bCs/>
    </w:rPr>
  </w:style>
  <w:style w:type="character" w:customStyle="1" w:styleId="CommentSubjectChar">
    <w:name w:val="Comment Subject Char"/>
    <w:basedOn w:val="CommentTextChar"/>
    <w:link w:val="CommentSubject"/>
    <w:semiHidden/>
    <w:rsid w:val="00B0230F"/>
    <w:rPr>
      <w:b/>
      <w:bCs/>
      <w:lang w:val="en-GB" w:eastAsia="en-US"/>
    </w:rPr>
  </w:style>
  <w:style w:type="character" w:customStyle="1" w:styleId="enumlev1Char">
    <w:name w:val="enumlev1 Char"/>
    <w:link w:val="enumlev1"/>
    <w:rsid w:val="003E06C7"/>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yperlink" Target="https://www.itu.int/pub/R-REP-F.2558" TargetMode="Externa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hyperlink" Target="https://www.itu.int/rec/R-REC-P.838/fr" TargetMode="External"/><Relationship Id="rId25"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https://www.itu.int/rec/R-REC-P.676/fr"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tu.int/publ/R-REC/fr" TargetMode="External"/><Relationship Id="rId24"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hyperlink" Target="https://www.itu.int/rec/R-REC-F.1519/fr" TargetMode="External"/><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hyperlink" Target="https://www.itu.int/en/ITU-R/study-groups/Pages/itu-r-patent-information.aspx"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itu.int/pub/R-QUE-SG05.247/fr" TargetMode="External"/><Relationship Id="rId22" Type="http://schemas.openxmlformats.org/officeDocument/2006/relationships/image" Target="media/image6.png"/><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onge\AppData\Roaming\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D7F5F-2A39-457D-9804-4D8D4A2A9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70</TotalTime>
  <Pages>10</Pages>
  <Words>2166</Words>
  <Characters>12292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Recommandation UIT-R F.2172-0 (02/2026) Disposition des canaux radioélectriques et des blocs de fréquences radioélectriques pour les systèmes du service fixe fonctionnant dans les gammes de fréquences 130-134 GHz, 141-148,5 GHz, 151,5-164 GHz et 167-174,8</vt:lpstr>
    </vt:vector>
  </TitlesOfParts>
  <Manager/>
  <Company>ITU</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Recommandation UIT-R F.2172-0 (02/2026) Disposition des canaux radioélectriques et des blocs de fréquences radioélectriques pour les systèmes du service fixe fonctionnant dans les gammes de fréquences 130-134 GHz, 141-148,5 GHz, 151,5-164 GHz et 167-174,8 GHz</dc:title>
  <dc:subject/>
  <dc:creator>French</dc:creator>
  <cp:keywords>130-174,8 GHz, duplex FDD, duplex fFDD, duplex intégral, grille de canaux</cp:keywords>
  <dc:description/>
  <cp:lastModifiedBy>French</cp:lastModifiedBy>
  <cp:revision>17</cp:revision>
  <cp:lastPrinted>2026-04-14T12:54:00Z</cp:lastPrinted>
  <dcterms:created xsi:type="dcterms:W3CDTF">2026-04-14T11:36:00Z</dcterms:created>
  <dcterms:modified xsi:type="dcterms:W3CDTF">2026-04-14T13:04:00Z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