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FE51" w14:textId="77777777" w:rsidR="00177AD5" w:rsidRDefault="00177AD5" w:rsidP="00177AD5"/>
    <w:p w14:paraId="6B3F3E9E" w14:textId="77777777" w:rsidR="00177AD5" w:rsidRDefault="00177AD5" w:rsidP="00177AD5">
      <w:pPr>
        <w:tabs>
          <w:tab w:val="clear" w:pos="794"/>
          <w:tab w:val="clear" w:pos="1191"/>
          <w:tab w:val="clear" w:pos="1588"/>
          <w:tab w:val="clear" w:pos="1985"/>
        </w:tabs>
      </w:pPr>
    </w:p>
    <w:p w14:paraId="74522164" w14:textId="77777777" w:rsidR="00177AD5" w:rsidRPr="004E1A67" w:rsidRDefault="00177AD5" w:rsidP="00177AD5">
      <w:pPr>
        <w:pStyle w:val="CoverNumber"/>
        <w:rPr>
          <w:lang w:val="en-GB"/>
        </w:rPr>
      </w:pPr>
      <w:r w:rsidRPr="004E1A67">
        <w:rPr>
          <w:lang w:val="en-GB"/>
        </w:rPr>
        <w:t>Recommendation ITU-R F.2172-0</w:t>
      </w:r>
    </w:p>
    <w:p w14:paraId="0DD7EC0C" w14:textId="7571BBAB" w:rsidR="00177AD5" w:rsidRPr="00C33CB8" w:rsidRDefault="00177AD5" w:rsidP="00177AD5">
      <w:pPr>
        <w:pStyle w:val="CoverDate"/>
        <w:rPr>
          <w:lang w:val="en-GB"/>
        </w:rPr>
      </w:pPr>
      <w:r w:rsidRPr="00C33CB8">
        <w:rPr>
          <w:lang w:val="en-GB"/>
        </w:rPr>
        <w:t>(</w:t>
      </w:r>
      <w:r w:rsidR="00C33CB8" w:rsidRPr="00C33CB8">
        <w:rPr>
          <w:lang w:val="en-GB"/>
        </w:rPr>
        <w:t>02</w:t>
      </w:r>
      <w:r w:rsidRPr="00C33CB8">
        <w:rPr>
          <w:lang w:val="en-GB"/>
        </w:rPr>
        <w:t>/</w:t>
      </w:r>
      <w:r w:rsidR="00C33CB8" w:rsidRPr="00C33CB8">
        <w:rPr>
          <w:lang w:val="en-GB"/>
        </w:rPr>
        <w:t>2026</w:t>
      </w:r>
      <w:r w:rsidRPr="00C33CB8">
        <w:rPr>
          <w:lang w:val="en-GB"/>
        </w:rPr>
        <w:t>)</w:t>
      </w:r>
    </w:p>
    <w:p w14:paraId="2F873F6F" w14:textId="77777777" w:rsidR="00177AD5" w:rsidRPr="004A6FEB" w:rsidRDefault="00177AD5" w:rsidP="00177AD5">
      <w:pPr>
        <w:pStyle w:val="CoverSeries"/>
      </w:pPr>
      <w:r>
        <w:t>F</w:t>
      </w:r>
      <w:r w:rsidRPr="00146733">
        <w:t xml:space="preserve"> Series: </w:t>
      </w:r>
      <w:r w:rsidRPr="009C71B9">
        <w:rPr>
          <w:lang w:val="en-GB"/>
        </w:rPr>
        <w:t>Fixed service</w:t>
      </w:r>
    </w:p>
    <w:p w14:paraId="72994C34" w14:textId="5D12BA4C" w:rsidR="00177AD5" w:rsidRPr="004A6FEB" w:rsidRDefault="00C33CB8" w:rsidP="00177AD5">
      <w:pPr>
        <w:pStyle w:val="CoverTitle"/>
      </w:pPr>
      <w:r w:rsidRPr="00A54AC2">
        <w:rPr>
          <w:lang w:eastAsia="zh-CN"/>
        </w:rPr>
        <w:t>Radio-frequency channel and block arrangements for fixed service systems operating in the 130-134 GHz, 141</w:t>
      </w:r>
      <w:r>
        <w:rPr>
          <w:lang w:eastAsia="zh-CN"/>
        </w:rPr>
        <w:noBreakHyphen/>
      </w:r>
      <w:r w:rsidRPr="00A54AC2">
        <w:rPr>
          <w:lang w:eastAsia="zh-CN"/>
        </w:rPr>
        <w:t>148.5</w:t>
      </w:r>
      <w:r>
        <w:rPr>
          <w:lang w:eastAsia="zh-CN"/>
        </w:rPr>
        <w:t> </w:t>
      </w:r>
      <w:r w:rsidRPr="00A54AC2">
        <w:rPr>
          <w:lang w:eastAsia="zh-CN"/>
        </w:rPr>
        <w:t>GHz, 151.5-164 GHz and 167</w:t>
      </w:r>
      <w:r>
        <w:rPr>
          <w:lang w:eastAsia="zh-CN"/>
        </w:rPr>
        <w:noBreakHyphen/>
      </w:r>
      <w:r w:rsidRPr="00A54AC2">
        <w:rPr>
          <w:lang w:eastAsia="zh-CN"/>
        </w:rPr>
        <w:t>174.8 GHz ranges</w:t>
      </w:r>
    </w:p>
    <w:p w14:paraId="7E0D60A5" w14:textId="77777777" w:rsidR="00177AD5" w:rsidRPr="005373E0" w:rsidRDefault="00177AD5" w:rsidP="00177AD5">
      <w:pPr>
        <w:rPr>
          <w:lang w:val="en-US"/>
        </w:rPr>
      </w:pPr>
    </w:p>
    <w:p w14:paraId="6241A096" w14:textId="77777777" w:rsidR="00177AD5" w:rsidRPr="005373E0" w:rsidRDefault="00177AD5" w:rsidP="00177AD5"/>
    <w:p w14:paraId="0ABA8412" w14:textId="77777777" w:rsidR="00177AD5" w:rsidRPr="005373E0" w:rsidRDefault="00177AD5" w:rsidP="00177AD5">
      <w:pPr>
        <w:sectPr w:rsidR="00177AD5" w:rsidRPr="005373E0" w:rsidSect="00177AD5">
          <w:headerReference w:type="even" r:id="rId6"/>
          <w:headerReference w:type="default" r:id="rId7"/>
          <w:footerReference w:type="default" r:id="rId8"/>
          <w:pgSz w:w="11907" w:h="16840" w:code="9"/>
          <w:pgMar w:top="1089" w:right="1089" w:bottom="284" w:left="1089" w:header="737" w:footer="284" w:gutter="0"/>
          <w:pgNumType w:start="1"/>
          <w:cols w:space="720"/>
          <w:docGrid w:linePitch="326"/>
        </w:sectPr>
      </w:pPr>
    </w:p>
    <w:p w14:paraId="30695765" w14:textId="77777777" w:rsidR="00177AD5" w:rsidRPr="00586EF8" w:rsidRDefault="00177AD5" w:rsidP="00177AD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544A81A7" w14:textId="77777777" w:rsidR="00177AD5" w:rsidRDefault="00177AD5" w:rsidP="00177AD5">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495CB3D7" w14:textId="77777777" w:rsidR="00177AD5" w:rsidRDefault="00177AD5" w:rsidP="00177AD5">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046C2696" w14:textId="77777777" w:rsidR="00177AD5" w:rsidRPr="00B714F3" w:rsidRDefault="00177AD5" w:rsidP="00177AD5">
      <w:pPr>
        <w:pStyle w:val="Heading1"/>
        <w:spacing w:before="680"/>
        <w:jc w:val="center"/>
        <w:rPr>
          <w:szCs w:val="24"/>
          <w:lang w:val="en-US"/>
        </w:rPr>
      </w:pPr>
      <w:r w:rsidRPr="00B714F3">
        <w:rPr>
          <w:szCs w:val="24"/>
          <w:lang w:val="en-US"/>
        </w:rPr>
        <w:t>INTELLECTUAL PROPERTY RIGHT</w:t>
      </w:r>
      <w:r>
        <w:rPr>
          <w:szCs w:val="24"/>
          <w:lang w:val="en-US"/>
        </w:rPr>
        <w:t>S</w:t>
      </w:r>
    </w:p>
    <w:p w14:paraId="4410F60C" w14:textId="77777777" w:rsidR="00177AD5" w:rsidRPr="00FE1B04" w:rsidRDefault="00177AD5" w:rsidP="00177AD5">
      <w:pPr>
        <w:rPr>
          <w:sz w:val="20"/>
          <w:lang w:val="en-US"/>
        </w:rPr>
      </w:pPr>
      <w:r w:rsidRPr="00FE1B04">
        <w:rPr>
          <w:sz w:val="20"/>
          <w:lang w:val="en-US"/>
        </w:rPr>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members or others outside of the Recommendation development process.</w:t>
      </w:r>
    </w:p>
    <w:p w14:paraId="59BC14FB" w14:textId="77777777" w:rsidR="00177AD5" w:rsidRPr="00B714F3" w:rsidRDefault="00177AD5" w:rsidP="00177AD5">
      <w:pPr>
        <w:tabs>
          <w:tab w:val="clear" w:pos="794"/>
          <w:tab w:val="clear" w:pos="1191"/>
          <w:tab w:val="clear" w:pos="1588"/>
          <w:tab w:val="clear" w:pos="1985"/>
        </w:tabs>
        <w:rPr>
          <w:sz w:val="20"/>
          <w:lang w:val="en-US"/>
        </w:rPr>
      </w:pPr>
      <w:r w:rsidRPr="00FE1B04">
        <w:rPr>
          <w:sz w:val="20"/>
          <w:lang w:val="en-US"/>
        </w:rPr>
        <w:t xml:space="preserve">As of the date of approval of this Recommendation, ITU had received notice of intellectual property, protected by patents, which may be required to implement this Recommendation. However, implementers are cautioned that this may not represent the latest information and are therefore strongly urged to consult the appropriate ITU-R patent information available at </w:t>
      </w:r>
      <w:hyperlink r:id="rId9" w:history="1">
        <w:r w:rsidRPr="00FE1B04">
          <w:rPr>
            <w:color w:val="0000FF"/>
            <w:sz w:val="20"/>
            <w:u w:val="single"/>
            <w:lang w:val="en-US"/>
          </w:rPr>
          <w:t>https://www.itu.int/en/ITU-R/study-groups/Pages/itu-r-patent-information.aspx</w:t>
        </w:r>
      </w:hyperlink>
      <w:r w:rsidRPr="00B714F3">
        <w:rPr>
          <w:sz w:val="20"/>
          <w:lang w:val="en-US"/>
        </w:rPr>
        <w:t>.</w:t>
      </w:r>
    </w:p>
    <w:p w14:paraId="1F7DCD3C" w14:textId="77777777" w:rsidR="00177AD5" w:rsidRDefault="00177AD5" w:rsidP="00177AD5">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177AD5" w:rsidRPr="005F7CD0" w14:paraId="3D20B3FD" w14:textId="77777777" w:rsidTr="009D478C">
        <w:tc>
          <w:tcPr>
            <w:tcW w:w="9360" w:type="dxa"/>
            <w:gridSpan w:val="2"/>
          </w:tcPr>
          <w:p w14:paraId="3837276D" w14:textId="77777777" w:rsidR="00177AD5" w:rsidRPr="00036EE3" w:rsidRDefault="00177AD5" w:rsidP="009D478C">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36F05604" w14:textId="77777777" w:rsidR="00177AD5" w:rsidRPr="00036EE3" w:rsidRDefault="00177AD5" w:rsidP="009D478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0" w:history="1">
              <w:r>
                <w:rPr>
                  <w:rStyle w:val="Hyperlink"/>
                  <w:b w:val="0"/>
                  <w:sz w:val="18"/>
                  <w:szCs w:val="18"/>
                  <w:lang w:val="en-US"/>
                </w:rPr>
                <w:t>https://www.itu.int/publ/R-REC/en</w:t>
              </w:r>
            </w:hyperlink>
            <w:r w:rsidRPr="00CE0A43">
              <w:rPr>
                <w:b w:val="0"/>
                <w:sz w:val="18"/>
                <w:szCs w:val="18"/>
                <w:lang w:val="en-US"/>
              </w:rPr>
              <w:t>)</w:t>
            </w:r>
          </w:p>
        </w:tc>
      </w:tr>
      <w:tr w:rsidR="00177AD5" w:rsidRPr="00036EE3" w14:paraId="2DDF915E" w14:textId="77777777" w:rsidTr="009D478C">
        <w:tc>
          <w:tcPr>
            <w:tcW w:w="1140" w:type="dxa"/>
            <w:tcBorders>
              <w:bottom w:val="nil"/>
            </w:tcBorders>
            <w:vAlign w:val="bottom"/>
          </w:tcPr>
          <w:p w14:paraId="2AA5D744" w14:textId="77777777" w:rsidR="00177AD5" w:rsidRPr="00036EE3" w:rsidRDefault="00177AD5" w:rsidP="009D478C">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374003D3" w14:textId="77777777" w:rsidR="00177AD5" w:rsidRPr="00036EE3" w:rsidRDefault="00177AD5" w:rsidP="009D478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177AD5" w:rsidRPr="00A4173A" w14:paraId="62F34E47" w14:textId="77777777" w:rsidTr="009D478C">
        <w:tc>
          <w:tcPr>
            <w:tcW w:w="1140" w:type="dxa"/>
            <w:tcBorders>
              <w:top w:val="nil"/>
              <w:bottom w:val="nil"/>
            </w:tcBorders>
          </w:tcPr>
          <w:p w14:paraId="74D88336" w14:textId="77777777" w:rsidR="00177AD5" w:rsidRPr="00A4173A" w:rsidRDefault="00177AD5" w:rsidP="009D478C">
            <w:pPr>
              <w:spacing w:before="30" w:after="30"/>
              <w:ind w:left="57"/>
              <w:jc w:val="left"/>
              <w:rPr>
                <w:b/>
                <w:sz w:val="20"/>
                <w:lang w:val="en-US"/>
              </w:rPr>
            </w:pPr>
            <w:r w:rsidRPr="00A4173A">
              <w:rPr>
                <w:b/>
                <w:sz w:val="20"/>
                <w:lang w:val="en-US"/>
              </w:rPr>
              <w:t>BO</w:t>
            </w:r>
          </w:p>
        </w:tc>
        <w:tc>
          <w:tcPr>
            <w:tcW w:w="8220" w:type="dxa"/>
            <w:tcBorders>
              <w:top w:val="nil"/>
              <w:bottom w:val="nil"/>
            </w:tcBorders>
          </w:tcPr>
          <w:p w14:paraId="312E9412" w14:textId="77777777" w:rsidR="00177AD5" w:rsidRPr="00A4173A" w:rsidRDefault="00177AD5" w:rsidP="009D478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A4173A">
              <w:rPr>
                <w:b w:val="0"/>
                <w:bCs/>
                <w:sz w:val="20"/>
                <w:lang w:val="en-US"/>
              </w:rPr>
              <w:t>Satellite delivery</w:t>
            </w:r>
          </w:p>
        </w:tc>
      </w:tr>
      <w:tr w:rsidR="00177AD5" w:rsidRPr="005F7CD0" w14:paraId="4B53CFD1" w14:textId="77777777" w:rsidTr="009D478C">
        <w:tc>
          <w:tcPr>
            <w:tcW w:w="1140" w:type="dxa"/>
            <w:tcBorders>
              <w:top w:val="nil"/>
            </w:tcBorders>
          </w:tcPr>
          <w:p w14:paraId="2B0EEE88" w14:textId="77777777" w:rsidR="00177AD5" w:rsidRPr="00036EE3" w:rsidRDefault="00177AD5" w:rsidP="009D478C">
            <w:pPr>
              <w:spacing w:before="30" w:after="30"/>
              <w:ind w:left="57"/>
              <w:jc w:val="left"/>
              <w:rPr>
                <w:b/>
                <w:bCs/>
                <w:sz w:val="20"/>
                <w:lang w:val="en-US"/>
              </w:rPr>
            </w:pPr>
            <w:r w:rsidRPr="00036EE3">
              <w:rPr>
                <w:b/>
                <w:bCs/>
                <w:sz w:val="20"/>
                <w:lang w:val="en-US"/>
              </w:rPr>
              <w:t>BR</w:t>
            </w:r>
          </w:p>
        </w:tc>
        <w:tc>
          <w:tcPr>
            <w:tcW w:w="8220" w:type="dxa"/>
            <w:tcBorders>
              <w:top w:val="nil"/>
            </w:tcBorders>
          </w:tcPr>
          <w:p w14:paraId="76E1B118" w14:textId="77777777" w:rsidR="00177AD5" w:rsidRPr="00036EE3" w:rsidRDefault="00177AD5" w:rsidP="009D478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Recording for production, archival and play-out; film for television</w:t>
            </w:r>
          </w:p>
        </w:tc>
      </w:tr>
      <w:tr w:rsidR="00177AD5" w:rsidRPr="00B76D85" w14:paraId="1F04AD65" w14:textId="77777777" w:rsidTr="009D478C">
        <w:tc>
          <w:tcPr>
            <w:tcW w:w="1140" w:type="dxa"/>
            <w:shd w:val="clear" w:color="auto" w:fill="FFFFFF" w:themeFill="background1"/>
          </w:tcPr>
          <w:p w14:paraId="6958668E" w14:textId="77777777" w:rsidR="00177AD5" w:rsidRPr="00192E38" w:rsidRDefault="00177AD5" w:rsidP="009D478C">
            <w:pPr>
              <w:spacing w:before="30" w:after="30"/>
              <w:ind w:left="57"/>
              <w:jc w:val="left"/>
              <w:rPr>
                <w:b/>
                <w:bCs/>
                <w:sz w:val="20"/>
                <w:lang w:val="en-US"/>
              </w:rPr>
            </w:pPr>
            <w:r w:rsidRPr="00192E38">
              <w:rPr>
                <w:b/>
                <w:bCs/>
                <w:sz w:val="20"/>
                <w:lang w:val="en-US"/>
              </w:rPr>
              <w:t>BS</w:t>
            </w:r>
          </w:p>
        </w:tc>
        <w:tc>
          <w:tcPr>
            <w:tcW w:w="8220" w:type="dxa"/>
            <w:shd w:val="clear" w:color="auto" w:fill="FFFFFF" w:themeFill="background1"/>
          </w:tcPr>
          <w:p w14:paraId="7F63496C" w14:textId="77777777" w:rsidR="00177AD5" w:rsidRPr="00192E38" w:rsidRDefault="00177AD5" w:rsidP="009D478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192E38">
              <w:rPr>
                <w:sz w:val="20"/>
                <w:lang w:val="fr-CH"/>
              </w:rPr>
              <w:t>Broadcasting service (</w:t>
            </w:r>
            <w:proofErr w:type="spellStart"/>
            <w:r w:rsidRPr="00192E38">
              <w:rPr>
                <w:sz w:val="20"/>
                <w:lang w:val="fr-CH"/>
              </w:rPr>
              <w:t>sound</w:t>
            </w:r>
            <w:proofErr w:type="spellEnd"/>
            <w:r w:rsidRPr="00192E38">
              <w:rPr>
                <w:sz w:val="20"/>
                <w:lang w:val="fr-CH"/>
              </w:rPr>
              <w:t>)</w:t>
            </w:r>
          </w:p>
        </w:tc>
      </w:tr>
      <w:tr w:rsidR="00177AD5" w:rsidRPr="00ED2695" w14:paraId="4ECD389E" w14:textId="77777777" w:rsidTr="009D478C">
        <w:tc>
          <w:tcPr>
            <w:tcW w:w="1140" w:type="dxa"/>
            <w:shd w:val="clear" w:color="auto" w:fill="FFFFFF" w:themeFill="background1"/>
          </w:tcPr>
          <w:p w14:paraId="117CCA98" w14:textId="77777777" w:rsidR="00177AD5" w:rsidRPr="00E040CD" w:rsidRDefault="00177AD5" w:rsidP="009D478C">
            <w:pPr>
              <w:spacing w:before="30" w:after="30"/>
              <w:ind w:left="57"/>
              <w:jc w:val="left"/>
              <w:rPr>
                <w:b/>
                <w:bCs/>
                <w:sz w:val="20"/>
                <w:lang w:val="en-US"/>
              </w:rPr>
            </w:pPr>
            <w:r w:rsidRPr="00E040CD">
              <w:rPr>
                <w:b/>
                <w:bCs/>
                <w:sz w:val="20"/>
                <w:lang w:val="en-US"/>
              </w:rPr>
              <w:t>BT</w:t>
            </w:r>
          </w:p>
        </w:tc>
        <w:tc>
          <w:tcPr>
            <w:tcW w:w="8220" w:type="dxa"/>
            <w:shd w:val="clear" w:color="auto" w:fill="FFFFFF" w:themeFill="background1"/>
          </w:tcPr>
          <w:p w14:paraId="7B74E6F5" w14:textId="77777777" w:rsidR="00177AD5" w:rsidRPr="00E040CD" w:rsidRDefault="00177AD5" w:rsidP="009D478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040CD">
              <w:rPr>
                <w:b w:val="0"/>
                <w:sz w:val="20"/>
                <w:lang w:val="en-US"/>
              </w:rPr>
              <w:t>Broadcasting service (television)</w:t>
            </w:r>
          </w:p>
        </w:tc>
      </w:tr>
      <w:tr w:rsidR="00177AD5" w:rsidRPr="00036EE3" w14:paraId="0921C577" w14:textId="77777777" w:rsidTr="009D478C">
        <w:tc>
          <w:tcPr>
            <w:tcW w:w="1140" w:type="dxa"/>
            <w:shd w:val="clear" w:color="auto" w:fill="F2F2F2" w:themeFill="background1" w:themeFillShade="F2"/>
          </w:tcPr>
          <w:p w14:paraId="3201E9BB" w14:textId="77777777" w:rsidR="00177AD5" w:rsidRPr="00E040CD" w:rsidRDefault="00177AD5" w:rsidP="009D478C">
            <w:pPr>
              <w:spacing w:before="30" w:after="30"/>
              <w:ind w:left="57"/>
              <w:jc w:val="left"/>
              <w:rPr>
                <w:b/>
                <w:bCs/>
                <w:color w:val="000080"/>
                <w:sz w:val="20"/>
                <w:lang w:val="en-US"/>
              </w:rPr>
            </w:pPr>
            <w:r w:rsidRPr="00E040CD">
              <w:rPr>
                <w:b/>
                <w:bCs/>
                <w:color w:val="000080"/>
                <w:sz w:val="20"/>
                <w:lang w:val="en-US"/>
              </w:rPr>
              <w:t>F</w:t>
            </w:r>
          </w:p>
        </w:tc>
        <w:tc>
          <w:tcPr>
            <w:tcW w:w="8220" w:type="dxa"/>
            <w:shd w:val="clear" w:color="auto" w:fill="F2F2F2" w:themeFill="background1" w:themeFillShade="F2"/>
          </w:tcPr>
          <w:p w14:paraId="0E7066BB" w14:textId="77777777" w:rsidR="00177AD5" w:rsidRPr="00E040CD" w:rsidRDefault="00177AD5" w:rsidP="009D478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
                <w:bCs/>
                <w:color w:val="000080"/>
                <w:sz w:val="20"/>
                <w:lang w:val="en-US"/>
              </w:rPr>
            </w:pPr>
            <w:r w:rsidRPr="00E040CD">
              <w:rPr>
                <w:b/>
                <w:bCs/>
                <w:color w:val="000080"/>
                <w:sz w:val="20"/>
                <w:lang w:val="en-US"/>
              </w:rPr>
              <w:t>Fixed service</w:t>
            </w:r>
          </w:p>
        </w:tc>
      </w:tr>
      <w:tr w:rsidR="00177AD5" w:rsidRPr="00036EE3" w14:paraId="596B0374" w14:textId="77777777" w:rsidTr="009D478C">
        <w:tc>
          <w:tcPr>
            <w:tcW w:w="1140" w:type="dxa"/>
          </w:tcPr>
          <w:p w14:paraId="6FA11C2D" w14:textId="77777777" w:rsidR="00177AD5" w:rsidRPr="00906589" w:rsidRDefault="00177AD5" w:rsidP="009D478C">
            <w:pPr>
              <w:spacing w:before="30" w:after="30"/>
              <w:ind w:left="57"/>
              <w:jc w:val="left"/>
              <w:rPr>
                <w:b/>
                <w:bCs/>
                <w:sz w:val="20"/>
                <w:lang w:val="en-US"/>
              </w:rPr>
            </w:pPr>
            <w:r w:rsidRPr="00906589">
              <w:rPr>
                <w:b/>
                <w:bCs/>
                <w:sz w:val="20"/>
                <w:lang w:val="en-US"/>
              </w:rPr>
              <w:t>M</w:t>
            </w:r>
          </w:p>
        </w:tc>
        <w:tc>
          <w:tcPr>
            <w:tcW w:w="8220" w:type="dxa"/>
          </w:tcPr>
          <w:p w14:paraId="12C2E229" w14:textId="77777777" w:rsidR="00177AD5" w:rsidRPr="00906589" w:rsidRDefault="00177AD5" w:rsidP="009D478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906589">
              <w:rPr>
                <w:b w:val="0"/>
                <w:sz w:val="20"/>
                <w:lang w:val="en-US"/>
              </w:rPr>
              <w:t>Mobile, radiodetermination, amateur and related satellite services</w:t>
            </w:r>
          </w:p>
        </w:tc>
      </w:tr>
      <w:tr w:rsidR="00177AD5" w:rsidRPr="00036EE3" w14:paraId="4AE29DC3" w14:textId="77777777" w:rsidTr="009D478C">
        <w:tc>
          <w:tcPr>
            <w:tcW w:w="1140" w:type="dxa"/>
          </w:tcPr>
          <w:p w14:paraId="79705AB2" w14:textId="77777777" w:rsidR="00177AD5" w:rsidRPr="00036EE3" w:rsidRDefault="00177AD5" w:rsidP="009D478C">
            <w:pPr>
              <w:spacing w:before="30" w:after="30"/>
              <w:ind w:left="57"/>
              <w:jc w:val="left"/>
              <w:rPr>
                <w:b/>
                <w:bCs/>
                <w:sz w:val="20"/>
                <w:lang w:val="fr-CH"/>
              </w:rPr>
            </w:pPr>
            <w:r w:rsidRPr="00036EE3">
              <w:rPr>
                <w:b/>
                <w:bCs/>
                <w:sz w:val="20"/>
                <w:lang w:val="fr-CH"/>
              </w:rPr>
              <w:t>P</w:t>
            </w:r>
          </w:p>
        </w:tc>
        <w:tc>
          <w:tcPr>
            <w:tcW w:w="8220" w:type="dxa"/>
          </w:tcPr>
          <w:p w14:paraId="66544B88" w14:textId="77777777" w:rsidR="00177AD5" w:rsidRPr="00036EE3" w:rsidRDefault="00177AD5" w:rsidP="009D478C">
            <w:pPr>
              <w:spacing w:before="30" w:after="30"/>
              <w:jc w:val="left"/>
              <w:rPr>
                <w:sz w:val="20"/>
                <w:lang w:val="fr-CH"/>
              </w:rPr>
            </w:pPr>
            <w:r w:rsidRPr="00036EE3">
              <w:rPr>
                <w:sz w:val="20"/>
                <w:lang w:val="fr-CH"/>
              </w:rPr>
              <w:t>Radio</w:t>
            </w:r>
            <w:r>
              <w:rPr>
                <w:sz w:val="20"/>
                <w:lang w:val="fr-CH"/>
              </w:rPr>
              <w:t>-</w:t>
            </w:r>
            <w:proofErr w:type="spellStart"/>
            <w:r w:rsidRPr="00036EE3">
              <w:rPr>
                <w:sz w:val="20"/>
                <w:lang w:val="fr-CH"/>
              </w:rPr>
              <w:t>wave</w:t>
            </w:r>
            <w:proofErr w:type="spellEnd"/>
            <w:r w:rsidRPr="00036EE3">
              <w:rPr>
                <w:sz w:val="20"/>
                <w:lang w:val="fr-CH"/>
              </w:rPr>
              <w:t xml:space="preserve"> propagation</w:t>
            </w:r>
          </w:p>
        </w:tc>
      </w:tr>
      <w:tr w:rsidR="00177AD5" w:rsidRPr="00036EE3" w14:paraId="0D545705" w14:textId="77777777" w:rsidTr="009D478C">
        <w:tc>
          <w:tcPr>
            <w:tcW w:w="1140" w:type="dxa"/>
          </w:tcPr>
          <w:p w14:paraId="72CB1741" w14:textId="77777777" w:rsidR="00177AD5" w:rsidRPr="00036EE3" w:rsidRDefault="00177AD5" w:rsidP="009D478C">
            <w:pPr>
              <w:spacing w:before="30" w:after="30"/>
              <w:ind w:left="57"/>
              <w:jc w:val="left"/>
              <w:rPr>
                <w:b/>
                <w:bCs/>
                <w:sz w:val="20"/>
                <w:lang w:val="en-US"/>
              </w:rPr>
            </w:pPr>
            <w:r w:rsidRPr="00036EE3">
              <w:rPr>
                <w:b/>
                <w:bCs/>
                <w:sz w:val="20"/>
                <w:lang w:val="en-US"/>
              </w:rPr>
              <w:t>RA</w:t>
            </w:r>
          </w:p>
        </w:tc>
        <w:tc>
          <w:tcPr>
            <w:tcW w:w="8220" w:type="dxa"/>
          </w:tcPr>
          <w:p w14:paraId="74481B83" w14:textId="77777777" w:rsidR="00177AD5" w:rsidRPr="00036EE3" w:rsidRDefault="00177AD5" w:rsidP="009D478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177AD5" w:rsidRPr="00036EE3" w14:paraId="0BFDABDB" w14:textId="77777777" w:rsidTr="009D478C">
        <w:tc>
          <w:tcPr>
            <w:tcW w:w="1140" w:type="dxa"/>
          </w:tcPr>
          <w:p w14:paraId="779B19FA" w14:textId="77777777" w:rsidR="00177AD5" w:rsidRPr="00036EE3" w:rsidRDefault="00177AD5" w:rsidP="009D478C">
            <w:pPr>
              <w:spacing w:before="30" w:after="30"/>
              <w:ind w:left="57"/>
              <w:jc w:val="left"/>
              <w:rPr>
                <w:b/>
                <w:bCs/>
                <w:sz w:val="20"/>
                <w:lang w:val="en-US"/>
              </w:rPr>
            </w:pPr>
            <w:r w:rsidRPr="00036EE3">
              <w:rPr>
                <w:b/>
                <w:bCs/>
                <w:sz w:val="20"/>
                <w:lang w:val="en-US"/>
              </w:rPr>
              <w:t>RS</w:t>
            </w:r>
          </w:p>
        </w:tc>
        <w:tc>
          <w:tcPr>
            <w:tcW w:w="8220" w:type="dxa"/>
          </w:tcPr>
          <w:p w14:paraId="144090BF" w14:textId="77777777" w:rsidR="00177AD5" w:rsidRPr="00036EE3" w:rsidRDefault="00177AD5" w:rsidP="009D478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177AD5" w:rsidRPr="00036EE3" w14:paraId="5D4AAA3F" w14:textId="77777777" w:rsidTr="009D478C">
        <w:tc>
          <w:tcPr>
            <w:tcW w:w="1140" w:type="dxa"/>
            <w:tcBorders>
              <w:bottom w:val="nil"/>
            </w:tcBorders>
          </w:tcPr>
          <w:p w14:paraId="1DB6BA71" w14:textId="77777777" w:rsidR="00177AD5" w:rsidRPr="00036EE3" w:rsidRDefault="00177AD5" w:rsidP="009D478C">
            <w:pPr>
              <w:spacing w:before="30" w:after="30"/>
              <w:ind w:left="57"/>
              <w:jc w:val="left"/>
              <w:rPr>
                <w:b/>
                <w:bCs/>
                <w:sz w:val="20"/>
                <w:lang w:val="en-US"/>
              </w:rPr>
            </w:pPr>
            <w:r w:rsidRPr="00036EE3">
              <w:rPr>
                <w:b/>
                <w:bCs/>
                <w:sz w:val="20"/>
                <w:lang w:val="en-US"/>
              </w:rPr>
              <w:t>S</w:t>
            </w:r>
          </w:p>
        </w:tc>
        <w:tc>
          <w:tcPr>
            <w:tcW w:w="8220" w:type="dxa"/>
            <w:tcBorders>
              <w:bottom w:val="nil"/>
            </w:tcBorders>
          </w:tcPr>
          <w:p w14:paraId="061B3847" w14:textId="77777777" w:rsidR="00177AD5" w:rsidRPr="00036EE3" w:rsidRDefault="00177AD5" w:rsidP="009D478C">
            <w:pPr>
              <w:spacing w:before="30" w:after="30"/>
              <w:jc w:val="left"/>
              <w:rPr>
                <w:sz w:val="20"/>
                <w:lang w:val="en-US"/>
              </w:rPr>
            </w:pPr>
            <w:r w:rsidRPr="00036EE3">
              <w:rPr>
                <w:sz w:val="20"/>
                <w:lang w:val="en-US"/>
              </w:rPr>
              <w:t>Fixed-satellite service</w:t>
            </w:r>
          </w:p>
        </w:tc>
      </w:tr>
      <w:tr w:rsidR="00177AD5" w:rsidRPr="00B76D85" w14:paraId="5676925D" w14:textId="77777777" w:rsidTr="009D478C">
        <w:tc>
          <w:tcPr>
            <w:tcW w:w="1140" w:type="dxa"/>
            <w:tcBorders>
              <w:top w:val="nil"/>
              <w:bottom w:val="nil"/>
            </w:tcBorders>
            <w:shd w:val="clear" w:color="auto" w:fill="FFFFFF" w:themeFill="background1"/>
          </w:tcPr>
          <w:p w14:paraId="14722468" w14:textId="77777777" w:rsidR="00177AD5" w:rsidRPr="00B76D85" w:rsidRDefault="00177AD5" w:rsidP="009D478C">
            <w:pPr>
              <w:spacing w:before="30" w:after="30"/>
              <w:ind w:left="57"/>
              <w:jc w:val="left"/>
              <w:rPr>
                <w:b/>
                <w:bCs/>
                <w:sz w:val="20"/>
                <w:lang w:val="en-US"/>
              </w:rPr>
            </w:pPr>
            <w:r w:rsidRPr="00B76D85">
              <w:rPr>
                <w:b/>
                <w:bCs/>
                <w:sz w:val="20"/>
                <w:lang w:val="en-US"/>
              </w:rPr>
              <w:t>SA</w:t>
            </w:r>
          </w:p>
        </w:tc>
        <w:tc>
          <w:tcPr>
            <w:tcW w:w="8220" w:type="dxa"/>
            <w:tcBorders>
              <w:top w:val="nil"/>
              <w:bottom w:val="nil"/>
            </w:tcBorders>
            <w:shd w:val="clear" w:color="auto" w:fill="FFFFFF" w:themeFill="background1"/>
          </w:tcPr>
          <w:p w14:paraId="79EB645F" w14:textId="77777777" w:rsidR="00177AD5" w:rsidRPr="00B76D85" w:rsidRDefault="00177AD5" w:rsidP="009D478C">
            <w:pPr>
              <w:spacing w:before="30" w:after="30"/>
              <w:jc w:val="left"/>
              <w:rPr>
                <w:sz w:val="20"/>
                <w:lang w:val="en-US"/>
              </w:rPr>
            </w:pPr>
            <w:r w:rsidRPr="00B76D85">
              <w:rPr>
                <w:sz w:val="20"/>
                <w:lang w:val="en-US"/>
              </w:rPr>
              <w:t>Space applications and meteorology</w:t>
            </w:r>
          </w:p>
        </w:tc>
      </w:tr>
      <w:tr w:rsidR="00177AD5" w:rsidRPr="005F7CD0" w14:paraId="39375587" w14:textId="77777777" w:rsidTr="009D478C">
        <w:tc>
          <w:tcPr>
            <w:tcW w:w="1140" w:type="dxa"/>
            <w:tcBorders>
              <w:top w:val="nil"/>
              <w:bottom w:val="nil"/>
            </w:tcBorders>
          </w:tcPr>
          <w:p w14:paraId="1DD9CB62" w14:textId="77777777" w:rsidR="00177AD5" w:rsidRPr="00036EE3" w:rsidRDefault="00177AD5" w:rsidP="009D478C">
            <w:pPr>
              <w:spacing w:before="30" w:after="30"/>
              <w:ind w:left="57"/>
              <w:jc w:val="left"/>
              <w:rPr>
                <w:b/>
                <w:bCs/>
                <w:sz w:val="20"/>
                <w:lang w:val="en-US"/>
              </w:rPr>
            </w:pPr>
            <w:r w:rsidRPr="00036EE3">
              <w:rPr>
                <w:b/>
                <w:bCs/>
                <w:sz w:val="20"/>
                <w:lang w:val="en-US"/>
              </w:rPr>
              <w:t>SF</w:t>
            </w:r>
          </w:p>
        </w:tc>
        <w:tc>
          <w:tcPr>
            <w:tcW w:w="8220" w:type="dxa"/>
            <w:tcBorders>
              <w:top w:val="nil"/>
              <w:bottom w:val="nil"/>
            </w:tcBorders>
          </w:tcPr>
          <w:p w14:paraId="475C4106" w14:textId="77777777" w:rsidR="00177AD5" w:rsidRPr="00036EE3" w:rsidRDefault="00177AD5" w:rsidP="009D478C">
            <w:pPr>
              <w:spacing w:before="30" w:after="30"/>
              <w:jc w:val="left"/>
              <w:rPr>
                <w:sz w:val="20"/>
                <w:lang w:val="en-US"/>
              </w:rPr>
            </w:pPr>
            <w:r w:rsidRPr="00036EE3">
              <w:rPr>
                <w:sz w:val="20"/>
                <w:lang w:val="en-US"/>
              </w:rPr>
              <w:t>Frequency sharing and coordination between fixed-satellite and fixed service systems</w:t>
            </w:r>
          </w:p>
        </w:tc>
      </w:tr>
      <w:tr w:rsidR="00177AD5" w:rsidRPr="00036EE3" w14:paraId="523DA06C" w14:textId="77777777" w:rsidTr="009D478C">
        <w:tc>
          <w:tcPr>
            <w:tcW w:w="1140" w:type="dxa"/>
            <w:tcBorders>
              <w:top w:val="nil"/>
              <w:bottom w:val="nil"/>
            </w:tcBorders>
          </w:tcPr>
          <w:p w14:paraId="1AD8E76C" w14:textId="77777777" w:rsidR="00177AD5" w:rsidRPr="001B164E" w:rsidRDefault="00177AD5" w:rsidP="009D478C">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0E32E9BD" w14:textId="77777777" w:rsidR="00177AD5" w:rsidRPr="001B164E" w:rsidRDefault="00177AD5" w:rsidP="009D478C">
            <w:pPr>
              <w:spacing w:before="30" w:after="30"/>
              <w:jc w:val="left"/>
              <w:rPr>
                <w:rFonts w:hAnsi="Times New Roman Bold"/>
                <w:sz w:val="20"/>
                <w:lang w:val="en-US"/>
              </w:rPr>
            </w:pPr>
            <w:r w:rsidRPr="001B164E">
              <w:rPr>
                <w:rFonts w:hAnsi="Times New Roman Bold"/>
                <w:sz w:val="20"/>
                <w:lang w:val="en-US"/>
              </w:rPr>
              <w:t>Spectrum management</w:t>
            </w:r>
          </w:p>
        </w:tc>
      </w:tr>
      <w:tr w:rsidR="00177AD5" w:rsidRPr="00036EE3" w14:paraId="794D1E49" w14:textId="77777777" w:rsidTr="009D478C">
        <w:tc>
          <w:tcPr>
            <w:tcW w:w="1140" w:type="dxa"/>
            <w:tcBorders>
              <w:top w:val="nil"/>
            </w:tcBorders>
          </w:tcPr>
          <w:p w14:paraId="214021E2" w14:textId="77777777" w:rsidR="00177AD5" w:rsidRPr="00036EE3" w:rsidRDefault="00177AD5" w:rsidP="009D478C">
            <w:pPr>
              <w:spacing w:before="30" w:after="30"/>
              <w:ind w:left="57"/>
              <w:jc w:val="left"/>
              <w:rPr>
                <w:b/>
                <w:bCs/>
                <w:sz w:val="20"/>
                <w:lang w:val="en-US"/>
              </w:rPr>
            </w:pPr>
            <w:r w:rsidRPr="00036EE3">
              <w:rPr>
                <w:b/>
                <w:bCs/>
                <w:sz w:val="20"/>
                <w:lang w:val="en-US"/>
              </w:rPr>
              <w:t>SNG</w:t>
            </w:r>
          </w:p>
        </w:tc>
        <w:tc>
          <w:tcPr>
            <w:tcW w:w="8220" w:type="dxa"/>
            <w:tcBorders>
              <w:top w:val="nil"/>
            </w:tcBorders>
          </w:tcPr>
          <w:p w14:paraId="34609BFE" w14:textId="77777777" w:rsidR="00177AD5" w:rsidRPr="00036EE3" w:rsidRDefault="00177AD5" w:rsidP="009D478C">
            <w:pPr>
              <w:spacing w:before="30" w:after="30"/>
              <w:jc w:val="left"/>
              <w:rPr>
                <w:sz w:val="20"/>
                <w:lang w:val="en-US"/>
              </w:rPr>
            </w:pPr>
            <w:r w:rsidRPr="00036EE3">
              <w:rPr>
                <w:sz w:val="20"/>
                <w:lang w:val="en-US"/>
              </w:rPr>
              <w:t>Satellite news gathering</w:t>
            </w:r>
          </w:p>
        </w:tc>
      </w:tr>
      <w:tr w:rsidR="00177AD5" w:rsidRPr="005F7CD0" w14:paraId="5B7CD893" w14:textId="77777777" w:rsidTr="009D478C">
        <w:tc>
          <w:tcPr>
            <w:tcW w:w="1140" w:type="dxa"/>
          </w:tcPr>
          <w:p w14:paraId="1E8FCD82" w14:textId="77777777" w:rsidR="00177AD5" w:rsidRPr="00036EE3" w:rsidRDefault="00177AD5" w:rsidP="009D478C">
            <w:pPr>
              <w:spacing w:before="30" w:after="30"/>
              <w:ind w:left="57"/>
              <w:jc w:val="left"/>
              <w:rPr>
                <w:b/>
                <w:bCs/>
                <w:sz w:val="20"/>
                <w:lang w:val="en-US"/>
              </w:rPr>
            </w:pPr>
            <w:r w:rsidRPr="00036EE3">
              <w:rPr>
                <w:b/>
                <w:bCs/>
                <w:sz w:val="20"/>
                <w:lang w:val="en-US"/>
              </w:rPr>
              <w:t>TF</w:t>
            </w:r>
          </w:p>
        </w:tc>
        <w:tc>
          <w:tcPr>
            <w:tcW w:w="8220" w:type="dxa"/>
          </w:tcPr>
          <w:p w14:paraId="0DCBB8CA" w14:textId="77777777" w:rsidR="00177AD5" w:rsidRPr="00036EE3" w:rsidRDefault="00177AD5" w:rsidP="009D478C">
            <w:pPr>
              <w:spacing w:before="30" w:after="30"/>
              <w:jc w:val="left"/>
              <w:rPr>
                <w:sz w:val="20"/>
                <w:lang w:val="en-US"/>
              </w:rPr>
            </w:pPr>
            <w:r w:rsidRPr="00036EE3">
              <w:rPr>
                <w:sz w:val="20"/>
                <w:lang w:val="en-US"/>
              </w:rPr>
              <w:t>Time signals and frequency standards emissions</w:t>
            </w:r>
          </w:p>
        </w:tc>
      </w:tr>
      <w:tr w:rsidR="00177AD5" w:rsidRPr="00036EE3" w14:paraId="6BD174C8" w14:textId="77777777" w:rsidTr="009D478C">
        <w:tc>
          <w:tcPr>
            <w:tcW w:w="1140" w:type="dxa"/>
          </w:tcPr>
          <w:p w14:paraId="5F8D6C46" w14:textId="77777777" w:rsidR="00177AD5" w:rsidRPr="00036EE3" w:rsidRDefault="00177AD5" w:rsidP="009D478C">
            <w:pPr>
              <w:spacing w:before="30" w:after="30"/>
              <w:ind w:left="57"/>
              <w:jc w:val="left"/>
              <w:rPr>
                <w:b/>
                <w:bCs/>
                <w:sz w:val="20"/>
                <w:lang w:val="en-US"/>
              </w:rPr>
            </w:pPr>
            <w:r w:rsidRPr="00036EE3">
              <w:rPr>
                <w:b/>
                <w:bCs/>
                <w:sz w:val="20"/>
                <w:lang w:val="en-US"/>
              </w:rPr>
              <w:t>V</w:t>
            </w:r>
          </w:p>
        </w:tc>
        <w:tc>
          <w:tcPr>
            <w:tcW w:w="8220" w:type="dxa"/>
          </w:tcPr>
          <w:p w14:paraId="4F7F9059" w14:textId="77777777" w:rsidR="00177AD5" w:rsidRPr="00036EE3" w:rsidRDefault="00177AD5" w:rsidP="009D478C">
            <w:pPr>
              <w:spacing w:before="30" w:after="180"/>
              <w:jc w:val="left"/>
              <w:rPr>
                <w:sz w:val="20"/>
                <w:lang w:val="en-US"/>
              </w:rPr>
            </w:pPr>
            <w:r w:rsidRPr="00036EE3">
              <w:rPr>
                <w:sz w:val="20"/>
                <w:lang w:val="en-US"/>
              </w:rPr>
              <w:t>Vocabulary and related subjects</w:t>
            </w:r>
          </w:p>
        </w:tc>
      </w:tr>
    </w:tbl>
    <w:p w14:paraId="5D79FD50" w14:textId="77777777" w:rsidR="00177AD5" w:rsidRPr="00036EE3" w:rsidRDefault="00177AD5" w:rsidP="00177AD5">
      <w:pPr>
        <w:spacing w:before="30" w:after="30"/>
        <w:jc w:val="center"/>
        <w:rPr>
          <w:sz w:val="20"/>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177AD5" w:rsidRPr="005F7CD0" w14:paraId="5C613D61" w14:textId="77777777" w:rsidTr="009D478C">
        <w:tc>
          <w:tcPr>
            <w:tcW w:w="9609" w:type="dxa"/>
          </w:tcPr>
          <w:p w14:paraId="2BF7CC31" w14:textId="77777777" w:rsidR="00177AD5" w:rsidRPr="002F5199" w:rsidRDefault="00177AD5" w:rsidP="009D478C">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197C9A51" w14:textId="77777777" w:rsidR="00177AD5" w:rsidRDefault="00177AD5" w:rsidP="00177AD5">
      <w:pPr>
        <w:spacing w:before="0"/>
        <w:jc w:val="center"/>
        <w:rPr>
          <w:sz w:val="22"/>
          <w:lang w:val="en-US"/>
        </w:rPr>
      </w:pPr>
    </w:p>
    <w:p w14:paraId="5C38D45D" w14:textId="77777777" w:rsidR="00177AD5" w:rsidRPr="002F5199" w:rsidRDefault="00177AD5" w:rsidP="00177AD5">
      <w:pPr>
        <w:spacing w:before="0"/>
        <w:jc w:val="right"/>
        <w:rPr>
          <w:i/>
          <w:iCs/>
          <w:sz w:val="20"/>
          <w:lang w:val="en-US"/>
        </w:rPr>
      </w:pPr>
      <w:r w:rsidRPr="002F5199">
        <w:rPr>
          <w:i/>
          <w:iCs/>
          <w:sz w:val="20"/>
          <w:lang w:val="en-US"/>
        </w:rPr>
        <w:t>Electronic Publication</w:t>
      </w:r>
    </w:p>
    <w:p w14:paraId="0B37E3CE" w14:textId="77777777" w:rsidR="00177AD5" w:rsidRPr="002F5199" w:rsidRDefault="00177AD5" w:rsidP="00177AD5">
      <w:pPr>
        <w:spacing w:before="0"/>
        <w:jc w:val="right"/>
        <w:rPr>
          <w:sz w:val="20"/>
          <w:lang w:val="en-US"/>
        </w:rPr>
      </w:pPr>
      <w:smartTag w:uri="urn:schemas-microsoft-com:office:smarttags" w:element="State">
        <w:smartTag w:uri="urn:schemas-microsoft-com:office:smarttags" w:element="City">
          <w:r w:rsidRPr="002F5199">
            <w:rPr>
              <w:sz w:val="20"/>
              <w:lang w:val="en-US"/>
            </w:rPr>
            <w:t>Geneva</w:t>
          </w:r>
        </w:smartTag>
      </w:smartTag>
      <w:r w:rsidRPr="002F5199">
        <w:rPr>
          <w:sz w:val="20"/>
          <w:lang w:val="en-US"/>
        </w:rPr>
        <w:t>, 20</w:t>
      </w:r>
      <w:r>
        <w:rPr>
          <w:sz w:val="20"/>
          <w:lang w:val="en-US"/>
        </w:rPr>
        <w:t>26</w:t>
      </w:r>
    </w:p>
    <w:p w14:paraId="7A2B1E83" w14:textId="77777777" w:rsidR="00177AD5" w:rsidRPr="00470E28" w:rsidRDefault="00177AD5" w:rsidP="00177AD5">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26</w:t>
      </w:r>
    </w:p>
    <w:p w14:paraId="633E8F22" w14:textId="77777777" w:rsidR="00177AD5" w:rsidRPr="00470E28" w:rsidRDefault="00177AD5" w:rsidP="00177AD5">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7205FBD1" w14:textId="77777777" w:rsidR="00177AD5" w:rsidRDefault="00177AD5" w:rsidP="00177AD5">
      <w:pPr>
        <w:spacing w:before="160"/>
        <w:rPr>
          <w:i/>
          <w:sz w:val="20"/>
          <w:lang w:val="en-US"/>
        </w:rPr>
        <w:sectPr w:rsidR="00177AD5" w:rsidSect="00177AD5">
          <w:headerReference w:type="even" r:id="rId11"/>
          <w:headerReference w:type="default" r:id="rId12"/>
          <w:pgSz w:w="11907" w:h="16834" w:code="9"/>
          <w:pgMar w:top="1418" w:right="1134" w:bottom="1134" w:left="1134" w:header="720" w:footer="482" w:gutter="0"/>
          <w:paperSrc w:first="15" w:other="15"/>
          <w:pgNumType w:fmt="lowerRoman" w:start="2"/>
          <w:cols w:space="720"/>
        </w:sectPr>
      </w:pPr>
    </w:p>
    <w:p w14:paraId="6A9A736A" w14:textId="68601AF9" w:rsidR="00177AD5" w:rsidRPr="00B874C6" w:rsidRDefault="00177AD5" w:rsidP="00177AD5">
      <w:pPr>
        <w:pStyle w:val="RecNo"/>
        <w:rPr>
          <w:lang w:val="en-US"/>
        </w:rPr>
      </w:pPr>
      <w:bookmarkStart w:id="2" w:name="irecnoe"/>
      <w:bookmarkEnd w:id="2"/>
      <w:r w:rsidRPr="00D4676A">
        <w:lastRenderedPageBreak/>
        <w:t>RECOMMENDATION</w:t>
      </w:r>
      <w:r w:rsidRPr="00BF487A">
        <w:t xml:space="preserve">  </w:t>
      </w:r>
      <w:r w:rsidRPr="00BF487A">
        <w:rPr>
          <w:rStyle w:val="href"/>
          <w:lang w:val="en-US"/>
        </w:rPr>
        <w:t xml:space="preserve">ITU-R  </w:t>
      </w:r>
      <w:r>
        <w:rPr>
          <w:rStyle w:val="href"/>
          <w:lang w:val="en-US"/>
        </w:rPr>
        <w:t>F</w:t>
      </w:r>
      <w:r w:rsidRPr="00BF487A">
        <w:rPr>
          <w:rStyle w:val="href"/>
          <w:lang w:val="en-US"/>
        </w:rPr>
        <w:t>.</w:t>
      </w:r>
      <w:r w:rsidR="00C33CB8">
        <w:rPr>
          <w:rStyle w:val="href"/>
          <w:lang w:val="en-US"/>
        </w:rPr>
        <w:t>2172-0</w:t>
      </w:r>
    </w:p>
    <w:p w14:paraId="424A9854" w14:textId="7802D3EA" w:rsidR="00177AD5" w:rsidRDefault="00C33CB8" w:rsidP="00C33CB8">
      <w:pPr>
        <w:pStyle w:val="Rectitle"/>
      </w:pPr>
      <w:r w:rsidRPr="00A54AC2">
        <w:rPr>
          <w:lang w:eastAsia="zh-CN"/>
        </w:rPr>
        <w:t>Radio-frequency channel and block arrangements for fixed service systems operating in the 130-134 GHz, 141</w:t>
      </w:r>
      <w:r>
        <w:rPr>
          <w:lang w:eastAsia="zh-CN"/>
        </w:rPr>
        <w:noBreakHyphen/>
      </w:r>
      <w:r w:rsidRPr="00A54AC2">
        <w:rPr>
          <w:lang w:eastAsia="zh-CN"/>
        </w:rPr>
        <w:t>148.5</w:t>
      </w:r>
      <w:r>
        <w:rPr>
          <w:lang w:eastAsia="zh-CN"/>
        </w:rPr>
        <w:t> </w:t>
      </w:r>
      <w:r w:rsidRPr="00A54AC2">
        <w:rPr>
          <w:lang w:eastAsia="zh-CN"/>
        </w:rPr>
        <w:t>GHz, 151.5-164 GHz and 167</w:t>
      </w:r>
      <w:r>
        <w:rPr>
          <w:lang w:eastAsia="zh-CN"/>
        </w:rPr>
        <w:noBreakHyphen/>
      </w:r>
      <w:r w:rsidRPr="00A54AC2">
        <w:rPr>
          <w:lang w:eastAsia="zh-CN"/>
        </w:rPr>
        <w:t>174.8 GHz ranges</w:t>
      </w:r>
    </w:p>
    <w:p w14:paraId="1BDB4B1D" w14:textId="7ACF4E20" w:rsidR="00C33CB8" w:rsidRDefault="00C33CB8" w:rsidP="00C33CB8">
      <w:pPr>
        <w:pStyle w:val="Recref"/>
        <w:rPr>
          <w:lang w:eastAsia="zh-CN"/>
        </w:rPr>
      </w:pPr>
      <w:r>
        <w:rPr>
          <w:lang w:eastAsia="zh-CN"/>
        </w:rPr>
        <w:t xml:space="preserve">Question </w:t>
      </w:r>
      <w:hyperlink r:id="rId13" w:history="1">
        <w:r w:rsidRPr="00B15DDD">
          <w:rPr>
            <w:rStyle w:val="Hyperlink"/>
            <w:color w:val="auto"/>
            <w:u w:val="none"/>
            <w:lang w:eastAsia="zh-CN"/>
          </w:rPr>
          <w:t>ITU-R 247-1/5</w:t>
        </w:r>
      </w:hyperlink>
    </w:p>
    <w:p w14:paraId="46DD47F0" w14:textId="77777777" w:rsidR="00C33CB8" w:rsidRPr="007F595C" w:rsidRDefault="00C33CB8" w:rsidP="00C33CB8">
      <w:pPr>
        <w:pStyle w:val="Recdate"/>
        <w:rPr>
          <w:lang w:eastAsia="zh-CN"/>
        </w:rPr>
      </w:pPr>
      <w:r>
        <w:rPr>
          <w:lang w:eastAsia="zh-CN"/>
        </w:rPr>
        <w:t>(2026)</w:t>
      </w:r>
    </w:p>
    <w:p w14:paraId="321DA911" w14:textId="77777777" w:rsidR="00C33CB8" w:rsidRPr="00E5247D" w:rsidRDefault="00C33CB8" w:rsidP="00C33CB8">
      <w:pPr>
        <w:pStyle w:val="HeadingSum"/>
        <w:rPr>
          <w:szCs w:val="22"/>
          <w:lang w:val="en-GB" w:eastAsia="zh-CN"/>
        </w:rPr>
      </w:pPr>
      <w:r w:rsidRPr="00E5247D">
        <w:rPr>
          <w:szCs w:val="22"/>
          <w:lang w:val="en-GB" w:eastAsia="zh-CN"/>
        </w:rPr>
        <w:t>Scope</w:t>
      </w:r>
    </w:p>
    <w:p w14:paraId="36EBB3B7" w14:textId="77777777" w:rsidR="00C33CB8" w:rsidRPr="004D5B20" w:rsidRDefault="00C33CB8" w:rsidP="00C33CB8">
      <w:pPr>
        <w:pStyle w:val="Summary"/>
        <w:rPr>
          <w:szCs w:val="22"/>
          <w:lang w:val="en-GB"/>
        </w:rPr>
      </w:pPr>
      <w:r w:rsidRPr="00C5535A">
        <w:rPr>
          <w:rFonts w:eastAsia="MS Mincho"/>
          <w:szCs w:val="22"/>
          <w:lang w:val="en-GB"/>
        </w:rPr>
        <w:t>This Recommendation describes channel and block arrangements in the portions of the frequency range 130.0</w:t>
      </w:r>
      <w:r w:rsidRPr="00C5535A">
        <w:rPr>
          <w:rFonts w:eastAsia="MS Mincho"/>
          <w:szCs w:val="22"/>
          <w:lang w:val="en-GB"/>
        </w:rPr>
        <w:noBreakHyphen/>
        <w:t xml:space="preserve">174.8 GHz allocated to the fixed service. The arrangements are based on a 250 MHz basic channel raster from which </w:t>
      </w:r>
      <w:r w:rsidRPr="00C5535A">
        <w:rPr>
          <w:rFonts w:eastAsia="MS Mincho"/>
          <w:i/>
          <w:iCs/>
          <w:szCs w:val="22"/>
          <w:lang w:val="en-GB"/>
        </w:rPr>
        <w:t>N</w:t>
      </w:r>
      <w:r w:rsidRPr="00C5535A">
        <w:rPr>
          <w:rFonts w:eastAsia="MS Mincho"/>
          <w:szCs w:val="22"/>
          <w:lang w:val="en-GB"/>
        </w:rPr>
        <w:t xml:space="preserve"> × 250 MHz channel size can be defined and are proposed for either frequency division duplex (FDD) or time division duplex (TDD) applications. </w:t>
      </w:r>
      <w:bookmarkStart w:id="3" w:name="_Hlk198804103"/>
      <w:r w:rsidRPr="00C5535A">
        <w:rPr>
          <w:rFonts w:eastAsia="MS Mincho"/>
          <w:szCs w:val="22"/>
          <w:lang w:val="en-GB"/>
        </w:rPr>
        <w:t xml:space="preserve">Alternative duplex schemes, such as </w:t>
      </w:r>
      <w:r w:rsidRPr="00C5535A">
        <w:rPr>
          <w:rFonts w:eastAsia="MS Mincho"/>
          <w:sz w:val="24"/>
          <w:lang w:val="en-GB"/>
        </w:rPr>
        <w:t>flexible frequency division duplex (</w:t>
      </w:r>
      <w:proofErr w:type="spellStart"/>
      <w:r w:rsidRPr="00C5535A">
        <w:rPr>
          <w:rFonts w:eastAsia="MS Mincho"/>
          <w:sz w:val="24"/>
          <w:lang w:val="en-GB"/>
        </w:rPr>
        <w:t>fFDD</w:t>
      </w:r>
      <w:proofErr w:type="spellEnd"/>
      <w:r w:rsidRPr="00C5535A">
        <w:rPr>
          <w:rFonts w:eastAsia="MS Mincho"/>
          <w:sz w:val="24"/>
          <w:lang w:val="en-GB"/>
        </w:rPr>
        <w:t>)</w:t>
      </w:r>
      <w:r w:rsidRPr="00C5535A">
        <w:rPr>
          <w:rFonts w:eastAsia="MS Mincho"/>
          <w:position w:val="6"/>
          <w:sz w:val="18"/>
          <w:lang w:val="en-GB"/>
        </w:rPr>
        <w:footnoteReference w:id="1"/>
      </w:r>
      <w:r w:rsidRPr="00C5535A">
        <w:rPr>
          <w:rFonts w:eastAsia="MS Mincho"/>
          <w:sz w:val="24"/>
          <w:lang w:val="en-GB"/>
        </w:rPr>
        <w:t xml:space="preserve"> or full duplex (FD)</w:t>
      </w:r>
      <w:r w:rsidRPr="00C5535A">
        <w:rPr>
          <w:rFonts w:eastAsia="MS Mincho"/>
          <w:position w:val="6"/>
          <w:sz w:val="18"/>
          <w:lang w:val="en-GB"/>
        </w:rPr>
        <w:footnoteReference w:id="2"/>
      </w:r>
      <w:r w:rsidRPr="00C5535A">
        <w:rPr>
          <w:rFonts w:eastAsia="MS Mincho"/>
          <w:sz w:val="24"/>
          <w:lang w:val="en-GB"/>
        </w:rPr>
        <w:t xml:space="preserve"> may also be considered.</w:t>
      </w:r>
      <w:bookmarkEnd w:id="3"/>
    </w:p>
    <w:p w14:paraId="0B5A3259" w14:textId="77777777" w:rsidR="00C33CB8" w:rsidRPr="00C02AD4" w:rsidRDefault="00C33CB8" w:rsidP="00C33CB8">
      <w:pPr>
        <w:pStyle w:val="Headingb"/>
        <w:rPr>
          <w:lang w:eastAsia="zh-CN"/>
        </w:rPr>
      </w:pPr>
      <w:r w:rsidRPr="00C02AD4">
        <w:rPr>
          <w:lang w:eastAsia="zh-CN"/>
        </w:rPr>
        <w:t>Keywords</w:t>
      </w:r>
    </w:p>
    <w:p w14:paraId="1E4A4305" w14:textId="77777777" w:rsidR="00C33CB8" w:rsidRPr="00D21C9B" w:rsidRDefault="00C33CB8" w:rsidP="00C33CB8">
      <w:pPr>
        <w:rPr>
          <w:rFonts w:eastAsia="MS Mincho"/>
        </w:rPr>
      </w:pPr>
      <w:r w:rsidRPr="00D21C9B">
        <w:rPr>
          <w:rFonts w:eastAsia="MS Mincho"/>
        </w:rPr>
        <w:t>130-174.8 GHz, FDD, flexible FDD, Full Duplex, Channel Raster</w:t>
      </w:r>
    </w:p>
    <w:p w14:paraId="21F9E39F" w14:textId="77777777" w:rsidR="00C33CB8" w:rsidRPr="00C02AD4" w:rsidRDefault="00C33CB8" w:rsidP="00C33CB8">
      <w:pPr>
        <w:pStyle w:val="Headingb"/>
        <w:rPr>
          <w:b w:val="0"/>
          <w:lang w:eastAsia="zh-CN"/>
        </w:rPr>
      </w:pPr>
      <w:r w:rsidRPr="004D5B20">
        <w:t>Acronyms</w:t>
      </w:r>
      <w:r w:rsidRPr="00C02AD4">
        <w:rPr>
          <w:lang w:eastAsia="zh-CN"/>
        </w:rPr>
        <w:t>/Abbreviations</w:t>
      </w:r>
    </w:p>
    <w:p w14:paraId="0A9E0536" w14:textId="77777777" w:rsidR="00C33CB8" w:rsidRPr="00D21C31" w:rsidRDefault="00C33CB8" w:rsidP="00EB5BE8">
      <w:pPr>
        <w:tabs>
          <w:tab w:val="clear" w:pos="794"/>
        </w:tabs>
      </w:pPr>
      <w:bookmarkStart w:id="6" w:name="_Hlk195532836"/>
      <w:r w:rsidRPr="00D21C31">
        <w:t>DS</w:t>
      </w:r>
      <w:r w:rsidRPr="00D21C31">
        <w:tab/>
        <w:t xml:space="preserve">Duplex separation </w:t>
      </w:r>
    </w:p>
    <w:p w14:paraId="6B3A8FCD" w14:textId="76961D01" w:rsidR="00C33CB8" w:rsidRPr="00D21C31" w:rsidRDefault="00C33CB8" w:rsidP="00EB5BE8">
      <w:pPr>
        <w:tabs>
          <w:tab w:val="clear" w:pos="794"/>
        </w:tabs>
      </w:pPr>
      <w:r w:rsidRPr="00D21C31">
        <w:t>EESS</w:t>
      </w:r>
      <w:r w:rsidRPr="00D21C31">
        <w:tab/>
        <w:t xml:space="preserve">Earth </w:t>
      </w:r>
      <w:r w:rsidR="00EB5BE8" w:rsidRPr="00D21C31">
        <w:t>exploration satellite service</w:t>
      </w:r>
    </w:p>
    <w:p w14:paraId="40ABAB9A" w14:textId="69931C82" w:rsidR="00C33CB8" w:rsidRPr="00D21C31" w:rsidRDefault="00C33CB8" w:rsidP="00EB5BE8">
      <w:pPr>
        <w:tabs>
          <w:tab w:val="clear" w:pos="794"/>
        </w:tabs>
      </w:pPr>
      <w:r w:rsidRPr="00D21C31">
        <w:t>FD</w:t>
      </w:r>
      <w:r w:rsidRPr="00D21C31">
        <w:tab/>
        <w:t xml:space="preserve">Full </w:t>
      </w:r>
      <w:r w:rsidR="00EB5BE8">
        <w:t>d</w:t>
      </w:r>
      <w:r w:rsidRPr="00D21C31">
        <w:t>uplex</w:t>
      </w:r>
    </w:p>
    <w:p w14:paraId="14E2FDCD" w14:textId="77777777" w:rsidR="00C33CB8" w:rsidRPr="00D21C31" w:rsidRDefault="00C33CB8" w:rsidP="00EB5BE8">
      <w:pPr>
        <w:tabs>
          <w:tab w:val="clear" w:pos="794"/>
        </w:tabs>
      </w:pPr>
      <w:r w:rsidRPr="00D21C31">
        <w:t>FDD</w:t>
      </w:r>
      <w:r w:rsidRPr="00D21C31">
        <w:tab/>
        <w:t>Frequency division duplex</w:t>
      </w:r>
    </w:p>
    <w:p w14:paraId="632F668E" w14:textId="77777777" w:rsidR="00C33CB8" w:rsidRPr="00D21C31" w:rsidRDefault="00C33CB8" w:rsidP="00EB5BE8">
      <w:pPr>
        <w:tabs>
          <w:tab w:val="clear" w:pos="794"/>
        </w:tabs>
      </w:pPr>
      <w:proofErr w:type="spellStart"/>
      <w:r w:rsidRPr="00D21C31">
        <w:t>fFDD</w:t>
      </w:r>
      <w:proofErr w:type="spellEnd"/>
      <w:r w:rsidRPr="00D21C31">
        <w:tab/>
        <w:t>flexible FDD</w:t>
      </w:r>
    </w:p>
    <w:p w14:paraId="2C7E418F" w14:textId="77777777" w:rsidR="00C33CB8" w:rsidRPr="00D21C31" w:rsidRDefault="00C33CB8" w:rsidP="00EB5BE8">
      <w:pPr>
        <w:tabs>
          <w:tab w:val="clear" w:pos="794"/>
        </w:tabs>
      </w:pPr>
      <w:r w:rsidRPr="00D21C31">
        <w:t>FS</w:t>
      </w:r>
      <w:r w:rsidRPr="00D21C31">
        <w:tab/>
        <w:t>Fixed service</w:t>
      </w:r>
    </w:p>
    <w:p w14:paraId="02A5DAFA" w14:textId="77777777" w:rsidR="00C33CB8" w:rsidRPr="00D21C31" w:rsidRDefault="00C33CB8" w:rsidP="00EB5BE8">
      <w:pPr>
        <w:tabs>
          <w:tab w:val="clear" w:pos="794"/>
        </w:tabs>
      </w:pPr>
      <w:r w:rsidRPr="00D21C31">
        <w:t>P-P</w:t>
      </w:r>
      <w:r w:rsidRPr="00D21C31">
        <w:tab/>
        <w:t>Point-to-point</w:t>
      </w:r>
    </w:p>
    <w:p w14:paraId="2FCE5BFF" w14:textId="77777777" w:rsidR="00C33CB8" w:rsidRPr="00D21C31" w:rsidRDefault="00C33CB8" w:rsidP="00EB5BE8">
      <w:pPr>
        <w:tabs>
          <w:tab w:val="clear" w:pos="794"/>
        </w:tabs>
      </w:pPr>
      <w:r w:rsidRPr="00D21C31">
        <w:t>RR</w:t>
      </w:r>
      <w:r w:rsidRPr="00D21C31">
        <w:tab/>
        <w:t>Radio Regulations</w:t>
      </w:r>
    </w:p>
    <w:p w14:paraId="1AAC21CE" w14:textId="77777777" w:rsidR="00C33CB8" w:rsidRPr="00D21C31" w:rsidRDefault="00C33CB8" w:rsidP="00EB5BE8">
      <w:pPr>
        <w:tabs>
          <w:tab w:val="clear" w:pos="794"/>
        </w:tabs>
      </w:pPr>
      <w:r w:rsidRPr="00D21C31">
        <w:t>TDD</w:t>
      </w:r>
      <w:r w:rsidRPr="00D21C31">
        <w:tab/>
        <w:t>Time division duplex</w:t>
      </w:r>
    </w:p>
    <w:bookmarkEnd w:id="6"/>
    <w:p w14:paraId="58998FFC" w14:textId="77777777" w:rsidR="00C33CB8" w:rsidRPr="00C02AD4" w:rsidRDefault="00C33CB8" w:rsidP="00C33CB8">
      <w:pPr>
        <w:pStyle w:val="Headingb"/>
        <w:rPr>
          <w:lang w:eastAsia="zh-CN"/>
        </w:rPr>
      </w:pPr>
      <w:r w:rsidRPr="00C02AD4">
        <w:rPr>
          <w:lang w:eastAsia="zh-CN"/>
        </w:rPr>
        <w:t>Related ITU-R Recommendations</w:t>
      </w:r>
    </w:p>
    <w:p w14:paraId="1635A093" w14:textId="77777777" w:rsidR="00C33CB8" w:rsidRPr="002367BA" w:rsidRDefault="00C33CB8" w:rsidP="00EB5BE8">
      <w:pPr>
        <w:pStyle w:val="Reftext"/>
        <w:rPr>
          <w:rFonts w:eastAsia="MS Mincho"/>
          <w:i/>
          <w:iCs/>
        </w:rPr>
      </w:pPr>
      <w:bookmarkStart w:id="7" w:name="_Hlk195532857"/>
      <w:r w:rsidRPr="002367BA">
        <w:rPr>
          <w:rFonts w:eastAsia="MS Mincho"/>
          <w:lang w:eastAsia="ja-JP"/>
        </w:rPr>
        <w:t xml:space="preserve">Recommendation </w:t>
      </w:r>
      <w:hyperlink r:id="rId14" w:history="1">
        <w:r w:rsidRPr="002367BA">
          <w:rPr>
            <w:rFonts w:eastAsia="MS Mincho"/>
          </w:rPr>
          <w:t>ITU-R P.676</w:t>
        </w:r>
      </w:hyperlink>
      <w:r w:rsidRPr="002367BA">
        <w:rPr>
          <w:rFonts w:eastAsia="MS Mincho"/>
        </w:rPr>
        <w:t xml:space="preserve"> – Attenuation by atmospheric gases</w:t>
      </w:r>
    </w:p>
    <w:p w14:paraId="225DDBB4" w14:textId="77777777" w:rsidR="00C33CB8" w:rsidRPr="002367BA" w:rsidRDefault="00C33CB8" w:rsidP="00EB5BE8">
      <w:pPr>
        <w:pStyle w:val="Reftext"/>
        <w:rPr>
          <w:rFonts w:eastAsia="MS Mincho"/>
        </w:rPr>
      </w:pPr>
      <w:r w:rsidRPr="002367BA">
        <w:rPr>
          <w:rFonts w:eastAsia="MS Mincho"/>
          <w:lang w:eastAsia="ja-JP"/>
        </w:rPr>
        <w:t xml:space="preserve">Recommendation </w:t>
      </w:r>
      <w:hyperlink r:id="rId15" w:history="1">
        <w:r w:rsidRPr="002367BA">
          <w:rPr>
            <w:rFonts w:eastAsia="MS Mincho"/>
          </w:rPr>
          <w:t>ITU-R P.838</w:t>
        </w:r>
      </w:hyperlink>
      <w:r w:rsidRPr="002367BA">
        <w:rPr>
          <w:rFonts w:eastAsia="MS Mincho"/>
        </w:rPr>
        <w:t xml:space="preserve"> – Specific attenuation model for rain for use in prediction methods</w:t>
      </w:r>
    </w:p>
    <w:p w14:paraId="05C259FE" w14:textId="77777777" w:rsidR="00C33CB8" w:rsidRPr="002367BA" w:rsidRDefault="00C33CB8" w:rsidP="00EB5BE8">
      <w:pPr>
        <w:pStyle w:val="Reftext"/>
        <w:rPr>
          <w:rFonts w:eastAsia="MS Mincho"/>
        </w:rPr>
      </w:pPr>
      <w:bookmarkStart w:id="8" w:name="_Hlk198534214"/>
      <w:r w:rsidRPr="002367BA">
        <w:rPr>
          <w:rFonts w:eastAsia="MS Mincho"/>
          <w:lang w:eastAsia="ja-JP"/>
        </w:rPr>
        <w:t xml:space="preserve">Recommendation </w:t>
      </w:r>
      <w:hyperlink r:id="rId16" w:history="1">
        <w:r w:rsidRPr="002367BA">
          <w:rPr>
            <w:rFonts w:eastAsia="MS Mincho"/>
          </w:rPr>
          <w:t>ITU-R F.1519</w:t>
        </w:r>
      </w:hyperlink>
      <w:r w:rsidRPr="002367BA">
        <w:rPr>
          <w:rFonts w:eastAsia="MS Mincho"/>
        </w:rPr>
        <w:t xml:space="preserve"> – Guidance on frequency arrangements based on frequency blocks for systems in the fixed service</w:t>
      </w:r>
    </w:p>
    <w:p w14:paraId="0C031156" w14:textId="77777777" w:rsidR="00C33CB8" w:rsidRPr="002367BA" w:rsidRDefault="00C33CB8" w:rsidP="00EB5BE8">
      <w:pPr>
        <w:pStyle w:val="Reftext"/>
        <w:rPr>
          <w:rFonts w:eastAsia="MS Mincho"/>
        </w:rPr>
      </w:pPr>
      <w:r w:rsidRPr="002367BA">
        <w:rPr>
          <w:rFonts w:eastAsia="MS Mincho"/>
          <w:lang w:eastAsia="ja-JP"/>
        </w:rPr>
        <w:lastRenderedPageBreak/>
        <w:t xml:space="preserve">Report </w:t>
      </w:r>
      <w:hyperlink r:id="rId17" w:history="1">
        <w:r w:rsidRPr="002367BA">
          <w:rPr>
            <w:rFonts w:eastAsia="MS Mincho"/>
          </w:rPr>
          <w:t xml:space="preserve">ITU-R </w:t>
        </w:r>
        <w:r w:rsidRPr="002367BA">
          <w:rPr>
            <w:rFonts w:eastAsia="MS Mincho"/>
            <w:lang w:eastAsia="ja-JP"/>
          </w:rPr>
          <w:t>F</w:t>
        </w:r>
        <w:r w:rsidRPr="002367BA">
          <w:rPr>
            <w:rFonts w:eastAsia="MS Mincho"/>
          </w:rPr>
          <w:t>.</w:t>
        </w:r>
        <w:r w:rsidRPr="002367BA">
          <w:rPr>
            <w:rFonts w:eastAsia="MS Mincho"/>
            <w:lang w:eastAsia="ja-JP"/>
          </w:rPr>
          <w:t>2558</w:t>
        </w:r>
      </w:hyperlink>
      <w:r w:rsidRPr="002367BA">
        <w:rPr>
          <w:rFonts w:eastAsia="MS Mincho"/>
        </w:rPr>
        <w:t xml:space="preserve"> – Studies on unwanted emission levels outside the allocated bands for fixed service systems operating in frequency bands from 94.1 GHz to 174.8 GHz for the protection of Earth exploration-satellite service (passive) operating in adjacent bands where footnote No. </w:t>
      </w:r>
      <w:r w:rsidRPr="002367BA">
        <w:rPr>
          <w:rFonts w:eastAsia="MS Mincho"/>
          <w:b/>
          <w:bCs/>
        </w:rPr>
        <w:t>5.340</w:t>
      </w:r>
      <w:r w:rsidRPr="002367BA">
        <w:rPr>
          <w:rFonts w:eastAsia="MS Mincho"/>
        </w:rPr>
        <w:t xml:space="preserve"> of the Radio Regulations applies</w:t>
      </w:r>
      <w:bookmarkStart w:id="9" w:name="_Hlk135149666"/>
      <w:bookmarkEnd w:id="8"/>
    </w:p>
    <w:p w14:paraId="6CBCBC39" w14:textId="77777777" w:rsidR="00C33CB8" w:rsidRPr="002367BA" w:rsidRDefault="00C33CB8" w:rsidP="00EB5BE8">
      <w:pPr>
        <w:rPr>
          <w:rFonts w:eastAsia="MS Mincho"/>
        </w:rPr>
      </w:pPr>
      <w:r w:rsidRPr="002367BA">
        <w:rPr>
          <w:rFonts w:eastAsia="MS Mincho"/>
        </w:rPr>
        <w:t>NOTE – In every case the latest edition of the Recommendation/Reports in force should be used</w:t>
      </w:r>
      <w:bookmarkEnd w:id="9"/>
      <w:r w:rsidRPr="002367BA">
        <w:rPr>
          <w:rFonts w:eastAsia="MS Mincho"/>
        </w:rPr>
        <w:t>.</w:t>
      </w:r>
    </w:p>
    <w:bookmarkEnd w:id="7"/>
    <w:p w14:paraId="1D4FB36E" w14:textId="77777777" w:rsidR="00C33CB8" w:rsidRPr="00C02AD4" w:rsidRDefault="00C33CB8" w:rsidP="00C33CB8">
      <w:pPr>
        <w:pStyle w:val="Normalaftertitle"/>
        <w:rPr>
          <w:szCs w:val="24"/>
        </w:rPr>
      </w:pPr>
      <w:r w:rsidRPr="00C02AD4">
        <w:t>The ITU Radiocommunication Assembly,</w:t>
      </w:r>
    </w:p>
    <w:p w14:paraId="15A339A9" w14:textId="77777777" w:rsidR="00C33CB8" w:rsidRPr="00C02AD4" w:rsidRDefault="00C33CB8" w:rsidP="00C33CB8">
      <w:pPr>
        <w:pStyle w:val="Call"/>
      </w:pPr>
      <w:r w:rsidRPr="00C02AD4">
        <w:t>considering</w:t>
      </w:r>
    </w:p>
    <w:p w14:paraId="31E7D2CD" w14:textId="77777777" w:rsidR="00C33CB8" w:rsidRPr="00E83E3E" w:rsidRDefault="00C33CB8" w:rsidP="00EB5BE8">
      <w:pPr>
        <w:rPr>
          <w:rFonts w:eastAsia="MS Mincho"/>
        </w:rPr>
      </w:pPr>
      <w:r w:rsidRPr="00E83E3E">
        <w:rPr>
          <w:rFonts w:eastAsia="MS Mincho"/>
          <w:i/>
          <w:iCs/>
        </w:rPr>
        <w:t>a)</w:t>
      </w:r>
      <w:r w:rsidRPr="00E83E3E">
        <w:rPr>
          <w:rFonts w:eastAsia="MS Mincho"/>
        </w:rPr>
        <w:tab/>
        <w:t>that there is need for very high capacity fixed links to provide backhauling of mobile cells and other multi-Gbit/s data links;</w:t>
      </w:r>
    </w:p>
    <w:p w14:paraId="258EC41D" w14:textId="77777777" w:rsidR="00C33CB8" w:rsidRPr="00E83E3E" w:rsidRDefault="00C33CB8" w:rsidP="00EB5BE8">
      <w:pPr>
        <w:rPr>
          <w:rFonts w:eastAsia="MS Mincho"/>
        </w:rPr>
      </w:pPr>
      <w:r w:rsidRPr="00E83E3E">
        <w:rPr>
          <w:rFonts w:eastAsia="MS Mincho"/>
          <w:i/>
          <w:iCs/>
        </w:rPr>
        <w:t>b)</w:t>
      </w:r>
      <w:r w:rsidRPr="00E83E3E">
        <w:rPr>
          <w:rFonts w:eastAsia="MS Mincho"/>
        </w:rPr>
        <w:tab/>
        <w:t>that the propagation characteristics of the frequency bands 130-134 GHz, 141-148.5 GHz, 151.5</w:t>
      </w:r>
      <w:r w:rsidRPr="00E83E3E">
        <w:rPr>
          <w:rFonts w:eastAsia="MS Mincho"/>
        </w:rPr>
        <w:noBreakHyphen/>
        <w:t xml:space="preserve">164 GHz and 167-174.8 GHz are ideally suited for use of short-range FS links with various occupied bandwidths in very high-density networks for applications </w:t>
      </w:r>
      <w:bookmarkStart w:id="10" w:name="_Hlk198819929"/>
      <w:r w:rsidRPr="00E83E3E">
        <w:rPr>
          <w:rFonts w:eastAsia="MS Mincho"/>
        </w:rPr>
        <w:t xml:space="preserve">in particular for </w:t>
      </w:r>
      <w:bookmarkEnd w:id="10"/>
      <w:r w:rsidRPr="00E83E3E">
        <w:rPr>
          <w:rFonts w:eastAsia="MS Mincho"/>
        </w:rPr>
        <w:t>backhaul/fronthaul for next generation mobile networks;</w:t>
      </w:r>
    </w:p>
    <w:p w14:paraId="71064481" w14:textId="77777777" w:rsidR="00C33CB8" w:rsidRPr="00E83E3E" w:rsidRDefault="00C33CB8" w:rsidP="00EB5BE8">
      <w:pPr>
        <w:rPr>
          <w:rFonts w:eastAsia="MS Mincho"/>
        </w:rPr>
      </w:pPr>
      <w:r w:rsidRPr="00E83E3E">
        <w:rPr>
          <w:rFonts w:eastAsia="MS Mincho"/>
          <w:i/>
          <w:iCs/>
        </w:rPr>
        <w:t>c)</w:t>
      </w:r>
      <w:r w:rsidRPr="00E83E3E">
        <w:rPr>
          <w:rFonts w:eastAsia="MS Mincho"/>
        </w:rPr>
        <w:tab/>
        <w:t>that FS applications may require different radio-frequency channel arrangements;</w:t>
      </w:r>
    </w:p>
    <w:p w14:paraId="187EFD01" w14:textId="3AD14E2E" w:rsidR="00C33CB8" w:rsidRPr="00E83E3E" w:rsidRDefault="00C33CB8" w:rsidP="00EB5BE8">
      <w:pPr>
        <w:rPr>
          <w:rFonts w:eastAsia="MS Mincho"/>
          <w:lang w:eastAsia="ja-JP"/>
        </w:rPr>
      </w:pPr>
      <w:r w:rsidRPr="00E83E3E">
        <w:rPr>
          <w:rFonts w:eastAsia="MS Mincho"/>
          <w:i/>
          <w:iCs/>
        </w:rPr>
        <w:t>d)</w:t>
      </w:r>
      <w:r w:rsidRPr="00E83E3E">
        <w:rPr>
          <w:rFonts w:eastAsia="MS Mincho"/>
        </w:rPr>
        <w:tab/>
        <w:t>that advanced point-to-point system technologies permit to use radiofrequency channels either unpaired (TDD or FD</w:t>
      </w:r>
      <w:r w:rsidRPr="00E83E3E">
        <w:rPr>
          <w:rFonts w:eastAsia="MS Mincho"/>
          <w:position w:val="6"/>
          <w:sz w:val="18"/>
        </w:rPr>
        <w:footnoteReference w:id="3"/>
      </w:r>
      <w:r w:rsidRPr="00E83E3E">
        <w:rPr>
          <w:rFonts w:eastAsia="MS Mincho"/>
        </w:rPr>
        <w:t>) or paired as narrow duplex systems (</w:t>
      </w:r>
      <w:proofErr w:type="spellStart"/>
      <w:r w:rsidRPr="00E83E3E">
        <w:rPr>
          <w:rFonts w:eastAsia="MS Mincho"/>
        </w:rPr>
        <w:t>fFDD</w:t>
      </w:r>
      <w:proofErr w:type="spellEnd"/>
      <w:r w:rsidR="004E1A67" w:rsidRPr="00E83E3E">
        <w:rPr>
          <w:rFonts w:eastAsia="MS Mincho"/>
        </w:rPr>
        <w:t>)</w:t>
      </w:r>
      <w:r w:rsidRPr="00E83E3E">
        <w:rPr>
          <w:rFonts w:eastAsia="MS Mincho"/>
          <w:position w:val="6"/>
          <w:sz w:val="18"/>
        </w:rPr>
        <w:footnoteReference w:id="4"/>
      </w:r>
      <w:r w:rsidRPr="00E83E3E">
        <w:rPr>
          <w:rFonts w:eastAsia="MS Mincho"/>
        </w:rPr>
        <w:t>;</w:t>
      </w:r>
    </w:p>
    <w:p w14:paraId="5ABCD7D1" w14:textId="77777777" w:rsidR="00C33CB8" w:rsidRPr="00E83E3E" w:rsidRDefault="00C33CB8" w:rsidP="00EB5BE8">
      <w:pPr>
        <w:rPr>
          <w:rFonts w:eastAsia="MS Mincho"/>
        </w:rPr>
      </w:pPr>
      <w:r w:rsidRPr="00E83E3E">
        <w:rPr>
          <w:rFonts w:eastAsia="MS Mincho"/>
          <w:i/>
          <w:iCs/>
        </w:rPr>
        <w:t>e)</w:t>
      </w:r>
      <w:r w:rsidRPr="00E83E3E">
        <w:rPr>
          <w:rFonts w:eastAsia="MS Mincho"/>
        </w:rPr>
        <w:tab/>
        <w:t>that, in some cases, a flexible sub-band or block arrangement can accommodate various FWS technologies;</w:t>
      </w:r>
    </w:p>
    <w:p w14:paraId="19B05F92" w14:textId="77777777" w:rsidR="00C33CB8" w:rsidRPr="00E83E3E" w:rsidRDefault="00C33CB8" w:rsidP="00EB5BE8">
      <w:pPr>
        <w:rPr>
          <w:rFonts w:eastAsia="MS Mincho"/>
        </w:rPr>
      </w:pPr>
      <w:r w:rsidRPr="00E83E3E">
        <w:rPr>
          <w:rFonts w:eastAsia="MS Mincho"/>
          <w:i/>
          <w:iCs/>
        </w:rPr>
        <w:t>f)</w:t>
      </w:r>
      <w:r w:rsidRPr="00E83E3E">
        <w:rPr>
          <w:rFonts w:eastAsia="MS Mincho"/>
        </w:rPr>
        <w:tab/>
        <w:t>that, as the propagation loss difference in the 130-134 GHz, 141-148.5 GHz, 151.5-164 GHz and 167-174.8 GHz is within the range of 1 dB for the hop lengths of up to 1 km, this also suggests the possibility of using these bands together for FDD links with large duplex separation, if necessary;</w:t>
      </w:r>
    </w:p>
    <w:p w14:paraId="1E4F1412" w14:textId="77777777" w:rsidR="00C33CB8" w:rsidRPr="00E83E3E" w:rsidRDefault="00C33CB8" w:rsidP="00EB5BE8">
      <w:pPr>
        <w:rPr>
          <w:rFonts w:eastAsia="MS Mincho"/>
        </w:rPr>
      </w:pPr>
      <w:r w:rsidRPr="00E83E3E">
        <w:rPr>
          <w:rFonts w:eastAsia="MS Mincho"/>
          <w:i/>
          <w:iCs/>
        </w:rPr>
        <w:t>g)</w:t>
      </w:r>
      <w:r w:rsidRPr="00E83E3E">
        <w:rPr>
          <w:rFonts w:eastAsia="MS Mincho"/>
        </w:rPr>
        <w:tab/>
        <w:t xml:space="preserve">that narrower duplex separation is also possible with advanced digital cancellation techniques and, when considering the very short wavelength in these bands, a small separate transmitter/receiver (TX/RX) antenna integral to the same equipment is feasible, </w:t>
      </w:r>
    </w:p>
    <w:p w14:paraId="5AC1BA93" w14:textId="5BC81293" w:rsidR="00C33CB8" w:rsidRPr="00E83E3E" w:rsidRDefault="00C33CB8" w:rsidP="00C33CB8">
      <w:pPr>
        <w:pStyle w:val="Call"/>
      </w:pPr>
      <w:r w:rsidRPr="00E83E3E">
        <w:t>recogni</w:t>
      </w:r>
      <w:r w:rsidR="004E1A67">
        <w:t>z</w:t>
      </w:r>
      <w:r w:rsidRPr="00E83E3E">
        <w:t>ing</w:t>
      </w:r>
    </w:p>
    <w:p w14:paraId="551F708B" w14:textId="1367C04A" w:rsidR="00C33CB8" w:rsidRPr="00E83E3E" w:rsidRDefault="00C33CB8" w:rsidP="00CC6E62">
      <w:pPr>
        <w:rPr>
          <w:rFonts w:eastAsia="MS Mincho"/>
          <w:lang w:eastAsia="ja-JP"/>
        </w:rPr>
      </w:pPr>
      <w:r w:rsidRPr="00E83E3E">
        <w:rPr>
          <w:rFonts w:eastAsia="MS Mincho"/>
          <w:i/>
          <w:iCs/>
          <w:lang w:eastAsia="ja-JP"/>
        </w:rPr>
        <w:t>a</w:t>
      </w:r>
      <w:r w:rsidRPr="00E83E3E">
        <w:rPr>
          <w:rFonts w:eastAsia="MS Mincho"/>
          <w:i/>
          <w:iCs/>
        </w:rPr>
        <w:t>)</w:t>
      </w:r>
      <w:r w:rsidRPr="00E83E3E">
        <w:rPr>
          <w:rFonts w:eastAsia="MS Mincho"/>
        </w:rPr>
        <w:tab/>
        <w:t xml:space="preserve">that ITU RR No. </w:t>
      </w:r>
      <w:r w:rsidRPr="00E83E3E">
        <w:rPr>
          <w:rFonts w:eastAsia="MS Mincho"/>
          <w:b/>
          <w:bCs/>
        </w:rPr>
        <w:t>5.340</w:t>
      </w:r>
      <w:r w:rsidRPr="00E83E3E">
        <w:rPr>
          <w:rFonts w:eastAsia="MS Mincho"/>
        </w:rPr>
        <w:t xml:space="preserve"> prohibits all emissions, inter alia, in the bands 148.5-151.5 GHz, 164</w:t>
      </w:r>
      <w:r w:rsidR="00CC6E62">
        <w:rPr>
          <w:rFonts w:eastAsia="MS Mincho"/>
        </w:rPr>
        <w:noBreakHyphen/>
      </w:r>
      <w:r w:rsidRPr="00E83E3E">
        <w:rPr>
          <w:rFonts w:eastAsia="MS Mincho"/>
        </w:rPr>
        <w:t>167 GHz, therefore care should be taken to limit the out-of-band emissions from FS operating in the bands 141-148.5 GHz, 151.5-164 GHz and 167-174.8 GHz into those adjacent bands</w:t>
      </w:r>
      <w:r w:rsidRPr="00E83E3E">
        <w:rPr>
          <w:rFonts w:eastAsia="MS Mincho"/>
          <w:lang w:eastAsia="ja-JP"/>
        </w:rPr>
        <w:t>;</w:t>
      </w:r>
    </w:p>
    <w:p w14:paraId="322D67DA" w14:textId="536E7BEC" w:rsidR="00C33CB8" w:rsidRPr="00E83E3E" w:rsidRDefault="00C33CB8" w:rsidP="00CC6E62">
      <w:pPr>
        <w:rPr>
          <w:rFonts w:eastAsia="MS Mincho"/>
          <w:lang w:eastAsia="ja-JP"/>
        </w:rPr>
      </w:pPr>
      <w:r w:rsidRPr="00E83E3E">
        <w:rPr>
          <w:rFonts w:eastAsia="MS Mincho"/>
          <w:i/>
          <w:iCs/>
          <w:lang w:eastAsia="ja-JP"/>
        </w:rPr>
        <w:t>b</w:t>
      </w:r>
      <w:r w:rsidRPr="00E83E3E">
        <w:rPr>
          <w:rFonts w:eastAsia="MS Mincho"/>
          <w:i/>
          <w:iCs/>
        </w:rPr>
        <w:t>)</w:t>
      </w:r>
      <w:r w:rsidRPr="00E83E3E">
        <w:rPr>
          <w:rFonts w:eastAsia="MS Mincho"/>
        </w:rPr>
        <w:tab/>
        <w:t>that Recommendation ITU-R F.1519 provides guidance on frequency arrangements based on frequency blocks for systems in the fixed service</w:t>
      </w:r>
      <w:r w:rsidR="004E1A67">
        <w:rPr>
          <w:rFonts w:eastAsia="MS Mincho"/>
          <w:lang w:eastAsia="ja-JP"/>
        </w:rPr>
        <w:t>;</w:t>
      </w:r>
    </w:p>
    <w:p w14:paraId="12F5EA7E" w14:textId="48B77E30" w:rsidR="00C33CB8" w:rsidRPr="00E83E3E" w:rsidRDefault="00C33CB8" w:rsidP="00CC6E62">
      <w:pPr>
        <w:rPr>
          <w:rFonts w:eastAsia="MS Mincho"/>
        </w:rPr>
      </w:pPr>
      <w:r w:rsidRPr="00E83E3E">
        <w:rPr>
          <w:rFonts w:eastAsia="MS Mincho"/>
          <w:i/>
          <w:iCs/>
        </w:rPr>
        <w:t>c)</w:t>
      </w:r>
      <w:r w:rsidRPr="00E83E3E">
        <w:rPr>
          <w:rFonts w:eastAsia="MS Mincho"/>
        </w:rPr>
        <w:tab/>
        <w:t>that the frequency bands 130-134 GHz, 141-148.5 GHz, 151.5-164 GHz and 167</w:t>
      </w:r>
      <w:r w:rsidRPr="00E83E3E">
        <w:rPr>
          <w:rFonts w:eastAsia="MS Mincho"/>
        </w:rPr>
        <w:noBreakHyphen/>
        <w:t>174.8 GHz are allocated on a primary basis to fixed service, as well as other co-primary services</w:t>
      </w:r>
      <w:r w:rsidR="00CC6E62">
        <w:rPr>
          <w:rFonts w:eastAsia="MS Mincho"/>
        </w:rPr>
        <w:t>,</w:t>
      </w:r>
    </w:p>
    <w:p w14:paraId="7F31A482" w14:textId="77777777" w:rsidR="00C33CB8" w:rsidRPr="00E83E3E" w:rsidRDefault="00C33CB8" w:rsidP="00C33CB8">
      <w:pPr>
        <w:pStyle w:val="Call"/>
        <w:rPr>
          <w:rFonts w:eastAsia="MS Mincho"/>
        </w:rPr>
      </w:pPr>
      <w:r w:rsidRPr="00E83E3E">
        <w:rPr>
          <w:rFonts w:eastAsia="MS Mincho"/>
        </w:rPr>
        <w:lastRenderedPageBreak/>
        <w:t>recommends</w:t>
      </w:r>
    </w:p>
    <w:p w14:paraId="2E810D08" w14:textId="1D458897" w:rsidR="00C33CB8" w:rsidRPr="00E83E3E" w:rsidRDefault="00C33CB8" w:rsidP="00CC6E62">
      <w:pPr>
        <w:rPr>
          <w:rFonts w:eastAsia="MS Mincho"/>
        </w:rPr>
      </w:pPr>
      <w:r w:rsidRPr="00E83E3E">
        <w:rPr>
          <w:rFonts w:eastAsia="MS Mincho"/>
          <w:bCs/>
        </w:rPr>
        <w:t>1</w:t>
      </w:r>
      <w:r w:rsidRPr="00E83E3E">
        <w:rPr>
          <w:rFonts w:eastAsia="MS Mincho"/>
        </w:rPr>
        <w:tab/>
        <w:t>that the preferred radio-frequency channel or block arrangement for the 130-134 GHz, 141</w:t>
      </w:r>
      <w:r w:rsidR="00CC6E62">
        <w:rPr>
          <w:rFonts w:eastAsia="MS Mincho"/>
        </w:rPr>
        <w:noBreakHyphen/>
      </w:r>
      <w:r w:rsidRPr="00E83E3E">
        <w:rPr>
          <w:rFonts w:eastAsia="MS Mincho"/>
        </w:rPr>
        <w:t>148.5 GHz, 151.5-164 GHz and 167-174.8 GHz for FS links should consider using the basic 250 MHz channel raster arrangements given in Annex 1;</w:t>
      </w:r>
    </w:p>
    <w:p w14:paraId="27DDC4D9" w14:textId="77777777" w:rsidR="00C33CB8" w:rsidRPr="00E83E3E" w:rsidRDefault="00C33CB8" w:rsidP="00CC6E62">
      <w:pPr>
        <w:rPr>
          <w:rFonts w:eastAsia="MS Mincho"/>
        </w:rPr>
      </w:pPr>
      <w:r w:rsidRPr="00E83E3E">
        <w:rPr>
          <w:rFonts w:eastAsia="MS Mincho"/>
          <w:bCs/>
        </w:rPr>
        <w:t>2</w:t>
      </w:r>
      <w:r w:rsidRPr="00E83E3E">
        <w:rPr>
          <w:rFonts w:eastAsia="MS Mincho"/>
        </w:rPr>
        <w:tab/>
        <w:t>that flexible aggregation of those 250 MHz basic channels for composing wider channels, while taking into account appropriate spectrum efficiency, should be considered;</w:t>
      </w:r>
    </w:p>
    <w:p w14:paraId="01D5839D" w14:textId="77777777" w:rsidR="00C33CB8" w:rsidRPr="00E83E3E" w:rsidRDefault="00C33CB8" w:rsidP="00CC6E62">
      <w:pPr>
        <w:rPr>
          <w:rFonts w:eastAsia="MS Mincho"/>
        </w:rPr>
      </w:pPr>
      <w:r w:rsidRPr="00E83E3E">
        <w:rPr>
          <w:rFonts w:eastAsia="MS Mincho"/>
          <w:bCs/>
        </w:rPr>
        <w:t>3</w:t>
      </w:r>
      <w:r w:rsidRPr="00E83E3E">
        <w:rPr>
          <w:rFonts w:eastAsia="MS Mincho"/>
        </w:rPr>
        <w:tab/>
      </w:r>
      <w:r w:rsidRPr="00E83E3E">
        <w:rPr>
          <w:rFonts w:eastAsia="MS Mincho"/>
          <w:lang w:eastAsia="ko-KR"/>
        </w:rPr>
        <w:t xml:space="preserve">that to use block-based assignment, derived by channel aggregation, in line with the example shown in Annex 2, blocks should be multiple of 250 MHz </w:t>
      </w:r>
      <w:proofErr w:type="gramStart"/>
      <w:r w:rsidRPr="00E83E3E">
        <w:rPr>
          <w:rFonts w:eastAsia="MS Mincho"/>
          <w:lang w:eastAsia="ko-KR"/>
        </w:rPr>
        <w:t>wide</w:t>
      </w:r>
      <w:proofErr w:type="gramEnd"/>
      <w:r w:rsidRPr="00E83E3E">
        <w:rPr>
          <w:rFonts w:eastAsia="MS Mincho"/>
          <w:lang w:eastAsia="ko-KR"/>
        </w:rPr>
        <w:t xml:space="preserve"> and their use should permit any suitable channel size and duplex method as shown in the examples given in Annex </w:t>
      </w:r>
      <w:proofErr w:type="gramStart"/>
      <w:r w:rsidRPr="00E83E3E">
        <w:rPr>
          <w:rFonts w:eastAsia="MS Mincho"/>
          <w:lang w:eastAsia="ko-KR"/>
        </w:rPr>
        <w:t>2;</w:t>
      </w:r>
      <w:proofErr w:type="gramEnd"/>
    </w:p>
    <w:p w14:paraId="7726DC26" w14:textId="53B04C28" w:rsidR="00C33CB8" w:rsidRPr="00E83E3E" w:rsidRDefault="00C33CB8" w:rsidP="00CC6E62">
      <w:pPr>
        <w:rPr>
          <w:rFonts w:eastAsia="MS Mincho"/>
        </w:rPr>
      </w:pPr>
      <w:r w:rsidRPr="00E83E3E">
        <w:rPr>
          <w:rFonts w:eastAsia="MS Mincho"/>
        </w:rPr>
        <w:t>4</w:t>
      </w:r>
      <w:r w:rsidRPr="00E83E3E">
        <w:rPr>
          <w:rFonts w:eastAsia="MS Mincho"/>
        </w:rPr>
        <w:tab/>
        <w:t>that traditional FDD duplex channels, may be assigned in the bands 130-134 GHz, 141</w:t>
      </w:r>
      <w:r w:rsidRPr="00E83E3E">
        <w:rPr>
          <w:rFonts w:eastAsia="MS Mincho"/>
        </w:rPr>
        <w:noBreakHyphen/>
        <w:t>148.5</w:t>
      </w:r>
      <w:r w:rsidR="006F3BF6">
        <w:rPr>
          <w:rFonts w:eastAsia="MS Mincho"/>
        </w:rPr>
        <w:t> </w:t>
      </w:r>
      <w:r w:rsidRPr="00E83E3E">
        <w:rPr>
          <w:rFonts w:eastAsia="MS Mincho"/>
        </w:rPr>
        <w:t>GHz, 151.5-164 GHz and 167-174.8 GHz, used as paired bands, with the adoption of suitable duplex spacing &gt;</w:t>
      </w:r>
      <w:r w:rsidR="006F3BF6">
        <w:rPr>
          <w:rFonts w:eastAsia="MS Mincho"/>
        </w:rPr>
        <w:t xml:space="preserve"> </w:t>
      </w:r>
      <w:r w:rsidRPr="00E83E3E">
        <w:rPr>
          <w:rFonts w:eastAsia="MS Mincho"/>
        </w:rPr>
        <w:t>15 GHz; Annex 3, should be considered as an example.</w:t>
      </w:r>
    </w:p>
    <w:p w14:paraId="28D88DE7" w14:textId="77777777" w:rsidR="00C33CB8" w:rsidRPr="00C02AD4" w:rsidRDefault="00C33CB8" w:rsidP="00C33CB8">
      <w:pPr>
        <w:rPr>
          <w:rFonts w:eastAsia="Batang"/>
        </w:rPr>
      </w:pPr>
    </w:p>
    <w:p w14:paraId="16C89749" w14:textId="77777777" w:rsidR="00C33CB8" w:rsidRPr="00C02AD4" w:rsidRDefault="00C33CB8" w:rsidP="00C33CB8">
      <w:pPr>
        <w:rPr>
          <w:rFonts w:eastAsia="Batang"/>
        </w:rPr>
      </w:pPr>
    </w:p>
    <w:p w14:paraId="2860801F" w14:textId="77777777" w:rsidR="00C33CB8" w:rsidRDefault="00C33CB8" w:rsidP="00C33CB8">
      <w:pPr>
        <w:pStyle w:val="AnnexNoTitle"/>
      </w:pPr>
      <w:bookmarkStart w:id="11" w:name="_Toc199936721"/>
      <w:bookmarkStart w:id="12" w:name="_Toc202792385"/>
      <w:r w:rsidRPr="00C02AD4">
        <w:t>Annex</w:t>
      </w:r>
      <w:bookmarkEnd w:id="11"/>
      <w:bookmarkEnd w:id="12"/>
      <w:r>
        <w:t xml:space="preserve"> 1</w:t>
      </w:r>
      <w:r>
        <w:br/>
      </w:r>
      <w:r>
        <w:br/>
      </w:r>
      <w:r w:rsidRPr="00A54AC2">
        <w:t>Radio-frequency channel arrangement in the band 130-174.8 GHz</w:t>
      </w:r>
    </w:p>
    <w:p w14:paraId="191FEC5F" w14:textId="77777777" w:rsidR="00C33CB8" w:rsidRPr="00C02AD4" w:rsidRDefault="00C33CB8" w:rsidP="00C33CB8">
      <w:pPr>
        <w:pStyle w:val="Headingb"/>
        <w:rPr>
          <w:bCs/>
          <w:sz w:val="28"/>
          <w:szCs w:val="22"/>
          <w:lang w:eastAsia="zh-CN"/>
        </w:rPr>
      </w:pPr>
      <w:r w:rsidRPr="00A54AC2">
        <w:t>Basic channel raster</w:t>
      </w:r>
    </w:p>
    <w:p w14:paraId="78BBBA72" w14:textId="77777777" w:rsidR="00C33CB8" w:rsidRDefault="00C33CB8" w:rsidP="00C33CB8">
      <w:bookmarkStart w:id="13" w:name="_Hlk195534382"/>
      <w:r>
        <w:t xml:space="preserve">Figure 1 shows </w:t>
      </w:r>
      <w:r w:rsidRPr="00A54AC2">
        <w:t>the subdivision of the available bands into 250 MHz elementary channels; at least 125 MHz guard bands are provided.</w:t>
      </w:r>
    </w:p>
    <w:p w14:paraId="54ECA19F" w14:textId="77777777" w:rsidR="00C33CB8" w:rsidRPr="00C02AD4" w:rsidRDefault="00C33CB8" w:rsidP="00C33CB8">
      <w:pPr>
        <w:pStyle w:val="FigureNo"/>
      </w:pPr>
      <w:r w:rsidRPr="00C02AD4">
        <w:t>Figure 1</w:t>
      </w:r>
    </w:p>
    <w:p w14:paraId="1501347F" w14:textId="77777777" w:rsidR="00C33CB8" w:rsidRDefault="00C33CB8" w:rsidP="00C33CB8">
      <w:pPr>
        <w:pStyle w:val="Figuretitle"/>
      </w:pPr>
      <w:r w:rsidRPr="00A54AC2">
        <w:t>Basic channels raster for FS use in the 130-174.8 GHz band</w:t>
      </w:r>
    </w:p>
    <w:p w14:paraId="6A47968B" w14:textId="458AFF5E" w:rsidR="00C33CB8" w:rsidRPr="00784190" w:rsidRDefault="00485A33" w:rsidP="00C33CB8">
      <w:pPr>
        <w:pStyle w:val="Figure"/>
      </w:pPr>
      <w:r>
        <w:rPr>
          <w:noProof/>
        </w:rPr>
        <w:drawing>
          <wp:inline distT="0" distB="0" distL="0" distR="0" wp14:anchorId="00739623" wp14:editId="6EF38A06">
            <wp:extent cx="6120765" cy="2426335"/>
            <wp:effectExtent l="0" t="635" r="0" b="0"/>
            <wp:docPr id="602738263" name="Picture 1" descr="Basic channels raster for FS use in the 130-174.8 GHz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38263" name="Picture 1" descr="Basic channels raster for FS use in the 130-174.8 GHz ban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765" cy="2426335"/>
                    </a:xfrm>
                    <a:prstGeom prst="rect">
                      <a:avLst/>
                    </a:prstGeom>
                  </pic:spPr>
                </pic:pic>
              </a:graphicData>
            </a:graphic>
          </wp:inline>
        </w:drawing>
      </w:r>
    </w:p>
    <w:p w14:paraId="57674B5B" w14:textId="77777777" w:rsidR="00C33CB8" w:rsidRPr="00F8546E" w:rsidRDefault="00C33CB8" w:rsidP="006F3BF6">
      <w:pPr>
        <w:pStyle w:val="Normalaftertitle"/>
        <w:rPr>
          <w:rFonts w:eastAsia="MS Mincho"/>
        </w:rPr>
      </w:pPr>
      <w:r w:rsidRPr="00F8546E">
        <w:rPr>
          <w:rFonts w:eastAsia="MS Mincho"/>
          <w:bCs/>
        </w:rPr>
        <w:t>Centre</w:t>
      </w:r>
      <w:r w:rsidRPr="00F8546E">
        <w:rPr>
          <w:rFonts w:eastAsia="MS Mincho"/>
        </w:rPr>
        <w:t xml:space="preserve"> frequency of channels can be obtained as follows: </w:t>
      </w:r>
    </w:p>
    <w:p w14:paraId="30C2BB60" w14:textId="77777777" w:rsidR="00C33CB8" w:rsidRPr="00F8546E" w:rsidRDefault="00C33CB8" w:rsidP="00C33CB8">
      <w:pPr>
        <w:tabs>
          <w:tab w:val="clear" w:pos="794"/>
          <w:tab w:val="clear" w:pos="1191"/>
          <w:tab w:val="clear" w:pos="1588"/>
          <w:tab w:val="clear" w:pos="1985"/>
          <w:tab w:val="left" w:pos="1134"/>
          <w:tab w:val="left" w:pos="1871"/>
          <w:tab w:val="left" w:pos="2608"/>
          <w:tab w:val="left" w:pos="3345"/>
        </w:tabs>
        <w:spacing w:before="80"/>
        <w:ind w:left="1134" w:hanging="1134"/>
        <w:jc w:val="left"/>
        <w:rPr>
          <w:rFonts w:eastAsia="MS Mincho"/>
        </w:rPr>
      </w:pPr>
      <w:r w:rsidRPr="00F8546E">
        <w:rPr>
          <w:rFonts w:eastAsia="MS Mincho"/>
        </w:rPr>
        <w:tab/>
      </w:r>
      <w:r w:rsidRPr="00F8546E">
        <w:rPr>
          <w:rFonts w:eastAsia="MS Mincho"/>
          <w:i/>
          <w:iCs/>
        </w:rPr>
        <w:t>F</w:t>
      </w:r>
      <w:r w:rsidRPr="00F8546E">
        <w:rPr>
          <w:rFonts w:eastAsia="MS Mincho"/>
          <w:i/>
          <w:iCs/>
          <w:vertAlign w:val="subscript"/>
        </w:rPr>
        <w:t>N</w:t>
      </w:r>
      <w:r w:rsidRPr="00F8546E">
        <w:rPr>
          <w:rFonts w:eastAsia="MS Mincho"/>
        </w:rPr>
        <w:t xml:space="preserve"> = 130 + </w:t>
      </w:r>
      <w:r w:rsidRPr="00F8546E">
        <w:rPr>
          <w:rFonts w:eastAsia="MS Mincho"/>
          <w:i/>
          <w:iCs/>
        </w:rPr>
        <w:t>N</w:t>
      </w:r>
      <w:r w:rsidRPr="00F8546E">
        <w:rPr>
          <w:rFonts w:eastAsia="MS Mincho"/>
        </w:rPr>
        <w:t xml:space="preserve"> × 0.250 GHz </w:t>
      </w:r>
      <w:r w:rsidRPr="00F8546E">
        <w:rPr>
          <w:rFonts w:eastAsia="MS Mincho"/>
        </w:rPr>
        <w:tab/>
      </w:r>
      <w:r w:rsidRPr="00F8546E">
        <w:rPr>
          <w:rFonts w:eastAsia="MS Mincho"/>
          <w:i/>
          <w:iCs/>
        </w:rPr>
        <w:t>N</w:t>
      </w:r>
      <w:r w:rsidRPr="00F8546E">
        <w:rPr>
          <w:rFonts w:eastAsia="MS Mincho"/>
        </w:rPr>
        <w:t>: 1 to 15</w:t>
      </w:r>
      <w:r w:rsidRPr="00F8546E">
        <w:rPr>
          <w:rFonts w:eastAsia="MS Mincho"/>
        </w:rPr>
        <w:tab/>
      </w:r>
      <w:r w:rsidRPr="00F8546E">
        <w:rPr>
          <w:rFonts w:eastAsia="MS Mincho"/>
        </w:rPr>
        <w:tab/>
        <w:t>Sub-band “a”</w:t>
      </w:r>
    </w:p>
    <w:p w14:paraId="399B1922" w14:textId="77777777" w:rsidR="00C33CB8" w:rsidRPr="00F8546E" w:rsidRDefault="00C33CB8" w:rsidP="00C33CB8">
      <w:pPr>
        <w:tabs>
          <w:tab w:val="clear" w:pos="794"/>
          <w:tab w:val="clear" w:pos="1191"/>
          <w:tab w:val="clear" w:pos="1588"/>
          <w:tab w:val="clear" w:pos="1985"/>
          <w:tab w:val="left" w:pos="1134"/>
          <w:tab w:val="left" w:pos="1871"/>
          <w:tab w:val="left" w:pos="2608"/>
          <w:tab w:val="left" w:pos="3345"/>
        </w:tabs>
        <w:spacing w:before="80"/>
        <w:ind w:left="1134" w:hanging="1134"/>
        <w:jc w:val="left"/>
        <w:rPr>
          <w:rFonts w:eastAsia="MS Mincho"/>
        </w:rPr>
      </w:pPr>
      <w:r w:rsidRPr="00F8546E">
        <w:rPr>
          <w:rFonts w:eastAsia="MS Mincho"/>
        </w:rPr>
        <w:tab/>
      </w:r>
      <w:r w:rsidRPr="00F8546E">
        <w:rPr>
          <w:rFonts w:eastAsia="MS Mincho"/>
          <w:i/>
          <w:iCs/>
        </w:rPr>
        <w:t>F</w:t>
      </w:r>
      <w:r w:rsidRPr="00F8546E">
        <w:rPr>
          <w:rFonts w:eastAsia="MS Mincho"/>
          <w:i/>
          <w:iCs/>
          <w:vertAlign w:val="subscript"/>
        </w:rPr>
        <w:t>N</w:t>
      </w:r>
      <w:r w:rsidRPr="00F8546E">
        <w:rPr>
          <w:rFonts w:eastAsia="MS Mincho"/>
        </w:rPr>
        <w:t xml:space="preserve"> = 141 + </w:t>
      </w:r>
      <w:r w:rsidRPr="00F8546E">
        <w:rPr>
          <w:rFonts w:eastAsia="MS Mincho"/>
          <w:i/>
          <w:iCs/>
        </w:rPr>
        <w:t>N</w:t>
      </w:r>
      <w:r w:rsidRPr="00F8546E">
        <w:rPr>
          <w:rFonts w:eastAsia="MS Mincho"/>
        </w:rPr>
        <w:t xml:space="preserve"> × 0.250 GHz </w:t>
      </w:r>
      <w:r w:rsidRPr="00F8546E">
        <w:rPr>
          <w:rFonts w:eastAsia="MS Mincho"/>
        </w:rPr>
        <w:tab/>
      </w:r>
      <w:r w:rsidRPr="00F8546E">
        <w:rPr>
          <w:rFonts w:eastAsia="MS Mincho"/>
          <w:i/>
          <w:iCs/>
        </w:rPr>
        <w:t>N</w:t>
      </w:r>
      <w:r w:rsidRPr="00F8546E">
        <w:rPr>
          <w:rFonts w:eastAsia="MS Mincho"/>
        </w:rPr>
        <w:t>: 1 to 29</w:t>
      </w:r>
      <w:r w:rsidRPr="00F8546E">
        <w:rPr>
          <w:rFonts w:eastAsia="MS Mincho"/>
        </w:rPr>
        <w:tab/>
      </w:r>
      <w:r w:rsidRPr="00F8546E">
        <w:rPr>
          <w:rFonts w:eastAsia="MS Mincho"/>
        </w:rPr>
        <w:tab/>
        <w:t>Sub-band “b”</w:t>
      </w:r>
    </w:p>
    <w:p w14:paraId="0E1FFD3A" w14:textId="77777777" w:rsidR="00C33CB8" w:rsidRPr="00F8546E" w:rsidRDefault="00C33CB8" w:rsidP="00C33CB8">
      <w:pPr>
        <w:tabs>
          <w:tab w:val="clear" w:pos="794"/>
          <w:tab w:val="clear" w:pos="1191"/>
          <w:tab w:val="clear" w:pos="1588"/>
          <w:tab w:val="clear" w:pos="1985"/>
          <w:tab w:val="left" w:pos="1134"/>
          <w:tab w:val="left" w:pos="1871"/>
          <w:tab w:val="left" w:pos="2608"/>
          <w:tab w:val="left" w:pos="3345"/>
        </w:tabs>
        <w:spacing w:before="80"/>
        <w:ind w:left="1134" w:hanging="1134"/>
        <w:jc w:val="left"/>
        <w:rPr>
          <w:rFonts w:eastAsia="MS Mincho"/>
        </w:rPr>
      </w:pPr>
      <w:r w:rsidRPr="00F8546E">
        <w:rPr>
          <w:rFonts w:eastAsia="MS Mincho"/>
        </w:rPr>
        <w:tab/>
      </w:r>
      <w:r w:rsidRPr="00F8546E">
        <w:rPr>
          <w:rFonts w:eastAsia="MS Mincho"/>
          <w:i/>
          <w:iCs/>
        </w:rPr>
        <w:t>F</w:t>
      </w:r>
      <w:r w:rsidRPr="00F8546E">
        <w:rPr>
          <w:rFonts w:eastAsia="MS Mincho"/>
          <w:i/>
          <w:iCs/>
          <w:vertAlign w:val="subscript"/>
        </w:rPr>
        <w:t>N</w:t>
      </w:r>
      <w:r w:rsidRPr="00F8546E">
        <w:rPr>
          <w:rFonts w:eastAsia="MS Mincho"/>
        </w:rPr>
        <w:t xml:space="preserve"> = 151.5 + </w:t>
      </w:r>
      <w:r w:rsidRPr="00F8546E">
        <w:rPr>
          <w:rFonts w:eastAsia="MS Mincho"/>
          <w:i/>
          <w:iCs/>
        </w:rPr>
        <w:t>N</w:t>
      </w:r>
      <w:r w:rsidRPr="00F8546E">
        <w:rPr>
          <w:rFonts w:eastAsia="MS Mincho"/>
        </w:rPr>
        <w:t xml:space="preserve"> × 0.250 GHz </w:t>
      </w:r>
      <w:r w:rsidRPr="00F8546E">
        <w:rPr>
          <w:rFonts w:eastAsia="MS Mincho"/>
        </w:rPr>
        <w:tab/>
      </w:r>
      <w:r w:rsidRPr="00F8546E">
        <w:rPr>
          <w:rFonts w:eastAsia="MS Mincho"/>
          <w:i/>
          <w:iCs/>
        </w:rPr>
        <w:t>N</w:t>
      </w:r>
      <w:r w:rsidRPr="00F8546E">
        <w:rPr>
          <w:rFonts w:eastAsia="MS Mincho"/>
        </w:rPr>
        <w:t>: 1 to 49</w:t>
      </w:r>
      <w:r w:rsidRPr="00F8546E">
        <w:rPr>
          <w:rFonts w:eastAsia="MS Mincho"/>
        </w:rPr>
        <w:tab/>
      </w:r>
      <w:r w:rsidRPr="00F8546E">
        <w:rPr>
          <w:rFonts w:eastAsia="MS Mincho"/>
        </w:rPr>
        <w:tab/>
        <w:t>Sub-band “c”</w:t>
      </w:r>
    </w:p>
    <w:p w14:paraId="7C4265AB" w14:textId="77777777" w:rsidR="00C33CB8" w:rsidRPr="00F8546E" w:rsidRDefault="00C33CB8" w:rsidP="00C33CB8">
      <w:pPr>
        <w:tabs>
          <w:tab w:val="clear" w:pos="794"/>
          <w:tab w:val="clear" w:pos="1191"/>
          <w:tab w:val="clear" w:pos="1588"/>
          <w:tab w:val="clear" w:pos="1985"/>
          <w:tab w:val="left" w:pos="1134"/>
          <w:tab w:val="left" w:pos="1871"/>
          <w:tab w:val="left" w:pos="2608"/>
          <w:tab w:val="left" w:pos="3345"/>
        </w:tabs>
        <w:spacing w:before="80"/>
        <w:ind w:left="1134" w:hanging="1134"/>
        <w:jc w:val="left"/>
        <w:rPr>
          <w:rFonts w:eastAsia="MS Mincho"/>
        </w:rPr>
      </w:pPr>
      <w:r w:rsidRPr="00F8546E">
        <w:rPr>
          <w:rFonts w:eastAsia="MS Mincho"/>
        </w:rPr>
        <w:tab/>
      </w:r>
      <w:r w:rsidRPr="00F8546E">
        <w:rPr>
          <w:rFonts w:eastAsia="MS Mincho"/>
          <w:i/>
          <w:iCs/>
        </w:rPr>
        <w:t>F</w:t>
      </w:r>
      <w:r w:rsidRPr="00F8546E">
        <w:rPr>
          <w:rFonts w:eastAsia="MS Mincho"/>
          <w:i/>
          <w:iCs/>
          <w:vertAlign w:val="subscript"/>
        </w:rPr>
        <w:t>N</w:t>
      </w:r>
      <w:r w:rsidRPr="00F8546E">
        <w:rPr>
          <w:rFonts w:eastAsia="MS Mincho"/>
        </w:rPr>
        <w:t xml:space="preserve"> = 167 + </w:t>
      </w:r>
      <w:r w:rsidRPr="00F8546E">
        <w:rPr>
          <w:rFonts w:eastAsia="MS Mincho"/>
          <w:i/>
          <w:iCs/>
        </w:rPr>
        <w:t>N</w:t>
      </w:r>
      <w:r w:rsidRPr="00F8546E">
        <w:rPr>
          <w:rFonts w:eastAsia="MS Mincho"/>
        </w:rPr>
        <w:t xml:space="preserve"> × 0.250 GHz </w:t>
      </w:r>
      <w:r w:rsidRPr="00F8546E">
        <w:rPr>
          <w:rFonts w:eastAsia="MS Mincho"/>
        </w:rPr>
        <w:tab/>
      </w:r>
      <w:r w:rsidRPr="00F8546E">
        <w:rPr>
          <w:rFonts w:eastAsia="MS Mincho"/>
          <w:i/>
          <w:iCs/>
        </w:rPr>
        <w:t>N</w:t>
      </w:r>
      <w:r w:rsidRPr="00F8546E">
        <w:rPr>
          <w:rFonts w:eastAsia="MS Mincho"/>
        </w:rPr>
        <w:t>: 1 to 30</w:t>
      </w:r>
      <w:r w:rsidRPr="00F8546E">
        <w:rPr>
          <w:rFonts w:eastAsia="MS Mincho"/>
        </w:rPr>
        <w:tab/>
      </w:r>
      <w:r w:rsidRPr="00F8546E">
        <w:rPr>
          <w:rFonts w:eastAsia="MS Mincho"/>
        </w:rPr>
        <w:tab/>
        <w:t>Sub-band “d”</w:t>
      </w:r>
    </w:p>
    <w:p w14:paraId="306F00A0" w14:textId="77777777" w:rsidR="00C33CB8" w:rsidRDefault="00C33CB8" w:rsidP="00C33CB8">
      <w:pPr>
        <w:pStyle w:val="AnnexNoTitle"/>
      </w:pPr>
      <w:r w:rsidRPr="00C02AD4">
        <w:lastRenderedPageBreak/>
        <w:t>Annex</w:t>
      </w:r>
      <w:r>
        <w:t xml:space="preserve"> 2</w:t>
      </w:r>
      <w:r>
        <w:br/>
      </w:r>
      <w:r>
        <w:br/>
      </w:r>
      <w:r w:rsidRPr="00A54AC2">
        <w:t>Block based use examples in the 130-174.8 GHz RF band</w:t>
      </w:r>
    </w:p>
    <w:p w14:paraId="2D77D6D0" w14:textId="77777777" w:rsidR="00C33CB8" w:rsidRPr="00C02AD4" w:rsidRDefault="00C33CB8" w:rsidP="00C33CB8">
      <w:pPr>
        <w:pStyle w:val="Headingb"/>
        <w:rPr>
          <w:bCs/>
          <w:sz w:val="28"/>
          <w:szCs w:val="22"/>
          <w:lang w:eastAsia="zh-CN"/>
        </w:rPr>
      </w:pPr>
      <w:r>
        <w:t>Aggregation of</w:t>
      </w:r>
      <w:r w:rsidRPr="00A54AC2">
        <w:t xml:space="preserve"> channels</w:t>
      </w:r>
    </w:p>
    <w:p w14:paraId="6978B77C" w14:textId="77777777" w:rsidR="00C33CB8" w:rsidRPr="008B155B" w:rsidRDefault="00C33CB8" w:rsidP="00C33CB8">
      <w:pPr>
        <w:tabs>
          <w:tab w:val="clear" w:pos="794"/>
          <w:tab w:val="clear" w:pos="1191"/>
          <w:tab w:val="clear" w:pos="1588"/>
          <w:tab w:val="clear" w:pos="1985"/>
          <w:tab w:val="left" w:pos="1134"/>
          <w:tab w:val="left" w:pos="1871"/>
          <w:tab w:val="left" w:pos="2268"/>
        </w:tabs>
        <w:jc w:val="left"/>
        <w:rPr>
          <w:rFonts w:eastAsia="MS Mincho"/>
        </w:rPr>
      </w:pPr>
      <w:r w:rsidRPr="008B155B">
        <w:rPr>
          <w:rFonts w:eastAsia="MS Mincho"/>
        </w:rPr>
        <w:t>Figure 2 provides an example of use of blocks covering the overall band.</w:t>
      </w:r>
    </w:p>
    <w:p w14:paraId="57240CA7" w14:textId="77777777" w:rsidR="00C33CB8" w:rsidRPr="0013792D" w:rsidRDefault="00C33CB8" w:rsidP="006F3BF6">
      <w:pPr>
        <w:pStyle w:val="FigureNo"/>
        <w:rPr>
          <w:rFonts w:eastAsia="MS Mincho"/>
        </w:rPr>
      </w:pPr>
      <w:r w:rsidRPr="0013792D">
        <w:rPr>
          <w:rFonts w:eastAsia="MS Mincho"/>
        </w:rPr>
        <w:t>FIGURE 2</w:t>
      </w:r>
    </w:p>
    <w:p w14:paraId="1D063F22" w14:textId="77777777" w:rsidR="00C33CB8" w:rsidRPr="0013792D" w:rsidRDefault="00C33CB8" w:rsidP="006F3BF6">
      <w:pPr>
        <w:pStyle w:val="Figuretitle"/>
        <w:rPr>
          <w:rFonts w:eastAsia="MS Mincho"/>
        </w:rPr>
      </w:pPr>
      <w:bookmarkStart w:id="14" w:name="_Ref501109213"/>
      <w:r w:rsidRPr="0013792D">
        <w:rPr>
          <w:rFonts w:eastAsia="MS Mincho"/>
        </w:rPr>
        <w:t>Example showing use of channels aggregated in blocks</w:t>
      </w:r>
      <w:bookmarkEnd w:id="14"/>
    </w:p>
    <w:p w14:paraId="13B0B460" w14:textId="5D6E5B02" w:rsidR="00C33CB8" w:rsidRPr="005A1442" w:rsidRDefault="005A1442" w:rsidP="005A1442">
      <w:pPr>
        <w:pStyle w:val="Figure"/>
        <w:rPr>
          <w:rFonts w:eastAsia="MS Mincho"/>
          <w:lang w:eastAsia="zh-CN"/>
        </w:rPr>
      </w:pPr>
      <w:r>
        <w:rPr>
          <w:rFonts w:eastAsia="MS Mincho"/>
          <w:noProof/>
          <w:lang w:eastAsia="zh-CN"/>
        </w:rPr>
        <w:drawing>
          <wp:inline distT="0" distB="0" distL="0" distR="0" wp14:anchorId="6DA63D22" wp14:editId="5D79CA07">
            <wp:extent cx="6120765" cy="2788285"/>
            <wp:effectExtent l="0" t="0" r="0" b="0"/>
            <wp:docPr id="2120003028" name="Picture 3" descr="Example showing use of channels aggregated in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03028" name="Picture 3" descr="Example showing use of channels aggregated in block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765" cy="2788285"/>
                    </a:xfrm>
                    <a:prstGeom prst="rect">
                      <a:avLst/>
                    </a:prstGeom>
                  </pic:spPr>
                </pic:pic>
              </a:graphicData>
            </a:graphic>
          </wp:inline>
        </w:drawing>
      </w:r>
    </w:p>
    <w:p w14:paraId="7D04831D" w14:textId="77777777" w:rsidR="00C33CB8" w:rsidRPr="0013792D" w:rsidRDefault="00C33CB8" w:rsidP="006F3BF6">
      <w:pPr>
        <w:pStyle w:val="Headingb"/>
        <w:rPr>
          <w:rFonts w:eastAsia="MS Mincho"/>
          <w:lang w:eastAsia="zh-CN"/>
        </w:rPr>
      </w:pPr>
      <w:r w:rsidRPr="0013792D">
        <w:rPr>
          <w:rFonts w:eastAsia="MS Mincho"/>
          <w:lang w:eastAsia="zh-CN"/>
        </w:rPr>
        <w:t>Block size</w:t>
      </w:r>
    </w:p>
    <w:p w14:paraId="3126F13D" w14:textId="77777777" w:rsidR="00C33CB8" w:rsidRPr="0013792D" w:rsidRDefault="00C33CB8" w:rsidP="00C33CB8">
      <w:pPr>
        <w:tabs>
          <w:tab w:val="clear" w:pos="794"/>
          <w:tab w:val="clear" w:pos="1191"/>
          <w:tab w:val="clear" w:pos="1588"/>
          <w:tab w:val="clear" w:pos="1985"/>
          <w:tab w:val="left" w:pos="1134"/>
          <w:tab w:val="left" w:pos="1871"/>
          <w:tab w:val="left" w:pos="2268"/>
        </w:tabs>
        <w:rPr>
          <w:rFonts w:eastAsia="MS Mincho"/>
        </w:rPr>
      </w:pPr>
      <w:r w:rsidRPr="0013792D">
        <w:rPr>
          <w:rFonts w:eastAsia="MS Mincho"/>
        </w:rPr>
        <w:t>Block size should be integer multiple of the basic 250 MHz channel size, in principle, no upper limit is given to block size, inside a specific sub-band. In the example given in Fig</w:t>
      </w:r>
      <w:r>
        <w:rPr>
          <w:rFonts w:eastAsia="MS Mincho"/>
        </w:rPr>
        <w:t>.</w:t>
      </w:r>
      <w:r w:rsidRPr="0013792D">
        <w:rPr>
          <w:rFonts w:eastAsia="MS Mincho"/>
        </w:rPr>
        <w:t xml:space="preserve"> 2, an average size of 2 000 MHz (8 basic channels) is considered.</w:t>
      </w:r>
    </w:p>
    <w:p w14:paraId="3E0174D2" w14:textId="77777777" w:rsidR="00C33CB8" w:rsidRPr="0013792D" w:rsidRDefault="00C33CB8" w:rsidP="006F3BF6">
      <w:pPr>
        <w:pStyle w:val="Headingb"/>
        <w:rPr>
          <w:rFonts w:eastAsia="MS Mincho"/>
          <w:lang w:eastAsia="zh-CN"/>
        </w:rPr>
      </w:pPr>
      <w:r w:rsidRPr="0013792D">
        <w:rPr>
          <w:rFonts w:eastAsia="MS Mincho"/>
          <w:lang w:eastAsia="zh-CN"/>
        </w:rPr>
        <w:t xml:space="preserve">Use of the channels/blocks </w:t>
      </w:r>
    </w:p>
    <w:p w14:paraId="58EB76F3" w14:textId="77777777" w:rsidR="00C33CB8" w:rsidRPr="0013792D" w:rsidRDefault="00C33CB8" w:rsidP="00C33CB8">
      <w:pPr>
        <w:tabs>
          <w:tab w:val="clear" w:pos="794"/>
          <w:tab w:val="clear" w:pos="1191"/>
          <w:tab w:val="clear" w:pos="1588"/>
          <w:tab w:val="clear" w:pos="1985"/>
          <w:tab w:val="left" w:pos="1134"/>
          <w:tab w:val="left" w:pos="1871"/>
          <w:tab w:val="left" w:pos="2268"/>
        </w:tabs>
        <w:rPr>
          <w:rFonts w:eastAsia="MS Mincho"/>
        </w:rPr>
      </w:pPr>
      <w:r w:rsidRPr="0013792D">
        <w:rPr>
          <w:rFonts w:eastAsia="MS Mincho"/>
        </w:rPr>
        <w:t xml:space="preserve">Provided that the 250 MHz raster or its aggregations are respected, channels inside the block(s) can be freely used in conventional FDD paired blocks, where the two blocks are used each one for a single direction of the link, or with possible use of go/return channels inside same block(s) (e.g. by switching the overall block between the two directions, as in TDD, or by using continuously the block for both directions, as flexible frequency division duplex </w:t>
      </w:r>
      <w:proofErr w:type="spellStart"/>
      <w:r w:rsidRPr="0013792D">
        <w:rPr>
          <w:rFonts w:eastAsia="MS Mincho"/>
        </w:rPr>
        <w:t>fFDD</w:t>
      </w:r>
      <w:proofErr w:type="spellEnd"/>
      <w:r w:rsidRPr="0013792D">
        <w:rPr>
          <w:rFonts w:eastAsia="MS Mincho"/>
          <w:lang w:eastAsia="ja-JP"/>
        </w:rPr>
        <w:t xml:space="preserve"> </w:t>
      </w:r>
      <w:r w:rsidRPr="0013792D">
        <w:rPr>
          <w:rFonts w:eastAsia="MS Mincho"/>
        </w:rPr>
        <w:t>and full duplex FD).</w:t>
      </w:r>
    </w:p>
    <w:p w14:paraId="5C3F403C" w14:textId="77777777" w:rsidR="00C33CB8" w:rsidRPr="0013792D" w:rsidRDefault="00C33CB8" w:rsidP="00C33CB8">
      <w:pPr>
        <w:tabs>
          <w:tab w:val="clear" w:pos="794"/>
          <w:tab w:val="clear" w:pos="1191"/>
          <w:tab w:val="clear" w:pos="1588"/>
          <w:tab w:val="clear" w:pos="1985"/>
          <w:tab w:val="left" w:pos="1134"/>
          <w:tab w:val="left" w:pos="1871"/>
          <w:tab w:val="left" w:pos="2268"/>
        </w:tabs>
        <w:rPr>
          <w:rFonts w:eastAsia="MS Mincho"/>
        </w:rPr>
      </w:pPr>
      <w:r w:rsidRPr="0013792D">
        <w:rPr>
          <w:rFonts w:eastAsia="MS Mincho"/>
        </w:rPr>
        <w:t>Within each block, symmetric or asymmetric combination of channels for go/return can be possible.</w:t>
      </w:r>
    </w:p>
    <w:p w14:paraId="01903696" w14:textId="15648BB7" w:rsidR="00C33CB8" w:rsidRPr="005656D5" w:rsidRDefault="00C33CB8" w:rsidP="00C33CB8">
      <w:pPr>
        <w:tabs>
          <w:tab w:val="clear" w:pos="794"/>
          <w:tab w:val="clear" w:pos="1191"/>
          <w:tab w:val="clear" w:pos="1588"/>
          <w:tab w:val="clear" w:pos="1985"/>
          <w:tab w:val="left" w:pos="1134"/>
          <w:tab w:val="left" w:pos="1871"/>
          <w:tab w:val="left" w:pos="2268"/>
        </w:tabs>
        <w:rPr>
          <w:rFonts w:eastAsia="MS Mincho"/>
        </w:rPr>
      </w:pPr>
      <w:r w:rsidRPr="005656D5">
        <w:rPr>
          <w:rFonts w:eastAsia="MS Mincho"/>
        </w:rPr>
        <w:t>Blocks can be used either alone or paired with suitable spacing &gt;</w:t>
      </w:r>
      <w:r w:rsidR="006F3BF6">
        <w:rPr>
          <w:rFonts w:eastAsia="MS Mincho"/>
        </w:rPr>
        <w:t> </w:t>
      </w:r>
      <w:r w:rsidRPr="005656D5">
        <w:rPr>
          <w:rFonts w:eastAsia="MS Mincho"/>
        </w:rPr>
        <w:t>15 GHz; e.g. in the example of Fig.</w:t>
      </w:r>
      <w:r>
        <w:rPr>
          <w:rFonts w:eastAsia="MS Mincho"/>
        </w:rPr>
        <w:t> </w:t>
      </w:r>
      <w:r w:rsidRPr="005656D5">
        <w:rPr>
          <w:rFonts w:eastAsia="MS Mincho"/>
        </w:rPr>
        <w:t>2 pairing block 2b with block 4c (with 15.5 GHz duplex spacing) or block 2a with block 2c (with 22 GHz duplex spacing).</w:t>
      </w:r>
    </w:p>
    <w:p w14:paraId="148AC47A" w14:textId="77777777" w:rsidR="00C33CB8" w:rsidRPr="005656D5" w:rsidRDefault="00C33CB8" w:rsidP="00C33CB8">
      <w:pPr>
        <w:tabs>
          <w:tab w:val="clear" w:pos="794"/>
          <w:tab w:val="clear" w:pos="1191"/>
          <w:tab w:val="clear" w:pos="1588"/>
          <w:tab w:val="clear" w:pos="1985"/>
          <w:tab w:val="left" w:pos="1134"/>
          <w:tab w:val="left" w:pos="1871"/>
          <w:tab w:val="left" w:pos="2268"/>
        </w:tabs>
        <w:rPr>
          <w:rFonts w:eastAsia="MS Mincho"/>
        </w:rPr>
      </w:pPr>
      <w:r w:rsidRPr="005656D5">
        <w:rPr>
          <w:rFonts w:eastAsia="MS Mincho"/>
        </w:rPr>
        <w:t xml:space="preserve">Examples of go/return coexistence inside same block(s) in </w:t>
      </w:r>
      <w:proofErr w:type="spellStart"/>
      <w:r w:rsidRPr="005656D5">
        <w:rPr>
          <w:rFonts w:eastAsia="MS Mincho"/>
        </w:rPr>
        <w:t>fFDD</w:t>
      </w:r>
      <w:proofErr w:type="spellEnd"/>
      <w:r w:rsidRPr="005656D5">
        <w:rPr>
          <w:rFonts w:eastAsia="MS Mincho"/>
        </w:rPr>
        <w:t xml:space="preserve"> for symmetric /asymmetric case are shown in Fig</w:t>
      </w:r>
      <w:r>
        <w:rPr>
          <w:rFonts w:eastAsia="MS Mincho"/>
        </w:rPr>
        <w:t>.</w:t>
      </w:r>
      <w:r w:rsidRPr="005656D5">
        <w:rPr>
          <w:rFonts w:eastAsia="MS Mincho"/>
        </w:rPr>
        <w:t xml:space="preserve"> 3 and Fig</w:t>
      </w:r>
      <w:r>
        <w:rPr>
          <w:rFonts w:eastAsia="MS Mincho"/>
        </w:rPr>
        <w:t>.</w:t>
      </w:r>
      <w:r w:rsidRPr="005656D5">
        <w:rPr>
          <w:rFonts w:eastAsia="MS Mincho"/>
        </w:rPr>
        <w:t xml:space="preserve"> 4 respectively.</w:t>
      </w:r>
    </w:p>
    <w:p w14:paraId="2AA047B3" w14:textId="77777777" w:rsidR="00C33CB8" w:rsidRPr="005656D5" w:rsidRDefault="00C33CB8" w:rsidP="00C33CB8">
      <w:pPr>
        <w:tabs>
          <w:tab w:val="clear" w:pos="794"/>
          <w:tab w:val="clear" w:pos="1191"/>
          <w:tab w:val="clear" w:pos="1588"/>
          <w:tab w:val="clear" w:pos="1985"/>
          <w:tab w:val="left" w:pos="1134"/>
          <w:tab w:val="left" w:pos="1871"/>
          <w:tab w:val="left" w:pos="2268"/>
        </w:tabs>
        <w:rPr>
          <w:rFonts w:eastAsia="MS Mincho"/>
        </w:rPr>
      </w:pPr>
      <w:r w:rsidRPr="005656D5">
        <w:rPr>
          <w:rFonts w:eastAsia="MS Mincho"/>
        </w:rPr>
        <w:t>Examples of conventional FDD use for symmetric /asymmetric case are shown in Fig</w:t>
      </w:r>
      <w:r>
        <w:rPr>
          <w:rFonts w:eastAsia="MS Mincho"/>
        </w:rPr>
        <w:t>.</w:t>
      </w:r>
      <w:r w:rsidRPr="005656D5">
        <w:rPr>
          <w:rFonts w:eastAsia="MS Mincho"/>
        </w:rPr>
        <w:t xml:space="preserve"> 5 and Fig</w:t>
      </w:r>
      <w:r>
        <w:rPr>
          <w:rFonts w:eastAsia="MS Mincho"/>
        </w:rPr>
        <w:t>.</w:t>
      </w:r>
      <w:r w:rsidRPr="005656D5">
        <w:rPr>
          <w:rFonts w:eastAsia="MS Mincho"/>
        </w:rPr>
        <w:t xml:space="preserve"> 6 respectively.</w:t>
      </w:r>
    </w:p>
    <w:p w14:paraId="61EB7907" w14:textId="77777777" w:rsidR="00C33CB8" w:rsidRPr="006F3BF6" w:rsidRDefault="00C33CB8" w:rsidP="006F3BF6">
      <w:pPr>
        <w:pStyle w:val="FigureNo"/>
        <w:rPr>
          <w:rFonts w:eastAsia="MS Mincho"/>
        </w:rPr>
      </w:pPr>
      <w:bookmarkStart w:id="15" w:name="_Ref501109301"/>
      <w:r w:rsidRPr="006F3BF6">
        <w:rPr>
          <w:rFonts w:eastAsia="MS Mincho"/>
        </w:rPr>
        <w:lastRenderedPageBreak/>
        <w:t>FIGURE 3</w:t>
      </w:r>
    </w:p>
    <w:p w14:paraId="218EDF51" w14:textId="77777777" w:rsidR="00C33CB8" w:rsidRPr="006F3BF6" w:rsidRDefault="00C33CB8" w:rsidP="006F3BF6">
      <w:pPr>
        <w:pStyle w:val="Figuretitle"/>
        <w:rPr>
          <w:rFonts w:eastAsia="MS Mincho"/>
        </w:rPr>
      </w:pPr>
      <w:r w:rsidRPr="006F3BF6">
        <w:rPr>
          <w:rFonts w:eastAsia="MS Mincho"/>
        </w:rPr>
        <w:t xml:space="preserve">Examples of In-block </w:t>
      </w:r>
      <w:proofErr w:type="spellStart"/>
      <w:r w:rsidRPr="006F3BF6">
        <w:rPr>
          <w:rFonts w:eastAsia="MS Mincho"/>
        </w:rPr>
        <w:t>fFDD</w:t>
      </w:r>
      <w:proofErr w:type="spellEnd"/>
      <w:r w:rsidRPr="006F3BF6">
        <w:rPr>
          <w:rFonts w:eastAsia="MS Mincho"/>
        </w:rPr>
        <w:t xml:space="preserve"> use examples for symmetric go-return channel size</w:t>
      </w:r>
      <w:bookmarkEnd w:id="15"/>
      <w:r w:rsidRPr="006F3BF6">
        <w:rPr>
          <w:rFonts w:eastAsia="MS Mincho"/>
        </w:rPr>
        <w:t xml:space="preserve"> </w:t>
      </w:r>
    </w:p>
    <w:p w14:paraId="0119F973" w14:textId="57EFF7BA" w:rsidR="00C33CB8" w:rsidRPr="00AD599D" w:rsidRDefault="005A1442" w:rsidP="006F3BF6">
      <w:pPr>
        <w:pStyle w:val="Figure"/>
        <w:rPr>
          <w:rFonts w:eastAsia="MS Mincho"/>
          <w:lang w:eastAsia="zh-CN"/>
        </w:rPr>
      </w:pPr>
      <w:r>
        <w:rPr>
          <w:rFonts w:eastAsia="MS Mincho"/>
          <w:noProof/>
          <w:lang w:eastAsia="zh-CN"/>
        </w:rPr>
        <w:drawing>
          <wp:inline distT="0" distB="0" distL="0" distR="0" wp14:anchorId="2BFF8A71" wp14:editId="45460F03">
            <wp:extent cx="5727204" cy="1447803"/>
            <wp:effectExtent l="0" t="0" r="6985" b="0"/>
            <wp:docPr id="1279533119" name="Picture 2" descr="Examples of In-block fFDD use examples for symmetric go-return channel siz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33119" name="Picture 2" descr="Examples of In-block fFDD use examples for symmetric go-return channel size "/>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27204" cy="1447803"/>
                    </a:xfrm>
                    <a:prstGeom prst="rect">
                      <a:avLst/>
                    </a:prstGeom>
                  </pic:spPr>
                </pic:pic>
              </a:graphicData>
            </a:graphic>
          </wp:inline>
        </w:drawing>
      </w:r>
    </w:p>
    <w:p w14:paraId="5C836E24" w14:textId="77777777" w:rsidR="00C33CB8" w:rsidRPr="006F3BF6" w:rsidRDefault="00C33CB8" w:rsidP="006F3BF6">
      <w:pPr>
        <w:pStyle w:val="FigureNo"/>
        <w:rPr>
          <w:rFonts w:eastAsia="MS Mincho"/>
        </w:rPr>
      </w:pPr>
      <w:bookmarkStart w:id="16" w:name="_Ref501109313"/>
      <w:r w:rsidRPr="006F3BF6">
        <w:rPr>
          <w:rFonts w:eastAsia="MS Mincho"/>
        </w:rPr>
        <w:t>FIGURE 4</w:t>
      </w:r>
    </w:p>
    <w:p w14:paraId="39255237" w14:textId="77777777" w:rsidR="00C33CB8" w:rsidRPr="006F3BF6" w:rsidRDefault="00C33CB8" w:rsidP="006F3BF6">
      <w:pPr>
        <w:pStyle w:val="Figuretitle"/>
        <w:rPr>
          <w:rFonts w:eastAsia="MS Mincho"/>
        </w:rPr>
      </w:pPr>
      <w:r w:rsidRPr="006F3BF6">
        <w:rPr>
          <w:rFonts w:eastAsia="MS Mincho"/>
        </w:rPr>
        <w:t xml:space="preserve">Examples of In-block </w:t>
      </w:r>
      <w:proofErr w:type="spellStart"/>
      <w:r w:rsidRPr="006F3BF6">
        <w:rPr>
          <w:rFonts w:eastAsia="MS Mincho"/>
        </w:rPr>
        <w:t>fFDD</w:t>
      </w:r>
      <w:proofErr w:type="spellEnd"/>
      <w:r w:rsidRPr="006F3BF6">
        <w:rPr>
          <w:rFonts w:eastAsia="MS Mincho"/>
        </w:rPr>
        <w:t xml:space="preserve"> use examples for asymmetric go-return channel size</w:t>
      </w:r>
      <w:bookmarkEnd w:id="16"/>
    </w:p>
    <w:p w14:paraId="67CFE5F0" w14:textId="6FB2C762" w:rsidR="00C33CB8" w:rsidRPr="00AD599D" w:rsidRDefault="00E75F4A" w:rsidP="006F3BF6">
      <w:pPr>
        <w:pStyle w:val="Figure"/>
        <w:rPr>
          <w:rFonts w:eastAsia="MS Mincho"/>
          <w:lang w:eastAsia="zh-CN"/>
        </w:rPr>
      </w:pPr>
      <w:r>
        <w:rPr>
          <w:rFonts w:eastAsia="MS Mincho"/>
          <w:noProof/>
          <w:lang w:eastAsia="zh-CN"/>
        </w:rPr>
        <w:drawing>
          <wp:inline distT="0" distB="0" distL="0" distR="0" wp14:anchorId="3897ED64" wp14:editId="00C7EB49">
            <wp:extent cx="3486919" cy="1798324"/>
            <wp:effectExtent l="0" t="0" r="0" b="0"/>
            <wp:docPr id="1515980760" name="Picture 4" descr="Examples of In-block fFDD use examples for asymmetric go-return channe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80760" name="Picture 4" descr="Examples of In-block fFDD use examples for asymmetric go-return channel siz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486919" cy="1798324"/>
                    </a:xfrm>
                    <a:prstGeom prst="rect">
                      <a:avLst/>
                    </a:prstGeom>
                  </pic:spPr>
                </pic:pic>
              </a:graphicData>
            </a:graphic>
          </wp:inline>
        </w:drawing>
      </w:r>
    </w:p>
    <w:p w14:paraId="2DB51FD9" w14:textId="77777777" w:rsidR="00C33CB8" w:rsidRPr="006F3BF6" w:rsidRDefault="00C33CB8" w:rsidP="006F3BF6">
      <w:pPr>
        <w:pStyle w:val="FigureNo"/>
        <w:rPr>
          <w:rFonts w:eastAsia="MS Mincho"/>
        </w:rPr>
      </w:pPr>
      <w:bookmarkStart w:id="17" w:name="_Ref501109329"/>
      <w:r w:rsidRPr="006F3BF6">
        <w:rPr>
          <w:rFonts w:eastAsia="MS Mincho"/>
        </w:rPr>
        <w:t>FIGURE 5</w:t>
      </w:r>
    </w:p>
    <w:p w14:paraId="1893A4BF" w14:textId="77777777" w:rsidR="00C33CB8" w:rsidRPr="006F3BF6" w:rsidRDefault="00C33CB8" w:rsidP="006F3BF6">
      <w:pPr>
        <w:pStyle w:val="Figuretitle"/>
        <w:rPr>
          <w:rFonts w:eastAsia="MS Mincho"/>
        </w:rPr>
      </w:pPr>
      <w:r w:rsidRPr="006F3BF6">
        <w:rPr>
          <w:rFonts w:eastAsia="MS Mincho"/>
        </w:rPr>
        <w:t>Example of paired blocks FDD use for symmetric go-return channel size</w:t>
      </w:r>
      <w:bookmarkEnd w:id="17"/>
    </w:p>
    <w:p w14:paraId="7323EFDA" w14:textId="686AA2A0" w:rsidR="00C33CB8" w:rsidRPr="00AD599D" w:rsidRDefault="00E75F4A" w:rsidP="00D9538A">
      <w:pPr>
        <w:pStyle w:val="Figure"/>
        <w:rPr>
          <w:rFonts w:eastAsia="MS Mincho"/>
          <w:lang w:eastAsia="zh-CN"/>
        </w:rPr>
      </w:pPr>
      <w:r>
        <w:rPr>
          <w:rFonts w:eastAsia="MS Mincho"/>
          <w:noProof/>
          <w:lang w:eastAsia="zh-CN"/>
        </w:rPr>
        <w:drawing>
          <wp:inline distT="0" distB="0" distL="0" distR="0" wp14:anchorId="5DEDD4C6" wp14:editId="5A696A29">
            <wp:extent cx="4675642" cy="1975108"/>
            <wp:effectExtent l="0" t="0" r="0" b="6350"/>
            <wp:docPr id="1073978312" name="Picture 5" descr="Example of paired blocks FDD use for symmetric go-return channe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78312" name="Picture 5" descr="Example of paired blocks FDD use for symmetric go-return channel siz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75642" cy="1975108"/>
                    </a:xfrm>
                    <a:prstGeom prst="rect">
                      <a:avLst/>
                    </a:prstGeom>
                  </pic:spPr>
                </pic:pic>
              </a:graphicData>
            </a:graphic>
          </wp:inline>
        </w:drawing>
      </w:r>
    </w:p>
    <w:p w14:paraId="44B56E70" w14:textId="77777777" w:rsidR="00C33CB8" w:rsidRPr="006F3BF6" w:rsidRDefault="00C33CB8" w:rsidP="006F3BF6">
      <w:pPr>
        <w:pStyle w:val="FigureNo"/>
        <w:rPr>
          <w:rFonts w:eastAsia="MS Mincho"/>
        </w:rPr>
      </w:pPr>
      <w:bookmarkStart w:id="18" w:name="_Ref501109358"/>
      <w:r w:rsidRPr="006F3BF6">
        <w:rPr>
          <w:rFonts w:eastAsia="MS Mincho"/>
        </w:rPr>
        <w:lastRenderedPageBreak/>
        <w:t>FIGURE 6</w:t>
      </w:r>
    </w:p>
    <w:p w14:paraId="7F5A9C6B" w14:textId="77777777" w:rsidR="00C33CB8" w:rsidRPr="006F3BF6" w:rsidRDefault="00C33CB8" w:rsidP="006F3BF6">
      <w:pPr>
        <w:pStyle w:val="Figuretitle"/>
        <w:rPr>
          <w:rFonts w:eastAsia="MS Mincho"/>
        </w:rPr>
      </w:pPr>
      <w:r w:rsidRPr="006F3BF6">
        <w:rPr>
          <w:rFonts w:eastAsia="MS Mincho"/>
        </w:rPr>
        <w:t>Example of paired blocks FDD use for asymmetric go-return channel size</w:t>
      </w:r>
    </w:p>
    <w:p w14:paraId="522FBDFD" w14:textId="7B84A2BE" w:rsidR="00C33CB8" w:rsidRDefault="00E75F4A" w:rsidP="00D9538A">
      <w:pPr>
        <w:pStyle w:val="Figure"/>
        <w:rPr>
          <w:rFonts w:eastAsia="MS Mincho"/>
          <w:lang w:eastAsia="zh-CN"/>
        </w:rPr>
      </w:pPr>
      <w:r>
        <w:rPr>
          <w:rFonts w:eastAsia="MS Mincho"/>
          <w:noProof/>
          <w:lang w:eastAsia="zh-CN"/>
        </w:rPr>
        <w:drawing>
          <wp:inline distT="0" distB="0" distL="0" distR="0" wp14:anchorId="2A64522E" wp14:editId="08B275EB">
            <wp:extent cx="4504953" cy="2145796"/>
            <wp:effectExtent l="0" t="0" r="0" b="6985"/>
            <wp:docPr id="1235432578" name="Picture 6" descr="Example of paired blocks FDD use for asymmetric go-return channe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32578" name="Picture 6" descr="Example of paired blocks FDD use for asymmetric go-return channel siz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04953" cy="2145796"/>
                    </a:xfrm>
                    <a:prstGeom prst="rect">
                      <a:avLst/>
                    </a:prstGeom>
                  </pic:spPr>
                </pic:pic>
              </a:graphicData>
            </a:graphic>
          </wp:inline>
        </w:drawing>
      </w:r>
    </w:p>
    <w:p w14:paraId="5B4200D1" w14:textId="77777777" w:rsidR="00E75F4A" w:rsidRPr="00E75F4A" w:rsidRDefault="00E75F4A" w:rsidP="00E75F4A">
      <w:pPr>
        <w:rPr>
          <w:rFonts w:eastAsia="MS Mincho"/>
          <w:lang w:eastAsia="zh-CN"/>
        </w:rPr>
      </w:pPr>
    </w:p>
    <w:bookmarkEnd w:id="18"/>
    <w:p w14:paraId="3E41B8E2" w14:textId="77777777" w:rsidR="00C33CB8" w:rsidRDefault="00C33CB8" w:rsidP="00C33CB8">
      <w:pPr>
        <w:pStyle w:val="AnnexNoTitle"/>
      </w:pPr>
      <w:r w:rsidRPr="00C02AD4">
        <w:t>Annex</w:t>
      </w:r>
      <w:r>
        <w:t xml:space="preserve"> 3</w:t>
      </w:r>
      <w:r>
        <w:br/>
      </w:r>
      <w:r>
        <w:br/>
      </w:r>
      <w:r w:rsidRPr="00A54AC2">
        <w:t xml:space="preserve">Possible example of channel arrangement for FDD use </w:t>
      </w:r>
      <w:r>
        <w:br/>
      </w:r>
      <w:r w:rsidRPr="00A54AC2">
        <w:t>in the 130-174.8 GHz RF band</w:t>
      </w:r>
    </w:p>
    <w:bookmarkEnd w:id="13"/>
    <w:p w14:paraId="7A5E8586" w14:textId="77777777" w:rsidR="00C33CB8" w:rsidRPr="00820D82" w:rsidRDefault="00C33CB8" w:rsidP="00D9538A">
      <w:pPr>
        <w:pStyle w:val="Normalaftertitle"/>
        <w:rPr>
          <w:rFonts w:eastAsia="MS Mincho"/>
        </w:rPr>
      </w:pPr>
      <w:r w:rsidRPr="00820D82">
        <w:rPr>
          <w:rFonts w:eastAsia="MS Mincho"/>
        </w:rPr>
        <w:t>Figure 7 present an example of channel arrangements for FDD use, complying with the recommended duplex spacing &gt;15 GHz.</w:t>
      </w:r>
      <w:r>
        <w:rPr>
          <w:rFonts w:eastAsia="MS Mincho"/>
        </w:rPr>
        <w:t xml:space="preserve"> </w:t>
      </w:r>
      <w:r w:rsidRPr="00820D82">
        <w:rPr>
          <w:rFonts w:eastAsia="MS Mincho"/>
        </w:rPr>
        <w:t>Due to the odd coupling of the four sub-bands available, large portions have to remain unpaired; in this example the higher sub-band d is kept fully unpaired. However, different solutions could be envisaged.</w:t>
      </w:r>
    </w:p>
    <w:p w14:paraId="17355434" w14:textId="77777777" w:rsidR="00C33CB8" w:rsidRPr="00820D82" w:rsidRDefault="00C33CB8" w:rsidP="00C33CB8">
      <w:pPr>
        <w:tabs>
          <w:tab w:val="clear" w:pos="794"/>
          <w:tab w:val="clear" w:pos="1191"/>
          <w:tab w:val="clear" w:pos="1588"/>
          <w:tab w:val="clear" w:pos="1985"/>
          <w:tab w:val="left" w:pos="1134"/>
          <w:tab w:val="left" w:pos="1871"/>
          <w:tab w:val="left" w:pos="2268"/>
        </w:tabs>
        <w:jc w:val="left"/>
        <w:rPr>
          <w:rFonts w:eastAsia="MS Mincho"/>
        </w:rPr>
      </w:pPr>
      <w:r w:rsidRPr="00820D82">
        <w:rPr>
          <w:rFonts w:eastAsia="MS Mincho"/>
        </w:rPr>
        <w:t xml:space="preserve">Unpaired channels could still be aggregated into unpaired blocks for TDD, FD or </w:t>
      </w:r>
      <w:proofErr w:type="spellStart"/>
      <w:r w:rsidRPr="00820D82">
        <w:rPr>
          <w:rFonts w:eastAsia="MS Mincho"/>
        </w:rPr>
        <w:t>fFDD</w:t>
      </w:r>
      <w:proofErr w:type="spellEnd"/>
      <w:r w:rsidRPr="00820D82">
        <w:rPr>
          <w:rFonts w:eastAsia="MS Mincho"/>
        </w:rPr>
        <w:t xml:space="preserve"> use.</w:t>
      </w:r>
    </w:p>
    <w:p w14:paraId="73EBFF5E" w14:textId="77777777" w:rsidR="00C33CB8" w:rsidRPr="00820D82" w:rsidRDefault="00C33CB8" w:rsidP="00D9538A">
      <w:pPr>
        <w:pStyle w:val="FigureNo"/>
        <w:rPr>
          <w:rFonts w:eastAsia="MS Mincho"/>
        </w:rPr>
      </w:pPr>
      <w:bookmarkStart w:id="19" w:name="_Ref501109406"/>
      <w:r w:rsidRPr="00820D82">
        <w:rPr>
          <w:rFonts w:eastAsia="MS Mincho"/>
        </w:rPr>
        <w:t>FIGURE 7</w:t>
      </w:r>
    </w:p>
    <w:p w14:paraId="3FB0A6FE" w14:textId="77777777" w:rsidR="00C33CB8" w:rsidRPr="00820D82" w:rsidRDefault="00C33CB8" w:rsidP="00D9538A">
      <w:pPr>
        <w:pStyle w:val="Figuretitle"/>
        <w:rPr>
          <w:rFonts w:eastAsia="MS Mincho"/>
        </w:rPr>
      </w:pPr>
      <w:r w:rsidRPr="00820D82">
        <w:rPr>
          <w:rFonts w:eastAsia="MS Mincho"/>
        </w:rPr>
        <w:t>Example showing use of channels as FDD in the 130-174.8 GHz band</w:t>
      </w:r>
    </w:p>
    <w:bookmarkEnd w:id="19"/>
    <w:p w14:paraId="77034333" w14:textId="302D420A" w:rsidR="00C33CB8" w:rsidRPr="00820D82" w:rsidRDefault="00A84607" w:rsidP="00D9538A">
      <w:pPr>
        <w:pStyle w:val="Figure"/>
        <w:rPr>
          <w:rFonts w:eastAsia="MS Mincho"/>
          <w:lang w:eastAsia="zh-CN"/>
        </w:rPr>
      </w:pPr>
      <w:r>
        <w:rPr>
          <w:rFonts w:eastAsia="MS Mincho"/>
          <w:noProof/>
          <w:lang w:eastAsia="zh-CN"/>
        </w:rPr>
        <w:drawing>
          <wp:inline distT="0" distB="0" distL="0" distR="0" wp14:anchorId="534B47A2" wp14:editId="576E803D">
            <wp:extent cx="6120765" cy="2899410"/>
            <wp:effectExtent l="0" t="0" r="0" b="0"/>
            <wp:docPr id="2125868152" name="Picture 7" descr="Example showing use of channels as FDD in the 130-174.8 GHz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68152" name="Picture 7" descr="Example showing use of channels as FDD in the 130-174.8 GHz ban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0765" cy="2899410"/>
                    </a:xfrm>
                    <a:prstGeom prst="rect">
                      <a:avLst/>
                    </a:prstGeom>
                  </pic:spPr>
                </pic:pic>
              </a:graphicData>
            </a:graphic>
          </wp:inline>
        </w:drawing>
      </w:r>
    </w:p>
    <w:p w14:paraId="5335EF11" w14:textId="77777777" w:rsidR="00C33CB8" w:rsidRPr="00820D82" w:rsidRDefault="00C33CB8" w:rsidP="00D9538A">
      <w:pPr>
        <w:pStyle w:val="Normalaftertitle"/>
        <w:rPr>
          <w:rFonts w:eastAsia="MS Mincho"/>
        </w:rPr>
      </w:pPr>
      <w:r w:rsidRPr="00820D82">
        <w:rPr>
          <w:rFonts w:eastAsia="MS Mincho"/>
        </w:rPr>
        <w:lastRenderedPageBreak/>
        <w:t xml:space="preserve">Go/return channels are subdivided in two sets (A, B) and two unpaired set (UL and UH) as shown </w:t>
      </w:r>
      <w:r w:rsidRPr="00820D82">
        <w:rPr>
          <w:rFonts w:eastAsia="MS Mincho" w:cs="Arial"/>
        </w:rPr>
        <w:t>in Fig</w:t>
      </w:r>
      <w:r>
        <w:rPr>
          <w:rFonts w:eastAsia="MS Mincho" w:cs="Arial"/>
        </w:rPr>
        <w:t>.</w:t>
      </w:r>
      <w:r w:rsidRPr="00820D82">
        <w:rPr>
          <w:rFonts w:eastAsia="MS Mincho" w:cs="Arial"/>
        </w:rPr>
        <w:t xml:space="preserve"> 7. Centre</w:t>
      </w:r>
      <w:r w:rsidRPr="00820D82">
        <w:rPr>
          <w:rFonts w:eastAsia="MS Mincho"/>
        </w:rPr>
        <w:t xml:space="preserve"> frequencies can be obtained by the following formulas.</w:t>
      </w:r>
    </w:p>
    <w:p w14:paraId="57213C9C" w14:textId="77777777" w:rsidR="00C33CB8" w:rsidRPr="00820D82" w:rsidRDefault="00C33CB8" w:rsidP="00D9538A">
      <w:pPr>
        <w:pStyle w:val="Headingb"/>
        <w:rPr>
          <w:rFonts w:eastAsia="MS Mincho"/>
          <w:lang w:eastAsia="zh-CN"/>
        </w:rPr>
      </w:pPr>
      <w:r w:rsidRPr="00820D82">
        <w:rPr>
          <w:rFonts w:eastAsia="MS Mincho"/>
          <w:lang w:eastAsia="zh-CN"/>
        </w:rPr>
        <w:t>Centre frequencies for channels with suffix A in Fig</w:t>
      </w:r>
      <w:r>
        <w:rPr>
          <w:rFonts w:eastAsia="MS Mincho"/>
          <w:lang w:eastAsia="zh-CN"/>
        </w:rPr>
        <w:t>.</w:t>
      </w:r>
      <w:r w:rsidRPr="00820D82">
        <w:rPr>
          <w:rFonts w:eastAsia="MS Mincho"/>
          <w:lang w:eastAsia="zh-CN"/>
        </w:rPr>
        <w:t xml:space="preserve"> 7</w:t>
      </w:r>
    </w:p>
    <w:p w14:paraId="311F19EB" w14:textId="77777777" w:rsidR="00C33CB8" w:rsidRPr="00820D82" w:rsidRDefault="00C33CB8" w:rsidP="00D9538A">
      <w:pPr>
        <w:rPr>
          <w:rFonts w:eastAsia="MS Mincho"/>
        </w:rPr>
      </w:pPr>
      <w:r w:rsidRPr="00820D82">
        <w:rPr>
          <w:rFonts w:eastAsia="MS Mincho"/>
        </w:rPr>
        <w:t>Duplex separation (DS): 21.5 GHz</w:t>
      </w:r>
    </w:p>
    <w:p w14:paraId="11321FC5" w14:textId="77777777" w:rsidR="00C33CB8" w:rsidRPr="00820D82" w:rsidRDefault="00C33CB8" w:rsidP="00C33CB8">
      <w:pPr>
        <w:tabs>
          <w:tab w:val="clear" w:pos="794"/>
          <w:tab w:val="clear" w:pos="1191"/>
          <w:tab w:val="clear" w:pos="1588"/>
          <w:tab w:val="clear" w:pos="1985"/>
          <w:tab w:val="left" w:pos="567"/>
          <w:tab w:val="left" w:pos="1134"/>
          <w:tab w:val="left" w:pos="1871"/>
          <w:tab w:val="left" w:pos="2608"/>
          <w:tab w:val="left" w:pos="3345"/>
        </w:tabs>
        <w:spacing w:before="80"/>
        <w:ind w:left="1134" w:hanging="1134"/>
        <w:jc w:val="left"/>
        <w:rPr>
          <w:rFonts w:eastAsia="MS Mincho"/>
        </w:rPr>
      </w:pPr>
      <w:r w:rsidRPr="00820D82">
        <w:rPr>
          <w:rFonts w:eastAsia="MS Mincho"/>
        </w:rPr>
        <w:tab/>
      </w:r>
      <w:r w:rsidRPr="00820D82">
        <w:rPr>
          <w:rFonts w:eastAsia="MS Mincho"/>
          <w:i/>
          <w:iCs/>
        </w:rPr>
        <w:t>FA</w:t>
      </w:r>
      <w:r w:rsidRPr="00820D82">
        <w:rPr>
          <w:rFonts w:eastAsia="MS Mincho"/>
          <w:i/>
          <w:iCs/>
          <w:vertAlign w:val="subscript"/>
        </w:rPr>
        <w:t>N</w:t>
      </w:r>
      <w:r w:rsidRPr="00820D82">
        <w:rPr>
          <w:rFonts w:eastAsia="MS Mincho"/>
        </w:rPr>
        <w:t xml:space="preserve"> = 130 + </w:t>
      </w:r>
      <w:r w:rsidRPr="00820D82">
        <w:rPr>
          <w:rFonts w:eastAsia="MS Mincho"/>
          <w:i/>
          <w:iCs/>
        </w:rPr>
        <w:t>N</w:t>
      </w:r>
      <w:r w:rsidRPr="00820D82">
        <w:rPr>
          <w:rFonts w:eastAsia="MS Mincho"/>
        </w:rPr>
        <w:t> × 0.250</w:t>
      </w:r>
      <w:r w:rsidRPr="00820D82">
        <w:rPr>
          <w:rFonts w:eastAsia="MS Mincho"/>
        </w:rPr>
        <w:tab/>
      </w:r>
      <w:r w:rsidRPr="00820D82">
        <w:rPr>
          <w:rFonts w:eastAsia="MS Mincho"/>
        </w:rPr>
        <w:tab/>
      </w:r>
      <w:r w:rsidRPr="00820D82">
        <w:rPr>
          <w:rFonts w:eastAsia="MS Mincho"/>
        </w:rPr>
        <w:tab/>
      </w:r>
      <w:r w:rsidRPr="00820D82">
        <w:rPr>
          <w:rFonts w:eastAsia="MS Mincho"/>
          <w:i/>
          <w:iCs/>
        </w:rPr>
        <w:t>N</w:t>
      </w:r>
      <w:r w:rsidRPr="00820D82">
        <w:rPr>
          <w:rFonts w:eastAsia="MS Mincho"/>
        </w:rPr>
        <w:t>: 1 to 15 (channels within sub-band 130-134 GHz)</w:t>
      </w:r>
    </w:p>
    <w:p w14:paraId="4AF98269" w14:textId="77777777" w:rsidR="00C33CB8" w:rsidRPr="00820D82" w:rsidRDefault="00C33CB8" w:rsidP="00C33CB8">
      <w:pPr>
        <w:tabs>
          <w:tab w:val="clear" w:pos="794"/>
          <w:tab w:val="clear" w:pos="1191"/>
          <w:tab w:val="clear" w:pos="1588"/>
          <w:tab w:val="clear" w:pos="1985"/>
          <w:tab w:val="left" w:pos="567"/>
          <w:tab w:val="left" w:pos="1134"/>
          <w:tab w:val="left" w:pos="1871"/>
          <w:tab w:val="left" w:pos="2608"/>
          <w:tab w:val="left" w:pos="3345"/>
        </w:tabs>
        <w:spacing w:before="80"/>
        <w:ind w:left="1134" w:hanging="1134"/>
        <w:jc w:val="left"/>
        <w:rPr>
          <w:rFonts w:eastAsia="MS Mincho"/>
        </w:rPr>
      </w:pPr>
      <w:r w:rsidRPr="00820D82">
        <w:rPr>
          <w:rFonts w:eastAsia="MS Mincho"/>
        </w:rPr>
        <w:tab/>
      </w:r>
      <w:r w:rsidRPr="00820D82">
        <w:rPr>
          <w:rFonts w:eastAsia="MS Mincho"/>
          <w:i/>
          <w:iCs/>
        </w:rPr>
        <w:t>F’A</w:t>
      </w:r>
      <w:r w:rsidRPr="00820D82">
        <w:rPr>
          <w:rFonts w:eastAsia="MS Mincho"/>
          <w:i/>
          <w:iCs/>
          <w:vertAlign w:val="subscript"/>
        </w:rPr>
        <w:t>N</w:t>
      </w:r>
      <w:r w:rsidRPr="00820D82">
        <w:rPr>
          <w:rFonts w:eastAsia="MS Mincho"/>
        </w:rPr>
        <w:t xml:space="preserve"> = 151.5 + </w:t>
      </w:r>
      <w:r w:rsidRPr="00820D82">
        <w:rPr>
          <w:rFonts w:eastAsia="MS Mincho"/>
          <w:i/>
          <w:iCs/>
        </w:rPr>
        <w:t>N</w:t>
      </w:r>
      <w:r w:rsidRPr="00820D82">
        <w:rPr>
          <w:rFonts w:eastAsia="MS Mincho"/>
        </w:rPr>
        <w:t xml:space="preserve"> × 0.250 GHz </w:t>
      </w:r>
      <w:r w:rsidRPr="00820D82">
        <w:rPr>
          <w:rFonts w:eastAsia="MS Mincho"/>
        </w:rPr>
        <w:tab/>
      </w:r>
      <w:r w:rsidRPr="00820D82">
        <w:rPr>
          <w:rFonts w:eastAsia="MS Mincho"/>
          <w:i/>
          <w:iCs/>
        </w:rPr>
        <w:t>N</w:t>
      </w:r>
      <w:r w:rsidRPr="00820D82">
        <w:rPr>
          <w:rFonts w:eastAsia="MS Mincho"/>
        </w:rPr>
        <w:t>: 1 to 15 (channels within sub-band 151.5-164 GHz)</w:t>
      </w:r>
    </w:p>
    <w:p w14:paraId="610CD8AC" w14:textId="77777777" w:rsidR="00C33CB8" w:rsidRPr="00820D82" w:rsidRDefault="00C33CB8" w:rsidP="00D9538A">
      <w:pPr>
        <w:pStyle w:val="Headingb"/>
        <w:rPr>
          <w:rFonts w:eastAsia="MS Mincho"/>
          <w:lang w:eastAsia="zh-CN"/>
        </w:rPr>
      </w:pPr>
      <w:r w:rsidRPr="00820D82">
        <w:rPr>
          <w:rFonts w:eastAsia="MS Mincho"/>
          <w:lang w:eastAsia="zh-CN"/>
        </w:rPr>
        <w:t>Centre frequencies for channels with suffix B in in Fig</w:t>
      </w:r>
      <w:r>
        <w:rPr>
          <w:rFonts w:eastAsia="MS Mincho"/>
          <w:lang w:eastAsia="zh-CN"/>
        </w:rPr>
        <w:t>.</w:t>
      </w:r>
      <w:r w:rsidRPr="00820D82">
        <w:rPr>
          <w:rFonts w:eastAsia="MS Mincho"/>
          <w:lang w:eastAsia="zh-CN"/>
        </w:rPr>
        <w:t xml:space="preserve"> 7</w:t>
      </w:r>
    </w:p>
    <w:p w14:paraId="44E13938" w14:textId="77777777" w:rsidR="00C33CB8" w:rsidRPr="00820D82" w:rsidRDefault="00C33CB8" w:rsidP="00D9538A">
      <w:pPr>
        <w:rPr>
          <w:rFonts w:eastAsia="MS Mincho"/>
        </w:rPr>
      </w:pPr>
      <w:r w:rsidRPr="00820D82">
        <w:rPr>
          <w:rFonts w:eastAsia="MS Mincho"/>
        </w:rPr>
        <w:t>Duplex separation (DS): 15.5 GHz</w:t>
      </w:r>
    </w:p>
    <w:p w14:paraId="0F5CE10E" w14:textId="77777777" w:rsidR="00C33CB8" w:rsidRPr="00820D82" w:rsidRDefault="00C33CB8" w:rsidP="00C33CB8">
      <w:pPr>
        <w:tabs>
          <w:tab w:val="clear" w:pos="794"/>
          <w:tab w:val="clear" w:pos="1191"/>
          <w:tab w:val="clear" w:pos="1588"/>
          <w:tab w:val="clear" w:pos="1985"/>
          <w:tab w:val="left" w:pos="567"/>
          <w:tab w:val="left" w:pos="1134"/>
          <w:tab w:val="left" w:pos="1871"/>
          <w:tab w:val="left" w:pos="2608"/>
          <w:tab w:val="left" w:pos="3345"/>
        </w:tabs>
        <w:spacing w:before="80"/>
        <w:ind w:left="1134" w:hanging="1134"/>
        <w:jc w:val="left"/>
        <w:rPr>
          <w:rFonts w:eastAsia="MS Mincho"/>
          <w:spacing w:val="-2"/>
        </w:rPr>
      </w:pPr>
      <w:r w:rsidRPr="00820D82">
        <w:rPr>
          <w:rFonts w:eastAsia="MS Mincho"/>
          <w:spacing w:val="-2"/>
        </w:rPr>
        <w:tab/>
      </w:r>
      <w:r w:rsidRPr="00820D82">
        <w:rPr>
          <w:rFonts w:eastAsia="MS Mincho"/>
          <w:i/>
          <w:iCs/>
          <w:spacing w:val="-2"/>
        </w:rPr>
        <w:t>FB</w:t>
      </w:r>
      <w:r w:rsidRPr="00820D82">
        <w:rPr>
          <w:rFonts w:eastAsia="MS Mincho"/>
          <w:i/>
          <w:iCs/>
          <w:spacing w:val="-2"/>
          <w:vertAlign w:val="subscript"/>
        </w:rPr>
        <w:t>N</w:t>
      </w:r>
      <w:r w:rsidRPr="00820D82">
        <w:rPr>
          <w:rFonts w:eastAsia="MS Mincho"/>
          <w:spacing w:val="-2"/>
        </w:rPr>
        <w:t xml:space="preserve"> = 141 + </w:t>
      </w:r>
      <w:r w:rsidRPr="00820D82">
        <w:rPr>
          <w:rFonts w:eastAsia="MS Mincho"/>
          <w:i/>
          <w:iCs/>
          <w:spacing w:val="-2"/>
        </w:rPr>
        <w:t>N</w:t>
      </w:r>
      <w:r w:rsidRPr="00820D82">
        <w:rPr>
          <w:rFonts w:eastAsia="MS Mincho"/>
          <w:spacing w:val="-2"/>
        </w:rPr>
        <w:t> × 0.250 GHz</w:t>
      </w:r>
      <w:r w:rsidRPr="00820D82">
        <w:rPr>
          <w:rFonts w:eastAsia="MS Mincho"/>
          <w:spacing w:val="-2"/>
        </w:rPr>
        <w:tab/>
      </w:r>
      <w:r w:rsidRPr="00820D82">
        <w:rPr>
          <w:rFonts w:eastAsia="MS Mincho"/>
          <w:spacing w:val="-2"/>
        </w:rPr>
        <w:tab/>
      </w:r>
      <w:r w:rsidRPr="00820D82">
        <w:rPr>
          <w:rFonts w:eastAsia="MS Mincho"/>
          <w:spacing w:val="-2"/>
        </w:rPr>
        <w:tab/>
      </w:r>
      <w:r w:rsidRPr="00820D82">
        <w:rPr>
          <w:rFonts w:eastAsia="MS Mincho"/>
          <w:i/>
          <w:iCs/>
          <w:spacing w:val="-2"/>
        </w:rPr>
        <w:t>N</w:t>
      </w:r>
      <w:r w:rsidRPr="00820D82">
        <w:rPr>
          <w:rFonts w:eastAsia="MS Mincho"/>
          <w:spacing w:val="-2"/>
        </w:rPr>
        <w:t>: 1 to 29 (channels within sub-band 141</w:t>
      </w:r>
      <w:r w:rsidRPr="00820D82">
        <w:rPr>
          <w:rFonts w:eastAsia="MS Mincho"/>
          <w:spacing w:val="-2"/>
        </w:rPr>
        <w:noBreakHyphen/>
        <w:t>148.5 GHz)</w:t>
      </w:r>
    </w:p>
    <w:p w14:paraId="7932830A" w14:textId="77777777" w:rsidR="00C33CB8" w:rsidRPr="00820D82" w:rsidRDefault="00C33CB8" w:rsidP="00C33CB8">
      <w:pPr>
        <w:tabs>
          <w:tab w:val="clear" w:pos="794"/>
          <w:tab w:val="clear" w:pos="1191"/>
          <w:tab w:val="clear" w:pos="1588"/>
          <w:tab w:val="clear" w:pos="1985"/>
          <w:tab w:val="left" w:pos="567"/>
          <w:tab w:val="left" w:pos="1134"/>
          <w:tab w:val="left" w:pos="1871"/>
          <w:tab w:val="left" w:pos="2608"/>
          <w:tab w:val="left" w:pos="3345"/>
        </w:tabs>
        <w:spacing w:before="80"/>
        <w:ind w:left="1134" w:hanging="1134"/>
        <w:jc w:val="left"/>
        <w:rPr>
          <w:rFonts w:eastAsia="MS Mincho"/>
        </w:rPr>
      </w:pPr>
      <w:r w:rsidRPr="00820D82">
        <w:rPr>
          <w:rFonts w:eastAsia="MS Mincho"/>
        </w:rPr>
        <w:tab/>
      </w:r>
      <w:r w:rsidRPr="00820D82">
        <w:rPr>
          <w:rFonts w:eastAsia="MS Mincho"/>
          <w:i/>
          <w:iCs/>
        </w:rPr>
        <w:t>F’B</w:t>
      </w:r>
      <w:r w:rsidRPr="00820D82">
        <w:rPr>
          <w:rFonts w:eastAsia="MS Mincho"/>
          <w:i/>
          <w:iCs/>
          <w:vertAlign w:val="subscript"/>
        </w:rPr>
        <w:t>N</w:t>
      </w:r>
      <w:r w:rsidRPr="00820D82">
        <w:rPr>
          <w:rFonts w:eastAsia="MS Mincho"/>
        </w:rPr>
        <w:t xml:space="preserve"> = 151.5 + 5 + </w:t>
      </w:r>
      <w:r w:rsidRPr="00820D82">
        <w:rPr>
          <w:rFonts w:eastAsia="MS Mincho"/>
          <w:i/>
          <w:iCs/>
        </w:rPr>
        <w:t>N</w:t>
      </w:r>
      <w:r w:rsidRPr="00820D82">
        <w:rPr>
          <w:rFonts w:eastAsia="MS Mincho"/>
        </w:rPr>
        <w:t> × 0.250 GHz</w:t>
      </w:r>
      <w:r w:rsidRPr="00820D82">
        <w:rPr>
          <w:rFonts w:eastAsia="MS Mincho"/>
        </w:rPr>
        <w:tab/>
      </w:r>
      <w:r w:rsidRPr="00820D82">
        <w:rPr>
          <w:rFonts w:eastAsia="MS Mincho"/>
          <w:i/>
          <w:iCs/>
        </w:rPr>
        <w:t>N</w:t>
      </w:r>
      <w:r w:rsidRPr="00820D82">
        <w:rPr>
          <w:rFonts w:eastAsia="MS Mincho"/>
        </w:rPr>
        <w:t>: 1 to 29 (channels within sub-band 151.5</w:t>
      </w:r>
      <w:r w:rsidRPr="00820D82">
        <w:rPr>
          <w:rFonts w:eastAsia="MS Mincho"/>
        </w:rPr>
        <w:noBreakHyphen/>
        <w:t>164 GHz)</w:t>
      </w:r>
    </w:p>
    <w:p w14:paraId="21DA163D" w14:textId="77777777" w:rsidR="00C33CB8" w:rsidRPr="00820D82" w:rsidRDefault="00C33CB8" w:rsidP="00D9538A">
      <w:pPr>
        <w:pStyle w:val="Headingb"/>
        <w:rPr>
          <w:rFonts w:eastAsia="MS Mincho"/>
          <w:lang w:eastAsia="zh-CN"/>
        </w:rPr>
      </w:pPr>
      <w:r w:rsidRPr="00820D82">
        <w:rPr>
          <w:rFonts w:eastAsia="MS Mincho"/>
          <w:lang w:eastAsia="zh-CN"/>
        </w:rPr>
        <w:t>Centre frequencies for channels with suffix UL in in Fig</w:t>
      </w:r>
      <w:r>
        <w:rPr>
          <w:rFonts w:eastAsia="MS Mincho"/>
          <w:lang w:eastAsia="zh-CN"/>
        </w:rPr>
        <w:t>.</w:t>
      </w:r>
      <w:r w:rsidRPr="00820D82">
        <w:rPr>
          <w:rFonts w:eastAsia="MS Mincho"/>
          <w:lang w:eastAsia="zh-CN"/>
        </w:rPr>
        <w:t xml:space="preserve"> 7</w:t>
      </w:r>
    </w:p>
    <w:p w14:paraId="4693E286" w14:textId="77777777" w:rsidR="00C33CB8" w:rsidRPr="00820D82" w:rsidRDefault="00C33CB8" w:rsidP="00C33CB8">
      <w:pPr>
        <w:keepNext/>
        <w:tabs>
          <w:tab w:val="clear" w:pos="794"/>
          <w:tab w:val="clear" w:pos="1191"/>
          <w:tab w:val="clear" w:pos="1588"/>
          <w:tab w:val="clear" w:pos="1985"/>
          <w:tab w:val="left" w:pos="567"/>
          <w:tab w:val="left" w:pos="1134"/>
          <w:tab w:val="left" w:pos="1871"/>
          <w:tab w:val="left" w:pos="2608"/>
          <w:tab w:val="left" w:pos="3345"/>
        </w:tabs>
        <w:spacing w:before="80"/>
        <w:ind w:left="1134" w:hanging="1134"/>
        <w:jc w:val="left"/>
        <w:rPr>
          <w:rFonts w:eastAsia="MS Mincho"/>
          <w:spacing w:val="-2"/>
        </w:rPr>
      </w:pPr>
      <w:r w:rsidRPr="00820D82">
        <w:rPr>
          <w:rFonts w:eastAsia="MS Mincho"/>
          <w:spacing w:val="-2"/>
        </w:rPr>
        <w:tab/>
      </w:r>
      <w:r w:rsidRPr="00820D82">
        <w:rPr>
          <w:rFonts w:eastAsia="MS Mincho"/>
          <w:i/>
          <w:iCs/>
          <w:spacing w:val="-2"/>
        </w:rPr>
        <w:t>FUL</w:t>
      </w:r>
      <w:r w:rsidRPr="00820D82">
        <w:rPr>
          <w:rFonts w:eastAsia="MS Mincho"/>
          <w:i/>
          <w:iCs/>
          <w:spacing w:val="-2"/>
          <w:vertAlign w:val="subscript"/>
        </w:rPr>
        <w:t>N</w:t>
      </w:r>
      <w:r w:rsidRPr="00820D82">
        <w:rPr>
          <w:rFonts w:eastAsia="MS Mincho"/>
          <w:spacing w:val="-2"/>
        </w:rPr>
        <w:t xml:space="preserve"> = 151.5 + 3.75 + </w:t>
      </w:r>
      <w:r w:rsidRPr="00820D82">
        <w:rPr>
          <w:rFonts w:eastAsia="MS Mincho"/>
          <w:i/>
          <w:iCs/>
          <w:spacing w:val="-2"/>
        </w:rPr>
        <w:t>N</w:t>
      </w:r>
      <w:r w:rsidRPr="00820D82">
        <w:rPr>
          <w:rFonts w:eastAsia="MS Mincho"/>
          <w:spacing w:val="-2"/>
        </w:rPr>
        <w:t> × 0.250 GHz</w:t>
      </w:r>
      <w:r w:rsidRPr="00820D82">
        <w:rPr>
          <w:rFonts w:eastAsia="MS Mincho"/>
          <w:spacing w:val="-2"/>
        </w:rPr>
        <w:tab/>
      </w:r>
      <w:r w:rsidRPr="00820D82">
        <w:rPr>
          <w:rFonts w:eastAsia="MS Mincho"/>
          <w:i/>
          <w:iCs/>
          <w:spacing w:val="-2"/>
        </w:rPr>
        <w:t>N</w:t>
      </w:r>
      <w:r w:rsidRPr="00820D82">
        <w:rPr>
          <w:rFonts w:eastAsia="MS Mincho"/>
          <w:spacing w:val="-2"/>
        </w:rPr>
        <w:t>: 1 to 5 (channels within sub-band 151.5</w:t>
      </w:r>
      <w:r w:rsidRPr="00820D82">
        <w:rPr>
          <w:rFonts w:eastAsia="MS Mincho"/>
          <w:spacing w:val="-2"/>
        </w:rPr>
        <w:noBreakHyphen/>
        <w:t>164 GHz)</w:t>
      </w:r>
    </w:p>
    <w:p w14:paraId="326609A5" w14:textId="77777777" w:rsidR="00C33CB8" w:rsidRPr="00820D82" w:rsidRDefault="00C33CB8" w:rsidP="00D9538A">
      <w:pPr>
        <w:pStyle w:val="Headingb"/>
        <w:rPr>
          <w:rFonts w:eastAsia="MS Mincho"/>
          <w:lang w:eastAsia="zh-CN"/>
        </w:rPr>
      </w:pPr>
      <w:r w:rsidRPr="00820D82">
        <w:rPr>
          <w:rFonts w:eastAsia="MS Mincho"/>
          <w:lang w:eastAsia="zh-CN"/>
        </w:rPr>
        <w:t>Centre frequencies for channels with suffix UH in in Fig</w:t>
      </w:r>
      <w:r>
        <w:rPr>
          <w:rFonts w:eastAsia="MS Mincho"/>
          <w:lang w:eastAsia="zh-CN"/>
        </w:rPr>
        <w:t>.</w:t>
      </w:r>
      <w:r w:rsidRPr="00820D82">
        <w:rPr>
          <w:rFonts w:eastAsia="MS Mincho"/>
          <w:lang w:eastAsia="zh-CN"/>
        </w:rPr>
        <w:t xml:space="preserve"> 7</w:t>
      </w:r>
    </w:p>
    <w:p w14:paraId="0F8CC60D" w14:textId="77777777" w:rsidR="00C33CB8" w:rsidRDefault="00C33CB8" w:rsidP="00D9538A">
      <w:pPr>
        <w:keepNext/>
        <w:keepLines/>
        <w:tabs>
          <w:tab w:val="clear" w:pos="794"/>
          <w:tab w:val="clear" w:pos="1191"/>
          <w:tab w:val="clear" w:pos="1588"/>
          <w:tab w:val="clear" w:pos="1985"/>
          <w:tab w:val="left" w:pos="567"/>
          <w:tab w:val="left" w:pos="1134"/>
          <w:tab w:val="left" w:pos="1871"/>
          <w:tab w:val="left" w:pos="2608"/>
          <w:tab w:val="left" w:pos="3345"/>
        </w:tabs>
        <w:spacing w:before="80"/>
        <w:ind w:left="1134" w:hanging="1134"/>
        <w:jc w:val="left"/>
        <w:rPr>
          <w:rFonts w:eastAsia="MS Mincho"/>
        </w:rPr>
      </w:pPr>
      <w:r w:rsidRPr="00820D82">
        <w:rPr>
          <w:rFonts w:eastAsia="MS Mincho"/>
        </w:rPr>
        <w:tab/>
      </w:r>
      <w:r w:rsidRPr="00820D82">
        <w:rPr>
          <w:rFonts w:eastAsia="MS Mincho"/>
          <w:i/>
          <w:iCs/>
        </w:rPr>
        <w:t>FUH</w:t>
      </w:r>
      <w:r w:rsidRPr="00820D82">
        <w:rPr>
          <w:rFonts w:eastAsia="MS Mincho"/>
          <w:i/>
          <w:iCs/>
          <w:vertAlign w:val="subscript"/>
        </w:rPr>
        <w:t>N</w:t>
      </w:r>
      <w:r w:rsidRPr="00820D82">
        <w:rPr>
          <w:rFonts w:eastAsia="MS Mincho"/>
        </w:rPr>
        <w:t xml:space="preserve"> = 167 + </w:t>
      </w:r>
      <w:r w:rsidRPr="00820D82">
        <w:rPr>
          <w:rFonts w:eastAsia="MS Mincho"/>
          <w:i/>
          <w:iCs/>
        </w:rPr>
        <w:t>N</w:t>
      </w:r>
      <w:r w:rsidRPr="00820D82">
        <w:rPr>
          <w:rFonts w:eastAsia="MS Mincho"/>
        </w:rPr>
        <w:t> × 0.250 GHz</w:t>
      </w:r>
      <w:r w:rsidRPr="00820D82">
        <w:rPr>
          <w:rFonts w:eastAsia="MS Mincho"/>
        </w:rPr>
        <w:tab/>
      </w:r>
      <w:r w:rsidRPr="00820D82">
        <w:rPr>
          <w:rFonts w:eastAsia="MS Mincho"/>
        </w:rPr>
        <w:tab/>
      </w:r>
      <w:r w:rsidRPr="00820D82">
        <w:rPr>
          <w:rFonts w:eastAsia="MS Mincho"/>
          <w:i/>
          <w:iCs/>
        </w:rPr>
        <w:t>N</w:t>
      </w:r>
      <w:r w:rsidRPr="00820D82">
        <w:rPr>
          <w:rFonts w:eastAsia="MS Mincho"/>
        </w:rPr>
        <w:t>: 1 to 30 (channels within sub-band 167-174.8 GHz)</w:t>
      </w:r>
    </w:p>
    <w:p w14:paraId="403867E3" w14:textId="77777777" w:rsidR="00E75F4A" w:rsidRPr="00820D82" w:rsidRDefault="00E75F4A" w:rsidP="00D9538A">
      <w:pPr>
        <w:keepNext/>
        <w:keepLines/>
        <w:tabs>
          <w:tab w:val="clear" w:pos="794"/>
          <w:tab w:val="clear" w:pos="1191"/>
          <w:tab w:val="clear" w:pos="1588"/>
          <w:tab w:val="clear" w:pos="1985"/>
          <w:tab w:val="left" w:pos="567"/>
          <w:tab w:val="left" w:pos="1134"/>
          <w:tab w:val="left" w:pos="1871"/>
          <w:tab w:val="left" w:pos="2608"/>
          <w:tab w:val="left" w:pos="3345"/>
        </w:tabs>
        <w:spacing w:before="80"/>
        <w:ind w:left="1134" w:hanging="1134"/>
        <w:jc w:val="left"/>
        <w:rPr>
          <w:rFonts w:eastAsia="MS Mincho"/>
        </w:rPr>
      </w:pPr>
    </w:p>
    <w:p w14:paraId="2696A2A9" w14:textId="77777777" w:rsidR="00C33CB8" w:rsidRPr="00820D82" w:rsidRDefault="00C33CB8" w:rsidP="00D9538A">
      <w:pPr>
        <w:pStyle w:val="Line"/>
        <w:keepNext/>
        <w:keepLines/>
        <w:rPr>
          <w:rFonts w:eastAsia="MS Mincho"/>
        </w:rPr>
      </w:pPr>
    </w:p>
    <w:sectPr w:rsidR="00C33CB8" w:rsidRPr="00820D82" w:rsidSect="00C33CB8">
      <w:headerReference w:type="even" r:id="rId25"/>
      <w:headerReference w:type="default" r:id="rId26"/>
      <w:footerReference w:type="default" r:id="rId27"/>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3055" w14:textId="77777777" w:rsidR="00177AD5" w:rsidRDefault="00177AD5">
      <w:r>
        <w:separator/>
      </w:r>
    </w:p>
  </w:endnote>
  <w:endnote w:type="continuationSeparator" w:id="0">
    <w:p w14:paraId="07707044" w14:textId="77777777" w:rsidR="00177AD5" w:rsidRDefault="0017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5AF0" w14:textId="77777777" w:rsidR="00177AD5" w:rsidRDefault="00177AD5">
    <w:pPr>
      <w:pStyle w:val="Footer"/>
    </w:pPr>
    <w:r>
      <w:drawing>
        <wp:anchor distT="0" distB="0" distL="0" distR="0" simplePos="0" relativeHeight="251656192" behindDoc="0" locked="0" layoutInCell="1" allowOverlap="1" wp14:anchorId="52E74CDD" wp14:editId="0E7CA643">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D712" w14:textId="5A44D585" w:rsidR="00C33CB8" w:rsidRDefault="00C33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8C73" w14:textId="77777777" w:rsidR="00177AD5" w:rsidRDefault="00177AD5">
      <w:r>
        <w:separator/>
      </w:r>
    </w:p>
  </w:footnote>
  <w:footnote w:type="continuationSeparator" w:id="0">
    <w:p w14:paraId="623FACA9" w14:textId="77777777" w:rsidR="00177AD5" w:rsidRDefault="00177AD5">
      <w:r>
        <w:continuationSeparator/>
      </w:r>
    </w:p>
  </w:footnote>
  <w:footnote w:id="1">
    <w:p w14:paraId="1D8360F2" w14:textId="77777777" w:rsidR="00C33CB8" w:rsidRPr="00484B59" w:rsidRDefault="00C33CB8" w:rsidP="00C33CB8">
      <w:pPr>
        <w:pStyle w:val="FootnoteText"/>
        <w:rPr>
          <w:lang w:val="en-US"/>
        </w:rPr>
      </w:pPr>
      <w:r>
        <w:rPr>
          <w:rStyle w:val="FootnoteReference"/>
        </w:rPr>
        <w:footnoteRef/>
      </w:r>
      <w:r>
        <w:t xml:space="preserve"> </w:t>
      </w:r>
      <w:r w:rsidRPr="008E794F">
        <w:tab/>
      </w:r>
      <w:bookmarkStart w:id="4" w:name="_Hlk198804154"/>
      <w:r w:rsidRPr="0073471D">
        <w:t>Flexible Frequency Division Duplex (</w:t>
      </w:r>
      <w:proofErr w:type="spellStart"/>
      <w:r w:rsidRPr="0073471D">
        <w:t>fFDD</w:t>
      </w:r>
      <w:proofErr w:type="spellEnd"/>
      <w:r w:rsidRPr="0073471D">
        <w:t>) systems allow required TX/RX isolation without traditional RF duplex filters, but through separate TX/RX antennas and/or digital cancellation capability, allowing narrower duplex spacing.</w:t>
      </w:r>
      <w:bookmarkEnd w:id="4"/>
    </w:p>
  </w:footnote>
  <w:footnote w:id="2">
    <w:p w14:paraId="542AD391" w14:textId="77777777" w:rsidR="00C33CB8" w:rsidRPr="00484B59" w:rsidRDefault="00C33CB8" w:rsidP="00C33CB8">
      <w:pPr>
        <w:pStyle w:val="FootnoteText"/>
        <w:rPr>
          <w:lang w:val="en-US"/>
        </w:rPr>
      </w:pPr>
      <w:r>
        <w:rPr>
          <w:rStyle w:val="FootnoteReference"/>
        </w:rPr>
        <w:footnoteRef/>
      </w:r>
      <w:r>
        <w:t xml:space="preserve"> </w:t>
      </w:r>
      <w:bookmarkStart w:id="5" w:name="_Hlk198804170"/>
      <w:r>
        <w:tab/>
      </w:r>
      <w:r w:rsidRPr="0073471D">
        <w:t>Full Duplex (FD) systems use the same channel for go/return (as TDD systems), but for 100% of the time; they should provide necessary TX/RX isolation through separate TX and RX antennas and digital cancellation, rather than through duplex filter as in conventional FDD systems.</w:t>
      </w:r>
      <w:bookmarkEnd w:id="5"/>
    </w:p>
  </w:footnote>
  <w:footnote w:id="3">
    <w:p w14:paraId="0A034F99" w14:textId="77777777" w:rsidR="00C33CB8" w:rsidRPr="000B29CD" w:rsidRDefault="00C33CB8" w:rsidP="00C33CB8">
      <w:pPr>
        <w:pStyle w:val="FootnoteText"/>
      </w:pPr>
      <w:r w:rsidRPr="000B29CD">
        <w:rPr>
          <w:rStyle w:val="FootnoteReference"/>
          <w:sz w:val="20"/>
        </w:rPr>
        <w:footnoteRef/>
      </w:r>
      <w:r w:rsidRPr="000B29CD">
        <w:tab/>
        <w:t>Full Duplex (FD) systems use the same channel for go/return (as TDD systems), but for 100% of the time; they should provide necessary TX/RX isolation through separate TX and RX antennas and digital cancellation, rather than through duplex filter as in conventional FDD systems.</w:t>
      </w:r>
    </w:p>
  </w:footnote>
  <w:footnote w:id="4">
    <w:p w14:paraId="3C1165F7" w14:textId="77777777" w:rsidR="00C33CB8" w:rsidRDefault="00C33CB8" w:rsidP="00C33CB8">
      <w:pPr>
        <w:pStyle w:val="FootnoteText"/>
      </w:pPr>
      <w:r w:rsidRPr="000B29CD">
        <w:rPr>
          <w:rStyle w:val="FootnoteReference"/>
          <w:sz w:val="20"/>
        </w:rPr>
        <w:footnoteRef/>
      </w:r>
      <w:r w:rsidRPr="000B29CD">
        <w:tab/>
        <w:t>While in conventional FDD systems TX/RX isolation is obtained through RF duplex filter, in flexible frequency division duplex (</w:t>
      </w:r>
      <w:proofErr w:type="spellStart"/>
      <w:r w:rsidRPr="000B29CD">
        <w:t>fFDD</w:t>
      </w:r>
      <w:proofErr w:type="spellEnd"/>
      <w:r w:rsidRPr="000B29CD">
        <w:t>) systems the isolation could be obtained through separate TX/RX antennas and/or digital cancellation (</w:t>
      </w:r>
      <w:proofErr w:type="gramStart"/>
      <w:r w:rsidRPr="000B29CD">
        <w:t>similar to</w:t>
      </w:r>
      <w:proofErr w:type="gramEnd"/>
      <w:r w:rsidRPr="000B29CD">
        <w:t xml:space="preserve"> XPIC technology); this </w:t>
      </w:r>
      <w:proofErr w:type="gramStart"/>
      <w:r w:rsidRPr="000B29CD">
        <w:t>enhance</w:t>
      </w:r>
      <w:proofErr w:type="gramEnd"/>
      <w:r w:rsidRPr="000B29CD">
        <w:t xml:space="preserve"> the TX/RX isolation capability and permits narrower duplex spacing.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0D1C" w14:textId="77777777" w:rsidR="00177AD5" w:rsidRDefault="00177AD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177AD5" w:rsidRPr="00A239D1" w14:paraId="4F3A8D2D" w14:textId="77777777" w:rsidTr="0019307B">
      <w:tc>
        <w:tcPr>
          <w:tcW w:w="4634" w:type="dxa"/>
          <w:vAlign w:val="center"/>
        </w:tcPr>
        <w:p w14:paraId="04241835" w14:textId="77777777" w:rsidR="00177AD5" w:rsidRPr="005B0371" w:rsidRDefault="00177AD5"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77C1572F" w14:textId="77777777" w:rsidR="00177AD5" w:rsidRPr="00260B24" w:rsidRDefault="00177AD5"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177AD5" w:rsidRPr="00A239D1" w14:paraId="43E1FF0F" w14:textId="77777777" w:rsidTr="0019307B">
      <w:tc>
        <w:tcPr>
          <w:tcW w:w="4634" w:type="dxa"/>
          <w:vAlign w:val="center"/>
        </w:tcPr>
        <w:p w14:paraId="1446CECB" w14:textId="77777777" w:rsidR="00177AD5" w:rsidRPr="00260B24" w:rsidRDefault="00177AD5"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7B77F43F" w14:textId="77777777" w:rsidR="00177AD5" w:rsidRPr="00260B24" w:rsidRDefault="00177AD5"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5002CB20" w14:textId="77777777" w:rsidR="00177AD5" w:rsidRDefault="00177AD5"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3F58C132" wp14:editId="4AF8602C">
          <wp:simplePos x="0" y="0"/>
          <wp:positionH relativeFrom="column">
            <wp:posOffset>-358302</wp:posOffset>
          </wp:positionH>
          <wp:positionV relativeFrom="paragraph">
            <wp:posOffset>-534670</wp:posOffset>
          </wp:positionV>
          <wp:extent cx="1945758" cy="414616"/>
          <wp:effectExtent l="0" t="0" r="0" b="0"/>
          <wp:wrapNone/>
          <wp:docPr id="5" name="Picture 5" descr="ITU Publi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Publication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358E5CFD" wp14:editId="31922A0E">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A13E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6375AF3" w14:textId="77777777" w:rsidR="00177AD5" w:rsidRDefault="00177AD5"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F643440" wp14:editId="52355AEF">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B362C"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0200" w14:textId="5A06776A" w:rsidR="00177AD5" w:rsidRPr="00D72623" w:rsidRDefault="00177AD5"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022F0A">
      <w:rPr>
        <w:b/>
        <w:bCs/>
        <w:noProof/>
        <w:lang w:val="en-US"/>
      </w:rPr>
      <w:t>ITU-R  F.2172-0</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F14C" w14:textId="77777777" w:rsidR="00177AD5" w:rsidRDefault="00177AD5">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F.XXX</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0E8F" w14:textId="5A0C3522"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177AD5" w:rsidRPr="00177AD5">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022F0A">
      <w:rPr>
        <w:b/>
        <w:bCs/>
        <w:noProof/>
        <w:lang w:val="en-US"/>
      </w:rPr>
      <w:t>ITU-R  F.2172-0</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F09C" w14:textId="46006A6F" w:rsidR="00607D68" w:rsidRDefault="00607D68">
    <w:pPr>
      <w:pStyle w:val="Header"/>
    </w:pPr>
    <w:r>
      <w:tab/>
    </w:r>
    <w:fldSimple w:instr=" DOCPROPERTY &quot;Header&quot; \* MERGEFORMAT ">
      <w:r w:rsidR="00177AD5" w:rsidRPr="00177AD5">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022F0A">
      <w:rPr>
        <w:b/>
        <w:bCs/>
        <w:noProof/>
      </w:rPr>
      <w:t>ITU-R  F.2172-0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D5"/>
    <w:rsid w:val="00022F0A"/>
    <w:rsid w:val="00177AD5"/>
    <w:rsid w:val="00217EBF"/>
    <w:rsid w:val="00242AEE"/>
    <w:rsid w:val="00267297"/>
    <w:rsid w:val="002D76C4"/>
    <w:rsid w:val="00444547"/>
    <w:rsid w:val="00452BDF"/>
    <w:rsid w:val="00485A33"/>
    <w:rsid w:val="004E1A67"/>
    <w:rsid w:val="0052529D"/>
    <w:rsid w:val="005A1442"/>
    <w:rsid w:val="00607D68"/>
    <w:rsid w:val="006F3BF6"/>
    <w:rsid w:val="007468DA"/>
    <w:rsid w:val="007A2636"/>
    <w:rsid w:val="0089000A"/>
    <w:rsid w:val="009E00A8"/>
    <w:rsid w:val="009F5FCE"/>
    <w:rsid w:val="00A6617B"/>
    <w:rsid w:val="00A84607"/>
    <w:rsid w:val="00AB0DC8"/>
    <w:rsid w:val="00B15DDD"/>
    <w:rsid w:val="00B44E24"/>
    <w:rsid w:val="00C33CB8"/>
    <w:rsid w:val="00CC6E62"/>
    <w:rsid w:val="00D9538A"/>
    <w:rsid w:val="00DC2B47"/>
    <w:rsid w:val="00DF4176"/>
    <w:rsid w:val="00E75F4A"/>
    <w:rsid w:val="00EB5BE8"/>
    <w:rsid w:val="00F03C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14:docId w14:val="67B0ACFC"/>
  <w15:docId w15:val="{67841B1B-C207-422B-8D8A-C468A75B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uiPriority w:val="99"/>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rsid w:val="006F3BF6"/>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Footnote Reference/,Appel note de bas de p,Footnote symbol,Style 13"/>
    <w:basedOn w:val="DefaultParagraphFon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fn"/>
    <w:basedOn w:val="Normal"/>
    <w:link w:val="FootnoteTextChar"/>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177AD5"/>
    <w:rPr>
      <w:b/>
      <w:sz w:val="24"/>
      <w:lang w:val="en-GB" w:eastAsia="en-US"/>
    </w:rPr>
  </w:style>
  <w:style w:type="character" w:customStyle="1" w:styleId="HeaderChar">
    <w:name w:val="Header Char"/>
    <w:basedOn w:val="DefaultParagraphFont"/>
    <w:link w:val="Header"/>
    <w:uiPriority w:val="99"/>
    <w:rsid w:val="00177AD5"/>
    <w:rPr>
      <w:sz w:val="24"/>
      <w:lang w:val="en-GB" w:eastAsia="en-US"/>
    </w:rPr>
  </w:style>
  <w:style w:type="character" w:customStyle="1" w:styleId="FooterChar">
    <w:name w:val="Footer Char"/>
    <w:basedOn w:val="DefaultParagraphFont"/>
    <w:link w:val="Footer"/>
    <w:rsid w:val="00177AD5"/>
    <w:rPr>
      <w:noProof/>
      <w:sz w:val="18"/>
      <w:lang w:val="en-GB" w:eastAsia="en-US"/>
    </w:rPr>
  </w:style>
  <w:style w:type="character" w:styleId="Hyperlink">
    <w:name w:val="Hyperlink"/>
    <w:basedOn w:val="DefaultParagraphFont"/>
    <w:rsid w:val="00177AD5"/>
    <w:rPr>
      <w:color w:val="0000FF"/>
      <w:u w:val="single"/>
    </w:rPr>
  </w:style>
  <w:style w:type="table" w:styleId="TableGrid">
    <w:name w:val="Table Grid"/>
    <w:basedOn w:val="TableNormal"/>
    <w:uiPriority w:val="39"/>
    <w:rsid w:val="00177A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177AD5"/>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177AD5"/>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177AD5"/>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177AD5"/>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C33CB8"/>
    <w:rPr>
      <w:sz w:val="22"/>
      <w:lang w:val="en-GB" w:eastAsia="en-US"/>
    </w:rPr>
  </w:style>
  <w:style w:type="character" w:customStyle="1" w:styleId="FiguretitleChar">
    <w:name w:val="Figure_title Char"/>
    <w:basedOn w:val="DefaultParagraphFont"/>
    <w:link w:val="Figuretitle"/>
    <w:rsid w:val="00C33CB8"/>
    <w:rPr>
      <w:rFonts w:ascii="Times New Roman Bold" w:hAnsi="Times New Roman Bold"/>
      <w:b/>
      <w:sz w:val="18"/>
      <w:lang w:val="en-GB" w:eastAsia="en-US"/>
    </w:rPr>
  </w:style>
  <w:style w:type="character" w:customStyle="1" w:styleId="HeadingbChar">
    <w:name w:val="Heading_b Char"/>
    <w:basedOn w:val="DefaultParagraphFont"/>
    <w:link w:val="Headingb"/>
    <w:locked/>
    <w:rsid w:val="00C33CB8"/>
    <w:rPr>
      <w:b/>
      <w:sz w:val="24"/>
      <w:lang w:val="en-GB" w:eastAsia="en-US"/>
    </w:rPr>
  </w:style>
  <w:style w:type="character" w:customStyle="1" w:styleId="CallChar">
    <w:name w:val="Call Char"/>
    <w:basedOn w:val="DefaultParagraphFont"/>
    <w:link w:val="Call"/>
    <w:locked/>
    <w:rsid w:val="00C33CB8"/>
    <w:rPr>
      <w:i/>
      <w:sz w:val="24"/>
      <w:lang w:val="en-GB" w:eastAsia="en-US"/>
    </w:rPr>
  </w:style>
  <w:style w:type="character" w:customStyle="1" w:styleId="NormalaftertitleChar">
    <w:name w:val="Normal_after_title Char"/>
    <w:basedOn w:val="DefaultParagraphFont"/>
    <w:link w:val="Normalaftertitle"/>
    <w:uiPriority w:val="99"/>
    <w:locked/>
    <w:rsid w:val="00C33CB8"/>
    <w:rPr>
      <w:sz w:val="24"/>
      <w:lang w:val="en-GB" w:eastAsia="en-US"/>
    </w:rPr>
  </w:style>
  <w:style w:type="character" w:customStyle="1" w:styleId="FigureNoChar">
    <w:name w:val="Figure_No Char"/>
    <w:basedOn w:val="DefaultParagraphFont"/>
    <w:link w:val="FigureNo"/>
    <w:locked/>
    <w:rsid w:val="00C33CB8"/>
    <w:rPr>
      <w:caps/>
      <w:sz w:val="18"/>
      <w:lang w:val="en-GB" w:eastAsia="en-US"/>
    </w:rPr>
  </w:style>
  <w:style w:type="character" w:customStyle="1" w:styleId="FigureChar">
    <w:name w:val="Figure Char"/>
    <w:aliases w:val="fig Char"/>
    <w:basedOn w:val="DefaultParagraphFont"/>
    <w:link w:val="Figure"/>
    <w:locked/>
    <w:rsid w:val="00C33CB8"/>
    <w:rPr>
      <w:caps/>
      <w:sz w:val="18"/>
      <w:lang w:val="en-GB" w:eastAsia="en-US"/>
    </w:rPr>
  </w:style>
  <w:style w:type="character" w:styleId="CommentReference">
    <w:name w:val="annotation reference"/>
    <w:basedOn w:val="DefaultParagraphFont"/>
    <w:semiHidden/>
    <w:unhideWhenUsed/>
    <w:rsid w:val="00CC6E62"/>
    <w:rPr>
      <w:sz w:val="16"/>
      <w:szCs w:val="16"/>
    </w:rPr>
  </w:style>
  <w:style w:type="paragraph" w:styleId="CommentText">
    <w:name w:val="annotation text"/>
    <w:basedOn w:val="Normal"/>
    <w:link w:val="CommentTextChar"/>
    <w:unhideWhenUsed/>
    <w:rsid w:val="00CC6E62"/>
    <w:rPr>
      <w:sz w:val="20"/>
    </w:rPr>
  </w:style>
  <w:style w:type="character" w:customStyle="1" w:styleId="CommentTextChar">
    <w:name w:val="Comment Text Char"/>
    <w:basedOn w:val="DefaultParagraphFont"/>
    <w:link w:val="CommentText"/>
    <w:rsid w:val="00CC6E62"/>
    <w:rPr>
      <w:lang w:val="en-GB" w:eastAsia="en-US"/>
    </w:rPr>
  </w:style>
  <w:style w:type="paragraph" w:styleId="CommentSubject">
    <w:name w:val="annotation subject"/>
    <w:basedOn w:val="CommentText"/>
    <w:next w:val="CommentText"/>
    <w:link w:val="CommentSubjectChar"/>
    <w:semiHidden/>
    <w:unhideWhenUsed/>
    <w:rsid w:val="00CC6E62"/>
    <w:rPr>
      <w:b/>
      <w:bCs/>
    </w:rPr>
  </w:style>
  <w:style w:type="character" w:customStyle="1" w:styleId="CommentSubjectChar">
    <w:name w:val="Comment Subject Char"/>
    <w:basedOn w:val="CommentTextChar"/>
    <w:link w:val="CommentSubject"/>
    <w:semiHidden/>
    <w:rsid w:val="00CC6E62"/>
    <w:rPr>
      <w:b/>
      <w:bCs/>
      <w:lang w:val="en-GB" w:eastAsia="en-US"/>
    </w:rPr>
  </w:style>
  <w:style w:type="character" w:styleId="UnresolvedMention">
    <w:name w:val="Unresolved Mention"/>
    <w:basedOn w:val="DefaultParagraphFont"/>
    <w:uiPriority w:val="99"/>
    <w:semiHidden/>
    <w:unhideWhenUsed/>
    <w:rsid w:val="00B15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tu.int/pub/R-QUE-SG05.247" TargetMode="Externa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yperlink" Target="https://www.itu.int/pub/R-REP-F.2558" TargetMode="External"/><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yperlink" Target="https://www.itu.int/rec/R-REC-F.1519/en"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image" Target="media/image9.png"/><Relationship Id="rId5" Type="http://schemas.openxmlformats.org/officeDocument/2006/relationships/endnotes" Target="endnotes.xml"/><Relationship Id="rId15" Type="http://schemas.openxmlformats.org/officeDocument/2006/relationships/hyperlink" Target="https://www.itu.int/rec/R-REC-P.838/en"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s://www.itu.int/publ/R-REC/en" TargetMode="External"/><Relationship Id="rId19"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s://www.itu.int/en/ITU-R/study-groups/Pages/itu-r-patent-information.aspx" TargetMode="External"/><Relationship Id="rId14" Type="http://schemas.openxmlformats.org/officeDocument/2006/relationships/hyperlink" Target="https://www.itu.int/rec/R-REC-P.876/en" TargetMode="External"/><Relationship Id="rId22" Type="http://schemas.openxmlformats.org/officeDocument/2006/relationships/image" Target="media/image7.pn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mezy\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107</TotalTime>
  <Pages>9</Pages>
  <Words>1770</Words>
  <Characters>9968</Characters>
  <Application>Microsoft Office Word</Application>
  <DocSecurity>0</DocSecurity>
  <Lines>369</Lines>
  <Paragraphs>95</Paragraphs>
  <ScaleCrop>false</ScaleCrop>
  <HeadingPairs>
    <vt:vector size="2" baseType="variant">
      <vt:variant>
        <vt:lpstr>Title</vt:lpstr>
      </vt:variant>
      <vt:variant>
        <vt:i4>1</vt:i4>
      </vt:variant>
    </vt:vector>
  </HeadingPairs>
  <TitlesOfParts>
    <vt:vector size="1" baseType="lpstr">
      <vt:lpstr>Recommendation ITU-R F.2172-0 (02/2026) Radio-frequency channel and block arrangements for fixed service systems operating in the 130-134 GHz, 141 148.5 GHz, 151.5-164 GHz and 167 174.8 GHz ranges</vt:lpstr>
    </vt:vector>
  </TitlesOfParts>
  <Manager/>
  <Company>ITU</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F.2172-0 (02/2026) Radio-frequency channel and block arrangements for fixed service systems operating in the 130-134 GHz, 141 148.5 GHz, 151.5-164 GHz and 167 174.8 GHz ranges</dc:title>
  <dc:subject/>
  <dc:creator/>
  <cp:keywords>130-174.8 GHz, FDD, flexible FDD, Full Duplex, Channel Raster</cp:keywords>
  <dc:description/>
  <cp:lastModifiedBy>Gachet, Christelle</cp:lastModifiedBy>
  <cp:revision>10</cp:revision>
  <cp:lastPrinted>2005-02-10T15:54:00Z</cp:lastPrinted>
  <dcterms:created xsi:type="dcterms:W3CDTF">2026-02-18T12:52:00Z</dcterms:created>
  <dcterms:modified xsi:type="dcterms:W3CDTF">2026-03-11T06:24:00Z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