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5B7086">
      <w:bookmarkStart w:id="0" w:name="_GoBack"/>
      <w:bookmarkEnd w:id="0"/>
    </w:p>
    <w:p w:rsidR="005B7086" w:rsidRDefault="005B7086" w:rsidP="005B7086"/>
    <w:p w:rsidR="005B7086" w:rsidRDefault="005B7086" w:rsidP="005B7086"/>
    <w:p w:rsidR="005B7086" w:rsidRDefault="005B7086" w:rsidP="005B7086"/>
    <w:p w:rsidR="005B7086" w:rsidRDefault="005B7086" w:rsidP="005B7086"/>
    <w:p w:rsidR="005B7086" w:rsidRDefault="005B7086" w:rsidP="005B7086"/>
    <w:p w:rsidR="005B7086" w:rsidRDefault="005B7086" w:rsidP="005B7086"/>
    <w:p w:rsidR="005B7086" w:rsidRDefault="005B7086" w:rsidP="005B7086"/>
    <w:p w:rsidR="005B7086" w:rsidRDefault="005B7086" w:rsidP="005B7086"/>
    <w:p w:rsidR="005B7086" w:rsidRDefault="005B7086" w:rsidP="005B7086"/>
    <w:p w:rsidR="005B7086" w:rsidRDefault="005B7086" w:rsidP="005B7086"/>
    <w:p w:rsidR="005B7086" w:rsidRDefault="005B7086" w:rsidP="005B7086"/>
    <w:tbl>
      <w:tblPr>
        <w:tblW w:w="10089" w:type="dxa"/>
        <w:tblLook w:val="01E0" w:firstRow="1" w:lastRow="1" w:firstColumn="1" w:lastColumn="1" w:noHBand="0" w:noVBand="0"/>
      </w:tblPr>
      <w:tblGrid>
        <w:gridCol w:w="10089"/>
      </w:tblGrid>
      <w:tr w:rsidR="005B7086" w:rsidRPr="005B7086" w:rsidTr="00783CFC">
        <w:tc>
          <w:tcPr>
            <w:tcW w:w="10089" w:type="dxa"/>
          </w:tcPr>
          <w:p w:rsidR="005B7086" w:rsidRPr="0010336F" w:rsidRDefault="005B7086" w:rsidP="00783CFC">
            <w:pPr>
              <w:spacing w:before="380" w:line="280" w:lineRule="exact"/>
              <w:jc w:val="right"/>
              <w:rPr>
                <w:rFonts w:ascii="Tahoma" w:hAnsi="Tahoma" w:cs="Tahoma"/>
                <w:b/>
                <w:bCs/>
                <w:iCs/>
                <w:color w:val="243285"/>
                <w:sz w:val="32"/>
                <w:szCs w:val="32"/>
                <w:lang w:val="en-US"/>
              </w:rPr>
            </w:pPr>
          </w:p>
          <w:p w:rsidR="005B7086" w:rsidRPr="0010336F" w:rsidRDefault="005B7086" w:rsidP="00F839A2">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F839A2">
              <w:rPr>
                <w:rFonts w:ascii="Tahoma" w:hAnsi="Tahoma" w:cs="Tahoma"/>
                <w:b/>
                <w:bCs/>
                <w:iCs/>
                <w:color w:val="243285"/>
                <w:sz w:val="36"/>
                <w:szCs w:val="36"/>
                <w:lang w:val="es-ES_tradnl"/>
              </w:rPr>
              <w:t>2006</w:t>
            </w:r>
          </w:p>
          <w:p w:rsidR="005B7086" w:rsidRPr="0010336F" w:rsidRDefault="005B7086" w:rsidP="00F839A2">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F839A2">
              <w:rPr>
                <w:rFonts w:ascii="Tahoma" w:hAnsi="Tahoma" w:cs="Tahoma"/>
                <w:b/>
                <w:bCs/>
                <w:iCs/>
                <w:color w:val="243285"/>
                <w:szCs w:val="24"/>
                <w:lang w:val="es-ES_tradnl"/>
              </w:rPr>
              <w:t>03</w:t>
            </w:r>
            <w:r w:rsidRPr="0010336F">
              <w:rPr>
                <w:rFonts w:ascii="Tahoma" w:hAnsi="Tahoma" w:cs="Tahoma"/>
                <w:b/>
                <w:bCs/>
                <w:iCs/>
                <w:color w:val="243285"/>
                <w:szCs w:val="24"/>
                <w:lang w:val="es-ES_tradnl"/>
              </w:rPr>
              <w:t>/</w:t>
            </w:r>
            <w:r w:rsidR="00F839A2">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5B7086" w:rsidRPr="00812F73" w:rsidTr="00783CFC">
        <w:tc>
          <w:tcPr>
            <w:tcW w:w="10089" w:type="dxa"/>
          </w:tcPr>
          <w:p w:rsidR="005B7086" w:rsidRPr="0010336F" w:rsidRDefault="005B7086" w:rsidP="00783CFC">
            <w:pPr>
              <w:spacing w:before="80" w:line="500" w:lineRule="exact"/>
              <w:jc w:val="right"/>
              <w:rPr>
                <w:rFonts w:ascii="Tahoma" w:hAnsi="Tahoma" w:cs="Tahoma"/>
                <w:b/>
                <w:bCs/>
                <w:iCs/>
                <w:color w:val="243285"/>
                <w:sz w:val="44"/>
                <w:szCs w:val="44"/>
                <w:lang w:val="es-ES_tradnl"/>
              </w:rPr>
            </w:pPr>
          </w:p>
          <w:p w:rsidR="005B7086" w:rsidRDefault="00F839A2" w:rsidP="00F839A2">
            <w:pPr>
              <w:spacing w:before="80" w:line="500" w:lineRule="exact"/>
              <w:jc w:val="right"/>
              <w:rPr>
                <w:rFonts w:ascii="Tahoma" w:hAnsi="Tahoma" w:cs="Tahoma"/>
                <w:b/>
                <w:bCs/>
                <w:color w:val="243285"/>
                <w:sz w:val="44"/>
                <w:szCs w:val="44"/>
                <w:lang w:val="es-ES_tradnl"/>
              </w:rPr>
            </w:pPr>
            <w:r w:rsidRPr="005D2807">
              <w:rPr>
                <w:rFonts w:ascii="Tahoma" w:hAnsi="Tahoma" w:cs="Tahoma"/>
                <w:b/>
                <w:bCs/>
                <w:color w:val="243285"/>
                <w:sz w:val="44"/>
                <w:szCs w:val="44"/>
                <w:lang w:val="es-ES_tradnl"/>
              </w:rPr>
              <w:t>Disposición de canales y bloques</w:t>
            </w:r>
            <w:r>
              <w:rPr>
                <w:rFonts w:ascii="Tahoma" w:hAnsi="Tahoma" w:cs="Tahoma"/>
                <w:b/>
                <w:bCs/>
                <w:color w:val="243285"/>
                <w:sz w:val="44"/>
                <w:szCs w:val="44"/>
                <w:lang w:val="es-ES_tradnl"/>
              </w:rPr>
              <w:br/>
            </w:r>
            <w:r w:rsidRPr="005D2807">
              <w:rPr>
                <w:rFonts w:ascii="Tahoma" w:hAnsi="Tahoma" w:cs="Tahoma"/>
                <w:b/>
                <w:bCs/>
                <w:color w:val="243285"/>
                <w:sz w:val="44"/>
                <w:szCs w:val="44"/>
                <w:lang w:val="es-ES_tradnl"/>
              </w:rPr>
              <w:t>de radiofrecuencia en los sistemas</w:t>
            </w:r>
            <w:r>
              <w:rPr>
                <w:rFonts w:ascii="Tahoma" w:hAnsi="Tahoma" w:cs="Tahoma"/>
                <w:b/>
                <w:bCs/>
                <w:color w:val="243285"/>
                <w:sz w:val="44"/>
                <w:szCs w:val="44"/>
                <w:lang w:val="es-ES_tradnl"/>
              </w:rPr>
              <w:br/>
            </w:r>
            <w:r w:rsidRPr="005D2807">
              <w:rPr>
                <w:rFonts w:ascii="Tahoma" w:hAnsi="Tahoma" w:cs="Tahoma"/>
                <w:b/>
                <w:bCs/>
                <w:color w:val="243285"/>
                <w:sz w:val="44"/>
                <w:szCs w:val="44"/>
                <w:lang w:val="es-ES_tradnl"/>
              </w:rPr>
              <w:t>inalámbricos fijos que funcionan en</w:t>
            </w:r>
            <w:r>
              <w:rPr>
                <w:rFonts w:ascii="Tahoma" w:hAnsi="Tahoma" w:cs="Tahoma"/>
                <w:b/>
                <w:bCs/>
                <w:color w:val="243285"/>
                <w:sz w:val="44"/>
                <w:szCs w:val="44"/>
                <w:lang w:val="es-ES_tradnl"/>
              </w:rPr>
              <w:br/>
            </w:r>
            <w:r w:rsidRPr="005D2807">
              <w:rPr>
                <w:rFonts w:ascii="Tahoma" w:hAnsi="Tahoma" w:cs="Tahoma"/>
                <w:b/>
                <w:bCs/>
                <w:color w:val="243285"/>
                <w:sz w:val="44"/>
                <w:szCs w:val="44"/>
                <w:lang w:val="es-ES_tradnl"/>
              </w:rPr>
              <w:t>las bandas de 71-76 GHz y 81-86 GHz</w:t>
            </w:r>
          </w:p>
          <w:p w:rsidR="005B7086" w:rsidRPr="0010336F" w:rsidRDefault="005B7086" w:rsidP="00783CFC">
            <w:pPr>
              <w:spacing w:before="80" w:line="500" w:lineRule="exact"/>
              <w:jc w:val="right"/>
              <w:rPr>
                <w:rFonts w:ascii="Tahoma" w:hAnsi="Tahoma" w:cs="Tahoma"/>
                <w:b/>
                <w:bCs/>
                <w:iCs/>
                <w:color w:val="243285"/>
                <w:sz w:val="44"/>
                <w:szCs w:val="44"/>
                <w:lang w:val="es-ES_tradnl"/>
              </w:rPr>
            </w:pPr>
          </w:p>
        </w:tc>
      </w:tr>
      <w:tr w:rsidR="005B7086" w:rsidRPr="0026666F" w:rsidTr="00783CFC">
        <w:tc>
          <w:tcPr>
            <w:tcW w:w="10089" w:type="dxa"/>
          </w:tcPr>
          <w:p w:rsidR="005B7086" w:rsidRPr="0010336F" w:rsidRDefault="005B7086" w:rsidP="00783CFC">
            <w:pPr>
              <w:spacing w:before="80" w:line="280" w:lineRule="exact"/>
              <w:ind w:right="640"/>
              <w:rPr>
                <w:rFonts w:ascii="Tahoma" w:hAnsi="Tahoma" w:cs="Tahoma"/>
                <w:b/>
                <w:bCs/>
                <w:iCs/>
                <w:color w:val="243285"/>
                <w:sz w:val="32"/>
                <w:szCs w:val="32"/>
                <w:lang w:val="es-ES_tradnl"/>
              </w:rPr>
            </w:pPr>
          </w:p>
          <w:p w:rsidR="005B7086" w:rsidRPr="0010336F" w:rsidRDefault="005B7086" w:rsidP="00783CFC">
            <w:pPr>
              <w:spacing w:before="80" w:line="280" w:lineRule="exact"/>
              <w:ind w:right="640"/>
              <w:rPr>
                <w:rFonts w:ascii="Tahoma" w:hAnsi="Tahoma" w:cs="Tahoma"/>
                <w:b/>
                <w:bCs/>
                <w:iCs/>
                <w:color w:val="243285"/>
                <w:sz w:val="32"/>
                <w:szCs w:val="32"/>
                <w:lang w:val="es-ES_tradnl"/>
              </w:rPr>
            </w:pPr>
          </w:p>
          <w:p w:rsidR="005B7086" w:rsidRPr="0010336F" w:rsidRDefault="005B7086" w:rsidP="00783CFC">
            <w:pPr>
              <w:spacing w:before="80" w:after="180" w:line="360" w:lineRule="exact"/>
              <w:ind w:right="720"/>
              <w:rPr>
                <w:rFonts w:ascii="Tahoma" w:hAnsi="Tahoma" w:cs="Tahoma"/>
                <w:b/>
                <w:bCs/>
                <w:iCs/>
                <w:color w:val="243285"/>
                <w:sz w:val="36"/>
                <w:szCs w:val="36"/>
                <w:lang w:val="es-ES_tradnl"/>
              </w:rPr>
            </w:pPr>
          </w:p>
          <w:p w:rsidR="005B7086" w:rsidRPr="0010336F" w:rsidRDefault="005B7086" w:rsidP="00783CFC">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5B7086" w:rsidRPr="0010336F" w:rsidRDefault="005B7086" w:rsidP="00783CFC">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5B7086" w:rsidRPr="0026666F" w:rsidRDefault="005B7086" w:rsidP="005B7086">
      <w:pPr>
        <w:spacing w:before="80"/>
        <w:rPr>
          <w:i/>
          <w:sz w:val="22"/>
          <w:lang w:val="es-ES_tradnl"/>
        </w:rPr>
      </w:pPr>
    </w:p>
    <w:p w:rsidR="005B7086" w:rsidRPr="0026666F" w:rsidRDefault="005B7086" w:rsidP="005B7086">
      <w:pPr>
        <w:spacing w:before="80"/>
        <w:rPr>
          <w:i/>
          <w:sz w:val="22"/>
          <w:lang w:val="es-ES_tradnl"/>
        </w:rPr>
      </w:pPr>
    </w:p>
    <w:p w:rsidR="005B7086" w:rsidRPr="0026666F" w:rsidRDefault="005B7086" w:rsidP="005B7086">
      <w:pPr>
        <w:spacing w:before="80"/>
        <w:rPr>
          <w:i/>
          <w:sz w:val="22"/>
          <w:lang w:val="es-ES_tradnl"/>
        </w:rPr>
      </w:pPr>
    </w:p>
    <w:p w:rsidR="005B7086" w:rsidRPr="0026666F" w:rsidRDefault="005B7086" w:rsidP="005B7086">
      <w:pPr>
        <w:spacing w:before="80"/>
        <w:rPr>
          <w:i/>
          <w:sz w:val="22"/>
          <w:lang w:val="es-ES_tradnl"/>
        </w:rPr>
      </w:pPr>
    </w:p>
    <w:p w:rsidR="005B7086" w:rsidRPr="0026666F" w:rsidRDefault="005B7086" w:rsidP="005B7086">
      <w:pPr>
        <w:spacing w:before="80"/>
        <w:rPr>
          <w:i/>
          <w:sz w:val="22"/>
          <w:lang w:val="es-ES_tradnl"/>
        </w:rPr>
      </w:pPr>
    </w:p>
    <w:p w:rsidR="005B7086" w:rsidRPr="0026666F" w:rsidRDefault="005B7086" w:rsidP="005B7086">
      <w:pPr>
        <w:spacing w:before="80"/>
        <w:rPr>
          <w:i/>
          <w:sz w:val="22"/>
          <w:lang w:val="es-ES_tradnl"/>
        </w:rPr>
      </w:pPr>
    </w:p>
    <w:p w:rsidR="005B7086" w:rsidRPr="0026666F" w:rsidRDefault="005B7086" w:rsidP="005B7086">
      <w:pPr>
        <w:pStyle w:val="Equation"/>
        <w:tabs>
          <w:tab w:val="clear" w:pos="4820"/>
          <w:tab w:val="clear" w:pos="9639"/>
          <w:tab w:val="left" w:pos="1191"/>
          <w:tab w:val="left" w:pos="1588"/>
          <w:tab w:val="left" w:pos="1985"/>
        </w:tabs>
        <w:rPr>
          <w:rFonts w:ascii="Palatino Linotype" w:hAnsi="Palatino Linotype"/>
          <w:lang w:val="es-ES_tradnl"/>
        </w:rPr>
        <w:sectPr w:rsidR="005B7086" w:rsidRPr="0026666F">
          <w:headerReference w:type="even" r:id="rId6"/>
          <w:headerReference w:type="default" r:id="rId7"/>
          <w:pgSz w:w="11907" w:h="16840" w:code="9"/>
          <w:pgMar w:top="1089" w:right="1089" w:bottom="284" w:left="1089" w:header="567" w:footer="284" w:gutter="0"/>
          <w:pgNumType w:start="1"/>
          <w:cols w:space="720"/>
        </w:sectPr>
      </w:pPr>
    </w:p>
    <w:p w:rsidR="005B7086" w:rsidRPr="006C718C" w:rsidRDefault="005B7086" w:rsidP="005B70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5B7086" w:rsidRPr="006C718C" w:rsidRDefault="005B7086" w:rsidP="005B7086">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B7086" w:rsidRPr="006C718C" w:rsidRDefault="005B7086" w:rsidP="005B7086">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B7086" w:rsidRPr="00021E8A" w:rsidRDefault="005B7086" w:rsidP="005B7086">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5B7086" w:rsidRPr="00021E8A" w:rsidRDefault="005B7086" w:rsidP="005B7086">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B7086" w:rsidRPr="007C36CA" w:rsidRDefault="005B7086" w:rsidP="005B7086">
      <w:pPr>
        <w:spacing w:before="0"/>
        <w:jc w:val="center"/>
        <w:rPr>
          <w:sz w:val="22"/>
          <w:lang w:val="es-ES_tradnl"/>
        </w:rPr>
      </w:pPr>
    </w:p>
    <w:p w:rsidR="005B7086" w:rsidRPr="007C36CA" w:rsidRDefault="005B7086" w:rsidP="005B7086">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B7086" w:rsidRPr="00812F73" w:rsidTr="00783CFC">
        <w:tc>
          <w:tcPr>
            <w:tcW w:w="9360" w:type="dxa"/>
            <w:gridSpan w:val="2"/>
          </w:tcPr>
          <w:p w:rsidR="005B7086" w:rsidRPr="00021E8A" w:rsidRDefault="005B7086" w:rsidP="00783CFC">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5B7086" w:rsidRPr="00763D08" w:rsidRDefault="005B7086" w:rsidP="00783C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5B7086" w:rsidRPr="00036EE3" w:rsidTr="00783CFC">
        <w:tc>
          <w:tcPr>
            <w:tcW w:w="1140" w:type="dxa"/>
            <w:tcBorders>
              <w:bottom w:val="nil"/>
            </w:tcBorders>
          </w:tcPr>
          <w:p w:rsidR="005B7086" w:rsidRPr="00036EE3" w:rsidRDefault="005B7086" w:rsidP="00783CFC">
            <w:pPr>
              <w:spacing w:before="180" w:after="100"/>
              <w:ind w:left="57"/>
              <w:rPr>
                <w:b/>
                <w:bCs/>
                <w:sz w:val="20"/>
                <w:lang w:val="en-US"/>
              </w:rPr>
            </w:pPr>
            <w:r w:rsidRPr="00036EE3">
              <w:rPr>
                <w:b/>
                <w:bCs/>
                <w:sz w:val="20"/>
                <w:lang w:val="en-US"/>
              </w:rPr>
              <w:t>Series</w:t>
            </w:r>
          </w:p>
        </w:tc>
        <w:tc>
          <w:tcPr>
            <w:tcW w:w="8220" w:type="dxa"/>
            <w:tcBorders>
              <w:bottom w:val="nil"/>
            </w:tcBorders>
          </w:tcPr>
          <w:p w:rsidR="005B7086" w:rsidRPr="00036EE3" w:rsidRDefault="005B7086" w:rsidP="00783C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B7086" w:rsidRPr="004532F7" w:rsidTr="00783CFC">
        <w:tc>
          <w:tcPr>
            <w:tcW w:w="1140" w:type="dxa"/>
            <w:tcBorders>
              <w:top w:val="nil"/>
              <w:bottom w:val="nil"/>
            </w:tcBorders>
            <w:shd w:val="clear" w:color="auto" w:fill="auto"/>
          </w:tcPr>
          <w:p w:rsidR="005B7086" w:rsidRPr="004532F7" w:rsidRDefault="005B7086" w:rsidP="00783CFC">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5B7086" w:rsidRPr="004532F7" w:rsidRDefault="005B7086" w:rsidP="00783C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5B7086" w:rsidRPr="00812F73" w:rsidTr="00783CFC">
        <w:tc>
          <w:tcPr>
            <w:tcW w:w="1140" w:type="dxa"/>
            <w:tcBorders>
              <w:top w:val="nil"/>
              <w:bottom w:val="nil"/>
            </w:tcBorders>
            <w:shd w:val="clear" w:color="auto" w:fill="auto"/>
          </w:tcPr>
          <w:p w:rsidR="005B7086" w:rsidRPr="006B22C3" w:rsidRDefault="005B7086" w:rsidP="00783CFC">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5B7086" w:rsidRPr="006B22C3" w:rsidRDefault="005B7086" w:rsidP="00783C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5B7086" w:rsidRPr="00847DD5" w:rsidTr="00783CFC">
        <w:tc>
          <w:tcPr>
            <w:tcW w:w="1140" w:type="dxa"/>
            <w:tcBorders>
              <w:top w:val="nil"/>
              <w:bottom w:val="nil"/>
            </w:tcBorders>
            <w:shd w:val="clear" w:color="auto" w:fill="auto"/>
          </w:tcPr>
          <w:p w:rsidR="005B7086" w:rsidRPr="00847DD5" w:rsidRDefault="005B7086" w:rsidP="00783CFC">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5B7086" w:rsidRPr="00847DD5" w:rsidRDefault="005B7086" w:rsidP="00783C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5B7086" w:rsidRPr="00ED2695" w:rsidTr="00783CFC">
        <w:tc>
          <w:tcPr>
            <w:tcW w:w="1140" w:type="dxa"/>
            <w:tcBorders>
              <w:top w:val="nil"/>
              <w:bottom w:val="nil"/>
            </w:tcBorders>
            <w:shd w:val="clear" w:color="auto" w:fill="auto"/>
          </w:tcPr>
          <w:p w:rsidR="005B7086" w:rsidRPr="00ED2695" w:rsidRDefault="005B7086" w:rsidP="00783CFC">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5B7086" w:rsidRPr="00021E8A" w:rsidRDefault="005B7086" w:rsidP="00783C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5B7086" w:rsidRPr="00847DD5" w:rsidTr="00783CFC">
        <w:tc>
          <w:tcPr>
            <w:tcW w:w="1140" w:type="dxa"/>
            <w:tcBorders>
              <w:top w:val="nil"/>
              <w:bottom w:val="nil"/>
            </w:tcBorders>
            <w:shd w:val="clear" w:color="auto" w:fill="F3F3F3"/>
          </w:tcPr>
          <w:p w:rsidR="005B7086" w:rsidRPr="00847DD5" w:rsidRDefault="005B7086" w:rsidP="00783CFC">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5B7086" w:rsidRPr="00847DD5" w:rsidRDefault="005B7086" w:rsidP="00783CF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5B7086" w:rsidRPr="00812F73" w:rsidTr="00783CFC">
        <w:tc>
          <w:tcPr>
            <w:tcW w:w="1140" w:type="dxa"/>
            <w:tcBorders>
              <w:top w:val="nil"/>
              <w:bottom w:val="nil"/>
            </w:tcBorders>
            <w:shd w:val="clear" w:color="auto" w:fill="auto"/>
          </w:tcPr>
          <w:p w:rsidR="005B7086" w:rsidRPr="0010336F" w:rsidRDefault="005B7086" w:rsidP="00783CFC">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5B7086" w:rsidRPr="0010336F" w:rsidRDefault="005B7086" w:rsidP="00783C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5B7086" w:rsidRPr="00812F73" w:rsidTr="00783CFC">
        <w:tc>
          <w:tcPr>
            <w:tcW w:w="1140" w:type="dxa"/>
            <w:tcBorders>
              <w:top w:val="nil"/>
            </w:tcBorders>
          </w:tcPr>
          <w:p w:rsidR="005B7086" w:rsidRPr="00036EE3" w:rsidRDefault="005B7086" w:rsidP="00783CFC">
            <w:pPr>
              <w:spacing w:before="30" w:after="30"/>
              <w:ind w:left="57"/>
              <w:jc w:val="left"/>
              <w:rPr>
                <w:b/>
                <w:bCs/>
                <w:sz w:val="20"/>
                <w:lang w:val="fr-CH"/>
              </w:rPr>
            </w:pPr>
            <w:r w:rsidRPr="00036EE3">
              <w:rPr>
                <w:b/>
                <w:bCs/>
                <w:sz w:val="20"/>
                <w:lang w:val="fr-CH"/>
              </w:rPr>
              <w:t>P</w:t>
            </w:r>
          </w:p>
        </w:tc>
        <w:tc>
          <w:tcPr>
            <w:tcW w:w="8220" w:type="dxa"/>
            <w:tcBorders>
              <w:top w:val="nil"/>
            </w:tcBorders>
          </w:tcPr>
          <w:p w:rsidR="005B7086" w:rsidRPr="00021E8A" w:rsidRDefault="005B7086" w:rsidP="00783CFC">
            <w:pPr>
              <w:spacing w:before="30" w:after="30"/>
              <w:jc w:val="left"/>
              <w:rPr>
                <w:bCs/>
                <w:sz w:val="20"/>
                <w:lang w:val="es-ES_tradnl"/>
              </w:rPr>
            </w:pPr>
            <w:r w:rsidRPr="00021E8A">
              <w:rPr>
                <w:bCs/>
                <w:sz w:val="20"/>
                <w:lang w:val="es-ES_tradnl"/>
              </w:rPr>
              <w:t>Propagación de las ondas radioeléctricas</w:t>
            </w:r>
          </w:p>
        </w:tc>
      </w:tr>
      <w:tr w:rsidR="005B7086" w:rsidRPr="00036EE3" w:rsidTr="00783CFC">
        <w:tc>
          <w:tcPr>
            <w:tcW w:w="1140" w:type="dxa"/>
          </w:tcPr>
          <w:p w:rsidR="005B7086" w:rsidRPr="00036EE3" w:rsidRDefault="005B7086" w:rsidP="00783CFC">
            <w:pPr>
              <w:spacing w:before="30" w:after="30"/>
              <w:ind w:left="57"/>
              <w:jc w:val="left"/>
              <w:rPr>
                <w:b/>
                <w:bCs/>
                <w:sz w:val="20"/>
                <w:lang w:val="en-US"/>
              </w:rPr>
            </w:pPr>
            <w:r w:rsidRPr="00036EE3">
              <w:rPr>
                <w:b/>
                <w:bCs/>
                <w:sz w:val="20"/>
                <w:lang w:val="en-US"/>
              </w:rPr>
              <w:t>RA</w:t>
            </w:r>
          </w:p>
        </w:tc>
        <w:tc>
          <w:tcPr>
            <w:tcW w:w="8220" w:type="dxa"/>
          </w:tcPr>
          <w:p w:rsidR="005B7086" w:rsidRPr="00021E8A" w:rsidRDefault="00E27132" w:rsidP="00783CF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5B7086" w:rsidRPr="00021E8A">
              <w:rPr>
                <w:bCs/>
                <w:sz w:val="20"/>
              </w:rPr>
              <w:t>astronomía</w:t>
            </w:r>
          </w:p>
        </w:tc>
      </w:tr>
      <w:tr w:rsidR="005B7086" w:rsidRPr="00812F73" w:rsidTr="00783CFC">
        <w:tc>
          <w:tcPr>
            <w:tcW w:w="1140" w:type="dxa"/>
          </w:tcPr>
          <w:p w:rsidR="005B7086" w:rsidRPr="00036EE3" w:rsidRDefault="005B7086" w:rsidP="00783CFC">
            <w:pPr>
              <w:spacing w:before="30" w:after="30"/>
              <w:ind w:left="57"/>
              <w:jc w:val="left"/>
              <w:rPr>
                <w:b/>
                <w:bCs/>
                <w:sz w:val="20"/>
                <w:lang w:val="en-US"/>
              </w:rPr>
            </w:pPr>
            <w:r w:rsidRPr="00036EE3">
              <w:rPr>
                <w:b/>
                <w:bCs/>
                <w:sz w:val="20"/>
                <w:lang w:val="en-US"/>
              </w:rPr>
              <w:t>RS</w:t>
            </w:r>
          </w:p>
        </w:tc>
        <w:tc>
          <w:tcPr>
            <w:tcW w:w="8220" w:type="dxa"/>
          </w:tcPr>
          <w:p w:rsidR="005B7086" w:rsidRPr="00021E8A" w:rsidRDefault="005B7086" w:rsidP="00783CF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5B7086" w:rsidRPr="00036EE3" w:rsidTr="00783CFC">
        <w:tc>
          <w:tcPr>
            <w:tcW w:w="1140" w:type="dxa"/>
          </w:tcPr>
          <w:p w:rsidR="005B7086" w:rsidRPr="00036EE3" w:rsidRDefault="005B7086" w:rsidP="00783CFC">
            <w:pPr>
              <w:spacing w:before="30" w:after="30"/>
              <w:ind w:left="57"/>
              <w:jc w:val="left"/>
              <w:rPr>
                <w:b/>
                <w:bCs/>
                <w:sz w:val="20"/>
                <w:lang w:val="en-US"/>
              </w:rPr>
            </w:pPr>
            <w:r w:rsidRPr="00036EE3">
              <w:rPr>
                <w:b/>
                <w:bCs/>
                <w:sz w:val="20"/>
                <w:lang w:val="en-US"/>
              </w:rPr>
              <w:t>S</w:t>
            </w:r>
          </w:p>
        </w:tc>
        <w:tc>
          <w:tcPr>
            <w:tcW w:w="8220" w:type="dxa"/>
          </w:tcPr>
          <w:p w:rsidR="005B7086" w:rsidRPr="00021E8A" w:rsidRDefault="005B7086" w:rsidP="00783CFC">
            <w:pPr>
              <w:spacing w:before="30" w:after="30"/>
              <w:jc w:val="left"/>
              <w:rPr>
                <w:bCs/>
                <w:sz w:val="20"/>
                <w:lang w:val="en-US"/>
              </w:rPr>
            </w:pPr>
            <w:r w:rsidRPr="00021E8A">
              <w:rPr>
                <w:bCs/>
                <w:sz w:val="20"/>
              </w:rPr>
              <w:t>Servicio fijo por satélite</w:t>
            </w:r>
          </w:p>
        </w:tc>
      </w:tr>
      <w:tr w:rsidR="005B7086" w:rsidRPr="00036EE3" w:rsidTr="00783CFC">
        <w:tc>
          <w:tcPr>
            <w:tcW w:w="1140" w:type="dxa"/>
          </w:tcPr>
          <w:p w:rsidR="005B7086" w:rsidRPr="00036EE3" w:rsidRDefault="005B7086" w:rsidP="00783CFC">
            <w:pPr>
              <w:spacing w:before="30" w:after="30"/>
              <w:ind w:left="57"/>
              <w:jc w:val="left"/>
              <w:rPr>
                <w:b/>
                <w:bCs/>
                <w:sz w:val="20"/>
                <w:lang w:val="en-US"/>
              </w:rPr>
            </w:pPr>
            <w:r w:rsidRPr="00036EE3">
              <w:rPr>
                <w:b/>
                <w:bCs/>
                <w:sz w:val="20"/>
                <w:lang w:val="en-US"/>
              </w:rPr>
              <w:t>SA</w:t>
            </w:r>
          </w:p>
        </w:tc>
        <w:tc>
          <w:tcPr>
            <w:tcW w:w="8220" w:type="dxa"/>
          </w:tcPr>
          <w:p w:rsidR="005B7086" w:rsidRPr="00021E8A" w:rsidRDefault="005B7086" w:rsidP="00783CFC">
            <w:pPr>
              <w:spacing w:before="30" w:after="30"/>
              <w:jc w:val="left"/>
              <w:rPr>
                <w:bCs/>
                <w:sz w:val="20"/>
                <w:lang w:val="en-US"/>
              </w:rPr>
            </w:pPr>
            <w:r w:rsidRPr="00021E8A">
              <w:rPr>
                <w:bCs/>
                <w:sz w:val="20"/>
              </w:rPr>
              <w:t>Aplicaciones espaciales y meteorología</w:t>
            </w:r>
          </w:p>
        </w:tc>
      </w:tr>
      <w:tr w:rsidR="005B7086" w:rsidRPr="00812F73" w:rsidTr="00783CFC">
        <w:tc>
          <w:tcPr>
            <w:tcW w:w="1140" w:type="dxa"/>
          </w:tcPr>
          <w:p w:rsidR="005B7086" w:rsidRPr="00036EE3" w:rsidRDefault="005B7086" w:rsidP="00783CFC">
            <w:pPr>
              <w:spacing w:before="30" w:after="30"/>
              <w:ind w:left="57"/>
              <w:jc w:val="left"/>
              <w:rPr>
                <w:b/>
                <w:bCs/>
                <w:sz w:val="20"/>
                <w:lang w:val="en-US"/>
              </w:rPr>
            </w:pPr>
            <w:r w:rsidRPr="00036EE3">
              <w:rPr>
                <w:b/>
                <w:bCs/>
                <w:sz w:val="20"/>
                <w:lang w:val="en-US"/>
              </w:rPr>
              <w:t>SF</w:t>
            </w:r>
          </w:p>
        </w:tc>
        <w:tc>
          <w:tcPr>
            <w:tcW w:w="8220" w:type="dxa"/>
          </w:tcPr>
          <w:p w:rsidR="005B7086" w:rsidRPr="00021E8A" w:rsidRDefault="005B7086" w:rsidP="00783CFC">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5B7086" w:rsidRPr="00036EE3" w:rsidTr="00783CFC">
        <w:tc>
          <w:tcPr>
            <w:tcW w:w="1140" w:type="dxa"/>
            <w:shd w:val="clear" w:color="auto" w:fill="auto"/>
          </w:tcPr>
          <w:p w:rsidR="005B7086" w:rsidRPr="001240BC" w:rsidRDefault="005B7086" w:rsidP="00783CFC">
            <w:pPr>
              <w:spacing w:before="30" w:after="30"/>
              <w:ind w:left="57"/>
              <w:jc w:val="left"/>
              <w:rPr>
                <w:b/>
                <w:bCs/>
                <w:sz w:val="20"/>
                <w:lang w:val="en-US"/>
              </w:rPr>
            </w:pPr>
            <w:r w:rsidRPr="001240BC">
              <w:rPr>
                <w:b/>
                <w:bCs/>
                <w:sz w:val="20"/>
                <w:lang w:val="en-US"/>
              </w:rPr>
              <w:t>SM</w:t>
            </w:r>
          </w:p>
        </w:tc>
        <w:tc>
          <w:tcPr>
            <w:tcW w:w="8220" w:type="dxa"/>
            <w:shd w:val="clear" w:color="auto" w:fill="auto"/>
          </w:tcPr>
          <w:p w:rsidR="005B7086" w:rsidRPr="001240BC" w:rsidRDefault="005B7086" w:rsidP="00783CFC">
            <w:pPr>
              <w:spacing w:before="30" w:after="30"/>
              <w:jc w:val="left"/>
              <w:rPr>
                <w:sz w:val="20"/>
                <w:lang w:val="en-US"/>
              </w:rPr>
            </w:pPr>
            <w:r w:rsidRPr="001240BC">
              <w:rPr>
                <w:sz w:val="20"/>
              </w:rPr>
              <w:t>Gestión del espectro</w:t>
            </w:r>
          </w:p>
        </w:tc>
      </w:tr>
      <w:tr w:rsidR="005B7086" w:rsidRPr="00036EE3" w:rsidTr="00783CFC">
        <w:tc>
          <w:tcPr>
            <w:tcW w:w="1140" w:type="dxa"/>
          </w:tcPr>
          <w:p w:rsidR="005B7086" w:rsidRPr="00036EE3" w:rsidRDefault="005B7086" w:rsidP="00783CFC">
            <w:pPr>
              <w:spacing w:before="30" w:after="30"/>
              <w:ind w:left="57"/>
              <w:jc w:val="left"/>
              <w:rPr>
                <w:b/>
                <w:bCs/>
                <w:sz w:val="20"/>
                <w:lang w:val="en-US"/>
              </w:rPr>
            </w:pPr>
            <w:r w:rsidRPr="00036EE3">
              <w:rPr>
                <w:b/>
                <w:bCs/>
                <w:sz w:val="20"/>
                <w:lang w:val="en-US"/>
              </w:rPr>
              <w:t>SNG</w:t>
            </w:r>
          </w:p>
        </w:tc>
        <w:tc>
          <w:tcPr>
            <w:tcW w:w="8220" w:type="dxa"/>
          </w:tcPr>
          <w:p w:rsidR="005B7086" w:rsidRPr="00021E8A" w:rsidRDefault="005B7086" w:rsidP="00783CFC">
            <w:pPr>
              <w:spacing w:before="30" w:after="30"/>
              <w:jc w:val="left"/>
              <w:rPr>
                <w:bCs/>
                <w:sz w:val="20"/>
                <w:lang w:val="en-US"/>
              </w:rPr>
            </w:pPr>
            <w:r w:rsidRPr="00021E8A">
              <w:rPr>
                <w:bCs/>
                <w:sz w:val="20"/>
              </w:rPr>
              <w:t>Periodismo electrónico por satélite</w:t>
            </w:r>
          </w:p>
        </w:tc>
      </w:tr>
      <w:tr w:rsidR="005B7086" w:rsidRPr="00812F73" w:rsidTr="00783CFC">
        <w:tc>
          <w:tcPr>
            <w:tcW w:w="1140" w:type="dxa"/>
          </w:tcPr>
          <w:p w:rsidR="005B7086" w:rsidRPr="00036EE3" w:rsidRDefault="005B7086" w:rsidP="00783CFC">
            <w:pPr>
              <w:spacing w:before="30" w:after="30"/>
              <w:ind w:left="57"/>
              <w:jc w:val="left"/>
              <w:rPr>
                <w:b/>
                <w:bCs/>
                <w:sz w:val="20"/>
                <w:lang w:val="en-US"/>
              </w:rPr>
            </w:pPr>
            <w:r w:rsidRPr="00036EE3">
              <w:rPr>
                <w:b/>
                <w:bCs/>
                <w:sz w:val="20"/>
                <w:lang w:val="en-US"/>
              </w:rPr>
              <w:t>TF</w:t>
            </w:r>
          </w:p>
        </w:tc>
        <w:tc>
          <w:tcPr>
            <w:tcW w:w="8220" w:type="dxa"/>
          </w:tcPr>
          <w:p w:rsidR="005B7086" w:rsidRPr="00021E8A" w:rsidRDefault="005B7086" w:rsidP="00783CFC">
            <w:pPr>
              <w:spacing w:before="30" w:after="30"/>
              <w:jc w:val="left"/>
              <w:rPr>
                <w:bCs/>
                <w:sz w:val="20"/>
                <w:lang w:val="es-ES_tradnl"/>
              </w:rPr>
            </w:pPr>
            <w:r w:rsidRPr="00021E8A">
              <w:rPr>
                <w:bCs/>
                <w:sz w:val="20"/>
                <w:lang w:val="es-ES_tradnl"/>
              </w:rPr>
              <w:t>Emisiones de frecuencias patrón y señales horarias</w:t>
            </w:r>
          </w:p>
        </w:tc>
      </w:tr>
      <w:tr w:rsidR="005B7086" w:rsidRPr="00036EE3" w:rsidTr="00783CFC">
        <w:tc>
          <w:tcPr>
            <w:tcW w:w="1140" w:type="dxa"/>
          </w:tcPr>
          <w:p w:rsidR="005B7086" w:rsidRPr="00036EE3" w:rsidRDefault="005B7086" w:rsidP="00783CFC">
            <w:pPr>
              <w:spacing w:before="30" w:after="30"/>
              <w:ind w:left="57"/>
              <w:jc w:val="left"/>
              <w:rPr>
                <w:b/>
                <w:bCs/>
                <w:sz w:val="20"/>
                <w:lang w:val="en-US"/>
              </w:rPr>
            </w:pPr>
            <w:r w:rsidRPr="00036EE3">
              <w:rPr>
                <w:b/>
                <w:bCs/>
                <w:sz w:val="20"/>
                <w:lang w:val="en-US"/>
              </w:rPr>
              <w:t>V</w:t>
            </w:r>
          </w:p>
        </w:tc>
        <w:tc>
          <w:tcPr>
            <w:tcW w:w="8220" w:type="dxa"/>
          </w:tcPr>
          <w:p w:rsidR="005B7086" w:rsidRPr="00021E8A" w:rsidRDefault="005B7086" w:rsidP="00783CFC">
            <w:pPr>
              <w:spacing w:before="30" w:after="140"/>
              <w:jc w:val="left"/>
              <w:rPr>
                <w:bCs/>
                <w:sz w:val="20"/>
                <w:lang w:val="en-US"/>
              </w:rPr>
            </w:pPr>
            <w:r w:rsidRPr="00021E8A">
              <w:rPr>
                <w:bCs/>
                <w:sz w:val="20"/>
              </w:rPr>
              <w:t>Vocabulario y cuestiones afines</w:t>
            </w:r>
          </w:p>
        </w:tc>
      </w:tr>
    </w:tbl>
    <w:p w:rsidR="005B7086" w:rsidRPr="00036EE3" w:rsidRDefault="005B7086" w:rsidP="005B7086">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B7086" w:rsidTr="00783CFC">
        <w:tc>
          <w:tcPr>
            <w:tcW w:w="720" w:type="dxa"/>
          </w:tcPr>
          <w:p w:rsidR="005B7086" w:rsidRDefault="005B7086" w:rsidP="00783CFC">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B7086" w:rsidRPr="00812F73" w:rsidTr="00783CFC">
        <w:tc>
          <w:tcPr>
            <w:tcW w:w="9360" w:type="dxa"/>
          </w:tcPr>
          <w:p w:rsidR="005B7086" w:rsidRPr="00763D08" w:rsidRDefault="005B7086" w:rsidP="00783CFC">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5B7086" w:rsidRPr="00763D08" w:rsidRDefault="005B7086" w:rsidP="005B7086">
      <w:pPr>
        <w:spacing w:before="0"/>
        <w:jc w:val="center"/>
        <w:rPr>
          <w:sz w:val="22"/>
          <w:lang w:val="es-ES_tradnl"/>
        </w:rPr>
      </w:pPr>
    </w:p>
    <w:p w:rsidR="005B7086" w:rsidRPr="00763D08" w:rsidRDefault="005B7086" w:rsidP="005B7086">
      <w:pPr>
        <w:spacing w:before="60"/>
        <w:jc w:val="right"/>
        <w:rPr>
          <w:i/>
          <w:iCs/>
          <w:sz w:val="20"/>
          <w:lang w:val="es-ES_tradnl"/>
        </w:rPr>
      </w:pPr>
      <w:r w:rsidRPr="00763D08">
        <w:rPr>
          <w:i/>
          <w:iCs/>
          <w:sz w:val="20"/>
          <w:lang w:val="es-ES_tradnl"/>
        </w:rPr>
        <w:t>Publicación electrónica</w:t>
      </w:r>
    </w:p>
    <w:p w:rsidR="005B7086" w:rsidRPr="00763D08" w:rsidRDefault="005B7086" w:rsidP="005B7086">
      <w:pPr>
        <w:spacing w:before="0" w:after="40"/>
        <w:jc w:val="right"/>
        <w:rPr>
          <w:sz w:val="20"/>
          <w:lang w:val="es-ES_tradnl"/>
        </w:rPr>
      </w:pPr>
      <w:r w:rsidRPr="00763D08">
        <w:rPr>
          <w:sz w:val="20"/>
          <w:lang w:val="es-ES_tradnl"/>
        </w:rPr>
        <w:t>Ginebra, 20</w:t>
      </w:r>
      <w:r>
        <w:rPr>
          <w:sz w:val="20"/>
          <w:lang w:val="es-ES_tradnl"/>
        </w:rPr>
        <w:t>14</w:t>
      </w:r>
    </w:p>
    <w:p w:rsidR="005B7086" w:rsidRPr="00763D08" w:rsidRDefault="005B7086" w:rsidP="005B7086">
      <w:pPr>
        <w:spacing w:before="0"/>
        <w:jc w:val="center"/>
        <w:rPr>
          <w:sz w:val="22"/>
          <w:lang w:val="es-ES_tradnl"/>
        </w:rPr>
      </w:pPr>
    </w:p>
    <w:p w:rsidR="005B7086" w:rsidRPr="00763D08" w:rsidRDefault="005B7086" w:rsidP="005B708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14</w:t>
      </w:r>
    </w:p>
    <w:p w:rsidR="005B7086" w:rsidRPr="006C718C" w:rsidRDefault="005B7086" w:rsidP="005B7086">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B7086" w:rsidRPr="006C718C" w:rsidRDefault="005B7086" w:rsidP="005B7086">
      <w:pPr>
        <w:spacing w:before="160"/>
        <w:rPr>
          <w:i/>
          <w:sz w:val="20"/>
          <w:highlight w:val="yellow"/>
          <w:lang w:val="es-ES_tradnl"/>
        </w:rPr>
        <w:sectPr w:rsidR="005B7086"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5B7086" w:rsidRPr="0010336F" w:rsidRDefault="005B7086" w:rsidP="005B7086">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w:t>
      </w:r>
      <w:r>
        <w:rPr>
          <w:rStyle w:val="href"/>
          <w:lang w:val="es-ES_tradnl"/>
        </w:rPr>
        <w:t>2006</w:t>
      </w:r>
    </w:p>
    <w:p w:rsidR="00B15CE5" w:rsidRDefault="00B15CE5" w:rsidP="00B15CE5">
      <w:pPr>
        <w:pStyle w:val="Rectitle"/>
        <w:rPr>
          <w:lang w:val="es-ES_tradnl"/>
        </w:rPr>
      </w:pPr>
      <w:r w:rsidRPr="009C5C35">
        <w:rPr>
          <w:lang w:val="es-ES_tradnl"/>
        </w:rPr>
        <w:t>Disposición de canales y bloques de radiofrecuencia</w:t>
      </w:r>
      <w:r>
        <w:rPr>
          <w:lang w:val="es-ES_tradnl"/>
        </w:rPr>
        <w:br/>
      </w:r>
      <w:r w:rsidRPr="009C5C35">
        <w:rPr>
          <w:lang w:val="es-ES_tradnl"/>
        </w:rPr>
        <w:t>en los sistemas inalámbricos fijos que funcionan</w:t>
      </w:r>
      <w:r>
        <w:rPr>
          <w:lang w:val="es-ES_tradnl"/>
        </w:rPr>
        <w:br/>
      </w:r>
      <w:r w:rsidRPr="009C5C35">
        <w:rPr>
          <w:lang w:val="es-ES_tradnl"/>
        </w:rPr>
        <w:t>en las bandas de 71-76 GHz y 81-86 GHz</w:t>
      </w:r>
    </w:p>
    <w:p w:rsidR="00B15CE5" w:rsidRPr="00B15CE5" w:rsidRDefault="00B15CE5" w:rsidP="00B15CE5">
      <w:pPr>
        <w:pStyle w:val="Blanc"/>
        <w:rPr>
          <w:lang w:val="es-ES_tradnl"/>
        </w:rPr>
      </w:pPr>
    </w:p>
    <w:p w:rsidR="00B15CE5" w:rsidRPr="004D6C2C" w:rsidRDefault="00B15CE5" w:rsidP="00B15CE5">
      <w:pPr>
        <w:pStyle w:val="Recdate"/>
        <w:rPr>
          <w:lang w:val="es-ES_tradnl"/>
        </w:rPr>
      </w:pPr>
      <w:r w:rsidRPr="009C5C35">
        <w:rPr>
          <w:lang w:val="es-ES_tradnl"/>
        </w:rPr>
        <w:t>(2012)</w:t>
      </w:r>
    </w:p>
    <w:p w:rsidR="00B15CE5" w:rsidRPr="00812F73" w:rsidRDefault="00B15CE5" w:rsidP="00B15CE5">
      <w:pPr>
        <w:pStyle w:val="Blanc"/>
        <w:rPr>
          <w:lang w:val="es-ES_tradnl"/>
        </w:rPr>
      </w:pPr>
    </w:p>
    <w:p w:rsidR="00B15CE5" w:rsidRPr="009C5C35" w:rsidRDefault="00B15CE5" w:rsidP="00B15CE5">
      <w:pPr>
        <w:pStyle w:val="HeadingSum"/>
        <w:rPr>
          <w:lang w:eastAsia="ja-JP"/>
        </w:rPr>
      </w:pPr>
      <w:r w:rsidRPr="009C5C35">
        <w:t>Cometido</w:t>
      </w:r>
    </w:p>
    <w:p w:rsidR="00B15CE5" w:rsidRPr="009C5C35" w:rsidRDefault="00B15CE5" w:rsidP="00B15CE5">
      <w:pPr>
        <w:pStyle w:val="Summary"/>
        <w:rPr>
          <w:lang w:eastAsia="ko-KR"/>
        </w:rPr>
      </w:pPr>
      <w:r w:rsidRPr="009C5C35">
        <w:rPr>
          <w:lang w:eastAsia="ja-JP"/>
        </w:rPr>
        <w:t>En esta Recomendación se define la disposición de canales y bloques de radiofrecuencia en los sistemas inalámbricos fijos (FWS) que funcionan en la gama de 71-76/81-86 GHz, para su utilización por aplicaciones de banda ancha y otras redes de alta velocidad. La disposición recomendada se basa en un modelo homogéneo común con intervalos elementales de 125 MHz. La disposición de bloques de radiofrecuencia recomendada se basa en subbandas o bloques de 5 GHz posiblemente subdivididos para formar bloques de menor tamaño. La disposición de canales recomendada permite identificar de forma flexible el tamaño de los canales comprendido entre 250 MHz y 4</w:t>
      </w:r>
      <w:r>
        <w:rPr>
          <w:lang w:eastAsia="ja-JP"/>
        </w:rPr>
        <w:t> </w:t>
      </w:r>
      <w:r w:rsidRPr="009C5C35">
        <w:rPr>
          <w:lang w:eastAsia="ja-JP"/>
        </w:rPr>
        <w:t>500 MHz y la frecuencia dúplex de 2,5 GHz (disposición en subbanda única de 71</w:t>
      </w:r>
      <w:r>
        <w:rPr>
          <w:lang w:eastAsia="ja-JP"/>
        </w:rPr>
        <w:t>-</w:t>
      </w:r>
      <w:r w:rsidRPr="009C5C35">
        <w:rPr>
          <w:lang w:eastAsia="ja-JP"/>
        </w:rPr>
        <w:t xml:space="preserve">76 GHz </w:t>
      </w:r>
      <w:r>
        <w:rPr>
          <w:lang w:eastAsia="ja-JP"/>
        </w:rPr>
        <w:t>o</w:t>
      </w:r>
      <w:r w:rsidRPr="009C5C35">
        <w:rPr>
          <w:lang w:eastAsia="ja-JP"/>
        </w:rPr>
        <w:t xml:space="preserve"> 81-86 GHz) </w:t>
      </w:r>
      <w:r>
        <w:rPr>
          <w:lang w:eastAsia="ja-JP"/>
        </w:rPr>
        <w:t>o</w:t>
      </w:r>
      <w:r w:rsidRPr="009C5C35">
        <w:rPr>
          <w:lang w:eastAsia="ja-JP"/>
        </w:rPr>
        <w:t xml:space="preserve"> 10 GHz (disposición en subbandas conjuntas de 71-76 GHz y 81 86 GHz, agrupadas).</w:t>
      </w:r>
    </w:p>
    <w:p w:rsidR="00B15CE5" w:rsidRDefault="00B15CE5" w:rsidP="00B15CE5">
      <w:pPr>
        <w:pStyle w:val="Normalaftertitle"/>
        <w:rPr>
          <w:lang w:val="es-ES_tradnl"/>
        </w:rPr>
      </w:pPr>
      <w:r>
        <w:rPr>
          <w:lang w:val="es-ES_tradnl"/>
        </w:rPr>
        <w:t>La Asamblea de Radiocomunicaciones de la UIT,</w:t>
      </w:r>
    </w:p>
    <w:p w:rsidR="00B15CE5" w:rsidRPr="00B707C2" w:rsidRDefault="00B15CE5" w:rsidP="00B15CE5">
      <w:pPr>
        <w:pStyle w:val="Call"/>
        <w:rPr>
          <w:lang w:val="es-ES_tradnl"/>
        </w:rPr>
      </w:pPr>
      <w:r w:rsidRPr="00B707C2">
        <w:rPr>
          <w:lang w:val="es-ES_tradnl"/>
        </w:rPr>
        <w:t>considerando</w:t>
      </w:r>
    </w:p>
    <w:p w:rsidR="00B15CE5" w:rsidRPr="00B707C2" w:rsidRDefault="00B15CE5" w:rsidP="00B15CE5">
      <w:pPr>
        <w:rPr>
          <w:lang w:val="es-ES_tradnl" w:eastAsia="ko-KR"/>
        </w:rPr>
      </w:pPr>
      <w:r w:rsidRPr="00B15CE5">
        <w:rPr>
          <w:i/>
          <w:iCs/>
          <w:lang w:val="es-ES_tradnl" w:eastAsia="ko-KR"/>
        </w:rPr>
        <w:t>a)</w:t>
      </w:r>
      <w:r w:rsidRPr="00B707C2">
        <w:rPr>
          <w:lang w:val="es-ES_tradnl" w:eastAsia="ko-KR"/>
        </w:rPr>
        <w:tab/>
      </w:r>
      <w:r>
        <w:rPr>
          <w:lang w:val="es-ES_tradnl"/>
        </w:rPr>
        <w:t>que es necesaria la utilización de sistemas inalámbricos fijos (FWS) para el transporte de grandes capacidades de datos; por ejemplo, para transmisiones de señal de TV de alta definición (TVAD) sin comprimir o para aplicaciones de redes móviles, cuyas instalaciones se espera que crezcan rápidamente;</w:t>
      </w:r>
    </w:p>
    <w:p w:rsidR="00B15CE5" w:rsidRPr="00CE76B2" w:rsidRDefault="00B15CE5" w:rsidP="00B15CE5">
      <w:pPr>
        <w:rPr>
          <w:lang w:val="es-ES_tradnl"/>
        </w:rPr>
      </w:pPr>
      <w:r w:rsidRPr="00B15CE5">
        <w:rPr>
          <w:i/>
          <w:iCs/>
          <w:lang w:val="es-ES_tradnl"/>
        </w:rPr>
        <w:t>b)</w:t>
      </w:r>
      <w:r w:rsidRPr="00CE76B2">
        <w:rPr>
          <w:lang w:val="es-ES_tradnl"/>
        </w:rPr>
        <w:tab/>
      </w:r>
      <w:r>
        <w:rPr>
          <w:lang w:val="es-ES_tradnl"/>
        </w:rPr>
        <w:t>que las bandas de frecuencia 71-76 GHz y 81-86 GHz están atribuidas al servicio fijo;</w:t>
      </w:r>
    </w:p>
    <w:p w:rsidR="00B15CE5" w:rsidRPr="00CE76B2" w:rsidRDefault="00B15CE5" w:rsidP="00B15CE5">
      <w:pPr>
        <w:rPr>
          <w:lang w:val="es-ES_tradnl"/>
        </w:rPr>
      </w:pPr>
      <w:r w:rsidRPr="00B15CE5">
        <w:rPr>
          <w:i/>
          <w:iCs/>
          <w:lang w:val="es-ES_tradnl"/>
        </w:rPr>
        <w:t>c)</w:t>
      </w:r>
      <w:r w:rsidRPr="00CE76B2">
        <w:rPr>
          <w:lang w:val="es-ES_tradnl"/>
        </w:rPr>
        <w:tab/>
      </w:r>
      <w:r>
        <w:rPr>
          <w:lang w:val="es-ES_tradnl"/>
        </w:rPr>
        <w:t>que las características de propagación en estas bandas se adaptan perfectamente para su utilización por radioenlaces digitales de alta capacidad y corto alcance en redes de alta densidad;</w:t>
      </w:r>
    </w:p>
    <w:p w:rsidR="00B15CE5" w:rsidRPr="003E2610" w:rsidRDefault="00B15CE5" w:rsidP="00B15CE5">
      <w:pPr>
        <w:rPr>
          <w:lang w:val="es-ES_tradnl"/>
        </w:rPr>
      </w:pPr>
      <w:r w:rsidRPr="00B15CE5">
        <w:rPr>
          <w:i/>
          <w:iCs/>
          <w:lang w:val="es-ES_tradnl"/>
        </w:rPr>
        <w:t>d)</w:t>
      </w:r>
      <w:r w:rsidRPr="003E2610">
        <w:rPr>
          <w:lang w:val="es-ES_tradnl"/>
        </w:rPr>
        <w:tab/>
      </w:r>
      <w:r>
        <w:rPr>
          <w:lang w:val="es-ES_tradnl"/>
        </w:rPr>
        <w:t>que en estas bandas de frecuencia puede lograrse una directividad muy elevada de las antenas aún de pequeño tamaño, lo que aumenta la densidad de los equipos y reduce el riesgo de que aparezcan interferencias con el mismo y con otros servicios;</w:t>
      </w:r>
    </w:p>
    <w:p w:rsidR="00B15CE5" w:rsidRPr="002D67ED" w:rsidRDefault="00B15CE5" w:rsidP="00B15CE5">
      <w:pPr>
        <w:rPr>
          <w:lang w:val="es-ES_tradnl"/>
        </w:rPr>
      </w:pPr>
      <w:r w:rsidRPr="00B15CE5">
        <w:rPr>
          <w:i/>
          <w:iCs/>
          <w:lang w:val="es-ES_tradnl"/>
        </w:rPr>
        <w:t>e)</w:t>
      </w:r>
      <w:r w:rsidRPr="002D67ED">
        <w:rPr>
          <w:lang w:val="es-ES_tradnl"/>
        </w:rPr>
        <w:tab/>
      </w:r>
      <w:r>
        <w:rPr>
          <w:lang w:val="es-ES_tradnl"/>
        </w:rPr>
        <w:t>que  en esta banda de frecuencias pueden funcionar simultáneamente varios servicios con diversas características y capacidades de transmisión;</w:t>
      </w:r>
    </w:p>
    <w:p w:rsidR="00B15CE5" w:rsidRPr="0020640B" w:rsidRDefault="00B15CE5" w:rsidP="00B15CE5">
      <w:pPr>
        <w:rPr>
          <w:lang w:val="es-ES_tradnl"/>
        </w:rPr>
      </w:pPr>
      <w:r w:rsidRPr="00B15CE5">
        <w:rPr>
          <w:i/>
          <w:iCs/>
          <w:lang w:val="es-ES_tradnl"/>
        </w:rPr>
        <w:t>f)</w:t>
      </w:r>
      <w:r w:rsidRPr="0020640B">
        <w:rPr>
          <w:lang w:val="es-ES_tradnl"/>
        </w:rPr>
        <w:tab/>
        <w:t>que las aplicaciones en esta banda de frecuencias pueden exigir diferentes anchuras de banda de canal;</w:t>
      </w:r>
    </w:p>
    <w:p w:rsidR="00B15CE5" w:rsidRPr="0020640B" w:rsidRDefault="00B15CE5" w:rsidP="00B15CE5">
      <w:pPr>
        <w:rPr>
          <w:lang w:val="es-ES_tradnl" w:eastAsia="ko-KR"/>
        </w:rPr>
      </w:pPr>
      <w:r w:rsidRPr="00B15CE5">
        <w:rPr>
          <w:i/>
          <w:iCs/>
          <w:color w:val="000000"/>
          <w:lang w:val="es-ES_tradnl" w:eastAsia="ko-KR"/>
        </w:rPr>
        <w:t>g)</w:t>
      </w:r>
      <w:r w:rsidRPr="0020640B">
        <w:rPr>
          <w:rFonts w:ascii="TimesNewRoman" w:hAnsi="TimesNewRoman" w:cs="TimesNewRoman"/>
          <w:szCs w:val="24"/>
          <w:lang w:val="es-ES_tradnl" w:eastAsia="ko-KR"/>
        </w:rPr>
        <w:tab/>
      </w:r>
      <w:r>
        <w:rPr>
          <w:lang w:val="es-ES_tradnl"/>
        </w:rPr>
        <w:t>que, en algunos casos, con una disposición flexible de subbandas o bloques, se pueden aplicar varias tecnologías de FWS, manteniendo al mismo tiempo la coherencia con los principios de una buena gestión del espectro, incluida la garantía de funcionamiento entre sistemas/servicios y la eficiencia global en el uso del espectro;</w:t>
      </w:r>
    </w:p>
    <w:p w:rsidR="00B15CE5" w:rsidRPr="00862FA9" w:rsidRDefault="00B15CE5" w:rsidP="00B15CE5">
      <w:pPr>
        <w:rPr>
          <w:lang w:val="es-ES_tradnl" w:eastAsia="ja-JP"/>
        </w:rPr>
      </w:pPr>
      <w:r w:rsidRPr="00B15CE5">
        <w:rPr>
          <w:i/>
          <w:iCs/>
          <w:lang w:val="es-ES_tradnl"/>
        </w:rPr>
        <w:t>h)</w:t>
      </w:r>
      <w:r w:rsidRPr="00862FA9">
        <w:rPr>
          <w:lang w:val="es-ES_tradnl"/>
        </w:rPr>
        <w:tab/>
      </w:r>
      <w:r>
        <w:rPr>
          <w:lang w:val="es-ES_tradnl"/>
        </w:rPr>
        <w:t>que cuando se aplica la coordinación de frecuencias enlace a enlace, es preferible definir disposiciones de los radiocanales;</w:t>
      </w:r>
    </w:p>
    <w:p w:rsidR="00B15CE5" w:rsidRDefault="00B15CE5" w:rsidP="00B15CE5">
      <w:pPr>
        <w:rPr>
          <w:lang w:val="es-ES_tradnl"/>
        </w:rPr>
      </w:pPr>
      <w:r w:rsidRPr="00B15CE5">
        <w:rPr>
          <w:i/>
          <w:iCs/>
          <w:lang w:val="es-ES_tradnl"/>
        </w:rPr>
        <w:t>j)</w:t>
      </w:r>
      <w:r w:rsidRPr="00EC65F0">
        <w:rPr>
          <w:lang w:val="es-ES_tradnl"/>
        </w:rPr>
        <w:tab/>
      </w:r>
      <w:r>
        <w:rPr>
          <w:lang w:val="es-ES_tradnl"/>
        </w:rPr>
        <w:t>que una detenida planificación de frecuencias permite dar acomodo a aplicaciones de dúplex por división de frecuencias (DDF) y dúplex por división en el tiempo (DDT);</w:t>
      </w:r>
    </w:p>
    <w:p w:rsidR="00B15CE5" w:rsidRPr="00EC65F0" w:rsidRDefault="00B15CE5" w:rsidP="00D30846">
      <w:pPr>
        <w:keepNext/>
        <w:keepLines/>
        <w:rPr>
          <w:lang w:val="es-ES_tradnl"/>
        </w:rPr>
      </w:pPr>
      <w:r w:rsidRPr="00B15CE5">
        <w:rPr>
          <w:i/>
          <w:iCs/>
          <w:lang w:val="es-ES_tradnl"/>
        </w:rPr>
        <w:lastRenderedPageBreak/>
        <w:t>k)</w:t>
      </w:r>
      <w:r w:rsidRPr="00EC65F0">
        <w:rPr>
          <w:lang w:val="es-ES_tradnl"/>
        </w:rPr>
        <w:tab/>
      </w:r>
      <w:r>
        <w:rPr>
          <w:lang w:val="es-ES_tradnl"/>
        </w:rPr>
        <w:t>que las distintas aplicaciones con licencia de diversas administraciones pueden requerir diferentes disposiciones de radiocanales;</w:t>
      </w:r>
    </w:p>
    <w:p w:rsidR="00B15CE5" w:rsidRDefault="00B15CE5" w:rsidP="00B15CE5">
      <w:pPr>
        <w:rPr>
          <w:lang w:val="es-ES_tradnl"/>
        </w:rPr>
      </w:pPr>
      <w:r w:rsidRPr="00B15CE5">
        <w:rPr>
          <w:i/>
          <w:iCs/>
          <w:lang w:val="es-ES_tradnl" w:eastAsia="ko-KR"/>
        </w:rPr>
        <w:t>l)</w:t>
      </w:r>
      <w:r w:rsidRPr="00EC65F0">
        <w:rPr>
          <w:lang w:val="es-ES_tradnl" w:eastAsia="ko-KR"/>
        </w:rPr>
        <w:tab/>
      </w:r>
      <w:r w:rsidRPr="00EC65F0">
        <w:rPr>
          <w:lang w:val="es-ES_tradnl"/>
        </w:rPr>
        <w:t>que en algunos países sólo puede disponerse de partes limitadas de las dos bandas para aplicaciones civiles;</w:t>
      </w:r>
    </w:p>
    <w:p w:rsidR="00B15CE5" w:rsidRPr="00EC65F0" w:rsidRDefault="00B15CE5" w:rsidP="00B15CE5">
      <w:pPr>
        <w:rPr>
          <w:color w:val="000000"/>
          <w:lang w:val="es-ES_tradnl" w:eastAsia="ja-JP"/>
        </w:rPr>
      </w:pPr>
      <w:r w:rsidRPr="00B15CE5">
        <w:rPr>
          <w:i/>
          <w:iCs/>
          <w:lang w:val="es-ES_tradnl" w:eastAsia="ja-JP"/>
        </w:rPr>
        <w:t>m)</w:t>
      </w:r>
      <w:r w:rsidRPr="00EC65F0">
        <w:rPr>
          <w:lang w:val="es-ES_tradnl" w:eastAsia="ja-JP"/>
        </w:rPr>
        <w:tab/>
      </w:r>
      <w:r>
        <w:rPr>
          <w:lang w:val="es-ES_tradnl"/>
        </w:rPr>
        <w:t>que puede que algunos países deseen poner a disposición, o ya han puesto a disposición, estas bandas mediante un enfoque simplificado flexible sin ningún plan de canales específico,</w:t>
      </w:r>
    </w:p>
    <w:p w:rsidR="00B15CE5" w:rsidRPr="00CA1EB3" w:rsidRDefault="00B15CE5" w:rsidP="00B15CE5">
      <w:pPr>
        <w:pStyle w:val="Call"/>
        <w:rPr>
          <w:lang w:val="es-ES_tradnl" w:eastAsia="ja-JP"/>
        </w:rPr>
      </w:pPr>
      <w:r w:rsidRPr="00CA1EB3">
        <w:rPr>
          <w:lang w:val="es-ES_tradnl" w:eastAsia="ko-KR"/>
        </w:rPr>
        <w:t>observando</w:t>
      </w:r>
    </w:p>
    <w:p w:rsidR="00B15CE5" w:rsidRPr="00CA1EB3" w:rsidRDefault="00B15CE5" w:rsidP="00B15CE5">
      <w:pPr>
        <w:rPr>
          <w:color w:val="000000"/>
          <w:lang w:val="es-ES_tradnl" w:eastAsia="ko-KR"/>
        </w:rPr>
      </w:pPr>
      <w:r w:rsidRPr="00B15CE5">
        <w:rPr>
          <w:i/>
          <w:iCs/>
          <w:lang w:val="es-ES_tradnl" w:eastAsia="ja-JP"/>
        </w:rPr>
        <w:t>a</w:t>
      </w:r>
      <w:r w:rsidRPr="00B15CE5">
        <w:rPr>
          <w:i/>
          <w:iCs/>
          <w:lang w:val="es-ES_tradnl" w:eastAsia="ko-KR"/>
        </w:rPr>
        <w:t>)</w:t>
      </w:r>
      <w:r w:rsidRPr="00CA1EB3">
        <w:rPr>
          <w:lang w:val="es-ES_tradnl" w:eastAsia="ko-KR"/>
        </w:rPr>
        <w:tab/>
      </w:r>
      <w:r>
        <w:rPr>
          <w:lang w:val="es-ES_tradnl"/>
        </w:rPr>
        <w:t>que la Recomendación UIT-R F.1519 ofrece directrices sobre disposiciones de frecuencias basadas en bloques de frecuencias para sistemas del servicio fijo;</w:t>
      </w:r>
    </w:p>
    <w:p w:rsidR="00B15CE5" w:rsidRPr="00CA1EB3" w:rsidRDefault="00B15CE5" w:rsidP="00B15CE5">
      <w:pPr>
        <w:rPr>
          <w:lang w:val="es-ES_tradnl" w:eastAsia="ja-JP"/>
        </w:rPr>
      </w:pPr>
      <w:r w:rsidRPr="00B15CE5">
        <w:rPr>
          <w:i/>
          <w:iCs/>
          <w:lang w:val="es-ES_tradnl" w:eastAsia="ja-JP"/>
        </w:rPr>
        <w:t>b)</w:t>
      </w:r>
      <w:r w:rsidRPr="00CA1EB3">
        <w:rPr>
          <w:lang w:val="es-ES_tradnl" w:eastAsia="ja-JP"/>
        </w:rPr>
        <w:tab/>
      </w:r>
      <w:r>
        <w:rPr>
          <w:lang w:val="es-ES_tradnl"/>
        </w:rPr>
        <w:t>que el Informe UIT-R F.2107 proporciona las características y aplicaciones de los sistemas inalámbricos fijos que funcionan en gamas de frecuencias entre 57 GHz y 134 GHz,</w:t>
      </w:r>
    </w:p>
    <w:p w:rsidR="00B15CE5" w:rsidRPr="00E269F9" w:rsidRDefault="00B15CE5" w:rsidP="00B15CE5">
      <w:pPr>
        <w:pStyle w:val="Call"/>
        <w:rPr>
          <w:lang w:val="es-ES_tradnl"/>
        </w:rPr>
      </w:pPr>
      <w:r w:rsidRPr="00E269F9">
        <w:rPr>
          <w:lang w:val="es-ES_tradnl"/>
        </w:rPr>
        <w:t>recomienda</w:t>
      </w:r>
    </w:p>
    <w:p w:rsidR="00B15CE5" w:rsidRPr="00E269F9" w:rsidRDefault="00B15CE5" w:rsidP="00B15CE5">
      <w:pPr>
        <w:rPr>
          <w:lang w:val="es-ES_tradnl"/>
        </w:rPr>
      </w:pPr>
      <w:r w:rsidRPr="00E269F9">
        <w:rPr>
          <w:b/>
          <w:bCs/>
          <w:lang w:val="es-ES_tradnl"/>
        </w:rPr>
        <w:t>1</w:t>
      </w:r>
      <w:r w:rsidRPr="00E269F9">
        <w:rPr>
          <w:b/>
          <w:bCs/>
          <w:lang w:val="es-ES_tradnl"/>
        </w:rPr>
        <w:tab/>
      </w:r>
      <w:r>
        <w:rPr>
          <w:lang w:val="es-ES_tradnl"/>
        </w:rPr>
        <w:t>que las administraciones que deseen implementar una disposición de canales o bloques de radiofrecuencia en las bandas 71-76 GHz y 81-86 GHz consideren el siguiente modelo homogéneo con intervalos de 125 MHz:</w:t>
      </w:r>
    </w:p>
    <w:p w:rsidR="00B15CE5" w:rsidRPr="00812F73" w:rsidRDefault="00B15CE5" w:rsidP="00B15CE5">
      <w:pPr>
        <w:pStyle w:val="Blanc"/>
        <w:rPr>
          <w:lang w:val="es-ES_tradnl"/>
        </w:rPr>
      </w:pPr>
    </w:p>
    <w:p w:rsidR="00B15CE5" w:rsidRPr="00180DDE" w:rsidRDefault="00B15CE5" w:rsidP="00B15CE5">
      <w:pPr>
        <w:pStyle w:val="Equation"/>
        <w:rPr>
          <w:szCs w:val="24"/>
          <w:lang w:val="es-ES_tradnl"/>
        </w:rPr>
      </w:pPr>
      <w:r w:rsidRPr="00E269F9">
        <w:rPr>
          <w:szCs w:val="24"/>
          <w:lang w:val="es-ES_tradnl"/>
        </w:rPr>
        <w:tab/>
      </w:r>
      <w:r w:rsidRPr="00E269F9">
        <w:rPr>
          <w:szCs w:val="24"/>
          <w:lang w:val="es-ES_tradnl"/>
        </w:rPr>
        <w:tab/>
      </w:r>
      <w:r w:rsidRPr="00180DDE">
        <w:rPr>
          <w:i/>
          <w:szCs w:val="24"/>
          <w:lang w:val="es-ES_tradnl"/>
        </w:rPr>
        <w:t>f</w:t>
      </w:r>
      <w:r w:rsidRPr="00180DDE">
        <w:rPr>
          <w:i/>
          <w:szCs w:val="16"/>
          <w:lang w:val="es-ES_tradnl"/>
        </w:rPr>
        <w:t>n</w:t>
      </w:r>
      <w:r w:rsidRPr="00180DDE">
        <w:rPr>
          <w:szCs w:val="16"/>
          <w:lang w:val="es-ES_tradnl"/>
        </w:rPr>
        <w:t xml:space="preserve"> </w:t>
      </w:r>
      <w:r w:rsidRPr="00180DDE">
        <w:rPr>
          <w:szCs w:val="24"/>
          <w:lang w:val="es-ES_tradnl"/>
        </w:rPr>
        <w:t>= 71</w:t>
      </w:r>
      <w:r>
        <w:rPr>
          <w:szCs w:val="24"/>
          <w:lang w:val="es-ES_tradnl"/>
        </w:rPr>
        <w:t>,</w:t>
      </w:r>
      <w:r w:rsidRPr="00180DDE">
        <w:rPr>
          <w:szCs w:val="24"/>
          <w:lang w:val="es-ES_tradnl"/>
        </w:rPr>
        <w:t>0625 + 0</w:t>
      </w:r>
      <w:r>
        <w:rPr>
          <w:szCs w:val="24"/>
          <w:lang w:val="es-ES_tradnl"/>
        </w:rPr>
        <w:t>,</w:t>
      </w:r>
      <w:r w:rsidRPr="00180DDE">
        <w:rPr>
          <w:szCs w:val="24"/>
          <w:lang w:val="es-ES_tradnl"/>
        </w:rPr>
        <w:t>125 (</w:t>
      </w:r>
      <w:r w:rsidRPr="00180DDE">
        <w:rPr>
          <w:i/>
          <w:szCs w:val="24"/>
          <w:lang w:val="es-ES_tradnl"/>
        </w:rPr>
        <w:t>n</w:t>
      </w:r>
      <w:r w:rsidRPr="00180DDE">
        <w:rPr>
          <w:szCs w:val="24"/>
          <w:lang w:val="es-ES_tradnl"/>
        </w:rPr>
        <w:t xml:space="preserve"> </w:t>
      </w:r>
      <w:r w:rsidRPr="00CB46A8">
        <w:rPr>
          <w:szCs w:val="24"/>
        </w:rPr>
        <w:sym w:font="Symbol" w:char="F02D"/>
      </w:r>
      <w:r w:rsidRPr="00180DDE">
        <w:rPr>
          <w:szCs w:val="24"/>
          <w:lang w:val="es-ES_tradnl"/>
        </w:rPr>
        <w:t xml:space="preserve"> 1) GHz</w:t>
      </w:r>
    </w:p>
    <w:p w:rsidR="00B15CE5" w:rsidRPr="00812F73" w:rsidRDefault="00B15CE5" w:rsidP="00B15CE5">
      <w:pPr>
        <w:pStyle w:val="Blanc"/>
        <w:rPr>
          <w:lang w:val="es-ES_tradnl"/>
        </w:rPr>
      </w:pPr>
    </w:p>
    <w:p w:rsidR="00B15CE5" w:rsidRPr="00E269F9" w:rsidRDefault="00B15CE5" w:rsidP="00B15CE5">
      <w:pPr>
        <w:widowControl w:val="0"/>
        <w:overflowPunct/>
        <w:spacing w:before="240" w:after="120"/>
        <w:textAlignment w:val="auto"/>
        <w:rPr>
          <w:rFonts w:ascii="TimesNewRoman" w:hAnsi="TimesNewRoman" w:cs="TimesNewRoman"/>
          <w:szCs w:val="24"/>
          <w:lang w:val="es-ES_tradnl" w:eastAsia="ko-KR"/>
        </w:rPr>
      </w:pPr>
      <w:r w:rsidRPr="00E269F9">
        <w:rPr>
          <w:rFonts w:ascii="TimesNewRoman" w:hAnsi="TimesNewRoman" w:cs="TimesNewRoman"/>
          <w:szCs w:val="24"/>
          <w:lang w:val="es-ES_tradnl" w:eastAsia="ko-KR"/>
        </w:rPr>
        <w:t>siendo:</w:t>
      </w:r>
    </w:p>
    <w:p w:rsidR="00B15CE5" w:rsidRPr="00812F73" w:rsidRDefault="00B15CE5" w:rsidP="00B15CE5">
      <w:pPr>
        <w:pStyle w:val="Equationlegend"/>
        <w:rPr>
          <w:lang w:val="es-ES_tradnl"/>
        </w:rPr>
      </w:pPr>
      <w:r w:rsidRPr="00E269F9">
        <w:rPr>
          <w:i/>
          <w:lang w:val="es-ES_tradnl" w:eastAsia="ko-KR"/>
        </w:rPr>
        <w:tab/>
        <w:t>fn</w:t>
      </w:r>
      <w:r w:rsidRPr="00E269F9">
        <w:rPr>
          <w:iCs/>
          <w:lang w:val="es-ES_tradnl" w:eastAsia="ko-KR"/>
        </w:rPr>
        <w:t>:</w:t>
      </w:r>
      <w:r w:rsidRPr="00E269F9">
        <w:rPr>
          <w:lang w:val="es-ES_tradnl" w:eastAsia="ko-KR"/>
        </w:rPr>
        <w:tab/>
      </w:r>
      <w:r>
        <w:rPr>
          <w:lang w:val="es-ES_tradnl"/>
        </w:rPr>
        <w:t>frecuencia central del n-ésimo intervalo</w:t>
      </w:r>
    </w:p>
    <w:p w:rsidR="00B15CE5" w:rsidRPr="00B15CE5" w:rsidRDefault="00B15CE5" w:rsidP="00B15CE5">
      <w:pPr>
        <w:pStyle w:val="Equationlegend"/>
        <w:rPr>
          <w:lang w:val="es-ES_tradnl"/>
        </w:rPr>
      </w:pPr>
      <w:r w:rsidRPr="00B15CE5">
        <w:rPr>
          <w:i/>
          <w:lang w:val="es-ES_tradnl"/>
        </w:rPr>
        <w:tab/>
        <w:t xml:space="preserve">n </w:t>
      </w:r>
      <w:r w:rsidRPr="00B15CE5">
        <w:rPr>
          <w:lang w:val="es-ES_tradnl"/>
        </w:rPr>
        <w:t>=</w:t>
      </w:r>
      <w:r w:rsidRPr="00B15CE5">
        <w:rPr>
          <w:lang w:val="es-ES_tradnl"/>
        </w:rPr>
        <w:tab/>
        <w:t>1 a 40 para la banda 71-76 GHz</w:t>
      </w:r>
    </w:p>
    <w:p w:rsidR="00B15CE5" w:rsidRPr="00B15CE5" w:rsidRDefault="00B15CE5" w:rsidP="00B15CE5">
      <w:pPr>
        <w:pStyle w:val="Equationlegend"/>
        <w:rPr>
          <w:lang w:val="es-ES_tradnl"/>
        </w:rPr>
      </w:pPr>
      <w:r w:rsidRPr="00B15CE5">
        <w:rPr>
          <w:lang w:val="es-ES_tradnl"/>
        </w:rPr>
        <w:tab/>
      </w:r>
      <w:r w:rsidRPr="00B15CE5">
        <w:rPr>
          <w:lang w:val="es-ES_tradnl"/>
        </w:rPr>
        <w:tab/>
        <w:t>81 a 120 para la banda 81-86 GHz</w:t>
      </w:r>
      <w:r w:rsidR="00850AFE">
        <w:rPr>
          <w:lang w:val="es-ES_tradnl"/>
        </w:rPr>
        <w:t>;</w:t>
      </w:r>
    </w:p>
    <w:p w:rsidR="00B15CE5" w:rsidRPr="0011172B" w:rsidRDefault="00B15CE5" w:rsidP="00B15CE5">
      <w:pPr>
        <w:rPr>
          <w:lang w:val="es-ES_tradnl" w:eastAsia="ko-KR"/>
        </w:rPr>
      </w:pPr>
      <w:r w:rsidRPr="0011172B">
        <w:rPr>
          <w:b/>
          <w:lang w:val="es-ES_tradnl" w:eastAsia="ko-KR"/>
        </w:rPr>
        <w:t>2</w:t>
      </w:r>
      <w:r w:rsidRPr="0011172B">
        <w:rPr>
          <w:lang w:val="es-ES_tradnl" w:eastAsia="ko-KR"/>
        </w:rPr>
        <w:tab/>
      </w:r>
      <w:r>
        <w:rPr>
          <w:lang w:val="es-ES_tradnl"/>
        </w:rPr>
        <w:t>que las administraciones que deseen utilizar canales o bloques específicos de radiofrecuencia establezcan un tamaño múltiplo de 250 MHz y compongan la disposición agregando 2 o un número par mayor de intervalos de frecuencia del modelo homogéneo;</w:t>
      </w:r>
    </w:p>
    <w:p w:rsidR="00B15CE5" w:rsidRPr="00AB5FF0" w:rsidRDefault="00B15CE5" w:rsidP="00B15CE5">
      <w:pPr>
        <w:rPr>
          <w:rFonts w:ascii="TimesNewRoman" w:hAnsi="TimesNewRoman" w:cs="TimesNewRoman"/>
          <w:szCs w:val="24"/>
          <w:lang w:val="es-ES_tradnl" w:eastAsia="ko-KR"/>
        </w:rPr>
      </w:pPr>
      <w:r w:rsidRPr="00AB5FF0">
        <w:rPr>
          <w:b/>
          <w:lang w:val="es-ES_tradnl" w:eastAsia="ko-KR"/>
        </w:rPr>
        <w:t>3</w:t>
      </w:r>
      <w:r w:rsidRPr="00AB5FF0">
        <w:rPr>
          <w:lang w:val="es-ES_tradnl" w:eastAsia="ko-KR"/>
        </w:rPr>
        <w:tab/>
      </w:r>
      <w:r>
        <w:rPr>
          <w:lang w:val="es-ES_tradnl"/>
        </w:rPr>
        <w:t>que las administraciones que deseen asignar subbandas o bloques de frecuencia para los FWS en las bandas de frecuencia 71-76/81-86 GHz consideren las disposiciones de subbandas o bloques que figuran en el Anexo 1;</w:t>
      </w:r>
    </w:p>
    <w:p w:rsidR="00B15CE5" w:rsidRDefault="00B15CE5" w:rsidP="00B15CE5">
      <w:pPr>
        <w:rPr>
          <w:lang w:val="es-ES_tradnl"/>
        </w:rPr>
      </w:pPr>
      <w:r w:rsidRPr="00AB5FF0">
        <w:rPr>
          <w:rFonts w:ascii="TimesNewRoman,Bold" w:hAnsi="TimesNewRoman,Bold" w:cs="TimesNewRoman,Bold"/>
          <w:b/>
          <w:bCs/>
          <w:szCs w:val="24"/>
          <w:lang w:val="es-ES_tradnl" w:eastAsia="ko-KR"/>
        </w:rPr>
        <w:t>4</w:t>
      </w:r>
      <w:r w:rsidRPr="00AB5FF0">
        <w:rPr>
          <w:rFonts w:ascii="TimesNewRoman,Bold" w:hAnsi="TimesNewRoman,Bold" w:cs="TimesNewRoman,Bold"/>
          <w:b/>
          <w:bCs/>
          <w:szCs w:val="24"/>
          <w:lang w:val="es-ES_tradnl" w:eastAsia="ko-KR"/>
        </w:rPr>
        <w:tab/>
      </w:r>
      <w:r>
        <w:rPr>
          <w:lang w:val="es-ES_tradnl"/>
        </w:rPr>
        <w:t xml:space="preserve">que las administraciones consideren la adopción de frecuencias centrales portadoras en los bloques de frecuencia preferidos, a partir de los intervalos de canal de 250 MHz, como se indica en el </w:t>
      </w:r>
      <w:r w:rsidRPr="00AB5FF0">
        <w:rPr>
          <w:i/>
          <w:iCs/>
          <w:lang w:val="es-ES_tradnl"/>
        </w:rPr>
        <w:t>recomienda</w:t>
      </w:r>
      <w:r>
        <w:rPr>
          <w:lang w:val="es-ES_tradnl"/>
        </w:rPr>
        <w:t xml:space="preserve"> 2;</w:t>
      </w:r>
    </w:p>
    <w:p w:rsidR="00B15CE5" w:rsidRPr="00AB5FF0" w:rsidRDefault="00B15CE5" w:rsidP="00B15CE5">
      <w:pPr>
        <w:rPr>
          <w:rFonts w:ascii="TimesNewRoman" w:hAnsi="TimesNewRoman" w:cs="TimesNewRoman"/>
          <w:szCs w:val="24"/>
          <w:lang w:val="es-ES_tradnl" w:eastAsia="ko-KR"/>
        </w:rPr>
      </w:pPr>
      <w:r w:rsidRPr="00AB5FF0">
        <w:rPr>
          <w:rFonts w:ascii="TimesNewRoman" w:hAnsi="TimesNewRoman" w:cs="TimesNewRoman"/>
          <w:b/>
          <w:szCs w:val="24"/>
          <w:lang w:val="es-ES_tradnl" w:eastAsia="ko-KR"/>
        </w:rPr>
        <w:t>5</w:t>
      </w:r>
      <w:r w:rsidRPr="00AB5FF0">
        <w:rPr>
          <w:rFonts w:ascii="TimesNewRoman" w:hAnsi="TimesNewRoman" w:cs="TimesNewRoman"/>
          <w:szCs w:val="24"/>
          <w:lang w:val="es-ES_tradnl" w:eastAsia="ko-KR"/>
        </w:rPr>
        <w:tab/>
      </w:r>
      <w:r>
        <w:rPr>
          <w:lang w:val="es-ES_tradnl"/>
        </w:rPr>
        <w:t>que las administraciones que deseen asignar canales predefinidos de 250 MHz o múltiplos de ese valor, emparejados o desemparejados, consideren las disposiciones de canal flexibles indicadas en el Anexo 2.</w:t>
      </w:r>
    </w:p>
    <w:p w:rsidR="00B15CE5" w:rsidRPr="00DB014F" w:rsidRDefault="00B15CE5" w:rsidP="00B15CE5">
      <w:pPr>
        <w:pStyle w:val="AnnexNoTitle"/>
        <w:rPr>
          <w:lang w:val="es-ES_tradnl"/>
        </w:rPr>
      </w:pPr>
      <w:r w:rsidRPr="00DB014F">
        <w:rPr>
          <w:lang w:val="es-ES_tradnl"/>
        </w:rPr>
        <w:lastRenderedPageBreak/>
        <w:t>Anexo 1</w:t>
      </w:r>
      <w:r w:rsidRPr="00DB014F">
        <w:rPr>
          <w:lang w:val="es-ES_tradnl"/>
        </w:rPr>
        <w:br/>
      </w:r>
      <w:r w:rsidRPr="00DB014F">
        <w:rPr>
          <w:lang w:val="es-ES_tradnl"/>
        </w:rPr>
        <w:br/>
      </w:r>
      <w:r>
        <w:rPr>
          <w:lang w:val="es-ES_tradnl"/>
        </w:rPr>
        <w:t>Disposiciones de subb</w:t>
      </w:r>
      <w:r w:rsidRPr="00DB014F">
        <w:rPr>
          <w:lang w:val="es-ES_tradnl"/>
        </w:rPr>
        <w:t>andas o bloques de r</w:t>
      </w:r>
      <w:r>
        <w:rPr>
          <w:lang w:val="es-ES_tradnl"/>
        </w:rPr>
        <w:t xml:space="preserve">adiofrecuencias </w:t>
      </w:r>
      <w:r>
        <w:rPr>
          <w:lang w:val="es-ES_tradnl"/>
        </w:rPr>
        <w:br/>
        <w:t>en las bandas 71</w:t>
      </w:r>
      <w:r>
        <w:rPr>
          <w:lang w:val="es-ES_tradnl"/>
        </w:rPr>
        <w:noBreakHyphen/>
      </w:r>
      <w:r w:rsidRPr="00DB014F">
        <w:rPr>
          <w:lang w:val="es-ES_tradnl"/>
        </w:rPr>
        <w:t>76/81-86 GHz</w:t>
      </w:r>
    </w:p>
    <w:p w:rsidR="00B15CE5" w:rsidRDefault="00B15CE5" w:rsidP="00812F73">
      <w:pPr>
        <w:pStyle w:val="Normalaftertitle"/>
        <w:keepNext/>
        <w:keepLines/>
        <w:rPr>
          <w:lang w:val="es-ES_tradnl"/>
        </w:rPr>
      </w:pPr>
      <w:r>
        <w:rPr>
          <w:lang w:val="es-ES_tradnl"/>
        </w:rPr>
        <w:t>Esta disposición se basa en la utilización de subbandas básicas de 5 GHz que pueden subdividirse para formar bloques emparejados más pequeños, como muestran los ejemplos de la Fig</w:t>
      </w:r>
      <w:r w:rsidR="00812F73">
        <w:rPr>
          <w:lang w:val="es-ES_tradnl"/>
        </w:rPr>
        <w:t>. </w:t>
      </w:r>
      <w:r>
        <w:rPr>
          <w:lang w:val="es-ES_tradnl"/>
        </w:rPr>
        <w:t>1. Según las necesidades son posibles otras subdivisiones de bloques, incluidos bloques de diferentes tamaños.</w:t>
      </w:r>
    </w:p>
    <w:p w:rsidR="00B15CE5" w:rsidRPr="00DF3401" w:rsidRDefault="00B15CE5" w:rsidP="00B15CE5">
      <w:pPr>
        <w:pStyle w:val="FigureNo"/>
        <w:rPr>
          <w:lang w:val="es-ES_tradnl"/>
        </w:rPr>
      </w:pPr>
      <w:r>
        <w:rPr>
          <w:lang w:val="es-ES_tradnl"/>
        </w:rPr>
        <w:t>FigurA</w:t>
      </w:r>
      <w:r w:rsidRPr="00DF3401">
        <w:rPr>
          <w:lang w:val="es-ES_tradnl"/>
        </w:rPr>
        <w:t xml:space="preserve"> 1</w:t>
      </w:r>
    </w:p>
    <w:p w:rsidR="00B15CE5" w:rsidRDefault="00B15CE5" w:rsidP="00B15CE5">
      <w:pPr>
        <w:pStyle w:val="Figuretitle"/>
        <w:rPr>
          <w:lang w:val="es-ES_tradnl"/>
        </w:rPr>
      </w:pPr>
      <w:r w:rsidRPr="00DF3401">
        <w:rPr>
          <w:lang w:val="es-ES_tradnl"/>
        </w:rPr>
        <w:t>Ejemplos de disposición de bloques de frecuencia para las gamas 71-76/81-86 GHz</w:t>
      </w:r>
    </w:p>
    <w:p w:rsidR="00DD41C9" w:rsidRPr="00812F73" w:rsidRDefault="00DD41C9" w:rsidP="00DD41C9">
      <w:pPr>
        <w:pStyle w:val="Blanc"/>
        <w:rPr>
          <w:lang w:val="es-ES_tradnl"/>
        </w:rPr>
      </w:pPr>
    </w:p>
    <w:p w:rsidR="00B15CE5" w:rsidRPr="00CB46A8" w:rsidRDefault="00DD41C9" w:rsidP="00B15CE5">
      <w:pPr>
        <w:pStyle w:val="Figure"/>
        <w:rPr>
          <w:lang w:eastAsia="ko-KR"/>
        </w:rPr>
      </w:pPr>
      <w:r>
        <w:rPr>
          <w:lang w:eastAsia="ko-KR"/>
        </w:rPr>
        <w:object w:dxaOrig="5117" w:dyaOrig="1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pt;height:124.4pt" o:ole="">
            <v:imagedata r:id="rId12" o:title=""/>
          </v:shape>
          <o:OLEObject Type="Embed" ProgID="CorelDRAW.Graphic.14" ShapeID="_x0000_i1025" DrawAspect="Content" ObjectID="_1474724371" r:id="rId13"/>
        </w:object>
      </w:r>
    </w:p>
    <w:p w:rsidR="00B15CE5" w:rsidRDefault="00B15CE5" w:rsidP="00B15CE5">
      <w:pPr>
        <w:rPr>
          <w:lang w:val="en-US"/>
        </w:rPr>
      </w:pPr>
    </w:p>
    <w:p w:rsidR="00B15CE5" w:rsidRPr="00154D9F" w:rsidRDefault="00B15CE5" w:rsidP="00B15CE5">
      <w:pPr>
        <w:pStyle w:val="AnnexNoTitle"/>
        <w:rPr>
          <w:lang w:val="es-ES_tradnl"/>
        </w:rPr>
      </w:pPr>
      <w:r w:rsidRPr="00154D9F">
        <w:rPr>
          <w:lang w:val="es-ES_tradnl"/>
        </w:rPr>
        <w:t>Anexo 2</w:t>
      </w:r>
      <w:r w:rsidRPr="00154D9F">
        <w:rPr>
          <w:lang w:val="es-ES_tradnl"/>
        </w:rPr>
        <w:br/>
      </w:r>
      <w:r w:rsidRPr="00154D9F">
        <w:rPr>
          <w:lang w:val="es-ES_tradnl"/>
        </w:rPr>
        <w:br/>
        <w:t>Disposiciones de radiocanales en las banda</w:t>
      </w:r>
      <w:r>
        <w:rPr>
          <w:lang w:val="es-ES_tradnl"/>
        </w:rPr>
        <w:t>s 71-76</w:t>
      </w:r>
      <w:r w:rsidRPr="00154D9F">
        <w:rPr>
          <w:lang w:val="es-ES_tradnl"/>
        </w:rPr>
        <w:t>/81-86 GHz</w:t>
      </w:r>
    </w:p>
    <w:p w:rsidR="00B15CE5" w:rsidRPr="00A42C3A" w:rsidRDefault="00B15CE5" w:rsidP="00B15CE5">
      <w:pPr>
        <w:pStyle w:val="Heading1"/>
        <w:rPr>
          <w:lang w:val="es-ES_tradnl"/>
        </w:rPr>
      </w:pPr>
      <w:r>
        <w:rPr>
          <w:lang w:val="es-ES_tradnl"/>
        </w:rPr>
        <w:t>1</w:t>
      </w:r>
      <w:r>
        <w:rPr>
          <w:lang w:val="es-ES_tradnl"/>
        </w:rPr>
        <w:tab/>
        <w:t>C</w:t>
      </w:r>
      <w:r w:rsidRPr="00A42C3A">
        <w:rPr>
          <w:lang w:val="es-ES_tradnl"/>
        </w:rPr>
        <w:t>anales básicos de 250 MHz en las bandas 71-71 GHz y 81-86 GHz</w:t>
      </w:r>
    </w:p>
    <w:p w:rsidR="00B15CE5" w:rsidRPr="00C71925" w:rsidRDefault="00B15CE5" w:rsidP="00C71925">
      <w:pPr>
        <w:pStyle w:val="Equationlegend"/>
        <w:jc w:val="left"/>
        <w:rPr>
          <w:lang w:val="es-ES_tradnl"/>
        </w:rPr>
      </w:pPr>
      <w:r w:rsidRPr="00C71925">
        <w:rPr>
          <w:lang w:val="es-ES_tradnl"/>
        </w:rPr>
        <w:t>Sea</w:t>
      </w:r>
      <w:r w:rsidRPr="00C71925">
        <w:rPr>
          <w:lang w:val="es-ES_tradnl"/>
        </w:rPr>
        <w:tab/>
      </w:r>
      <w:r w:rsidRPr="00C71925">
        <w:rPr>
          <w:i/>
          <w:iCs/>
          <w:lang w:val="es-ES_tradnl"/>
        </w:rPr>
        <w:t>fr</w:t>
      </w:r>
      <w:r w:rsidR="00850AFE" w:rsidRPr="00C71925">
        <w:rPr>
          <w:lang w:val="es-ES_tradnl"/>
        </w:rPr>
        <w:t>:</w:t>
      </w:r>
      <w:r w:rsidRPr="00C71925">
        <w:rPr>
          <w:lang w:val="es-ES_tradnl"/>
        </w:rPr>
        <w:tab/>
        <w:t>la frecuencia de referencias de:</w:t>
      </w:r>
      <w:r w:rsidRPr="00C71925">
        <w:rPr>
          <w:lang w:val="es-ES_tradnl"/>
        </w:rPr>
        <w:br/>
        <w:t>71 000 MHz para la banda 71-76 GHz</w:t>
      </w:r>
      <w:r w:rsidRPr="00C71925">
        <w:rPr>
          <w:lang w:val="es-ES_tradnl"/>
        </w:rPr>
        <w:br/>
        <w:t>81 000 MHz para la banda 81-86 GHz</w:t>
      </w:r>
    </w:p>
    <w:p w:rsidR="00B15CE5" w:rsidRPr="00C71925" w:rsidRDefault="00B15CE5" w:rsidP="00C71925">
      <w:pPr>
        <w:pStyle w:val="Equationlegend"/>
        <w:rPr>
          <w:lang w:val="es-ES_tradnl"/>
        </w:rPr>
      </w:pPr>
      <w:r w:rsidRPr="00C71925">
        <w:rPr>
          <w:lang w:val="es-ES_tradnl"/>
        </w:rPr>
        <w:tab/>
      </w:r>
      <w:r w:rsidRPr="00C71925">
        <w:rPr>
          <w:i/>
          <w:iCs/>
          <w:lang w:val="es-ES_tradnl"/>
        </w:rPr>
        <w:t>fn</w:t>
      </w:r>
      <w:r w:rsidR="00850AFE" w:rsidRPr="00C71925">
        <w:rPr>
          <w:lang w:val="es-ES_tradnl"/>
        </w:rPr>
        <w:t>:</w:t>
      </w:r>
      <w:r w:rsidRPr="00C71925">
        <w:rPr>
          <w:lang w:val="es-ES_tradnl"/>
        </w:rPr>
        <w:tab/>
        <w:t>la frecuencia central de una canal de radiofrecuencia en la banda 71-76 GHz o en la banda 81-86 GHz</w:t>
      </w:r>
    </w:p>
    <w:p w:rsidR="00B15CE5" w:rsidRPr="00812F73" w:rsidRDefault="00B15CE5" w:rsidP="00C71925">
      <w:pPr>
        <w:pStyle w:val="Equationlegend"/>
        <w:rPr>
          <w:lang w:val="es-ES_tradnl"/>
        </w:rPr>
      </w:pPr>
      <w:r w:rsidRPr="00812F73">
        <w:rPr>
          <w:lang w:val="es-ES_tradnl"/>
        </w:rPr>
        <w:tab/>
      </w:r>
      <w:r w:rsidRPr="00812F73">
        <w:rPr>
          <w:i/>
          <w:iCs/>
          <w:lang w:val="es-ES_tradnl"/>
        </w:rPr>
        <w:t>n</w:t>
      </w:r>
      <w:r w:rsidR="00850AFE" w:rsidRPr="00812F73">
        <w:rPr>
          <w:lang w:val="es-ES_tradnl"/>
        </w:rPr>
        <w:t>:</w:t>
      </w:r>
      <w:r w:rsidRPr="00812F73">
        <w:rPr>
          <w:lang w:val="es-ES_tradnl"/>
        </w:rPr>
        <w:tab/>
        <w:t>el número de canal en cada banda</w:t>
      </w:r>
    </w:p>
    <w:p w:rsidR="00B15CE5" w:rsidRPr="00A42C3A" w:rsidRDefault="00B15CE5" w:rsidP="00B15CE5">
      <w:pPr>
        <w:rPr>
          <w:lang w:val="es-ES_tradnl"/>
        </w:rPr>
      </w:pPr>
      <w:r w:rsidRPr="00A42C3A">
        <w:rPr>
          <w:lang w:val="es-ES_tradnl"/>
        </w:rPr>
        <w:t xml:space="preserve">las frecuencias centrales de </w:t>
      </w:r>
      <w:r>
        <w:rPr>
          <w:lang w:val="es-ES_tradnl"/>
        </w:rPr>
        <w:t xml:space="preserve">cada uno de </w:t>
      </w:r>
      <w:r w:rsidRPr="00A42C3A">
        <w:rPr>
          <w:lang w:val="es-ES_tradnl"/>
        </w:rPr>
        <w:t xml:space="preserve">los canales con separación de 250 MHz </w:t>
      </w:r>
      <w:r>
        <w:rPr>
          <w:lang w:val="es-ES_tradnl"/>
        </w:rPr>
        <w:t>se expresan entonces</w:t>
      </w:r>
      <w:r w:rsidRPr="00A42C3A">
        <w:rPr>
          <w:lang w:val="es-ES_tradnl"/>
        </w:rPr>
        <w:t xml:space="preserve"> por la siguiente relación:</w:t>
      </w:r>
    </w:p>
    <w:p w:rsidR="00B15CE5" w:rsidRPr="00583F00" w:rsidRDefault="00B15CE5" w:rsidP="00C71925">
      <w:pPr>
        <w:pStyle w:val="Equation"/>
        <w:rPr>
          <w:lang w:val="es-ES_tradnl"/>
        </w:rPr>
      </w:pPr>
      <w:r w:rsidRPr="00A42C3A">
        <w:rPr>
          <w:i/>
          <w:iCs/>
          <w:lang w:val="es-ES_tradnl"/>
        </w:rPr>
        <w:tab/>
      </w:r>
      <w:r w:rsidRPr="00A42C3A">
        <w:rPr>
          <w:i/>
          <w:iCs/>
          <w:lang w:val="es-ES_tradnl"/>
        </w:rPr>
        <w:tab/>
      </w:r>
      <w:r w:rsidRPr="00583F00">
        <w:rPr>
          <w:i/>
          <w:iCs/>
          <w:lang w:val="es-ES_tradnl"/>
        </w:rPr>
        <w:t>fn</w:t>
      </w:r>
      <w:r w:rsidRPr="00583F00">
        <w:rPr>
          <w:lang w:val="es-ES_tradnl"/>
        </w:rPr>
        <w:t xml:space="preserve"> = </w:t>
      </w:r>
      <w:r w:rsidRPr="00583F00">
        <w:rPr>
          <w:i/>
          <w:iCs/>
          <w:lang w:val="es-ES_tradnl"/>
        </w:rPr>
        <w:t>fr</w:t>
      </w:r>
      <w:r w:rsidRPr="00583F00">
        <w:rPr>
          <w:lang w:val="es-ES_tradnl"/>
        </w:rPr>
        <w:t xml:space="preserve"> + 250</w:t>
      </w:r>
      <w:r w:rsidR="00C71925">
        <w:rPr>
          <w:lang w:val="es-ES_tradnl"/>
        </w:rPr>
        <w:t> </w:t>
      </w:r>
      <w:r w:rsidR="00C71925">
        <w:rPr>
          <w:lang w:val="es-ES_tradnl"/>
        </w:rPr>
        <w:sym w:font="Symbol" w:char="F0D7"/>
      </w:r>
      <w:r w:rsidR="00C71925">
        <w:rPr>
          <w:lang w:val="es-ES_tradnl"/>
        </w:rPr>
        <w:t> </w:t>
      </w:r>
      <w:r w:rsidRPr="00583F00">
        <w:rPr>
          <w:i/>
          <w:iCs/>
          <w:lang w:val="es-ES_tradnl"/>
        </w:rPr>
        <w:t>n</w:t>
      </w:r>
      <w:r w:rsidRPr="00583F00">
        <w:rPr>
          <w:lang w:val="es-ES_tradnl"/>
        </w:rPr>
        <w:t>      MHz</w:t>
      </w:r>
    </w:p>
    <w:p w:rsidR="00B15CE5" w:rsidRPr="00317C98" w:rsidRDefault="00B15CE5" w:rsidP="00B15CE5">
      <w:pPr>
        <w:rPr>
          <w:lang w:val="es-ES_tradnl"/>
        </w:rPr>
      </w:pPr>
      <w:r w:rsidRPr="00317C98">
        <w:rPr>
          <w:lang w:val="es-ES_tradnl"/>
        </w:rPr>
        <w:t>siendo:</w:t>
      </w:r>
    </w:p>
    <w:p w:rsidR="00B15CE5" w:rsidRPr="00317C98" w:rsidRDefault="00B15CE5" w:rsidP="00850AFE">
      <w:pPr>
        <w:pStyle w:val="Equationlegend"/>
        <w:rPr>
          <w:lang w:val="es-ES_tradnl"/>
        </w:rPr>
      </w:pPr>
      <w:r w:rsidRPr="00317C98">
        <w:rPr>
          <w:lang w:val="es-ES_tradnl"/>
        </w:rPr>
        <w:tab/>
      </w:r>
      <w:r w:rsidRPr="00317C98">
        <w:rPr>
          <w:i/>
          <w:iCs/>
          <w:lang w:val="es-ES_tradnl"/>
        </w:rPr>
        <w:t>n</w:t>
      </w:r>
      <w:r w:rsidR="00850AFE">
        <w:rPr>
          <w:i/>
          <w:iCs/>
          <w:lang w:val="es-ES_tradnl"/>
        </w:rPr>
        <w:t xml:space="preserve"> </w:t>
      </w:r>
      <w:r w:rsidR="00850AFE" w:rsidRPr="00317C98">
        <w:rPr>
          <w:lang w:val="es-ES_tradnl"/>
        </w:rPr>
        <w:t>=</w:t>
      </w:r>
      <w:r w:rsidRPr="00317C98">
        <w:rPr>
          <w:lang w:val="es-ES_tradnl"/>
        </w:rPr>
        <w:tab/>
        <w:t>1, 2, 3, ..., 19 para cada banda</w:t>
      </w:r>
    </w:p>
    <w:p w:rsidR="00B15CE5" w:rsidRPr="00317C98" w:rsidRDefault="00B15CE5" w:rsidP="00B15CE5">
      <w:pPr>
        <w:rPr>
          <w:lang w:val="es-ES_tradnl"/>
        </w:rPr>
      </w:pPr>
      <w:r w:rsidRPr="00317C98">
        <w:rPr>
          <w:lang w:val="es-ES_tradnl"/>
        </w:rPr>
        <w:t>Los 19 canales básicos de 250 MHz obtenido</w:t>
      </w:r>
      <w:r>
        <w:rPr>
          <w:lang w:val="es-ES_tradnl"/>
        </w:rPr>
        <w:t>s como</w:t>
      </w:r>
      <w:r w:rsidRPr="00317C98">
        <w:rPr>
          <w:lang w:val="es-ES_tradnl"/>
        </w:rPr>
        <w:t xml:space="preserve"> se indica manti</w:t>
      </w:r>
      <w:r>
        <w:rPr>
          <w:lang w:val="es-ES_tradnl"/>
        </w:rPr>
        <w:t>enen una banda de guarda de 125 </w:t>
      </w:r>
      <w:r w:rsidRPr="00317C98">
        <w:rPr>
          <w:lang w:val="es-ES_tradnl"/>
        </w:rPr>
        <w:t>MHz (es decir, ZS</w:t>
      </w:r>
      <w:r w:rsidR="00C71925">
        <w:rPr>
          <w:lang w:val="es-ES_tradnl"/>
        </w:rPr>
        <w:t xml:space="preserve"> </w:t>
      </w:r>
      <w:r w:rsidRPr="00317C98">
        <w:rPr>
          <w:lang w:val="es-ES_tradnl"/>
        </w:rPr>
        <w:t>= 250 MHz como se define en la Recomendación UIT-R F. 746) en cada uno de los cuatro bordes de la banda.</w:t>
      </w:r>
    </w:p>
    <w:p w:rsidR="00B15CE5" w:rsidRPr="00091878" w:rsidRDefault="00B15CE5" w:rsidP="00B15CE5">
      <w:pPr>
        <w:pStyle w:val="Heading1"/>
        <w:rPr>
          <w:lang w:val="es-ES_tradnl"/>
        </w:rPr>
      </w:pPr>
      <w:r w:rsidRPr="00091878">
        <w:rPr>
          <w:lang w:val="es-ES_tradnl"/>
        </w:rPr>
        <w:lastRenderedPageBreak/>
        <w:t>2</w:t>
      </w:r>
      <w:r w:rsidRPr="00091878">
        <w:rPr>
          <w:lang w:val="es-ES_tradnl"/>
        </w:rPr>
        <w:tab/>
        <w:t>Canales básico</w:t>
      </w:r>
      <w:r>
        <w:rPr>
          <w:lang w:val="es-ES_tradnl"/>
        </w:rPr>
        <w:t>s emparejados y co</w:t>
      </w:r>
      <w:r w:rsidRPr="00091878">
        <w:rPr>
          <w:lang w:val="es-ES_tradnl"/>
        </w:rPr>
        <w:t>mbinados en las b</w:t>
      </w:r>
      <w:r>
        <w:rPr>
          <w:lang w:val="es-ES_tradnl"/>
        </w:rPr>
        <w:t>andas de frecuencia 71</w:t>
      </w:r>
      <w:r>
        <w:rPr>
          <w:lang w:val="es-ES_tradnl"/>
        </w:rPr>
        <w:noBreakHyphen/>
        <w:t>76/81</w:t>
      </w:r>
      <w:r>
        <w:rPr>
          <w:lang w:val="es-ES_tradnl"/>
        </w:rPr>
        <w:noBreakHyphen/>
        <w:t>86 </w:t>
      </w:r>
      <w:r w:rsidRPr="00091878">
        <w:rPr>
          <w:lang w:val="es-ES_tradnl"/>
        </w:rPr>
        <w:t>GHz</w:t>
      </w:r>
    </w:p>
    <w:p w:rsidR="00B15CE5" w:rsidRPr="00970395" w:rsidRDefault="00B15CE5" w:rsidP="00C71925">
      <w:pPr>
        <w:keepNext/>
        <w:rPr>
          <w:lang w:val="es-ES_tradnl"/>
        </w:rPr>
      </w:pPr>
      <w:r>
        <w:rPr>
          <w:lang w:val="es-ES_tradnl"/>
        </w:rPr>
        <w:t>En la Fig.</w:t>
      </w:r>
      <w:r w:rsidRPr="00970395">
        <w:rPr>
          <w:lang w:val="es-ES_tradnl"/>
        </w:rPr>
        <w:t xml:space="preserve"> 2 se d</w:t>
      </w:r>
      <w:r>
        <w:rPr>
          <w:lang w:val="es-ES_tradnl"/>
        </w:rPr>
        <w:t>escribe el principio de utilización de</w:t>
      </w:r>
      <w:r w:rsidRPr="00970395">
        <w:rPr>
          <w:lang w:val="es-ES_tradnl"/>
        </w:rPr>
        <w:t xml:space="preserve"> 2 </w:t>
      </w:r>
      <w:r>
        <w:rPr>
          <w:lang w:val="es-ES_tradnl"/>
        </w:rPr>
        <w:t>×</w:t>
      </w:r>
      <w:r w:rsidRPr="00970395">
        <w:rPr>
          <w:lang w:val="es-ES_tradnl"/>
        </w:rPr>
        <w:t xml:space="preserve"> 19 canales básic</w:t>
      </w:r>
      <w:r>
        <w:rPr>
          <w:lang w:val="es-ES_tradnl"/>
        </w:rPr>
        <w:t>os dentro de las bandas 71</w:t>
      </w:r>
      <w:r w:rsidR="00C71925">
        <w:rPr>
          <w:lang w:val="es-ES_tradnl"/>
        </w:rPr>
        <w:noBreakHyphen/>
      </w:r>
      <w:r>
        <w:rPr>
          <w:lang w:val="es-ES_tradnl"/>
        </w:rPr>
        <w:t>76 GH</w:t>
      </w:r>
      <w:r w:rsidRPr="00970395">
        <w:rPr>
          <w:lang w:val="es-ES_tradnl"/>
        </w:rPr>
        <w:t xml:space="preserve">z y 81-86 GHz conjuntamente en una disposición DDF </w:t>
      </w:r>
      <w:r>
        <w:rPr>
          <w:lang w:val="es-ES_tradnl"/>
        </w:rPr>
        <w:t>con una separación dúplex de</w:t>
      </w:r>
      <w:r w:rsidR="00C71925">
        <w:rPr>
          <w:lang w:val="es-ES_tradnl"/>
        </w:rPr>
        <w:t> </w:t>
      </w:r>
      <w:r>
        <w:rPr>
          <w:lang w:val="es-ES_tradnl"/>
        </w:rPr>
        <w:t>10 </w:t>
      </w:r>
      <w:r w:rsidRPr="00970395">
        <w:rPr>
          <w:lang w:val="es-ES_tradnl"/>
        </w:rPr>
        <w:t>GHz.</w:t>
      </w:r>
    </w:p>
    <w:p w:rsidR="00B15CE5" w:rsidRPr="00BB2092" w:rsidRDefault="00B15CE5" w:rsidP="00B15CE5">
      <w:pPr>
        <w:pStyle w:val="FigureNo"/>
        <w:rPr>
          <w:lang w:val="es-ES_tradnl"/>
        </w:rPr>
      </w:pPr>
      <w:r w:rsidRPr="00BB2092">
        <w:rPr>
          <w:lang w:val="es-ES_tradnl"/>
        </w:rPr>
        <w:t>Figura 2</w:t>
      </w:r>
    </w:p>
    <w:p w:rsidR="00B15CE5" w:rsidRDefault="00B15CE5" w:rsidP="00AC49EF">
      <w:pPr>
        <w:pStyle w:val="Figuretitle"/>
        <w:rPr>
          <w:lang w:val="es-ES_tradnl"/>
        </w:rPr>
      </w:pPr>
      <w:r w:rsidRPr="00BB2092">
        <w:rPr>
          <w:lang w:val="es-ES_tradnl"/>
        </w:rPr>
        <w:t>Combinación de canales de 250 MHz en las bandas 71-76/81-86 GH</w:t>
      </w:r>
      <w:r>
        <w:rPr>
          <w:lang w:val="es-ES_tradnl"/>
        </w:rPr>
        <w:t xml:space="preserve">z </w:t>
      </w:r>
      <w:r w:rsidR="00AC49EF">
        <w:rPr>
          <w:lang w:val="es-ES_tradnl"/>
        </w:rPr>
        <w:br/>
        <w:t>e</w:t>
      </w:r>
      <w:r>
        <w:rPr>
          <w:lang w:val="es-ES_tradnl"/>
        </w:rPr>
        <w:t>n una disposición única DDF con separación dúplex de</w:t>
      </w:r>
      <w:r w:rsidRPr="00BB2092">
        <w:rPr>
          <w:lang w:val="es-ES_tradnl"/>
        </w:rPr>
        <w:t xml:space="preserve"> 10 GHz</w:t>
      </w:r>
    </w:p>
    <w:p w:rsidR="00F02FCC" w:rsidRPr="00AC49EF" w:rsidRDefault="00F02FCC" w:rsidP="00F02FCC">
      <w:pPr>
        <w:pStyle w:val="Blanc"/>
        <w:rPr>
          <w:lang w:val="es-ES_tradnl"/>
        </w:rPr>
      </w:pPr>
    </w:p>
    <w:p w:rsidR="00B15CE5" w:rsidRPr="00CB46A8" w:rsidRDefault="00F02FCC" w:rsidP="00B15CE5">
      <w:pPr>
        <w:pStyle w:val="Figure"/>
      </w:pPr>
      <w:r>
        <w:object w:dxaOrig="5417" w:dyaOrig="1100">
          <v:shape id="_x0000_i1026" type="#_x0000_t75" style="width:453.6pt;height:92.4pt" o:ole="">
            <v:imagedata r:id="rId14" o:title=""/>
          </v:shape>
          <o:OLEObject Type="Embed" ProgID="CorelDRAW.Graphic.14" ShapeID="_x0000_i1026" DrawAspect="Content" ObjectID="_1474724372" r:id="rId15"/>
        </w:object>
      </w:r>
    </w:p>
    <w:p w:rsidR="00B15CE5" w:rsidRPr="00CB46A8" w:rsidRDefault="00B15CE5" w:rsidP="00F02FCC">
      <w:pPr>
        <w:spacing w:before="240"/>
      </w:pPr>
    </w:p>
    <w:p w:rsidR="00B15CE5" w:rsidRPr="0071685A" w:rsidRDefault="00B15CE5" w:rsidP="00B15CE5">
      <w:pPr>
        <w:rPr>
          <w:lang w:val="es-ES_tradnl"/>
        </w:rPr>
      </w:pPr>
      <w:r>
        <w:rPr>
          <w:lang w:val="es-ES_tradnl"/>
        </w:rPr>
        <w:t>En la F</w:t>
      </w:r>
      <w:r w:rsidRPr="0071685A">
        <w:rPr>
          <w:lang w:val="es-ES_tradnl"/>
        </w:rPr>
        <w:t>ig</w:t>
      </w:r>
      <w:r>
        <w:rPr>
          <w:lang w:val="es-ES_tradnl"/>
        </w:rPr>
        <w:t>.</w:t>
      </w:r>
      <w:r w:rsidRPr="0071685A">
        <w:rPr>
          <w:lang w:val="es-ES_tradnl"/>
        </w:rPr>
        <w:t xml:space="preserve"> 3 se representa el principio de utiliza</w:t>
      </w:r>
      <w:r>
        <w:rPr>
          <w:lang w:val="es-ES_tradnl"/>
        </w:rPr>
        <w:t>ción de</w:t>
      </w:r>
      <w:r w:rsidRPr="0071685A">
        <w:rPr>
          <w:lang w:val="es-ES_tradnl"/>
        </w:rPr>
        <w:t xml:space="preserve"> 2 </w:t>
      </w:r>
      <w:r>
        <w:rPr>
          <w:lang w:val="es-ES_tradnl"/>
        </w:rPr>
        <w:t>×</w:t>
      </w:r>
      <w:r w:rsidRPr="0071685A">
        <w:rPr>
          <w:lang w:val="es-ES_tradnl"/>
        </w:rPr>
        <w:t xml:space="preserve"> 19</w:t>
      </w:r>
      <w:r>
        <w:rPr>
          <w:lang w:val="es-ES_tradnl"/>
        </w:rPr>
        <w:t xml:space="preserve"> canales básicos en una sola subban</w:t>
      </w:r>
      <w:r w:rsidRPr="0071685A">
        <w:rPr>
          <w:lang w:val="es-ES_tradnl"/>
        </w:rPr>
        <w:t>da 71-76 GHz o 81-86 GHz con dos d</w:t>
      </w:r>
      <w:r>
        <w:rPr>
          <w:lang w:val="es-ES_tradnl"/>
        </w:rPr>
        <w:t>isposiciones DDF separadas y separación dú</w:t>
      </w:r>
      <w:r w:rsidRPr="0071685A">
        <w:rPr>
          <w:lang w:val="es-ES_tradnl"/>
        </w:rPr>
        <w:t>pl</w:t>
      </w:r>
      <w:r>
        <w:rPr>
          <w:lang w:val="es-ES_tradnl"/>
        </w:rPr>
        <w:t>e</w:t>
      </w:r>
      <w:r w:rsidRPr="0071685A">
        <w:rPr>
          <w:lang w:val="es-ES_tradnl"/>
        </w:rPr>
        <w:t>x de 2,5 GHz.</w:t>
      </w:r>
    </w:p>
    <w:p w:rsidR="00B15CE5" w:rsidRPr="00F86B07" w:rsidRDefault="00B15CE5" w:rsidP="00B15CE5">
      <w:pPr>
        <w:pStyle w:val="FigureNo"/>
        <w:rPr>
          <w:lang w:val="es-ES_tradnl"/>
        </w:rPr>
      </w:pPr>
      <w:r w:rsidRPr="00F86B07">
        <w:rPr>
          <w:lang w:val="es-ES_tradnl"/>
        </w:rPr>
        <w:t>FigurA 3</w:t>
      </w:r>
    </w:p>
    <w:p w:rsidR="00B15CE5" w:rsidRDefault="00B15CE5" w:rsidP="00AC49EF">
      <w:pPr>
        <w:pStyle w:val="Figuretitle"/>
        <w:rPr>
          <w:lang w:val="es-ES_tradnl"/>
        </w:rPr>
      </w:pPr>
      <w:r w:rsidRPr="00F86B07">
        <w:rPr>
          <w:lang w:val="es-ES_tradnl"/>
        </w:rPr>
        <w:t>Combinación de canales de 250 MHz en las bandas 71-76 GHz o 81-86 GHz</w:t>
      </w:r>
      <w:r w:rsidR="00AC49EF">
        <w:rPr>
          <w:lang w:val="es-ES_tradnl"/>
        </w:rPr>
        <w:br/>
      </w:r>
      <w:r w:rsidRPr="00F86B07">
        <w:rPr>
          <w:lang w:val="es-ES_tradnl"/>
        </w:rPr>
        <w:t>en una disposici</w:t>
      </w:r>
      <w:r>
        <w:rPr>
          <w:lang w:val="es-ES_tradnl"/>
        </w:rPr>
        <w:t>ón separada DDF con separación dúplex de 2,</w:t>
      </w:r>
      <w:r w:rsidRPr="00F86B07">
        <w:rPr>
          <w:lang w:val="es-ES_tradnl"/>
        </w:rPr>
        <w:t>5 GHz</w:t>
      </w:r>
    </w:p>
    <w:p w:rsidR="00F02FCC" w:rsidRPr="00165BFA" w:rsidRDefault="00F02FCC" w:rsidP="00F02FCC">
      <w:pPr>
        <w:pStyle w:val="Blanc"/>
        <w:rPr>
          <w:lang w:val="es-ES_tradnl"/>
        </w:rPr>
      </w:pPr>
    </w:p>
    <w:p w:rsidR="00B15CE5" w:rsidRPr="00CB46A8" w:rsidRDefault="001127A7" w:rsidP="00B15CE5">
      <w:pPr>
        <w:pStyle w:val="Figure"/>
      </w:pPr>
      <w:r>
        <w:object w:dxaOrig="6694" w:dyaOrig="2249">
          <v:shape id="_x0000_i1027" type="#_x0000_t75" style="width:428pt;height:144.4pt" o:ole="" o:preferrelative="f">
            <v:imagedata r:id="rId16" o:title=""/>
          </v:shape>
          <o:OLEObject Type="Embed" ProgID="CorelDRAW.Graphic.14" ShapeID="_x0000_i1027" DrawAspect="Content" ObjectID="_1474724373" r:id="rId17"/>
        </w:object>
      </w:r>
    </w:p>
    <w:p w:rsidR="00B15CE5" w:rsidRPr="009E20B3" w:rsidRDefault="00B15CE5" w:rsidP="00B15CE5">
      <w:pPr>
        <w:rPr>
          <w:b/>
          <w:lang w:val="es-ES_tradnl"/>
        </w:rPr>
      </w:pPr>
      <w:r>
        <w:rPr>
          <w:lang w:val="es-ES_tradnl"/>
        </w:rPr>
        <w:t>Cuand</w:t>
      </w:r>
      <w:r w:rsidRPr="009E20B3">
        <w:rPr>
          <w:lang w:val="es-ES_tradnl"/>
        </w:rPr>
        <w:t xml:space="preserve">o se necesitan canales más anchos, por ejemplo para una velocidad binaria muy elevada y aplicaciones de </w:t>
      </w:r>
      <w:r>
        <w:rPr>
          <w:lang w:val="es-ES_tradnl"/>
        </w:rPr>
        <w:t xml:space="preserve">alta </w:t>
      </w:r>
      <w:r w:rsidRPr="009E20B3">
        <w:rPr>
          <w:lang w:val="es-ES_tradnl"/>
        </w:rPr>
        <w:t>ganancia de</w:t>
      </w:r>
      <w:r>
        <w:rPr>
          <w:lang w:val="es-ES_tradnl"/>
        </w:rPr>
        <w:t>l sistema (</w:t>
      </w:r>
      <w:r w:rsidRPr="009E20B3">
        <w:rPr>
          <w:lang w:val="es-ES_tradnl"/>
        </w:rPr>
        <w:t>utilizando modulación por desplazamiento de frecuencia y/o una capacidad de gi</w:t>
      </w:r>
      <w:r>
        <w:rPr>
          <w:lang w:val="es-ES_tradnl"/>
        </w:rPr>
        <w:t>gabit/s o superior), puede combinarse un número flexible de canales de 250 </w:t>
      </w:r>
      <w:r w:rsidRPr="009E20B3">
        <w:rPr>
          <w:lang w:val="es-ES_tradnl"/>
        </w:rPr>
        <w:t>MHz</w:t>
      </w:r>
      <w:r>
        <w:rPr>
          <w:lang w:val="es-ES_tradnl"/>
        </w:rPr>
        <w:t xml:space="preserve"> consecutivos con</w:t>
      </w:r>
      <w:r w:rsidRPr="009E20B3">
        <w:rPr>
          <w:lang w:val="es-ES_tradnl"/>
        </w:rPr>
        <w:t xml:space="preserve"> los ca</w:t>
      </w:r>
      <w:r>
        <w:rPr>
          <w:lang w:val="es-ES_tradnl"/>
        </w:rPr>
        <w:t>nales con DDF, como ilustra la F</w:t>
      </w:r>
      <w:r w:rsidRPr="009E20B3">
        <w:rPr>
          <w:lang w:val="es-ES_tradnl"/>
        </w:rPr>
        <w:t>ig</w:t>
      </w:r>
      <w:r>
        <w:rPr>
          <w:lang w:val="es-ES_tradnl"/>
        </w:rPr>
        <w:t>.</w:t>
      </w:r>
      <w:r w:rsidRPr="009E20B3">
        <w:rPr>
          <w:lang w:val="es-ES_tradnl"/>
        </w:rPr>
        <w:t xml:space="preserve"> 4, para un separación dúple</w:t>
      </w:r>
      <w:r>
        <w:rPr>
          <w:lang w:val="es-ES_tradnl"/>
        </w:rPr>
        <w:t>x igual o mayor que 10 GHz, o la F</w:t>
      </w:r>
      <w:r w:rsidRPr="009E20B3">
        <w:rPr>
          <w:lang w:val="es-ES_tradnl"/>
        </w:rPr>
        <w:t>ig</w:t>
      </w:r>
      <w:r>
        <w:rPr>
          <w:lang w:val="es-ES_tradnl"/>
        </w:rPr>
        <w:t>.</w:t>
      </w:r>
      <w:r w:rsidRPr="009E20B3">
        <w:rPr>
          <w:lang w:val="es-ES_tradnl"/>
        </w:rPr>
        <w:t xml:space="preserve"> 5, para una separación dúplex de 2,5 GHz. Las administraciones que prefieran utilizar canales de múltiples tamaños en posiciones previamente definidas pueden consultar las disposiciones de canales que aparecen en el </w:t>
      </w:r>
      <w:r>
        <w:rPr>
          <w:lang w:val="es-ES_tradnl"/>
        </w:rPr>
        <w:t>§ </w:t>
      </w:r>
      <w:r w:rsidRPr="009E20B3">
        <w:rPr>
          <w:lang w:val="es-ES_tradnl"/>
        </w:rPr>
        <w:t xml:space="preserve">4 del presente </w:t>
      </w:r>
      <w:r w:rsidR="00165BFA">
        <w:rPr>
          <w:lang w:val="es-ES_tradnl"/>
        </w:rPr>
        <w:t>A</w:t>
      </w:r>
      <w:r w:rsidR="00165BFA" w:rsidRPr="009E20B3">
        <w:rPr>
          <w:lang w:val="es-ES_tradnl"/>
        </w:rPr>
        <w:t>nexo</w:t>
      </w:r>
      <w:r w:rsidRPr="009E20B3">
        <w:rPr>
          <w:lang w:val="es-ES_tradnl"/>
        </w:rPr>
        <w:t>.</w:t>
      </w:r>
    </w:p>
    <w:p w:rsidR="00B15CE5" w:rsidRPr="00583F00" w:rsidRDefault="00B15CE5" w:rsidP="00B15CE5">
      <w:pPr>
        <w:pStyle w:val="FigureNo"/>
        <w:rPr>
          <w:lang w:val="es-ES_tradnl"/>
        </w:rPr>
      </w:pPr>
      <w:r w:rsidRPr="00583F00">
        <w:rPr>
          <w:lang w:val="es-ES_tradnl"/>
        </w:rPr>
        <w:lastRenderedPageBreak/>
        <w:t>FigurA 4</w:t>
      </w:r>
    </w:p>
    <w:p w:rsidR="00B15CE5" w:rsidRDefault="00B15CE5" w:rsidP="00B15CE5">
      <w:pPr>
        <w:pStyle w:val="Figuretitle"/>
        <w:rPr>
          <w:lang w:val="es-ES_tradnl"/>
        </w:rPr>
      </w:pPr>
      <w:r w:rsidRPr="00DA6637">
        <w:rPr>
          <w:lang w:val="es-ES_tradnl"/>
        </w:rPr>
        <w:t xml:space="preserve">Ejemplo de combinación de múltiples canales de 250 MHz, posiblemente junto con los canales originales </w:t>
      </w:r>
      <w:r>
        <w:rPr>
          <w:lang w:val="es-ES_tradnl"/>
        </w:rPr>
        <w:br/>
      </w:r>
      <w:r w:rsidRPr="00DA6637">
        <w:rPr>
          <w:lang w:val="es-ES_tradnl"/>
        </w:rPr>
        <w:t>de 250 MHz de anchura, en la disposici</w:t>
      </w:r>
      <w:r>
        <w:rPr>
          <w:lang w:val="es-ES_tradnl"/>
        </w:rPr>
        <w:t>ón DDF conjunta</w:t>
      </w:r>
      <w:r w:rsidRPr="00DA6637">
        <w:rPr>
          <w:lang w:val="es-ES_tradnl"/>
        </w:rPr>
        <w:t xml:space="preserve"> 71-76 GHz y 81-86 GHz</w:t>
      </w:r>
    </w:p>
    <w:p w:rsidR="00F02FCC" w:rsidRPr="00812F73" w:rsidRDefault="00F02FCC" w:rsidP="00F02FCC">
      <w:pPr>
        <w:pStyle w:val="Blanc"/>
        <w:rPr>
          <w:lang w:val="es-ES_tradnl"/>
        </w:rPr>
      </w:pPr>
    </w:p>
    <w:p w:rsidR="00B15CE5" w:rsidRPr="00CB46A8" w:rsidRDefault="00B15CE5" w:rsidP="00B15CE5">
      <w:pPr>
        <w:pStyle w:val="Figure"/>
      </w:pPr>
      <w:r>
        <w:object w:dxaOrig="7051" w:dyaOrig="1431">
          <v:shape id="_x0000_i1028" type="#_x0000_t75" style="width:466.8pt;height:94.8pt" o:ole="">
            <v:imagedata r:id="rId18" o:title=""/>
          </v:shape>
          <o:OLEObject Type="Embed" ProgID="CorelDRAW.Graphic.14" ShapeID="_x0000_i1028" DrawAspect="Content" ObjectID="_1474724374" r:id="rId19"/>
        </w:object>
      </w:r>
    </w:p>
    <w:p w:rsidR="00B15CE5" w:rsidRPr="00583F00" w:rsidRDefault="00B15CE5" w:rsidP="00B15CE5">
      <w:pPr>
        <w:pStyle w:val="FigureNo"/>
        <w:rPr>
          <w:lang w:val="es-ES_tradnl"/>
        </w:rPr>
      </w:pPr>
      <w:r w:rsidRPr="00583F00">
        <w:rPr>
          <w:lang w:val="es-ES_tradnl"/>
        </w:rPr>
        <w:t>FigurA 5</w:t>
      </w:r>
    </w:p>
    <w:p w:rsidR="00B15CE5" w:rsidRDefault="00B15CE5" w:rsidP="00B15CE5">
      <w:pPr>
        <w:pStyle w:val="Figuretitle"/>
        <w:rPr>
          <w:lang w:val="es-ES_tradnl"/>
        </w:rPr>
      </w:pPr>
      <w:r w:rsidRPr="00DA6637">
        <w:rPr>
          <w:lang w:val="es-ES_tradnl"/>
        </w:rPr>
        <w:t xml:space="preserve">Ejemplo de combinación de múltiples canales de 250 MHz, posiblemente junto con los canales originales </w:t>
      </w:r>
      <w:r>
        <w:rPr>
          <w:lang w:val="es-ES_tradnl"/>
        </w:rPr>
        <w:br/>
      </w:r>
      <w:r w:rsidRPr="00DA6637">
        <w:rPr>
          <w:lang w:val="es-ES_tradnl"/>
        </w:rPr>
        <w:t xml:space="preserve">de 250 MHz de anchura, a las disposiciones DDF en una sola banda, 71-76 </w:t>
      </w:r>
      <w:r>
        <w:rPr>
          <w:lang w:val="es-ES_tradnl"/>
        </w:rPr>
        <w:t>ó</w:t>
      </w:r>
      <w:r w:rsidRPr="00DA6637">
        <w:rPr>
          <w:lang w:val="es-ES_tradnl"/>
        </w:rPr>
        <w:t xml:space="preserve"> 81-86 GHz</w:t>
      </w:r>
    </w:p>
    <w:p w:rsidR="00F02FCC" w:rsidRPr="00812F73" w:rsidRDefault="00F02FCC" w:rsidP="00F02FCC">
      <w:pPr>
        <w:pStyle w:val="Blanc"/>
        <w:rPr>
          <w:lang w:val="es-ES_tradnl"/>
        </w:rPr>
      </w:pPr>
    </w:p>
    <w:p w:rsidR="00B15CE5" w:rsidRPr="00CB46A8" w:rsidRDefault="00B15CE5" w:rsidP="00B15CE5">
      <w:pPr>
        <w:pStyle w:val="Figure"/>
      </w:pPr>
      <w:r>
        <w:object w:dxaOrig="7048" w:dyaOrig="1731">
          <v:shape id="_x0000_i1029" type="#_x0000_t75" style="width:467.6pt;height:114.8pt" o:ole="">
            <v:imagedata r:id="rId20" o:title=""/>
          </v:shape>
          <o:OLEObject Type="Embed" ProgID="CorelDRAW.Graphic.14" ShapeID="_x0000_i1029" DrawAspect="Content" ObjectID="_1474724375" r:id="rId21"/>
        </w:object>
      </w:r>
    </w:p>
    <w:p w:rsidR="00B15CE5" w:rsidRPr="00666D51" w:rsidRDefault="00B15CE5" w:rsidP="00B15CE5">
      <w:pPr>
        <w:pStyle w:val="Heading1"/>
        <w:rPr>
          <w:lang w:val="es-ES_tradnl"/>
        </w:rPr>
      </w:pPr>
      <w:r w:rsidRPr="00666D51">
        <w:rPr>
          <w:lang w:val="es-ES_tradnl"/>
        </w:rPr>
        <w:t>3</w:t>
      </w:r>
      <w:r w:rsidRPr="00666D51">
        <w:rPr>
          <w:lang w:val="es-ES_tradnl"/>
        </w:rPr>
        <w:tab/>
      </w:r>
      <w:r>
        <w:rPr>
          <w:lang w:val="es-ES_tradnl"/>
        </w:rPr>
        <w:t>D</w:t>
      </w:r>
      <w:r w:rsidRPr="00666D51">
        <w:rPr>
          <w:lang w:val="es-ES_tradnl"/>
        </w:rPr>
        <w:t>isp</w:t>
      </w:r>
      <w:r>
        <w:rPr>
          <w:lang w:val="es-ES_tradnl"/>
        </w:rPr>
        <w:t>osiciones de canal especí</w:t>
      </w:r>
      <w:r w:rsidRPr="00666D51">
        <w:rPr>
          <w:lang w:val="es-ES_tradnl"/>
        </w:rPr>
        <w:t>ficas para canale</w:t>
      </w:r>
      <w:r>
        <w:rPr>
          <w:lang w:val="es-ES_tradnl"/>
        </w:rPr>
        <w:t>s combinados DDF/DDT de tamaño mú</w:t>
      </w:r>
      <w:r w:rsidRPr="00666D51">
        <w:rPr>
          <w:lang w:val="es-ES_tradnl"/>
        </w:rPr>
        <w:t>ltiple en las bandas de frecuencia 71-76/81-86 GHz</w:t>
      </w:r>
    </w:p>
    <w:p w:rsidR="00B15CE5" w:rsidRPr="00FF22E8" w:rsidRDefault="00B15CE5" w:rsidP="00B15CE5">
      <w:pPr>
        <w:rPr>
          <w:lang w:val="es-ES_tradnl"/>
        </w:rPr>
      </w:pPr>
      <w:r>
        <w:rPr>
          <w:lang w:val="es-ES_tradnl"/>
        </w:rPr>
        <w:t>L</w:t>
      </w:r>
      <w:r w:rsidRPr="00FF22E8">
        <w:rPr>
          <w:lang w:val="es-ES_tradnl"/>
        </w:rPr>
        <w:t>as disposiciones de canales de múltiples tamaños en estas bandas dependen de las hipótesis básicas que haya establecido la administración para la instalación, por ejempl</w:t>
      </w:r>
      <w:r>
        <w:rPr>
          <w:lang w:val="es-ES_tradnl"/>
        </w:rPr>
        <w:t>o:</w:t>
      </w:r>
    </w:p>
    <w:p w:rsidR="00B15CE5" w:rsidRPr="00FF22E8" w:rsidRDefault="00B15CE5" w:rsidP="00B15CE5">
      <w:pPr>
        <w:pStyle w:val="enumlev1"/>
        <w:rPr>
          <w:lang w:val="es-ES_tradnl"/>
        </w:rPr>
      </w:pPr>
      <w:r w:rsidRPr="00FF22E8">
        <w:rPr>
          <w:lang w:val="es-ES_tradnl"/>
        </w:rPr>
        <w:t>–</w:t>
      </w:r>
      <w:r w:rsidRPr="00FF22E8">
        <w:rPr>
          <w:lang w:val="es-ES_tradnl"/>
        </w:rPr>
        <w:tab/>
        <w:t>DDT, DDF o su utilización combinada de la banda;</w:t>
      </w:r>
    </w:p>
    <w:p w:rsidR="00B15CE5" w:rsidRPr="00FF22E8" w:rsidRDefault="00B15CE5" w:rsidP="00B15CE5">
      <w:pPr>
        <w:pStyle w:val="enumlev1"/>
        <w:rPr>
          <w:lang w:val="es-ES_tradnl"/>
        </w:rPr>
      </w:pPr>
      <w:r w:rsidRPr="00FF22E8">
        <w:rPr>
          <w:lang w:val="es-ES_tradnl"/>
        </w:rPr>
        <w:t>–</w:t>
      </w:r>
      <w:r w:rsidRPr="00FF22E8">
        <w:rPr>
          <w:lang w:val="es-ES_tradnl"/>
        </w:rPr>
        <w:tab/>
      </w:r>
      <w:r>
        <w:rPr>
          <w:lang w:val="es-ES_tradnl"/>
        </w:rPr>
        <w:t>a</w:t>
      </w:r>
      <w:r w:rsidRPr="00FF22E8">
        <w:rPr>
          <w:lang w:val="es-ES_tradnl"/>
        </w:rPr>
        <w:t>signaciones con DDF emparejadas con dúplex fijo;</w:t>
      </w:r>
    </w:p>
    <w:p w:rsidR="00B15CE5" w:rsidRPr="00FF22E8" w:rsidRDefault="00B15CE5" w:rsidP="00B15CE5">
      <w:pPr>
        <w:pStyle w:val="enumlev1"/>
        <w:rPr>
          <w:lang w:val="es-ES_tradnl"/>
        </w:rPr>
      </w:pPr>
      <w:r w:rsidRPr="00FF22E8">
        <w:rPr>
          <w:lang w:val="es-ES_tradnl"/>
        </w:rPr>
        <w:t>–</w:t>
      </w:r>
      <w:r w:rsidRPr="00FF22E8">
        <w:rPr>
          <w:lang w:val="es-ES_tradnl"/>
        </w:rPr>
        <w:tab/>
      </w:r>
      <w:r>
        <w:rPr>
          <w:lang w:val="es-ES_tradnl"/>
        </w:rPr>
        <w:t>canale</w:t>
      </w:r>
      <w:r w:rsidRPr="00FF22E8">
        <w:rPr>
          <w:lang w:val="es-ES_tradnl"/>
        </w:rPr>
        <w:t>s con DDF emparejados en cada una de las bandas o emparejados en bandas cruzadas</w:t>
      </w:r>
      <w:r>
        <w:rPr>
          <w:lang w:val="es-ES_tradnl"/>
        </w:rPr>
        <w:t>, ambos a la vez.</w:t>
      </w:r>
    </w:p>
    <w:p w:rsidR="00B15CE5" w:rsidRPr="00FF22E8" w:rsidRDefault="00B15CE5" w:rsidP="00B15CE5">
      <w:pPr>
        <w:rPr>
          <w:lang w:val="es-ES_tradnl"/>
        </w:rPr>
      </w:pPr>
      <w:r w:rsidRPr="00FF22E8">
        <w:rPr>
          <w:lang w:val="es-ES_tradnl"/>
        </w:rPr>
        <w:t>Para obten</w:t>
      </w:r>
      <w:r>
        <w:rPr>
          <w:lang w:val="es-ES_tradnl"/>
        </w:rPr>
        <w:t>e</w:t>
      </w:r>
      <w:r w:rsidRPr="00FF22E8">
        <w:rPr>
          <w:lang w:val="es-ES_tradnl"/>
        </w:rPr>
        <w:t xml:space="preserve">r la máxima flexibilidad en las disposiciones de canales se describen todos los posibles </w:t>
      </w:r>
      <w:r>
        <w:rPr>
          <w:lang w:val="es-ES_tradnl"/>
        </w:rPr>
        <w:t xml:space="preserve">tamaños de canal de </w:t>
      </w:r>
      <w:r w:rsidRPr="00FF22E8">
        <w:rPr>
          <w:lang w:val="es-ES_tradnl"/>
        </w:rPr>
        <w:t xml:space="preserve">N </w:t>
      </w:r>
      <w:r w:rsidRPr="00CB46A8">
        <w:sym w:font="Symbol" w:char="F0B4"/>
      </w:r>
      <w:r w:rsidRPr="00FF22E8">
        <w:rPr>
          <w:lang w:val="es-ES_tradnl"/>
        </w:rPr>
        <w:t xml:space="preserve"> 250 MHz. </w:t>
      </w:r>
    </w:p>
    <w:p w:rsidR="00B15CE5" w:rsidRPr="00A5234D" w:rsidRDefault="00B15CE5" w:rsidP="00165BFA">
      <w:pPr>
        <w:rPr>
          <w:lang w:val="es-ES_tradnl"/>
        </w:rPr>
      </w:pPr>
      <w:r w:rsidRPr="00A5234D">
        <w:rPr>
          <w:i/>
          <w:iCs/>
          <w:lang w:val="es-ES_tradnl"/>
        </w:rPr>
        <w:t>N</w:t>
      </w:r>
      <w:r w:rsidRPr="00A5234D">
        <w:rPr>
          <w:lang w:val="es-ES_tradnl"/>
        </w:rPr>
        <w:t xml:space="preserve"> = 1, 2, </w:t>
      </w:r>
      <w:r w:rsidR="00165BFA">
        <w:rPr>
          <w:lang w:val="es-ES_tradnl"/>
        </w:rPr>
        <w:t>... </w:t>
      </w:r>
      <w:r w:rsidRPr="00A5234D">
        <w:rPr>
          <w:lang w:val="es-ES_tradnl"/>
        </w:rPr>
        <w:t>9 da l</w:t>
      </w:r>
      <w:r>
        <w:rPr>
          <w:lang w:val="es-ES_tradnl"/>
        </w:rPr>
        <w:t>u</w:t>
      </w:r>
      <w:r w:rsidRPr="00A5234D">
        <w:rPr>
          <w:lang w:val="es-ES_tradnl"/>
        </w:rPr>
        <w:t>gar a un tamaño de canal de 2</w:t>
      </w:r>
      <w:r>
        <w:rPr>
          <w:lang w:val="es-ES_tradnl"/>
        </w:rPr>
        <w:t>50 MHz a 2 250 MHz como describe la F</w:t>
      </w:r>
      <w:r w:rsidRPr="00A5234D">
        <w:rPr>
          <w:lang w:val="es-ES_tradnl"/>
        </w:rPr>
        <w:t>ig</w:t>
      </w:r>
      <w:r>
        <w:rPr>
          <w:lang w:val="es-ES_tradnl"/>
        </w:rPr>
        <w:t>. </w:t>
      </w:r>
      <w:r w:rsidRPr="00A5234D">
        <w:rPr>
          <w:lang w:val="es-ES_tradnl"/>
        </w:rPr>
        <w:t>6 para las d</w:t>
      </w:r>
      <w:r>
        <w:rPr>
          <w:lang w:val="es-ES_tradnl"/>
        </w:rPr>
        <w:t>i</w:t>
      </w:r>
      <w:r w:rsidRPr="00A5234D">
        <w:rPr>
          <w:lang w:val="es-ES_tradnl"/>
        </w:rPr>
        <w:t>sp</w:t>
      </w:r>
      <w:r>
        <w:rPr>
          <w:lang w:val="es-ES_tradnl"/>
        </w:rPr>
        <w:t>o</w:t>
      </w:r>
      <w:r w:rsidRPr="00A5234D">
        <w:rPr>
          <w:lang w:val="es-ES_tradnl"/>
        </w:rPr>
        <w:t>siciones sep</w:t>
      </w:r>
      <w:r>
        <w:rPr>
          <w:lang w:val="es-ES_tradnl"/>
        </w:rPr>
        <w:t>a</w:t>
      </w:r>
      <w:r w:rsidRPr="00A5234D">
        <w:rPr>
          <w:lang w:val="es-ES_tradnl"/>
        </w:rPr>
        <w:t>ra</w:t>
      </w:r>
      <w:r>
        <w:rPr>
          <w:lang w:val="es-ES_tradnl"/>
        </w:rPr>
        <w:t xml:space="preserve">das en las </w:t>
      </w:r>
      <w:r w:rsidR="00165BFA">
        <w:rPr>
          <w:lang w:val="es-ES_tradnl"/>
        </w:rPr>
        <w:t>subbandas 71-76 GHz o</w:t>
      </w:r>
      <w:r w:rsidRPr="00A5234D">
        <w:rPr>
          <w:lang w:val="es-ES_tradnl"/>
        </w:rPr>
        <w:t xml:space="preserve"> 81-86 GHz con sep</w:t>
      </w:r>
      <w:r>
        <w:rPr>
          <w:lang w:val="es-ES_tradnl"/>
        </w:rPr>
        <w:t>aració</w:t>
      </w:r>
      <w:r w:rsidRPr="00A5234D">
        <w:rPr>
          <w:lang w:val="es-ES_tradnl"/>
        </w:rPr>
        <w:t>n dúplex de</w:t>
      </w:r>
      <w:r w:rsidR="00DD41C9">
        <w:rPr>
          <w:lang w:val="es-ES_tradnl"/>
        </w:rPr>
        <w:t xml:space="preserve"> </w:t>
      </w:r>
      <w:r w:rsidRPr="00A5234D">
        <w:rPr>
          <w:lang w:val="es-ES_tradnl"/>
        </w:rPr>
        <w:t>2,5</w:t>
      </w:r>
      <w:r>
        <w:rPr>
          <w:lang w:val="es-ES_tradnl"/>
        </w:rPr>
        <w:t> </w:t>
      </w:r>
      <w:r w:rsidRPr="00A5234D">
        <w:rPr>
          <w:lang w:val="es-ES_tradnl"/>
        </w:rPr>
        <w:t>GHz.</w:t>
      </w:r>
    </w:p>
    <w:p w:rsidR="00B15CE5" w:rsidRPr="00A5234D" w:rsidRDefault="00B15CE5" w:rsidP="00D77F35">
      <w:pPr>
        <w:rPr>
          <w:lang w:val="es-ES_tradnl"/>
        </w:rPr>
      </w:pPr>
      <w:r w:rsidRPr="00A5234D">
        <w:rPr>
          <w:i/>
          <w:iCs/>
          <w:lang w:val="es-ES_tradnl"/>
        </w:rPr>
        <w:t>N</w:t>
      </w:r>
      <w:r w:rsidRPr="00A5234D">
        <w:rPr>
          <w:lang w:val="es-ES_tradnl"/>
        </w:rPr>
        <w:t xml:space="preserve"> = 1, 2,</w:t>
      </w:r>
      <w:r w:rsidR="00165BFA">
        <w:rPr>
          <w:lang w:val="es-ES_tradnl"/>
        </w:rPr>
        <w:t> ... </w:t>
      </w:r>
      <w:r w:rsidRPr="00A5234D">
        <w:rPr>
          <w:lang w:val="es-ES_tradnl"/>
        </w:rPr>
        <w:t>18 da lugar</w:t>
      </w:r>
      <w:r>
        <w:rPr>
          <w:lang w:val="es-ES_tradnl"/>
        </w:rPr>
        <w:t xml:space="preserve"> a una tamaño de canal de 250 MHz a 4 500 MHz como describe la F</w:t>
      </w:r>
      <w:r w:rsidRPr="00A5234D">
        <w:rPr>
          <w:lang w:val="es-ES_tradnl"/>
        </w:rPr>
        <w:t>ig</w:t>
      </w:r>
      <w:r>
        <w:rPr>
          <w:lang w:val="es-ES_tradnl"/>
        </w:rPr>
        <w:t>.</w:t>
      </w:r>
      <w:r w:rsidR="00F02FCC">
        <w:rPr>
          <w:lang w:val="es-ES_tradnl"/>
        </w:rPr>
        <w:t> </w:t>
      </w:r>
      <w:r w:rsidRPr="00A5234D">
        <w:rPr>
          <w:lang w:val="es-ES_tradnl"/>
        </w:rPr>
        <w:t xml:space="preserve">7 </w:t>
      </w:r>
      <w:r>
        <w:rPr>
          <w:lang w:val="es-ES_tradnl"/>
        </w:rPr>
        <w:t>para la disposición conjunta de las subbandas 71-76 GH</w:t>
      </w:r>
      <w:r w:rsidRPr="00A5234D">
        <w:rPr>
          <w:lang w:val="es-ES_tradnl"/>
        </w:rPr>
        <w:t>z y 81-86 G</w:t>
      </w:r>
      <w:r>
        <w:rPr>
          <w:lang w:val="es-ES_tradnl"/>
        </w:rPr>
        <w:t>Hz con separación dúplex de 10 GHz. En este caso, l</w:t>
      </w:r>
      <w:r w:rsidRPr="00A5234D">
        <w:rPr>
          <w:lang w:val="es-ES_tradnl"/>
        </w:rPr>
        <w:t>os canales de 250 MHz a 2</w:t>
      </w:r>
      <w:r w:rsidR="00D77F35">
        <w:rPr>
          <w:lang w:val="es-ES_tradnl"/>
        </w:rPr>
        <w:t> </w:t>
      </w:r>
      <w:r w:rsidRPr="00A5234D">
        <w:rPr>
          <w:lang w:val="es-ES_tradnl"/>
        </w:rPr>
        <w:t>250 MHz mantienen la misma frecuencia central de los canales correspondient</w:t>
      </w:r>
      <w:r>
        <w:rPr>
          <w:lang w:val="es-ES_tradnl"/>
        </w:rPr>
        <w:t>e</w:t>
      </w:r>
      <w:r w:rsidRPr="00A5234D">
        <w:rPr>
          <w:lang w:val="es-ES_tradnl"/>
        </w:rPr>
        <w:t>s en disp</w:t>
      </w:r>
      <w:r>
        <w:rPr>
          <w:lang w:val="es-ES_tradnl"/>
        </w:rPr>
        <w:t>o</w:t>
      </w:r>
      <w:r w:rsidRPr="00A5234D">
        <w:rPr>
          <w:lang w:val="es-ES_tradnl"/>
        </w:rPr>
        <w:t>siciones separadas previas; esto facilita, cuando es ne</w:t>
      </w:r>
      <w:r>
        <w:rPr>
          <w:lang w:val="es-ES_tradnl"/>
        </w:rPr>
        <w:t>cesario, la coordinación simultá</w:t>
      </w:r>
      <w:r w:rsidRPr="00A5234D">
        <w:rPr>
          <w:lang w:val="es-ES_tradnl"/>
        </w:rPr>
        <w:t>nea de los sistemas con separación dúplex de 2,5 GHz y 10 GHz.</w:t>
      </w:r>
    </w:p>
    <w:p w:rsidR="00B15CE5" w:rsidRDefault="00B15CE5" w:rsidP="00B15CE5">
      <w:pPr>
        <w:pStyle w:val="FigureNo"/>
        <w:rPr>
          <w:lang w:val="es-ES_tradnl"/>
        </w:rPr>
      </w:pPr>
      <w:r w:rsidRPr="003908D1">
        <w:rPr>
          <w:lang w:val="es-ES_tradnl"/>
        </w:rPr>
        <w:lastRenderedPageBreak/>
        <w:t>FigurA 6</w:t>
      </w:r>
    </w:p>
    <w:p w:rsidR="00B15CE5" w:rsidRPr="003908D1" w:rsidRDefault="00B15CE5" w:rsidP="00B15CE5">
      <w:pPr>
        <w:pStyle w:val="Figuretitle"/>
        <w:rPr>
          <w:lang w:val="es-ES_tradnl"/>
        </w:rPr>
      </w:pPr>
      <w:r w:rsidRPr="003908D1">
        <w:rPr>
          <w:lang w:val="es-ES_tradnl"/>
        </w:rPr>
        <w:t>Posiciones del canal para aplicaciones DDT y DDF</w:t>
      </w:r>
      <w:r>
        <w:rPr>
          <w:lang w:val="es-ES_tradnl"/>
        </w:rPr>
        <w:t xml:space="preserve"> </w:t>
      </w:r>
      <w:r w:rsidRPr="003908D1">
        <w:rPr>
          <w:lang w:val="es-ES_tradnl"/>
        </w:rPr>
        <w:t>en una sola banda</w:t>
      </w:r>
      <w:r w:rsidRPr="003908D1">
        <w:rPr>
          <w:lang w:val="es-ES_tradnl"/>
        </w:rPr>
        <w:br/>
        <w:t>(d</w:t>
      </w:r>
      <w:r>
        <w:rPr>
          <w:lang w:val="es-ES_tradnl"/>
        </w:rPr>
        <w:t>úplex fijo de 2,5 GHz en todos los canales)</w:t>
      </w:r>
    </w:p>
    <w:p w:rsidR="00B15CE5" w:rsidRDefault="00D77F35" w:rsidP="00B15CE5">
      <w:pPr>
        <w:pStyle w:val="Figure"/>
      </w:pPr>
      <w:r>
        <w:object w:dxaOrig="4836" w:dyaOrig="7203">
          <v:shape id="_x0000_i1030" type="#_x0000_t75" style="width:402.4pt;height:600.4pt" o:ole="">
            <v:imagedata r:id="rId22" o:title=""/>
          </v:shape>
          <o:OLEObject Type="Embed" ProgID="CorelDraw.Graphic.16" ShapeID="_x0000_i1030" DrawAspect="Content" ObjectID="_1474724376" r:id="rId23"/>
        </w:object>
      </w:r>
    </w:p>
    <w:p w:rsidR="00B15CE5" w:rsidRPr="003908D1" w:rsidRDefault="00B15CE5" w:rsidP="00B15CE5">
      <w:pPr>
        <w:pStyle w:val="FigureNo"/>
        <w:spacing w:before="0"/>
        <w:rPr>
          <w:lang w:val="es-ES_tradnl"/>
        </w:rPr>
      </w:pPr>
      <w:r w:rsidRPr="003908D1">
        <w:rPr>
          <w:lang w:val="es-ES_tradnl"/>
        </w:rPr>
        <w:lastRenderedPageBreak/>
        <w:t>FigurA 7</w:t>
      </w:r>
    </w:p>
    <w:p w:rsidR="00B15CE5" w:rsidRPr="003908D1" w:rsidRDefault="00B15CE5" w:rsidP="00B15CE5">
      <w:pPr>
        <w:pStyle w:val="Figuretitle"/>
        <w:rPr>
          <w:lang w:val="es-ES_tradnl"/>
        </w:rPr>
      </w:pPr>
      <w:r w:rsidRPr="003908D1">
        <w:rPr>
          <w:lang w:val="es-ES_tradnl"/>
        </w:rPr>
        <w:t>Posiciones del canal para aplicaciones DDT y DDF conjunta</w:t>
      </w:r>
      <w:r>
        <w:rPr>
          <w:lang w:val="es-ES_tradnl"/>
        </w:rPr>
        <w:t xml:space="preserve"> en bandas cruzadas</w:t>
      </w:r>
      <w:r w:rsidRPr="003908D1">
        <w:rPr>
          <w:lang w:val="es-ES_tradnl"/>
        </w:rPr>
        <w:br/>
        <w:t>(</w:t>
      </w:r>
      <w:r>
        <w:rPr>
          <w:lang w:val="es-ES_tradnl"/>
        </w:rPr>
        <w:t>dúplex fijo de 10 GHz para todos los canales</w:t>
      </w:r>
      <w:r w:rsidRPr="003908D1">
        <w:rPr>
          <w:lang w:val="es-ES_tradnl"/>
        </w:rPr>
        <w:t>)</w:t>
      </w:r>
    </w:p>
    <w:p w:rsidR="00B15CE5" w:rsidRPr="00CB46A8" w:rsidRDefault="001127A7" w:rsidP="00B15CE5">
      <w:pPr>
        <w:pStyle w:val="Figure"/>
      </w:pPr>
      <w:r>
        <w:object w:dxaOrig="5727" w:dyaOrig="4463">
          <v:shape id="_x0000_i1031" type="#_x0000_t75" style="width:476.4pt;height:370.8pt" o:ole="">
            <v:imagedata r:id="rId24" o:title=""/>
          </v:shape>
          <o:OLEObject Type="Embed" ProgID="CorelDraw.Graphic.16" ShapeID="_x0000_i1031" DrawAspect="Content" ObjectID="_1474724377" r:id="rId25"/>
        </w:object>
      </w:r>
    </w:p>
    <w:p w:rsidR="00B15CE5" w:rsidRPr="008B5B6F" w:rsidRDefault="00B15CE5" w:rsidP="00B15CE5">
      <w:pPr>
        <w:pStyle w:val="Heading1"/>
        <w:rPr>
          <w:lang w:val="es-ES_tradnl"/>
        </w:rPr>
      </w:pPr>
      <w:r w:rsidRPr="008B5B6F">
        <w:rPr>
          <w:lang w:val="es-ES_tradnl"/>
        </w:rPr>
        <w:t>4</w:t>
      </w:r>
      <w:r w:rsidRPr="008B5B6F">
        <w:rPr>
          <w:lang w:val="es-ES_tradnl"/>
        </w:rPr>
        <w:tab/>
      </w:r>
      <w:r>
        <w:rPr>
          <w:lang w:val="es-ES_tradnl"/>
        </w:rPr>
        <w:t>Disposiciones de canal especí</w:t>
      </w:r>
      <w:r w:rsidRPr="008B5B6F">
        <w:rPr>
          <w:lang w:val="es-ES_tradnl"/>
        </w:rPr>
        <w:t xml:space="preserve">ficas para </w:t>
      </w:r>
      <w:r>
        <w:rPr>
          <w:lang w:val="es-ES_tradnl"/>
        </w:rPr>
        <w:t>canales combinados DDT/DDF de mú</w:t>
      </w:r>
      <w:r w:rsidRPr="008B5B6F">
        <w:rPr>
          <w:lang w:val="es-ES_tradnl"/>
        </w:rPr>
        <w:t>ltiples tamaños en las bandas</w:t>
      </w:r>
      <w:r>
        <w:rPr>
          <w:lang w:val="es-ES_tradnl"/>
        </w:rPr>
        <w:t xml:space="preserve"> de frecuencia reducidas 74-76/8</w:t>
      </w:r>
      <w:r w:rsidRPr="008B5B6F">
        <w:rPr>
          <w:lang w:val="es-ES_tradnl"/>
        </w:rPr>
        <w:t>4-86 GHz</w:t>
      </w:r>
    </w:p>
    <w:p w:rsidR="00B15CE5" w:rsidRPr="008B5B6F" w:rsidRDefault="00B15CE5" w:rsidP="00B15CE5">
      <w:pPr>
        <w:rPr>
          <w:lang w:val="es-ES_tradnl"/>
        </w:rPr>
      </w:pPr>
      <w:r>
        <w:rPr>
          <w:lang w:val="es-ES_tradnl"/>
        </w:rPr>
        <w:t>En caso de que só</w:t>
      </w:r>
      <w:r w:rsidRPr="008B5B6F">
        <w:rPr>
          <w:lang w:val="es-ES_tradnl"/>
        </w:rPr>
        <w:t>lo se disponga de estas partes reducidas d</w:t>
      </w:r>
      <w:r>
        <w:rPr>
          <w:lang w:val="es-ES_tradnl"/>
        </w:rPr>
        <w:t>e toda la banda, únicamente</w:t>
      </w:r>
      <w:r w:rsidRPr="008B5B6F">
        <w:rPr>
          <w:lang w:val="es-ES_tradnl"/>
        </w:rPr>
        <w:t xml:space="preserve"> se </w:t>
      </w:r>
      <w:r>
        <w:rPr>
          <w:lang w:val="es-ES_tradnl"/>
        </w:rPr>
        <w:t>considera adecuada la disposición</w:t>
      </w:r>
      <w:r w:rsidRPr="008B5B6F">
        <w:rPr>
          <w:lang w:val="es-ES_tradnl"/>
        </w:rPr>
        <w:t xml:space="preserve"> con una separación dúplex de 10 GHz, como se muestra en la Fig</w:t>
      </w:r>
      <w:r>
        <w:rPr>
          <w:lang w:val="es-ES_tradnl"/>
        </w:rPr>
        <w:t>.</w:t>
      </w:r>
      <w:r w:rsidRPr="008B5B6F">
        <w:rPr>
          <w:lang w:val="es-ES_tradnl"/>
        </w:rPr>
        <w:t xml:space="preserve"> 8.</w:t>
      </w:r>
    </w:p>
    <w:p w:rsidR="00B15CE5" w:rsidRPr="00CD6B2D" w:rsidRDefault="00B15CE5" w:rsidP="00B15CE5">
      <w:pPr>
        <w:pStyle w:val="FigureNo"/>
        <w:rPr>
          <w:lang w:val="es-ES_tradnl"/>
        </w:rPr>
      </w:pPr>
      <w:r w:rsidRPr="00CD6B2D">
        <w:rPr>
          <w:lang w:val="es-ES_tradnl"/>
        </w:rPr>
        <w:lastRenderedPageBreak/>
        <w:t>FigurA 8</w:t>
      </w:r>
    </w:p>
    <w:p w:rsidR="00B15CE5" w:rsidRPr="00CD6B2D" w:rsidRDefault="00B15CE5" w:rsidP="007B17DE">
      <w:pPr>
        <w:pStyle w:val="Figuretitle"/>
        <w:rPr>
          <w:lang w:val="es-ES_tradnl"/>
        </w:rPr>
      </w:pPr>
      <w:r w:rsidRPr="00CD6B2D">
        <w:rPr>
          <w:lang w:val="es-ES_tradnl"/>
        </w:rPr>
        <w:t>Posiciones del canal para aplicaciones DDT y DDF en bandas cruzadas</w:t>
      </w:r>
      <w:r w:rsidR="00DD41C9">
        <w:rPr>
          <w:lang w:val="es-ES_tradnl"/>
        </w:rPr>
        <w:br/>
      </w:r>
      <w:r w:rsidRPr="00CD6B2D">
        <w:rPr>
          <w:lang w:val="es-ES_tradnl"/>
        </w:rPr>
        <w:t>(</w:t>
      </w:r>
      <w:r>
        <w:rPr>
          <w:lang w:val="es-ES_tradnl"/>
        </w:rPr>
        <w:t>limitadas a las bandas 74-76 GHz y 84-86 GHz</w:t>
      </w:r>
      <w:r w:rsidR="007B17DE">
        <w:rPr>
          <w:lang w:val="es-ES_tradnl"/>
        </w:rPr>
        <w:br/>
      </w:r>
      <w:r>
        <w:rPr>
          <w:lang w:val="es-ES_tradnl"/>
        </w:rPr>
        <w:t>con separación dúplex de 10 GHz</w:t>
      </w:r>
      <w:r w:rsidRPr="00CD6B2D">
        <w:rPr>
          <w:lang w:val="es-ES_tradnl"/>
        </w:rPr>
        <w:t>)</w:t>
      </w:r>
    </w:p>
    <w:p w:rsidR="00B15CE5" w:rsidRDefault="001127A7" w:rsidP="00B15CE5">
      <w:pPr>
        <w:pStyle w:val="Figure"/>
      </w:pPr>
      <w:r>
        <w:object w:dxaOrig="3736" w:dyaOrig="2875">
          <v:shape id="_x0000_i1032" type="#_x0000_t75" style="width:311.6pt;height:240.8pt" o:ole="">
            <v:imagedata r:id="rId26" o:title=""/>
          </v:shape>
          <o:OLEObject Type="Embed" ProgID="CorelDraw.Graphic.16" ShapeID="_x0000_i1032" DrawAspect="Content" ObjectID="_1474724378" r:id="rId27"/>
        </w:object>
      </w:r>
    </w:p>
    <w:p w:rsidR="00D30846" w:rsidRPr="00D30846" w:rsidRDefault="00D30846" w:rsidP="00D30846"/>
    <w:p w:rsidR="00DD41C9" w:rsidRDefault="00DD41C9">
      <w:pPr>
        <w:jc w:val="center"/>
      </w:pPr>
      <w:r>
        <w:t>______________</w:t>
      </w:r>
    </w:p>
    <w:sectPr w:rsidR="00DD41C9" w:rsidSect="00B15CE5">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086" w:rsidRDefault="005B7086">
      <w:r>
        <w:separator/>
      </w:r>
    </w:p>
  </w:endnote>
  <w:endnote w:type="continuationSeparator" w:id="0">
    <w:p w:rsidR="005B7086" w:rsidRDefault="005B7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086" w:rsidRDefault="005B7086">
      <w:r>
        <w:separator/>
      </w:r>
    </w:p>
  </w:footnote>
  <w:footnote w:type="continuationSeparator" w:id="0">
    <w:p w:rsidR="005B7086" w:rsidRDefault="005B70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086" w:rsidRDefault="005B708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086" w:rsidRDefault="005B7086" w:rsidP="00D62884">
    <w:pPr>
      <w:pStyle w:val="Header"/>
      <w:ind w:right="360" w:firstLine="360"/>
    </w:pPr>
    <w:r>
      <w:rPr>
        <w:noProof/>
        <w:lang w:val="en-US" w:eastAsia="zh-CN"/>
      </w:rPr>
      <w:drawing>
        <wp:anchor distT="0" distB="0" distL="114300" distR="114300" simplePos="0" relativeHeight="251659264" behindDoc="1" locked="0" layoutInCell="1" allowOverlap="1" wp14:anchorId="717FD7D8" wp14:editId="50885E0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086" w:rsidRDefault="005B7086"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5B77EE">
      <w:rPr>
        <w:rStyle w:val="PageNumber"/>
        <w:b/>
        <w:bCs/>
        <w:noProof/>
      </w:rPr>
      <w:t>ii</w:t>
    </w:r>
    <w:r>
      <w:rPr>
        <w:rStyle w:val="PageNumber"/>
        <w:b/>
        <w:bCs/>
      </w:rPr>
      <w:fldChar w:fldCharType="end"/>
    </w:r>
    <w:r>
      <w:tab/>
    </w:r>
    <w:fldSimple w:instr=" DOCPROPERTY &quot;Header&quot; \* MERGEFORMAT ">
      <w:r w:rsidR="005B77EE" w:rsidRPr="005B77EE">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5B77EE">
      <w:rPr>
        <w:b/>
        <w:bCs/>
        <w:noProof/>
      </w:rPr>
      <w:t>UIT-R  F.2006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086" w:rsidRDefault="005B7086">
    <w:pPr>
      <w:pStyle w:val="Header"/>
    </w:pPr>
    <w:r>
      <w:tab/>
    </w:r>
    <w:fldSimple w:instr=" DOCPROPERTY &quot;Header&quot; \* MERGEFORMAT ">
      <w:r w:rsidR="005B77EE" w:rsidRPr="005B77EE">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5B77EE">
      <w:rPr>
        <w:b/>
        <w:bCs/>
        <w:noProof/>
      </w:rPr>
      <w:t>UIT-R  F.2006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53302">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B77EE" w:rsidRPr="005B77E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53302">
      <w:rPr>
        <w:b/>
        <w:bCs/>
        <w:noProof/>
      </w:rPr>
      <w:t>UIT-R  F.2006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5B77EE" w:rsidRPr="005B77E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53302">
      <w:rPr>
        <w:b/>
        <w:bCs/>
        <w:noProof/>
      </w:rPr>
      <w:t>UIT-R  F.2006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53302">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086"/>
    <w:rsid w:val="00045B13"/>
    <w:rsid w:val="001127A7"/>
    <w:rsid w:val="00165BFA"/>
    <w:rsid w:val="0017313F"/>
    <w:rsid w:val="001734B1"/>
    <w:rsid w:val="00217EBF"/>
    <w:rsid w:val="00242AEE"/>
    <w:rsid w:val="00296599"/>
    <w:rsid w:val="002D76C4"/>
    <w:rsid w:val="00451927"/>
    <w:rsid w:val="00464693"/>
    <w:rsid w:val="00467C07"/>
    <w:rsid w:val="0052529D"/>
    <w:rsid w:val="005B7086"/>
    <w:rsid w:val="005B77EE"/>
    <w:rsid w:val="00607D68"/>
    <w:rsid w:val="007468DA"/>
    <w:rsid w:val="007B17DE"/>
    <w:rsid w:val="00812F73"/>
    <w:rsid w:val="00850AFE"/>
    <w:rsid w:val="00943052"/>
    <w:rsid w:val="009E00A8"/>
    <w:rsid w:val="00A53302"/>
    <w:rsid w:val="00A6617B"/>
    <w:rsid w:val="00AB0DC8"/>
    <w:rsid w:val="00AC49EF"/>
    <w:rsid w:val="00B15CE5"/>
    <w:rsid w:val="00B44E24"/>
    <w:rsid w:val="00C71925"/>
    <w:rsid w:val="00D30846"/>
    <w:rsid w:val="00D517B8"/>
    <w:rsid w:val="00D77F35"/>
    <w:rsid w:val="00DD41C9"/>
    <w:rsid w:val="00DF4176"/>
    <w:rsid w:val="00E27132"/>
    <w:rsid w:val="00F02FCC"/>
    <w:rsid w:val="00F652A1"/>
    <w:rsid w:val="00F839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5:docId w15:val="{ABBAC551-B3A8-489F-B674-939BBDAB3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08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B7086"/>
    <w:rPr>
      <w:color w:val="0000FF"/>
      <w:u w:val="single"/>
    </w:rPr>
  </w:style>
  <w:style w:type="character" w:customStyle="1" w:styleId="FiguretitleChar">
    <w:name w:val="Figure_title Char"/>
    <w:link w:val="Figuretitle"/>
    <w:locked/>
    <w:rsid w:val="00B15CE5"/>
    <w:rPr>
      <w:rFonts w:ascii="Times New Roman Bold" w:hAnsi="Times New Roman Bold"/>
      <w:b/>
      <w:sz w:val="18"/>
      <w:lang w:val="fr-FR" w:eastAsia="en-US"/>
    </w:rPr>
  </w:style>
  <w:style w:type="character" w:customStyle="1" w:styleId="FigureNoChar">
    <w:name w:val="Figure_No Char"/>
    <w:link w:val="FigureNo"/>
    <w:locked/>
    <w:rsid w:val="00B15CE5"/>
    <w:rPr>
      <w:caps/>
      <w:sz w:val="18"/>
      <w:lang w:val="fr-FR" w:eastAsia="en-US"/>
    </w:rPr>
  </w:style>
  <w:style w:type="character" w:customStyle="1" w:styleId="CallChar">
    <w:name w:val="Call Char"/>
    <w:link w:val="Call"/>
    <w:locked/>
    <w:rsid w:val="00B15CE5"/>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emf"/><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eader" Target="header5.xml"/><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413</TotalTime>
  <Pages>10</Pages>
  <Words>2032</Words>
  <Characters>11040</Characters>
  <Application>Microsoft Office Word</Application>
  <DocSecurity>0</DocSecurity>
  <Lines>240</Lines>
  <Paragraphs>47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19</cp:revision>
  <cp:lastPrinted>2014-10-13T14:32:00Z</cp:lastPrinted>
  <dcterms:created xsi:type="dcterms:W3CDTF">2014-10-13T07:49:00Z</dcterms:created>
  <dcterms:modified xsi:type="dcterms:W3CDTF">2014-10-13T14:49:00Z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