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1D9" w:rsidRPr="00C271D9" w:rsidRDefault="00C271D9" w:rsidP="00C271D9">
      <w:pPr>
        <w:rPr>
          <w:lang w:val="es-ES_tradnl"/>
        </w:rPr>
      </w:pPr>
      <w:bookmarkStart w:id="0" w:name="dbreak"/>
      <w:bookmarkEnd w:id="0"/>
    </w:p>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p w:rsidR="00C271D9" w:rsidRDefault="00C271D9" w:rsidP="00C271D9"/>
    <w:tbl>
      <w:tblPr>
        <w:tblW w:w="10089" w:type="dxa"/>
        <w:tblLook w:val="01E0" w:firstRow="1" w:lastRow="1" w:firstColumn="1" w:lastColumn="1" w:noHBand="0" w:noVBand="0"/>
      </w:tblPr>
      <w:tblGrid>
        <w:gridCol w:w="10089"/>
      </w:tblGrid>
      <w:tr w:rsidR="00C271D9" w:rsidRPr="00C271D9" w:rsidTr="001B3628">
        <w:tc>
          <w:tcPr>
            <w:tcW w:w="10089" w:type="dxa"/>
          </w:tcPr>
          <w:p w:rsidR="00C271D9" w:rsidRPr="0010336F" w:rsidRDefault="00C271D9" w:rsidP="001B3628">
            <w:pPr>
              <w:spacing w:before="380" w:line="280" w:lineRule="exact"/>
              <w:jc w:val="right"/>
              <w:rPr>
                <w:rFonts w:ascii="Tahoma" w:hAnsi="Tahoma" w:cs="Tahoma"/>
                <w:b/>
                <w:bCs/>
                <w:iCs/>
                <w:color w:val="243285"/>
                <w:sz w:val="32"/>
                <w:szCs w:val="32"/>
                <w:lang w:val="en-US"/>
              </w:rPr>
            </w:pPr>
          </w:p>
          <w:p w:rsidR="00C271D9" w:rsidRPr="0010336F" w:rsidRDefault="00C271D9" w:rsidP="00B32FC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B32FCE">
              <w:rPr>
                <w:rFonts w:ascii="Tahoma" w:hAnsi="Tahoma" w:cs="Tahoma"/>
                <w:b/>
                <w:bCs/>
                <w:iCs/>
                <w:color w:val="243285"/>
                <w:sz w:val="36"/>
                <w:szCs w:val="36"/>
                <w:lang w:val="es-ES_tradnl"/>
              </w:rPr>
              <w:t>2005</w:t>
            </w:r>
          </w:p>
          <w:p w:rsidR="00C271D9" w:rsidRPr="0010336F" w:rsidRDefault="00B32FCE" w:rsidP="00B32FCE">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00C271D9"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C271D9" w:rsidRPr="0010336F">
              <w:rPr>
                <w:rFonts w:ascii="Tahoma" w:hAnsi="Tahoma" w:cs="Tahoma"/>
                <w:b/>
                <w:bCs/>
                <w:iCs/>
                <w:color w:val="243285"/>
                <w:szCs w:val="24"/>
                <w:lang w:val="es-ES_tradnl"/>
              </w:rPr>
              <w:t>)</w:t>
            </w:r>
          </w:p>
        </w:tc>
      </w:tr>
      <w:tr w:rsidR="00C271D9" w:rsidRPr="00B32FCE" w:rsidTr="001B3628">
        <w:tc>
          <w:tcPr>
            <w:tcW w:w="10089" w:type="dxa"/>
          </w:tcPr>
          <w:p w:rsidR="00C271D9" w:rsidRPr="0010336F" w:rsidRDefault="00C271D9" w:rsidP="001B3628">
            <w:pPr>
              <w:spacing w:before="80" w:line="500" w:lineRule="exact"/>
              <w:jc w:val="right"/>
              <w:rPr>
                <w:rFonts w:ascii="Tahoma" w:hAnsi="Tahoma" w:cs="Tahoma"/>
                <w:b/>
                <w:bCs/>
                <w:iCs/>
                <w:color w:val="243285"/>
                <w:sz w:val="44"/>
                <w:szCs w:val="44"/>
                <w:lang w:val="es-ES_tradnl"/>
              </w:rPr>
            </w:pPr>
          </w:p>
          <w:p w:rsidR="00C271D9" w:rsidRDefault="00B32FCE" w:rsidP="00B32FCE">
            <w:pPr>
              <w:spacing w:before="80" w:line="500" w:lineRule="exact"/>
              <w:jc w:val="right"/>
              <w:rPr>
                <w:rFonts w:ascii="Tahoma" w:hAnsi="Tahoma" w:cs="Tahoma"/>
                <w:b/>
                <w:bCs/>
                <w:color w:val="243285"/>
                <w:sz w:val="44"/>
                <w:szCs w:val="44"/>
                <w:lang w:val="es-ES_tradnl"/>
              </w:rPr>
            </w:pPr>
            <w:r w:rsidRPr="00B32FCE">
              <w:rPr>
                <w:rFonts w:ascii="Tahoma" w:hAnsi="Tahoma" w:cs="Tahoma"/>
                <w:b/>
                <w:bCs/>
                <w:color w:val="243285"/>
                <w:sz w:val="44"/>
                <w:szCs w:val="44"/>
                <w:lang w:val="es-ES_tradnl"/>
              </w:rPr>
              <w:t xml:space="preserve">Disposiciones de canales y bloques </w:t>
            </w:r>
            <w:r>
              <w:rPr>
                <w:rFonts w:ascii="Tahoma" w:hAnsi="Tahoma" w:cs="Tahoma"/>
                <w:b/>
                <w:bCs/>
                <w:color w:val="243285"/>
                <w:sz w:val="44"/>
                <w:szCs w:val="44"/>
                <w:lang w:val="es-ES_tradnl"/>
              </w:rPr>
              <w:br/>
            </w:r>
            <w:r w:rsidRPr="00B32FCE">
              <w:rPr>
                <w:rFonts w:ascii="Tahoma" w:hAnsi="Tahoma" w:cs="Tahoma"/>
                <w:b/>
                <w:bCs/>
                <w:color w:val="243285"/>
                <w:sz w:val="44"/>
                <w:szCs w:val="44"/>
                <w:lang w:val="es-ES_tradnl"/>
              </w:rPr>
              <w:t>de radiofrecuencia a los sistemas inalámbricos fijos que funcionan en la banda de 42 GHz (40,5-43,5 GHz)</w:t>
            </w:r>
          </w:p>
          <w:p w:rsidR="00C271D9" w:rsidRPr="0010336F" w:rsidRDefault="00C271D9" w:rsidP="001B3628">
            <w:pPr>
              <w:spacing w:before="80" w:line="500" w:lineRule="exact"/>
              <w:jc w:val="right"/>
              <w:rPr>
                <w:rFonts w:ascii="Tahoma" w:hAnsi="Tahoma" w:cs="Tahoma"/>
                <w:b/>
                <w:bCs/>
                <w:iCs/>
                <w:color w:val="243285"/>
                <w:sz w:val="44"/>
                <w:szCs w:val="44"/>
                <w:lang w:val="es-ES_tradnl"/>
              </w:rPr>
            </w:pPr>
          </w:p>
        </w:tc>
      </w:tr>
      <w:tr w:rsidR="00C271D9" w:rsidRPr="0026666F" w:rsidTr="001B3628">
        <w:tc>
          <w:tcPr>
            <w:tcW w:w="10089" w:type="dxa"/>
          </w:tcPr>
          <w:p w:rsidR="00C271D9" w:rsidRPr="0010336F" w:rsidRDefault="00C271D9" w:rsidP="001B3628">
            <w:pPr>
              <w:spacing w:before="80" w:line="280" w:lineRule="exact"/>
              <w:ind w:right="640"/>
              <w:rPr>
                <w:rFonts w:ascii="Tahoma" w:hAnsi="Tahoma" w:cs="Tahoma"/>
                <w:b/>
                <w:bCs/>
                <w:iCs/>
                <w:color w:val="243285"/>
                <w:sz w:val="32"/>
                <w:szCs w:val="32"/>
                <w:lang w:val="es-ES_tradnl"/>
              </w:rPr>
            </w:pPr>
          </w:p>
          <w:p w:rsidR="00C271D9" w:rsidRPr="0010336F" w:rsidRDefault="00C271D9" w:rsidP="001B3628">
            <w:pPr>
              <w:spacing w:before="80" w:line="280" w:lineRule="exact"/>
              <w:ind w:right="640"/>
              <w:rPr>
                <w:rFonts w:ascii="Tahoma" w:hAnsi="Tahoma" w:cs="Tahoma"/>
                <w:b/>
                <w:bCs/>
                <w:iCs/>
                <w:color w:val="243285"/>
                <w:sz w:val="32"/>
                <w:szCs w:val="32"/>
                <w:lang w:val="es-ES_tradnl"/>
              </w:rPr>
            </w:pPr>
          </w:p>
          <w:p w:rsidR="00C271D9" w:rsidRPr="0010336F" w:rsidRDefault="00C271D9" w:rsidP="001B3628">
            <w:pPr>
              <w:spacing w:before="80" w:after="180" w:line="360" w:lineRule="exact"/>
              <w:ind w:right="720"/>
              <w:rPr>
                <w:rFonts w:ascii="Tahoma" w:hAnsi="Tahoma" w:cs="Tahoma"/>
                <w:b/>
                <w:bCs/>
                <w:iCs/>
                <w:color w:val="243285"/>
                <w:sz w:val="36"/>
                <w:szCs w:val="36"/>
                <w:lang w:val="es-ES_tradnl"/>
              </w:rPr>
            </w:pPr>
          </w:p>
          <w:p w:rsidR="00C271D9" w:rsidRPr="0010336F" w:rsidRDefault="00C271D9" w:rsidP="001B362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C271D9" w:rsidRPr="0010336F" w:rsidRDefault="00C271D9" w:rsidP="001B362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C271D9" w:rsidRPr="0026666F" w:rsidRDefault="00C271D9" w:rsidP="00C271D9">
      <w:pPr>
        <w:spacing w:before="80"/>
        <w:rPr>
          <w:i/>
          <w:sz w:val="22"/>
          <w:lang w:val="es-ES_tradnl"/>
        </w:rPr>
      </w:pPr>
    </w:p>
    <w:p w:rsidR="00C271D9" w:rsidRPr="0026666F" w:rsidRDefault="00C271D9" w:rsidP="00C271D9">
      <w:pPr>
        <w:spacing w:before="80"/>
        <w:rPr>
          <w:i/>
          <w:sz w:val="22"/>
          <w:lang w:val="es-ES_tradnl"/>
        </w:rPr>
      </w:pPr>
    </w:p>
    <w:p w:rsidR="00C271D9" w:rsidRPr="0026666F" w:rsidRDefault="00C271D9" w:rsidP="00C271D9">
      <w:pPr>
        <w:spacing w:before="80"/>
        <w:rPr>
          <w:i/>
          <w:sz w:val="22"/>
          <w:lang w:val="es-ES_tradnl"/>
        </w:rPr>
      </w:pPr>
    </w:p>
    <w:p w:rsidR="00C271D9" w:rsidRPr="0026666F" w:rsidRDefault="00C271D9" w:rsidP="00C271D9">
      <w:pPr>
        <w:spacing w:before="80"/>
        <w:rPr>
          <w:i/>
          <w:sz w:val="22"/>
          <w:lang w:val="es-ES_tradnl"/>
        </w:rPr>
      </w:pPr>
    </w:p>
    <w:p w:rsidR="00C271D9" w:rsidRPr="0026666F" w:rsidRDefault="00C271D9" w:rsidP="00C271D9">
      <w:pPr>
        <w:spacing w:before="80"/>
        <w:rPr>
          <w:i/>
          <w:sz w:val="22"/>
          <w:lang w:val="es-ES_tradnl"/>
        </w:rPr>
      </w:pPr>
    </w:p>
    <w:p w:rsidR="00C271D9" w:rsidRPr="0026666F" w:rsidRDefault="00C271D9" w:rsidP="00C271D9">
      <w:pPr>
        <w:spacing w:before="80"/>
        <w:rPr>
          <w:i/>
          <w:sz w:val="22"/>
          <w:lang w:val="es-ES_tradnl"/>
        </w:rPr>
      </w:pPr>
    </w:p>
    <w:p w:rsidR="00C271D9" w:rsidRPr="0026666F" w:rsidRDefault="00C271D9" w:rsidP="00C271D9">
      <w:pPr>
        <w:pStyle w:val="Equation"/>
        <w:tabs>
          <w:tab w:val="clear" w:pos="4820"/>
          <w:tab w:val="clear" w:pos="9639"/>
          <w:tab w:val="left" w:pos="1191"/>
          <w:tab w:val="left" w:pos="1588"/>
          <w:tab w:val="left" w:pos="1985"/>
        </w:tabs>
        <w:rPr>
          <w:rFonts w:ascii="Palatino Linotype" w:hAnsi="Palatino Linotype"/>
          <w:lang w:val="es-ES_tradnl"/>
        </w:rPr>
        <w:sectPr w:rsidR="00C271D9" w:rsidRPr="0026666F">
          <w:headerReference w:type="even" r:id="rId6"/>
          <w:headerReference w:type="default" r:id="rId7"/>
          <w:pgSz w:w="11907" w:h="16840" w:code="9"/>
          <w:pgMar w:top="1089" w:right="1089" w:bottom="284" w:left="1089" w:header="567" w:footer="284" w:gutter="0"/>
          <w:pgNumType w:start="1"/>
          <w:cols w:space="720"/>
        </w:sectPr>
      </w:pPr>
    </w:p>
    <w:p w:rsidR="00C271D9" w:rsidRPr="006C718C" w:rsidRDefault="00C271D9" w:rsidP="00C27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271D9" w:rsidRPr="006C718C" w:rsidRDefault="00C271D9" w:rsidP="00C271D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271D9" w:rsidRPr="006C718C" w:rsidRDefault="00C271D9" w:rsidP="00C271D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271D9" w:rsidRPr="00021E8A" w:rsidRDefault="00C271D9" w:rsidP="00C271D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271D9" w:rsidRPr="00021E8A" w:rsidRDefault="00C271D9" w:rsidP="00C271D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271D9" w:rsidRPr="007C36CA" w:rsidRDefault="00C271D9" w:rsidP="00C271D9">
      <w:pPr>
        <w:spacing w:before="0"/>
        <w:jc w:val="center"/>
        <w:rPr>
          <w:sz w:val="22"/>
          <w:lang w:val="es-ES_tradnl"/>
        </w:rPr>
      </w:pPr>
    </w:p>
    <w:p w:rsidR="00C271D9" w:rsidRPr="007C36CA" w:rsidRDefault="00C271D9" w:rsidP="00C271D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71D9" w:rsidRPr="00B32FCE" w:rsidTr="001B3628">
        <w:tc>
          <w:tcPr>
            <w:tcW w:w="9360" w:type="dxa"/>
            <w:gridSpan w:val="2"/>
          </w:tcPr>
          <w:p w:rsidR="00C271D9" w:rsidRPr="00021E8A" w:rsidRDefault="00C271D9" w:rsidP="001B362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271D9" w:rsidRPr="00763D08"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271D9" w:rsidRPr="00036EE3" w:rsidTr="001B3628">
        <w:tc>
          <w:tcPr>
            <w:tcW w:w="1140" w:type="dxa"/>
            <w:tcBorders>
              <w:bottom w:val="nil"/>
            </w:tcBorders>
          </w:tcPr>
          <w:p w:rsidR="00C271D9" w:rsidRPr="00036EE3" w:rsidRDefault="00C271D9" w:rsidP="001B3628">
            <w:pPr>
              <w:spacing w:before="180" w:after="100"/>
              <w:ind w:left="57"/>
              <w:rPr>
                <w:b/>
                <w:bCs/>
                <w:sz w:val="20"/>
                <w:lang w:val="en-US"/>
              </w:rPr>
            </w:pPr>
            <w:r w:rsidRPr="00036EE3">
              <w:rPr>
                <w:b/>
                <w:bCs/>
                <w:sz w:val="20"/>
                <w:lang w:val="en-US"/>
              </w:rPr>
              <w:t>Series</w:t>
            </w:r>
          </w:p>
        </w:tc>
        <w:tc>
          <w:tcPr>
            <w:tcW w:w="8220" w:type="dxa"/>
            <w:tcBorders>
              <w:bottom w:val="nil"/>
            </w:tcBorders>
          </w:tcPr>
          <w:p w:rsidR="00C271D9" w:rsidRPr="00036EE3"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271D9" w:rsidRPr="004532F7" w:rsidTr="001B3628">
        <w:tc>
          <w:tcPr>
            <w:tcW w:w="1140" w:type="dxa"/>
            <w:tcBorders>
              <w:top w:val="nil"/>
              <w:bottom w:val="nil"/>
            </w:tcBorders>
            <w:shd w:val="clear" w:color="auto" w:fill="auto"/>
          </w:tcPr>
          <w:p w:rsidR="00C271D9" w:rsidRPr="004532F7" w:rsidRDefault="00C271D9" w:rsidP="001B362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271D9" w:rsidRPr="004532F7"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271D9" w:rsidRPr="00B32FCE" w:rsidTr="001B3628">
        <w:tc>
          <w:tcPr>
            <w:tcW w:w="1140" w:type="dxa"/>
            <w:tcBorders>
              <w:top w:val="nil"/>
              <w:bottom w:val="nil"/>
            </w:tcBorders>
            <w:shd w:val="clear" w:color="auto" w:fill="auto"/>
          </w:tcPr>
          <w:p w:rsidR="00C271D9" w:rsidRPr="006B22C3" w:rsidRDefault="00C271D9" w:rsidP="001B362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271D9" w:rsidRPr="006B22C3"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271D9" w:rsidRPr="00847DD5" w:rsidTr="001B3628">
        <w:tc>
          <w:tcPr>
            <w:tcW w:w="1140" w:type="dxa"/>
            <w:tcBorders>
              <w:top w:val="nil"/>
              <w:bottom w:val="nil"/>
            </w:tcBorders>
            <w:shd w:val="clear" w:color="auto" w:fill="auto"/>
          </w:tcPr>
          <w:p w:rsidR="00C271D9" w:rsidRPr="00847DD5" w:rsidRDefault="00C271D9" w:rsidP="001B362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271D9" w:rsidRPr="00847DD5"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271D9" w:rsidRPr="00ED2695" w:rsidTr="001B3628">
        <w:tc>
          <w:tcPr>
            <w:tcW w:w="1140" w:type="dxa"/>
            <w:tcBorders>
              <w:top w:val="nil"/>
              <w:bottom w:val="nil"/>
            </w:tcBorders>
            <w:shd w:val="clear" w:color="auto" w:fill="auto"/>
          </w:tcPr>
          <w:p w:rsidR="00C271D9" w:rsidRPr="00ED2695" w:rsidRDefault="00C271D9" w:rsidP="001B362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271D9" w:rsidRPr="00021E8A"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271D9" w:rsidRPr="00847DD5" w:rsidTr="001B3628">
        <w:tc>
          <w:tcPr>
            <w:tcW w:w="1140" w:type="dxa"/>
            <w:tcBorders>
              <w:top w:val="nil"/>
              <w:bottom w:val="nil"/>
            </w:tcBorders>
            <w:shd w:val="clear" w:color="auto" w:fill="F3F3F3"/>
          </w:tcPr>
          <w:p w:rsidR="00C271D9" w:rsidRPr="00847DD5" w:rsidRDefault="00C271D9" w:rsidP="001B3628">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C271D9" w:rsidRPr="00847DD5"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C271D9" w:rsidRPr="00B32FCE" w:rsidTr="001B3628">
        <w:tc>
          <w:tcPr>
            <w:tcW w:w="1140" w:type="dxa"/>
            <w:tcBorders>
              <w:top w:val="nil"/>
              <w:bottom w:val="nil"/>
            </w:tcBorders>
            <w:shd w:val="clear" w:color="auto" w:fill="auto"/>
          </w:tcPr>
          <w:p w:rsidR="00C271D9" w:rsidRPr="0010336F" w:rsidRDefault="00C271D9" w:rsidP="001B362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271D9" w:rsidRPr="0010336F"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271D9" w:rsidRPr="00B32FCE" w:rsidTr="001B3628">
        <w:tc>
          <w:tcPr>
            <w:tcW w:w="1140" w:type="dxa"/>
            <w:tcBorders>
              <w:top w:val="nil"/>
            </w:tcBorders>
          </w:tcPr>
          <w:p w:rsidR="00C271D9" w:rsidRPr="00036EE3" w:rsidRDefault="00C271D9" w:rsidP="001B3628">
            <w:pPr>
              <w:spacing w:before="30" w:after="30"/>
              <w:ind w:left="57"/>
              <w:jc w:val="left"/>
              <w:rPr>
                <w:b/>
                <w:bCs/>
                <w:sz w:val="20"/>
                <w:lang w:val="fr-CH"/>
              </w:rPr>
            </w:pPr>
            <w:r w:rsidRPr="00036EE3">
              <w:rPr>
                <w:b/>
                <w:bCs/>
                <w:sz w:val="20"/>
                <w:lang w:val="fr-CH"/>
              </w:rPr>
              <w:t>P</w:t>
            </w:r>
          </w:p>
        </w:tc>
        <w:tc>
          <w:tcPr>
            <w:tcW w:w="8220" w:type="dxa"/>
            <w:tcBorders>
              <w:top w:val="nil"/>
            </w:tcBorders>
          </w:tcPr>
          <w:p w:rsidR="00C271D9" w:rsidRPr="00021E8A" w:rsidRDefault="00C271D9" w:rsidP="001B3628">
            <w:pPr>
              <w:spacing w:before="30" w:after="30"/>
              <w:jc w:val="left"/>
              <w:rPr>
                <w:bCs/>
                <w:sz w:val="20"/>
                <w:lang w:val="es-ES_tradnl"/>
              </w:rPr>
            </w:pPr>
            <w:r w:rsidRPr="00021E8A">
              <w:rPr>
                <w:bCs/>
                <w:sz w:val="20"/>
                <w:lang w:val="es-ES_tradnl"/>
              </w:rPr>
              <w:t>Propagación de las ondas radioeléctricas</w:t>
            </w:r>
          </w:p>
        </w:tc>
      </w:tr>
      <w:tr w:rsidR="00C271D9" w:rsidRPr="00036EE3"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RA</w:t>
            </w:r>
          </w:p>
        </w:tc>
        <w:tc>
          <w:tcPr>
            <w:tcW w:w="8220" w:type="dxa"/>
          </w:tcPr>
          <w:p w:rsidR="00C271D9" w:rsidRPr="00021E8A"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271D9" w:rsidRPr="00B32FCE"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RS</w:t>
            </w:r>
          </w:p>
        </w:tc>
        <w:tc>
          <w:tcPr>
            <w:tcW w:w="8220" w:type="dxa"/>
          </w:tcPr>
          <w:p w:rsidR="00C271D9" w:rsidRPr="00021E8A"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271D9" w:rsidRPr="00036EE3"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S</w:t>
            </w:r>
          </w:p>
        </w:tc>
        <w:tc>
          <w:tcPr>
            <w:tcW w:w="8220" w:type="dxa"/>
          </w:tcPr>
          <w:p w:rsidR="00C271D9" w:rsidRPr="00021E8A" w:rsidRDefault="00C271D9" w:rsidP="001B3628">
            <w:pPr>
              <w:spacing w:before="30" w:after="30"/>
              <w:jc w:val="left"/>
              <w:rPr>
                <w:bCs/>
                <w:sz w:val="20"/>
                <w:lang w:val="en-US"/>
              </w:rPr>
            </w:pPr>
            <w:r w:rsidRPr="00021E8A">
              <w:rPr>
                <w:bCs/>
                <w:sz w:val="20"/>
              </w:rPr>
              <w:t>Servicio fijo por satélite</w:t>
            </w:r>
          </w:p>
        </w:tc>
      </w:tr>
      <w:tr w:rsidR="00C271D9" w:rsidRPr="00036EE3"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SA</w:t>
            </w:r>
          </w:p>
        </w:tc>
        <w:tc>
          <w:tcPr>
            <w:tcW w:w="8220" w:type="dxa"/>
          </w:tcPr>
          <w:p w:rsidR="00C271D9" w:rsidRPr="00021E8A" w:rsidRDefault="00C271D9" w:rsidP="001B3628">
            <w:pPr>
              <w:spacing w:before="30" w:after="30"/>
              <w:jc w:val="left"/>
              <w:rPr>
                <w:bCs/>
                <w:sz w:val="20"/>
                <w:lang w:val="en-US"/>
              </w:rPr>
            </w:pPr>
            <w:r w:rsidRPr="00021E8A">
              <w:rPr>
                <w:bCs/>
                <w:sz w:val="20"/>
              </w:rPr>
              <w:t>Aplicaciones espaciales y meteorología</w:t>
            </w:r>
          </w:p>
        </w:tc>
      </w:tr>
      <w:tr w:rsidR="00C271D9" w:rsidRPr="00B32FCE"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SF</w:t>
            </w:r>
          </w:p>
        </w:tc>
        <w:tc>
          <w:tcPr>
            <w:tcW w:w="8220" w:type="dxa"/>
          </w:tcPr>
          <w:p w:rsidR="00C271D9" w:rsidRPr="00021E8A" w:rsidRDefault="00C271D9" w:rsidP="001B362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271D9" w:rsidRPr="00036EE3" w:rsidTr="001B3628">
        <w:tc>
          <w:tcPr>
            <w:tcW w:w="1140" w:type="dxa"/>
            <w:shd w:val="clear" w:color="auto" w:fill="auto"/>
          </w:tcPr>
          <w:p w:rsidR="00C271D9" w:rsidRPr="001240BC" w:rsidRDefault="00C271D9" w:rsidP="001B3628">
            <w:pPr>
              <w:spacing w:before="30" w:after="30"/>
              <w:ind w:left="57"/>
              <w:jc w:val="left"/>
              <w:rPr>
                <w:b/>
                <w:bCs/>
                <w:sz w:val="20"/>
                <w:lang w:val="en-US"/>
              </w:rPr>
            </w:pPr>
            <w:r w:rsidRPr="001240BC">
              <w:rPr>
                <w:b/>
                <w:bCs/>
                <w:sz w:val="20"/>
                <w:lang w:val="en-US"/>
              </w:rPr>
              <w:t>SM</w:t>
            </w:r>
          </w:p>
        </w:tc>
        <w:tc>
          <w:tcPr>
            <w:tcW w:w="8220" w:type="dxa"/>
            <w:shd w:val="clear" w:color="auto" w:fill="auto"/>
          </w:tcPr>
          <w:p w:rsidR="00C271D9" w:rsidRPr="001240BC" w:rsidRDefault="00C271D9" w:rsidP="001B3628">
            <w:pPr>
              <w:spacing w:before="30" w:after="30"/>
              <w:jc w:val="left"/>
              <w:rPr>
                <w:sz w:val="20"/>
                <w:lang w:val="en-US"/>
              </w:rPr>
            </w:pPr>
            <w:r w:rsidRPr="001240BC">
              <w:rPr>
                <w:sz w:val="20"/>
              </w:rPr>
              <w:t>Gestión del espectro</w:t>
            </w:r>
          </w:p>
        </w:tc>
      </w:tr>
      <w:tr w:rsidR="00C271D9" w:rsidRPr="00036EE3"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SNG</w:t>
            </w:r>
          </w:p>
        </w:tc>
        <w:tc>
          <w:tcPr>
            <w:tcW w:w="8220" w:type="dxa"/>
          </w:tcPr>
          <w:p w:rsidR="00C271D9" w:rsidRPr="00021E8A" w:rsidRDefault="00C271D9" w:rsidP="001B3628">
            <w:pPr>
              <w:spacing w:before="30" w:after="30"/>
              <w:jc w:val="left"/>
              <w:rPr>
                <w:bCs/>
                <w:sz w:val="20"/>
                <w:lang w:val="en-US"/>
              </w:rPr>
            </w:pPr>
            <w:r w:rsidRPr="00021E8A">
              <w:rPr>
                <w:bCs/>
                <w:sz w:val="20"/>
              </w:rPr>
              <w:t>Periodismo electrónico por satélite</w:t>
            </w:r>
          </w:p>
        </w:tc>
      </w:tr>
      <w:tr w:rsidR="00C271D9" w:rsidRPr="00B32FCE"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TF</w:t>
            </w:r>
          </w:p>
        </w:tc>
        <w:tc>
          <w:tcPr>
            <w:tcW w:w="8220" w:type="dxa"/>
          </w:tcPr>
          <w:p w:rsidR="00C271D9" w:rsidRPr="00021E8A" w:rsidRDefault="00C271D9" w:rsidP="001B3628">
            <w:pPr>
              <w:spacing w:before="30" w:after="30"/>
              <w:jc w:val="left"/>
              <w:rPr>
                <w:bCs/>
                <w:sz w:val="20"/>
                <w:lang w:val="es-ES_tradnl"/>
              </w:rPr>
            </w:pPr>
            <w:r w:rsidRPr="00021E8A">
              <w:rPr>
                <w:bCs/>
                <w:sz w:val="20"/>
                <w:lang w:val="es-ES_tradnl"/>
              </w:rPr>
              <w:t>Emisiones de frecuencias patrón y señales horarias</w:t>
            </w:r>
          </w:p>
        </w:tc>
      </w:tr>
      <w:tr w:rsidR="00C271D9" w:rsidRPr="00036EE3" w:rsidTr="001B3628">
        <w:tc>
          <w:tcPr>
            <w:tcW w:w="1140" w:type="dxa"/>
          </w:tcPr>
          <w:p w:rsidR="00C271D9" w:rsidRPr="00036EE3" w:rsidRDefault="00C271D9" w:rsidP="001B3628">
            <w:pPr>
              <w:spacing w:before="30" w:after="30"/>
              <w:ind w:left="57"/>
              <w:jc w:val="left"/>
              <w:rPr>
                <w:b/>
                <w:bCs/>
                <w:sz w:val="20"/>
                <w:lang w:val="en-US"/>
              </w:rPr>
            </w:pPr>
            <w:r w:rsidRPr="00036EE3">
              <w:rPr>
                <w:b/>
                <w:bCs/>
                <w:sz w:val="20"/>
                <w:lang w:val="en-US"/>
              </w:rPr>
              <w:t>V</w:t>
            </w:r>
          </w:p>
        </w:tc>
        <w:tc>
          <w:tcPr>
            <w:tcW w:w="8220" w:type="dxa"/>
          </w:tcPr>
          <w:p w:rsidR="00C271D9" w:rsidRPr="00021E8A" w:rsidRDefault="00C271D9" w:rsidP="001B3628">
            <w:pPr>
              <w:spacing w:before="30" w:after="140"/>
              <w:jc w:val="left"/>
              <w:rPr>
                <w:bCs/>
                <w:sz w:val="20"/>
                <w:lang w:val="en-US"/>
              </w:rPr>
            </w:pPr>
            <w:r w:rsidRPr="00021E8A">
              <w:rPr>
                <w:bCs/>
                <w:sz w:val="20"/>
              </w:rPr>
              <w:t>Vocabulario y cuestiones afines</w:t>
            </w:r>
          </w:p>
        </w:tc>
      </w:tr>
    </w:tbl>
    <w:p w:rsidR="00C271D9" w:rsidRPr="00036EE3" w:rsidRDefault="00C271D9" w:rsidP="00C271D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71D9" w:rsidTr="001B3628">
        <w:tc>
          <w:tcPr>
            <w:tcW w:w="720" w:type="dxa"/>
          </w:tcPr>
          <w:p w:rsidR="00C271D9" w:rsidRDefault="00C271D9" w:rsidP="001B362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71D9" w:rsidRPr="00B32FCE" w:rsidTr="001B3628">
        <w:tc>
          <w:tcPr>
            <w:tcW w:w="9360" w:type="dxa"/>
          </w:tcPr>
          <w:p w:rsidR="00C271D9" w:rsidRPr="00763D08" w:rsidRDefault="00C271D9" w:rsidP="001B362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271D9" w:rsidRPr="00763D08" w:rsidRDefault="00C271D9" w:rsidP="00C271D9">
      <w:pPr>
        <w:spacing w:before="0"/>
        <w:jc w:val="center"/>
        <w:rPr>
          <w:sz w:val="22"/>
          <w:lang w:val="es-ES_tradnl"/>
        </w:rPr>
      </w:pPr>
    </w:p>
    <w:p w:rsidR="00C271D9" w:rsidRPr="00763D08" w:rsidRDefault="00C271D9" w:rsidP="00C271D9">
      <w:pPr>
        <w:spacing w:before="60"/>
        <w:jc w:val="right"/>
        <w:rPr>
          <w:i/>
          <w:iCs/>
          <w:sz w:val="20"/>
          <w:lang w:val="es-ES_tradnl"/>
        </w:rPr>
      </w:pPr>
      <w:r w:rsidRPr="00763D08">
        <w:rPr>
          <w:i/>
          <w:iCs/>
          <w:sz w:val="20"/>
          <w:lang w:val="es-ES_tradnl"/>
        </w:rPr>
        <w:t>Publicación electrónica</w:t>
      </w:r>
    </w:p>
    <w:p w:rsidR="00C271D9" w:rsidRPr="00763D08" w:rsidRDefault="00C271D9" w:rsidP="00C271D9">
      <w:pPr>
        <w:spacing w:before="0" w:after="40"/>
        <w:jc w:val="right"/>
        <w:rPr>
          <w:sz w:val="20"/>
          <w:lang w:val="es-ES_tradnl"/>
        </w:rPr>
      </w:pPr>
      <w:r w:rsidRPr="00763D08">
        <w:rPr>
          <w:sz w:val="20"/>
          <w:lang w:val="es-ES_tradnl"/>
        </w:rPr>
        <w:t>Ginebra, 20</w:t>
      </w:r>
      <w:r>
        <w:rPr>
          <w:sz w:val="20"/>
          <w:lang w:val="es-ES_tradnl"/>
        </w:rPr>
        <w:t>14</w:t>
      </w:r>
    </w:p>
    <w:p w:rsidR="00C271D9" w:rsidRPr="00763D08" w:rsidRDefault="00C271D9" w:rsidP="00C271D9">
      <w:pPr>
        <w:spacing w:before="0"/>
        <w:jc w:val="center"/>
        <w:rPr>
          <w:sz w:val="22"/>
          <w:lang w:val="es-ES_tradnl"/>
        </w:rPr>
      </w:pPr>
    </w:p>
    <w:p w:rsidR="00C271D9" w:rsidRPr="00763D08" w:rsidRDefault="00C271D9" w:rsidP="00C271D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C271D9" w:rsidRPr="006C718C" w:rsidRDefault="00C271D9" w:rsidP="00C271D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271D9" w:rsidRPr="006C718C" w:rsidRDefault="00C271D9" w:rsidP="00C271D9">
      <w:pPr>
        <w:spacing w:before="160"/>
        <w:rPr>
          <w:i/>
          <w:sz w:val="20"/>
          <w:highlight w:val="yellow"/>
          <w:lang w:val="es-ES_tradnl"/>
        </w:rPr>
        <w:sectPr w:rsidR="00C271D9"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C271D9" w:rsidRPr="0010336F" w:rsidRDefault="00C271D9" w:rsidP="00041AB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041AB4">
        <w:rPr>
          <w:rStyle w:val="href"/>
          <w:lang w:val="es-ES_tradnl"/>
        </w:rPr>
        <w:t>2005</w:t>
      </w:r>
    </w:p>
    <w:p w:rsidR="00C271D9" w:rsidRPr="00C271D9" w:rsidRDefault="00C271D9" w:rsidP="00C271D9">
      <w:pPr>
        <w:pStyle w:val="Rectitle"/>
        <w:rPr>
          <w:lang w:val="es-ES_tradnl"/>
        </w:rPr>
      </w:pPr>
      <w:r w:rsidRPr="00C271D9">
        <w:rPr>
          <w:lang w:val="es-ES_tradnl"/>
        </w:rPr>
        <w:t>Disposiciones de canales y bloques de radiofrecuencia a los sistemas inalámbricos fijos que funcionan en la banda de 42 GHz (40,5-43,5 GHz)</w:t>
      </w:r>
    </w:p>
    <w:p w:rsidR="00C271D9" w:rsidRPr="00C271D9" w:rsidRDefault="00C271D9" w:rsidP="00C271D9">
      <w:pPr>
        <w:pStyle w:val="Recref"/>
        <w:rPr>
          <w:lang w:val="es-ES_tradnl"/>
        </w:rPr>
      </w:pPr>
      <w:bookmarkStart w:id="4" w:name="Related_Questions"/>
      <w:r w:rsidRPr="00C271D9">
        <w:rPr>
          <w:lang w:val="es-ES_tradnl"/>
        </w:rPr>
        <w:t>(Cuestión UIT-R 247/5)</w:t>
      </w:r>
      <w:bookmarkEnd w:id="4"/>
    </w:p>
    <w:p w:rsidR="00C271D9" w:rsidRPr="00C271D9" w:rsidRDefault="00C271D9" w:rsidP="00991021">
      <w:pPr>
        <w:pStyle w:val="Recdate"/>
        <w:rPr>
          <w:lang w:val="es-ES_tradnl"/>
        </w:rPr>
      </w:pPr>
      <w:bookmarkStart w:id="5" w:name="Revision_history"/>
      <w:r w:rsidRPr="00C271D9">
        <w:rPr>
          <w:lang w:val="es-ES_tradnl"/>
        </w:rPr>
        <w:t>(2012)</w:t>
      </w:r>
      <w:bookmarkEnd w:id="5"/>
    </w:p>
    <w:p w:rsidR="00C271D9" w:rsidRPr="00C271D9" w:rsidRDefault="00C271D9" w:rsidP="00041AB4">
      <w:pPr>
        <w:pStyle w:val="HeadingSum"/>
      </w:pPr>
      <w:r w:rsidRPr="00C271D9">
        <w:t>Cometido</w:t>
      </w:r>
    </w:p>
    <w:p w:rsidR="00C271D9" w:rsidRPr="00C271D9" w:rsidRDefault="00C271D9" w:rsidP="00041AB4">
      <w:pPr>
        <w:pStyle w:val="Summary"/>
      </w:pPr>
      <w:r w:rsidRPr="00C271D9">
        <w:t>En esta Recomendación se define la disposición de canales de radiofrecuencia en los sistemas inalámbricos fijos punto a punto que funcionan en la banda de 42 GHz (40,5-43,5 GHz), para su utilización en sistemas de capacidad alta, media y baja. La disposición de canales de radiofrecuencia recomendada se basa en múltiples canales básicos de 7 MHz de anchura combinados para formar canales de anchura mayor, de hasta 112 MHz. Se recoge asimismo una alternativa adicional para la disposición de bloques que sea apropiada para la instalación de varios sistemas inalámbricos fijos (FWA) que emplean tecnología multipunto y enlaces punto a punto a efectos de infraestructura y acceso. También se describe una tercera alternativa para utilizar de forma combinada y flexible la anterior tecnología de instalación.</w:t>
      </w:r>
    </w:p>
    <w:p w:rsidR="00C271D9" w:rsidRPr="00C271D9" w:rsidRDefault="00C271D9" w:rsidP="00C271D9">
      <w:pPr>
        <w:rPr>
          <w:lang w:val="es-ES_tradnl"/>
        </w:rPr>
      </w:pPr>
      <w:r w:rsidRPr="00C271D9">
        <w:rPr>
          <w:lang w:val="es-ES_tradnl"/>
        </w:rPr>
        <w:t>La Asamblea de Radiocomunicaciones de la UIT,</w:t>
      </w:r>
    </w:p>
    <w:p w:rsidR="00C271D9" w:rsidRPr="00C271D9" w:rsidRDefault="00C271D9" w:rsidP="00C271D9">
      <w:pPr>
        <w:pStyle w:val="Call"/>
        <w:rPr>
          <w:lang w:val="es-ES_tradnl"/>
        </w:rPr>
      </w:pPr>
      <w:r w:rsidRPr="00C271D9">
        <w:rPr>
          <w:lang w:val="es-ES_tradnl"/>
        </w:rPr>
        <w:t>considerando</w:t>
      </w:r>
    </w:p>
    <w:p w:rsidR="00C271D9" w:rsidRPr="00C271D9" w:rsidRDefault="00C271D9" w:rsidP="00C271D9">
      <w:pPr>
        <w:rPr>
          <w:lang w:val="es-ES_tradnl"/>
        </w:rPr>
      </w:pPr>
      <w:r w:rsidRPr="00B866F9">
        <w:rPr>
          <w:i/>
          <w:iCs/>
          <w:lang w:val="es-ES_tradnl"/>
        </w:rPr>
        <w:t>a)</w:t>
      </w:r>
      <w:r w:rsidRPr="00C271D9">
        <w:rPr>
          <w:lang w:val="es-ES_tradnl"/>
        </w:rPr>
        <w:tab/>
        <w:t>que la banda 40,5-43,5 GHz está atribuida en todo el mundo al servicio fijo a título primario;</w:t>
      </w:r>
    </w:p>
    <w:p w:rsidR="00C271D9" w:rsidRPr="00C271D9" w:rsidRDefault="00C271D9" w:rsidP="00C271D9">
      <w:pPr>
        <w:rPr>
          <w:lang w:val="es-ES_tradnl"/>
        </w:rPr>
      </w:pPr>
      <w:r w:rsidRPr="00B866F9">
        <w:rPr>
          <w:i/>
          <w:iCs/>
          <w:lang w:val="es-ES_tradnl"/>
        </w:rPr>
        <w:t>b)</w:t>
      </w:r>
      <w:r w:rsidRPr="00C271D9">
        <w:rPr>
          <w:lang w:val="es-ES_tradnl"/>
        </w:rPr>
        <w:tab/>
        <w:t>que en el Reglamento de Radiocomunicaciones (RR) se identifica la banda 40,5-43,5 GHz para aplicaciones de alta densidad del SF;</w:t>
      </w:r>
    </w:p>
    <w:p w:rsidR="00C271D9" w:rsidRPr="00C271D9" w:rsidRDefault="00C271D9" w:rsidP="00C271D9">
      <w:pPr>
        <w:rPr>
          <w:lang w:val="es-ES_tradnl"/>
        </w:rPr>
      </w:pPr>
      <w:r w:rsidRPr="00B866F9">
        <w:rPr>
          <w:i/>
          <w:iCs/>
          <w:lang w:val="es-ES_tradnl"/>
        </w:rPr>
        <w:t>c)</w:t>
      </w:r>
      <w:r w:rsidRPr="00C271D9">
        <w:rPr>
          <w:lang w:val="es-ES_tradnl"/>
        </w:rPr>
        <w:tab/>
        <w:t>que hay una especial necesidad de enlaces punto a punto para el transporte de gran capacidad de datos; por ejemplo, para aplicaciones de redes móviles cuya instalación se espera que crezca rápidamente;</w:t>
      </w:r>
    </w:p>
    <w:p w:rsidR="00C271D9" w:rsidRPr="00C271D9" w:rsidRDefault="00C271D9" w:rsidP="00C271D9">
      <w:pPr>
        <w:rPr>
          <w:lang w:val="es-ES_tradnl"/>
        </w:rPr>
      </w:pPr>
      <w:r w:rsidRPr="00B866F9">
        <w:rPr>
          <w:i/>
          <w:iCs/>
          <w:lang w:val="es-ES_tradnl"/>
        </w:rPr>
        <w:t>d)</w:t>
      </w:r>
      <w:r w:rsidRPr="00C271D9">
        <w:rPr>
          <w:lang w:val="es-ES_tradnl"/>
        </w:rPr>
        <w:tab/>
        <w:t>que la instalación de enlaces punto a punto puede traducirse en una mayor eficiencia en la utilización del espectro cuando se haga uso de la coordinación enlace a enlace convencional en una disposición especializada de canales de radiofrecuencia;</w:t>
      </w:r>
    </w:p>
    <w:p w:rsidR="00C271D9" w:rsidRPr="00C271D9" w:rsidRDefault="00C271D9" w:rsidP="00C271D9">
      <w:pPr>
        <w:rPr>
          <w:lang w:val="es-ES_tradnl"/>
        </w:rPr>
      </w:pPr>
      <w:r w:rsidRPr="00B866F9">
        <w:rPr>
          <w:i/>
          <w:iCs/>
          <w:lang w:val="es-ES_tradnl"/>
        </w:rPr>
        <w:t>e)</w:t>
      </w:r>
      <w:r w:rsidRPr="00C271D9">
        <w:rPr>
          <w:lang w:val="es-ES_tradnl"/>
        </w:rPr>
        <w:tab/>
        <w:t>que para la instalación de servicios de banda ancha es más conveniente desplegar en la banda 40,5-43,5 GHz sistemas digitales de alta capacidad, pero no se excluye la necesidad de conexión con sistemas de capacidad media y baja;</w:t>
      </w:r>
    </w:p>
    <w:p w:rsidR="00C271D9" w:rsidRPr="00C271D9" w:rsidRDefault="00C271D9" w:rsidP="00C271D9">
      <w:pPr>
        <w:rPr>
          <w:lang w:val="es-ES_tradnl"/>
        </w:rPr>
      </w:pPr>
      <w:r w:rsidRPr="00B866F9">
        <w:rPr>
          <w:i/>
          <w:iCs/>
          <w:lang w:val="es-ES_tradnl"/>
        </w:rPr>
        <w:t>f)</w:t>
      </w:r>
      <w:r w:rsidRPr="00C271D9">
        <w:rPr>
          <w:lang w:val="es-ES_tradnl"/>
        </w:rPr>
        <w:tab/>
        <w:t>que los sistemas multipunto (P-MP o MP-MP) pueden proporcionar servicios de acceso inalámbrico fijo de banda ancha (BFWA) en la gama 40,5-43,5 GHz incluido</w:t>
      </w:r>
      <w:r w:rsidR="006B76A6">
        <w:rPr>
          <w:lang w:val="es-ES_tradnl"/>
        </w:rPr>
        <w:t>s los servicios de telefonía, ví</w:t>
      </w:r>
      <w:r w:rsidRPr="00C271D9">
        <w:rPr>
          <w:lang w:val="es-ES_tradnl"/>
        </w:rPr>
        <w:t>deo, secuencias de medios y datos;</w:t>
      </w:r>
    </w:p>
    <w:p w:rsidR="00C271D9" w:rsidRPr="00C271D9" w:rsidRDefault="00C271D9" w:rsidP="00C271D9">
      <w:pPr>
        <w:rPr>
          <w:lang w:val="es-ES_tradnl"/>
        </w:rPr>
      </w:pPr>
      <w:r w:rsidRPr="00B866F9">
        <w:rPr>
          <w:i/>
          <w:iCs/>
          <w:lang w:val="es-ES_tradnl"/>
        </w:rPr>
        <w:t>g)</w:t>
      </w:r>
      <w:r w:rsidRPr="00C271D9">
        <w:rPr>
          <w:lang w:val="es-ES_tradnl"/>
        </w:rPr>
        <w:tab/>
        <w:t>que, en algunos casos, puede ser conveniente lograr planes de asignación de frecuencias flexibles que puedan satisfacer los requisitos de tráfico MP tanto DDF como DDT, así como enlaces punto a punto, en particular para las aplicaciones de transporte en redes BFWA y en redes móviles;</w:t>
      </w:r>
    </w:p>
    <w:p w:rsidR="00C271D9" w:rsidRPr="00C271D9" w:rsidRDefault="00C271D9" w:rsidP="00C271D9">
      <w:pPr>
        <w:rPr>
          <w:lang w:val="es-ES_tradnl"/>
        </w:rPr>
      </w:pPr>
      <w:r w:rsidRPr="00B866F9">
        <w:rPr>
          <w:i/>
          <w:iCs/>
          <w:lang w:val="es-ES_tradnl"/>
        </w:rPr>
        <w:t>h)</w:t>
      </w:r>
      <w:r w:rsidRPr="00C271D9">
        <w:rPr>
          <w:lang w:val="es-ES_tradnl"/>
        </w:rPr>
        <w:tab/>
        <w:t xml:space="preserve">que cuando son predominantes las necesidades del SF resumidas en el </w:t>
      </w:r>
      <w:r w:rsidRPr="00C271D9">
        <w:rPr>
          <w:i/>
          <w:iCs/>
          <w:lang w:val="es-ES_tradnl"/>
        </w:rPr>
        <w:t xml:space="preserve">considerando </w:t>
      </w:r>
      <w:r w:rsidRPr="00C65867">
        <w:rPr>
          <w:i/>
          <w:iCs/>
          <w:lang w:val="es-ES_tradnl"/>
        </w:rPr>
        <w:t>g)</w:t>
      </w:r>
      <w:r w:rsidRPr="00C271D9">
        <w:rPr>
          <w:i/>
          <w:iCs/>
          <w:lang w:val="es-ES_tradnl"/>
        </w:rPr>
        <w:t>,</w:t>
      </w:r>
      <w:r w:rsidRPr="00C271D9">
        <w:rPr>
          <w:lang w:val="es-ES_tradnl"/>
        </w:rPr>
        <w:t xml:space="preserve"> puede lograrse suficiente capacidad y flexibilidad par</w:t>
      </w:r>
      <w:bookmarkStart w:id="6" w:name="_GoBack"/>
      <w:bookmarkEnd w:id="6"/>
      <w:r w:rsidRPr="00C271D9">
        <w:rPr>
          <w:lang w:val="es-ES_tradnl"/>
        </w:rPr>
        <w:t>a la instalación de múltiples sistemas en una zona de servicio deseada mediante la combinación de un número variable de intervalos de frecuencia contiguos para formar una asignación de bloque;</w:t>
      </w:r>
    </w:p>
    <w:p w:rsidR="00C271D9" w:rsidRPr="00C271D9" w:rsidRDefault="00C271D9" w:rsidP="00C271D9">
      <w:pPr>
        <w:keepLines/>
        <w:rPr>
          <w:lang w:val="es-ES_tradnl"/>
        </w:rPr>
      </w:pPr>
      <w:r w:rsidRPr="00B866F9">
        <w:rPr>
          <w:i/>
          <w:iCs/>
          <w:lang w:val="es-ES_tradnl"/>
        </w:rPr>
        <w:t>j)</w:t>
      </w:r>
      <w:r w:rsidRPr="00C271D9">
        <w:rPr>
          <w:lang w:val="es-ES_tradnl"/>
        </w:rPr>
        <w:tab/>
        <w:t xml:space="preserve">que la asignación de bloques adyacentes a distintos operadores de BFWA puede exigir el establecimiento de criterios de coexistencia generales para reducir la necesidad de coordinación entre ellos; pero de todas formas se alienta dicha coordinación a fin de maximizar el uso eficaz de los bloques; </w:t>
      </w:r>
    </w:p>
    <w:p w:rsidR="00C271D9" w:rsidRPr="00C271D9" w:rsidRDefault="00C271D9" w:rsidP="00C271D9">
      <w:pPr>
        <w:rPr>
          <w:lang w:val="es-ES_tradnl"/>
        </w:rPr>
      </w:pPr>
      <w:r w:rsidRPr="00B866F9">
        <w:rPr>
          <w:i/>
          <w:iCs/>
          <w:lang w:val="es-ES_tradnl"/>
        </w:rPr>
        <w:lastRenderedPageBreak/>
        <w:t>k)</w:t>
      </w:r>
      <w:r w:rsidRPr="00C271D9">
        <w:rPr>
          <w:lang w:val="es-ES_tradnl"/>
        </w:rPr>
        <w:tab/>
        <w:t>que con la asignación de bloques emparejados, tanto los sistemas de dúplex por división en el tiempo (DDT) como los sistemas MP con dúplex por división de frecuencia (DDF) podrían acomodarse de manera indiferente, siempre que se satisfagan los adecuados criterios de coexistencia;</w:t>
      </w:r>
    </w:p>
    <w:p w:rsidR="00C271D9" w:rsidRPr="00C271D9" w:rsidRDefault="00C271D9" w:rsidP="00C271D9">
      <w:pPr>
        <w:rPr>
          <w:lang w:val="es-ES_tradnl"/>
        </w:rPr>
      </w:pPr>
      <w:r w:rsidRPr="00B866F9">
        <w:rPr>
          <w:i/>
          <w:iCs/>
          <w:lang w:val="es-ES_tradnl"/>
        </w:rPr>
        <w:t>l)</w:t>
      </w:r>
      <w:r w:rsidRPr="00C271D9">
        <w:rPr>
          <w:lang w:val="es-ES_tradnl"/>
        </w:rPr>
        <w:tab/>
        <w:t>que para potenciar el uso eficiente de los bloques asignados, de acuerdo con la tecnología disponible actual y futura, el operador debe definir libremente y modificar adecuadamente las disposiciones de canal dentro de los bloques, de conformidad con las tecnologías seleccionadas;</w:t>
      </w:r>
    </w:p>
    <w:p w:rsidR="00C271D9" w:rsidRPr="00C271D9" w:rsidRDefault="00C271D9" w:rsidP="00C271D9">
      <w:pPr>
        <w:rPr>
          <w:lang w:val="es-ES_tradnl"/>
        </w:rPr>
      </w:pPr>
      <w:r w:rsidRPr="00B866F9">
        <w:rPr>
          <w:i/>
          <w:iCs/>
          <w:lang w:val="es-ES_tradnl"/>
        </w:rPr>
        <w:t>m)</w:t>
      </w:r>
      <w:r w:rsidRPr="00C271D9">
        <w:rPr>
          <w:lang w:val="es-ES_tradnl"/>
        </w:rPr>
        <w:tab/>
        <w:t>que cuando son igualmente convenientes una mayor eficiencia del espectro en el despliegue coordinado de los enlaces punto a punto dentro de una disposición de canales y una mayor flexibilidad de los servicios permitida por un plan de asignación de bloques, es posible realizar una subdivisión flexible de la banda entre ambas metodologías;</w:t>
      </w:r>
    </w:p>
    <w:p w:rsidR="00C271D9" w:rsidRPr="00C271D9" w:rsidRDefault="00C271D9" w:rsidP="00C271D9">
      <w:pPr>
        <w:rPr>
          <w:lang w:val="es-ES_tradnl"/>
        </w:rPr>
      </w:pPr>
      <w:r w:rsidRPr="00B866F9">
        <w:rPr>
          <w:i/>
          <w:iCs/>
          <w:lang w:val="es-ES_tradnl"/>
        </w:rPr>
        <w:t>n)</w:t>
      </w:r>
      <w:r w:rsidRPr="00C271D9">
        <w:rPr>
          <w:lang w:val="es-ES_tradnl"/>
        </w:rPr>
        <w:tab/>
        <w:t>que el servicio de radioastronomía también tiene una atribució</w:t>
      </w:r>
      <w:r w:rsidR="00B866F9">
        <w:rPr>
          <w:lang w:val="es-ES_tradnl"/>
        </w:rPr>
        <w:t>n a título primario en la banda </w:t>
      </w:r>
      <w:r w:rsidRPr="00C271D9">
        <w:rPr>
          <w:lang w:val="es-ES_tradnl"/>
        </w:rPr>
        <w:t>42,5-43,5 GHz y en algunos emplazamientos será necesario tomar las medidas adecuadas en la planificación e instalación de los sistemas MP BFWA y los sistemas punto a punto en torno a las estaciones de radioastronomía para proteger el servicio de radioastronomía,</w:t>
      </w:r>
    </w:p>
    <w:p w:rsidR="00C271D9" w:rsidRPr="00C271D9" w:rsidRDefault="00C271D9" w:rsidP="00C271D9">
      <w:pPr>
        <w:pStyle w:val="Call"/>
        <w:rPr>
          <w:lang w:val="es-ES_tradnl"/>
        </w:rPr>
      </w:pPr>
      <w:r w:rsidRPr="00C271D9">
        <w:rPr>
          <w:lang w:val="es-ES_tradnl"/>
        </w:rPr>
        <w:t>observando</w:t>
      </w:r>
    </w:p>
    <w:p w:rsidR="00C271D9" w:rsidRPr="00C271D9" w:rsidRDefault="00C271D9" w:rsidP="00C271D9">
      <w:pPr>
        <w:rPr>
          <w:lang w:val="es-ES_tradnl"/>
        </w:rPr>
      </w:pPr>
      <w:r w:rsidRPr="00C271D9">
        <w:rPr>
          <w:lang w:val="es-ES_tradnl"/>
        </w:rPr>
        <w:t>que el Reglamento de Radiocomunicaciones identifica la banda 40,5-42 GHz como disponible en la Región 2 también para las aplicaciones de alta densidad del SFS y debe preverse la adecuada compartición,</w:t>
      </w:r>
    </w:p>
    <w:p w:rsidR="00C271D9" w:rsidRPr="00C271D9" w:rsidRDefault="00C271D9" w:rsidP="00C271D9">
      <w:pPr>
        <w:pStyle w:val="Call"/>
        <w:rPr>
          <w:lang w:val="es-ES_tradnl"/>
        </w:rPr>
      </w:pPr>
      <w:r w:rsidRPr="00C271D9">
        <w:rPr>
          <w:lang w:val="es-ES_tradnl"/>
        </w:rPr>
        <w:t>recomienda</w:t>
      </w:r>
    </w:p>
    <w:p w:rsidR="00C271D9" w:rsidRPr="00C271D9" w:rsidRDefault="00C271D9" w:rsidP="00C271D9">
      <w:pPr>
        <w:rPr>
          <w:lang w:val="es-ES_tradnl"/>
        </w:rPr>
      </w:pPr>
      <w:r w:rsidRPr="00C271D9">
        <w:rPr>
          <w:b/>
          <w:bCs/>
          <w:lang w:val="es-ES_tradnl"/>
        </w:rPr>
        <w:t>1</w:t>
      </w:r>
      <w:r w:rsidRPr="00C271D9">
        <w:rPr>
          <w:lang w:val="es-ES_tradnl"/>
        </w:rPr>
        <w:tab/>
        <w:t>que las administraciones que deseen utilizar una disposición de canales de radiofrecuencia para la instalación coordinada convencional de enlaces punto a punto en la banda de frecuencias 40,5- 43,5 GHz consideren la disposición de radiocanales que figura en el Anexo 1;</w:t>
      </w:r>
    </w:p>
    <w:p w:rsidR="00C271D9" w:rsidRPr="00C271D9" w:rsidRDefault="00C271D9" w:rsidP="00C271D9">
      <w:pPr>
        <w:rPr>
          <w:lang w:val="es-ES_tradnl"/>
        </w:rPr>
      </w:pPr>
      <w:r w:rsidRPr="00C271D9">
        <w:rPr>
          <w:b/>
          <w:bCs/>
          <w:lang w:val="es-ES_tradnl"/>
        </w:rPr>
        <w:t>2</w:t>
      </w:r>
      <w:r w:rsidRPr="00C271D9">
        <w:rPr>
          <w:lang w:val="es-ES_tradnl"/>
        </w:rPr>
        <w:tab/>
        <w:t>que las administraciones que deseen adoptar un uso combinado y flexible de diferentes tecnologías para el BFWA y los enlaces punto a punto dentro de la banda:</w:t>
      </w:r>
    </w:p>
    <w:p w:rsidR="00C271D9" w:rsidRPr="00C271D9" w:rsidRDefault="00C271D9" w:rsidP="00C271D9">
      <w:pPr>
        <w:rPr>
          <w:lang w:val="es-ES_tradnl"/>
        </w:rPr>
      </w:pPr>
      <w:r w:rsidRPr="00C271D9">
        <w:rPr>
          <w:b/>
          <w:bCs/>
          <w:lang w:val="es-ES_tradnl"/>
        </w:rPr>
        <w:t>2.1</w:t>
      </w:r>
      <w:r w:rsidRPr="00C271D9">
        <w:rPr>
          <w:lang w:val="es-ES_tradnl"/>
        </w:rPr>
        <w:tab/>
        <w:t>consideren las orientaciones que figuran en el Anexo 2 cuando determinen la posición de los bloques asignados dentro de la banda;</w:t>
      </w:r>
    </w:p>
    <w:p w:rsidR="00C271D9" w:rsidRPr="00C271D9" w:rsidRDefault="00C271D9" w:rsidP="00C271D9">
      <w:pPr>
        <w:rPr>
          <w:lang w:val="es-ES_tradnl"/>
        </w:rPr>
      </w:pPr>
      <w:r w:rsidRPr="00C271D9">
        <w:rPr>
          <w:b/>
          <w:bCs/>
          <w:lang w:val="es-ES_tradnl"/>
        </w:rPr>
        <w:t>2.2</w:t>
      </w:r>
      <w:r w:rsidRPr="00C271D9">
        <w:rPr>
          <w:lang w:val="es-ES_tradnl"/>
        </w:rPr>
        <w:tab/>
        <w:t>consideren las medidas adecuadas para la coexistencia entre bloques, así como para la protección de la banda adyacente;</w:t>
      </w:r>
    </w:p>
    <w:p w:rsidR="00C271D9" w:rsidRPr="00C271D9" w:rsidRDefault="00C271D9" w:rsidP="00C271D9">
      <w:pPr>
        <w:rPr>
          <w:lang w:val="es-ES_tradnl"/>
        </w:rPr>
      </w:pPr>
      <w:r w:rsidRPr="00C271D9">
        <w:rPr>
          <w:b/>
          <w:bCs/>
          <w:lang w:val="es-ES_tradnl"/>
        </w:rPr>
        <w:t>2.3</w:t>
      </w:r>
      <w:r w:rsidRPr="00C271D9">
        <w:rPr>
          <w:lang w:val="es-ES_tradnl"/>
        </w:rPr>
        <w:tab/>
        <w:t>asignen los bloques de forma que puedan ayudar a la futura expansión de servicios, sin necesidad de introducir nuevos requisitos reglamentarios en las disposiciones de canales reales dentro de los bloques;</w:t>
      </w:r>
    </w:p>
    <w:p w:rsidR="00C271D9" w:rsidRPr="00C271D9" w:rsidRDefault="00C271D9" w:rsidP="00C271D9">
      <w:pPr>
        <w:rPr>
          <w:lang w:val="es-ES_tradnl"/>
        </w:rPr>
      </w:pPr>
      <w:r w:rsidRPr="00C271D9">
        <w:rPr>
          <w:b/>
          <w:bCs/>
          <w:lang w:val="es-ES_tradnl"/>
        </w:rPr>
        <w:t>3</w:t>
      </w:r>
      <w:r w:rsidRPr="00C271D9">
        <w:rPr>
          <w:lang w:val="es-ES_tradnl"/>
        </w:rPr>
        <w:tab/>
        <w:t xml:space="preserve">que las administraciones que deseen adoptar una utilización flexible de la banda para ambas metodologías de asignación, enlaces punto a punto de acuerdo con el </w:t>
      </w:r>
      <w:r w:rsidRPr="00C271D9">
        <w:rPr>
          <w:i/>
          <w:iCs/>
          <w:lang w:val="es-ES_tradnl"/>
        </w:rPr>
        <w:t>recomienda</w:t>
      </w:r>
      <w:r w:rsidRPr="00C271D9">
        <w:rPr>
          <w:lang w:val="es-ES_tradnl"/>
        </w:rPr>
        <w:t xml:space="preserve"> 1 y bloques de frecuencia de acuerdo con el </w:t>
      </w:r>
      <w:r w:rsidRPr="00C271D9">
        <w:rPr>
          <w:i/>
          <w:iCs/>
          <w:lang w:val="es-ES_tradnl"/>
        </w:rPr>
        <w:t>recomienda</w:t>
      </w:r>
      <w:r w:rsidRPr="00C271D9">
        <w:rPr>
          <w:lang w:val="es-ES_tradnl"/>
        </w:rPr>
        <w:t xml:space="preserve"> 2, consideren el uso de una subdivisión de la banda flexible descrito en el Anexo 3;</w:t>
      </w:r>
    </w:p>
    <w:p w:rsidR="00C271D9" w:rsidRPr="00C271D9" w:rsidRDefault="00C271D9" w:rsidP="00C271D9">
      <w:pPr>
        <w:rPr>
          <w:lang w:val="es-ES_tradnl"/>
        </w:rPr>
      </w:pPr>
      <w:r w:rsidRPr="00AD243E">
        <w:rPr>
          <w:b/>
          <w:bCs/>
          <w:lang w:val="es-ES_tradnl"/>
        </w:rPr>
        <w:t>4</w:t>
      </w:r>
      <w:r w:rsidRPr="00C271D9">
        <w:rPr>
          <w:lang w:val="es-ES_tradnl"/>
        </w:rPr>
        <w:tab/>
        <w:t>que a efectos de coordinación internacional, las administraciones vecinas lleguen a un acuerdo para seleccionar una de las dos opciones señaladas en el Anexo 3. Para ello, se considera preferible la Opción A siempre que se necesite la coordinación con el SRA en la banda 42,5-43,5 GHz debido a la facilidad de coordinación con los sistemas punto a punto. Puede acordarse la Opción B cuando haya restricciones para la utilización de la Opción A.</w:t>
      </w:r>
    </w:p>
    <w:p w:rsidR="00C271D9" w:rsidRPr="00C271D9" w:rsidRDefault="00C271D9" w:rsidP="00C271D9">
      <w:pPr>
        <w:tabs>
          <w:tab w:val="clear" w:pos="794"/>
          <w:tab w:val="clear" w:pos="1191"/>
          <w:tab w:val="clear" w:pos="1588"/>
          <w:tab w:val="clear" w:pos="1985"/>
        </w:tabs>
        <w:overflowPunct/>
        <w:autoSpaceDE/>
        <w:autoSpaceDN/>
        <w:adjustRightInd/>
        <w:spacing w:before="0"/>
        <w:jc w:val="left"/>
        <w:textAlignment w:val="auto"/>
        <w:rPr>
          <w:lang w:val="es-ES_tradnl"/>
        </w:rPr>
      </w:pPr>
      <w:r w:rsidRPr="00C271D9">
        <w:rPr>
          <w:lang w:val="es-ES_tradnl"/>
        </w:rPr>
        <w:br w:type="page"/>
      </w:r>
    </w:p>
    <w:p w:rsidR="00C271D9" w:rsidRPr="00C271D9" w:rsidRDefault="00C271D9" w:rsidP="008301D4">
      <w:pPr>
        <w:pStyle w:val="AnnexNoTitle"/>
        <w:rPr>
          <w:lang w:val="es-ES_tradnl"/>
        </w:rPr>
      </w:pPr>
      <w:r w:rsidRPr="00C271D9">
        <w:rPr>
          <w:lang w:val="es-ES_tradnl"/>
        </w:rPr>
        <w:lastRenderedPageBreak/>
        <w:t>Anexo 1</w:t>
      </w:r>
      <w:r w:rsidR="008301D4" w:rsidRPr="008301D4">
        <w:rPr>
          <w:lang w:val="es-ES_tradnl"/>
        </w:rPr>
        <w:br/>
      </w:r>
      <w:r w:rsidR="008301D4" w:rsidRPr="008301D4">
        <w:rPr>
          <w:lang w:val="es-ES_tradnl"/>
        </w:rPr>
        <w:br/>
      </w:r>
      <w:r w:rsidRPr="00C271D9">
        <w:rPr>
          <w:lang w:val="es-ES_tradnl"/>
        </w:rPr>
        <w:t xml:space="preserve">Disposición de canales de </w:t>
      </w:r>
      <w:r w:rsidRPr="008301D4">
        <w:rPr>
          <w:lang w:val="es-ES_tradnl"/>
        </w:rPr>
        <w:t>radiofrecuencia</w:t>
      </w:r>
      <w:r w:rsidRPr="00C271D9">
        <w:rPr>
          <w:lang w:val="es-ES_tradnl"/>
        </w:rPr>
        <w:t xml:space="preserve"> de acuerdo con el </w:t>
      </w:r>
      <w:r w:rsidRPr="00C271D9">
        <w:rPr>
          <w:i/>
          <w:iCs/>
          <w:lang w:val="es-ES_tradnl"/>
        </w:rPr>
        <w:t>recomienda</w:t>
      </w:r>
      <w:r w:rsidRPr="00C271D9">
        <w:rPr>
          <w:lang w:val="es-ES_tradnl"/>
        </w:rPr>
        <w:t xml:space="preserve"> 1</w:t>
      </w:r>
    </w:p>
    <w:p w:rsidR="00C271D9" w:rsidRPr="00C271D9" w:rsidRDefault="00C271D9" w:rsidP="00C271D9">
      <w:pPr>
        <w:pStyle w:val="Normalaftertitle"/>
        <w:rPr>
          <w:lang w:val="es-ES_tradnl"/>
        </w:rPr>
      </w:pPr>
    </w:p>
    <w:p w:rsidR="00C271D9" w:rsidRPr="00C271D9" w:rsidRDefault="00C271D9" w:rsidP="00C271D9">
      <w:pPr>
        <w:pStyle w:val="Headingb"/>
        <w:rPr>
          <w:lang w:val="es-ES_tradnl"/>
        </w:rPr>
      </w:pPr>
      <w:r w:rsidRPr="00C271D9">
        <w:rPr>
          <w:lang w:val="es-ES_tradnl"/>
        </w:rPr>
        <w:t>Obtención de la frecuencia central de los canales de radiofrecuencia</w:t>
      </w:r>
    </w:p>
    <w:p w:rsidR="00C271D9" w:rsidRPr="00C271D9" w:rsidRDefault="00C271D9" w:rsidP="00CB4BB7">
      <w:pPr>
        <w:rPr>
          <w:lang w:val="es-ES_tradnl"/>
        </w:rPr>
      </w:pPr>
      <w:r w:rsidRPr="00C271D9">
        <w:rPr>
          <w:lang w:val="es-ES_tradnl"/>
        </w:rPr>
        <w:t>La disposición de los canales de radiofrecuencia para separaciones de portadora de 112 MHz, 56 MHz, 28 MHz, 14 MHz y 7 MHz con espaciamiento dúplex de 1 500 MHz se obtendrá como sigue:</w:t>
      </w:r>
    </w:p>
    <w:p w:rsidR="00C271D9" w:rsidRPr="00C271D9" w:rsidRDefault="00C271D9" w:rsidP="00C271D9">
      <w:pPr>
        <w:pStyle w:val="enumlev1"/>
        <w:ind w:left="1191" w:hanging="1191"/>
        <w:rPr>
          <w:lang w:val="es-ES_tradnl"/>
        </w:rPr>
      </w:pPr>
      <w:r w:rsidRPr="00C271D9">
        <w:rPr>
          <w:lang w:val="es-ES_tradnl"/>
        </w:rPr>
        <w:t>Sean</w:t>
      </w:r>
      <w:r w:rsidRPr="00C271D9">
        <w:rPr>
          <w:lang w:val="es-ES_tradnl"/>
        </w:rPr>
        <w:tab/>
      </w:r>
      <w:r w:rsidRPr="00C271D9">
        <w:rPr>
          <w:i/>
          <w:iCs/>
          <w:lang w:val="es-ES_tradnl"/>
        </w:rPr>
        <w:t>fo</w:t>
      </w:r>
      <w:r w:rsidRPr="00C271D9">
        <w:rPr>
          <w:i/>
          <w:iCs/>
          <w:lang w:val="es-ES_tradnl"/>
        </w:rPr>
        <w:tab/>
      </w:r>
      <w:r w:rsidRPr="00C271D9">
        <w:rPr>
          <w:lang w:val="es-ES_tradnl"/>
        </w:rPr>
        <w:t>la frecuencia de referencia = 42 000 MHz;</w:t>
      </w:r>
    </w:p>
    <w:p w:rsidR="00C271D9" w:rsidRPr="00C271D9" w:rsidRDefault="00C271D9" w:rsidP="00C271D9">
      <w:pPr>
        <w:pStyle w:val="enumlev1"/>
        <w:ind w:left="1191" w:hanging="1191"/>
        <w:rPr>
          <w:lang w:val="es-ES_tradnl"/>
        </w:rPr>
      </w:pPr>
      <w:r w:rsidRPr="00C271D9">
        <w:rPr>
          <w:i/>
          <w:iCs/>
          <w:lang w:val="es-ES_tradnl"/>
        </w:rPr>
        <w:tab/>
        <w:t>fn</w:t>
      </w:r>
      <w:r w:rsidRPr="00C271D9">
        <w:rPr>
          <w:i/>
          <w:iCs/>
          <w:lang w:val="es-ES_tradnl"/>
        </w:rPr>
        <w:tab/>
      </w:r>
      <w:r w:rsidRPr="00C271D9">
        <w:rPr>
          <w:lang w:val="es-ES_tradnl"/>
        </w:rPr>
        <w:t>la frecuencia central de un canal de RF en la mitad inferior de la banda (MHz);</w:t>
      </w:r>
    </w:p>
    <w:p w:rsidR="00C271D9" w:rsidRPr="00C271D9" w:rsidRDefault="00C271D9" w:rsidP="00C271D9">
      <w:pPr>
        <w:pStyle w:val="enumlev1"/>
        <w:ind w:left="1191" w:hanging="1191"/>
        <w:rPr>
          <w:i/>
          <w:iCs/>
          <w:lang w:val="es-ES_tradnl"/>
        </w:rPr>
      </w:pPr>
      <w:r w:rsidRPr="00C271D9">
        <w:rPr>
          <w:i/>
          <w:iCs/>
          <w:lang w:val="es-ES_tradnl"/>
        </w:rPr>
        <w:tab/>
        <w:t>f′n</w:t>
      </w:r>
      <w:r w:rsidRPr="00C271D9">
        <w:rPr>
          <w:i/>
          <w:iCs/>
          <w:lang w:val="es-ES_tradnl"/>
        </w:rPr>
        <w:tab/>
      </w:r>
      <w:r w:rsidRPr="00C271D9">
        <w:rPr>
          <w:lang w:val="es-ES_tradnl"/>
        </w:rPr>
        <w:t>la frecuencia central de un canal de RF en la mitad superior de la banda (MHz);</w:t>
      </w:r>
    </w:p>
    <w:p w:rsidR="00C271D9" w:rsidRPr="00C271D9" w:rsidRDefault="005C5310" w:rsidP="00C271D9">
      <w:pPr>
        <w:rPr>
          <w:lang w:val="es-ES_tradnl"/>
        </w:rPr>
      </w:pPr>
      <w:r>
        <w:rPr>
          <w:lang w:val="es-ES_tradnl"/>
        </w:rPr>
        <w:t>l</w:t>
      </w:r>
      <w:r w:rsidR="00C271D9" w:rsidRPr="00C271D9">
        <w:rPr>
          <w:lang w:val="es-ES_tradnl"/>
        </w:rPr>
        <w:t>as frecuencias de cada uno de los canales se expresan por las relaciones siguientes:</w:t>
      </w:r>
    </w:p>
    <w:p w:rsidR="00C271D9" w:rsidRPr="00C271D9" w:rsidRDefault="00C271D9" w:rsidP="008301D4">
      <w:pPr>
        <w:pStyle w:val="enumlev1"/>
        <w:tabs>
          <w:tab w:val="left" w:pos="3686"/>
        </w:tabs>
        <w:spacing w:before="120"/>
        <w:rPr>
          <w:szCs w:val="24"/>
          <w:lang w:val="es-ES_tradnl"/>
        </w:rPr>
      </w:pPr>
      <w:r w:rsidRPr="00C271D9">
        <w:rPr>
          <w:szCs w:val="24"/>
          <w:lang w:val="es-ES_tradnl"/>
        </w:rPr>
        <w:t>a)</w:t>
      </w:r>
      <w:r w:rsidRPr="00C271D9">
        <w:rPr>
          <w:szCs w:val="24"/>
          <w:lang w:val="es-ES_tradnl"/>
        </w:rPr>
        <w:tab/>
        <w:t>para sistemas con separación de portadoras de 112 MHz:</w:t>
      </w:r>
    </w:p>
    <w:p w:rsidR="00C271D9" w:rsidRPr="00C271D9" w:rsidRDefault="00C271D9" w:rsidP="00C271D9">
      <w:pPr>
        <w:rPr>
          <w:lang w:val="es-ES_tradnl"/>
        </w:rPr>
      </w:pPr>
      <w:r w:rsidRPr="00C271D9">
        <w:rPr>
          <w:lang w:val="es-ES_tradnl"/>
        </w:rPr>
        <w:tab/>
        <w:t>mitad inferior de la banda:</w:t>
      </w:r>
      <w:r w:rsidRPr="00C271D9">
        <w:rPr>
          <w:lang w:val="es-ES_tradnl"/>
        </w:rPr>
        <w:tab/>
      </w:r>
      <w:r w:rsidRPr="00C271D9">
        <w:rPr>
          <w:i/>
          <w:lang w:val="es-ES_tradnl"/>
        </w:rPr>
        <w:t>f</w:t>
      </w:r>
      <w:r w:rsidRPr="00C271D9">
        <w:rPr>
          <w:i/>
          <w:iCs/>
          <w:position w:val="-4"/>
          <w:lang w:val="es-ES_tradnl"/>
        </w:rPr>
        <w:t xml:space="preserve"> n </w:t>
      </w:r>
      <w:r w:rsidRPr="00C271D9">
        <w:rPr>
          <w:lang w:val="es-ES_tradnl"/>
        </w:rPr>
        <w:t xml:space="preserve">= </w:t>
      </w:r>
      <w:r w:rsidRPr="00C271D9">
        <w:rPr>
          <w:i/>
          <w:lang w:val="es-ES_tradnl"/>
        </w:rPr>
        <w:t>f</w:t>
      </w:r>
      <w:r w:rsidRPr="00C271D9">
        <w:rPr>
          <w:i/>
          <w:iCs/>
          <w:position w:val="-4"/>
          <w:lang w:val="es-ES_tradnl"/>
        </w:rPr>
        <w:t>o</w:t>
      </w:r>
      <w:r w:rsidRPr="00C271D9">
        <w:rPr>
          <w:lang w:val="es-ES_tradnl"/>
        </w:rPr>
        <w:t xml:space="preserve"> – 1 506 + 112 </w:t>
      </w:r>
      <w:r w:rsidRPr="00C271D9">
        <w:rPr>
          <w:i/>
          <w:lang w:val="es-ES_tradnl"/>
        </w:rPr>
        <w:t>n</w:t>
      </w:r>
      <w:r w:rsidRPr="00C271D9">
        <w:rPr>
          <w:lang w:val="es-ES_tradnl"/>
        </w:rPr>
        <w:tab/>
        <w:t>MHz</w:t>
      </w:r>
    </w:p>
    <w:p w:rsidR="00C271D9" w:rsidRPr="00C271D9" w:rsidRDefault="00C271D9" w:rsidP="00C271D9">
      <w:pPr>
        <w:rPr>
          <w:lang w:val="es-ES_tradnl"/>
        </w:rPr>
      </w:pPr>
      <w:r w:rsidRPr="00C271D9">
        <w:rPr>
          <w:lang w:val="es-ES_tradnl"/>
        </w:rPr>
        <w:tab/>
        <w:t>mitad superior de la banda:</w:t>
      </w:r>
      <w:r w:rsidRPr="00C271D9">
        <w:rPr>
          <w:lang w:val="es-ES_tradnl"/>
        </w:rPr>
        <w:tab/>
      </w:r>
      <w:r w:rsidRPr="00C271D9">
        <w:rPr>
          <w:i/>
          <w:lang w:val="es-ES_tradnl"/>
        </w:rPr>
        <w:t>f′</w:t>
      </w:r>
      <w:r w:rsidRPr="00C271D9">
        <w:rPr>
          <w:i/>
          <w:iCs/>
          <w:position w:val="-4"/>
          <w:lang w:val="es-ES_tradnl"/>
        </w:rPr>
        <w:t>n</w:t>
      </w:r>
      <w:r w:rsidRPr="00C271D9">
        <w:rPr>
          <w:lang w:val="es-ES_tradnl"/>
        </w:rPr>
        <w:t xml:space="preserve"> = </w:t>
      </w:r>
      <w:r w:rsidRPr="00C271D9">
        <w:rPr>
          <w:i/>
          <w:lang w:val="es-ES_tradnl"/>
        </w:rPr>
        <w:t>f</w:t>
      </w:r>
      <w:r w:rsidRPr="00C271D9">
        <w:rPr>
          <w:i/>
          <w:iCs/>
          <w:position w:val="-4"/>
          <w:lang w:val="es-ES_tradnl"/>
        </w:rPr>
        <w:t>o</w:t>
      </w:r>
      <w:r w:rsidRPr="00C271D9">
        <w:rPr>
          <w:lang w:val="es-ES_tradnl"/>
        </w:rPr>
        <w:t xml:space="preserve"> </w:t>
      </w:r>
      <w:r w:rsidRPr="00C271D9">
        <w:rPr>
          <w:szCs w:val="24"/>
          <w:lang w:val="es-ES_tradnl"/>
        </w:rPr>
        <w:t>−</w:t>
      </w:r>
      <w:r w:rsidRPr="00C271D9">
        <w:rPr>
          <w:lang w:val="es-ES_tradnl"/>
        </w:rPr>
        <w:t xml:space="preserve"> 6 + 112 </w:t>
      </w:r>
      <w:r w:rsidRPr="00C271D9">
        <w:rPr>
          <w:i/>
          <w:lang w:val="es-ES_tradnl"/>
        </w:rPr>
        <w:t>n</w:t>
      </w:r>
      <w:r w:rsidRPr="00C271D9">
        <w:rPr>
          <w:lang w:val="es-ES_tradnl"/>
        </w:rPr>
        <w:tab/>
      </w:r>
      <w:r w:rsidRPr="00C271D9">
        <w:rPr>
          <w:lang w:val="es-ES_tradnl"/>
        </w:rPr>
        <w:tab/>
        <w:t>MHz</w:t>
      </w:r>
    </w:p>
    <w:p w:rsidR="00C271D9" w:rsidRPr="00C271D9" w:rsidRDefault="00C271D9" w:rsidP="00C271D9">
      <w:pPr>
        <w:pStyle w:val="enumlev2"/>
        <w:rPr>
          <w:lang w:val="es-ES_tradnl"/>
        </w:rPr>
      </w:pPr>
      <w:r w:rsidRPr="00C271D9">
        <w:rPr>
          <w:lang w:val="es-ES_tradnl"/>
        </w:rPr>
        <w:t>siendo:</w:t>
      </w:r>
    </w:p>
    <w:p w:rsidR="00C271D9" w:rsidRPr="00C271D9" w:rsidRDefault="00C271D9" w:rsidP="00C271D9">
      <w:pPr>
        <w:pStyle w:val="enumlev1"/>
        <w:tabs>
          <w:tab w:val="left" w:pos="3724"/>
        </w:tabs>
        <w:rPr>
          <w:lang w:val="es-ES_tradnl"/>
        </w:rPr>
      </w:pPr>
      <w:r w:rsidRPr="00C271D9">
        <w:rPr>
          <w:i/>
          <w:iCs/>
          <w:szCs w:val="24"/>
          <w:lang w:val="es-ES_tradnl"/>
        </w:rPr>
        <w:tab/>
      </w:r>
      <w:r w:rsidRPr="00C271D9">
        <w:rPr>
          <w:i/>
          <w:iCs/>
          <w:szCs w:val="24"/>
          <w:lang w:val="es-ES_tradnl"/>
        </w:rPr>
        <w:tab/>
        <w:t>n</w:t>
      </w:r>
      <w:r w:rsidRPr="00C271D9">
        <w:rPr>
          <w:szCs w:val="24"/>
          <w:lang w:val="es-ES_tradnl"/>
        </w:rPr>
        <w:t xml:space="preserve"> </w:t>
      </w:r>
      <w:r w:rsidRPr="005A0384">
        <w:rPr>
          <w:szCs w:val="24"/>
        </w:rPr>
        <w:sym w:font="Symbol" w:char="F03D"/>
      </w:r>
      <w:r w:rsidRPr="00C271D9">
        <w:rPr>
          <w:szCs w:val="24"/>
          <w:lang w:val="es-ES_tradnl"/>
        </w:rPr>
        <w:t xml:space="preserve"> 1, 2, 3, …, 12</w:t>
      </w:r>
    </w:p>
    <w:p w:rsidR="00C271D9" w:rsidRPr="00C271D9" w:rsidRDefault="00C271D9" w:rsidP="00C271D9">
      <w:pPr>
        <w:rPr>
          <w:lang w:val="es-ES_tradnl"/>
        </w:rPr>
      </w:pPr>
      <w:r w:rsidRPr="00C271D9">
        <w:rPr>
          <w:lang w:val="es-ES_tradnl"/>
        </w:rPr>
        <w:t>b)</w:t>
      </w:r>
      <w:r w:rsidRPr="00C271D9">
        <w:rPr>
          <w:lang w:val="es-ES_tradnl"/>
        </w:rPr>
        <w:tab/>
        <w:t>para sistemas con separación de portadoras de 56 MHz:</w:t>
      </w:r>
    </w:p>
    <w:p w:rsidR="00C271D9" w:rsidRPr="00C271D9" w:rsidRDefault="00C271D9" w:rsidP="00C271D9">
      <w:pPr>
        <w:pStyle w:val="enumlev1"/>
        <w:tabs>
          <w:tab w:val="left" w:pos="3686"/>
        </w:tabs>
        <w:spacing w:before="60"/>
        <w:rPr>
          <w:lang w:val="es-ES_tradnl"/>
        </w:rPr>
      </w:pPr>
      <w:r w:rsidRPr="00C271D9">
        <w:rPr>
          <w:lang w:val="es-ES_tradnl"/>
        </w:rPr>
        <w:tab/>
        <w:t>mitad inferior de la banda:</w:t>
      </w:r>
      <w:r w:rsidRPr="00C271D9">
        <w:rPr>
          <w:szCs w:val="24"/>
          <w:lang w:val="es-ES_tradnl"/>
        </w:rPr>
        <w:tab/>
      </w:r>
      <w:r w:rsidRPr="00C271D9">
        <w:rPr>
          <w:i/>
          <w:iCs/>
          <w:lang w:val="es-ES_tradnl"/>
        </w:rPr>
        <w:t>f</w:t>
      </w:r>
      <w:r w:rsidRPr="005A0384">
        <w:rPr>
          <w:i/>
          <w:iCs/>
        </w:rPr>
        <w:fldChar w:fldCharType="begin"/>
      </w:r>
      <w:r w:rsidRPr="00C271D9">
        <w:rPr>
          <w:i/>
          <w:iCs/>
          <w:lang w:val="es-ES_tradnl"/>
        </w:rPr>
        <w:instrText>EQ \s\do2(n)</w:instrText>
      </w:r>
      <w:r w:rsidRPr="005A0384">
        <w:rPr>
          <w:i/>
          <w:iCs/>
        </w:rPr>
        <w:fldChar w:fldCharType="end"/>
      </w:r>
      <w:r w:rsidRPr="00C271D9">
        <w:rPr>
          <w:i/>
          <w:iCs/>
          <w:lang w:val="es-ES_tradnl"/>
        </w:rPr>
        <w:t xml:space="preserve"> </w:t>
      </w:r>
      <w:r w:rsidRPr="00C271D9">
        <w:rPr>
          <w:lang w:val="es-ES_tradnl"/>
        </w:rPr>
        <w:t xml:space="preserve">= </w:t>
      </w:r>
      <w:r w:rsidRPr="00C271D9">
        <w:rPr>
          <w:i/>
          <w:iCs/>
          <w:lang w:val="es-ES_tradnl"/>
        </w:rPr>
        <w:t>fo</w:t>
      </w:r>
      <w:r w:rsidRPr="00C271D9">
        <w:rPr>
          <w:lang w:val="es-ES_tradnl"/>
        </w:rPr>
        <w:t xml:space="preserve"> – 1 478 + 56 </w:t>
      </w:r>
      <w:r w:rsidRPr="00C271D9">
        <w:rPr>
          <w:i/>
          <w:iCs/>
          <w:lang w:val="es-ES_tradnl"/>
        </w:rPr>
        <w:t>n</w:t>
      </w:r>
      <w:r w:rsidRPr="00C271D9">
        <w:rPr>
          <w:lang w:val="es-ES_tradnl"/>
        </w:rPr>
        <w:tab/>
        <w:t>MHz</w:t>
      </w:r>
    </w:p>
    <w:p w:rsidR="00C271D9" w:rsidRPr="00C271D9" w:rsidRDefault="00C271D9" w:rsidP="00C271D9">
      <w:pPr>
        <w:pStyle w:val="enumlev1"/>
        <w:tabs>
          <w:tab w:val="left" w:pos="3686"/>
        </w:tabs>
        <w:spacing w:before="60"/>
        <w:rPr>
          <w:szCs w:val="24"/>
          <w:lang w:val="es-ES_tradnl"/>
        </w:rPr>
      </w:pPr>
      <w:r w:rsidRPr="00C271D9">
        <w:rPr>
          <w:lang w:val="es-ES_tradnl"/>
        </w:rPr>
        <w:tab/>
        <w:t>mitad superior de la banda:</w:t>
      </w:r>
      <w:r w:rsidRPr="00C271D9">
        <w:rPr>
          <w:szCs w:val="24"/>
          <w:lang w:val="es-ES_tradnl"/>
        </w:rPr>
        <w:tab/>
      </w:r>
      <w:r w:rsidRPr="00C271D9">
        <w:rPr>
          <w:i/>
          <w:iCs/>
          <w:lang w:val="es-ES_tradnl"/>
        </w:rPr>
        <w:t>f</w:t>
      </w:r>
      <w:r w:rsidRPr="00C271D9">
        <w:rPr>
          <w:lang w:val="es-ES_tradnl"/>
        </w:rPr>
        <w:t>′</w:t>
      </w:r>
      <w:r w:rsidRPr="00C271D9">
        <w:rPr>
          <w:i/>
          <w:iCs/>
          <w:lang w:val="es-ES_tradnl"/>
        </w:rPr>
        <w:t>n</w:t>
      </w:r>
      <w:r w:rsidRPr="00C271D9">
        <w:rPr>
          <w:lang w:val="es-ES_tradnl"/>
        </w:rPr>
        <w:t xml:space="preserve"> = </w:t>
      </w:r>
      <w:r w:rsidRPr="00C271D9">
        <w:rPr>
          <w:i/>
          <w:iCs/>
          <w:lang w:val="es-ES_tradnl"/>
        </w:rPr>
        <w:t>fo</w:t>
      </w:r>
      <w:r w:rsidRPr="00C271D9">
        <w:rPr>
          <w:lang w:val="es-ES_tradnl"/>
        </w:rPr>
        <w:t xml:space="preserve"> + 22 + 56 </w:t>
      </w:r>
      <w:r w:rsidRPr="00C271D9">
        <w:rPr>
          <w:i/>
          <w:iCs/>
          <w:lang w:val="es-ES_tradnl"/>
        </w:rPr>
        <w:t>n</w:t>
      </w:r>
      <w:r w:rsidRPr="00C271D9">
        <w:rPr>
          <w:lang w:val="es-ES_tradnl"/>
        </w:rPr>
        <w:tab/>
      </w:r>
      <w:r w:rsidR="008301D4">
        <w:rPr>
          <w:lang w:val="es-ES_tradnl"/>
        </w:rPr>
        <w:tab/>
      </w:r>
      <w:r w:rsidRPr="00C271D9">
        <w:rPr>
          <w:lang w:val="es-ES_tradnl"/>
        </w:rPr>
        <w:t>MHz</w:t>
      </w:r>
    </w:p>
    <w:p w:rsidR="00C271D9" w:rsidRPr="00C271D9" w:rsidRDefault="00C271D9" w:rsidP="00C271D9">
      <w:pPr>
        <w:pStyle w:val="enumlev2"/>
        <w:rPr>
          <w:lang w:val="es-ES_tradnl"/>
        </w:rPr>
      </w:pPr>
      <w:r w:rsidRPr="00C271D9">
        <w:rPr>
          <w:lang w:val="es-ES_tradnl"/>
        </w:rPr>
        <w:t>siendo:</w:t>
      </w:r>
    </w:p>
    <w:p w:rsidR="00C271D9" w:rsidRPr="00C271D9" w:rsidRDefault="00C271D9" w:rsidP="00C271D9">
      <w:pPr>
        <w:pStyle w:val="enumlev1"/>
        <w:rPr>
          <w:lang w:val="es-ES_tradnl"/>
        </w:rPr>
      </w:pPr>
      <w:r w:rsidRPr="00C271D9">
        <w:rPr>
          <w:i/>
          <w:iCs/>
          <w:lang w:val="es-ES_tradnl"/>
        </w:rPr>
        <w:tab/>
      </w:r>
      <w:r w:rsidRPr="00C271D9">
        <w:rPr>
          <w:i/>
          <w:iCs/>
          <w:lang w:val="es-ES_tradnl"/>
        </w:rPr>
        <w:tab/>
        <w:t>n</w:t>
      </w:r>
      <w:r w:rsidRPr="00C271D9">
        <w:rPr>
          <w:lang w:val="es-ES_tradnl"/>
        </w:rPr>
        <w:t xml:space="preserve"> </w:t>
      </w:r>
      <w:r w:rsidRPr="005A0384">
        <w:sym w:font="Symbol" w:char="F03D"/>
      </w:r>
      <w:r w:rsidRPr="00C271D9">
        <w:rPr>
          <w:lang w:val="es-ES_tradnl"/>
        </w:rPr>
        <w:t xml:space="preserve"> 1, 2, 3, …, 25</w:t>
      </w:r>
    </w:p>
    <w:p w:rsidR="00C271D9" w:rsidRPr="00C271D9" w:rsidRDefault="00C271D9" w:rsidP="00C271D9">
      <w:pPr>
        <w:tabs>
          <w:tab w:val="left" w:pos="3828"/>
        </w:tabs>
        <w:rPr>
          <w:lang w:val="es-ES_tradnl"/>
        </w:rPr>
      </w:pPr>
      <w:r w:rsidRPr="00C271D9">
        <w:rPr>
          <w:lang w:val="es-ES_tradnl"/>
        </w:rPr>
        <w:t>c)</w:t>
      </w:r>
      <w:r w:rsidRPr="00C271D9">
        <w:rPr>
          <w:lang w:val="es-ES_tradnl"/>
        </w:rPr>
        <w:tab/>
        <w:t>para sistemas con separación de portadoras de 28 MHz:</w:t>
      </w:r>
    </w:p>
    <w:p w:rsidR="00C271D9" w:rsidRPr="00C271D9" w:rsidRDefault="00C271D9" w:rsidP="00C271D9">
      <w:pPr>
        <w:pStyle w:val="enumlev1"/>
        <w:tabs>
          <w:tab w:val="left" w:pos="3686"/>
        </w:tabs>
        <w:spacing w:before="60"/>
        <w:rPr>
          <w:lang w:val="es-ES_tradnl"/>
        </w:rPr>
      </w:pPr>
      <w:r w:rsidRPr="00C271D9">
        <w:rPr>
          <w:lang w:val="es-ES_tradnl"/>
        </w:rPr>
        <w:tab/>
        <w:t xml:space="preserve">mitad inferior de </w:t>
      </w:r>
      <w:r w:rsidRPr="00C271D9">
        <w:rPr>
          <w:szCs w:val="24"/>
          <w:lang w:val="es-ES_tradnl"/>
        </w:rPr>
        <w:t>la</w:t>
      </w:r>
      <w:r w:rsidRPr="00C271D9">
        <w:rPr>
          <w:lang w:val="es-ES_tradnl"/>
        </w:rPr>
        <w:t xml:space="preserve"> banda:</w:t>
      </w:r>
      <w:r w:rsidRPr="00C271D9">
        <w:rPr>
          <w:szCs w:val="24"/>
          <w:lang w:val="es-ES_tradnl"/>
        </w:rPr>
        <w:tab/>
      </w:r>
      <w:r w:rsidRPr="00C271D9">
        <w:rPr>
          <w:i/>
          <w:iCs/>
          <w:lang w:val="es-ES_tradnl"/>
        </w:rPr>
        <w:t>f</w:t>
      </w:r>
      <w:r w:rsidRPr="005A0384">
        <w:rPr>
          <w:i/>
          <w:iCs/>
        </w:rPr>
        <w:fldChar w:fldCharType="begin"/>
      </w:r>
      <w:r w:rsidRPr="00C271D9">
        <w:rPr>
          <w:i/>
          <w:iCs/>
          <w:lang w:val="es-ES_tradnl"/>
        </w:rPr>
        <w:instrText>EQ \s\do2(n)</w:instrText>
      </w:r>
      <w:r w:rsidRPr="005A0384">
        <w:rPr>
          <w:i/>
          <w:iCs/>
        </w:rPr>
        <w:fldChar w:fldCharType="end"/>
      </w:r>
      <w:r w:rsidRPr="00C271D9">
        <w:rPr>
          <w:i/>
          <w:iCs/>
          <w:lang w:val="es-ES_tradnl"/>
        </w:rPr>
        <w:t xml:space="preserve"> </w:t>
      </w:r>
      <w:r w:rsidRPr="00C271D9">
        <w:rPr>
          <w:lang w:val="es-ES_tradnl"/>
        </w:rPr>
        <w:t xml:space="preserve">= </w:t>
      </w:r>
      <w:r w:rsidRPr="00C271D9">
        <w:rPr>
          <w:i/>
          <w:iCs/>
          <w:lang w:val="es-ES_tradnl"/>
        </w:rPr>
        <w:t>fo</w:t>
      </w:r>
      <w:r w:rsidRPr="00C271D9">
        <w:rPr>
          <w:lang w:val="es-ES_tradnl"/>
        </w:rPr>
        <w:t xml:space="preserve"> – 1 464 + 28 </w:t>
      </w:r>
      <w:r w:rsidRPr="00C271D9">
        <w:rPr>
          <w:i/>
          <w:iCs/>
          <w:lang w:val="es-ES_tradnl"/>
        </w:rPr>
        <w:t>n</w:t>
      </w:r>
      <w:r w:rsidRPr="00C271D9">
        <w:rPr>
          <w:lang w:val="es-ES_tradnl"/>
        </w:rPr>
        <w:tab/>
        <w:t>MHz</w:t>
      </w:r>
    </w:p>
    <w:p w:rsidR="00C271D9" w:rsidRPr="00C271D9" w:rsidRDefault="00C271D9" w:rsidP="00C271D9">
      <w:pPr>
        <w:pStyle w:val="enumlev1"/>
        <w:tabs>
          <w:tab w:val="left" w:pos="3686"/>
        </w:tabs>
        <w:spacing w:before="60"/>
        <w:rPr>
          <w:lang w:val="es-ES_tradnl"/>
        </w:rPr>
      </w:pPr>
      <w:r w:rsidRPr="00C271D9">
        <w:rPr>
          <w:lang w:val="es-ES_tradnl"/>
        </w:rPr>
        <w:tab/>
        <w:t xml:space="preserve">mitad superior </w:t>
      </w:r>
      <w:r w:rsidRPr="00C271D9">
        <w:rPr>
          <w:szCs w:val="24"/>
          <w:lang w:val="es-ES_tradnl"/>
        </w:rPr>
        <w:t>de</w:t>
      </w:r>
      <w:r w:rsidRPr="00C271D9">
        <w:rPr>
          <w:lang w:val="es-ES_tradnl"/>
        </w:rPr>
        <w:t xml:space="preserve"> la banda:</w:t>
      </w:r>
      <w:r w:rsidRPr="00C271D9">
        <w:rPr>
          <w:szCs w:val="24"/>
          <w:lang w:val="es-ES_tradnl"/>
        </w:rPr>
        <w:tab/>
      </w:r>
      <w:r w:rsidRPr="00C271D9">
        <w:rPr>
          <w:i/>
          <w:iCs/>
          <w:lang w:val="es-ES_tradnl"/>
        </w:rPr>
        <w:t>f′n</w:t>
      </w:r>
      <w:r w:rsidRPr="00C271D9">
        <w:rPr>
          <w:lang w:val="es-ES_tradnl"/>
        </w:rPr>
        <w:t xml:space="preserve"> = </w:t>
      </w:r>
      <w:r w:rsidRPr="00C271D9">
        <w:rPr>
          <w:i/>
          <w:iCs/>
          <w:lang w:val="es-ES_tradnl"/>
        </w:rPr>
        <w:t>fo</w:t>
      </w:r>
      <w:r w:rsidRPr="00C271D9">
        <w:rPr>
          <w:lang w:val="es-ES_tradnl"/>
        </w:rPr>
        <w:t xml:space="preserve"> + 36 + 28 </w:t>
      </w:r>
      <w:r w:rsidRPr="00C271D9">
        <w:rPr>
          <w:i/>
          <w:iCs/>
          <w:lang w:val="es-ES_tradnl"/>
        </w:rPr>
        <w:t>n</w:t>
      </w:r>
      <w:r w:rsidR="008301D4">
        <w:rPr>
          <w:lang w:val="es-ES_tradnl"/>
        </w:rPr>
        <w:tab/>
      </w:r>
      <w:r w:rsidR="008301D4">
        <w:rPr>
          <w:lang w:val="es-ES_tradnl"/>
        </w:rPr>
        <w:tab/>
        <w:t>MHz</w:t>
      </w:r>
    </w:p>
    <w:p w:rsidR="00C271D9" w:rsidRPr="00C271D9" w:rsidRDefault="00C271D9" w:rsidP="00C271D9">
      <w:pPr>
        <w:pStyle w:val="enumlev2"/>
        <w:rPr>
          <w:lang w:val="es-ES_tradnl"/>
        </w:rPr>
      </w:pPr>
      <w:r w:rsidRPr="00C271D9">
        <w:rPr>
          <w:lang w:val="es-ES_tradnl"/>
        </w:rPr>
        <w:t>siendo:</w:t>
      </w:r>
    </w:p>
    <w:p w:rsidR="00C271D9" w:rsidRPr="00C271D9" w:rsidRDefault="00C271D9" w:rsidP="00C271D9">
      <w:pPr>
        <w:pStyle w:val="enumlev1"/>
        <w:tabs>
          <w:tab w:val="left" w:pos="3724"/>
        </w:tabs>
        <w:rPr>
          <w:szCs w:val="24"/>
          <w:lang w:val="es-ES_tradnl"/>
        </w:rPr>
      </w:pPr>
      <w:r w:rsidRPr="00C271D9">
        <w:rPr>
          <w:szCs w:val="24"/>
          <w:lang w:val="es-ES_tradnl"/>
        </w:rPr>
        <w:tab/>
      </w:r>
      <w:r w:rsidRPr="00C271D9">
        <w:rPr>
          <w:szCs w:val="24"/>
          <w:lang w:val="es-ES_tradnl"/>
        </w:rPr>
        <w:tab/>
      </w:r>
      <w:r w:rsidRPr="00C271D9">
        <w:rPr>
          <w:i/>
          <w:iCs/>
          <w:szCs w:val="24"/>
          <w:lang w:val="es-ES_tradnl"/>
        </w:rPr>
        <w:t>n</w:t>
      </w:r>
      <w:r w:rsidRPr="00C271D9">
        <w:rPr>
          <w:szCs w:val="24"/>
          <w:lang w:val="es-ES_tradnl"/>
        </w:rPr>
        <w:t xml:space="preserve"> </w:t>
      </w:r>
      <w:r w:rsidRPr="005A0384">
        <w:rPr>
          <w:szCs w:val="24"/>
        </w:rPr>
        <w:sym w:font="Symbol" w:char="F03D"/>
      </w:r>
      <w:r w:rsidRPr="00C271D9">
        <w:rPr>
          <w:szCs w:val="24"/>
          <w:lang w:val="es-ES_tradnl"/>
        </w:rPr>
        <w:t xml:space="preserve"> 1, 2, 3, …, 50</w:t>
      </w:r>
    </w:p>
    <w:p w:rsidR="00C271D9" w:rsidRPr="00C271D9" w:rsidRDefault="00C271D9" w:rsidP="00C271D9">
      <w:pPr>
        <w:pStyle w:val="enumlev1"/>
        <w:tabs>
          <w:tab w:val="left" w:pos="3724"/>
        </w:tabs>
        <w:rPr>
          <w:lang w:val="es-ES_tradnl"/>
        </w:rPr>
      </w:pPr>
      <w:r w:rsidRPr="00C271D9">
        <w:rPr>
          <w:lang w:val="es-ES_tradnl"/>
        </w:rPr>
        <w:tab/>
        <w:t xml:space="preserve">Además, con el acuerdo de la administración correspondiente puede considerarse la utilización de canal con índice </w:t>
      </w:r>
      <w:r w:rsidRPr="00C271D9">
        <w:rPr>
          <w:i/>
          <w:iCs/>
          <w:lang w:val="es-ES_tradnl"/>
        </w:rPr>
        <w:t>n</w:t>
      </w:r>
      <w:r w:rsidRPr="00C271D9">
        <w:rPr>
          <w:lang w:val="es-ES_tradnl"/>
        </w:rPr>
        <w:t xml:space="preserve"> = 0;</w:t>
      </w:r>
    </w:p>
    <w:p w:rsidR="00C271D9" w:rsidRPr="00C271D9" w:rsidRDefault="00C271D9" w:rsidP="00C271D9">
      <w:pPr>
        <w:tabs>
          <w:tab w:val="left" w:pos="3828"/>
        </w:tabs>
        <w:rPr>
          <w:lang w:val="es-ES_tradnl"/>
        </w:rPr>
      </w:pPr>
      <w:r w:rsidRPr="00C271D9">
        <w:rPr>
          <w:lang w:val="es-ES_tradnl"/>
        </w:rPr>
        <w:t>d)</w:t>
      </w:r>
      <w:r w:rsidRPr="00C271D9">
        <w:rPr>
          <w:lang w:val="es-ES_tradnl"/>
        </w:rPr>
        <w:tab/>
        <w:t>para sistemas con separación de portadoras de 14 MHz:</w:t>
      </w:r>
    </w:p>
    <w:p w:rsidR="00C271D9" w:rsidRPr="00C271D9" w:rsidRDefault="00C271D9" w:rsidP="00C271D9">
      <w:pPr>
        <w:pStyle w:val="enumlev1"/>
        <w:tabs>
          <w:tab w:val="left" w:pos="3686"/>
        </w:tabs>
        <w:spacing w:before="60"/>
        <w:rPr>
          <w:lang w:val="es-ES_tradnl"/>
        </w:rPr>
      </w:pPr>
      <w:r w:rsidRPr="00C271D9">
        <w:rPr>
          <w:lang w:val="es-ES_tradnl"/>
        </w:rPr>
        <w:tab/>
        <w:t>mitad inferior de la banda</w:t>
      </w:r>
      <w:r w:rsidRPr="00C271D9">
        <w:rPr>
          <w:szCs w:val="24"/>
          <w:lang w:val="es-ES_tradnl"/>
        </w:rPr>
        <w:tab/>
      </w:r>
      <w:r w:rsidRPr="00C271D9">
        <w:rPr>
          <w:i/>
          <w:iCs/>
          <w:lang w:val="es-ES_tradnl"/>
        </w:rPr>
        <w:t>f</w:t>
      </w:r>
      <w:r w:rsidRPr="005A0384">
        <w:rPr>
          <w:i/>
          <w:iCs/>
        </w:rPr>
        <w:fldChar w:fldCharType="begin"/>
      </w:r>
      <w:r w:rsidRPr="00C271D9">
        <w:rPr>
          <w:i/>
          <w:iCs/>
          <w:lang w:val="es-ES_tradnl"/>
        </w:rPr>
        <w:instrText>EQ \s\do2(n)</w:instrText>
      </w:r>
      <w:r w:rsidRPr="005A0384">
        <w:rPr>
          <w:i/>
          <w:iCs/>
        </w:rPr>
        <w:fldChar w:fldCharType="end"/>
      </w:r>
      <w:r w:rsidRPr="00C271D9">
        <w:rPr>
          <w:i/>
          <w:iCs/>
          <w:lang w:val="es-ES_tradnl"/>
        </w:rPr>
        <w:t xml:space="preserve"> </w:t>
      </w:r>
      <w:r w:rsidRPr="00C271D9">
        <w:rPr>
          <w:lang w:val="es-ES_tradnl"/>
        </w:rPr>
        <w:t xml:space="preserve">= </w:t>
      </w:r>
      <w:r w:rsidRPr="00C271D9">
        <w:rPr>
          <w:i/>
          <w:iCs/>
          <w:lang w:val="es-ES_tradnl"/>
        </w:rPr>
        <w:t>fo</w:t>
      </w:r>
      <w:r w:rsidRPr="00C271D9">
        <w:rPr>
          <w:lang w:val="es-ES_tradnl"/>
        </w:rPr>
        <w:t xml:space="preserve"> – 1 457 + 14 </w:t>
      </w:r>
      <w:r w:rsidRPr="00C271D9">
        <w:rPr>
          <w:i/>
          <w:iCs/>
          <w:lang w:val="es-ES_tradnl"/>
        </w:rPr>
        <w:t>n</w:t>
      </w:r>
      <w:r w:rsidRPr="00C271D9">
        <w:rPr>
          <w:lang w:val="es-ES_tradnl"/>
        </w:rPr>
        <w:tab/>
        <w:t>MHz</w:t>
      </w:r>
    </w:p>
    <w:p w:rsidR="00C271D9" w:rsidRPr="00C271D9" w:rsidRDefault="00C271D9" w:rsidP="00C271D9">
      <w:pPr>
        <w:pStyle w:val="enumlev1"/>
        <w:tabs>
          <w:tab w:val="left" w:pos="3686"/>
        </w:tabs>
        <w:spacing w:before="60"/>
        <w:rPr>
          <w:szCs w:val="24"/>
          <w:lang w:val="es-ES_tradnl"/>
        </w:rPr>
      </w:pPr>
      <w:r w:rsidRPr="00C271D9">
        <w:rPr>
          <w:lang w:val="es-ES_tradnl"/>
        </w:rPr>
        <w:tab/>
        <w:t>mitad superior de la banda:</w:t>
      </w:r>
      <w:r w:rsidRPr="00C271D9">
        <w:rPr>
          <w:szCs w:val="24"/>
          <w:lang w:val="es-ES_tradnl"/>
        </w:rPr>
        <w:tab/>
      </w:r>
      <w:r w:rsidRPr="00C271D9">
        <w:rPr>
          <w:i/>
          <w:iCs/>
          <w:lang w:val="es-ES_tradnl"/>
        </w:rPr>
        <w:t>f′n</w:t>
      </w:r>
      <w:r w:rsidRPr="00C271D9">
        <w:rPr>
          <w:lang w:val="es-ES_tradnl"/>
        </w:rPr>
        <w:t xml:space="preserve"> = </w:t>
      </w:r>
      <w:r w:rsidRPr="00C271D9">
        <w:rPr>
          <w:i/>
          <w:iCs/>
          <w:lang w:val="es-ES_tradnl"/>
        </w:rPr>
        <w:t xml:space="preserve">fo </w:t>
      </w:r>
      <w:r w:rsidRPr="00C271D9">
        <w:rPr>
          <w:lang w:val="es-ES_tradnl"/>
        </w:rPr>
        <w:t xml:space="preserve">+ 43 + 14 </w:t>
      </w:r>
      <w:r w:rsidRPr="00C271D9">
        <w:rPr>
          <w:i/>
          <w:iCs/>
          <w:lang w:val="es-ES_tradnl"/>
        </w:rPr>
        <w:t>n</w:t>
      </w:r>
      <w:r w:rsidRPr="00C271D9">
        <w:rPr>
          <w:lang w:val="es-ES_tradnl"/>
        </w:rPr>
        <w:tab/>
      </w:r>
      <w:r w:rsidR="008301D4">
        <w:rPr>
          <w:lang w:val="es-ES_tradnl"/>
        </w:rPr>
        <w:tab/>
      </w:r>
      <w:r w:rsidRPr="00C271D9">
        <w:rPr>
          <w:lang w:val="es-ES_tradnl"/>
        </w:rPr>
        <w:t>MHz</w:t>
      </w:r>
    </w:p>
    <w:p w:rsidR="00C271D9" w:rsidRPr="00C271D9" w:rsidRDefault="00C271D9" w:rsidP="00C271D9">
      <w:pPr>
        <w:pStyle w:val="enumlev2"/>
        <w:rPr>
          <w:lang w:val="es-ES_tradnl"/>
        </w:rPr>
      </w:pPr>
      <w:r w:rsidRPr="00C271D9">
        <w:rPr>
          <w:lang w:val="es-ES_tradnl"/>
        </w:rPr>
        <w:t>siendo:</w:t>
      </w:r>
    </w:p>
    <w:p w:rsidR="00C271D9" w:rsidRPr="00C271D9" w:rsidRDefault="00C271D9" w:rsidP="00C271D9">
      <w:pPr>
        <w:pStyle w:val="enumlev1"/>
        <w:tabs>
          <w:tab w:val="left" w:pos="3724"/>
        </w:tabs>
        <w:rPr>
          <w:szCs w:val="24"/>
          <w:lang w:val="es-ES_tradnl"/>
        </w:rPr>
      </w:pPr>
      <w:r w:rsidRPr="00C271D9">
        <w:rPr>
          <w:szCs w:val="24"/>
          <w:lang w:val="es-ES_tradnl"/>
        </w:rPr>
        <w:tab/>
      </w:r>
      <w:r w:rsidRPr="00C271D9">
        <w:rPr>
          <w:szCs w:val="24"/>
          <w:lang w:val="es-ES_tradnl"/>
        </w:rPr>
        <w:tab/>
      </w:r>
      <w:r w:rsidRPr="00C271D9">
        <w:rPr>
          <w:i/>
          <w:iCs/>
          <w:szCs w:val="24"/>
          <w:lang w:val="es-ES_tradnl"/>
        </w:rPr>
        <w:t>n</w:t>
      </w:r>
      <w:r w:rsidRPr="00C271D9">
        <w:rPr>
          <w:szCs w:val="24"/>
          <w:lang w:val="es-ES_tradnl"/>
        </w:rPr>
        <w:t xml:space="preserve"> </w:t>
      </w:r>
      <w:r w:rsidRPr="005A0384">
        <w:rPr>
          <w:szCs w:val="24"/>
        </w:rPr>
        <w:sym w:font="Symbol" w:char="F03D"/>
      </w:r>
      <w:r w:rsidRPr="00C271D9">
        <w:rPr>
          <w:szCs w:val="24"/>
          <w:lang w:val="es-ES_tradnl"/>
        </w:rPr>
        <w:t xml:space="preserve"> 1, 2, 3, …, 101</w:t>
      </w:r>
    </w:p>
    <w:p w:rsidR="00C271D9" w:rsidRPr="00C271D9" w:rsidRDefault="00C271D9" w:rsidP="00C271D9">
      <w:pPr>
        <w:pStyle w:val="enumlev1"/>
        <w:tabs>
          <w:tab w:val="left" w:pos="3724"/>
        </w:tabs>
        <w:rPr>
          <w:lang w:val="es-ES_tradnl"/>
        </w:rPr>
      </w:pPr>
      <w:r w:rsidRPr="00C271D9">
        <w:rPr>
          <w:lang w:val="es-ES_tradnl"/>
        </w:rPr>
        <w:tab/>
        <w:t xml:space="preserve">Además, con el acuerdo de la administración correspondiente puede considerarse la utilización de canal con índice </w:t>
      </w:r>
      <w:r w:rsidRPr="00C271D9">
        <w:rPr>
          <w:i/>
          <w:iCs/>
          <w:lang w:val="es-ES_tradnl"/>
        </w:rPr>
        <w:t>n</w:t>
      </w:r>
      <w:r w:rsidRPr="00C271D9">
        <w:rPr>
          <w:lang w:val="es-ES_tradnl"/>
        </w:rPr>
        <w:t xml:space="preserve"> = </w:t>
      </w:r>
      <w:r w:rsidRPr="00C271D9">
        <w:rPr>
          <w:szCs w:val="24"/>
          <w:lang w:val="es-ES_tradnl"/>
        </w:rPr>
        <w:t>−</w:t>
      </w:r>
      <w:r w:rsidRPr="00C271D9">
        <w:rPr>
          <w:lang w:val="es-ES_tradnl"/>
        </w:rPr>
        <w:t>1 y 0;</w:t>
      </w:r>
    </w:p>
    <w:p w:rsidR="00C271D9" w:rsidRPr="00C271D9" w:rsidRDefault="00C271D9" w:rsidP="00C271D9">
      <w:pPr>
        <w:keepNext/>
        <w:keepLines/>
        <w:tabs>
          <w:tab w:val="left" w:pos="3828"/>
        </w:tabs>
        <w:rPr>
          <w:lang w:val="es-ES_tradnl"/>
        </w:rPr>
      </w:pPr>
      <w:r w:rsidRPr="00C271D9">
        <w:rPr>
          <w:lang w:val="es-ES_tradnl"/>
        </w:rPr>
        <w:lastRenderedPageBreak/>
        <w:t>e)</w:t>
      </w:r>
      <w:r w:rsidRPr="00C271D9">
        <w:rPr>
          <w:lang w:val="es-ES_tradnl"/>
        </w:rPr>
        <w:tab/>
        <w:t>para sistemas con separación de portadoras de 7 MHz:</w:t>
      </w:r>
    </w:p>
    <w:p w:rsidR="00C271D9" w:rsidRPr="00C271D9" w:rsidRDefault="00C271D9" w:rsidP="00C271D9">
      <w:pPr>
        <w:pStyle w:val="enumlev1"/>
        <w:keepNext/>
        <w:keepLines/>
        <w:tabs>
          <w:tab w:val="left" w:pos="3686"/>
        </w:tabs>
        <w:rPr>
          <w:lang w:val="es-ES_tradnl"/>
        </w:rPr>
      </w:pPr>
      <w:r w:rsidRPr="00C271D9">
        <w:rPr>
          <w:lang w:val="es-ES_tradnl"/>
        </w:rPr>
        <w:tab/>
        <w:t>mitad inferior de la banda:</w:t>
      </w:r>
      <w:r w:rsidRPr="00C271D9">
        <w:rPr>
          <w:szCs w:val="24"/>
          <w:lang w:val="es-ES_tradnl"/>
        </w:rPr>
        <w:tab/>
      </w:r>
      <w:r w:rsidRPr="00C271D9">
        <w:rPr>
          <w:i/>
          <w:iCs/>
          <w:lang w:val="es-ES_tradnl"/>
        </w:rPr>
        <w:t>f</w:t>
      </w:r>
      <w:r w:rsidRPr="005A0384">
        <w:rPr>
          <w:i/>
          <w:iCs/>
        </w:rPr>
        <w:fldChar w:fldCharType="begin"/>
      </w:r>
      <w:r w:rsidRPr="00C271D9">
        <w:rPr>
          <w:i/>
          <w:iCs/>
          <w:lang w:val="es-ES_tradnl"/>
        </w:rPr>
        <w:instrText>EQ \s\do2(n)</w:instrText>
      </w:r>
      <w:r w:rsidRPr="005A0384">
        <w:rPr>
          <w:i/>
          <w:iCs/>
        </w:rPr>
        <w:fldChar w:fldCharType="end"/>
      </w:r>
      <w:r w:rsidRPr="00C271D9">
        <w:rPr>
          <w:lang w:val="es-ES_tradnl"/>
        </w:rPr>
        <w:t xml:space="preserve"> = </w:t>
      </w:r>
      <w:r w:rsidRPr="00C271D9">
        <w:rPr>
          <w:i/>
          <w:iCs/>
          <w:lang w:val="es-ES_tradnl"/>
        </w:rPr>
        <w:t>fo</w:t>
      </w:r>
      <w:r w:rsidRPr="00C271D9">
        <w:rPr>
          <w:lang w:val="es-ES_tradnl"/>
        </w:rPr>
        <w:t xml:space="preserve"> – 1 453.5 + 7 </w:t>
      </w:r>
      <w:r w:rsidRPr="00C271D9">
        <w:rPr>
          <w:i/>
          <w:iCs/>
          <w:lang w:val="es-ES_tradnl"/>
        </w:rPr>
        <w:t>n</w:t>
      </w:r>
      <w:r w:rsidRPr="00C271D9">
        <w:rPr>
          <w:i/>
          <w:iCs/>
          <w:lang w:val="es-ES_tradnl"/>
        </w:rPr>
        <w:tab/>
      </w:r>
      <w:r w:rsidRPr="00C271D9">
        <w:rPr>
          <w:lang w:val="es-ES_tradnl"/>
        </w:rPr>
        <w:t>MHz</w:t>
      </w:r>
    </w:p>
    <w:p w:rsidR="00C271D9" w:rsidRPr="00C271D9" w:rsidRDefault="00C271D9" w:rsidP="00C271D9">
      <w:pPr>
        <w:pStyle w:val="enumlev1"/>
        <w:tabs>
          <w:tab w:val="left" w:pos="3686"/>
        </w:tabs>
        <w:rPr>
          <w:szCs w:val="24"/>
          <w:lang w:val="es-ES_tradnl"/>
        </w:rPr>
      </w:pPr>
      <w:r w:rsidRPr="00C271D9">
        <w:rPr>
          <w:lang w:val="es-ES_tradnl"/>
        </w:rPr>
        <w:tab/>
        <w:t>mitad superior de la banda:</w:t>
      </w:r>
      <w:r w:rsidRPr="00C271D9">
        <w:rPr>
          <w:szCs w:val="24"/>
          <w:lang w:val="es-ES_tradnl"/>
        </w:rPr>
        <w:tab/>
      </w:r>
      <w:r w:rsidRPr="00C271D9">
        <w:rPr>
          <w:i/>
          <w:iCs/>
          <w:lang w:val="es-ES_tradnl"/>
        </w:rPr>
        <w:t>f′n</w:t>
      </w:r>
      <w:r w:rsidRPr="00C271D9">
        <w:rPr>
          <w:lang w:val="es-ES_tradnl"/>
        </w:rPr>
        <w:t xml:space="preserve"> = </w:t>
      </w:r>
      <w:r w:rsidRPr="00C271D9">
        <w:rPr>
          <w:i/>
          <w:iCs/>
          <w:lang w:val="es-ES_tradnl"/>
        </w:rPr>
        <w:t>fo+</w:t>
      </w:r>
      <w:r w:rsidRPr="00C271D9">
        <w:rPr>
          <w:lang w:val="es-ES_tradnl"/>
        </w:rPr>
        <w:t xml:space="preserve"> 46.5 + 7 </w:t>
      </w:r>
      <w:r w:rsidRPr="00C271D9">
        <w:rPr>
          <w:i/>
          <w:iCs/>
          <w:lang w:val="es-ES_tradnl"/>
        </w:rPr>
        <w:t>n</w:t>
      </w:r>
      <w:r w:rsidRPr="00C271D9">
        <w:rPr>
          <w:lang w:val="es-ES_tradnl"/>
        </w:rPr>
        <w:tab/>
      </w:r>
      <w:r w:rsidR="008301D4">
        <w:rPr>
          <w:lang w:val="es-ES_tradnl"/>
        </w:rPr>
        <w:tab/>
      </w:r>
      <w:r w:rsidRPr="00C271D9">
        <w:rPr>
          <w:lang w:val="es-ES_tradnl"/>
        </w:rPr>
        <w:t>MHz</w:t>
      </w:r>
    </w:p>
    <w:p w:rsidR="00C271D9" w:rsidRPr="00C271D9" w:rsidRDefault="00C271D9" w:rsidP="00C271D9">
      <w:pPr>
        <w:pStyle w:val="enumlev2"/>
        <w:rPr>
          <w:lang w:val="es-ES_tradnl"/>
        </w:rPr>
      </w:pPr>
      <w:r w:rsidRPr="00C271D9">
        <w:rPr>
          <w:lang w:val="es-ES_tradnl"/>
        </w:rPr>
        <w:t>siendo:</w:t>
      </w:r>
    </w:p>
    <w:p w:rsidR="00C271D9" w:rsidRPr="00C271D9" w:rsidRDefault="00C271D9" w:rsidP="00C271D9">
      <w:pPr>
        <w:pStyle w:val="enumlev1"/>
        <w:tabs>
          <w:tab w:val="left" w:pos="3724"/>
        </w:tabs>
        <w:rPr>
          <w:lang w:val="es-ES_tradnl"/>
        </w:rPr>
      </w:pPr>
      <w:r w:rsidRPr="00C271D9">
        <w:rPr>
          <w:szCs w:val="24"/>
          <w:lang w:val="es-ES_tradnl"/>
        </w:rPr>
        <w:tab/>
      </w:r>
      <w:r w:rsidRPr="00C271D9">
        <w:rPr>
          <w:szCs w:val="24"/>
          <w:lang w:val="es-ES_tradnl"/>
        </w:rPr>
        <w:tab/>
      </w:r>
      <w:r w:rsidRPr="00C271D9">
        <w:rPr>
          <w:i/>
          <w:iCs/>
          <w:lang w:val="es-ES_tradnl"/>
        </w:rPr>
        <w:t>n</w:t>
      </w:r>
      <w:r w:rsidRPr="00C271D9">
        <w:rPr>
          <w:lang w:val="es-ES_tradnl"/>
        </w:rPr>
        <w:t xml:space="preserve"> = 1, 2, 3, ..., 202</w:t>
      </w:r>
    </w:p>
    <w:p w:rsidR="00C271D9" w:rsidRPr="00C271D9" w:rsidRDefault="00C271D9" w:rsidP="00C271D9">
      <w:pPr>
        <w:pStyle w:val="enumlev1"/>
        <w:tabs>
          <w:tab w:val="left" w:pos="3724"/>
        </w:tabs>
        <w:rPr>
          <w:lang w:val="es-ES_tradnl"/>
        </w:rPr>
      </w:pPr>
      <w:r w:rsidRPr="00C271D9">
        <w:rPr>
          <w:lang w:val="es-ES_tradnl"/>
        </w:rPr>
        <w:tab/>
        <w:t xml:space="preserve">además, con el acuerdo de la administración correspondiente puede considerarse la utilización de canal con índice </w:t>
      </w:r>
      <w:r w:rsidRPr="00C271D9">
        <w:rPr>
          <w:i/>
          <w:iCs/>
          <w:lang w:val="es-ES_tradnl"/>
        </w:rPr>
        <w:t>n</w:t>
      </w:r>
      <w:r w:rsidRPr="00C271D9">
        <w:rPr>
          <w:lang w:val="es-ES_tradnl"/>
        </w:rPr>
        <w:t xml:space="preserve"> = </w:t>
      </w:r>
      <w:r w:rsidRPr="00C271D9">
        <w:rPr>
          <w:szCs w:val="24"/>
          <w:lang w:val="es-ES_tradnl"/>
        </w:rPr>
        <w:t>−</w:t>
      </w:r>
      <w:r w:rsidRPr="00C271D9">
        <w:rPr>
          <w:lang w:val="es-ES_tradnl"/>
        </w:rPr>
        <w:t xml:space="preserve">3, </w:t>
      </w:r>
      <w:r w:rsidRPr="00C271D9">
        <w:rPr>
          <w:szCs w:val="24"/>
          <w:lang w:val="es-ES_tradnl"/>
        </w:rPr>
        <w:t>−</w:t>
      </w:r>
      <w:r w:rsidRPr="00C271D9">
        <w:rPr>
          <w:lang w:val="es-ES_tradnl"/>
        </w:rPr>
        <w:t xml:space="preserve">2, </w:t>
      </w:r>
      <w:r w:rsidRPr="00C271D9">
        <w:rPr>
          <w:szCs w:val="24"/>
          <w:lang w:val="es-ES_tradnl"/>
        </w:rPr>
        <w:t>−</w:t>
      </w:r>
      <w:r w:rsidRPr="00C271D9">
        <w:rPr>
          <w:lang w:val="es-ES_tradnl"/>
        </w:rPr>
        <w:t>1 y 0.</w:t>
      </w:r>
    </w:p>
    <w:p w:rsidR="00C271D9" w:rsidRPr="00C271D9" w:rsidRDefault="00C271D9" w:rsidP="00C271D9">
      <w:pPr>
        <w:pStyle w:val="TableNo"/>
        <w:rPr>
          <w:lang w:val="es-ES_tradnl"/>
        </w:rPr>
      </w:pPr>
      <w:r w:rsidRPr="00C271D9">
        <w:rPr>
          <w:lang w:val="es-ES_tradnl"/>
        </w:rPr>
        <w:t>CUADRO 1</w:t>
      </w:r>
    </w:p>
    <w:p w:rsidR="00C271D9" w:rsidRPr="00C271D9" w:rsidRDefault="00C271D9" w:rsidP="00C271D9">
      <w:pPr>
        <w:pStyle w:val="Tabletitle"/>
        <w:rPr>
          <w:lang w:val="es-ES_tradnl"/>
        </w:rPr>
      </w:pPr>
      <w:r w:rsidRPr="00C271D9">
        <w:rPr>
          <w:lang w:val="es-ES_tradnl"/>
        </w:rPr>
        <w:t>Parámetros calculados conforme a la Recomendación UIT-R F.746</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39"/>
        <w:gridCol w:w="977"/>
        <w:gridCol w:w="1117"/>
        <w:gridCol w:w="1117"/>
        <w:gridCol w:w="1117"/>
        <w:gridCol w:w="1117"/>
        <w:gridCol w:w="839"/>
        <w:gridCol w:w="815"/>
        <w:gridCol w:w="851"/>
        <w:gridCol w:w="850"/>
      </w:tblGrid>
      <w:tr w:rsidR="00C271D9" w:rsidRPr="005A0384" w:rsidTr="004D6AA2">
        <w:trPr>
          <w:trHeight w:val="20"/>
          <w:jc w:val="center"/>
        </w:trPr>
        <w:tc>
          <w:tcPr>
            <w:tcW w:w="846" w:type="dxa"/>
            <w:tcMar>
              <w:left w:w="96" w:type="dxa"/>
              <w:right w:w="96" w:type="dxa"/>
            </w:tcMar>
            <w:vAlign w:val="center"/>
          </w:tcPr>
          <w:p w:rsidR="00C271D9" w:rsidRPr="005A0384" w:rsidRDefault="00C271D9" w:rsidP="001B3628">
            <w:pPr>
              <w:pStyle w:val="Tablehead"/>
              <w:ind w:left="-57" w:right="-57"/>
            </w:pPr>
            <w:r w:rsidRPr="005A0384">
              <w:rPr>
                <w:i/>
                <w:iCs/>
              </w:rPr>
              <w:t>XS</w:t>
            </w:r>
            <w:r w:rsidRPr="005A0384">
              <w:br/>
              <w:t>(MHz)</w:t>
            </w:r>
          </w:p>
        </w:tc>
        <w:tc>
          <w:tcPr>
            <w:tcW w:w="986" w:type="dxa"/>
            <w:tcMar>
              <w:left w:w="96" w:type="dxa"/>
              <w:right w:w="96" w:type="dxa"/>
            </w:tcMar>
            <w:vAlign w:val="center"/>
          </w:tcPr>
          <w:p w:rsidR="00C271D9" w:rsidRPr="005A0384" w:rsidRDefault="00C271D9" w:rsidP="001B3628">
            <w:pPr>
              <w:pStyle w:val="Tablehead"/>
            </w:pPr>
            <w:r w:rsidRPr="005A0384">
              <w:rPr>
                <w:i/>
                <w:iCs/>
              </w:rPr>
              <w:t>n</w:t>
            </w:r>
          </w:p>
        </w:tc>
        <w:tc>
          <w:tcPr>
            <w:tcW w:w="1128" w:type="dxa"/>
            <w:tcMar>
              <w:left w:w="96" w:type="dxa"/>
              <w:right w:w="96" w:type="dxa"/>
            </w:tcMar>
            <w:vAlign w:val="center"/>
          </w:tcPr>
          <w:p w:rsidR="00C271D9" w:rsidRPr="005A0384" w:rsidRDefault="00C271D9" w:rsidP="001B3628">
            <w:pPr>
              <w:pStyle w:val="Tablehead"/>
            </w:pPr>
            <w:r w:rsidRPr="005A0384">
              <w:rPr>
                <w:i/>
                <w:iCs/>
              </w:rPr>
              <w:t>f</w:t>
            </w:r>
            <w:r w:rsidRPr="005A0384">
              <w:rPr>
                <w:position w:val="-4"/>
                <w:sz w:val="18"/>
              </w:rPr>
              <w:t>1</w:t>
            </w:r>
            <w:r w:rsidRPr="005A0384">
              <w:br/>
              <w:t>(MHz)</w:t>
            </w:r>
          </w:p>
        </w:tc>
        <w:tc>
          <w:tcPr>
            <w:tcW w:w="1128" w:type="dxa"/>
            <w:tcMar>
              <w:left w:w="96" w:type="dxa"/>
              <w:right w:w="96" w:type="dxa"/>
            </w:tcMar>
            <w:vAlign w:val="center"/>
          </w:tcPr>
          <w:p w:rsidR="00C271D9" w:rsidRPr="005A0384" w:rsidRDefault="00C271D9" w:rsidP="001B3628">
            <w:pPr>
              <w:pStyle w:val="Tablehead"/>
            </w:pPr>
            <w:r w:rsidRPr="005A0384">
              <w:rPr>
                <w:i/>
                <w:iCs/>
              </w:rPr>
              <w:t>f</w:t>
            </w:r>
            <w:r w:rsidRPr="005A0384">
              <w:rPr>
                <w:i/>
                <w:iCs/>
                <w:position w:val="-4"/>
                <w:sz w:val="18"/>
              </w:rPr>
              <w:t>n</w:t>
            </w:r>
            <w:r w:rsidRPr="005A0384">
              <w:br/>
              <w:t>(MHz)</w:t>
            </w:r>
          </w:p>
        </w:tc>
        <w:tc>
          <w:tcPr>
            <w:tcW w:w="1128" w:type="dxa"/>
            <w:tcMar>
              <w:left w:w="96" w:type="dxa"/>
              <w:right w:w="96" w:type="dxa"/>
            </w:tcMar>
            <w:vAlign w:val="center"/>
          </w:tcPr>
          <w:p w:rsidR="00C271D9" w:rsidRPr="005A0384" w:rsidRDefault="00C271D9" w:rsidP="001B3628">
            <w:pPr>
              <w:pStyle w:val="Tablehead"/>
              <w:spacing w:line="270" w:lineRule="exact"/>
            </w:pPr>
            <w:r w:rsidRPr="005A0384">
              <w:rPr>
                <w:position w:val="-14"/>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9pt" o:ole="">
                  <v:imagedata r:id="rId12" o:title=""/>
                </v:shape>
                <o:OLEObject Type="Embed" ProgID="Equation.3" ShapeID="_x0000_i1025" DrawAspect="Content" ObjectID="_1474371204" r:id="rId13"/>
              </w:object>
            </w:r>
            <w:r w:rsidRPr="005A0384">
              <w:br/>
              <w:t>(MHz)</w:t>
            </w:r>
          </w:p>
        </w:tc>
        <w:tc>
          <w:tcPr>
            <w:tcW w:w="1128" w:type="dxa"/>
            <w:tcMar>
              <w:left w:w="96" w:type="dxa"/>
              <w:right w:w="96" w:type="dxa"/>
            </w:tcMar>
            <w:vAlign w:val="center"/>
          </w:tcPr>
          <w:p w:rsidR="00C271D9" w:rsidRPr="005A0384" w:rsidRDefault="00C271D9" w:rsidP="001B3628">
            <w:pPr>
              <w:pStyle w:val="Tablehead"/>
              <w:spacing w:line="270" w:lineRule="exact"/>
            </w:pPr>
            <w:r w:rsidRPr="005A0384">
              <w:rPr>
                <w:position w:val="-14"/>
              </w:rPr>
              <w:object w:dxaOrig="320" w:dyaOrig="380">
                <v:shape id="_x0000_i1026" type="#_x0000_t75" style="width:16.3pt;height:19pt" o:ole="">
                  <v:imagedata r:id="rId14" o:title=""/>
                </v:shape>
                <o:OLEObject Type="Embed" ProgID="Equation.3" ShapeID="_x0000_i1026" DrawAspect="Content" ObjectID="_1474371205" r:id="rId15"/>
              </w:object>
            </w:r>
            <w:r w:rsidRPr="005A0384">
              <w:br/>
              <w:t>(MHz)</w:t>
            </w:r>
          </w:p>
        </w:tc>
        <w:tc>
          <w:tcPr>
            <w:tcW w:w="847" w:type="dxa"/>
            <w:tcMar>
              <w:left w:w="96" w:type="dxa"/>
              <w:right w:w="96" w:type="dxa"/>
            </w:tcMar>
            <w:vAlign w:val="center"/>
          </w:tcPr>
          <w:p w:rsidR="00C271D9" w:rsidRPr="005A0384" w:rsidRDefault="00C271D9" w:rsidP="001B3628">
            <w:pPr>
              <w:pStyle w:val="Tablehead"/>
            </w:pPr>
            <w:r w:rsidRPr="005A0384">
              <w:rPr>
                <w:i/>
                <w:iCs/>
              </w:rPr>
              <w:t>ZS</w:t>
            </w:r>
            <w:r w:rsidRPr="005A0384">
              <w:rPr>
                <w:position w:val="-4"/>
                <w:sz w:val="18"/>
              </w:rPr>
              <w:t>1</w:t>
            </w:r>
            <w:r w:rsidRPr="005A0384">
              <w:br/>
              <w:t>(MHz)</w:t>
            </w:r>
          </w:p>
        </w:tc>
        <w:tc>
          <w:tcPr>
            <w:tcW w:w="822" w:type="dxa"/>
            <w:tcMar>
              <w:left w:w="96" w:type="dxa"/>
              <w:right w:w="96" w:type="dxa"/>
            </w:tcMar>
            <w:vAlign w:val="center"/>
          </w:tcPr>
          <w:p w:rsidR="00C271D9" w:rsidRPr="005A0384" w:rsidRDefault="00C271D9" w:rsidP="001B3628">
            <w:pPr>
              <w:pStyle w:val="Tablehead"/>
            </w:pPr>
            <w:r w:rsidRPr="005A0384">
              <w:rPr>
                <w:i/>
                <w:iCs/>
              </w:rPr>
              <w:t>ZS</w:t>
            </w:r>
            <w:r w:rsidRPr="005A0384">
              <w:rPr>
                <w:position w:val="-4"/>
                <w:sz w:val="18"/>
              </w:rPr>
              <w:t>2</w:t>
            </w:r>
            <w:r w:rsidRPr="005A0384">
              <w:br/>
              <w:t>(MHz)</w:t>
            </w:r>
          </w:p>
        </w:tc>
        <w:tc>
          <w:tcPr>
            <w:tcW w:w="859" w:type="dxa"/>
            <w:tcMar>
              <w:left w:w="96" w:type="dxa"/>
              <w:right w:w="96" w:type="dxa"/>
            </w:tcMar>
            <w:vAlign w:val="center"/>
          </w:tcPr>
          <w:p w:rsidR="00C271D9" w:rsidRPr="005A0384" w:rsidRDefault="00C271D9" w:rsidP="001B3628">
            <w:pPr>
              <w:pStyle w:val="Tablehead"/>
            </w:pPr>
            <w:r w:rsidRPr="005A0384">
              <w:rPr>
                <w:i/>
                <w:iCs/>
              </w:rPr>
              <w:t>YS</w:t>
            </w:r>
            <w:r w:rsidRPr="005A0384">
              <w:br/>
              <w:t>(MHz)</w:t>
            </w:r>
          </w:p>
        </w:tc>
        <w:tc>
          <w:tcPr>
            <w:tcW w:w="858" w:type="dxa"/>
            <w:tcMar>
              <w:left w:w="96" w:type="dxa"/>
              <w:right w:w="96" w:type="dxa"/>
            </w:tcMar>
            <w:vAlign w:val="center"/>
          </w:tcPr>
          <w:p w:rsidR="00C271D9" w:rsidRPr="005A0384" w:rsidRDefault="00C271D9" w:rsidP="001B3628">
            <w:pPr>
              <w:pStyle w:val="Tablehead"/>
            </w:pPr>
            <w:r w:rsidRPr="005A0384">
              <w:rPr>
                <w:i/>
                <w:iCs/>
              </w:rPr>
              <w:t>DS</w:t>
            </w:r>
            <w:r w:rsidRPr="005A0384">
              <w:br/>
              <w:t>(MHz)</w:t>
            </w:r>
          </w:p>
        </w:tc>
      </w:tr>
      <w:tr w:rsidR="00C271D9" w:rsidRPr="005A0384" w:rsidTr="004D6AA2">
        <w:trPr>
          <w:jc w:val="center"/>
        </w:trPr>
        <w:tc>
          <w:tcPr>
            <w:tcW w:w="846" w:type="dxa"/>
            <w:tcBorders>
              <w:top w:val="single" w:sz="6" w:space="0" w:color="000000"/>
              <w:left w:val="single" w:sz="4" w:space="0" w:color="auto"/>
              <w:bottom w:val="single" w:sz="6" w:space="0" w:color="000000"/>
              <w:right w:val="single" w:sz="6" w:space="0" w:color="000000"/>
            </w:tcBorders>
          </w:tcPr>
          <w:p w:rsidR="00C271D9" w:rsidRPr="005A0384" w:rsidRDefault="00C271D9" w:rsidP="001B3628">
            <w:pPr>
              <w:pStyle w:val="Tabletext"/>
              <w:tabs>
                <w:tab w:val="left" w:pos="142"/>
              </w:tabs>
              <w:ind w:left="-57" w:right="-57"/>
              <w:jc w:val="center"/>
            </w:pPr>
            <w:r w:rsidRPr="005A0384">
              <w:t>112</w:t>
            </w:r>
          </w:p>
        </w:tc>
        <w:tc>
          <w:tcPr>
            <w:tcW w:w="986"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clear" w:pos="567"/>
                <w:tab w:val="clear" w:pos="851"/>
              </w:tabs>
              <w:ind w:left="-57" w:right="-57"/>
            </w:pPr>
            <w:r w:rsidRPr="005A0384">
              <w:t>1, ..., 12</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40 606</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41 838</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42 106</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43 338</w:t>
            </w:r>
          </w:p>
        </w:tc>
        <w:tc>
          <w:tcPr>
            <w:tcW w:w="847"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106</w:t>
            </w:r>
          </w:p>
        </w:tc>
        <w:tc>
          <w:tcPr>
            <w:tcW w:w="822"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162</w:t>
            </w:r>
          </w:p>
        </w:tc>
        <w:tc>
          <w:tcPr>
            <w:tcW w:w="859"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left" w:pos="58"/>
              </w:tabs>
              <w:jc w:val="center"/>
            </w:pPr>
            <w:r w:rsidRPr="005A0384">
              <w:t>268</w:t>
            </w:r>
          </w:p>
        </w:tc>
        <w:tc>
          <w:tcPr>
            <w:tcW w:w="858" w:type="dxa"/>
            <w:tcBorders>
              <w:top w:val="single" w:sz="6" w:space="0" w:color="000000"/>
              <w:left w:val="single" w:sz="6" w:space="0" w:color="000000"/>
              <w:bottom w:val="single" w:sz="6" w:space="0" w:color="000000"/>
              <w:right w:val="single" w:sz="4" w:space="0" w:color="auto"/>
            </w:tcBorders>
          </w:tcPr>
          <w:p w:rsidR="00C271D9" w:rsidRPr="005A0384" w:rsidRDefault="00C271D9" w:rsidP="001B3628">
            <w:pPr>
              <w:pStyle w:val="Tabletext"/>
              <w:jc w:val="center"/>
            </w:pPr>
            <w:r w:rsidRPr="005A0384">
              <w:t>1 500</w:t>
            </w:r>
          </w:p>
        </w:tc>
      </w:tr>
      <w:tr w:rsidR="00C271D9" w:rsidRPr="005A0384" w:rsidTr="004D6AA2">
        <w:trPr>
          <w:jc w:val="center"/>
        </w:trPr>
        <w:tc>
          <w:tcPr>
            <w:tcW w:w="846" w:type="dxa"/>
            <w:tcBorders>
              <w:top w:val="single" w:sz="6" w:space="0" w:color="000000"/>
              <w:left w:val="single" w:sz="4" w:space="0" w:color="auto"/>
              <w:bottom w:val="single" w:sz="6" w:space="0" w:color="000000"/>
              <w:right w:val="single" w:sz="6" w:space="0" w:color="000000"/>
            </w:tcBorders>
          </w:tcPr>
          <w:p w:rsidR="00C271D9" w:rsidRPr="005A0384" w:rsidRDefault="00C271D9" w:rsidP="001B3628">
            <w:pPr>
              <w:pStyle w:val="Tabletext"/>
              <w:tabs>
                <w:tab w:val="left" w:pos="142"/>
              </w:tabs>
              <w:ind w:left="-57" w:right="-57"/>
              <w:jc w:val="center"/>
            </w:pPr>
            <w:r w:rsidRPr="005A0384">
              <w:t>56</w:t>
            </w:r>
          </w:p>
        </w:tc>
        <w:tc>
          <w:tcPr>
            <w:tcW w:w="986"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clear" w:pos="567"/>
                <w:tab w:val="clear" w:pos="851"/>
              </w:tabs>
              <w:ind w:left="-57" w:right="-57"/>
            </w:pPr>
            <w:r w:rsidRPr="005A0384">
              <w:t>1, ..., 25</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40 578</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41 922</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42 078</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43 422</w:t>
            </w:r>
          </w:p>
        </w:tc>
        <w:tc>
          <w:tcPr>
            <w:tcW w:w="847"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78</w:t>
            </w:r>
          </w:p>
        </w:tc>
        <w:tc>
          <w:tcPr>
            <w:tcW w:w="822"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78</w:t>
            </w:r>
          </w:p>
        </w:tc>
        <w:tc>
          <w:tcPr>
            <w:tcW w:w="859"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left" w:pos="58"/>
              </w:tabs>
              <w:jc w:val="center"/>
            </w:pPr>
            <w:r w:rsidRPr="005A0384">
              <w:t>156</w:t>
            </w:r>
          </w:p>
        </w:tc>
        <w:tc>
          <w:tcPr>
            <w:tcW w:w="858" w:type="dxa"/>
            <w:tcBorders>
              <w:top w:val="single" w:sz="6" w:space="0" w:color="000000"/>
              <w:left w:val="single" w:sz="6" w:space="0" w:color="000000"/>
              <w:bottom w:val="single" w:sz="6" w:space="0" w:color="000000"/>
              <w:right w:val="single" w:sz="4" w:space="0" w:color="auto"/>
            </w:tcBorders>
          </w:tcPr>
          <w:p w:rsidR="00C271D9" w:rsidRPr="005A0384" w:rsidRDefault="00C271D9" w:rsidP="001B3628">
            <w:pPr>
              <w:pStyle w:val="Tabletext"/>
              <w:jc w:val="center"/>
            </w:pPr>
            <w:r w:rsidRPr="005A0384">
              <w:t>1 500</w:t>
            </w:r>
          </w:p>
        </w:tc>
      </w:tr>
      <w:tr w:rsidR="00C271D9" w:rsidRPr="005A0384" w:rsidTr="004D6AA2">
        <w:trPr>
          <w:jc w:val="center"/>
        </w:trPr>
        <w:tc>
          <w:tcPr>
            <w:tcW w:w="846" w:type="dxa"/>
            <w:tcBorders>
              <w:top w:val="single" w:sz="6" w:space="0" w:color="000000"/>
              <w:left w:val="single" w:sz="4" w:space="0" w:color="auto"/>
              <w:bottom w:val="single" w:sz="6" w:space="0" w:color="000000"/>
              <w:right w:val="single" w:sz="6" w:space="0" w:color="000000"/>
            </w:tcBorders>
          </w:tcPr>
          <w:p w:rsidR="00C271D9" w:rsidRPr="005A0384" w:rsidRDefault="00C271D9" w:rsidP="001B3628">
            <w:pPr>
              <w:pStyle w:val="Tabletext"/>
              <w:tabs>
                <w:tab w:val="left" w:pos="142"/>
              </w:tabs>
              <w:ind w:left="-57" w:right="-57"/>
              <w:jc w:val="center"/>
            </w:pPr>
            <w:r w:rsidRPr="005A0384">
              <w:t>28</w:t>
            </w:r>
          </w:p>
        </w:tc>
        <w:tc>
          <w:tcPr>
            <w:tcW w:w="986"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clear" w:pos="567"/>
                <w:tab w:val="clear" w:pos="851"/>
              </w:tabs>
              <w:ind w:left="-57" w:right="-57"/>
            </w:pPr>
            <w:r w:rsidRPr="005A0384">
              <w:t>1, ..., 50</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40 564</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41 936</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42 064</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43 436</w:t>
            </w:r>
          </w:p>
        </w:tc>
        <w:tc>
          <w:tcPr>
            <w:tcW w:w="847"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64</w:t>
            </w:r>
          </w:p>
        </w:tc>
        <w:tc>
          <w:tcPr>
            <w:tcW w:w="822"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64</w:t>
            </w:r>
          </w:p>
        </w:tc>
        <w:tc>
          <w:tcPr>
            <w:tcW w:w="859"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left" w:pos="170"/>
                <w:tab w:val="left" w:pos="248"/>
              </w:tabs>
              <w:jc w:val="center"/>
            </w:pPr>
            <w:r w:rsidRPr="005A0384">
              <w:t>128</w:t>
            </w:r>
          </w:p>
        </w:tc>
        <w:tc>
          <w:tcPr>
            <w:tcW w:w="858" w:type="dxa"/>
            <w:tcBorders>
              <w:top w:val="single" w:sz="6" w:space="0" w:color="000000"/>
              <w:left w:val="single" w:sz="6" w:space="0" w:color="000000"/>
              <w:bottom w:val="single" w:sz="6" w:space="0" w:color="000000"/>
              <w:right w:val="single" w:sz="4" w:space="0" w:color="auto"/>
            </w:tcBorders>
          </w:tcPr>
          <w:p w:rsidR="00C271D9" w:rsidRPr="005A0384" w:rsidRDefault="00C271D9" w:rsidP="001B3628">
            <w:pPr>
              <w:pStyle w:val="Tabletext"/>
              <w:jc w:val="center"/>
            </w:pPr>
            <w:r w:rsidRPr="005A0384">
              <w:t>1 500</w:t>
            </w:r>
          </w:p>
        </w:tc>
      </w:tr>
      <w:tr w:rsidR="00C271D9" w:rsidRPr="005A0384" w:rsidTr="004D6AA2">
        <w:trPr>
          <w:jc w:val="center"/>
        </w:trPr>
        <w:tc>
          <w:tcPr>
            <w:tcW w:w="846" w:type="dxa"/>
            <w:tcBorders>
              <w:top w:val="single" w:sz="6" w:space="0" w:color="000000"/>
              <w:left w:val="single" w:sz="4" w:space="0" w:color="auto"/>
              <w:bottom w:val="single" w:sz="6" w:space="0" w:color="000000"/>
              <w:right w:val="single" w:sz="6" w:space="0" w:color="000000"/>
            </w:tcBorders>
          </w:tcPr>
          <w:p w:rsidR="00C271D9" w:rsidRPr="005A0384" w:rsidRDefault="00C271D9" w:rsidP="001B3628">
            <w:pPr>
              <w:pStyle w:val="Tabletext"/>
              <w:tabs>
                <w:tab w:val="left" w:pos="142"/>
              </w:tabs>
              <w:ind w:left="-57" w:right="-57"/>
              <w:jc w:val="center"/>
            </w:pPr>
            <w:r w:rsidRPr="005A0384">
              <w:t>14</w:t>
            </w:r>
          </w:p>
        </w:tc>
        <w:tc>
          <w:tcPr>
            <w:tcW w:w="986"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clear" w:pos="567"/>
                <w:tab w:val="clear" w:pos="851"/>
              </w:tabs>
              <w:ind w:left="-57" w:right="-57"/>
              <w:jc w:val="left"/>
            </w:pPr>
            <w:r w:rsidRPr="005A0384">
              <w:t>1, ..., 101</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40 557</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41 957</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42 057</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43 457</w:t>
            </w:r>
          </w:p>
        </w:tc>
        <w:tc>
          <w:tcPr>
            <w:tcW w:w="847"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57</w:t>
            </w:r>
          </w:p>
        </w:tc>
        <w:tc>
          <w:tcPr>
            <w:tcW w:w="822"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43</w:t>
            </w:r>
          </w:p>
        </w:tc>
        <w:tc>
          <w:tcPr>
            <w:tcW w:w="859"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left" w:pos="170"/>
                <w:tab w:val="left" w:pos="248"/>
              </w:tabs>
              <w:jc w:val="center"/>
            </w:pPr>
            <w:r w:rsidRPr="005A0384">
              <w:t>100</w:t>
            </w:r>
          </w:p>
        </w:tc>
        <w:tc>
          <w:tcPr>
            <w:tcW w:w="858" w:type="dxa"/>
            <w:tcBorders>
              <w:top w:val="single" w:sz="6" w:space="0" w:color="000000"/>
              <w:left w:val="single" w:sz="6" w:space="0" w:color="000000"/>
              <w:bottom w:val="single" w:sz="6" w:space="0" w:color="000000"/>
              <w:right w:val="single" w:sz="4" w:space="0" w:color="auto"/>
            </w:tcBorders>
          </w:tcPr>
          <w:p w:rsidR="00C271D9" w:rsidRPr="005A0384" w:rsidRDefault="00C271D9" w:rsidP="001B3628">
            <w:pPr>
              <w:pStyle w:val="Tabletext"/>
              <w:jc w:val="center"/>
            </w:pPr>
            <w:r w:rsidRPr="005A0384">
              <w:t>1 500</w:t>
            </w:r>
          </w:p>
        </w:tc>
      </w:tr>
      <w:tr w:rsidR="00C271D9" w:rsidRPr="005A0384" w:rsidTr="004D6AA2">
        <w:trPr>
          <w:jc w:val="center"/>
        </w:trPr>
        <w:tc>
          <w:tcPr>
            <w:tcW w:w="846" w:type="dxa"/>
            <w:tcBorders>
              <w:top w:val="single" w:sz="6" w:space="0" w:color="000000"/>
              <w:left w:val="single" w:sz="4" w:space="0" w:color="auto"/>
              <w:bottom w:val="single" w:sz="6" w:space="0" w:color="000000"/>
              <w:right w:val="single" w:sz="6" w:space="0" w:color="000000"/>
            </w:tcBorders>
          </w:tcPr>
          <w:p w:rsidR="00C271D9" w:rsidRPr="005A0384" w:rsidRDefault="00C271D9" w:rsidP="001B3628">
            <w:pPr>
              <w:pStyle w:val="Tabletext"/>
              <w:tabs>
                <w:tab w:val="clear" w:pos="284"/>
                <w:tab w:val="left" w:pos="336"/>
              </w:tabs>
              <w:ind w:left="-57" w:right="-57"/>
              <w:jc w:val="center"/>
            </w:pPr>
            <w:r w:rsidRPr="005A0384">
              <w:t>7</w:t>
            </w:r>
          </w:p>
        </w:tc>
        <w:tc>
          <w:tcPr>
            <w:tcW w:w="986"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clear" w:pos="567"/>
                <w:tab w:val="clear" w:pos="851"/>
              </w:tabs>
              <w:ind w:left="-57" w:right="-57"/>
            </w:pPr>
            <w:r w:rsidRPr="005A0384">
              <w:t>1, ..., 202</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40 553,5</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41 960,5</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42 053,5</w:t>
            </w:r>
          </w:p>
        </w:tc>
        <w:tc>
          <w:tcPr>
            <w:tcW w:w="1128"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jc w:val="center"/>
            </w:pPr>
            <w:r w:rsidRPr="005A0384">
              <w:t>43 460,5</w:t>
            </w:r>
          </w:p>
        </w:tc>
        <w:tc>
          <w:tcPr>
            <w:tcW w:w="847"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53,5</w:t>
            </w:r>
          </w:p>
        </w:tc>
        <w:tc>
          <w:tcPr>
            <w:tcW w:w="822" w:type="dxa"/>
            <w:tcBorders>
              <w:top w:val="single" w:sz="6" w:space="0" w:color="000000"/>
              <w:left w:val="single" w:sz="6" w:space="0" w:color="000000"/>
              <w:bottom w:val="single" w:sz="6" w:space="0" w:color="000000"/>
              <w:right w:val="single" w:sz="6" w:space="0" w:color="000000"/>
            </w:tcBorders>
            <w:vAlign w:val="bottom"/>
          </w:tcPr>
          <w:p w:rsidR="00C271D9" w:rsidRPr="005A0384" w:rsidRDefault="00C271D9" w:rsidP="001B3628">
            <w:pPr>
              <w:pStyle w:val="Tabletext"/>
              <w:tabs>
                <w:tab w:val="clear" w:pos="284"/>
                <w:tab w:val="left" w:pos="106"/>
                <w:tab w:val="left" w:pos="248"/>
              </w:tabs>
              <w:jc w:val="center"/>
            </w:pPr>
            <w:r w:rsidRPr="005A0384">
              <w:t>39,5</w:t>
            </w:r>
          </w:p>
        </w:tc>
        <w:tc>
          <w:tcPr>
            <w:tcW w:w="859" w:type="dxa"/>
            <w:tcBorders>
              <w:top w:val="single" w:sz="6" w:space="0" w:color="000000"/>
              <w:left w:val="single" w:sz="6" w:space="0" w:color="000000"/>
              <w:bottom w:val="single" w:sz="6" w:space="0" w:color="000000"/>
              <w:right w:val="single" w:sz="6" w:space="0" w:color="000000"/>
            </w:tcBorders>
          </w:tcPr>
          <w:p w:rsidR="00C271D9" w:rsidRPr="005A0384" w:rsidRDefault="00C271D9" w:rsidP="001B3628">
            <w:pPr>
              <w:pStyle w:val="Tabletext"/>
              <w:tabs>
                <w:tab w:val="clear" w:pos="284"/>
                <w:tab w:val="left" w:pos="170"/>
                <w:tab w:val="left" w:pos="248"/>
              </w:tabs>
              <w:jc w:val="center"/>
            </w:pPr>
            <w:r w:rsidRPr="005A0384">
              <w:t>93</w:t>
            </w:r>
          </w:p>
        </w:tc>
        <w:tc>
          <w:tcPr>
            <w:tcW w:w="858" w:type="dxa"/>
            <w:tcBorders>
              <w:top w:val="single" w:sz="6" w:space="0" w:color="000000"/>
              <w:left w:val="single" w:sz="6" w:space="0" w:color="000000"/>
              <w:bottom w:val="single" w:sz="6" w:space="0" w:color="000000"/>
              <w:right w:val="single" w:sz="4" w:space="0" w:color="auto"/>
            </w:tcBorders>
          </w:tcPr>
          <w:p w:rsidR="00C271D9" w:rsidRPr="005A0384" w:rsidRDefault="00C271D9" w:rsidP="001B3628">
            <w:pPr>
              <w:pStyle w:val="Tabletext"/>
              <w:jc w:val="center"/>
            </w:pPr>
            <w:r w:rsidRPr="005A0384">
              <w:t>1 500</w:t>
            </w:r>
          </w:p>
        </w:tc>
      </w:tr>
      <w:tr w:rsidR="00C271D9" w:rsidRPr="005A0384" w:rsidTr="004D6AA2">
        <w:trPr>
          <w:jc w:val="center"/>
        </w:trPr>
        <w:tc>
          <w:tcPr>
            <w:tcW w:w="9730" w:type="dxa"/>
            <w:gridSpan w:val="10"/>
            <w:tcBorders>
              <w:top w:val="single" w:sz="6" w:space="0" w:color="000000"/>
              <w:left w:val="nil"/>
              <w:bottom w:val="nil"/>
              <w:right w:val="nil"/>
            </w:tcBorders>
          </w:tcPr>
          <w:p w:rsidR="00C271D9" w:rsidRPr="00C271D9" w:rsidRDefault="00C271D9" w:rsidP="001B3628">
            <w:pPr>
              <w:pStyle w:val="Tablelegend"/>
              <w:tabs>
                <w:tab w:val="clear" w:pos="284"/>
                <w:tab w:val="clear" w:pos="567"/>
                <w:tab w:val="left" w:pos="490"/>
              </w:tabs>
              <w:spacing w:before="60" w:after="60"/>
              <w:ind w:left="482" w:hanging="567"/>
              <w:rPr>
                <w:szCs w:val="22"/>
                <w:lang w:val="es-ES_tradnl"/>
              </w:rPr>
            </w:pPr>
            <w:r w:rsidRPr="00C271D9">
              <w:rPr>
                <w:i/>
                <w:iCs/>
                <w:szCs w:val="22"/>
                <w:lang w:val="es-ES_tradnl"/>
              </w:rPr>
              <w:t>XS</w:t>
            </w:r>
            <w:r w:rsidRPr="00C271D9">
              <w:rPr>
                <w:szCs w:val="22"/>
                <w:lang w:val="es-ES_tradnl"/>
              </w:rPr>
              <w:t>:</w:t>
            </w:r>
            <w:r w:rsidRPr="00C271D9">
              <w:rPr>
                <w:szCs w:val="22"/>
                <w:lang w:val="es-ES_tradnl"/>
              </w:rPr>
              <w:tab/>
              <w:t>Separación entre frecuencias centrales de canales adyacentes.</w:t>
            </w:r>
          </w:p>
          <w:p w:rsidR="00C271D9" w:rsidRPr="00C271D9" w:rsidRDefault="00C271D9" w:rsidP="001B3628">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482" w:hanging="567"/>
              <w:rPr>
                <w:szCs w:val="22"/>
                <w:lang w:val="es-ES_tradnl"/>
              </w:rPr>
            </w:pPr>
            <w:r w:rsidRPr="00C271D9">
              <w:rPr>
                <w:i/>
                <w:iCs/>
                <w:szCs w:val="22"/>
                <w:lang w:val="es-ES_tradnl"/>
              </w:rPr>
              <w:t>YS</w:t>
            </w:r>
            <w:r w:rsidRPr="00C271D9">
              <w:rPr>
                <w:szCs w:val="22"/>
                <w:lang w:val="es-ES_tradnl"/>
              </w:rPr>
              <w:t>:</w:t>
            </w:r>
            <w:r w:rsidRPr="00C271D9">
              <w:rPr>
                <w:szCs w:val="22"/>
                <w:lang w:val="es-ES_tradnl"/>
              </w:rPr>
              <w:tab/>
              <w:t>Separación entre frecuencias centrales de los canales de ida y vuelta más próximos.</w:t>
            </w:r>
          </w:p>
          <w:p w:rsidR="00C271D9" w:rsidRPr="00C271D9" w:rsidRDefault="00C271D9" w:rsidP="001B3628">
            <w:pPr>
              <w:pStyle w:val="Tablelegend"/>
              <w:tabs>
                <w:tab w:val="clear" w:pos="567"/>
                <w:tab w:val="left" w:pos="490"/>
              </w:tabs>
              <w:spacing w:before="60" w:after="60"/>
              <w:ind w:left="482" w:hanging="567"/>
              <w:rPr>
                <w:szCs w:val="22"/>
                <w:lang w:val="es-ES_tradnl"/>
              </w:rPr>
            </w:pPr>
            <w:r w:rsidRPr="00C271D9">
              <w:rPr>
                <w:i/>
                <w:iCs/>
                <w:szCs w:val="22"/>
                <w:lang w:val="es-ES_tradnl"/>
              </w:rPr>
              <w:t>ZS</w:t>
            </w:r>
            <w:r w:rsidRPr="00C271D9">
              <w:rPr>
                <w:position w:val="-4"/>
                <w:szCs w:val="22"/>
                <w:vertAlign w:val="superscript"/>
                <w:lang w:val="es-ES_tradnl"/>
              </w:rPr>
              <w:t>1</w:t>
            </w:r>
            <w:r w:rsidRPr="00C271D9">
              <w:rPr>
                <w:szCs w:val="22"/>
                <w:lang w:val="es-ES_tradnl"/>
              </w:rPr>
              <w:t>:</w:t>
            </w:r>
            <w:r w:rsidR="00281838">
              <w:rPr>
                <w:szCs w:val="22"/>
                <w:lang w:val="es-ES_tradnl"/>
              </w:rPr>
              <w:tab/>
            </w:r>
            <w:r w:rsidRPr="00C271D9">
              <w:rPr>
                <w:szCs w:val="22"/>
                <w:lang w:val="es-ES_tradnl"/>
              </w:rPr>
              <w:tab/>
              <w:t>Separación entre el extremo inferior de la banda y la frecuencia central del canal mínimo en la subbanda inferior.</w:t>
            </w:r>
          </w:p>
          <w:p w:rsidR="00C271D9" w:rsidRPr="00C271D9" w:rsidRDefault="00C271D9" w:rsidP="001B3628">
            <w:pPr>
              <w:pStyle w:val="Tablelegend"/>
              <w:tabs>
                <w:tab w:val="clear" w:pos="567"/>
                <w:tab w:val="left" w:pos="490"/>
              </w:tabs>
              <w:spacing w:before="60" w:after="60"/>
              <w:ind w:left="482" w:hanging="567"/>
              <w:rPr>
                <w:szCs w:val="22"/>
                <w:lang w:val="es-ES_tradnl"/>
              </w:rPr>
            </w:pPr>
            <w:r w:rsidRPr="00C271D9">
              <w:rPr>
                <w:i/>
                <w:iCs/>
                <w:szCs w:val="22"/>
                <w:lang w:val="es-ES_tradnl"/>
              </w:rPr>
              <w:t>ZS</w:t>
            </w:r>
            <w:r w:rsidRPr="00C271D9">
              <w:rPr>
                <w:position w:val="-4"/>
                <w:szCs w:val="22"/>
                <w:vertAlign w:val="superscript"/>
                <w:lang w:val="es-ES_tradnl"/>
              </w:rPr>
              <w:t>2</w:t>
            </w:r>
            <w:r w:rsidRPr="00C271D9">
              <w:rPr>
                <w:szCs w:val="22"/>
                <w:lang w:val="es-ES_tradnl"/>
              </w:rPr>
              <w:t>:</w:t>
            </w:r>
            <w:r w:rsidRPr="00C271D9">
              <w:rPr>
                <w:szCs w:val="22"/>
                <w:lang w:val="es-ES_tradnl"/>
              </w:rPr>
              <w:tab/>
            </w:r>
            <w:r w:rsidR="00281838">
              <w:rPr>
                <w:szCs w:val="22"/>
                <w:lang w:val="es-ES_tradnl"/>
              </w:rPr>
              <w:tab/>
            </w:r>
            <w:r w:rsidRPr="00C271D9">
              <w:rPr>
                <w:szCs w:val="22"/>
                <w:lang w:val="es-ES_tradnl"/>
              </w:rPr>
              <w:t>Separación entre la frecuencia central del canal máximo en la subbanda superior y el extremo de la banda superior.</w:t>
            </w:r>
          </w:p>
          <w:p w:rsidR="00C271D9" w:rsidRPr="005A0384" w:rsidRDefault="00C271D9" w:rsidP="001B3628">
            <w:pPr>
              <w:pStyle w:val="Tablelegend"/>
              <w:tabs>
                <w:tab w:val="clear" w:pos="284"/>
                <w:tab w:val="clear" w:pos="567"/>
                <w:tab w:val="left" w:pos="495"/>
              </w:tabs>
              <w:spacing w:before="60" w:after="60" w:line="240" w:lineRule="exact"/>
              <w:ind w:left="482" w:hanging="567"/>
            </w:pPr>
            <w:r w:rsidRPr="005A0384">
              <w:rPr>
                <w:i/>
                <w:iCs/>
                <w:szCs w:val="22"/>
              </w:rPr>
              <w:t>DS</w:t>
            </w:r>
            <w:r w:rsidRPr="005A0384">
              <w:rPr>
                <w:szCs w:val="22"/>
              </w:rPr>
              <w:t>:</w:t>
            </w:r>
            <w:r w:rsidRPr="005A0384">
              <w:rPr>
                <w:szCs w:val="22"/>
              </w:rPr>
              <w:tab/>
              <w:t xml:space="preserve">Separación dúplex </w:t>
            </w:r>
            <w:r w:rsidRPr="005A0384">
              <w:rPr>
                <w:position w:val="-10"/>
                <w:szCs w:val="22"/>
              </w:rPr>
              <w:object w:dxaOrig="960" w:dyaOrig="380">
                <v:shape id="_x0000_i1089" type="#_x0000_t75" style="width:46.85pt;height:19.7pt" o:ole="">
                  <v:imagedata r:id="rId16" o:title=""/>
                </v:shape>
                <o:OLEObject Type="Embed" ProgID="Equation.3" ShapeID="_x0000_i1089" DrawAspect="Content" ObjectID="_1474371206" r:id="rId17"/>
              </w:object>
            </w:r>
          </w:p>
        </w:tc>
      </w:tr>
    </w:tbl>
    <w:p w:rsidR="00C271D9" w:rsidRPr="005A0384" w:rsidRDefault="00C271D9" w:rsidP="00C271D9">
      <w:pPr>
        <w:pStyle w:val="Tablefin"/>
        <w:rPr>
          <w:sz w:val="2"/>
          <w:lang w:val="es-ES_tradnl"/>
        </w:rPr>
      </w:pPr>
    </w:p>
    <w:p w:rsidR="00C271D9" w:rsidRPr="005A0384" w:rsidRDefault="00C271D9" w:rsidP="00C271D9">
      <w:pPr>
        <w:pStyle w:val="Tablefin"/>
        <w:rPr>
          <w:lang w:val="es-ES_tradnl"/>
        </w:rPr>
      </w:pPr>
    </w:p>
    <w:p w:rsidR="00C271D9" w:rsidRPr="004D6AA2" w:rsidRDefault="00C271D9" w:rsidP="004D6AA2">
      <w:pPr>
        <w:pStyle w:val="FigureNo"/>
      </w:pPr>
      <w:r w:rsidRPr="005A0384">
        <w:lastRenderedPageBreak/>
        <w:t>FigurA 1</w:t>
      </w:r>
    </w:p>
    <w:p w:rsidR="00C271D9" w:rsidRPr="005A0384" w:rsidRDefault="00C271D9" w:rsidP="004D6AA2">
      <w:pPr>
        <w:pStyle w:val="Figuretitle"/>
      </w:pPr>
      <w:r w:rsidRPr="005A0384">
        <w:t xml:space="preserve">Espectro </w:t>
      </w:r>
      <w:r w:rsidRPr="004D6AA2">
        <w:t>ocupado</w:t>
      </w:r>
      <w:r w:rsidRPr="005A0384">
        <w:t xml:space="preserve"> de 40</w:t>
      </w:r>
      <w:r>
        <w:t>,5 a</w:t>
      </w:r>
      <w:r w:rsidRPr="005A0384">
        <w:t xml:space="preserve"> 43,5 GHz</w:t>
      </w:r>
    </w:p>
    <w:p w:rsidR="00C271D9" w:rsidRPr="005A0384" w:rsidRDefault="00312630" w:rsidP="00312630">
      <w:pPr>
        <w:pStyle w:val="Figure"/>
      </w:pPr>
      <w:r w:rsidRPr="005A0384">
        <w:object w:dxaOrig="6315" w:dyaOrig="7410">
          <v:shape id="_x0000_i1113" type="#_x0000_t75" style="width:419.75pt;height:491.1pt" o:ole="">
            <v:imagedata r:id="rId18" o:title=""/>
          </v:shape>
          <o:OLEObject Type="Embed" ProgID="CorelDRAW.Graphic.14" ShapeID="_x0000_i1113" DrawAspect="Content" ObjectID="_1474371207" r:id="rId19"/>
        </w:object>
      </w:r>
    </w:p>
    <w:p w:rsidR="00C271D9" w:rsidRPr="005A0384" w:rsidRDefault="00C271D9" w:rsidP="00C271D9"/>
    <w:p w:rsidR="00C271D9" w:rsidRPr="005A0384" w:rsidRDefault="00C271D9" w:rsidP="00C271D9"/>
    <w:p w:rsidR="00C271D9" w:rsidRPr="005A0384" w:rsidRDefault="00C271D9" w:rsidP="00C271D9"/>
    <w:p w:rsidR="00C271D9" w:rsidRPr="005A0384" w:rsidRDefault="00C271D9" w:rsidP="00C271D9">
      <w:pPr>
        <w:tabs>
          <w:tab w:val="clear" w:pos="794"/>
          <w:tab w:val="clear" w:pos="1191"/>
          <w:tab w:val="clear" w:pos="1588"/>
          <w:tab w:val="clear" w:pos="1985"/>
        </w:tabs>
        <w:overflowPunct/>
        <w:autoSpaceDE/>
        <w:autoSpaceDN/>
        <w:adjustRightInd/>
        <w:spacing w:before="0"/>
        <w:jc w:val="left"/>
        <w:textAlignment w:val="auto"/>
        <w:rPr>
          <w:b/>
          <w:sz w:val="28"/>
        </w:rPr>
      </w:pPr>
      <w:r w:rsidRPr="005A0384">
        <w:br w:type="page"/>
      </w:r>
    </w:p>
    <w:p w:rsidR="00C271D9" w:rsidRDefault="00C271D9" w:rsidP="00C271D9">
      <w:pPr>
        <w:pStyle w:val="AnnexNoTitle"/>
        <w:rPr>
          <w:lang w:val="es-ES_tradnl"/>
        </w:rPr>
      </w:pPr>
      <w:r w:rsidRPr="00C271D9">
        <w:rPr>
          <w:lang w:val="es-ES_tradnl"/>
        </w:rPr>
        <w:lastRenderedPageBreak/>
        <w:t>Anexo 2</w:t>
      </w:r>
      <w:r w:rsidRPr="00C271D9">
        <w:rPr>
          <w:lang w:val="es-ES_tradnl"/>
        </w:rPr>
        <w:br/>
      </w:r>
      <w:r w:rsidRPr="00C271D9">
        <w:rPr>
          <w:lang w:val="es-ES_tradnl"/>
        </w:rPr>
        <w:br/>
        <w:t xml:space="preserve">Orientaciones sobre la construcción preferida del plan de asignación de </w:t>
      </w:r>
      <w:r w:rsidRPr="00C271D9">
        <w:rPr>
          <w:lang w:val="es-ES_tradnl"/>
        </w:rPr>
        <w:br/>
        <w:t xml:space="preserve">bloques de frecuencia para el BFWA y los enlaces punto a punto de </w:t>
      </w:r>
      <w:r w:rsidRPr="00C271D9">
        <w:rPr>
          <w:lang w:val="es-ES_tradnl"/>
        </w:rPr>
        <w:br/>
        <w:t xml:space="preserve">acuerdo con el </w:t>
      </w:r>
      <w:r w:rsidRPr="00C271D9">
        <w:rPr>
          <w:i/>
          <w:iCs/>
          <w:lang w:val="es-ES_tradnl"/>
        </w:rPr>
        <w:t>recomienda</w:t>
      </w:r>
      <w:r w:rsidRPr="00C271D9">
        <w:rPr>
          <w:lang w:val="es-ES_tradnl"/>
        </w:rPr>
        <w:t xml:space="preserve"> 2</w:t>
      </w:r>
    </w:p>
    <w:p w:rsidR="00527A65" w:rsidRPr="00527A65" w:rsidRDefault="00527A65" w:rsidP="00527A65">
      <w:pPr>
        <w:rPr>
          <w:lang w:val="es-ES_tradnl"/>
        </w:rPr>
      </w:pPr>
    </w:p>
    <w:p w:rsidR="00C271D9" w:rsidRPr="00C271D9" w:rsidRDefault="00C271D9" w:rsidP="00C271D9">
      <w:pPr>
        <w:pStyle w:val="Headingb"/>
        <w:rPr>
          <w:lang w:val="es-ES_tradnl"/>
        </w:rPr>
      </w:pPr>
      <w:r w:rsidRPr="00C271D9">
        <w:rPr>
          <w:lang w:val="es-ES_tradnl"/>
        </w:rPr>
        <w:t>Pasos para desarrollar un plan de asignación recomendado</w:t>
      </w:r>
    </w:p>
    <w:p w:rsidR="00C271D9" w:rsidRPr="00C271D9" w:rsidRDefault="00C271D9" w:rsidP="00C271D9">
      <w:pPr>
        <w:pStyle w:val="enumlev1"/>
        <w:rPr>
          <w:lang w:val="es-ES_tradnl"/>
        </w:rPr>
      </w:pPr>
      <w:r w:rsidRPr="00C271D9">
        <w:rPr>
          <w:lang w:val="es-ES_tradnl"/>
        </w:rPr>
        <w:t>1)</w:t>
      </w:r>
      <w:r w:rsidRPr="00C271D9">
        <w:rPr>
          <w:lang w:val="es-ES_tradnl"/>
        </w:rPr>
        <w:tab/>
        <w:t>Se consideran todas las restricciones impuestas por la necesidad de compartir con otros servicios.</w:t>
      </w:r>
    </w:p>
    <w:p w:rsidR="00C271D9" w:rsidRPr="00C271D9" w:rsidRDefault="00C271D9" w:rsidP="00C271D9">
      <w:pPr>
        <w:pStyle w:val="enumlev1"/>
        <w:rPr>
          <w:lang w:val="es-ES_tradnl"/>
        </w:rPr>
      </w:pPr>
      <w:r w:rsidRPr="00C271D9">
        <w:rPr>
          <w:lang w:val="es-ES_tradnl"/>
        </w:rPr>
        <w:t>2)</w:t>
      </w:r>
      <w:r w:rsidRPr="00C271D9">
        <w:rPr>
          <w:lang w:val="es-ES_tradnl"/>
        </w:rPr>
        <w:tab/>
        <w:t>Se consideran las medidas adecuadas para establecer la coexistencia entre bloques así como para proteger las bandas adyacentes.</w:t>
      </w:r>
    </w:p>
    <w:p w:rsidR="00C271D9" w:rsidRPr="00C271D9" w:rsidRDefault="00C271D9" w:rsidP="00C271D9">
      <w:pPr>
        <w:pStyle w:val="enumlev1"/>
        <w:rPr>
          <w:lang w:val="es-ES_tradnl"/>
        </w:rPr>
      </w:pPr>
      <w:r w:rsidRPr="00C271D9">
        <w:rPr>
          <w:lang w:val="es-ES_tradnl"/>
        </w:rPr>
        <w:t>3)</w:t>
      </w:r>
      <w:r w:rsidRPr="00C271D9">
        <w:rPr>
          <w:lang w:val="es-ES_tradnl"/>
        </w:rPr>
        <w:tab/>
        <w:t xml:space="preserve">Se considera el tamaño de bloque adecuado, B, para la asignación. Aunque es difícil determinar un valor absoluto para el tamaño de bloque óptimo, teniendo en cuenta el carácter de banda ancha del moderno BFWA digital o de los enlaces punto a punto requeridos, cabe prever que bloques de al menos 250 MHz pueden ser un punto de partida apropiado. Sin embargo, para definir los tamaños adecuados de los bloques puede ser conveniente una granularidad más pequeña (por ejemplo, del orden de 20/25 MHz ó 28/56 MHz) cuando sea necesaria la coherencia con las disposiciones de canales de radiofrecuencia del </w:t>
      </w:r>
      <w:r w:rsidRPr="00C271D9">
        <w:rPr>
          <w:i/>
          <w:iCs/>
          <w:lang w:val="es-ES_tradnl"/>
        </w:rPr>
        <w:t>recomienda</w:t>
      </w:r>
      <w:r w:rsidRPr="00C271D9">
        <w:rPr>
          <w:lang w:val="es-ES_tradnl"/>
        </w:rPr>
        <w:t> 1.</w:t>
      </w:r>
    </w:p>
    <w:p w:rsidR="00C271D9" w:rsidRPr="00C271D9" w:rsidRDefault="00C271D9" w:rsidP="00C271D9">
      <w:pPr>
        <w:pStyle w:val="enumlev1"/>
        <w:rPr>
          <w:lang w:val="es-ES_tradnl"/>
        </w:rPr>
      </w:pPr>
      <w:r w:rsidRPr="00C271D9">
        <w:rPr>
          <w:lang w:val="es-ES_tradnl"/>
        </w:rPr>
        <w:t>4)</w:t>
      </w:r>
      <w:r w:rsidRPr="00C271D9">
        <w:rPr>
          <w:lang w:val="es-ES_tradnl"/>
        </w:rPr>
        <w:tab/>
        <w:t>Se consideran las siguientes directrices para elaborar un plan de asignación de bloques de frecuencia adecuado:</w:t>
      </w:r>
    </w:p>
    <w:p w:rsidR="00C271D9" w:rsidRPr="00C271D9" w:rsidRDefault="00C271D9" w:rsidP="00C271D9">
      <w:pPr>
        <w:pStyle w:val="enumlev2"/>
        <w:rPr>
          <w:lang w:val="es-ES_tradnl"/>
        </w:rPr>
      </w:pPr>
      <w:r w:rsidRPr="00C271D9">
        <w:rPr>
          <w:lang w:val="es-ES_tradnl"/>
        </w:rPr>
        <w:t>–</w:t>
      </w:r>
      <w:r w:rsidRPr="00C271D9">
        <w:rPr>
          <w:lang w:val="es-ES_tradnl"/>
        </w:rPr>
        <w:tab/>
        <w:t>Debe asignarse a cada operador bloques iguales emparejados separados 1,5 GHz, independientemente de la tecnología.</w:t>
      </w:r>
    </w:p>
    <w:p w:rsidR="00C271D9" w:rsidRPr="00C271D9" w:rsidRDefault="00C271D9" w:rsidP="00C271D9">
      <w:pPr>
        <w:pStyle w:val="enumlev2"/>
        <w:rPr>
          <w:lang w:val="es-ES_tradnl"/>
        </w:rPr>
      </w:pPr>
      <w:r w:rsidRPr="00C271D9">
        <w:rPr>
          <w:lang w:val="es-ES_tradnl"/>
        </w:rPr>
        <w:t>–</w:t>
      </w:r>
      <w:r w:rsidRPr="00C271D9">
        <w:rPr>
          <w:lang w:val="es-ES_tradnl"/>
        </w:rPr>
        <w:tab/>
        <w:t>En sistemas DDF, es conveniente en el caso de enlaces punto a punto definir una sola separación dúplex de 1 500 MHz, permitiendo la existencia de DDT, que pueda funcionar en los bloques de las subbandas superior e inferior.</w:t>
      </w:r>
    </w:p>
    <w:p w:rsidR="00C271D9" w:rsidRPr="00C271D9" w:rsidRDefault="00C271D9" w:rsidP="00C271D9">
      <w:pPr>
        <w:pStyle w:val="enumlev2"/>
        <w:rPr>
          <w:lang w:val="es-ES_tradnl"/>
        </w:rPr>
      </w:pPr>
      <w:r w:rsidRPr="00C271D9">
        <w:rPr>
          <w:lang w:val="es-ES_tradnl"/>
        </w:rPr>
        <w:t>–</w:t>
      </w:r>
      <w:r w:rsidRPr="00C271D9">
        <w:rPr>
          <w:lang w:val="es-ES_tradnl"/>
        </w:rPr>
        <w:tab/>
        <w:t>Para mejorar la coexistencia genérica en el caso de instalación de sistemas DDF únicamente debe utilizarse la subbanda superior para la transmisión desde los terminales a la estación central y la subbanda inferior para la transmisión desde la estación central a los terminales.</w:t>
      </w:r>
    </w:p>
    <w:p w:rsidR="00C271D9" w:rsidRPr="00C271D9" w:rsidRDefault="00C271D9" w:rsidP="00C271D9">
      <w:pPr>
        <w:pStyle w:val="enumlev2"/>
        <w:rPr>
          <w:lang w:val="es-ES_tradnl"/>
        </w:rPr>
      </w:pPr>
      <w:r w:rsidRPr="00C271D9">
        <w:rPr>
          <w:lang w:val="es-ES_tradnl"/>
        </w:rPr>
        <w:t>–</w:t>
      </w:r>
      <w:r w:rsidRPr="00C271D9">
        <w:rPr>
          <w:lang w:val="es-ES_tradnl"/>
        </w:rPr>
        <w:tab/>
        <w:t>Si no se asigna toda la banda debe prestarse especial atención a la ubicación inicial de los operadores a fin de permitir el espacio necesario para asignaciones nuevas o ampliadas en el futuro.</w:t>
      </w:r>
    </w:p>
    <w:p w:rsidR="00C271D9" w:rsidRPr="00C271D9" w:rsidRDefault="00C271D9" w:rsidP="00C271D9">
      <w:pPr>
        <w:rPr>
          <w:lang w:val="es-ES_tradnl"/>
        </w:rPr>
      </w:pPr>
      <w:r w:rsidRPr="00C271D9">
        <w:rPr>
          <w:lang w:val="es-ES_tradnl"/>
        </w:rPr>
        <w:t>Cada bloque puede contener un esquema de canalización y unas bandas de guarda específicos a la tecnología.</w:t>
      </w:r>
    </w:p>
    <w:p w:rsidR="00C271D9" w:rsidRPr="00C271D9" w:rsidRDefault="00C271D9" w:rsidP="00C271D9">
      <w:pPr>
        <w:rPr>
          <w:lang w:val="es-ES_tradnl"/>
        </w:rPr>
      </w:pPr>
      <w:r w:rsidRPr="00C271D9">
        <w:rPr>
          <w:lang w:val="es-ES_tradnl"/>
        </w:rPr>
        <w:t>La Figura 2 presenta un ejemplo de esquema basado en dicho principio en el que a cinco operadores distintos se les atribuye diferentes tamaños de bloque emparejados.</w:t>
      </w:r>
    </w:p>
    <w:p w:rsidR="00C271D9" w:rsidRPr="00C271D9" w:rsidRDefault="00C271D9" w:rsidP="0070045B">
      <w:pPr>
        <w:pStyle w:val="FigureNo"/>
        <w:rPr>
          <w:lang w:val="es-ES_tradnl"/>
        </w:rPr>
      </w:pPr>
      <w:r w:rsidRPr="00C271D9">
        <w:rPr>
          <w:lang w:val="es-ES_tradnl"/>
        </w:rPr>
        <w:t>FigurA 2</w:t>
      </w:r>
    </w:p>
    <w:p w:rsidR="00C271D9" w:rsidRPr="00C271D9" w:rsidRDefault="00C271D9" w:rsidP="0070045B">
      <w:pPr>
        <w:pStyle w:val="Figuretitle"/>
        <w:rPr>
          <w:lang w:val="es-ES_tradnl"/>
        </w:rPr>
      </w:pPr>
      <w:r w:rsidRPr="00C271D9">
        <w:rPr>
          <w:lang w:val="es-ES_tradnl"/>
        </w:rPr>
        <w:t>Ejemplo de esquema basado en el concepto de bloques iguales emparejados</w:t>
      </w:r>
    </w:p>
    <w:p w:rsidR="00C271D9" w:rsidRPr="005A0384" w:rsidRDefault="0041093D" w:rsidP="0070045B">
      <w:pPr>
        <w:spacing w:before="0" w:after="240"/>
        <w:jc w:val="center"/>
        <w:rPr>
          <w:caps/>
          <w:sz w:val="18"/>
        </w:rPr>
      </w:pPr>
      <w:r w:rsidRPr="005A0384">
        <w:rPr>
          <w:caps/>
          <w:sz w:val="18"/>
        </w:rPr>
        <w:object w:dxaOrig="6666" w:dyaOrig="1407">
          <v:shape id="_x0000_i1101" type="#_x0000_t75" style="width:455.1pt;height:77.45pt" o:ole="">
            <v:imagedata r:id="rId20" o:title=""/>
          </v:shape>
          <o:OLEObject Type="Embed" ProgID="CorelDRAW.Graphic.14" ShapeID="_x0000_i1101" DrawAspect="Content" ObjectID="_1474371208" r:id="rId21"/>
        </w:object>
      </w:r>
    </w:p>
    <w:p w:rsidR="00C271D9" w:rsidRPr="00C271D9" w:rsidRDefault="00C271D9" w:rsidP="00C271D9">
      <w:pPr>
        <w:rPr>
          <w:lang w:val="es-ES_tradnl"/>
        </w:rPr>
      </w:pPr>
      <w:r w:rsidRPr="00C271D9">
        <w:rPr>
          <w:lang w:val="es-ES_tradnl"/>
        </w:rPr>
        <w:lastRenderedPageBreak/>
        <w:t>Proporciona a las administraciones la posibilidad de atribuir espectro sin necesidad de determinar previamente la tecnología utilizada (para sistemas punto a punto o sistemas multipunto) por los distintos operadores y da a estos últimos la flexibilidad para instalar, combinar o modificar la tecnología que emplean:</w:t>
      </w:r>
    </w:p>
    <w:p w:rsidR="00C271D9" w:rsidRPr="00C271D9" w:rsidRDefault="00C271D9" w:rsidP="00C271D9">
      <w:pPr>
        <w:pStyle w:val="enumlev1"/>
        <w:rPr>
          <w:lang w:val="es-ES_tradnl"/>
        </w:rPr>
      </w:pPr>
      <w:r w:rsidRPr="00C271D9">
        <w:rPr>
          <w:lang w:val="es-ES_tradnl"/>
        </w:rPr>
        <w:t>–</w:t>
      </w:r>
      <w:r w:rsidRPr="00C271D9">
        <w:rPr>
          <w:lang w:val="es-ES_tradnl"/>
        </w:rPr>
        <w:tab/>
        <w:t>para sistemas DDF admite todos los sistemas con una separación dúplex de 1,5 GHz (véase la Figura 3);</w:t>
      </w:r>
    </w:p>
    <w:p w:rsidR="00C271D9" w:rsidRPr="00C271D9" w:rsidRDefault="00C271D9" w:rsidP="00C271D9">
      <w:pPr>
        <w:pStyle w:val="enumlev1"/>
        <w:rPr>
          <w:lang w:val="es-ES_tradnl"/>
        </w:rPr>
      </w:pPr>
      <w:r w:rsidRPr="00C271D9">
        <w:rPr>
          <w:lang w:val="es-ES_tradnl"/>
        </w:rPr>
        <w:t>–</w:t>
      </w:r>
      <w:r w:rsidRPr="00C271D9">
        <w:rPr>
          <w:lang w:val="es-ES_tradnl"/>
        </w:rPr>
        <w:tab/>
        <w:t>para sistemas DDT (punto a punto o multipunto), los dos bloques son utilizados por separado por el operador para instalar el mismo o distintos tipos de sistemas (véase la Figura 4);</w:t>
      </w:r>
    </w:p>
    <w:p w:rsidR="00C271D9" w:rsidRPr="00C271D9" w:rsidRDefault="00C271D9" w:rsidP="00C271D9">
      <w:pPr>
        <w:pStyle w:val="enumlev1"/>
        <w:rPr>
          <w:lang w:val="es-ES_tradnl"/>
        </w:rPr>
      </w:pPr>
      <w:r w:rsidRPr="00C271D9">
        <w:rPr>
          <w:lang w:val="es-ES_tradnl"/>
        </w:rPr>
        <w:t>–</w:t>
      </w:r>
      <w:r w:rsidRPr="00C271D9">
        <w:rPr>
          <w:lang w:val="es-ES_tradnl"/>
        </w:rPr>
        <w:tab/>
        <w:t>es posible una combinación de ambos sistemas DDF y DDT dentro de los bloques o en bloques vecinos.</w:t>
      </w:r>
    </w:p>
    <w:p w:rsidR="00C271D9" w:rsidRPr="00C271D9" w:rsidRDefault="00C271D9" w:rsidP="00C271D9">
      <w:pPr>
        <w:pStyle w:val="enumlev1"/>
        <w:rPr>
          <w:lang w:val="es-ES_tradnl"/>
        </w:rPr>
      </w:pPr>
    </w:p>
    <w:p w:rsidR="00C271D9" w:rsidRPr="00C271D9" w:rsidRDefault="00C271D9" w:rsidP="00454CD5">
      <w:pPr>
        <w:pStyle w:val="FigureNo"/>
        <w:rPr>
          <w:lang w:val="es-ES_tradnl"/>
        </w:rPr>
      </w:pPr>
      <w:r w:rsidRPr="00C271D9">
        <w:rPr>
          <w:lang w:val="es-ES_tradnl"/>
        </w:rPr>
        <w:t>FigurA 3</w:t>
      </w:r>
    </w:p>
    <w:p w:rsidR="00C271D9" w:rsidRPr="00C271D9" w:rsidRDefault="00C271D9" w:rsidP="00454CD5">
      <w:pPr>
        <w:pStyle w:val="Figuretitle"/>
        <w:rPr>
          <w:lang w:val="es-ES_tradnl"/>
        </w:rPr>
      </w:pPr>
      <w:r w:rsidRPr="00C271D9">
        <w:rPr>
          <w:lang w:val="es-ES_tradnl"/>
        </w:rPr>
        <w:t>Aplicación con sistemas DDF punto a punto y P-MP (para un operador)</w:t>
      </w:r>
    </w:p>
    <w:p w:rsidR="00C271D9" w:rsidRPr="005A0384" w:rsidRDefault="0041093D" w:rsidP="00312630">
      <w:pPr>
        <w:pStyle w:val="Figure"/>
      </w:pPr>
      <w:r w:rsidRPr="005A0384">
        <w:object w:dxaOrig="6124" w:dyaOrig="2286">
          <v:shape id="_x0000_i1076" type="#_x0000_t75" style="width:391.9pt;height:146.7pt" o:ole="">
            <v:imagedata r:id="rId22" o:title=""/>
          </v:shape>
          <o:OLEObject Type="Embed" ProgID="CorelDRAW.Graphic.14" ShapeID="_x0000_i1076" DrawAspect="Content" ObjectID="_1474371209" r:id="rId23"/>
        </w:object>
      </w:r>
    </w:p>
    <w:p w:rsidR="00C271D9" w:rsidRPr="0070045B" w:rsidRDefault="00C271D9" w:rsidP="00C271D9">
      <w:pPr>
        <w:pStyle w:val="Figure"/>
        <w:rPr>
          <w:sz w:val="10"/>
          <w:szCs w:val="10"/>
        </w:rPr>
      </w:pPr>
    </w:p>
    <w:p w:rsidR="00C271D9" w:rsidRPr="0070045B" w:rsidRDefault="00C271D9" w:rsidP="00C271D9">
      <w:pPr>
        <w:pStyle w:val="FigureNo"/>
        <w:rPr>
          <w:lang w:val="es-ES_tradnl"/>
        </w:rPr>
      </w:pPr>
      <w:r w:rsidRPr="0070045B">
        <w:rPr>
          <w:lang w:val="es-ES_tradnl"/>
        </w:rPr>
        <w:t>FigurA 4</w:t>
      </w:r>
    </w:p>
    <w:p w:rsidR="00C271D9" w:rsidRPr="0070045B" w:rsidRDefault="00C271D9" w:rsidP="00C271D9">
      <w:pPr>
        <w:pStyle w:val="Figuretitle"/>
        <w:rPr>
          <w:lang w:val="es-ES_tradnl"/>
        </w:rPr>
      </w:pPr>
      <w:r w:rsidRPr="0070045B">
        <w:rPr>
          <w:lang w:val="es-ES_tradnl"/>
        </w:rPr>
        <w:t>Aplicación con sistemas DDT (para un operador)</w:t>
      </w:r>
    </w:p>
    <w:p w:rsidR="00C271D9" w:rsidRPr="005A0384" w:rsidRDefault="0041093D" w:rsidP="00312630">
      <w:pPr>
        <w:pStyle w:val="Figure"/>
      </w:pPr>
      <w:r w:rsidRPr="005A0384">
        <w:object w:dxaOrig="6124" w:dyaOrig="1668">
          <v:shape id="_x0000_i1080" type="#_x0000_t75" style="width:396pt;height:107.3pt" o:ole="">
            <v:imagedata r:id="rId24" o:title=""/>
          </v:shape>
          <o:OLEObject Type="Embed" ProgID="CorelDRAW.Graphic.14" ShapeID="_x0000_i1080" DrawAspect="Content" ObjectID="_1474371210" r:id="rId25"/>
        </w:object>
      </w:r>
      <w:r w:rsidR="00C271D9" w:rsidRPr="005A0384">
        <w:br w:type="page"/>
      </w:r>
    </w:p>
    <w:p w:rsidR="00C271D9" w:rsidRPr="00C271D9" w:rsidRDefault="00C271D9" w:rsidP="00C271D9">
      <w:pPr>
        <w:pStyle w:val="AnnexNoTitle"/>
        <w:rPr>
          <w:lang w:val="es-ES_tradnl"/>
        </w:rPr>
      </w:pPr>
      <w:r w:rsidRPr="00C271D9">
        <w:rPr>
          <w:lang w:val="es-ES_tradnl"/>
        </w:rPr>
        <w:lastRenderedPageBreak/>
        <w:t>Anexo 3</w:t>
      </w:r>
      <w:r w:rsidRPr="00C271D9">
        <w:rPr>
          <w:lang w:val="es-ES_tradnl"/>
        </w:rPr>
        <w:br/>
      </w:r>
      <w:r w:rsidRPr="00C271D9">
        <w:rPr>
          <w:lang w:val="es-ES_tradnl"/>
        </w:rPr>
        <w:br/>
        <w:t xml:space="preserve">Segmentación flexible de la banda, de acuerdo con el </w:t>
      </w:r>
      <w:r w:rsidRPr="00C271D9">
        <w:rPr>
          <w:i/>
          <w:iCs/>
          <w:lang w:val="es-ES_tradnl"/>
        </w:rPr>
        <w:t>recomienda</w:t>
      </w:r>
      <w:r w:rsidRPr="00C271D9">
        <w:rPr>
          <w:lang w:val="es-ES_tradnl"/>
        </w:rPr>
        <w:t xml:space="preserve"> 3, para la utilización conjunta de las disposiciones de canales y bloques de radiofrecuencia</w:t>
      </w:r>
    </w:p>
    <w:p w:rsidR="008A3C1F" w:rsidRDefault="008A3C1F" w:rsidP="008A3C1F">
      <w:pPr>
        <w:pStyle w:val="Normalaftertitle"/>
        <w:rPr>
          <w:lang w:val="es-ES_tradnl"/>
        </w:rPr>
      </w:pPr>
    </w:p>
    <w:p w:rsidR="00C271D9" w:rsidRPr="00C271D9" w:rsidRDefault="00C271D9" w:rsidP="008A3C1F">
      <w:pPr>
        <w:pStyle w:val="Normalaftertitle"/>
        <w:rPr>
          <w:lang w:val="es-ES_tradnl"/>
        </w:rPr>
      </w:pPr>
      <w:r w:rsidRPr="00C271D9">
        <w:rPr>
          <w:lang w:val="es-ES_tradnl"/>
        </w:rPr>
        <w:t xml:space="preserve">Puede obtenerse una utilización flexible conjunta de las dos metodologías descritas en los </w:t>
      </w:r>
      <w:r w:rsidRPr="00C271D9">
        <w:rPr>
          <w:i/>
          <w:iCs/>
          <w:lang w:val="es-ES_tradnl"/>
        </w:rPr>
        <w:t>recomienda</w:t>
      </w:r>
      <w:r w:rsidRPr="00C271D9">
        <w:rPr>
          <w:lang w:val="es-ES_tradnl"/>
        </w:rPr>
        <w:t xml:space="preserve"> 1 y 2 iniciando la instalación de los bloques (de acuerdo con el </w:t>
      </w:r>
      <w:r w:rsidRPr="00C271D9">
        <w:rPr>
          <w:i/>
          <w:iCs/>
          <w:lang w:val="es-ES_tradnl"/>
        </w:rPr>
        <w:t>recomienda</w:t>
      </w:r>
      <w:r w:rsidRPr="00C271D9">
        <w:rPr>
          <w:lang w:val="es-ES_tradnl"/>
        </w:rPr>
        <w:t xml:space="preserve"> 1) desde los límites de la frecuencia más baja hacia arriba y de los canales de radiofrecuencia punto a punto coordinados desde los límites de la frecuencia más alta hacia abajo (Opción A, véase la Figura 5) o viceversa (Opción B, véase la Figura 6).</w:t>
      </w:r>
    </w:p>
    <w:p w:rsidR="00C271D9" w:rsidRPr="00C271D9" w:rsidRDefault="00C271D9" w:rsidP="00C271D9">
      <w:pPr>
        <w:rPr>
          <w:lang w:val="es-ES_tradnl"/>
        </w:rPr>
      </w:pPr>
    </w:p>
    <w:p w:rsidR="00C271D9" w:rsidRPr="00C271D9" w:rsidRDefault="00C271D9" w:rsidP="00454CD5">
      <w:pPr>
        <w:pStyle w:val="FigureNo"/>
        <w:rPr>
          <w:lang w:val="es-ES_tradnl"/>
        </w:rPr>
      </w:pPr>
      <w:r w:rsidRPr="00C271D9">
        <w:rPr>
          <w:lang w:val="es-ES_tradnl"/>
        </w:rPr>
        <w:t>FigurA 5</w:t>
      </w:r>
    </w:p>
    <w:p w:rsidR="00C271D9" w:rsidRPr="000C6691" w:rsidRDefault="00C271D9" w:rsidP="00454CD5">
      <w:pPr>
        <w:pStyle w:val="Figuretitle"/>
        <w:rPr>
          <w:lang w:val="es-ES_tradnl"/>
        </w:rPr>
      </w:pPr>
      <w:r w:rsidRPr="00454CD5">
        <w:t>Método</w:t>
      </w:r>
      <w:r w:rsidRPr="000C6691">
        <w:rPr>
          <w:lang w:val="es-ES_tradnl"/>
        </w:rPr>
        <w:t xml:space="preserve"> de instalación flexible: opción A (preferida)</w:t>
      </w:r>
    </w:p>
    <w:p w:rsidR="00C271D9" w:rsidRPr="005A0384" w:rsidRDefault="0041093D" w:rsidP="00C271D9">
      <w:pPr>
        <w:pStyle w:val="Figure"/>
        <w:rPr>
          <w:noProof/>
          <w:lang w:eastAsia="zh-CN"/>
        </w:rPr>
      </w:pPr>
      <w:r w:rsidRPr="005A0384">
        <w:rPr>
          <w:noProof/>
          <w:lang w:eastAsia="zh-CN"/>
        </w:rPr>
        <w:object w:dxaOrig="6912" w:dyaOrig="1678">
          <v:shape id="_x0000_i1107" type="#_x0000_t75" style="width:371.55pt;height:108.7pt" o:ole="">
            <v:imagedata r:id="rId26" o:title=""/>
          </v:shape>
          <o:OLEObject Type="Embed" ProgID="CorelDRAW.Graphic.14" ShapeID="_x0000_i1107" DrawAspect="Content" ObjectID="_1474371211" r:id="rId27"/>
        </w:object>
      </w:r>
    </w:p>
    <w:p w:rsidR="00C271D9" w:rsidRPr="00D34D48" w:rsidRDefault="00C271D9" w:rsidP="00C271D9">
      <w:pPr>
        <w:pStyle w:val="FigureNo"/>
        <w:rPr>
          <w:lang w:val="es-ES_tradnl"/>
        </w:rPr>
      </w:pPr>
      <w:r w:rsidRPr="00D34D48">
        <w:rPr>
          <w:lang w:val="es-ES_tradnl"/>
        </w:rPr>
        <w:t>FigurA 6</w:t>
      </w:r>
    </w:p>
    <w:p w:rsidR="00C271D9" w:rsidRPr="00D34D48" w:rsidRDefault="00C271D9" w:rsidP="00454CD5">
      <w:pPr>
        <w:pStyle w:val="Figuretitle"/>
      </w:pPr>
      <w:r w:rsidRPr="00D34D48">
        <w:t>Método de instalación flexible: opción B</w:t>
      </w:r>
    </w:p>
    <w:p w:rsidR="00C271D9" w:rsidRPr="005A0384" w:rsidRDefault="0041093D" w:rsidP="00312630">
      <w:pPr>
        <w:pStyle w:val="Figure"/>
        <w:rPr>
          <w:noProof/>
          <w:lang w:eastAsia="zh-CN"/>
        </w:rPr>
      </w:pPr>
      <w:r w:rsidRPr="005A0384">
        <w:rPr>
          <w:noProof/>
          <w:lang w:eastAsia="zh-CN"/>
        </w:rPr>
        <w:object w:dxaOrig="6915" w:dyaOrig="1678">
          <v:shape id="_x0000_i1110" type="#_x0000_t75" style="width:368.85pt;height:108pt;mso-position-horizontal:absolute" o:ole="">
            <v:imagedata r:id="rId28" o:title=""/>
          </v:shape>
          <o:OLEObject Type="Embed" ProgID="CorelDRAW.Graphic.14" ShapeID="_x0000_i1110" DrawAspect="Content" ObjectID="_1474371212" r:id="rId29"/>
        </w:object>
      </w:r>
    </w:p>
    <w:p w:rsidR="00C271D9" w:rsidRPr="005A0384" w:rsidRDefault="00C271D9" w:rsidP="00454CD5">
      <w:pPr>
        <w:rPr>
          <w:lang w:val="es-ES_tradnl"/>
        </w:rPr>
      </w:pPr>
    </w:p>
    <w:p w:rsidR="00C271D9" w:rsidRPr="005A0384" w:rsidRDefault="00C271D9" w:rsidP="00454CD5">
      <w:pPr>
        <w:rPr>
          <w:lang w:val="es-ES_tradnl"/>
        </w:rPr>
      </w:pPr>
    </w:p>
    <w:p w:rsidR="00C271D9" w:rsidRDefault="00C271D9" w:rsidP="00C26C27">
      <w:pPr>
        <w:pStyle w:val="Line"/>
        <w:rPr>
          <w:noProof/>
          <w:lang w:eastAsia="zh-CN"/>
        </w:rPr>
      </w:pPr>
    </w:p>
    <w:p w:rsidR="00C26C27" w:rsidRPr="00C26C27" w:rsidRDefault="00C26C27" w:rsidP="00C26C27">
      <w:pPr>
        <w:rPr>
          <w:lang w:val="en-GB" w:eastAsia="zh-CN"/>
        </w:rPr>
      </w:pPr>
    </w:p>
    <w:sectPr w:rsidR="00C26C27" w:rsidRPr="00C26C27" w:rsidSect="00041AB4">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1D9" w:rsidRDefault="00C271D9">
      <w:r>
        <w:separator/>
      </w:r>
    </w:p>
  </w:endnote>
  <w:endnote w:type="continuationSeparator" w:id="0">
    <w:p w:rsidR="00C271D9" w:rsidRDefault="00C2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1D9" w:rsidRDefault="00C271D9">
      <w:r>
        <w:separator/>
      </w:r>
    </w:p>
  </w:footnote>
  <w:footnote w:type="continuationSeparator" w:id="0">
    <w:p w:rsidR="00C271D9" w:rsidRDefault="00C27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D9" w:rsidRDefault="00C271D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D9" w:rsidRDefault="00C271D9" w:rsidP="00D62884">
    <w:pPr>
      <w:pStyle w:val="Header"/>
      <w:ind w:right="360" w:firstLine="360"/>
    </w:pPr>
    <w:r>
      <w:rPr>
        <w:noProof/>
        <w:lang w:val="en-US" w:eastAsia="zh-CN"/>
      </w:rPr>
      <w:drawing>
        <wp:anchor distT="0" distB="0" distL="114300" distR="114300" simplePos="0" relativeHeight="251659264" behindDoc="1" locked="0" layoutInCell="1" allowOverlap="1" wp14:anchorId="56120F03" wp14:editId="0DD6D5D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D9" w:rsidRDefault="00C271D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65867">
      <w:rPr>
        <w:rStyle w:val="PageNumber"/>
        <w:b/>
        <w:bCs/>
        <w:noProof/>
      </w:rPr>
      <w:t>ii</w:t>
    </w:r>
    <w:r>
      <w:rPr>
        <w:rStyle w:val="PageNumber"/>
        <w:b/>
        <w:bCs/>
      </w:rPr>
      <w:fldChar w:fldCharType="end"/>
    </w:r>
    <w:r>
      <w:tab/>
    </w:r>
    <w:fldSimple w:instr=" DOCPROPERTY &quot;Header&quot; \* MERGEFORMAT ">
      <w:r w:rsidR="005C5310" w:rsidRPr="005C531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65867">
      <w:rPr>
        <w:b/>
        <w:bCs/>
        <w:noProof/>
      </w:rPr>
      <w:t>UIT-R  F.2005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D9" w:rsidRDefault="00C271D9">
    <w:pPr>
      <w:pStyle w:val="Header"/>
    </w:pPr>
    <w:r>
      <w:tab/>
    </w:r>
    <w:fldSimple w:instr=" DOCPROPERTY &quot;Header&quot; \* MERGEFORMAT ">
      <w:r w:rsidR="005C5310" w:rsidRPr="005C531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C5310">
      <w:rPr>
        <w:b/>
        <w:bCs/>
        <w:noProof/>
      </w:rPr>
      <w:t>UIT-R  F.2005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586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C5310" w:rsidRPr="005C531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65867">
      <w:rPr>
        <w:b/>
        <w:bCs/>
        <w:noProof/>
      </w:rPr>
      <w:t>UIT-R  F.2005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C5310" w:rsidRPr="005C53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65867">
      <w:rPr>
        <w:b/>
        <w:bCs/>
        <w:noProof/>
      </w:rPr>
      <w:t>UIT-R  F.2005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6586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1D9"/>
    <w:rsid w:val="0002496F"/>
    <w:rsid w:val="00041AB4"/>
    <w:rsid w:val="00050CAA"/>
    <w:rsid w:val="001B4FFD"/>
    <w:rsid w:val="001F613F"/>
    <w:rsid w:val="00217EBF"/>
    <w:rsid w:val="00242AEE"/>
    <w:rsid w:val="00281838"/>
    <w:rsid w:val="002D76C4"/>
    <w:rsid w:val="00312630"/>
    <w:rsid w:val="0041093D"/>
    <w:rsid w:val="0043687E"/>
    <w:rsid w:val="00454CD5"/>
    <w:rsid w:val="004D6AA2"/>
    <w:rsid w:val="0052529D"/>
    <w:rsid w:val="00527A65"/>
    <w:rsid w:val="005C5310"/>
    <w:rsid w:val="00607D68"/>
    <w:rsid w:val="006B76A6"/>
    <w:rsid w:val="006D6F14"/>
    <w:rsid w:val="0070045B"/>
    <w:rsid w:val="007468DA"/>
    <w:rsid w:val="008301D4"/>
    <w:rsid w:val="008A3C1F"/>
    <w:rsid w:val="00991021"/>
    <w:rsid w:val="009E00A8"/>
    <w:rsid w:val="00A538BE"/>
    <w:rsid w:val="00A6617B"/>
    <w:rsid w:val="00AB0DC8"/>
    <w:rsid w:val="00AD243E"/>
    <w:rsid w:val="00B32FCE"/>
    <w:rsid w:val="00B44E24"/>
    <w:rsid w:val="00B866F9"/>
    <w:rsid w:val="00B95649"/>
    <w:rsid w:val="00C26C27"/>
    <w:rsid w:val="00C271D9"/>
    <w:rsid w:val="00C65867"/>
    <w:rsid w:val="00CB4BB7"/>
    <w:rsid w:val="00D34D48"/>
    <w:rsid w:val="00DF4176"/>
    <w:rsid w:val="00ED69E9"/>
    <w:rsid w:val="00F9323A"/>
    <w:rsid w:val="00F96711"/>
    <w:rsid w:val="00FB1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C06B898D-EE38-4290-9BC4-6F1E646A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1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271D9"/>
    <w:rPr>
      <w:b/>
      <w:sz w:val="24"/>
      <w:lang w:val="fr-FR" w:eastAsia="en-US"/>
    </w:rPr>
  </w:style>
  <w:style w:type="character" w:customStyle="1" w:styleId="HeaderChar">
    <w:name w:val="Header Char"/>
    <w:basedOn w:val="DefaultParagraphFont"/>
    <w:link w:val="Header"/>
    <w:rsid w:val="00C271D9"/>
    <w:rPr>
      <w:sz w:val="24"/>
      <w:lang w:val="fr-FR" w:eastAsia="en-US"/>
    </w:rPr>
  </w:style>
  <w:style w:type="character" w:styleId="Hyperlink">
    <w:name w:val="Hyperlink"/>
    <w:basedOn w:val="DefaultParagraphFont"/>
    <w:rsid w:val="00C271D9"/>
    <w:rPr>
      <w:color w:val="0000FF"/>
      <w:u w:val="single"/>
    </w:rPr>
  </w:style>
  <w:style w:type="character" w:customStyle="1" w:styleId="FigureNoChar">
    <w:name w:val="Figure_No Char"/>
    <w:basedOn w:val="DefaultParagraphFont"/>
    <w:link w:val="FigureNo"/>
    <w:rsid w:val="00C271D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181</TotalTime>
  <Pages>10</Pages>
  <Words>2589</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32</cp:revision>
  <cp:lastPrinted>2014-10-09T12:21:00Z</cp:lastPrinted>
  <dcterms:created xsi:type="dcterms:W3CDTF">2014-10-09T09:33:00Z</dcterms:created>
  <dcterms:modified xsi:type="dcterms:W3CDTF">2014-10-09T12:41:00Z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