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rsidP="00A73050">
      <w:pPr>
        <w:pStyle w:val="AnnexNoTitle"/>
      </w:pPr>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0089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80F1D">
              <w:rPr>
                <w:rFonts w:ascii="Tahoma" w:hAnsi="Tahoma" w:cs="Tahoma"/>
                <w:b/>
                <w:bCs/>
                <w:iCs/>
                <w:color w:val="243285"/>
                <w:sz w:val="36"/>
                <w:szCs w:val="36"/>
              </w:rPr>
              <w:t>F</w:t>
            </w:r>
            <w:r w:rsidRPr="00A443C2">
              <w:rPr>
                <w:rFonts w:ascii="Tahoma" w:hAnsi="Tahoma" w:cs="Tahoma"/>
                <w:b/>
                <w:bCs/>
                <w:iCs/>
                <w:color w:val="243285"/>
                <w:sz w:val="36"/>
                <w:szCs w:val="36"/>
              </w:rPr>
              <w:t>.</w:t>
            </w:r>
            <w:r w:rsidR="00400899">
              <w:rPr>
                <w:rFonts w:ascii="Tahoma" w:hAnsi="Tahoma" w:cs="Tahoma"/>
                <w:b/>
                <w:bCs/>
                <w:iCs/>
                <w:color w:val="243285"/>
                <w:sz w:val="36"/>
                <w:szCs w:val="36"/>
              </w:rPr>
              <w:t>2004</w:t>
            </w:r>
          </w:p>
          <w:p w:rsidR="00FE79FE" w:rsidRPr="00A443C2" w:rsidRDefault="00FE79FE" w:rsidP="0040089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400899">
              <w:rPr>
                <w:rFonts w:ascii="Tahoma" w:hAnsi="Tahoma" w:cs="Tahoma"/>
                <w:b/>
                <w:bCs/>
                <w:iCs/>
                <w:color w:val="243285"/>
                <w:szCs w:val="24"/>
              </w:rPr>
              <w:t>3</w:t>
            </w:r>
            <w:r w:rsidRPr="00A443C2">
              <w:rPr>
                <w:rFonts w:ascii="Tahoma" w:hAnsi="Tahoma" w:cs="Tahoma"/>
                <w:b/>
                <w:bCs/>
                <w:iCs/>
                <w:color w:val="243285"/>
                <w:szCs w:val="24"/>
              </w:rPr>
              <w:t>/</w:t>
            </w:r>
            <w:r w:rsidR="00400899">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400899" w:rsidP="00400899">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Dispositions des canaux radioélectriques pour les systèmes du service fixe fonctionnant dans la gamme 92-95 GHz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80F1D">
              <w:rPr>
                <w:rFonts w:ascii="Tahoma" w:hAnsi="Tahoma" w:cs="Tahoma"/>
                <w:b/>
                <w:bCs/>
                <w:iCs/>
                <w:color w:val="243285"/>
                <w:sz w:val="36"/>
                <w:szCs w:val="36"/>
              </w:rPr>
              <w:t>F</w:t>
            </w:r>
          </w:p>
          <w:p w:rsidR="00FE79FE" w:rsidRPr="00F54FBD" w:rsidRDefault="00E80F1D"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127062"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E80F1D">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E80F1D" w:rsidTr="00E80F1D">
        <w:tc>
          <w:tcPr>
            <w:tcW w:w="1140" w:type="dxa"/>
            <w:tcBorders>
              <w:top w:val="nil"/>
              <w:bottom w:val="nil"/>
            </w:tcBorders>
            <w:shd w:val="clear" w:color="auto" w:fill="F3F3F3"/>
          </w:tcPr>
          <w:p w:rsidR="00F54FBD" w:rsidRPr="00E80F1D" w:rsidRDefault="00F54FBD"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F54FBD" w:rsidRPr="00E80F1D"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3D3531">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724A3">
      <w:pPr>
        <w:spacing w:before="0"/>
        <w:jc w:val="right"/>
        <w:rPr>
          <w:sz w:val="20"/>
        </w:rPr>
      </w:pPr>
      <w:r w:rsidRPr="00614CC6">
        <w:rPr>
          <w:sz w:val="20"/>
        </w:rPr>
        <w:t>G</w:t>
      </w:r>
      <w:r w:rsidR="00614CC6" w:rsidRPr="00614CC6">
        <w:rPr>
          <w:sz w:val="20"/>
        </w:rPr>
        <w:t>enève</w:t>
      </w:r>
      <w:r w:rsidRPr="00614CC6">
        <w:rPr>
          <w:sz w:val="20"/>
        </w:rPr>
        <w:t>, 20</w:t>
      </w:r>
      <w:r w:rsidR="00F50711">
        <w:rPr>
          <w:sz w:val="20"/>
        </w:rPr>
        <w:t>1</w:t>
      </w:r>
      <w:r w:rsidR="00F724A3">
        <w:rPr>
          <w:sz w:val="20"/>
        </w:rPr>
        <w:t>4</w:t>
      </w:r>
    </w:p>
    <w:p w:rsidR="00F54FBD" w:rsidRPr="00614CC6" w:rsidRDefault="00F54FBD" w:rsidP="0039546C">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F50711">
        <w:rPr>
          <w:sz w:val="20"/>
        </w:rPr>
        <w:t>1</w:t>
      </w:r>
      <w:r w:rsidR="00F724A3">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54B08" w:rsidRPr="00E77C1D" w:rsidRDefault="00756B4D" w:rsidP="00754B08">
      <w:pPr>
        <w:pStyle w:val="RecNo"/>
        <w:spacing w:before="0"/>
      </w:pPr>
      <w:bookmarkStart w:id="3" w:name="irecnoe"/>
      <w:bookmarkEnd w:id="3"/>
      <w:r w:rsidRPr="00756B4D">
        <w:lastRenderedPageBreak/>
        <w:t>RECOMMA</w:t>
      </w:r>
      <w:r w:rsidR="00934ED7" w:rsidRPr="00756B4D">
        <w:t xml:space="preserve">NDATION  </w:t>
      </w:r>
      <w:r w:rsidR="00CE2E0A">
        <w:rPr>
          <w:rStyle w:val="href"/>
        </w:rPr>
        <w:t>UIT</w:t>
      </w:r>
      <w:r w:rsidR="00934ED7" w:rsidRPr="00756B4D">
        <w:rPr>
          <w:rStyle w:val="href"/>
        </w:rPr>
        <w:t xml:space="preserve">-R  </w:t>
      </w:r>
      <w:r w:rsidR="00E80F1D">
        <w:rPr>
          <w:rStyle w:val="href"/>
        </w:rPr>
        <w:t>F</w:t>
      </w:r>
      <w:r w:rsidR="00934ED7" w:rsidRPr="00756B4D">
        <w:rPr>
          <w:rStyle w:val="href"/>
        </w:rPr>
        <w:t>.</w:t>
      </w:r>
      <w:r w:rsidR="00400899">
        <w:rPr>
          <w:rStyle w:val="href"/>
        </w:rPr>
        <w:t>2004</w:t>
      </w:r>
    </w:p>
    <w:p w:rsidR="00754B08" w:rsidRPr="00E77C1D" w:rsidRDefault="00754B08" w:rsidP="008D21DB">
      <w:pPr>
        <w:pStyle w:val="Rectitle"/>
      </w:pPr>
      <w:r w:rsidRPr="00E77C1D">
        <w:t xml:space="preserve">Dispositions des canaux radioélectriques pour les systèmes du service fixe fonctionnant dans la gamme 92-95 GHz </w:t>
      </w:r>
    </w:p>
    <w:p w:rsidR="00754B08" w:rsidRPr="00E77C1D" w:rsidRDefault="00754B08" w:rsidP="00754B08">
      <w:pPr>
        <w:pStyle w:val="Recref"/>
        <w:spacing w:before="360"/>
      </w:pPr>
      <w:r w:rsidRPr="00E77C1D">
        <w:t xml:space="preserve">(Question </w:t>
      </w:r>
      <w:r>
        <w:t>UIT</w:t>
      </w:r>
      <w:r w:rsidRPr="00E77C1D">
        <w:t>-R 247/5)</w:t>
      </w:r>
    </w:p>
    <w:p w:rsidR="00754B08" w:rsidRPr="00E77C1D" w:rsidRDefault="00754B08" w:rsidP="00754B08">
      <w:pPr>
        <w:pStyle w:val="Recdate"/>
      </w:pPr>
      <w:r w:rsidRPr="00E77C1D">
        <w:t>(2012)</w:t>
      </w:r>
    </w:p>
    <w:p w:rsidR="00754B08" w:rsidRPr="00A753F3" w:rsidRDefault="00754B08" w:rsidP="00754B08">
      <w:pPr>
        <w:pStyle w:val="HeadingSum"/>
        <w:rPr>
          <w:lang w:val="fr-FR"/>
        </w:rPr>
      </w:pPr>
      <w:r w:rsidRPr="00A753F3">
        <w:rPr>
          <w:lang w:val="fr-FR"/>
        </w:rPr>
        <w:t>Domaine d'application</w:t>
      </w:r>
    </w:p>
    <w:p w:rsidR="00754B08" w:rsidRPr="00CD2648" w:rsidRDefault="00754B08" w:rsidP="008D21DB">
      <w:pPr>
        <w:pStyle w:val="Summary"/>
        <w:rPr>
          <w:lang w:val="fr-CH" w:eastAsia="ja-JP"/>
        </w:rPr>
      </w:pPr>
      <w:r w:rsidRPr="00CD2648">
        <w:rPr>
          <w:lang w:val="fr-CH"/>
        </w:rPr>
        <w:t>La présente Recommandation décrit les dispositions des canaux dans les parties de la gamme 92,0</w:t>
      </w:r>
      <w:r w:rsidRPr="00CD2648">
        <w:rPr>
          <w:lang w:val="fr-CH"/>
        </w:rPr>
        <w:noBreakHyphen/>
        <w:t>95,0 GHz attribuées au service fixe. Les dispositions reposent sur une structure homogène d'intervalles de 50 MHz et sont proposées pour des applications en mode duplex à répartition en fréquence (DRF) ou duplex à répartition dans le temps (DRT).</w:t>
      </w:r>
    </w:p>
    <w:p w:rsidR="00754B08" w:rsidRPr="00E77C1D" w:rsidRDefault="00754B08" w:rsidP="00754B08">
      <w:pPr>
        <w:pStyle w:val="Normalaftertitle"/>
      </w:pPr>
      <w:r w:rsidRPr="00E77C1D">
        <w:t>L'Assemblée des radiocommunications de l'UIT,</w:t>
      </w:r>
    </w:p>
    <w:p w:rsidR="00754B08" w:rsidRPr="00D04DE3" w:rsidRDefault="00754B08" w:rsidP="00754B08">
      <w:pPr>
        <w:pStyle w:val="Call"/>
      </w:pPr>
      <w:r w:rsidRPr="00D04DE3">
        <w:t>considérant</w:t>
      </w:r>
    </w:p>
    <w:p w:rsidR="00754B08" w:rsidRPr="00E77C1D" w:rsidRDefault="00754B08" w:rsidP="00754B08">
      <w:r w:rsidRPr="008D21DB">
        <w:rPr>
          <w:i/>
          <w:iCs/>
        </w:rPr>
        <w:t>a)</w:t>
      </w:r>
      <w:r w:rsidRPr="00E77C1D">
        <w:tab/>
        <w:t xml:space="preserve">que, dans la gamme de fréquences 92-95 GHz, les bandes 92,0-94,0 GHz et </w:t>
      </w:r>
      <w:r w:rsidRPr="00E77C1D">
        <w:rPr>
          <w:lang w:eastAsia="ja-JP"/>
        </w:rPr>
        <w:t>94,1-95 GHz sont attribuées au service fixe;</w:t>
      </w:r>
    </w:p>
    <w:p w:rsidR="00754B08" w:rsidRPr="00E77C1D" w:rsidRDefault="00754B08" w:rsidP="00754B08">
      <w:r w:rsidRPr="008D21DB">
        <w:rPr>
          <w:i/>
          <w:iCs/>
        </w:rPr>
        <w:t>b)</w:t>
      </w:r>
      <w:r w:rsidRPr="00E77C1D">
        <w:tab/>
        <w:t>que les caractéristiques de propagation dans la bande 92,0-9</w:t>
      </w:r>
      <w:r>
        <w:t>5</w:t>
      </w:r>
      <w:r w:rsidRPr="00E77C1D">
        <w:t>,0 GHz conviennent idéalement pour les liaisons radioélectriques numériques de courte portée dans des réseaux à haute densité;</w:t>
      </w:r>
    </w:p>
    <w:p w:rsidR="00754B08" w:rsidRPr="00E77C1D" w:rsidRDefault="00754B08" w:rsidP="00754B08">
      <w:r w:rsidRPr="008D21DB">
        <w:rPr>
          <w:i/>
          <w:iCs/>
        </w:rPr>
        <w:t>c)</w:t>
      </w:r>
      <w:r w:rsidRPr="00E77C1D">
        <w:tab/>
        <w:t>que, dans cette gamme de fréquence</w:t>
      </w:r>
      <w:r>
        <w:t>s</w:t>
      </w:r>
      <w:r w:rsidRPr="00E77C1D">
        <w:t xml:space="preserve">, </w:t>
      </w:r>
      <w:r>
        <w:t>une directivité d'antenne élevée est possible même avec des antennes de petite taille, ce qui permet d'augmenter la densité des équipements et de réduire encore le risque de brouillage au sein d'un même service et avec d'autres services radioélectriques;</w:t>
      </w:r>
    </w:p>
    <w:p w:rsidR="00754B08" w:rsidRPr="00E77C1D" w:rsidRDefault="00754B08" w:rsidP="00754B08">
      <w:r w:rsidRPr="008D21DB">
        <w:rPr>
          <w:i/>
          <w:iCs/>
        </w:rPr>
        <w:t>d)</w:t>
      </w:r>
      <w:r w:rsidRPr="00E77C1D">
        <w:tab/>
      </w:r>
      <w:r>
        <w:t>que des applications différentes pour lesquelles différentes administrations ont délivré des licences peuvent nécessiter des dispositions de canaux radioélectriques différentes</w:t>
      </w:r>
      <w:r w:rsidRPr="00E77C1D">
        <w:t>;</w:t>
      </w:r>
    </w:p>
    <w:p w:rsidR="00754B08" w:rsidRPr="00E77C1D" w:rsidRDefault="00754B08" w:rsidP="00754B08">
      <w:r w:rsidRPr="008D21DB">
        <w:rPr>
          <w:i/>
          <w:iCs/>
        </w:rPr>
        <w:t>e)</w:t>
      </w:r>
      <w:r w:rsidRPr="00E77C1D">
        <w:tab/>
      </w:r>
      <w:r>
        <w:t>que les applications dans cette bande peuvent nécessiter des largeurs de bande de canal différentes</w:t>
      </w:r>
      <w:r w:rsidRPr="00E77C1D">
        <w:t>;</w:t>
      </w:r>
    </w:p>
    <w:p w:rsidR="00754B08" w:rsidRPr="00E77C1D" w:rsidRDefault="00754B08" w:rsidP="00754B08">
      <w:r w:rsidRPr="008D21DB">
        <w:rPr>
          <w:i/>
          <w:iCs/>
        </w:rPr>
        <w:t>f)</w:t>
      </w:r>
      <w:r w:rsidRPr="00E77C1D">
        <w:tab/>
      </w:r>
      <w:r>
        <w:t>que plusieurs services radioélectriques ayant des caractéristiques et capacités de signal de transmission différentes peuvent être utilisés simultanément dans cette bande</w:t>
      </w:r>
      <w:r w:rsidRPr="00E77C1D">
        <w:t>;</w:t>
      </w:r>
    </w:p>
    <w:p w:rsidR="00754B08" w:rsidRPr="00E77C1D" w:rsidRDefault="00754B08" w:rsidP="00754B08">
      <w:pPr>
        <w:rPr>
          <w:color w:val="000000"/>
        </w:rPr>
      </w:pPr>
      <w:r w:rsidRPr="008D21DB">
        <w:rPr>
          <w:i/>
          <w:iCs/>
          <w:color w:val="000000"/>
        </w:rPr>
        <w:t>g)</w:t>
      </w:r>
      <w:r w:rsidRPr="00E77C1D">
        <w:rPr>
          <w:color w:val="000000"/>
        </w:rPr>
        <w:tab/>
      </w:r>
      <w:r>
        <w:t>que la limite inférieure de la bande convient pour les liaisons radioélectriques à bonds les plus longs car l'affaiblissement dû aux gaz atmosphériques y est moindre que dans la partie supérieure de la bande</w:t>
      </w:r>
      <w:r w:rsidRPr="00E77C1D">
        <w:rPr>
          <w:color w:val="000000"/>
        </w:rPr>
        <w:t>,</w:t>
      </w:r>
    </w:p>
    <w:p w:rsidR="00754B08" w:rsidRPr="00D04DE3" w:rsidRDefault="00754B08" w:rsidP="00754B08">
      <w:pPr>
        <w:pStyle w:val="Call"/>
      </w:pPr>
      <w:r w:rsidRPr="00D04DE3">
        <w:t>recommande</w:t>
      </w:r>
    </w:p>
    <w:p w:rsidR="00754B08" w:rsidRPr="00E77C1D" w:rsidRDefault="00754B08" w:rsidP="00754B08">
      <w:r w:rsidRPr="00A753F3">
        <w:rPr>
          <w:b/>
          <w:bCs/>
        </w:rPr>
        <w:t>1</w:t>
      </w:r>
      <w:r w:rsidRPr="00E77C1D">
        <w:rPr>
          <w:b/>
          <w:bCs/>
        </w:rPr>
        <w:tab/>
      </w:r>
      <w:r w:rsidRPr="00BF7BEB">
        <w:t xml:space="preserve">d'établir les dispositions de canaux préférées pour la bande </w:t>
      </w:r>
      <w:r>
        <w:t>92,0-95,0</w:t>
      </w:r>
      <w:r w:rsidRPr="00BF7BEB">
        <w:t xml:space="preserve"> GHz à partir de structures homogènes</w:t>
      </w:r>
      <w:r w:rsidRPr="00E77C1D">
        <w:t>;</w:t>
      </w:r>
    </w:p>
    <w:p w:rsidR="00754B08" w:rsidRDefault="00754B08" w:rsidP="00754B08">
      <w:r w:rsidRPr="00A753F3">
        <w:rPr>
          <w:b/>
          <w:bCs/>
        </w:rPr>
        <w:t>2</w:t>
      </w:r>
      <w:r w:rsidRPr="00E77C1D">
        <w:tab/>
      </w:r>
      <w:r>
        <w:t xml:space="preserve">de définir la disposition des canaux pour les systèmes </w:t>
      </w:r>
      <w:r w:rsidRPr="00E77C1D">
        <w:t xml:space="preserve">en mode duplex à répartition </w:t>
      </w:r>
      <w:r>
        <w:t xml:space="preserve">dans le temps </w:t>
      </w:r>
      <w:r w:rsidRPr="00E77C1D">
        <w:t>(DRT)</w:t>
      </w:r>
      <w:r>
        <w:t xml:space="preserve"> fonctionnant dans la gamme 92,0-95,0 GHz conformément à l'Annexe 1;</w:t>
      </w:r>
    </w:p>
    <w:p w:rsidR="00754B08" w:rsidRPr="00E77C1D" w:rsidRDefault="00754B08" w:rsidP="00754B08">
      <w:r w:rsidRPr="00A753F3">
        <w:rPr>
          <w:b/>
          <w:bCs/>
        </w:rPr>
        <w:t>3</w:t>
      </w:r>
      <w:r w:rsidRPr="00E77C1D">
        <w:tab/>
      </w:r>
      <w:r>
        <w:t xml:space="preserve">de définir la disposition des canaux pour les systèmes </w:t>
      </w:r>
      <w:r w:rsidRPr="00E77C1D">
        <w:t xml:space="preserve">en mode duplex à répartition </w:t>
      </w:r>
      <w:r>
        <w:t xml:space="preserve">en fréquence </w:t>
      </w:r>
      <w:r w:rsidRPr="00E77C1D">
        <w:t>(DR</w:t>
      </w:r>
      <w:r>
        <w:t>F</w:t>
      </w:r>
      <w:r w:rsidRPr="00E77C1D">
        <w:t>)</w:t>
      </w:r>
      <w:r>
        <w:t xml:space="preserve"> fonctionnant dans la gamme 92,0-95,0 GHz conformément à l'Annexe </w:t>
      </w:r>
      <w:r w:rsidRPr="00E77C1D">
        <w:t>2.</w:t>
      </w:r>
    </w:p>
    <w:p w:rsidR="00754B08" w:rsidRPr="00E77C1D" w:rsidRDefault="00754B08" w:rsidP="00754B08"/>
    <w:p w:rsidR="00754B08" w:rsidRPr="00E77C1D" w:rsidRDefault="00754B08" w:rsidP="00754B08"/>
    <w:p w:rsidR="00754B08" w:rsidRPr="00A73050" w:rsidRDefault="00754B08" w:rsidP="00A73050">
      <w:pPr>
        <w:pStyle w:val="AnnexNoTitle"/>
        <w:tabs>
          <w:tab w:val="clear" w:pos="794"/>
          <w:tab w:val="left" w:pos="993"/>
        </w:tabs>
        <w:ind w:left="0" w:firstLine="0"/>
        <w:rPr>
          <w:b/>
          <w:bCs/>
        </w:rPr>
      </w:pPr>
      <w:r w:rsidRPr="00A73050">
        <w:rPr>
          <w:b/>
          <w:bCs/>
        </w:rPr>
        <w:lastRenderedPageBreak/>
        <w:t>Annexe 1</w:t>
      </w:r>
      <w:r w:rsidR="00A73050">
        <w:rPr>
          <w:b/>
          <w:bCs/>
        </w:rPr>
        <w:br/>
      </w:r>
      <w:r w:rsidR="00A73050">
        <w:rPr>
          <w:b/>
          <w:bCs/>
        </w:rPr>
        <w:br/>
      </w:r>
      <w:r w:rsidRPr="00A73050">
        <w:rPr>
          <w:b/>
          <w:bCs/>
        </w:rPr>
        <w:t>Disposition des canaux radioélectriques dans la bande 92,0-95,0 GHz</w:t>
      </w:r>
      <w:r w:rsidRPr="00A73050">
        <w:rPr>
          <w:rStyle w:val="FootnoteReference"/>
          <w:b/>
          <w:bCs/>
          <w:szCs w:val="24"/>
        </w:rPr>
        <w:footnoteReference w:customMarkFollows="1" w:id="1"/>
        <w:t>*</w:t>
      </w:r>
      <w:r w:rsidR="00A73050">
        <w:rPr>
          <w:rStyle w:val="FootnoteReference"/>
          <w:b/>
          <w:bCs/>
          <w:szCs w:val="24"/>
        </w:rPr>
        <w:br/>
      </w:r>
      <w:r w:rsidRPr="00A73050">
        <w:rPr>
          <w:b/>
          <w:bCs/>
        </w:rPr>
        <w:t>pour les systèmes DRT</w:t>
      </w:r>
    </w:p>
    <w:p w:rsidR="00754B08" w:rsidRPr="00E77C1D" w:rsidRDefault="00754B08" w:rsidP="00754B08">
      <w:pPr>
        <w:pStyle w:val="enumlev1"/>
        <w:spacing w:before="480"/>
      </w:pPr>
      <w:r w:rsidRPr="00E77C1D">
        <w:t>Soit</w:t>
      </w:r>
      <w:r w:rsidRPr="00E77C1D">
        <w:tab/>
      </w:r>
      <w:r w:rsidRPr="00E77C1D">
        <w:tab/>
      </w:r>
      <w:r w:rsidRPr="00E77C1D">
        <w:rPr>
          <w:i/>
        </w:rPr>
        <w:t>f</w:t>
      </w:r>
      <w:r w:rsidRPr="00E77C1D">
        <w:rPr>
          <w:i/>
          <w:vertAlign w:val="subscript"/>
        </w:rPr>
        <w:t>r</w:t>
      </w:r>
      <w:r>
        <w:t xml:space="preserve"> :</w:t>
      </w:r>
      <w:r w:rsidRPr="00E77C1D">
        <w:tab/>
        <w:t>la fréquence de référence de 92 000 MHz,</w:t>
      </w:r>
    </w:p>
    <w:p w:rsidR="00754B08" w:rsidRPr="00E77C1D" w:rsidRDefault="00754B08" w:rsidP="00754B08">
      <w:pPr>
        <w:pStyle w:val="enumlev1"/>
      </w:pPr>
      <w:r w:rsidRPr="00E77C1D">
        <w:tab/>
      </w:r>
      <w:r w:rsidRPr="00E77C1D">
        <w:tab/>
      </w:r>
      <w:r w:rsidRPr="00E77C1D">
        <w:rPr>
          <w:i/>
        </w:rPr>
        <w:t>f</w:t>
      </w:r>
      <w:r w:rsidRPr="00E77C1D">
        <w:rPr>
          <w:i/>
          <w:vertAlign w:val="subscript"/>
        </w:rPr>
        <w:t>n</w:t>
      </w:r>
      <w:r>
        <w:t xml:space="preserve"> :</w:t>
      </w:r>
      <w:r w:rsidRPr="00E77C1D">
        <w:tab/>
        <w:t xml:space="preserve">la fréquence centrale d'un canal radioélectrique dans la bande </w:t>
      </w:r>
      <w:r w:rsidRPr="00E77C1D">
        <w:rPr>
          <w:bCs/>
        </w:rPr>
        <w:t>92-95 GHz,</w:t>
      </w:r>
    </w:p>
    <w:p w:rsidR="00754B08" w:rsidRPr="00E77C1D" w:rsidRDefault="00754B08" w:rsidP="00754B08">
      <w:r w:rsidRPr="00E77C1D">
        <w:t>les fréquences centrales des différents canaux s'expriment alors par les relations suivantes:</w:t>
      </w:r>
    </w:p>
    <w:p w:rsidR="00754B08" w:rsidRPr="00E77C1D" w:rsidRDefault="00754B08" w:rsidP="00754B08">
      <w:pPr>
        <w:pStyle w:val="enumlev1"/>
      </w:pPr>
      <w:r w:rsidRPr="00E77C1D">
        <w:t>a)</w:t>
      </w:r>
      <w:r w:rsidRPr="00E77C1D">
        <w:tab/>
        <w:t>pour les systèmes ayant un espacement des canaux de 100 MHz:</w:t>
      </w:r>
    </w:p>
    <w:p w:rsidR="00754B08" w:rsidRPr="00E77C1D" w:rsidRDefault="00754B08" w:rsidP="00754B08">
      <w:pPr>
        <w:pStyle w:val="enumlev1"/>
      </w:pPr>
      <w:r w:rsidRPr="00E77C1D">
        <w:tab/>
      </w:r>
      <w:r w:rsidRPr="00E77C1D">
        <w:rPr>
          <w:i/>
        </w:rPr>
        <w:t>f</w:t>
      </w:r>
      <w:r w:rsidRPr="00E77C1D">
        <w:rPr>
          <w:i/>
          <w:position w:val="-4"/>
          <w:sz w:val="20"/>
        </w:rPr>
        <w:t>n</w:t>
      </w:r>
      <w:r w:rsidRPr="00E77C1D">
        <w:t> </w:t>
      </w:r>
      <w:r w:rsidRPr="00E77C1D">
        <w:rPr>
          <w:rFonts w:ascii="Symbol" w:hAnsi="Symbol" w:cs="Symbol"/>
        </w:rPr>
        <w:t></w:t>
      </w:r>
      <w:r w:rsidRPr="00E77C1D">
        <w:t> </w:t>
      </w:r>
      <w:r w:rsidRPr="00E77C1D">
        <w:rPr>
          <w:i/>
        </w:rPr>
        <w:t>f</w:t>
      </w:r>
      <w:r w:rsidRPr="00E77C1D">
        <w:rPr>
          <w:i/>
          <w:position w:val="-4"/>
          <w:sz w:val="20"/>
        </w:rPr>
        <w:t>r</w:t>
      </w:r>
      <w:r w:rsidRPr="00E77C1D">
        <w:t> </w:t>
      </w:r>
      <w:r w:rsidRPr="00E77C1D">
        <w:rPr>
          <w:rFonts w:ascii="Symbol" w:hAnsi="Symbol" w:cs="Symbol"/>
        </w:rPr>
        <w:t></w:t>
      </w:r>
      <w:r w:rsidRPr="00E77C1D">
        <w:t xml:space="preserve"> 100 </w:t>
      </w:r>
      <w:r w:rsidRPr="00E77C1D">
        <w:rPr>
          <w:i/>
        </w:rPr>
        <w:t>n</w:t>
      </w:r>
      <w:r w:rsidRPr="00E77C1D">
        <w:rPr>
          <w:iCs/>
        </w:rPr>
        <w:t xml:space="preserve"> </w:t>
      </w:r>
      <w:r w:rsidRPr="00E77C1D">
        <w:t>MHz</w:t>
      </w:r>
    </w:p>
    <w:p w:rsidR="00754B08" w:rsidRPr="00E77C1D" w:rsidRDefault="00754B08" w:rsidP="00754B08">
      <w:r w:rsidRPr="00E77C1D">
        <w:t>où:</w:t>
      </w:r>
    </w:p>
    <w:p w:rsidR="00754B08" w:rsidRPr="00E77C1D" w:rsidRDefault="00754B08" w:rsidP="00754B08">
      <w:pPr>
        <w:pStyle w:val="enumlev1"/>
      </w:pPr>
      <w:r w:rsidRPr="00E77C1D">
        <w:rPr>
          <w:i/>
          <w:iCs/>
        </w:rPr>
        <w:tab/>
        <w:t>n </w:t>
      </w:r>
      <w:r w:rsidRPr="00E77C1D">
        <w:rPr>
          <w:rFonts w:ascii="Symbol" w:hAnsi="Symbol"/>
        </w:rPr>
        <w:t></w:t>
      </w:r>
      <w:r w:rsidRPr="00E77C1D">
        <w:t> 1, 2, ..., 19, 22, 23, …, 29 (Notes 1 et 2)</w:t>
      </w:r>
    </w:p>
    <w:p w:rsidR="00754B08" w:rsidRPr="00E77C1D" w:rsidRDefault="00754B08" w:rsidP="00754B08">
      <w:r w:rsidRPr="00E77C1D">
        <w:t>b)</w:t>
      </w:r>
      <w:r w:rsidRPr="00E77C1D">
        <w:tab/>
        <w:t>pour les systèmes ayant un espacement des canaux de 50 MHz:</w:t>
      </w:r>
    </w:p>
    <w:p w:rsidR="00754B08" w:rsidRPr="00E77C1D" w:rsidRDefault="00754B08" w:rsidP="00754B08">
      <w:r w:rsidRPr="00E77C1D">
        <w:tab/>
      </w:r>
      <w:r w:rsidRPr="00E77C1D">
        <w:rPr>
          <w:i/>
        </w:rPr>
        <w:t>f</w:t>
      </w:r>
      <w:r w:rsidRPr="00E77C1D">
        <w:rPr>
          <w:i/>
          <w:position w:val="-4"/>
          <w:sz w:val="20"/>
        </w:rPr>
        <w:t>n</w:t>
      </w:r>
      <w:r w:rsidRPr="00E77C1D">
        <w:t> </w:t>
      </w:r>
      <w:r w:rsidRPr="00E77C1D">
        <w:rPr>
          <w:rFonts w:ascii="Symbol" w:hAnsi="Symbol" w:cs="Symbol"/>
        </w:rPr>
        <w:t></w:t>
      </w:r>
      <w:r w:rsidRPr="00E77C1D">
        <w:t> </w:t>
      </w:r>
      <w:r w:rsidRPr="00E77C1D">
        <w:rPr>
          <w:i/>
        </w:rPr>
        <w:t>f</w:t>
      </w:r>
      <w:r w:rsidRPr="00E77C1D">
        <w:rPr>
          <w:i/>
          <w:position w:val="-4"/>
          <w:sz w:val="20"/>
        </w:rPr>
        <w:t>r</w:t>
      </w:r>
      <w:r w:rsidRPr="00E77C1D">
        <w:t> + 25 </w:t>
      </w:r>
      <w:r w:rsidRPr="00E77C1D">
        <w:rPr>
          <w:rFonts w:ascii="Symbol" w:hAnsi="Symbol" w:cs="Symbol"/>
        </w:rPr>
        <w:t></w:t>
      </w:r>
      <w:r w:rsidRPr="00E77C1D">
        <w:t xml:space="preserve"> 50 </w:t>
      </w:r>
      <w:r w:rsidRPr="00E77C1D">
        <w:rPr>
          <w:i/>
        </w:rPr>
        <w:t>n</w:t>
      </w:r>
      <w:r w:rsidRPr="00E77C1D">
        <w:rPr>
          <w:iCs/>
        </w:rPr>
        <w:t> </w:t>
      </w:r>
      <w:r w:rsidRPr="00E77C1D">
        <w:t>MHz</w:t>
      </w:r>
    </w:p>
    <w:p w:rsidR="00754B08" w:rsidRPr="00E77C1D" w:rsidRDefault="00754B08" w:rsidP="00754B08">
      <w:pPr>
        <w:tabs>
          <w:tab w:val="left" w:pos="3686"/>
        </w:tabs>
      </w:pPr>
      <w:r w:rsidRPr="00E77C1D">
        <w:t>où:</w:t>
      </w:r>
    </w:p>
    <w:p w:rsidR="00754B08" w:rsidRPr="00E77C1D" w:rsidRDefault="00754B08" w:rsidP="00754B08">
      <w:pPr>
        <w:pStyle w:val="enumlev1"/>
        <w:tabs>
          <w:tab w:val="left" w:pos="3686"/>
        </w:tabs>
      </w:pPr>
      <w:r w:rsidRPr="00E77C1D">
        <w:rPr>
          <w:i/>
          <w:iCs/>
        </w:rPr>
        <w:tab/>
        <w:t>n </w:t>
      </w:r>
      <w:r w:rsidRPr="00E77C1D">
        <w:rPr>
          <w:rFonts w:ascii="Symbol" w:hAnsi="Symbol"/>
        </w:rPr>
        <w:t></w:t>
      </w:r>
      <w:r w:rsidRPr="00E77C1D">
        <w:t> 1, 2, …, 39, 43, 44, …, 58 (Note 1)</w:t>
      </w:r>
    </w:p>
    <w:p w:rsidR="00754B08" w:rsidRPr="00E77C1D" w:rsidRDefault="00754B08" w:rsidP="00754B08">
      <w:pPr>
        <w:pStyle w:val="FigureNo"/>
      </w:pPr>
      <w:r w:rsidRPr="00E77C1D">
        <w:t>Figure 1</w:t>
      </w:r>
    </w:p>
    <w:p w:rsidR="00754B08" w:rsidRPr="00E77C1D" w:rsidRDefault="00754B08" w:rsidP="00754B08">
      <w:pPr>
        <w:pStyle w:val="Figuretitle"/>
      </w:pPr>
      <w:r>
        <w:t>Occupation du spectre</w:t>
      </w:r>
      <w:r w:rsidRPr="00E77C1D">
        <w:t>:</w:t>
      </w:r>
      <w:r>
        <w:t xml:space="preserve"> bande</w:t>
      </w:r>
      <w:r w:rsidRPr="00E77C1D">
        <w:t xml:space="preserve"> 92</w:t>
      </w:r>
      <w:r>
        <w:t>-</w:t>
      </w:r>
      <w:r w:rsidRPr="00E77C1D">
        <w:t>95 GHz (Note 1)</w:t>
      </w:r>
    </w:p>
    <w:p w:rsidR="00754B08" w:rsidRDefault="00F671F3" w:rsidP="00754B08">
      <w:pPr>
        <w:pStyle w:val="Figure"/>
      </w:pPr>
      <w:r w:rsidRPr="00E77C1D">
        <w:object w:dxaOrig="7015" w:dyaOrig="6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308.4pt" o:ole="">
            <v:imagedata r:id="rId13" o:title=""/>
          </v:shape>
          <o:OLEObject Type="Embed" ProgID="CorelDRAW.Graphic.14" ShapeID="_x0000_i1025" DrawAspect="Content" ObjectID="_1472300585" r:id="rId14"/>
        </w:object>
      </w:r>
    </w:p>
    <w:p w:rsidR="00754B08" w:rsidRPr="00E72BAF" w:rsidRDefault="00754B08" w:rsidP="00E72BAF">
      <w:pPr>
        <w:pStyle w:val="AnnexNoTitle"/>
        <w:tabs>
          <w:tab w:val="clear" w:pos="794"/>
          <w:tab w:val="left" w:pos="993"/>
        </w:tabs>
        <w:ind w:left="0" w:firstLine="0"/>
        <w:rPr>
          <w:b/>
          <w:bCs/>
        </w:rPr>
      </w:pPr>
      <w:r w:rsidRPr="00E72BAF">
        <w:rPr>
          <w:b/>
          <w:bCs/>
        </w:rPr>
        <w:lastRenderedPageBreak/>
        <w:t>Annexe 2</w:t>
      </w:r>
      <w:r w:rsidR="00E72BAF">
        <w:rPr>
          <w:b/>
          <w:bCs/>
        </w:rPr>
        <w:br/>
      </w:r>
      <w:r w:rsidR="00E72BAF">
        <w:rPr>
          <w:b/>
          <w:bCs/>
        </w:rPr>
        <w:br/>
      </w:r>
      <w:r w:rsidRPr="00E72BAF">
        <w:rPr>
          <w:b/>
          <w:bCs/>
        </w:rPr>
        <w:t>Disposition des canaux radioélectriques dans la bande 92,0-95,0 GHz</w:t>
      </w:r>
      <w:r w:rsidRPr="00E72BAF">
        <w:rPr>
          <w:rStyle w:val="FootnoteReference"/>
          <w:b/>
          <w:bCs/>
          <w:szCs w:val="24"/>
        </w:rPr>
        <w:footnoteReference w:customMarkFollows="1" w:id="2"/>
        <w:t>*</w:t>
      </w:r>
      <w:r w:rsidRPr="00E72BAF">
        <w:rPr>
          <w:b/>
          <w:bCs/>
          <w:szCs w:val="24"/>
        </w:rPr>
        <w:br/>
      </w:r>
      <w:r w:rsidRPr="00E72BAF">
        <w:rPr>
          <w:b/>
          <w:bCs/>
        </w:rPr>
        <w:t>pour les systèmes DRF</w:t>
      </w:r>
    </w:p>
    <w:p w:rsidR="00754B08" w:rsidRPr="006641C6" w:rsidRDefault="00754B08" w:rsidP="00754B08">
      <w:pPr>
        <w:pStyle w:val="Normalaftertitle0"/>
        <w:spacing w:before="480"/>
        <w:rPr>
          <w:lang w:val="fr-CH"/>
        </w:rPr>
      </w:pPr>
      <w:r w:rsidRPr="006641C6">
        <w:rPr>
          <w:lang w:val="fr-CH"/>
        </w:rPr>
        <w:t>La disposition des canaux radioélectriques pour les espacements de canaux de 100 MHz et 50 MHz est établie comme suit:</w:t>
      </w:r>
    </w:p>
    <w:p w:rsidR="00754B08" w:rsidRPr="00E77C1D" w:rsidRDefault="00754B08" w:rsidP="00754B08">
      <w:pPr>
        <w:pStyle w:val="enumlev1"/>
      </w:pPr>
      <w:r w:rsidRPr="00E77C1D">
        <w:t>soit</w:t>
      </w:r>
      <w:r w:rsidRPr="00E77C1D">
        <w:tab/>
      </w:r>
      <w:r w:rsidRPr="00E77C1D">
        <w:tab/>
      </w:r>
      <w:r w:rsidRPr="00E77C1D">
        <w:rPr>
          <w:i/>
        </w:rPr>
        <w:t>f</w:t>
      </w:r>
      <w:r w:rsidRPr="00E77C1D">
        <w:rPr>
          <w:i/>
          <w:vertAlign w:val="subscript"/>
        </w:rPr>
        <w:t>r</w:t>
      </w:r>
      <w:r>
        <w:t xml:space="preserve"> :</w:t>
      </w:r>
      <w:r w:rsidRPr="00E77C1D">
        <w:tab/>
        <w:t>la fréquence de référence de 92 000 MHz,</w:t>
      </w:r>
    </w:p>
    <w:p w:rsidR="00754B08" w:rsidRPr="00E77C1D" w:rsidRDefault="00754B08" w:rsidP="00754B08">
      <w:pPr>
        <w:pStyle w:val="enumlev1"/>
        <w:ind w:left="1588" w:hanging="1588"/>
      </w:pPr>
      <w:r w:rsidRPr="00E77C1D">
        <w:tab/>
      </w:r>
      <w:r w:rsidRPr="00E77C1D">
        <w:tab/>
      </w:r>
      <w:r w:rsidRPr="00E77C1D">
        <w:rPr>
          <w:i/>
        </w:rPr>
        <w:t>f</w:t>
      </w:r>
      <w:r w:rsidRPr="00E77C1D">
        <w:rPr>
          <w:i/>
          <w:vertAlign w:val="subscript"/>
        </w:rPr>
        <w:t>n</w:t>
      </w:r>
      <w:r>
        <w:t xml:space="preserve"> :</w:t>
      </w:r>
      <w:r w:rsidRPr="00E77C1D">
        <w:tab/>
        <w:t>la fréquence centrale (MHz) du canal radioélectrique dans la moitié inférieure de la bande,</w:t>
      </w:r>
    </w:p>
    <w:p w:rsidR="00754B08" w:rsidRPr="00E77C1D" w:rsidRDefault="00754B08" w:rsidP="00754B08">
      <w:pPr>
        <w:pStyle w:val="enumlev1"/>
        <w:tabs>
          <w:tab w:val="clear" w:pos="1191"/>
          <w:tab w:val="left" w:pos="1080"/>
        </w:tabs>
        <w:ind w:left="1588" w:hanging="1588"/>
      </w:pPr>
      <w:r w:rsidRPr="00E77C1D">
        <w:tab/>
      </w:r>
      <w:r w:rsidRPr="00E77C1D">
        <w:tab/>
      </w:r>
      <w:r w:rsidRPr="00E77C1D">
        <w:rPr>
          <w:position w:val="-12"/>
        </w:rPr>
        <w:object w:dxaOrig="300" w:dyaOrig="360">
          <v:shape id="_x0000_i1026" type="#_x0000_t75" style="width:15.6pt;height:18.25pt" o:ole="">
            <v:imagedata r:id="rId15" o:title=""/>
          </v:shape>
          <o:OLEObject Type="Embed" ProgID="Equation.3" ShapeID="_x0000_i1026" DrawAspect="Content" ObjectID="_1472300586" r:id="rId16"/>
        </w:object>
      </w:r>
      <w:r>
        <w:t xml:space="preserve"> :</w:t>
      </w:r>
      <w:r w:rsidRPr="00E77C1D">
        <w:tab/>
        <w:t>la fréquence centrale (MHz) du canal radioélectrique dans la moitié supérieure de la bande,</w:t>
      </w:r>
    </w:p>
    <w:p w:rsidR="00754B08" w:rsidRPr="00E77C1D" w:rsidRDefault="00754B08" w:rsidP="00754B08">
      <w:pPr>
        <w:pStyle w:val="enumlev1"/>
        <w:tabs>
          <w:tab w:val="left" w:pos="5103"/>
        </w:tabs>
      </w:pPr>
      <w:r w:rsidRPr="00E77C1D">
        <w:tab/>
      </w:r>
      <w:r>
        <w:tab/>
      </w:r>
      <w:r>
        <w:tab/>
        <w:t xml:space="preserve">espacement émission/réception </w:t>
      </w:r>
      <w:r w:rsidRPr="00E77C1D">
        <w:rPr>
          <w:rFonts w:ascii="Symbol" w:hAnsi="Symbol"/>
        </w:rPr>
        <w:t></w:t>
      </w:r>
      <w:r w:rsidRPr="00E77C1D">
        <w:t xml:space="preserve"> </w:t>
      </w:r>
      <w:r>
        <w:tab/>
      </w:r>
      <w:r w:rsidRPr="00E77C1D">
        <w:t>1 500 MHz,</w:t>
      </w:r>
    </w:p>
    <w:p w:rsidR="00754B08" w:rsidRPr="00E77C1D" w:rsidRDefault="00754B08" w:rsidP="00754B08">
      <w:pPr>
        <w:pStyle w:val="enumlev1"/>
        <w:tabs>
          <w:tab w:val="clear" w:pos="1985"/>
          <w:tab w:val="left" w:pos="1800"/>
          <w:tab w:val="left" w:pos="5103"/>
        </w:tabs>
      </w:pPr>
      <w:r w:rsidRPr="00E77C1D">
        <w:tab/>
      </w:r>
      <w:r>
        <w:tab/>
      </w:r>
      <w:r>
        <w:tab/>
        <w:t xml:space="preserve">espacement </w:t>
      </w:r>
      <w:r w:rsidRPr="00E77C1D">
        <w:rPr>
          <w:rFonts w:ascii="Symbol" w:hAnsi="Symbol"/>
        </w:rPr>
        <w:t></w:t>
      </w:r>
      <w:r w:rsidRPr="00E77C1D">
        <w:t xml:space="preserve"> </w:t>
      </w:r>
      <w:r>
        <w:tab/>
      </w:r>
      <w:r w:rsidRPr="00E77C1D">
        <w:t>100 MHz</w:t>
      </w:r>
      <w:r>
        <w:t>,</w:t>
      </w:r>
    </w:p>
    <w:p w:rsidR="00754B08" w:rsidRPr="00E77C1D" w:rsidRDefault="00754B08" w:rsidP="00754B08">
      <w:r>
        <w:t>l</w:t>
      </w:r>
      <w:r w:rsidRPr="00E77C1D">
        <w:t>es fréquences (MHz) des différents canaux s'expriment alors par les relations suivantes:</w:t>
      </w:r>
    </w:p>
    <w:p w:rsidR="00754B08" w:rsidRPr="00E77C1D" w:rsidRDefault="00754B08" w:rsidP="00754B08">
      <w:r w:rsidRPr="00E77C1D">
        <w:t>a)</w:t>
      </w:r>
      <w:r w:rsidRPr="00E77C1D">
        <w:tab/>
        <w:t>pour un espacement des canaux de 100 MHz:</w:t>
      </w:r>
    </w:p>
    <w:p w:rsidR="00754B08" w:rsidRPr="00E77C1D" w:rsidRDefault="00754B08" w:rsidP="00754B08">
      <w:pPr>
        <w:pStyle w:val="enumlev1"/>
        <w:tabs>
          <w:tab w:val="left" w:pos="3960"/>
        </w:tabs>
      </w:pPr>
      <w:r w:rsidRPr="00E77C1D">
        <w:tab/>
        <w:t>moitié inférieure de la bande:</w:t>
      </w:r>
      <w:r w:rsidRPr="00E77C1D">
        <w:tab/>
      </w:r>
      <w:r w:rsidRPr="00E77C1D">
        <w:rPr>
          <w:sz w:val="22"/>
        </w:rPr>
        <w:t xml:space="preserve">  </w:t>
      </w:r>
      <w:r w:rsidRPr="00E77C1D">
        <w:rPr>
          <w:i/>
        </w:rPr>
        <w:t>f</w:t>
      </w:r>
      <w:r w:rsidRPr="00E77C1D">
        <w:rPr>
          <w:i/>
          <w:vertAlign w:val="subscript"/>
        </w:rPr>
        <w:t>n</w:t>
      </w:r>
      <w:r w:rsidRPr="00E77C1D">
        <w:t> </w:t>
      </w:r>
      <w:r w:rsidRPr="00E77C1D">
        <w:rPr>
          <w:rFonts w:ascii="Symbol" w:hAnsi="Symbol"/>
        </w:rPr>
        <w:t></w:t>
      </w:r>
      <w:r w:rsidRPr="00E77C1D">
        <w:t> </w:t>
      </w:r>
      <w:r w:rsidRPr="00E77C1D">
        <w:rPr>
          <w:i/>
        </w:rPr>
        <w:t>f</w:t>
      </w:r>
      <w:r w:rsidRPr="00E77C1D">
        <w:rPr>
          <w:i/>
          <w:vertAlign w:val="subscript"/>
        </w:rPr>
        <w:t>r</w:t>
      </w:r>
      <w:r w:rsidRPr="00E77C1D">
        <w:t> </w:t>
      </w:r>
      <w:r w:rsidRPr="00E77C1D">
        <w:rPr>
          <w:rFonts w:ascii="Symbol" w:hAnsi="Symbol"/>
        </w:rPr>
        <w:t></w:t>
      </w:r>
      <w:r w:rsidRPr="00E77C1D">
        <w:rPr>
          <w:rFonts w:ascii="Symbol" w:hAnsi="Symbol"/>
        </w:rPr>
        <w:t></w:t>
      </w:r>
      <w:r w:rsidRPr="00E77C1D">
        <w:rPr>
          <w:rFonts w:ascii="Symbol" w:hAnsi="Symbol"/>
        </w:rPr>
        <w:t></w:t>
      </w:r>
      <w:r w:rsidRPr="00E77C1D">
        <w:rPr>
          <w:rFonts w:ascii="Symbol" w:hAnsi="Symbol"/>
        </w:rPr>
        <w:t></w:t>
      </w:r>
      <w:r w:rsidRPr="00E77C1D">
        <w:rPr>
          <w:rFonts w:ascii="Symbol" w:hAnsi="Symbol"/>
        </w:rPr>
        <w:t></w:t>
      </w:r>
      <w:r w:rsidRPr="00E77C1D">
        <w:t xml:space="preserve"> </w:t>
      </w:r>
      <w:r w:rsidRPr="00E77C1D">
        <w:rPr>
          <w:i/>
          <w:iCs/>
        </w:rPr>
        <w:t>n</w:t>
      </w:r>
    </w:p>
    <w:p w:rsidR="00754B08" w:rsidRPr="00E77C1D" w:rsidRDefault="00754B08" w:rsidP="00754B08">
      <w:pPr>
        <w:pStyle w:val="enumlev1"/>
        <w:tabs>
          <w:tab w:val="left" w:pos="3960"/>
          <w:tab w:val="left" w:pos="4026"/>
        </w:tabs>
      </w:pPr>
      <w:r w:rsidRPr="00E77C1D">
        <w:tab/>
        <w:t>moitié supérieure de la bande:</w:t>
      </w:r>
      <w:r w:rsidRPr="00E77C1D">
        <w:tab/>
      </w:r>
      <w:r w:rsidRPr="00E77C1D">
        <w:rPr>
          <w:position w:val="-12"/>
        </w:rPr>
        <w:object w:dxaOrig="499" w:dyaOrig="360">
          <v:shape id="_x0000_i1027" type="#_x0000_t75" style="width:24.7pt;height:18.25pt" o:ole="">
            <v:imagedata r:id="rId17" o:title=""/>
          </v:shape>
          <o:OLEObject Type="Embed" ProgID="Equation.3" ShapeID="_x0000_i1027" DrawAspect="Content" ObjectID="_1472300587" r:id="rId18"/>
        </w:object>
      </w:r>
      <w:r w:rsidRPr="00E77C1D">
        <w:rPr>
          <w:i/>
        </w:rPr>
        <w:t>f</w:t>
      </w:r>
      <w:r w:rsidRPr="00E77C1D">
        <w:rPr>
          <w:i/>
          <w:vertAlign w:val="subscript"/>
        </w:rPr>
        <w:t>r</w:t>
      </w:r>
      <w:r w:rsidRPr="00E77C1D">
        <w:t> </w:t>
      </w:r>
      <w:r w:rsidRPr="00E77C1D">
        <w:rPr>
          <w:rFonts w:ascii="Symbol" w:hAnsi="Symbol"/>
        </w:rPr>
        <w:t></w:t>
      </w:r>
      <w:r w:rsidRPr="00E77C1D">
        <w:rPr>
          <w:rFonts w:ascii="Symbol" w:hAnsi="Symbol"/>
        </w:rPr>
        <w:t></w:t>
      </w:r>
      <w:r w:rsidRPr="00E77C1D">
        <w:rPr>
          <w:rFonts w:ascii="Symbol" w:hAnsi="Symbol"/>
        </w:rPr>
        <w:t></w:t>
      </w:r>
      <w:r w:rsidRPr="00E77C1D">
        <w:rPr>
          <w:rFonts w:ascii="Symbol" w:hAnsi="Symbol"/>
        </w:rPr>
        <w:t></w:t>
      </w:r>
      <w:r w:rsidRPr="00E77C1D">
        <w:rPr>
          <w:rFonts w:ascii="Symbol" w:hAnsi="Symbol"/>
        </w:rPr>
        <w:t></w:t>
      </w:r>
      <w:r w:rsidRPr="00E77C1D">
        <w:rPr>
          <w:rFonts w:ascii="Symbol" w:hAnsi="Symbol"/>
        </w:rPr>
        <w:t></w:t>
      </w:r>
      <w:r w:rsidRPr="00E77C1D">
        <w:rPr>
          <w:rFonts w:ascii="Symbol" w:hAnsi="Symbol"/>
        </w:rPr>
        <w:t></w:t>
      </w:r>
      <w:r w:rsidRPr="00E77C1D">
        <w:t> </w:t>
      </w:r>
      <w:r w:rsidRPr="00E77C1D">
        <w:rPr>
          <w:rFonts w:ascii="Symbol" w:hAnsi="Symbol"/>
        </w:rPr>
        <w:t></w:t>
      </w:r>
      <w:r w:rsidRPr="00E77C1D">
        <w:t xml:space="preserve"> 100 </w:t>
      </w:r>
      <w:r w:rsidRPr="00E77C1D">
        <w:rPr>
          <w:i/>
          <w:iCs/>
        </w:rPr>
        <w:t>n</w:t>
      </w:r>
    </w:p>
    <w:p w:rsidR="00754B08" w:rsidRPr="00E77C1D" w:rsidRDefault="00754B08" w:rsidP="00754B08">
      <w:r w:rsidRPr="00E77C1D">
        <w:t>où:</w:t>
      </w:r>
    </w:p>
    <w:p w:rsidR="00754B08" w:rsidRPr="00E77C1D" w:rsidRDefault="00754B08" w:rsidP="00754B08">
      <w:pPr>
        <w:pStyle w:val="enumlev1"/>
        <w:tabs>
          <w:tab w:val="left" w:pos="4140"/>
        </w:tabs>
      </w:pPr>
      <w:r w:rsidRPr="00E77C1D">
        <w:rPr>
          <w:i/>
          <w:iCs/>
        </w:rPr>
        <w:tab/>
        <w:t>n</w:t>
      </w:r>
      <w:r w:rsidRPr="00E77C1D">
        <w:t xml:space="preserve"> = 1, 2, 3, 4, 7, 8, …, 14 (Notes 1 et 2)</w:t>
      </w:r>
    </w:p>
    <w:p w:rsidR="00754B08" w:rsidRPr="00E77C1D" w:rsidRDefault="00754B08" w:rsidP="00754B08">
      <w:r w:rsidRPr="00E77C1D">
        <w:t>b)</w:t>
      </w:r>
      <w:r w:rsidRPr="00E77C1D">
        <w:tab/>
        <w:t>pour un espacement des canaux de 50 MHz:</w:t>
      </w:r>
    </w:p>
    <w:p w:rsidR="00754B08" w:rsidRPr="00E77C1D" w:rsidRDefault="00754B08" w:rsidP="00754B08">
      <w:pPr>
        <w:pStyle w:val="enumlev1"/>
        <w:tabs>
          <w:tab w:val="left" w:pos="4140"/>
        </w:tabs>
      </w:pPr>
      <w:r w:rsidRPr="00E77C1D">
        <w:tab/>
        <w:t>moitié inférieure de la bande:</w:t>
      </w:r>
      <w:r w:rsidRPr="00E77C1D">
        <w:tab/>
      </w:r>
      <w:r w:rsidRPr="00E77C1D">
        <w:rPr>
          <w:i/>
          <w:iCs/>
        </w:rPr>
        <w:t>f</w:t>
      </w:r>
      <w:r w:rsidRPr="00E77C1D">
        <w:rPr>
          <w:i/>
          <w:iCs/>
          <w:vertAlign w:val="subscript"/>
        </w:rPr>
        <w:t>n</w:t>
      </w:r>
      <w:r w:rsidRPr="00E77C1D">
        <w:rPr>
          <w:i/>
          <w:iCs/>
        </w:rPr>
        <w:t xml:space="preserve"> </w:t>
      </w:r>
      <w:r w:rsidRPr="00E77C1D">
        <w:t xml:space="preserve">= </w:t>
      </w:r>
      <w:r w:rsidRPr="00E77C1D">
        <w:rPr>
          <w:i/>
          <w:iCs/>
        </w:rPr>
        <w:t>f</w:t>
      </w:r>
      <w:r w:rsidRPr="00E77C1D">
        <w:rPr>
          <w:i/>
          <w:iCs/>
          <w:vertAlign w:val="subscript"/>
        </w:rPr>
        <w:t>r</w:t>
      </w:r>
      <w:r w:rsidRPr="00E77C1D">
        <w:t xml:space="preserve"> + 25 + 50 </w:t>
      </w:r>
      <w:r w:rsidRPr="00E77C1D">
        <w:rPr>
          <w:i/>
          <w:iCs/>
        </w:rPr>
        <w:t>n</w:t>
      </w:r>
    </w:p>
    <w:p w:rsidR="00754B08" w:rsidRPr="00E77C1D" w:rsidRDefault="00754B08" w:rsidP="00754B08">
      <w:pPr>
        <w:pStyle w:val="enumlev1"/>
        <w:tabs>
          <w:tab w:val="left" w:pos="3960"/>
        </w:tabs>
        <w:rPr>
          <w:i/>
          <w:iCs/>
        </w:rPr>
      </w:pPr>
      <w:r w:rsidRPr="00E77C1D">
        <w:tab/>
        <w:t>moitié supérieure de la bande:</w:t>
      </w:r>
      <w:r w:rsidRPr="00E77C1D">
        <w:tab/>
        <w:t xml:space="preserve"> </w:t>
      </w:r>
      <w:r w:rsidRPr="00E77C1D">
        <w:rPr>
          <w:sz w:val="12"/>
        </w:rPr>
        <w:t xml:space="preserve"> </w:t>
      </w:r>
      <w:r w:rsidRPr="00E77C1D">
        <w:rPr>
          <w:i/>
          <w:iCs/>
        </w:rPr>
        <w:t>f</w:t>
      </w:r>
      <w:r w:rsidRPr="00E77C1D">
        <w:rPr>
          <w:lang w:eastAsia="en-CA"/>
        </w:rPr>
        <w:t>′</w:t>
      </w:r>
      <w:r w:rsidRPr="00E77C1D">
        <w:rPr>
          <w:i/>
          <w:iCs/>
          <w:vertAlign w:val="subscript"/>
        </w:rPr>
        <w:t>n</w:t>
      </w:r>
      <w:r w:rsidRPr="00E77C1D">
        <w:t xml:space="preserve"> = </w:t>
      </w:r>
      <w:r w:rsidRPr="00E77C1D">
        <w:rPr>
          <w:i/>
          <w:iCs/>
        </w:rPr>
        <w:t>f</w:t>
      </w:r>
      <w:r w:rsidRPr="00E77C1D">
        <w:rPr>
          <w:i/>
          <w:iCs/>
          <w:vertAlign w:val="subscript"/>
        </w:rPr>
        <w:t>r</w:t>
      </w:r>
      <w:r w:rsidRPr="00E77C1D">
        <w:rPr>
          <w:i/>
          <w:iCs/>
        </w:rPr>
        <w:t xml:space="preserve"> +</w:t>
      </w:r>
      <w:r w:rsidRPr="00E77C1D">
        <w:t xml:space="preserve"> 1 525 + 50 </w:t>
      </w:r>
      <w:r w:rsidRPr="00E77C1D">
        <w:rPr>
          <w:i/>
          <w:iCs/>
        </w:rPr>
        <w:t>n</w:t>
      </w:r>
    </w:p>
    <w:p w:rsidR="00754B08" w:rsidRPr="00E77C1D" w:rsidRDefault="00754B08" w:rsidP="00754B08">
      <w:r w:rsidRPr="00E77C1D">
        <w:t>où:</w:t>
      </w:r>
    </w:p>
    <w:p w:rsidR="00754B08" w:rsidRPr="00E77C1D" w:rsidRDefault="00754B08" w:rsidP="00754B08">
      <w:pPr>
        <w:pStyle w:val="enumlev1"/>
        <w:tabs>
          <w:tab w:val="left" w:pos="3960"/>
        </w:tabs>
      </w:pPr>
      <w:r w:rsidRPr="00E77C1D">
        <w:rPr>
          <w:i/>
          <w:iCs/>
        </w:rPr>
        <w:tab/>
        <w:t>n</w:t>
      </w:r>
      <w:r w:rsidRPr="00E77C1D">
        <w:t xml:space="preserve"> = 1, 2, 3, …, 9, 12, 13, …, 28 (Note 1).</w:t>
      </w:r>
    </w:p>
    <w:p w:rsidR="00754B08" w:rsidRDefault="00754B08" w:rsidP="00754B08">
      <w:pPr>
        <w:pStyle w:val="FigureNo"/>
      </w:pPr>
      <w:r w:rsidRPr="00E77C1D">
        <w:lastRenderedPageBreak/>
        <w:t>Figure 2</w:t>
      </w:r>
    </w:p>
    <w:p w:rsidR="00754B08" w:rsidRPr="00E77C1D" w:rsidRDefault="00754B08" w:rsidP="00754B08">
      <w:pPr>
        <w:pStyle w:val="Figuretitle"/>
        <w:spacing w:after="360"/>
      </w:pPr>
      <w:r>
        <w:t>Occupation du spectre</w:t>
      </w:r>
      <w:r w:rsidRPr="00E77C1D">
        <w:t>:</w:t>
      </w:r>
      <w:r>
        <w:t xml:space="preserve"> bande</w:t>
      </w:r>
      <w:r w:rsidRPr="00E77C1D">
        <w:t xml:space="preserve"> 92</w:t>
      </w:r>
      <w:r>
        <w:t>-</w:t>
      </w:r>
      <w:r w:rsidRPr="00E77C1D">
        <w:t>95 GHz (Note 1)</w:t>
      </w:r>
    </w:p>
    <w:p w:rsidR="00934ED7" w:rsidRDefault="00CD2648" w:rsidP="002709D1">
      <w:pPr>
        <w:pStyle w:val="Figure"/>
      </w:pPr>
      <w:r>
        <w:object w:dxaOrig="7075" w:dyaOrig="7060">
          <v:shape id="_x0000_i1028" type="#_x0000_t75" style="width:396pt;height:397.05pt" o:ole="">
            <v:imagedata r:id="rId19" o:title=""/>
          </v:shape>
          <o:OLEObject Type="Embed" ProgID="CorelDRAW.Graphic.14" ShapeID="_x0000_i1028" DrawAspect="Content" ObjectID="_1472300588" r:id="rId20"/>
        </w:object>
      </w:r>
    </w:p>
    <w:p w:rsidR="002709D1" w:rsidRPr="002709D1" w:rsidRDefault="002709D1" w:rsidP="002709D1">
      <w:pPr>
        <w:jc w:val="center"/>
      </w:pPr>
      <w:r>
        <w:t>_____________</w:t>
      </w:r>
    </w:p>
    <w:sectPr w:rsidR="002709D1" w:rsidRPr="002709D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D66" w:rsidRDefault="00FF5D66">
      <w:r>
        <w:separator/>
      </w:r>
    </w:p>
  </w:endnote>
  <w:endnote w:type="continuationSeparator" w:id="0">
    <w:p w:rsidR="00FF5D66" w:rsidRDefault="00FF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D66" w:rsidRDefault="00FF5D66">
      <w:r>
        <w:separator/>
      </w:r>
    </w:p>
  </w:footnote>
  <w:footnote w:type="continuationSeparator" w:id="0">
    <w:p w:rsidR="00FF5D66" w:rsidRDefault="00FF5D66">
      <w:r>
        <w:continuationSeparator/>
      </w:r>
    </w:p>
  </w:footnote>
  <w:footnote w:id="1">
    <w:p w:rsidR="00754B08" w:rsidRPr="00D04DE3" w:rsidRDefault="00754B08" w:rsidP="00754B08">
      <w:pPr>
        <w:pStyle w:val="FootnoteText"/>
        <w:rPr>
          <w:lang w:val="fr-CH" w:eastAsia="ja-JP"/>
        </w:rPr>
      </w:pPr>
      <w:r w:rsidRPr="00D04DE3">
        <w:rPr>
          <w:rStyle w:val="FootnoteReference"/>
          <w:lang w:val="fr-CH"/>
        </w:rPr>
        <w:t>*</w:t>
      </w:r>
      <w:r w:rsidRPr="00D04DE3">
        <w:rPr>
          <w:lang w:val="fr-CH"/>
        </w:rPr>
        <w:t xml:space="preserve"> </w:t>
      </w:r>
      <w:r w:rsidRPr="00D04DE3">
        <w:rPr>
          <w:lang w:val="fr-CH"/>
        </w:rPr>
        <w:tab/>
      </w:r>
      <w:r>
        <w:rPr>
          <w:lang w:val="fr-CH"/>
        </w:rPr>
        <w:t>L</w:t>
      </w:r>
      <w:r w:rsidRPr="00D04DE3">
        <w:rPr>
          <w:lang w:val="fr-CH"/>
        </w:rPr>
        <w:t>a bande 94-94,1 GHz n'est pas attribuée au service fixe</w:t>
      </w:r>
      <w:r>
        <w:rPr>
          <w:lang w:val="fr-CH"/>
        </w:rPr>
        <w:t xml:space="preserve"> dans le </w:t>
      </w:r>
      <w:r w:rsidRPr="00D04DE3">
        <w:rPr>
          <w:lang w:val="fr-CH"/>
        </w:rPr>
        <w:t>Règlement des radiocommunications.</w:t>
      </w:r>
    </w:p>
  </w:footnote>
  <w:footnote w:id="2">
    <w:p w:rsidR="00754B08" w:rsidRPr="00D04DE3" w:rsidRDefault="00754B08" w:rsidP="00754B08">
      <w:pPr>
        <w:pStyle w:val="FootnoteText"/>
        <w:rPr>
          <w:lang w:val="fr-CH"/>
        </w:rPr>
      </w:pPr>
      <w:r w:rsidRPr="00D04DE3">
        <w:rPr>
          <w:rStyle w:val="FootnoteReference"/>
          <w:lang w:val="fr-CH"/>
        </w:rPr>
        <w:t>*</w:t>
      </w:r>
      <w:r w:rsidRPr="00D04DE3">
        <w:rPr>
          <w:lang w:val="fr-CH"/>
        </w:rPr>
        <w:t xml:space="preserve"> </w:t>
      </w:r>
      <w:r w:rsidRPr="00D04DE3">
        <w:rPr>
          <w:lang w:val="fr-CH"/>
        </w:rPr>
        <w:tab/>
        <w:t>Conformément au Règlement des radiocommunications, la bande 94-94,1 GHz</w:t>
      </w:r>
      <w:r>
        <w:rPr>
          <w:lang w:val="fr-CH"/>
        </w:rPr>
        <w:t xml:space="preserve"> n'est pas attribuée au service </w:t>
      </w:r>
      <w:r w:rsidRPr="00D04DE3">
        <w:rPr>
          <w:lang w:val="fr-CH"/>
        </w:rPr>
        <w:t>fixe.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536FF2"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74341">
      <w:rPr>
        <w:rStyle w:val="PageNumber"/>
        <w:b/>
        <w:bCs/>
        <w:noProof/>
      </w:rPr>
      <w:t>4</w:t>
    </w:r>
    <w:r>
      <w:rPr>
        <w:rStyle w:val="PageNumber"/>
        <w:b/>
        <w:bCs/>
      </w:rPr>
      <w:fldChar w:fldCharType="end"/>
    </w:r>
    <w:r w:rsidRPr="00837CB5">
      <w:tab/>
    </w:r>
    <w:fldSimple w:instr=" DOCPROPERTY &quot;Header&quot; \* MERGEFORMAT ">
      <w:r w:rsidR="00D74341" w:rsidRPr="00D7434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74341">
      <w:rPr>
        <w:b/>
        <w:bCs/>
        <w:noProof/>
      </w:rPr>
      <w:t>UIT-R  F.2004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D74341" w:rsidRPr="00D7434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74341">
      <w:rPr>
        <w:b/>
        <w:bCs/>
        <w:noProof/>
      </w:rPr>
      <w:t>UIT-R  F.2004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74341">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101685"/>
    <w:rsid w:val="00102934"/>
    <w:rsid w:val="0011442E"/>
    <w:rsid w:val="00123FD5"/>
    <w:rsid w:val="00125B6D"/>
    <w:rsid w:val="00126AF2"/>
    <w:rsid w:val="00127062"/>
    <w:rsid w:val="00147110"/>
    <w:rsid w:val="001A27FE"/>
    <w:rsid w:val="00202D10"/>
    <w:rsid w:val="002058CE"/>
    <w:rsid w:val="002165F1"/>
    <w:rsid w:val="00227626"/>
    <w:rsid w:val="002709D1"/>
    <w:rsid w:val="00276D21"/>
    <w:rsid w:val="00296D7F"/>
    <w:rsid w:val="002B3CF6"/>
    <w:rsid w:val="002C768A"/>
    <w:rsid w:val="002D76C4"/>
    <w:rsid w:val="00363367"/>
    <w:rsid w:val="0039546C"/>
    <w:rsid w:val="003D3531"/>
    <w:rsid w:val="00400899"/>
    <w:rsid w:val="00420DFD"/>
    <w:rsid w:val="00470E28"/>
    <w:rsid w:val="00491A8C"/>
    <w:rsid w:val="004934C5"/>
    <w:rsid w:val="004A4D65"/>
    <w:rsid w:val="00536FF2"/>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712870"/>
    <w:rsid w:val="00731BD8"/>
    <w:rsid w:val="00743D85"/>
    <w:rsid w:val="00753CF4"/>
    <w:rsid w:val="00754B08"/>
    <w:rsid w:val="007565CC"/>
    <w:rsid w:val="00756B4D"/>
    <w:rsid w:val="00763B9A"/>
    <w:rsid w:val="00776E56"/>
    <w:rsid w:val="007A308E"/>
    <w:rsid w:val="007A6AA8"/>
    <w:rsid w:val="008310C9"/>
    <w:rsid w:val="00837CB5"/>
    <w:rsid w:val="00872472"/>
    <w:rsid w:val="008C7848"/>
    <w:rsid w:val="008D21DB"/>
    <w:rsid w:val="00917AF2"/>
    <w:rsid w:val="0092418A"/>
    <w:rsid w:val="00934ED7"/>
    <w:rsid w:val="009454F8"/>
    <w:rsid w:val="009543C3"/>
    <w:rsid w:val="00966E1B"/>
    <w:rsid w:val="009B5551"/>
    <w:rsid w:val="009F2D2C"/>
    <w:rsid w:val="00A443C2"/>
    <w:rsid w:val="00A52DB0"/>
    <w:rsid w:val="00A6617B"/>
    <w:rsid w:val="00A71FE5"/>
    <w:rsid w:val="00A73050"/>
    <w:rsid w:val="00AA3AD8"/>
    <w:rsid w:val="00AB0DC8"/>
    <w:rsid w:val="00AB52D1"/>
    <w:rsid w:val="00AD267B"/>
    <w:rsid w:val="00B033C8"/>
    <w:rsid w:val="00B21066"/>
    <w:rsid w:val="00B33425"/>
    <w:rsid w:val="00B44E24"/>
    <w:rsid w:val="00B54ECC"/>
    <w:rsid w:val="00B714F3"/>
    <w:rsid w:val="00BC0651"/>
    <w:rsid w:val="00BC5D77"/>
    <w:rsid w:val="00BF487A"/>
    <w:rsid w:val="00C362C3"/>
    <w:rsid w:val="00C46BD9"/>
    <w:rsid w:val="00C55258"/>
    <w:rsid w:val="00C668C8"/>
    <w:rsid w:val="00C73560"/>
    <w:rsid w:val="00CB0F14"/>
    <w:rsid w:val="00CD2648"/>
    <w:rsid w:val="00CD659B"/>
    <w:rsid w:val="00CD7DC8"/>
    <w:rsid w:val="00CE2E0A"/>
    <w:rsid w:val="00D017C0"/>
    <w:rsid w:val="00D31EB8"/>
    <w:rsid w:val="00D70C4E"/>
    <w:rsid w:val="00D74341"/>
    <w:rsid w:val="00DE68C0"/>
    <w:rsid w:val="00DF4176"/>
    <w:rsid w:val="00DF693C"/>
    <w:rsid w:val="00E02402"/>
    <w:rsid w:val="00E17240"/>
    <w:rsid w:val="00E44C45"/>
    <w:rsid w:val="00E44CBB"/>
    <w:rsid w:val="00E72BAF"/>
    <w:rsid w:val="00E73AFE"/>
    <w:rsid w:val="00E80F1D"/>
    <w:rsid w:val="00EA6E8E"/>
    <w:rsid w:val="00EE57AA"/>
    <w:rsid w:val="00F30C9B"/>
    <w:rsid w:val="00F316C4"/>
    <w:rsid w:val="00F336CC"/>
    <w:rsid w:val="00F354B1"/>
    <w:rsid w:val="00F50711"/>
    <w:rsid w:val="00F54FBD"/>
    <w:rsid w:val="00F671F3"/>
    <w:rsid w:val="00F724A3"/>
    <w:rsid w:val="00FB0E4E"/>
    <w:rsid w:val="00FE79FE"/>
    <w:rsid w:val="00FF5D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95B234D3-04BC-489F-B3FF-93168E481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F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36FF2"/>
    <w:pPr>
      <w:keepNext/>
      <w:keepLines/>
      <w:spacing w:before="480"/>
      <w:ind w:left="794" w:hanging="794"/>
      <w:outlineLvl w:val="0"/>
    </w:pPr>
    <w:rPr>
      <w:b/>
    </w:rPr>
  </w:style>
  <w:style w:type="paragraph" w:styleId="Heading2">
    <w:name w:val="heading 2"/>
    <w:basedOn w:val="Heading1"/>
    <w:next w:val="Normal"/>
    <w:qFormat/>
    <w:rsid w:val="00536FF2"/>
    <w:pPr>
      <w:spacing w:before="320"/>
      <w:outlineLvl w:val="1"/>
    </w:pPr>
  </w:style>
  <w:style w:type="paragraph" w:styleId="Heading3">
    <w:name w:val="heading 3"/>
    <w:basedOn w:val="Heading1"/>
    <w:next w:val="Normal"/>
    <w:qFormat/>
    <w:rsid w:val="00536FF2"/>
    <w:pPr>
      <w:spacing w:before="200"/>
      <w:outlineLvl w:val="2"/>
    </w:pPr>
  </w:style>
  <w:style w:type="paragraph" w:styleId="Heading4">
    <w:name w:val="heading 4"/>
    <w:basedOn w:val="Heading3"/>
    <w:next w:val="Normal"/>
    <w:qFormat/>
    <w:rsid w:val="00536FF2"/>
    <w:pPr>
      <w:tabs>
        <w:tab w:val="clear" w:pos="794"/>
        <w:tab w:val="left" w:pos="992"/>
      </w:tabs>
      <w:ind w:left="992" w:hanging="992"/>
      <w:outlineLvl w:val="3"/>
    </w:pPr>
  </w:style>
  <w:style w:type="paragraph" w:styleId="Heading5">
    <w:name w:val="heading 5"/>
    <w:basedOn w:val="Heading4"/>
    <w:next w:val="Normal"/>
    <w:qFormat/>
    <w:rsid w:val="00536FF2"/>
    <w:pPr>
      <w:outlineLvl w:val="4"/>
    </w:pPr>
  </w:style>
  <w:style w:type="paragraph" w:styleId="Heading6">
    <w:name w:val="heading 6"/>
    <w:basedOn w:val="Heading4"/>
    <w:next w:val="Normal"/>
    <w:qFormat/>
    <w:rsid w:val="00536FF2"/>
    <w:pPr>
      <w:tabs>
        <w:tab w:val="clear" w:pos="992"/>
        <w:tab w:val="clear" w:pos="1191"/>
      </w:tabs>
      <w:ind w:left="1588" w:hanging="1588"/>
      <w:outlineLvl w:val="5"/>
    </w:pPr>
  </w:style>
  <w:style w:type="paragraph" w:styleId="Heading7">
    <w:name w:val="heading 7"/>
    <w:basedOn w:val="Heading6"/>
    <w:next w:val="Normal"/>
    <w:qFormat/>
    <w:rsid w:val="00536FF2"/>
    <w:pPr>
      <w:outlineLvl w:val="6"/>
    </w:pPr>
  </w:style>
  <w:style w:type="paragraph" w:styleId="Heading8">
    <w:name w:val="heading 8"/>
    <w:basedOn w:val="Heading6"/>
    <w:next w:val="Normal"/>
    <w:qFormat/>
    <w:rsid w:val="00536FF2"/>
    <w:pPr>
      <w:outlineLvl w:val="7"/>
    </w:pPr>
  </w:style>
  <w:style w:type="paragraph" w:styleId="Heading9">
    <w:name w:val="heading 9"/>
    <w:basedOn w:val="Heading6"/>
    <w:next w:val="Normal"/>
    <w:qFormat/>
    <w:rsid w:val="00536F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6F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36F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6FF2"/>
  </w:style>
  <w:style w:type="paragraph" w:customStyle="1" w:styleId="Headingb">
    <w:name w:val="Heading_b"/>
    <w:basedOn w:val="Heading3"/>
    <w:next w:val="Normal"/>
    <w:rsid w:val="00536FF2"/>
    <w:pPr>
      <w:spacing w:before="160"/>
      <w:ind w:left="0" w:firstLine="0"/>
      <w:outlineLvl w:val="9"/>
    </w:pPr>
  </w:style>
  <w:style w:type="paragraph" w:customStyle="1" w:styleId="Headingi">
    <w:name w:val="Heading_i"/>
    <w:basedOn w:val="Heading3"/>
    <w:next w:val="Normal"/>
    <w:rsid w:val="00536FF2"/>
    <w:pPr>
      <w:spacing w:before="160"/>
      <w:ind w:left="0" w:firstLine="0"/>
    </w:pPr>
    <w:rPr>
      <w:b w:val="0"/>
      <w:i/>
    </w:rPr>
  </w:style>
  <w:style w:type="character" w:customStyle="1" w:styleId="href">
    <w:name w:val="href"/>
    <w:basedOn w:val="DefaultParagraphFont"/>
    <w:rsid w:val="00536FF2"/>
  </w:style>
  <w:style w:type="paragraph" w:customStyle="1" w:styleId="AnnexNoTitle">
    <w:name w:val="Annex_NoTitle"/>
    <w:basedOn w:val="Heading1"/>
    <w:next w:val="Normalaftertitle"/>
    <w:rsid w:val="00536FF2"/>
    <w:pPr>
      <w:spacing w:after="80"/>
      <w:jc w:val="center"/>
    </w:pPr>
    <w:rPr>
      <w:b w:val="0"/>
      <w:sz w:val="28"/>
    </w:rPr>
  </w:style>
  <w:style w:type="paragraph" w:customStyle="1" w:styleId="Normalaftertitle">
    <w:name w:val="Normal_after_title"/>
    <w:basedOn w:val="Normal"/>
    <w:next w:val="Normal"/>
    <w:link w:val="NormalaftertitleChar"/>
    <w:rsid w:val="00536FF2"/>
    <w:pPr>
      <w:spacing w:before="320"/>
    </w:pPr>
  </w:style>
  <w:style w:type="paragraph" w:customStyle="1" w:styleId="enumlev2">
    <w:name w:val="enumlev2"/>
    <w:basedOn w:val="enumlev1"/>
    <w:rsid w:val="00536FF2"/>
    <w:pPr>
      <w:ind w:left="1191" w:hanging="397"/>
    </w:pPr>
  </w:style>
  <w:style w:type="paragraph" w:customStyle="1" w:styleId="enumlev1">
    <w:name w:val="enumlev1"/>
    <w:basedOn w:val="Normal"/>
    <w:rsid w:val="00536FF2"/>
    <w:pPr>
      <w:spacing w:before="80"/>
      <w:ind w:left="794" w:hanging="794"/>
    </w:pPr>
  </w:style>
  <w:style w:type="paragraph" w:customStyle="1" w:styleId="enumlev3">
    <w:name w:val="enumlev3"/>
    <w:basedOn w:val="enumlev2"/>
    <w:rsid w:val="00536FF2"/>
    <w:pPr>
      <w:ind w:left="1588"/>
    </w:pPr>
  </w:style>
  <w:style w:type="paragraph" w:customStyle="1" w:styleId="Note">
    <w:name w:val="Note"/>
    <w:basedOn w:val="Normal"/>
    <w:rsid w:val="00536F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6F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36FF2"/>
    <w:pPr>
      <w:keepNext/>
      <w:keepLines/>
      <w:spacing w:before="240"/>
      <w:jc w:val="center"/>
    </w:pPr>
    <w:rPr>
      <w:b/>
      <w:sz w:val="28"/>
    </w:rPr>
  </w:style>
  <w:style w:type="paragraph" w:customStyle="1" w:styleId="Recref">
    <w:name w:val="Rec_ref"/>
    <w:basedOn w:val="Normal"/>
    <w:next w:val="Recdate"/>
    <w:rsid w:val="00536FF2"/>
    <w:pPr>
      <w:jc w:val="center"/>
    </w:pPr>
  </w:style>
  <w:style w:type="paragraph" w:customStyle="1" w:styleId="Recdate">
    <w:name w:val="Rec_date"/>
    <w:basedOn w:val="Recref"/>
    <w:next w:val="Normalaftertitle"/>
    <w:rsid w:val="00536FF2"/>
    <w:pPr>
      <w:jc w:val="right"/>
    </w:pPr>
  </w:style>
  <w:style w:type="paragraph" w:customStyle="1" w:styleId="HeadingSum">
    <w:name w:val="Heading_Sum"/>
    <w:basedOn w:val="Headingb"/>
    <w:next w:val="Normal"/>
    <w:rsid w:val="00536FF2"/>
    <w:pPr>
      <w:spacing w:before="240"/>
    </w:pPr>
    <w:rPr>
      <w:sz w:val="22"/>
      <w:lang w:val="es-ES_tradnl"/>
    </w:rPr>
  </w:style>
  <w:style w:type="paragraph" w:customStyle="1" w:styleId="AppendixNoTitle">
    <w:name w:val="Appendix_NoTitle"/>
    <w:basedOn w:val="AnnexNoTitle"/>
    <w:next w:val="Normal"/>
    <w:rsid w:val="00536FF2"/>
    <w:pPr>
      <w:ind w:left="0" w:firstLine="0"/>
      <w:outlineLvl w:val="9"/>
    </w:pPr>
    <w:rPr>
      <w:b/>
    </w:rPr>
  </w:style>
  <w:style w:type="paragraph" w:customStyle="1" w:styleId="Tablefin">
    <w:name w:val="Table_fin"/>
    <w:basedOn w:val="Normal"/>
    <w:next w:val="Normal"/>
    <w:rsid w:val="00536FF2"/>
    <w:pPr>
      <w:spacing w:before="0"/>
    </w:pPr>
    <w:rPr>
      <w:sz w:val="20"/>
      <w:lang w:val="en-GB"/>
    </w:rPr>
  </w:style>
  <w:style w:type="paragraph" w:customStyle="1" w:styleId="Tablehead">
    <w:name w:val="Table_head"/>
    <w:basedOn w:val="Normal"/>
    <w:next w:val="Normal"/>
    <w:rsid w:val="00536F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36FF2"/>
    <w:pPr>
      <w:keepNext/>
      <w:spacing w:before="360" w:after="120"/>
      <w:jc w:val="center"/>
    </w:pPr>
  </w:style>
  <w:style w:type="paragraph" w:customStyle="1" w:styleId="Tabletext">
    <w:name w:val="Table_text"/>
    <w:basedOn w:val="Normal"/>
    <w:rsid w:val="00536F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6FF2"/>
    <w:pPr>
      <w:tabs>
        <w:tab w:val="clear" w:pos="1191"/>
        <w:tab w:val="clear" w:pos="1588"/>
        <w:tab w:val="clear" w:pos="1985"/>
        <w:tab w:val="center" w:pos="4820"/>
        <w:tab w:val="right" w:pos="9639"/>
      </w:tabs>
    </w:pPr>
  </w:style>
  <w:style w:type="paragraph" w:customStyle="1" w:styleId="Equationlegend">
    <w:name w:val="Equation_legend"/>
    <w:basedOn w:val="NormalIndent"/>
    <w:rsid w:val="00536F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6FF2"/>
    <w:pPr>
      <w:ind w:left="794"/>
    </w:pPr>
  </w:style>
  <w:style w:type="paragraph" w:customStyle="1" w:styleId="Figurelegend">
    <w:name w:val="Figure_legend"/>
    <w:basedOn w:val="Normal"/>
    <w:rsid w:val="00536F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6FF2"/>
    <w:pPr>
      <w:keepNext/>
      <w:keepLines/>
      <w:spacing w:before="480" w:after="80"/>
      <w:jc w:val="center"/>
    </w:pPr>
    <w:rPr>
      <w:caps/>
      <w:sz w:val="18"/>
    </w:rPr>
  </w:style>
  <w:style w:type="paragraph" w:customStyle="1" w:styleId="Figuretitle">
    <w:name w:val="Figure_title"/>
    <w:basedOn w:val="Normal"/>
    <w:next w:val="Figure"/>
    <w:rsid w:val="00536FF2"/>
    <w:pPr>
      <w:keepNext/>
      <w:spacing w:before="0" w:after="120"/>
      <w:jc w:val="center"/>
    </w:pPr>
    <w:rPr>
      <w:rFonts w:ascii="Times New Roman Bold" w:hAnsi="Times New Roman Bold"/>
      <w:b/>
      <w:sz w:val="18"/>
    </w:rPr>
  </w:style>
  <w:style w:type="paragraph" w:customStyle="1" w:styleId="Figure">
    <w:name w:val="Figure"/>
    <w:basedOn w:val="FigureNo"/>
    <w:next w:val="Normal"/>
    <w:rsid w:val="00536FF2"/>
    <w:pPr>
      <w:keepNext w:val="0"/>
      <w:spacing w:before="0" w:after="240"/>
    </w:pPr>
  </w:style>
  <w:style w:type="paragraph" w:customStyle="1" w:styleId="tocpart">
    <w:name w:val="tocpart"/>
    <w:basedOn w:val="Normal"/>
    <w:rsid w:val="00536F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6FF2"/>
    <w:pPr>
      <w:keepNext/>
      <w:keepLines/>
      <w:spacing w:before="480"/>
      <w:jc w:val="center"/>
    </w:pPr>
    <w:rPr>
      <w:sz w:val="28"/>
    </w:rPr>
  </w:style>
  <w:style w:type="paragraph" w:customStyle="1" w:styleId="Arttitle">
    <w:name w:val="Art_title"/>
    <w:basedOn w:val="Normal"/>
    <w:next w:val="Normalaftertitle"/>
    <w:rsid w:val="00536FF2"/>
    <w:pPr>
      <w:keepNext/>
      <w:keepLines/>
      <w:spacing w:before="240"/>
      <w:jc w:val="center"/>
    </w:pPr>
    <w:rPr>
      <w:b/>
      <w:sz w:val="28"/>
    </w:rPr>
  </w:style>
  <w:style w:type="paragraph" w:customStyle="1" w:styleId="Blanc">
    <w:name w:val="Blanc"/>
    <w:basedOn w:val="Normal"/>
    <w:next w:val="Tabletext"/>
    <w:rsid w:val="00536F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6F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6FF2"/>
    <w:pPr>
      <w:keepNext/>
      <w:keepLines/>
      <w:spacing w:before="160"/>
      <w:ind w:left="794"/>
    </w:pPr>
    <w:rPr>
      <w:i/>
    </w:rPr>
  </w:style>
  <w:style w:type="paragraph" w:customStyle="1" w:styleId="ChapNo">
    <w:name w:val="Chap_No"/>
    <w:basedOn w:val="ArtNo"/>
    <w:next w:val="Chaptitle"/>
    <w:rsid w:val="00536FF2"/>
    <w:rPr>
      <w:b/>
    </w:rPr>
  </w:style>
  <w:style w:type="paragraph" w:customStyle="1" w:styleId="Chaptitle">
    <w:name w:val="Chap_title"/>
    <w:basedOn w:val="Arttitle"/>
    <w:next w:val="Normalaftertitle"/>
    <w:rsid w:val="00536FF2"/>
  </w:style>
  <w:style w:type="character" w:styleId="FootnoteReference">
    <w:name w:val="footnote reference"/>
    <w:basedOn w:val="DefaultParagraphFont"/>
    <w:rsid w:val="00536FF2"/>
    <w:rPr>
      <w:position w:val="6"/>
      <w:sz w:val="18"/>
    </w:rPr>
  </w:style>
  <w:style w:type="paragraph" w:styleId="FootnoteText">
    <w:name w:val="footnote text"/>
    <w:basedOn w:val="Normal"/>
    <w:rsid w:val="00536FF2"/>
    <w:pPr>
      <w:keepLines/>
      <w:tabs>
        <w:tab w:val="left" w:pos="255"/>
      </w:tabs>
      <w:ind w:left="255" w:hanging="255"/>
    </w:pPr>
    <w:rPr>
      <w:sz w:val="22"/>
    </w:rPr>
  </w:style>
  <w:style w:type="paragraph" w:styleId="Index1">
    <w:name w:val="index 1"/>
    <w:basedOn w:val="Normal"/>
    <w:next w:val="Normal"/>
    <w:semiHidden/>
    <w:rsid w:val="00536FF2"/>
  </w:style>
  <w:style w:type="paragraph" w:styleId="Index2">
    <w:name w:val="index 2"/>
    <w:basedOn w:val="Normal"/>
    <w:next w:val="Normal"/>
    <w:semiHidden/>
    <w:rsid w:val="00536FF2"/>
    <w:pPr>
      <w:ind w:left="283"/>
    </w:pPr>
  </w:style>
  <w:style w:type="paragraph" w:styleId="Index3">
    <w:name w:val="index 3"/>
    <w:basedOn w:val="Normal"/>
    <w:next w:val="Normal"/>
    <w:semiHidden/>
    <w:rsid w:val="00536FF2"/>
    <w:pPr>
      <w:ind w:left="566"/>
    </w:pPr>
  </w:style>
  <w:style w:type="paragraph" w:styleId="IndexHeading">
    <w:name w:val="index heading"/>
    <w:basedOn w:val="Normal"/>
    <w:next w:val="Index1"/>
    <w:semiHidden/>
    <w:rsid w:val="00536FF2"/>
  </w:style>
  <w:style w:type="paragraph" w:customStyle="1" w:styleId="Line">
    <w:name w:val="Line"/>
    <w:basedOn w:val="Normal"/>
    <w:next w:val="Normal"/>
    <w:rsid w:val="00536F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6F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6FF2"/>
  </w:style>
  <w:style w:type="paragraph" w:customStyle="1" w:styleId="Partref">
    <w:name w:val="Part_ref"/>
    <w:basedOn w:val="Normal"/>
    <w:next w:val="Normal"/>
    <w:rsid w:val="00536FF2"/>
    <w:pPr>
      <w:keepNext/>
      <w:keepLines/>
      <w:spacing w:after="280"/>
      <w:jc w:val="center"/>
    </w:pPr>
  </w:style>
  <w:style w:type="paragraph" w:customStyle="1" w:styleId="Parttitle">
    <w:name w:val="Part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6FF2"/>
  </w:style>
  <w:style w:type="paragraph" w:customStyle="1" w:styleId="QuestionNo">
    <w:name w:val="Question_No"/>
    <w:basedOn w:val="RecNo"/>
    <w:next w:val="Normal"/>
    <w:rsid w:val="00536FF2"/>
  </w:style>
  <w:style w:type="paragraph" w:customStyle="1" w:styleId="Questionref">
    <w:name w:val="Question_ref"/>
    <w:basedOn w:val="Recref"/>
    <w:next w:val="Questiondate"/>
    <w:rsid w:val="00536FF2"/>
  </w:style>
  <w:style w:type="paragraph" w:customStyle="1" w:styleId="Questiontitle">
    <w:name w:val="Question_title"/>
    <w:basedOn w:val="Normal"/>
    <w:next w:val="Questionref"/>
    <w:rsid w:val="00536FF2"/>
  </w:style>
  <w:style w:type="paragraph" w:customStyle="1" w:styleId="Reftext">
    <w:name w:val="Ref_text"/>
    <w:basedOn w:val="Normal"/>
    <w:rsid w:val="00536FF2"/>
    <w:pPr>
      <w:ind w:left="794" w:hanging="794"/>
    </w:pPr>
    <w:rPr>
      <w:sz w:val="22"/>
    </w:rPr>
  </w:style>
  <w:style w:type="paragraph" w:customStyle="1" w:styleId="Reftitle">
    <w:name w:val="Ref_title"/>
    <w:basedOn w:val="Normal"/>
    <w:next w:val="Reftext"/>
    <w:rsid w:val="00536F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6FF2"/>
  </w:style>
  <w:style w:type="paragraph" w:customStyle="1" w:styleId="RepNo">
    <w:name w:val="Rep_No"/>
    <w:basedOn w:val="RecNo"/>
    <w:next w:val="Reptitle"/>
    <w:rsid w:val="00536FF2"/>
  </w:style>
  <w:style w:type="paragraph" w:customStyle="1" w:styleId="Reptitle">
    <w:name w:val="Rep_title"/>
    <w:basedOn w:val="Rectitle"/>
    <w:next w:val="Repref"/>
    <w:rsid w:val="00536FF2"/>
  </w:style>
  <w:style w:type="paragraph" w:customStyle="1" w:styleId="Repref">
    <w:name w:val="Rep_ref"/>
    <w:basedOn w:val="Recref"/>
    <w:next w:val="Repdate"/>
    <w:rsid w:val="00536FF2"/>
  </w:style>
  <w:style w:type="paragraph" w:customStyle="1" w:styleId="Resdate">
    <w:name w:val="Res_date"/>
    <w:basedOn w:val="Recdate"/>
    <w:next w:val="Normalaftertitle"/>
    <w:rsid w:val="00536FF2"/>
  </w:style>
  <w:style w:type="paragraph" w:customStyle="1" w:styleId="ResNo">
    <w:name w:val="Res_No"/>
    <w:basedOn w:val="RecNo"/>
    <w:next w:val="Restitle"/>
    <w:rsid w:val="00536FF2"/>
  </w:style>
  <w:style w:type="paragraph" w:customStyle="1" w:styleId="Restitle">
    <w:name w:val="Res_title"/>
    <w:basedOn w:val="Normal"/>
    <w:next w:val="Resref"/>
    <w:rsid w:val="00536FF2"/>
    <w:pPr>
      <w:spacing w:before="240"/>
      <w:jc w:val="center"/>
    </w:pPr>
    <w:rPr>
      <w:b/>
      <w:sz w:val="28"/>
    </w:rPr>
  </w:style>
  <w:style w:type="paragraph" w:customStyle="1" w:styleId="Resref">
    <w:name w:val="Res_ref"/>
    <w:basedOn w:val="Recref"/>
    <w:next w:val="Resdate"/>
    <w:rsid w:val="00536FF2"/>
  </w:style>
  <w:style w:type="paragraph" w:customStyle="1" w:styleId="SectionNo">
    <w:name w:val="Section_No"/>
    <w:basedOn w:val="Normal"/>
    <w:next w:val="Normal"/>
    <w:rsid w:val="00536FF2"/>
  </w:style>
  <w:style w:type="paragraph" w:customStyle="1" w:styleId="Sectiontitle">
    <w:name w:val="Section_title"/>
    <w:basedOn w:val="Normal"/>
    <w:next w:val="Normalaftertitle"/>
    <w:rsid w:val="00536F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6FF2"/>
    <w:pPr>
      <w:tabs>
        <w:tab w:val="clear" w:pos="794"/>
        <w:tab w:val="clear" w:pos="1191"/>
        <w:tab w:val="clear" w:pos="1588"/>
        <w:tab w:val="clear" w:pos="1985"/>
        <w:tab w:val="right" w:pos="9611"/>
      </w:tabs>
    </w:pPr>
    <w:rPr>
      <w:i/>
    </w:rPr>
  </w:style>
  <w:style w:type="paragraph" w:styleId="TOC1">
    <w:name w:val="toc 1"/>
    <w:basedOn w:val="Normal"/>
    <w:semiHidden/>
    <w:rsid w:val="00536F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6FF2"/>
    <w:pPr>
      <w:tabs>
        <w:tab w:val="clear" w:pos="567"/>
        <w:tab w:val="left" w:pos="1276"/>
      </w:tabs>
      <w:spacing w:before="160"/>
      <w:ind w:left="1276" w:hanging="709"/>
    </w:pPr>
  </w:style>
  <w:style w:type="paragraph" w:styleId="TOC3">
    <w:name w:val="toc 3"/>
    <w:basedOn w:val="TOC2"/>
    <w:semiHidden/>
    <w:rsid w:val="00536FF2"/>
    <w:pPr>
      <w:tabs>
        <w:tab w:val="clear" w:pos="1276"/>
        <w:tab w:val="left" w:pos="2155"/>
      </w:tabs>
      <w:ind w:left="2155" w:hanging="879"/>
    </w:pPr>
  </w:style>
  <w:style w:type="paragraph" w:styleId="TOC4">
    <w:name w:val="toc 4"/>
    <w:basedOn w:val="TOC3"/>
    <w:semiHidden/>
    <w:rsid w:val="00536FF2"/>
    <w:pPr>
      <w:tabs>
        <w:tab w:val="left" w:pos="3261"/>
      </w:tabs>
      <w:spacing w:before="80"/>
      <w:ind w:left="3261" w:hanging="993"/>
    </w:pPr>
  </w:style>
  <w:style w:type="paragraph" w:styleId="TOC5">
    <w:name w:val="toc 5"/>
    <w:basedOn w:val="TOC4"/>
    <w:semiHidden/>
    <w:rsid w:val="00536FF2"/>
  </w:style>
  <w:style w:type="paragraph" w:styleId="TOC6">
    <w:name w:val="toc 6"/>
    <w:basedOn w:val="TOC4"/>
    <w:semiHidden/>
    <w:rsid w:val="00536FF2"/>
  </w:style>
  <w:style w:type="paragraph" w:styleId="TOC7">
    <w:name w:val="toc 7"/>
    <w:basedOn w:val="TOC4"/>
    <w:semiHidden/>
    <w:rsid w:val="00536FF2"/>
  </w:style>
  <w:style w:type="paragraph" w:styleId="TOC8">
    <w:name w:val="toc 8"/>
    <w:basedOn w:val="TOC4"/>
    <w:semiHidden/>
    <w:rsid w:val="00536FF2"/>
  </w:style>
  <w:style w:type="paragraph" w:customStyle="1" w:styleId="Annexref">
    <w:name w:val="Annex_ref"/>
    <w:basedOn w:val="Normal"/>
    <w:next w:val="Normalaftertitle"/>
    <w:rsid w:val="00536FF2"/>
    <w:pPr>
      <w:keepNext/>
      <w:keepLines/>
      <w:spacing w:after="280"/>
      <w:jc w:val="center"/>
    </w:pPr>
  </w:style>
  <w:style w:type="paragraph" w:customStyle="1" w:styleId="Appendixref">
    <w:name w:val="Appendix_ref"/>
    <w:basedOn w:val="Annexref"/>
    <w:next w:val="Normalaftertitle"/>
    <w:rsid w:val="00536FF2"/>
  </w:style>
  <w:style w:type="paragraph" w:customStyle="1" w:styleId="Tabletitle">
    <w:name w:val="Table_title"/>
    <w:basedOn w:val="Normal"/>
    <w:next w:val="Tablehead"/>
    <w:rsid w:val="00536FF2"/>
    <w:pPr>
      <w:keepNext/>
      <w:spacing w:before="0" w:after="120"/>
      <w:jc w:val="center"/>
    </w:pPr>
    <w:rPr>
      <w:b/>
    </w:rPr>
  </w:style>
  <w:style w:type="paragraph" w:customStyle="1" w:styleId="Summary">
    <w:name w:val="Summary"/>
    <w:basedOn w:val="Normal"/>
    <w:next w:val="Normalaftertitle"/>
    <w:rsid w:val="00536FF2"/>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536FF2"/>
    <w:pPr>
      <w:ind w:left="-85" w:firstLine="0"/>
    </w:pPr>
    <w:rPr>
      <w:lang w:val="en-US"/>
    </w:rPr>
  </w:style>
  <w:style w:type="paragraph" w:customStyle="1" w:styleId="AnnexNo">
    <w:name w:val="Annex_No"/>
    <w:basedOn w:val="Normal"/>
    <w:next w:val="Normal"/>
    <w:rsid w:val="00754B0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54B0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754B0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
    <w:name w:val="Normal_after_title Char"/>
    <w:basedOn w:val="DefaultParagraphFont"/>
    <w:link w:val="Normalaftertitle"/>
    <w:locked/>
    <w:rsid w:val="00754B0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122</TotalTime>
  <Pages>1</Pages>
  <Words>1065</Words>
  <Characters>5980</Characters>
  <Application>Microsoft Office Word</Application>
  <DocSecurity>0</DocSecurity>
  <Lines>149</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6987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12</cp:revision>
  <cp:lastPrinted>2014-09-15T13:29:00Z</cp:lastPrinted>
  <dcterms:created xsi:type="dcterms:W3CDTF">2014-09-15T09:31:00Z</dcterms:created>
  <dcterms:modified xsi:type="dcterms:W3CDTF">2014-09-15T13:34:00Z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