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286" w:rsidRPr="00575CB8" w:rsidRDefault="00BF1286" w:rsidP="00BF1286">
      <w:pPr>
        <w:rPr>
          <w:lang w:val="en-US"/>
        </w:rPr>
      </w:pPr>
      <w:bookmarkStart w:id="0" w:name="dbreak"/>
      <w:bookmarkEnd w:id="0"/>
    </w:p>
    <w:p w:rsidR="00BF1286" w:rsidRDefault="00BF1286" w:rsidP="00BF1286"/>
    <w:p w:rsidR="00BF1286" w:rsidRDefault="00BF1286" w:rsidP="00BF1286"/>
    <w:p w:rsidR="00BF1286" w:rsidRDefault="00BF1286" w:rsidP="00BF1286"/>
    <w:p w:rsidR="00BF1286" w:rsidRDefault="00BF1286" w:rsidP="00BF1286"/>
    <w:p w:rsidR="00BF1286" w:rsidRDefault="00BF1286" w:rsidP="00BF1286"/>
    <w:p w:rsidR="00BF1286" w:rsidRDefault="00BF1286" w:rsidP="00BF1286"/>
    <w:p w:rsidR="00BF1286" w:rsidRDefault="00BF1286" w:rsidP="00BF1286"/>
    <w:p w:rsidR="00BF1286" w:rsidRDefault="00BF1286" w:rsidP="00BF1286"/>
    <w:p w:rsidR="00BF1286" w:rsidRDefault="00BF1286" w:rsidP="00BF1286"/>
    <w:p w:rsidR="00BF1286" w:rsidRDefault="00BF1286" w:rsidP="00BF128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F1286" w:rsidRPr="00BF1286" w:rsidTr="00BF1286">
        <w:tc>
          <w:tcPr>
            <w:tcW w:w="10089" w:type="dxa"/>
          </w:tcPr>
          <w:p w:rsidR="00BF1286" w:rsidRPr="0010336F" w:rsidRDefault="00BF1286" w:rsidP="00BF1286">
            <w:pPr>
              <w:spacing w:before="380" w:line="280" w:lineRule="exact"/>
              <w:jc w:val="right"/>
              <w:rPr>
                <w:rFonts w:ascii="Tahoma" w:hAnsi="Tahoma" w:cs="Tahoma"/>
                <w:b/>
                <w:bCs/>
                <w:iCs/>
                <w:color w:val="243285"/>
                <w:sz w:val="32"/>
                <w:szCs w:val="32"/>
                <w:lang w:val="en-US"/>
              </w:rPr>
            </w:pPr>
          </w:p>
          <w:p w:rsidR="00BF1286" w:rsidRPr="0010336F" w:rsidRDefault="00BF1286" w:rsidP="00BF128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1891</w:t>
            </w:r>
          </w:p>
          <w:p w:rsidR="00BF1286" w:rsidRPr="0010336F" w:rsidRDefault="00BF1286" w:rsidP="00BF128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BF1286" w:rsidRPr="00AD1110" w:rsidTr="00BF1286">
        <w:tc>
          <w:tcPr>
            <w:tcW w:w="10089" w:type="dxa"/>
          </w:tcPr>
          <w:p w:rsidR="00BF1286" w:rsidRPr="0010336F" w:rsidRDefault="00BF1286" w:rsidP="00BF1286">
            <w:pPr>
              <w:spacing w:before="80" w:line="500" w:lineRule="exact"/>
              <w:jc w:val="right"/>
              <w:rPr>
                <w:rFonts w:ascii="Tahoma" w:hAnsi="Tahoma" w:cs="Tahoma"/>
                <w:b/>
                <w:bCs/>
                <w:iCs/>
                <w:color w:val="243285"/>
                <w:sz w:val="44"/>
                <w:szCs w:val="44"/>
                <w:lang w:val="es-ES_tradnl"/>
              </w:rPr>
            </w:pPr>
          </w:p>
          <w:p w:rsidR="00BF1286" w:rsidRDefault="001A0474" w:rsidP="00473A50">
            <w:pPr>
              <w:spacing w:before="80" w:line="500" w:lineRule="exact"/>
              <w:jc w:val="right"/>
              <w:rPr>
                <w:rFonts w:ascii="Tahoma" w:hAnsi="Tahoma" w:cs="Tahoma"/>
                <w:b/>
                <w:bCs/>
                <w:color w:val="243285"/>
                <w:sz w:val="44"/>
                <w:szCs w:val="44"/>
                <w:lang w:val="es-ES_tradnl"/>
              </w:rPr>
            </w:pPr>
            <w:r w:rsidRPr="001A0474">
              <w:rPr>
                <w:rFonts w:ascii="Tahoma" w:hAnsi="Tahoma" w:cs="Tahoma"/>
                <w:b/>
                <w:bCs/>
                <w:color w:val="243285"/>
                <w:sz w:val="44"/>
                <w:szCs w:val="44"/>
                <w:lang w:val="es-ES_tradnl"/>
              </w:rPr>
              <w:t>Características técnicas y operacionales</w:t>
            </w:r>
            <w:r w:rsidR="00BD1865">
              <w:rPr>
                <w:rFonts w:ascii="Tahoma" w:hAnsi="Tahoma" w:cs="Tahoma"/>
                <w:b/>
                <w:bCs/>
                <w:color w:val="243285"/>
                <w:sz w:val="44"/>
                <w:szCs w:val="44"/>
                <w:lang w:val="es-ES_tradnl"/>
              </w:rPr>
              <w:br/>
            </w:r>
            <w:r w:rsidRPr="001A0474">
              <w:rPr>
                <w:rFonts w:ascii="Tahoma" w:hAnsi="Tahoma" w:cs="Tahoma"/>
                <w:b/>
                <w:bCs/>
                <w:color w:val="243285"/>
                <w:sz w:val="44"/>
                <w:szCs w:val="44"/>
                <w:lang w:val="es-ES_tradnl"/>
              </w:rPr>
              <w:t>de los enlaces de pasarela del servicio</w:t>
            </w:r>
            <w:r w:rsidR="00473A50">
              <w:rPr>
                <w:rFonts w:ascii="Tahoma" w:hAnsi="Tahoma" w:cs="Tahoma"/>
                <w:b/>
                <w:bCs/>
                <w:color w:val="243285"/>
                <w:sz w:val="44"/>
                <w:szCs w:val="44"/>
                <w:lang w:val="es-ES_tradnl"/>
              </w:rPr>
              <w:t xml:space="preserve"> </w:t>
            </w:r>
            <w:r w:rsidRPr="001A0474">
              <w:rPr>
                <w:rFonts w:ascii="Tahoma" w:hAnsi="Tahoma" w:cs="Tahoma"/>
                <w:b/>
                <w:bCs/>
                <w:color w:val="243285"/>
                <w:sz w:val="44"/>
                <w:szCs w:val="44"/>
                <w:lang w:val="es-ES_tradnl"/>
              </w:rPr>
              <w:t>fijo</w:t>
            </w:r>
            <w:r w:rsidR="00473A50">
              <w:rPr>
                <w:rFonts w:ascii="Tahoma" w:hAnsi="Tahoma" w:cs="Tahoma"/>
                <w:b/>
                <w:bCs/>
                <w:color w:val="243285"/>
                <w:sz w:val="44"/>
                <w:szCs w:val="44"/>
                <w:lang w:val="es-ES_tradnl"/>
              </w:rPr>
              <w:br/>
            </w:r>
            <w:r w:rsidRPr="001A0474">
              <w:rPr>
                <w:rFonts w:ascii="Tahoma" w:hAnsi="Tahoma" w:cs="Tahoma"/>
                <w:b/>
                <w:bCs/>
                <w:color w:val="243285"/>
                <w:sz w:val="44"/>
                <w:szCs w:val="44"/>
                <w:lang w:val="es-ES_tradnl"/>
              </w:rPr>
              <w:t>que utilizan estaciones en plataformas</w:t>
            </w:r>
            <w:r w:rsidR="00BD1865">
              <w:rPr>
                <w:rFonts w:ascii="Tahoma" w:hAnsi="Tahoma" w:cs="Tahoma"/>
                <w:b/>
                <w:bCs/>
                <w:color w:val="243285"/>
                <w:sz w:val="44"/>
                <w:szCs w:val="44"/>
                <w:lang w:val="es-ES_tradnl"/>
              </w:rPr>
              <w:t xml:space="preserve"> </w:t>
            </w:r>
            <w:r w:rsidRPr="001A0474">
              <w:rPr>
                <w:rFonts w:ascii="Tahoma" w:hAnsi="Tahoma" w:cs="Tahoma"/>
                <w:b/>
                <w:bCs/>
                <w:color w:val="243285"/>
                <w:sz w:val="44"/>
                <w:szCs w:val="44"/>
                <w:lang w:val="es-ES_tradnl"/>
              </w:rPr>
              <w:t>a</w:t>
            </w:r>
            <w:r w:rsidR="00473A50">
              <w:rPr>
                <w:rFonts w:ascii="Tahoma" w:hAnsi="Tahoma" w:cs="Tahoma"/>
                <w:b/>
                <w:bCs/>
                <w:color w:val="243285"/>
                <w:sz w:val="44"/>
                <w:szCs w:val="44"/>
                <w:lang w:val="es-ES_tradnl"/>
              </w:rPr>
              <w:br/>
            </w:r>
            <w:r w:rsidRPr="001A0474">
              <w:rPr>
                <w:rFonts w:ascii="Tahoma" w:hAnsi="Tahoma" w:cs="Tahoma"/>
                <w:b/>
                <w:bCs/>
                <w:color w:val="243285"/>
                <w:sz w:val="44"/>
                <w:szCs w:val="44"/>
                <w:lang w:val="es-ES_tradnl"/>
              </w:rPr>
              <w:t>gran altitud en la banda</w:t>
            </w:r>
            <w:r w:rsidR="00473A50">
              <w:rPr>
                <w:rFonts w:ascii="Tahoma" w:hAnsi="Tahoma" w:cs="Tahoma"/>
                <w:b/>
                <w:bCs/>
                <w:color w:val="243285"/>
                <w:sz w:val="44"/>
                <w:szCs w:val="44"/>
                <w:lang w:val="es-ES_tradnl"/>
              </w:rPr>
              <w:t xml:space="preserve"> </w:t>
            </w:r>
            <w:r w:rsidRPr="001A0474">
              <w:rPr>
                <w:rFonts w:ascii="Tahoma" w:hAnsi="Tahoma" w:cs="Tahoma"/>
                <w:b/>
                <w:bCs/>
                <w:color w:val="243285"/>
                <w:sz w:val="44"/>
                <w:szCs w:val="44"/>
                <w:lang w:val="es-ES_tradnl"/>
              </w:rPr>
              <w:t>5 850</w:t>
            </w:r>
            <w:r w:rsidRPr="001A0474">
              <w:rPr>
                <w:rFonts w:ascii="Tahoma" w:hAnsi="Tahoma" w:cs="Tahoma"/>
                <w:b/>
                <w:bCs/>
                <w:color w:val="243285"/>
                <w:sz w:val="44"/>
                <w:szCs w:val="44"/>
                <w:lang w:val="es-ES_tradnl"/>
              </w:rPr>
              <w:noBreakHyphen/>
              <w:t>7 075 MHz</w:t>
            </w:r>
            <w:r w:rsidR="00473A50">
              <w:rPr>
                <w:rFonts w:ascii="Tahoma" w:hAnsi="Tahoma" w:cs="Tahoma"/>
                <w:b/>
                <w:bCs/>
                <w:color w:val="243285"/>
                <w:sz w:val="44"/>
                <w:szCs w:val="44"/>
                <w:lang w:val="es-ES_tradnl"/>
              </w:rPr>
              <w:br/>
            </w:r>
            <w:r w:rsidRPr="001A0474">
              <w:rPr>
                <w:rFonts w:ascii="Tahoma" w:hAnsi="Tahoma" w:cs="Tahoma"/>
                <w:b/>
                <w:bCs/>
                <w:color w:val="243285"/>
                <w:sz w:val="44"/>
                <w:szCs w:val="44"/>
                <w:lang w:val="es-ES_tradnl"/>
              </w:rPr>
              <w:t>para ser utilizadas en estudios</w:t>
            </w:r>
            <w:r w:rsidR="00BD1865">
              <w:rPr>
                <w:rFonts w:ascii="Tahoma" w:hAnsi="Tahoma" w:cs="Tahoma"/>
                <w:b/>
                <w:bCs/>
                <w:color w:val="243285"/>
                <w:sz w:val="44"/>
                <w:szCs w:val="44"/>
                <w:lang w:val="es-ES_tradnl"/>
              </w:rPr>
              <w:br/>
            </w:r>
            <w:r w:rsidRPr="001A0474">
              <w:rPr>
                <w:rFonts w:ascii="Tahoma" w:hAnsi="Tahoma" w:cs="Tahoma"/>
                <w:b/>
                <w:bCs/>
                <w:color w:val="243285"/>
                <w:sz w:val="44"/>
                <w:szCs w:val="44"/>
                <w:lang w:val="es-ES_tradnl"/>
              </w:rPr>
              <w:t>de compartición</w:t>
            </w:r>
          </w:p>
          <w:p w:rsidR="00BF1286" w:rsidRPr="0010336F" w:rsidRDefault="00BF1286" w:rsidP="00BF1286">
            <w:pPr>
              <w:spacing w:before="80" w:line="500" w:lineRule="exact"/>
              <w:jc w:val="right"/>
              <w:rPr>
                <w:rFonts w:ascii="Tahoma" w:hAnsi="Tahoma" w:cs="Tahoma"/>
                <w:b/>
                <w:bCs/>
                <w:iCs/>
                <w:color w:val="243285"/>
                <w:sz w:val="44"/>
                <w:szCs w:val="44"/>
                <w:lang w:val="es-ES_tradnl"/>
              </w:rPr>
            </w:pPr>
          </w:p>
        </w:tc>
      </w:tr>
      <w:tr w:rsidR="00BF1286" w:rsidRPr="0026666F" w:rsidTr="00BF1286">
        <w:tc>
          <w:tcPr>
            <w:tcW w:w="10089" w:type="dxa"/>
          </w:tcPr>
          <w:p w:rsidR="00BF1286" w:rsidRPr="0010336F" w:rsidRDefault="00BF1286" w:rsidP="00BF1286">
            <w:pPr>
              <w:spacing w:before="80" w:line="280" w:lineRule="exact"/>
              <w:ind w:right="640"/>
              <w:rPr>
                <w:rFonts w:ascii="Tahoma" w:hAnsi="Tahoma" w:cs="Tahoma"/>
                <w:b/>
                <w:bCs/>
                <w:iCs/>
                <w:color w:val="243285"/>
                <w:sz w:val="32"/>
                <w:szCs w:val="32"/>
                <w:lang w:val="es-ES_tradnl"/>
              </w:rPr>
            </w:pPr>
          </w:p>
          <w:p w:rsidR="00BF1286" w:rsidRPr="0010336F" w:rsidRDefault="00BF1286" w:rsidP="00BF1286">
            <w:pPr>
              <w:spacing w:before="80" w:line="280" w:lineRule="exact"/>
              <w:ind w:right="640"/>
              <w:rPr>
                <w:rFonts w:ascii="Tahoma" w:hAnsi="Tahoma" w:cs="Tahoma"/>
                <w:b/>
                <w:bCs/>
                <w:iCs/>
                <w:color w:val="243285"/>
                <w:sz w:val="32"/>
                <w:szCs w:val="32"/>
                <w:lang w:val="es-ES_tradnl"/>
              </w:rPr>
            </w:pPr>
          </w:p>
          <w:p w:rsidR="00BF1286" w:rsidRPr="0010336F" w:rsidRDefault="00BF1286" w:rsidP="00BF1286">
            <w:pPr>
              <w:spacing w:before="80" w:after="180" w:line="360" w:lineRule="exact"/>
              <w:ind w:right="720"/>
              <w:rPr>
                <w:rFonts w:ascii="Tahoma" w:hAnsi="Tahoma" w:cs="Tahoma"/>
                <w:b/>
                <w:bCs/>
                <w:iCs/>
                <w:color w:val="243285"/>
                <w:sz w:val="36"/>
                <w:szCs w:val="36"/>
                <w:lang w:val="es-ES_tradnl"/>
              </w:rPr>
            </w:pPr>
          </w:p>
          <w:p w:rsidR="00BF1286" w:rsidRPr="0010336F" w:rsidRDefault="00BF1286" w:rsidP="00BF128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BF1286" w:rsidRPr="0010336F" w:rsidRDefault="00BF1286" w:rsidP="00BF128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BF1286" w:rsidRPr="0026666F" w:rsidRDefault="00BF1286" w:rsidP="00BF1286">
      <w:pPr>
        <w:spacing w:before="80"/>
        <w:rPr>
          <w:i/>
          <w:sz w:val="22"/>
          <w:lang w:val="es-ES_tradnl"/>
        </w:rPr>
      </w:pPr>
    </w:p>
    <w:p w:rsidR="00BF1286" w:rsidRPr="0026666F" w:rsidRDefault="00BF1286" w:rsidP="00BF1286">
      <w:pPr>
        <w:spacing w:before="80"/>
        <w:rPr>
          <w:i/>
          <w:sz w:val="22"/>
          <w:lang w:val="es-ES_tradnl"/>
        </w:rPr>
      </w:pPr>
    </w:p>
    <w:p w:rsidR="00BF1286" w:rsidRPr="0026666F" w:rsidRDefault="00BF1286" w:rsidP="00BF1286">
      <w:pPr>
        <w:spacing w:before="80"/>
        <w:rPr>
          <w:i/>
          <w:sz w:val="22"/>
          <w:lang w:val="es-ES_tradnl"/>
        </w:rPr>
      </w:pPr>
    </w:p>
    <w:p w:rsidR="00BF1286" w:rsidRPr="0026666F" w:rsidRDefault="00BF1286" w:rsidP="00BF1286">
      <w:pPr>
        <w:spacing w:before="80"/>
        <w:rPr>
          <w:i/>
          <w:sz w:val="22"/>
          <w:lang w:val="es-ES_tradnl"/>
        </w:rPr>
      </w:pPr>
    </w:p>
    <w:p w:rsidR="00BF1286" w:rsidRPr="0026666F" w:rsidRDefault="00BF1286" w:rsidP="00BF1286">
      <w:pPr>
        <w:spacing w:before="80"/>
        <w:rPr>
          <w:i/>
          <w:sz w:val="22"/>
          <w:lang w:val="es-ES_tradnl"/>
        </w:rPr>
      </w:pPr>
    </w:p>
    <w:p w:rsidR="00BF1286" w:rsidRPr="0026666F" w:rsidRDefault="00BF1286" w:rsidP="00BF1286">
      <w:pPr>
        <w:pStyle w:val="Equation"/>
        <w:tabs>
          <w:tab w:val="clear" w:pos="4820"/>
          <w:tab w:val="clear" w:pos="9639"/>
          <w:tab w:val="left" w:pos="1191"/>
          <w:tab w:val="left" w:pos="1588"/>
          <w:tab w:val="left" w:pos="1985"/>
        </w:tabs>
        <w:rPr>
          <w:rFonts w:ascii="Palatino Linotype" w:hAnsi="Palatino Linotype"/>
          <w:lang w:val="es-ES_tradnl"/>
        </w:rPr>
        <w:sectPr w:rsidR="00BF1286" w:rsidRPr="0026666F" w:rsidSect="00BF1286">
          <w:headerReference w:type="even" r:id="rId9"/>
          <w:headerReference w:type="default" r:id="rId10"/>
          <w:pgSz w:w="11907" w:h="16834" w:code="9"/>
          <w:pgMar w:top="1418" w:right="1134" w:bottom="1134" w:left="1134" w:header="720" w:footer="482" w:gutter="0"/>
          <w:paperSrc w:first="15" w:other="15"/>
          <w:cols w:space="720"/>
        </w:sectPr>
      </w:pPr>
    </w:p>
    <w:p w:rsidR="00BF1286" w:rsidRPr="006C718C" w:rsidRDefault="00BF1286" w:rsidP="00BF12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F1286" w:rsidRPr="006C718C" w:rsidRDefault="00BF1286" w:rsidP="00BF128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F1286" w:rsidRPr="006C718C" w:rsidRDefault="00BF1286" w:rsidP="00BF128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F1286" w:rsidRPr="00021E8A" w:rsidRDefault="00BF1286" w:rsidP="00BF128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F1286" w:rsidRPr="00021E8A" w:rsidRDefault="00BF1286" w:rsidP="00BF128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F1286" w:rsidRPr="007C36CA" w:rsidRDefault="00BF1286" w:rsidP="00BF1286">
      <w:pPr>
        <w:spacing w:before="0"/>
        <w:jc w:val="center"/>
        <w:rPr>
          <w:sz w:val="22"/>
          <w:lang w:val="es-ES_tradnl"/>
        </w:rPr>
      </w:pPr>
    </w:p>
    <w:p w:rsidR="00BF1286" w:rsidRPr="007C36CA" w:rsidRDefault="00BF1286" w:rsidP="00BF128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F1286" w:rsidRPr="00AD1110" w:rsidTr="00BF1286">
        <w:tc>
          <w:tcPr>
            <w:tcW w:w="9360" w:type="dxa"/>
            <w:gridSpan w:val="2"/>
          </w:tcPr>
          <w:p w:rsidR="00BF1286" w:rsidRPr="00021E8A" w:rsidRDefault="00BF1286" w:rsidP="00BF128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F1286" w:rsidRPr="00763D08" w:rsidRDefault="00BF1286" w:rsidP="00BF12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F1286" w:rsidRPr="00036EE3" w:rsidTr="00BF1286">
        <w:tc>
          <w:tcPr>
            <w:tcW w:w="1140" w:type="dxa"/>
            <w:tcBorders>
              <w:bottom w:val="nil"/>
            </w:tcBorders>
          </w:tcPr>
          <w:p w:rsidR="00BF1286" w:rsidRPr="00036EE3" w:rsidRDefault="00BF1286" w:rsidP="00BF1286">
            <w:pPr>
              <w:spacing w:before="180" w:after="100"/>
              <w:ind w:left="57"/>
              <w:rPr>
                <w:b/>
                <w:bCs/>
                <w:sz w:val="20"/>
                <w:lang w:val="en-US"/>
              </w:rPr>
            </w:pPr>
            <w:r w:rsidRPr="00036EE3">
              <w:rPr>
                <w:b/>
                <w:bCs/>
                <w:sz w:val="20"/>
                <w:lang w:val="en-US"/>
              </w:rPr>
              <w:t>Series</w:t>
            </w:r>
          </w:p>
        </w:tc>
        <w:tc>
          <w:tcPr>
            <w:tcW w:w="8220" w:type="dxa"/>
            <w:tcBorders>
              <w:bottom w:val="nil"/>
            </w:tcBorders>
          </w:tcPr>
          <w:p w:rsidR="00BF1286" w:rsidRPr="00036EE3" w:rsidRDefault="00BF1286" w:rsidP="00BF12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F1286" w:rsidRPr="004532F7" w:rsidTr="00BF1286">
        <w:tc>
          <w:tcPr>
            <w:tcW w:w="1140" w:type="dxa"/>
            <w:tcBorders>
              <w:top w:val="nil"/>
              <w:bottom w:val="nil"/>
            </w:tcBorders>
            <w:shd w:val="clear" w:color="auto" w:fill="auto"/>
          </w:tcPr>
          <w:p w:rsidR="00BF1286" w:rsidRPr="004532F7" w:rsidRDefault="00BF1286" w:rsidP="00BF128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F1286" w:rsidRPr="004532F7" w:rsidRDefault="00BF1286" w:rsidP="00BF12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F1286" w:rsidRPr="00AD1110" w:rsidTr="00BF1286">
        <w:tc>
          <w:tcPr>
            <w:tcW w:w="1140" w:type="dxa"/>
            <w:tcBorders>
              <w:top w:val="nil"/>
              <w:bottom w:val="nil"/>
            </w:tcBorders>
            <w:shd w:val="clear" w:color="auto" w:fill="auto"/>
          </w:tcPr>
          <w:p w:rsidR="00BF1286" w:rsidRPr="006B22C3" w:rsidRDefault="00BF1286" w:rsidP="00BF128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F1286" w:rsidRPr="006B22C3" w:rsidRDefault="00BF1286" w:rsidP="00BF12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F1286" w:rsidRPr="00847DD5" w:rsidTr="00BF1286">
        <w:tc>
          <w:tcPr>
            <w:tcW w:w="1140" w:type="dxa"/>
            <w:tcBorders>
              <w:top w:val="nil"/>
              <w:bottom w:val="nil"/>
            </w:tcBorders>
            <w:shd w:val="clear" w:color="auto" w:fill="auto"/>
          </w:tcPr>
          <w:p w:rsidR="00BF1286" w:rsidRPr="00847DD5" w:rsidRDefault="00BF1286" w:rsidP="00BF128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F1286" w:rsidRPr="00847DD5" w:rsidRDefault="00BF1286" w:rsidP="00BF12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F1286" w:rsidRPr="00ED2695" w:rsidTr="00BF1286">
        <w:tc>
          <w:tcPr>
            <w:tcW w:w="1140" w:type="dxa"/>
            <w:tcBorders>
              <w:top w:val="nil"/>
              <w:bottom w:val="nil"/>
            </w:tcBorders>
            <w:shd w:val="clear" w:color="auto" w:fill="auto"/>
          </w:tcPr>
          <w:p w:rsidR="00BF1286" w:rsidRPr="00ED2695" w:rsidRDefault="00BF1286" w:rsidP="00BF128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F1286" w:rsidRPr="00021E8A" w:rsidRDefault="00BF1286" w:rsidP="00BF12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F1286" w:rsidRPr="00847DD5" w:rsidTr="00BF1286">
        <w:tc>
          <w:tcPr>
            <w:tcW w:w="1140" w:type="dxa"/>
            <w:tcBorders>
              <w:top w:val="nil"/>
              <w:bottom w:val="nil"/>
            </w:tcBorders>
            <w:shd w:val="clear" w:color="auto" w:fill="F3F3F3"/>
          </w:tcPr>
          <w:p w:rsidR="00BF1286" w:rsidRPr="00847DD5" w:rsidRDefault="00BF1286" w:rsidP="00BF1286">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F1286" w:rsidRPr="00847DD5" w:rsidRDefault="00BF1286" w:rsidP="00BF12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F1286" w:rsidRPr="00AD1110" w:rsidTr="00BF1286">
        <w:tc>
          <w:tcPr>
            <w:tcW w:w="1140" w:type="dxa"/>
            <w:tcBorders>
              <w:top w:val="nil"/>
              <w:bottom w:val="nil"/>
            </w:tcBorders>
            <w:shd w:val="clear" w:color="auto" w:fill="auto"/>
          </w:tcPr>
          <w:p w:rsidR="00BF1286" w:rsidRPr="0010336F" w:rsidRDefault="00BF1286" w:rsidP="00BF128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F1286" w:rsidRPr="0010336F" w:rsidRDefault="00BF1286" w:rsidP="001A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BD1865">
              <w:rPr>
                <w:b w:val="0"/>
                <w:sz w:val="20"/>
                <w:lang w:val="es-ES_tradnl"/>
              </w:rPr>
              <w:t>ó</w:t>
            </w:r>
            <w:r w:rsidRPr="0010336F">
              <w:rPr>
                <w:rFonts w:hAnsi="Times New Roman Bold"/>
                <w:b w:val="0"/>
                <w:sz w:val="20"/>
                <w:lang w:val="es-ES_tradnl"/>
              </w:rPr>
              <w:t>viles, de radiodeterminaci</w:t>
            </w:r>
            <w:r w:rsidRPr="001A0474">
              <w:rPr>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F1286" w:rsidRPr="00AD1110" w:rsidTr="00BF1286">
        <w:tc>
          <w:tcPr>
            <w:tcW w:w="1140" w:type="dxa"/>
            <w:tcBorders>
              <w:top w:val="nil"/>
            </w:tcBorders>
          </w:tcPr>
          <w:p w:rsidR="00BF1286" w:rsidRPr="00036EE3" w:rsidRDefault="00BF1286" w:rsidP="00BF1286">
            <w:pPr>
              <w:spacing w:before="30" w:after="30"/>
              <w:ind w:left="57"/>
              <w:jc w:val="left"/>
              <w:rPr>
                <w:b/>
                <w:bCs/>
                <w:sz w:val="20"/>
                <w:lang w:val="fr-CH"/>
              </w:rPr>
            </w:pPr>
            <w:r w:rsidRPr="00036EE3">
              <w:rPr>
                <w:b/>
                <w:bCs/>
                <w:sz w:val="20"/>
                <w:lang w:val="fr-CH"/>
              </w:rPr>
              <w:t>P</w:t>
            </w:r>
          </w:p>
        </w:tc>
        <w:tc>
          <w:tcPr>
            <w:tcW w:w="8220" w:type="dxa"/>
            <w:tcBorders>
              <w:top w:val="nil"/>
            </w:tcBorders>
          </w:tcPr>
          <w:p w:rsidR="00BF1286" w:rsidRPr="00021E8A" w:rsidRDefault="00BF1286" w:rsidP="00BF1286">
            <w:pPr>
              <w:spacing w:before="30" w:after="30"/>
              <w:jc w:val="left"/>
              <w:rPr>
                <w:bCs/>
                <w:sz w:val="20"/>
                <w:lang w:val="es-ES_tradnl"/>
              </w:rPr>
            </w:pPr>
            <w:r w:rsidRPr="00021E8A">
              <w:rPr>
                <w:bCs/>
                <w:sz w:val="20"/>
                <w:lang w:val="es-ES_tradnl"/>
              </w:rPr>
              <w:t>Propagación de las ondas radioeléctricas</w:t>
            </w:r>
          </w:p>
        </w:tc>
      </w:tr>
      <w:tr w:rsidR="00BF1286" w:rsidRPr="00036EE3"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RA</w:t>
            </w:r>
          </w:p>
        </w:tc>
        <w:tc>
          <w:tcPr>
            <w:tcW w:w="8220" w:type="dxa"/>
          </w:tcPr>
          <w:p w:rsidR="00BF1286" w:rsidRPr="00021E8A" w:rsidRDefault="00BF1286" w:rsidP="00BF12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BF1286" w:rsidRPr="00AD1110"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RS</w:t>
            </w:r>
          </w:p>
        </w:tc>
        <w:tc>
          <w:tcPr>
            <w:tcW w:w="8220" w:type="dxa"/>
          </w:tcPr>
          <w:p w:rsidR="00BF1286" w:rsidRPr="00021E8A" w:rsidRDefault="00BF1286" w:rsidP="00BF12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F1286" w:rsidRPr="00036EE3"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S</w:t>
            </w:r>
          </w:p>
        </w:tc>
        <w:tc>
          <w:tcPr>
            <w:tcW w:w="8220" w:type="dxa"/>
          </w:tcPr>
          <w:p w:rsidR="00BF1286" w:rsidRPr="00021E8A" w:rsidRDefault="00BF1286" w:rsidP="00BF1286">
            <w:pPr>
              <w:spacing w:before="30" w:after="30"/>
              <w:jc w:val="left"/>
              <w:rPr>
                <w:bCs/>
                <w:sz w:val="20"/>
                <w:lang w:val="en-US"/>
              </w:rPr>
            </w:pPr>
            <w:r w:rsidRPr="00021E8A">
              <w:rPr>
                <w:bCs/>
                <w:sz w:val="20"/>
              </w:rPr>
              <w:t>Servicio fijo por satélite</w:t>
            </w:r>
          </w:p>
        </w:tc>
      </w:tr>
      <w:tr w:rsidR="00BF1286" w:rsidRPr="00036EE3"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SA</w:t>
            </w:r>
          </w:p>
        </w:tc>
        <w:tc>
          <w:tcPr>
            <w:tcW w:w="8220" w:type="dxa"/>
          </w:tcPr>
          <w:p w:rsidR="00BF1286" w:rsidRPr="00021E8A" w:rsidRDefault="00BF1286" w:rsidP="00BF1286">
            <w:pPr>
              <w:spacing w:before="30" w:after="30"/>
              <w:jc w:val="left"/>
              <w:rPr>
                <w:bCs/>
                <w:sz w:val="20"/>
                <w:lang w:val="en-US"/>
              </w:rPr>
            </w:pPr>
            <w:r w:rsidRPr="00021E8A">
              <w:rPr>
                <w:bCs/>
                <w:sz w:val="20"/>
              </w:rPr>
              <w:t>Aplicaciones espaciales y meteorología</w:t>
            </w:r>
          </w:p>
        </w:tc>
      </w:tr>
      <w:tr w:rsidR="00BF1286" w:rsidRPr="00AD1110"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SF</w:t>
            </w:r>
          </w:p>
        </w:tc>
        <w:tc>
          <w:tcPr>
            <w:tcW w:w="8220" w:type="dxa"/>
          </w:tcPr>
          <w:p w:rsidR="00BF1286" w:rsidRPr="00021E8A" w:rsidRDefault="00BF1286" w:rsidP="00BF128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F1286" w:rsidRPr="00036EE3" w:rsidTr="00BF1286">
        <w:tc>
          <w:tcPr>
            <w:tcW w:w="1140" w:type="dxa"/>
            <w:shd w:val="clear" w:color="auto" w:fill="auto"/>
          </w:tcPr>
          <w:p w:rsidR="00BF1286" w:rsidRPr="001240BC" w:rsidRDefault="00BF1286" w:rsidP="00BF1286">
            <w:pPr>
              <w:spacing w:before="30" w:after="30"/>
              <w:ind w:left="57"/>
              <w:jc w:val="left"/>
              <w:rPr>
                <w:b/>
                <w:bCs/>
                <w:sz w:val="20"/>
                <w:lang w:val="en-US"/>
              </w:rPr>
            </w:pPr>
            <w:r w:rsidRPr="001240BC">
              <w:rPr>
                <w:b/>
                <w:bCs/>
                <w:sz w:val="20"/>
                <w:lang w:val="en-US"/>
              </w:rPr>
              <w:t>SM</w:t>
            </w:r>
          </w:p>
        </w:tc>
        <w:tc>
          <w:tcPr>
            <w:tcW w:w="8220" w:type="dxa"/>
            <w:shd w:val="clear" w:color="auto" w:fill="auto"/>
          </w:tcPr>
          <w:p w:rsidR="00BF1286" w:rsidRPr="001240BC" w:rsidRDefault="00BF1286" w:rsidP="00BF1286">
            <w:pPr>
              <w:spacing w:before="30" w:after="30"/>
              <w:jc w:val="left"/>
              <w:rPr>
                <w:sz w:val="20"/>
                <w:lang w:val="en-US"/>
              </w:rPr>
            </w:pPr>
            <w:r w:rsidRPr="001240BC">
              <w:rPr>
                <w:sz w:val="20"/>
              </w:rPr>
              <w:t>Gestión del espectro</w:t>
            </w:r>
          </w:p>
        </w:tc>
      </w:tr>
      <w:tr w:rsidR="00BF1286" w:rsidRPr="00036EE3"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SNG</w:t>
            </w:r>
          </w:p>
        </w:tc>
        <w:tc>
          <w:tcPr>
            <w:tcW w:w="8220" w:type="dxa"/>
          </w:tcPr>
          <w:p w:rsidR="00BF1286" w:rsidRPr="00021E8A" w:rsidRDefault="00BF1286" w:rsidP="00BF1286">
            <w:pPr>
              <w:spacing w:before="30" w:after="30"/>
              <w:jc w:val="left"/>
              <w:rPr>
                <w:bCs/>
                <w:sz w:val="20"/>
                <w:lang w:val="en-US"/>
              </w:rPr>
            </w:pPr>
            <w:r w:rsidRPr="00021E8A">
              <w:rPr>
                <w:bCs/>
                <w:sz w:val="20"/>
              </w:rPr>
              <w:t>Periodismo electrónico por satélite</w:t>
            </w:r>
          </w:p>
        </w:tc>
      </w:tr>
      <w:tr w:rsidR="00BF1286" w:rsidRPr="00AD1110"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TF</w:t>
            </w:r>
          </w:p>
        </w:tc>
        <w:tc>
          <w:tcPr>
            <w:tcW w:w="8220" w:type="dxa"/>
          </w:tcPr>
          <w:p w:rsidR="00BF1286" w:rsidRPr="00021E8A" w:rsidRDefault="00BF1286" w:rsidP="00BF1286">
            <w:pPr>
              <w:spacing w:before="30" w:after="30"/>
              <w:jc w:val="left"/>
              <w:rPr>
                <w:bCs/>
                <w:sz w:val="20"/>
                <w:lang w:val="es-ES_tradnl"/>
              </w:rPr>
            </w:pPr>
            <w:r w:rsidRPr="00021E8A">
              <w:rPr>
                <w:bCs/>
                <w:sz w:val="20"/>
                <w:lang w:val="es-ES_tradnl"/>
              </w:rPr>
              <w:t>Emisiones de frecuencias patrón y señales horarias</w:t>
            </w:r>
          </w:p>
        </w:tc>
      </w:tr>
      <w:tr w:rsidR="00BF1286" w:rsidRPr="00036EE3" w:rsidTr="00BF1286">
        <w:tc>
          <w:tcPr>
            <w:tcW w:w="1140" w:type="dxa"/>
          </w:tcPr>
          <w:p w:rsidR="00BF1286" w:rsidRPr="00036EE3" w:rsidRDefault="00BF1286" w:rsidP="00BF1286">
            <w:pPr>
              <w:spacing w:before="30" w:after="30"/>
              <w:ind w:left="57"/>
              <w:jc w:val="left"/>
              <w:rPr>
                <w:b/>
                <w:bCs/>
                <w:sz w:val="20"/>
                <w:lang w:val="en-US"/>
              </w:rPr>
            </w:pPr>
            <w:r w:rsidRPr="00036EE3">
              <w:rPr>
                <w:b/>
                <w:bCs/>
                <w:sz w:val="20"/>
                <w:lang w:val="en-US"/>
              </w:rPr>
              <w:t>V</w:t>
            </w:r>
          </w:p>
        </w:tc>
        <w:tc>
          <w:tcPr>
            <w:tcW w:w="8220" w:type="dxa"/>
          </w:tcPr>
          <w:p w:rsidR="00BF1286" w:rsidRPr="00021E8A" w:rsidRDefault="00BF1286" w:rsidP="00BF1286">
            <w:pPr>
              <w:spacing w:before="30" w:after="140"/>
              <w:jc w:val="left"/>
              <w:rPr>
                <w:bCs/>
                <w:sz w:val="20"/>
                <w:lang w:val="en-US"/>
              </w:rPr>
            </w:pPr>
            <w:r w:rsidRPr="00021E8A">
              <w:rPr>
                <w:bCs/>
                <w:sz w:val="20"/>
              </w:rPr>
              <w:t>Vocabulario y cuestiones afines</w:t>
            </w:r>
          </w:p>
        </w:tc>
      </w:tr>
    </w:tbl>
    <w:p w:rsidR="00BF1286" w:rsidRPr="00036EE3" w:rsidRDefault="00BF1286" w:rsidP="00BF128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F1286" w:rsidTr="00BF1286">
        <w:tc>
          <w:tcPr>
            <w:tcW w:w="720" w:type="dxa"/>
          </w:tcPr>
          <w:p w:rsidR="00BF1286" w:rsidRDefault="00BF1286" w:rsidP="00BF1286">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BF1286" w:rsidRPr="00AD1110" w:rsidTr="00BF1286">
        <w:tc>
          <w:tcPr>
            <w:tcW w:w="9360" w:type="dxa"/>
          </w:tcPr>
          <w:p w:rsidR="00BF1286" w:rsidRPr="00763D08" w:rsidRDefault="00BF1286" w:rsidP="00BF1286">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F1286" w:rsidRPr="00763D08" w:rsidRDefault="00BF1286" w:rsidP="00BF1286">
      <w:pPr>
        <w:spacing w:before="0"/>
        <w:jc w:val="center"/>
        <w:rPr>
          <w:sz w:val="22"/>
          <w:lang w:val="es-ES_tradnl"/>
        </w:rPr>
      </w:pPr>
    </w:p>
    <w:p w:rsidR="00BF1286" w:rsidRPr="00763D08" w:rsidRDefault="00BF1286" w:rsidP="00BF1286">
      <w:pPr>
        <w:spacing w:before="60"/>
        <w:jc w:val="right"/>
        <w:rPr>
          <w:i/>
          <w:iCs/>
          <w:sz w:val="20"/>
          <w:lang w:val="es-ES_tradnl"/>
        </w:rPr>
      </w:pPr>
      <w:r w:rsidRPr="00763D08">
        <w:rPr>
          <w:i/>
          <w:iCs/>
          <w:sz w:val="20"/>
          <w:lang w:val="es-ES_tradnl"/>
        </w:rPr>
        <w:t>Publicación electrónica</w:t>
      </w:r>
    </w:p>
    <w:p w:rsidR="00BF1286" w:rsidRPr="00763D08" w:rsidRDefault="00BF1286" w:rsidP="00BF1286">
      <w:pPr>
        <w:spacing w:before="0" w:after="40"/>
        <w:jc w:val="right"/>
        <w:rPr>
          <w:sz w:val="20"/>
          <w:lang w:val="es-ES_tradnl"/>
        </w:rPr>
      </w:pPr>
      <w:r w:rsidRPr="00763D08">
        <w:rPr>
          <w:sz w:val="20"/>
          <w:lang w:val="es-ES_tradnl"/>
        </w:rPr>
        <w:t>Ginebra, 20</w:t>
      </w:r>
      <w:r>
        <w:rPr>
          <w:sz w:val="20"/>
          <w:lang w:val="es-ES_tradnl"/>
        </w:rPr>
        <w:t>11</w:t>
      </w:r>
    </w:p>
    <w:p w:rsidR="00BF1286" w:rsidRPr="00763D08" w:rsidRDefault="00BF1286" w:rsidP="00BF1286">
      <w:pPr>
        <w:spacing w:before="0"/>
        <w:jc w:val="center"/>
        <w:rPr>
          <w:sz w:val="22"/>
          <w:lang w:val="es-ES_tradnl"/>
        </w:rPr>
      </w:pPr>
    </w:p>
    <w:p w:rsidR="00BF1286" w:rsidRPr="00763D08" w:rsidRDefault="00BF1286" w:rsidP="00BF128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BF1286" w:rsidRPr="006C718C" w:rsidRDefault="00BF1286" w:rsidP="00BF128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F1286" w:rsidRPr="006C718C" w:rsidRDefault="00BF1286" w:rsidP="00BF1286">
      <w:pPr>
        <w:spacing w:before="160"/>
        <w:rPr>
          <w:i/>
          <w:sz w:val="20"/>
          <w:highlight w:val="yellow"/>
          <w:lang w:val="es-ES_tradnl"/>
        </w:rPr>
        <w:sectPr w:rsidR="00BF1286" w:rsidRPr="006C718C" w:rsidSect="00BF1286">
          <w:headerReference w:type="even" r:id="rId13"/>
          <w:headerReference w:type="default" r:id="rId14"/>
          <w:pgSz w:w="11907" w:h="16834" w:code="9"/>
          <w:pgMar w:top="1418" w:right="1134" w:bottom="1134" w:left="1134" w:header="720" w:footer="482" w:gutter="0"/>
          <w:pgNumType w:fmt="lowerRoman" w:start="2"/>
          <w:cols w:space="720"/>
        </w:sectPr>
      </w:pPr>
    </w:p>
    <w:p w:rsidR="00BF1286" w:rsidRPr="0010336F" w:rsidRDefault="00BF1286" w:rsidP="001C787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1891</w:t>
      </w:r>
      <w:r w:rsidR="00C7116B">
        <w:rPr>
          <w:rStyle w:val="FootnoteReference"/>
          <w:lang w:val="es-ES_tradnl"/>
        </w:rPr>
        <w:footnoteReference w:customMarkFollows="1" w:id="1"/>
        <w:t>*</w:t>
      </w:r>
    </w:p>
    <w:p w:rsidR="00BF1286" w:rsidRDefault="00BF1286" w:rsidP="00BA3F65">
      <w:pPr>
        <w:pStyle w:val="Rectitle"/>
        <w:rPr>
          <w:lang w:val="es-ES_tradnl"/>
        </w:rPr>
      </w:pPr>
      <w:bookmarkStart w:id="4" w:name="Pre_title"/>
      <w:r w:rsidRPr="00B10A0D">
        <w:rPr>
          <w:lang w:val="es-ES_tradnl"/>
        </w:rPr>
        <w:t>Características técnicas y operacionales de los enlaces de pasarela</w:t>
      </w:r>
      <w:r w:rsidR="00BA3F65">
        <w:rPr>
          <w:lang w:val="es-ES_tradnl"/>
        </w:rPr>
        <w:t xml:space="preserve"> </w:t>
      </w:r>
      <w:r w:rsidR="00BA3F65" w:rsidRPr="00B10A0D">
        <w:rPr>
          <w:lang w:val="es-ES_tradnl"/>
        </w:rPr>
        <w:t>del</w:t>
      </w:r>
      <w:r w:rsidR="00BA3F65">
        <w:rPr>
          <w:lang w:val="es-ES_tradnl"/>
        </w:rPr>
        <w:br/>
      </w:r>
      <w:r w:rsidRPr="00B10A0D">
        <w:rPr>
          <w:lang w:val="es-ES_tradnl"/>
        </w:rPr>
        <w:t>servicio fijo que utilizan estaciones en plataformas</w:t>
      </w:r>
      <w:r w:rsidR="00BD1865">
        <w:rPr>
          <w:lang w:val="es-ES_tradnl"/>
        </w:rPr>
        <w:t xml:space="preserve"> </w:t>
      </w:r>
      <w:r w:rsidRPr="00B10A0D">
        <w:rPr>
          <w:lang w:val="es-ES_tradnl"/>
        </w:rPr>
        <w:t>a gran</w:t>
      </w:r>
      <w:r w:rsidR="00BA3F65">
        <w:rPr>
          <w:lang w:val="es-ES_tradnl"/>
        </w:rPr>
        <w:t xml:space="preserve"> </w:t>
      </w:r>
      <w:r w:rsidRPr="00B10A0D">
        <w:rPr>
          <w:lang w:val="es-ES_tradnl"/>
        </w:rPr>
        <w:t>altitud</w:t>
      </w:r>
      <w:r w:rsidR="00BA3F65">
        <w:rPr>
          <w:lang w:val="es-ES_tradnl"/>
        </w:rPr>
        <w:br/>
      </w:r>
      <w:r w:rsidRPr="00B10A0D">
        <w:rPr>
          <w:lang w:val="es-ES_tradnl"/>
        </w:rPr>
        <w:t>en la banda 5 850</w:t>
      </w:r>
      <w:r w:rsidRPr="00B10A0D">
        <w:rPr>
          <w:lang w:val="es-ES_tradnl"/>
        </w:rPr>
        <w:noBreakHyphen/>
        <w:t>7 075 MHz para ser utilizadas</w:t>
      </w:r>
      <w:r w:rsidR="00BD1865">
        <w:rPr>
          <w:lang w:val="es-ES_tradnl"/>
        </w:rPr>
        <w:br/>
      </w:r>
      <w:r w:rsidRPr="00B10A0D">
        <w:rPr>
          <w:lang w:val="es-ES_tradnl"/>
        </w:rPr>
        <w:t xml:space="preserve">en estudios de </w:t>
      </w:r>
      <w:bookmarkEnd w:id="4"/>
      <w:r w:rsidRPr="00B10A0D">
        <w:rPr>
          <w:lang w:val="es-ES_tradnl"/>
        </w:rPr>
        <w:t>compartición</w:t>
      </w:r>
    </w:p>
    <w:p w:rsidR="00BF1286" w:rsidRDefault="00BF1286" w:rsidP="00BF1286">
      <w:pPr>
        <w:pStyle w:val="Recdate"/>
        <w:rPr>
          <w:lang w:val="es-ES_tradnl"/>
        </w:rPr>
      </w:pPr>
      <w:bookmarkStart w:id="5" w:name="Revision_history"/>
      <w:r w:rsidRPr="00B10A0D">
        <w:rPr>
          <w:lang w:val="es-ES_tradnl"/>
        </w:rPr>
        <w:t>(2011)</w:t>
      </w:r>
      <w:bookmarkEnd w:id="5"/>
    </w:p>
    <w:p w:rsidR="003616BF" w:rsidRPr="005D4618" w:rsidRDefault="003616BF" w:rsidP="003616BF">
      <w:pPr>
        <w:pStyle w:val="Blanc"/>
        <w:rPr>
          <w:lang w:val="es-ES_tradnl"/>
        </w:rPr>
      </w:pPr>
    </w:p>
    <w:p w:rsidR="00BF1286" w:rsidRPr="003616BF" w:rsidRDefault="00BF1286" w:rsidP="001B45C4">
      <w:pPr>
        <w:pStyle w:val="Headingb"/>
        <w:rPr>
          <w:lang w:val="es-ES_tradnl"/>
        </w:rPr>
      </w:pPr>
      <w:r w:rsidRPr="003616BF">
        <w:rPr>
          <w:lang w:val="es-ES_tradnl"/>
        </w:rPr>
        <w:t>Cometido</w:t>
      </w:r>
    </w:p>
    <w:p w:rsidR="00BF1286" w:rsidRPr="003616BF" w:rsidRDefault="00BF1286" w:rsidP="001B45C4">
      <w:pPr>
        <w:rPr>
          <w:lang w:val="es-ES_tradnl"/>
        </w:rPr>
      </w:pPr>
      <w:r w:rsidRPr="003616BF">
        <w:rPr>
          <w:lang w:val="es-ES_tradnl"/>
        </w:rPr>
        <w:t>En esta Recomendación se facilitan las características técnicas y operacionales de los enlaces de pasarela del servicio fijo de las plataformas a gran altitud (HAPS) en la banda 5 850</w:t>
      </w:r>
      <w:r w:rsidRPr="003616BF">
        <w:rPr>
          <w:lang w:val="es-ES_tradnl"/>
        </w:rPr>
        <w:noBreakHyphen/>
        <w:t>7 075 MHz. Está destinada a proporcionar a las administraciones información acerca de los enlaces de pasarela de las HAPS para su utilización en estudios de compartición con sistemas del servicio fijo de tipo convencional y con sistemas y redes de otros servicios en la banda citada y en las bandas adyacentes. En este texto también puede encontrarse información acerca de la relación entre los enlaces de pasarela y los enlaces de usuario.</w:t>
      </w:r>
    </w:p>
    <w:p w:rsidR="00BF1286" w:rsidRPr="00B10A0D" w:rsidRDefault="00BF1286" w:rsidP="003616BF">
      <w:pPr>
        <w:pStyle w:val="Normalaftertitle"/>
        <w:rPr>
          <w:lang w:val="es-ES_tradnl"/>
        </w:rPr>
      </w:pPr>
      <w:r w:rsidRPr="00B10A0D">
        <w:rPr>
          <w:lang w:val="es-ES_tradnl"/>
        </w:rPr>
        <w:t>La Asamblea de Radiocomunicaciones de la UIT,</w:t>
      </w:r>
    </w:p>
    <w:p w:rsidR="00BF1286" w:rsidRPr="00B10A0D" w:rsidRDefault="00BF1286" w:rsidP="00BF1286">
      <w:pPr>
        <w:pStyle w:val="Call"/>
        <w:rPr>
          <w:lang w:val="es-ES_tradnl"/>
        </w:rPr>
      </w:pPr>
      <w:r w:rsidRPr="00B10A0D">
        <w:rPr>
          <w:lang w:val="es-ES_tradnl"/>
        </w:rPr>
        <w:t>considerando</w:t>
      </w:r>
    </w:p>
    <w:p w:rsidR="00BF1286" w:rsidRPr="00B10A0D" w:rsidRDefault="00BF1286" w:rsidP="00BF1286">
      <w:pPr>
        <w:rPr>
          <w:lang w:val="es-ES_tradnl"/>
        </w:rPr>
      </w:pPr>
      <w:r w:rsidRPr="00B10A0D">
        <w:rPr>
          <w:lang w:val="es-ES_tradnl"/>
        </w:rPr>
        <w:t>a)</w:t>
      </w:r>
      <w:r w:rsidRPr="00B10A0D">
        <w:rPr>
          <w:lang w:val="es-ES_tradnl"/>
        </w:rPr>
        <w:tab/>
        <w:t>que la CMR-07 reconoció que sería conveniente tener una mayor flexibilidad en la elección del espectro para operaciones de pasarela en soporte de las redes HAPS;</w:t>
      </w:r>
    </w:p>
    <w:p w:rsidR="00BF1286" w:rsidRPr="00B10A0D" w:rsidRDefault="00BF1286" w:rsidP="00BF1286">
      <w:pPr>
        <w:rPr>
          <w:lang w:val="es-ES_tradnl"/>
        </w:rPr>
      </w:pPr>
      <w:r w:rsidRPr="00B10A0D">
        <w:rPr>
          <w:lang w:val="es-ES_tradnl"/>
        </w:rPr>
        <w:t>b)</w:t>
      </w:r>
      <w:r w:rsidRPr="00B10A0D">
        <w:rPr>
          <w:lang w:val="es-ES_tradnl"/>
        </w:rPr>
        <w:tab/>
        <w:t>que la CMR-07 solicitó la realización de estudios para considerar la identificación de espectro destinado a los enlaces de pasarela de las HAPS en la gama 5 850</w:t>
      </w:r>
      <w:r w:rsidRPr="00B10A0D">
        <w:rPr>
          <w:lang w:val="es-ES_tradnl"/>
        </w:rPr>
        <w:noBreakHyphen/>
        <w:t>7 075 MHz;</w:t>
      </w:r>
    </w:p>
    <w:p w:rsidR="00BF1286" w:rsidRPr="00B10A0D" w:rsidRDefault="00BF1286" w:rsidP="00BF1286">
      <w:pPr>
        <w:rPr>
          <w:lang w:val="es-ES_tradnl"/>
        </w:rPr>
      </w:pPr>
      <w:r w:rsidRPr="00B10A0D">
        <w:rPr>
          <w:lang w:val="es-ES_tradnl"/>
        </w:rPr>
        <w:t>c)</w:t>
      </w:r>
      <w:r w:rsidRPr="00B10A0D">
        <w:rPr>
          <w:lang w:val="es-ES_tradnl"/>
        </w:rPr>
        <w:tab/>
        <w:t>que los enlaces de pasarela de las HAPS podrían emplearse para soportar el funcionamiento de los servicios fijo y móvil;</w:t>
      </w:r>
    </w:p>
    <w:p w:rsidR="00BF1286" w:rsidRPr="00B10A0D" w:rsidRDefault="00BF1286" w:rsidP="007442D9">
      <w:pPr>
        <w:rPr>
          <w:lang w:val="es-ES_tradnl"/>
        </w:rPr>
      </w:pPr>
      <w:r w:rsidRPr="00B10A0D">
        <w:rPr>
          <w:lang w:val="es-ES_tradnl"/>
        </w:rPr>
        <w:t>d)</w:t>
      </w:r>
      <w:r w:rsidRPr="00B10A0D">
        <w:rPr>
          <w:lang w:val="es-ES_tradnl"/>
        </w:rPr>
        <w:tab/>
        <w:t>que los enlaces de pasarela de las HAPS en esta banda deberían funcionar de manera compartida con sistemas de los servicios fijo, móvil y fijo por satélite y ello puede tener repercusiones en los servicios pasivos tales como el servicio de exploración de la Tierra por satélite (SETS) y el servicio de radioastronomía;</w:t>
      </w:r>
    </w:p>
    <w:p w:rsidR="00BF1286" w:rsidRPr="00B10A0D" w:rsidRDefault="00BF1286" w:rsidP="00BF1286">
      <w:pPr>
        <w:rPr>
          <w:lang w:val="es-ES_tradnl"/>
        </w:rPr>
      </w:pPr>
      <w:r w:rsidRPr="00B10A0D">
        <w:rPr>
          <w:lang w:val="es-ES_tradnl"/>
        </w:rPr>
        <w:t>e)</w:t>
      </w:r>
      <w:r w:rsidRPr="00B10A0D">
        <w:rPr>
          <w:lang w:val="es-ES_tradnl"/>
        </w:rPr>
        <w:tab/>
        <w:t>que los enlaces de pasarela en un sistema HAPS estarían limitados en número y necesitarían utilizar antenas de mayor calidad y transmitir con potencias más elevadas en comparación con los enlaces de usuario, lo que permitiría el uso de métodos de modulación de orden más elevado y una codificación más compleja;</w:t>
      </w:r>
    </w:p>
    <w:p w:rsidR="00BF1286" w:rsidRPr="00B10A0D" w:rsidRDefault="00BF1286" w:rsidP="00BF1286">
      <w:pPr>
        <w:rPr>
          <w:lang w:val="es-ES_tradnl"/>
        </w:rPr>
      </w:pPr>
      <w:r w:rsidRPr="00B10A0D">
        <w:rPr>
          <w:lang w:val="es-ES_tradnl"/>
        </w:rPr>
        <w:t>f)</w:t>
      </w:r>
      <w:r w:rsidRPr="00B10A0D">
        <w:rPr>
          <w:lang w:val="es-ES_tradnl"/>
        </w:rPr>
        <w:tab/>
        <w:t xml:space="preserve">que basándose en el </w:t>
      </w:r>
      <w:r w:rsidRPr="00B10A0D">
        <w:rPr>
          <w:i/>
          <w:iCs/>
          <w:lang w:val="es-ES_tradnl"/>
        </w:rPr>
        <w:t>considerando</w:t>
      </w:r>
      <w:r w:rsidRPr="00B10A0D">
        <w:rPr>
          <w:lang w:val="es-ES_tradnl"/>
        </w:rPr>
        <w:t xml:space="preserve"> e), los enlaces de pasarela de las HAPS serían más eficaces desde el punto de vista de utilización del espectro que los enlaces de usuario;</w:t>
      </w:r>
    </w:p>
    <w:p w:rsidR="00BF1286" w:rsidRPr="00B10A0D" w:rsidRDefault="00BF1286" w:rsidP="00BF1286">
      <w:pPr>
        <w:rPr>
          <w:lang w:val="es-ES_tradnl"/>
        </w:rPr>
      </w:pPr>
      <w:r w:rsidRPr="00B10A0D">
        <w:rPr>
          <w:lang w:val="es-ES_tradnl"/>
        </w:rPr>
        <w:t>g)</w:t>
      </w:r>
      <w:r w:rsidRPr="00B10A0D">
        <w:rPr>
          <w:lang w:val="es-ES_tradnl"/>
        </w:rPr>
        <w:tab/>
        <w:t>que es necesario determinar las características técnicas y operacionales de los enlaces de pasarela de las HAPS en el SF a fin de realizar estudios de compartición con otros tipos de sistemas del SF y con sistemas y redes de otros servicios en la banda 5 850</w:t>
      </w:r>
      <w:r w:rsidRPr="00B10A0D">
        <w:rPr>
          <w:lang w:val="es-ES_tradnl"/>
        </w:rPr>
        <w:noBreakHyphen/>
        <w:t>7 075 MHz, así como tener en cuenta las emisiones fuera de banda dirigidas a servicios en bandas cercanas o adyacentes o procedentes de los mismos,</w:t>
      </w:r>
    </w:p>
    <w:p w:rsidR="00BF1286" w:rsidRPr="00B10A0D" w:rsidRDefault="00BF1286" w:rsidP="00BF1286">
      <w:pPr>
        <w:pStyle w:val="Call"/>
        <w:rPr>
          <w:lang w:val="es-ES_tradnl"/>
        </w:rPr>
      </w:pPr>
      <w:r w:rsidRPr="00B10A0D">
        <w:rPr>
          <w:lang w:val="es-ES_tradnl"/>
        </w:rPr>
        <w:lastRenderedPageBreak/>
        <w:t>reconociendo</w:t>
      </w:r>
    </w:p>
    <w:p w:rsidR="00BF1286" w:rsidRPr="00B10A0D" w:rsidRDefault="00BF1286" w:rsidP="00BF1286">
      <w:pPr>
        <w:rPr>
          <w:lang w:val="es-ES_tradnl"/>
        </w:rPr>
      </w:pPr>
      <w:r w:rsidRPr="00B10A0D">
        <w:rPr>
          <w:lang w:val="es-ES_tradnl"/>
        </w:rPr>
        <w:t>a)</w:t>
      </w:r>
      <w:r w:rsidRPr="00B10A0D">
        <w:rPr>
          <w:lang w:val="es-ES_tradnl"/>
        </w:rPr>
        <w:tab/>
        <w:t>que la Resolución 734 (Rev.CMR-07) consideró conveniente prever las disposiciones pertinentes para enlaces de pasarela que permiten el funcionamiento de las HAPS;</w:t>
      </w:r>
    </w:p>
    <w:p w:rsidR="00BF1286" w:rsidRPr="00B10A0D" w:rsidRDefault="00BF1286" w:rsidP="00BF1286">
      <w:pPr>
        <w:rPr>
          <w:lang w:val="es-ES_tradnl"/>
        </w:rPr>
      </w:pPr>
      <w:r w:rsidRPr="00B10A0D">
        <w:rPr>
          <w:lang w:val="es-ES_tradnl"/>
        </w:rPr>
        <w:t>b)</w:t>
      </w:r>
      <w:r w:rsidRPr="00B10A0D">
        <w:rPr>
          <w:lang w:val="es-ES_tradnl"/>
        </w:rPr>
        <w:tab/>
        <w:t>que la Resolución 734 (Rev.CMR-07) también resolvió invitar al UIT-R a ampliar los estudios de compartición con el fin de identificar dos canales de 80 MHz cada uno, para enlaces de pasarela de las HAPS en la gama 5 850</w:t>
      </w:r>
      <w:r w:rsidRPr="00B10A0D">
        <w:rPr>
          <w:lang w:val="es-ES_tradnl"/>
        </w:rPr>
        <w:noBreakHyphen/>
        <w:t>7 075 MHz en bandas ya atribuidas al SF, y garantizar la protección de los servicios existentes,</w:t>
      </w:r>
    </w:p>
    <w:p w:rsidR="00BF1286" w:rsidRPr="00B10A0D" w:rsidRDefault="00BF1286" w:rsidP="00BF1286">
      <w:pPr>
        <w:pStyle w:val="Call"/>
        <w:rPr>
          <w:lang w:val="es-ES_tradnl"/>
        </w:rPr>
      </w:pPr>
      <w:r w:rsidRPr="00B10A0D">
        <w:rPr>
          <w:lang w:val="es-ES_tradnl"/>
        </w:rPr>
        <w:t>recomienda</w:t>
      </w:r>
    </w:p>
    <w:p w:rsidR="00BF1286" w:rsidRPr="00B10A0D" w:rsidRDefault="00BF1286" w:rsidP="00BF1286">
      <w:pPr>
        <w:rPr>
          <w:lang w:val="es-ES_tradnl"/>
        </w:rPr>
      </w:pPr>
      <w:r w:rsidRPr="00B10A0D">
        <w:rPr>
          <w:b/>
          <w:bCs/>
          <w:lang w:val="es-ES_tradnl"/>
        </w:rPr>
        <w:t>1</w:t>
      </w:r>
      <w:r w:rsidRPr="00B10A0D">
        <w:rPr>
          <w:b/>
          <w:bCs/>
          <w:lang w:val="es-ES_tradnl"/>
        </w:rPr>
        <w:tab/>
      </w:r>
      <w:r w:rsidRPr="00B10A0D">
        <w:rPr>
          <w:lang w:val="es-ES_tradnl"/>
        </w:rPr>
        <w:t>que para analizar la viabilidad de la compartición en que intervengan los enlaces de pasarela de las HAPS en la gama de frecuencias 5 850</w:t>
      </w:r>
      <w:r w:rsidRPr="00B10A0D">
        <w:rPr>
          <w:lang w:val="es-ES_tradnl"/>
        </w:rPr>
        <w:noBreakHyphen/>
        <w:t>7 075 MHz se utilicen las características técnicas y operacionales de los enlaces de pasarela de las HAPS contenidas en el Anexo 1 a la presente Recomendación.</w:t>
      </w:r>
    </w:p>
    <w:p w:rsidR="00BF1286" w:rsidRPr="00B10A0D" w:rsidRDefault="00BF1286" w:rsidP="00BF1286">
      <w:pPr>
        <w:rPr>
          <w:lang w:val="es-ES_tradnl"/>
        </w:rPr>
      </w:pPr>
    </w:p>
    <w:p w:rsidR="00BF1286" w:rsidRDefault="00BF1286" w:rsidP="00BF1286">
      <w:pPr>
        <w:rPr>
          <w:lang w:val="es-ES_tradnl"/>
        </w:rPr>
      </w:pPr>
    </w:p>
    <w:p w:rsidR="00BD1865" w:rsidRDefault="00BD1865" w:rsidP="00BF1286">
      <w:pPr>
        <w:rPr>
          <w:lang w:val="es-ES_tradnl"/>
        </w:rPr>
      </w:pPr>
    </w:p>
    <w:p w:rsidR="00BF1286" w:rsidRPr="00B10A0D" w:rsidRDefault="00BF1286" w:rsidP="00BF1286">
      <w:pPr>
        <w:pStyle w:val="AnnexNoTitle"/>
        <w:rPr>
          <w:lang w:val="es-ES_tradnl"/>
        </w:rPr>
      </w:pPr>
      <w:r w:rsidRPr="00B10A0D">
        <w:rPr>
          <w:lang w:val="es-ES_tradnl"/>
        </w:rPr>
        <w:t>Anexo 1</w:t>
      </w:r>
      <w:r w:rsidRPr="00B10A0D">
        <w:rPr>
          <w:lang w:val="es-ES_tradnl"/>
        </w:rPr>
        <w:br/>
      </w:r>
      <w:r w:rsidRPr="00B10A0D">
        <w:rPr>
          <w:lang w:val="es-ES_tradnl"/>
        </w:rPr>
        <w:br/>
        <w:t xml:space="preserve">Características técnicas y operacionales de los enlaces de pasarela </w:t>
      </w:r>
      <w:r w:rsidRPr="00B10A0D">
        <w:rPr>
          <w:lang w:val="es-ES_tradnl"/>
        </w:rPr>
        <w:br/>
        <w:t xml:space="preserve">para las estaciones en plataformas a gran altitud del servicio fijo </w:t>
      </w:r>
      <w:r w:rsidRPr="00B10A0D">
        <w:rPr>
          <w:lang w:val="es-ES_tradnl"/>
        </w:rPr>
        <w:br/>
        <w:t>que funcionan en la banda 5 850</w:t>
      </w:r>
      <w:r w:rsidRPr="00B10A0D">
        <w:rPr>
          <w:lang w:val="es-ES_tradnl"/>
        </w:rPr>
        <w:noBreakHyphen/>
        <w:t>7 075 MHz</w:t>
      </w:r>
    </w:p>
    <w:p w:rsidR="00BF1286" w:rsidRPr="00B10A0D" w:rsidRDefault="00BF1286" w:rsidP="00BF1286">
      <w:pPr>
        <w:pStyle w:val="Heading1"/>
        <w:rPr>
          <w:lang w:val="es-ES_tradnl"/>
        </w:rPr>
      </w:pPr>
      <w:r w:rsidRPr="00B10A0D">
        <w:rPr>
          <w:lang w:val="es-ES_tradnl"/>
        </w:rPr>
        <w:t>1</w:t>
      </w:r>
      <w:r w:rsidRPr="00B10A0D">
        <w:rPr>
          <w:lang w:val="es-ES_tradnl"/>
        </w:rPr>
        <w:tab/>
        <w:t>Introducción</w:t>
      </w:r>
    </w:p>
    <w:p w:rsidR="00BF1286" w:rsidRPr="00B10A0D" w:rsidRDefault="00BF1286" w:rsidP="00BF1286">
      <w:pPr>
        <w:rPr>
          <w:lang w:val="es-ES_tradnl"/>
        </w:rPr>
      </w:pPr>
      <w:r w:rsidRPr="00B10A0D">
        <w:rPr>
          <w:lang w:val="es-ES_tradnl"/>
        </w:rPr>
        <w:t>Las características técnicas y operacionales de los sistemas HAPS aquí descritas se basan en un diseño genérico realizable de la carga útil HAPS, la plataforma estratosférica y la red.</w:t>
      </w:r>
    </w:p>
    <w:p w:rsidR="00BF1286" w:rsidRPr="00B10A0D" w:rsidRDefault="00BF1286" w:rsidP="00BF1286">
      <w:pPr>
        <w:pStyle w:val="Heading1"/>
        <w:rPr>
          <w:lang w:val="es-ES_tradnl"/>
        </w:rPr>
      </w:pPr>
      <w:r w:rsidRPr="00B10A0D">
        <w:rPr>
          <w:lang w:val="es-ES_tradnl"/>
        </w:rPr>
        <w:t>2</w:t>
      </w:r>
      <w:r w:rsidRPr="00B10A0D">
        <w:rPr>
          <w:lang w:val="es-ES_tradnl"/>
        </w:rPr>
        <w:tab/>
        <w:t>Estabilidad de la plataforma HAPS</w:t>
      </w:r>
    </w:p>
    <w:p w:rsidR="00BF1286" w:rsidRPr="00B10A0D" w:rsidRDefault="00BF1286" w:rsidP="00BF1286">
      <w:pPr>
        <w:rPr>
          <w:lang w:val="es-ES_tradnl"/>
        </w:rPr>
      </w:pPr>
      <w:r w:rsidRPr="00B10A0D">
        <w:rPr>
          <w:lang w:val="es-ES_tradnl"/>
        </w:rPr>
        <w:t>Las HAPS logran su estabilidad de movimiento, relativo a la Tierra, mediante vuelo controlado en las corrientes de aire de baja densidad, flujo continuo, baja velocidad y sin turbulencias que existen a altitudes concretas de la estratosfera. Las HAPS funcionan en un emplazamiento nominalmente fijo de la estratosfera a una altura comprendida entre 20 y 25 km. El flujo relativamente continuo de la corriente de aire combinado con el diseño más avanzado en materia de propulsión, aerodinámica, termodinámica y materiales proporcionará un vuelo estable y controlado que propiciará un mantenimiento en posición muy preciso y una mínima rotación axial (cabeceo, balanceo y guiñada). La tasa de cambio de velocidad en los vientos estratosféricos se encuentra dentro de la capacidad de los sistemas de propulsión y control de la plataforma para mantener la posición y rumbo deseados. Las plataformas más pesadas que el aire y las plataformas más ligeras que el aire pueden lograr los mismos niveles de estabilidad, altitud y mantenimiento en posición.</w:t>
      </w:r>
    </w:p>
    <w:p w:rsidR="00BF1286" w:rsidRPr="00B10A0D" w:rsidRDefault="00BF1286" w:rsidP="00BF1286">
      <w:pPr>
        <w:rPr>
          <w:lang w:val="es-ES_tradnl"/>
        </w:rPr>
      </w:pPr>
      <w:r w:rsidRPr="00B10A0D">
        <w:rPr>
          <w:lang w:val="es-ES_tradnl"/>
        </w:rPr>
        <w:t>Normalmente, las HAPS mantendrán su posición con un margen de ± 0,5 km, experimentarán una variación del rumbo inferior a 1/2°/h, sus cambios de altitud serán inferiores a 45 m/h y no tendrán virtualmente ninguna rotación axial. Además, la aplicación de antenas de haz conformado electrónicamente orientables en las HAPS y en sus estaciones terrenas incrementará la directividad, la selectividad y la eficacia de los enlaces de pasarela y neutralizará fácilmente cualquier mínimo movimiento de la plataforma.</w:t>
      </w:r>
    </w:p>
    <w:p w:rsidR="00BF1286" w:rsidRPr="00B10A0D" w:rsidRDefault="00BF1286" w:rsidP="00BF1286">
      <w:pPr>
        <w:pStyle w:val="Heading1"/>
        <w:rPr>
          <w:lang w:val="es-ES_tradnl"/>
        </w:rPr>
      </w:pPr>
      <w:r w:rsidRPr="00B10A0D">
        <w:rPr>
          <w:lang w:val="es-ES_tradnl"/>
        </w:rPr>
        <w:lastRenderedPageBreak/>
        <w:t>3</w:t>
      </w:r>
      <w:r w:rsidRPr="00B10A0D">
        <w:rPr>
          <w:lang w:val="es-ES_tradnl"/>
        </w:rPr>
        <w:tab/>
        <w:t>Arquitectura de la red de las HAPS</w:t>
      </w:r>
    </w:p>
    <w:p w:rsidR="00BF1286" w:rsidRDefault="00BF1286" w:rsidP="00BF1286">
      <w:pPr>
        <w:rPr>
          <w:lang w:val="es-ES_tradnl"/>
        </w:rPr>
      </w:pPr>
      <w:r w:rsidRPr="00B10A0D">
        <w:rPr>
          <w:lang w:val="es-ES_tradnl"/>
        </w:rPr>
        <w:t>Las HAPS tienen la capacidad de cursar una amplia variedad de cargas útiles de comunicaciones inalámbricas que pueden proporcionar servicios de banda ancha y gran capacidad a los usuarios finales. En la Fig. 1 se muestra la arquitectura de la red de telecomunicaciones de las HAPS de alto nivel, que se describe con más detalles en éste y en otros puntos posteriores. Existen dos tipos de enlaces entre la carga útil y los equipos situados en tierra: los enlaces de pasarela y los enlaces de usuario. Este texto describe únicamente las características técnicas y operacionales de los enlaces de pasarela de las HAPS cuyo funcionamiento está previsto en la banda 5 850</w:t>
      </w:r>
      <w:r w:rsidRPr="00B10A0D">
        <w:rPr>
          <w:lang w:val="es-ES_tradnl"/>
        </w:rPr>
        <w:noBreakHyphen/>
        <w:t>7 075 MHz.</w:t>
      </w:r>
    </w:p>
    <w:p w:rsidR="0088772B" w:rsidRPr="00E8305B" w:rsidRDefault="0088772B" w:rsidP="0088772B">
      <w:pPr>
        <w:pStyle w:val="Blanc"/>
        <w:rPr>
          <w:lang w:val="es-ES_tradnl"/>
        </w:rPr>
      </w:pPr>
    </w:p>
    <w:p w:rsidR="00BF1286" w:rsidRPr="00B10A0D" w:rsidRDefault="00BF1286" w:rsidP="00BF1286">
      <w:pPr>
        <w:pStyle w:val="FigureNo"/>
        <w:rPr>
          <w:lang w:val="es-ES_tradnl"/>
        </w:rPr>
      </w:pPr>
      <w:r w:rsidRPr="00B10A0D">
        <w:rPr>
          <w:lang w:val="es-ES_tradnl"/>
        </w:rPr>
        <w:t>FIGURA 1</w:t>
      </w:r>
    </w:p>
    <w:p w:rsidR="00BF1286" w:rsidRDefault="00BF1286" w:rsidP="00BF1286">
      <w:pPr>
        <w:pStyle w:val="Figuretitle"/>
        <w:rPr>
          <w:lang w:val="es-ES_tradnl"/>
        </w:rPr>
      </w:pPr>
      <w:r w:rsidRPr="00B10A0D">
        <w:rPr>
          <w:lang w:val="es-ES_tradnl"/>
        </w:rPr>
        <w:t>Configuración de la red HAPS incluidos los enlaces de pasarela y los enlaces de usuario</w:t>
      </w:r>
    </w:p>
    <w:p w:rsidR="0088772B" w:rsidRPr="00E8305B" w:rsidRDefault="0088772B" w:rsidP="0088772B">
      <w:pPr>
        <w:pStyle w:val="Blanc"/>
        <w:rPr>
          <w:lang w:val="es-ES_tradnl"/>
        </w:rPr>
      </w:pPr>
    </w:p>
    <w:p w:rsidR="00BF1286" w:rsidRPr="00B10A0D" w:rsidRDefault="004B1935" w:rsidP="00BF1286">
      <w:pPr>
        <w:pStyle w:val="Figure"/>
        <w:rPr>
          <w:lang w:val="es-ES_tradnl"/>
        </w:rPr>
      </w:pPr>
      <w:r>
        <w:rPr>
          <w:lang w:val="es-ES_tradnl"/>
        </w:rPr>
        <w:object w:dxaOrig="7740" w:dyaOrig="5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327pt" o:ole="">
            <v:imagedata r:id="rId15" o:title=""/>
          </v:shape>
          <o:OLEObject Type="Embed" ProgID="CorelDRAW.Graphic.14" ShapeID="_x0000_i1025" DrawAspect="Content" ObjectID="_1374395602" r:id="rId16"/>
        </w:object>
      </w:r>
    </w:p>
    <w:p w:rsidR="004B1935" w:rsidRDefault="004B1935" w:rsidP="00BF1286">
      <w:pPr>
        <w:pStyle w:val="Normalaftertitle"/>
        <w:rPr>
          <w:lang w:val="es-ES_tradnl"/>
        </w:rPr>
      </w:pPr>
    </w:p>
    <w:p w:rsidR="00BF1286" w:rsidRPr="00B10A0D" w:rsidRDefault="00BF1286" w:rsidP="00BD1865">
      <w:pPr>
        <w:rPr>
          <w:lang w:val="es-ES_tradnl"/>
        </w:rPr>
      </w:pPr>
      <w:r w:rsidRPr="00B10A0D">
        <w:rPr>
          <w:lang w:val="es-ES_tradnl"/>
        </w:rPr>
        <w:t>Para los usuarios de los enlaces, la comunicación se establece entre la plataforma y los equipos en las instalaciones del cliente (CPE) en tierra en una disposición celular que permite una notable reutilización de frecuencias. Los CPE pueden estar en una de las tres zonas siguientes: cobertura de zona urbana, de zona suburbana y de zona rural (UAC, SAC y RAC, respectivamente)</w:t>
      </w:r>
      <w:r w:rsidRPr="00B10A0D">
        <w:rPr>
          <w:rStyle w:val="FootnoteReference"/>
          <w:lang w:val="es-ES_tradnl"/>
        </w:rPr>
        <w:footnoteReference w:id="2"/>
      </w:r>
      <w:r w:rsidRPr="00B10A0D">
        <w:rPr>
          <w:lang w:val="es-ES_tradnl"/>
        </w:rPr>
        <w:t xml:space="preserve">. Los CPE HAPS pueden comunicarse con la carga útil en la plataforma HAPS directamente y las comunicaciones entre los CPE HAPS se conmutan por la carga útil que contiene un gran conmutador a través de los enlaces de usuario. La señal transmitida desde los CPE HAPS se transfiere a la sección receptora de la carga útil en la plataforma HAPS. La conmutación a bordo de </w:t>
      </w:r>
      <w:r w:rsidRPr="00B10A0D">
        <w:rPr>
          <w:lang w:val="es-ES_tradnl"/>
        </w:rPr>
        <w:lastRenderedPageBreak/>
        <w:t>la carga útil determina la célula a la que va a dirigirse la señal. A continuación, se transfiere a la célula en la que existe otro CPE HAPS que va a conectarse. Cabe destacar que los enlaces de usuario utilizan espectro de frecuencias fuera de la banda 5 850</w:t>
      </w:r>
      <w:r w:rsidRPr="00B10A0D">
        <w:rPr>
          <w:lang w:val="es-ES_tradnl"/>
        </w:rPr>
        <w:noBreakHyphen/>
        <w:t>7 075 MHz, de conformidad con las disposiciones pertinentes del RR. Para los enlaces de pasarela, la comunicación se establece en la banda 5 850</w:t>
      </w:r>
      <w:r w:rsidRPr="00B10A0D">
        <w:rPr>
          <w:lang w:val="es-ES_tradnl"/>
        </w:rPr>
        <w:noBreakHyphen/>
        <w:t>7 075 MHz entre la plataforma y las estaciones de pasarela en tierra ubicadas en la</w:t>
      </w:r>
      <w:r w:rsidR="00BD1865">
        <w:rPr>
          <w:lang w:val="es-ES_tradnl"/>
        </w:rPr>
        <w:t> </w:t>
      </w:r>
      <w:r w:rsidRPr="00B10A0D">
        <w:rPr>
          <w:lang w:val="es-ES_tradnl"/>
        </w:rPr>
        <w:t>UAC, que proporciona interconexión con otras redes de telecomunicaciones.</w:t>
      </w:r>
    </w:p>
    <w:p w:rsidR="00BF1286" w:rsidRPr="00B10A0D" w:rsidRDefault="00BF1286" w:rsidP="00BF1286">
      <w:pPr>
        <w:rPr>
          <w:lang w:val="es-ES_tradnl"/>
        </w:rPr>
      </w:pPr>
      <w:r w:rsidRPr="00B10A0D">
        <w:rPr>
          <w:lang w:val="es-ES_tradnl"/>
        </w:rPr>
        <w:t>La arquitectura de la carga útil de telecomunicaciones HAPS consta de seis subsistemas básicos, como ilustra la Fig. 2.</w:t>
      </w:r>
    </w:p>
    <w:p w:rsidR="00BF1286" w:rsidRPr="00B10A0D" w:rsidRDefault="00BF1286" w:rsidP="00BF1286">
      <w:pPr>
        <w:pStyle w:val="FigureNo"/>
        <w:rPr>
          <w:lang w:val="es-ES_tradnl"/>
        </w:rPr>
      </w:pPr>
      <w:r w:rsidRPr="00B10A0D">
        <w:rPr>
          <w:lang w:val="es-ES_tradnl"/>
        </w:rPr>
        <w:t>figura 2</w:t>
      </w:r>
    </w:p>
    <w:p w:rsidR="00BF1286" w:rsidRDefault="00BF1286" w:rsidP="00BF1286">
      <w:pPr>
        <w:pStyle w:val="Figuretitle"/>
        <w:rPr>
          <w:lang w:val="es-ES_tradnl"/>
        </w:rPr>
      </w:pPr>
      <w:r w:rsidRPr="00B10A0D">
        <w:rPr>
          <w:lang w:val="es-ES_tradnl"/>
        </w:rPr>
        <w:t>Arquitectura de la red de telecomunicaciones HAPS</w:t>
      </w:r>
    </w:p>
    <w:p w:rsidR="0088772B" w:rsidRPr="00E8305B" w:rsidRDefault="0088772B" w:rsidP="0088772B">
      <w:pPr>
        <w:pStyle w:val="Blanc"/>
        <w:rPr>
          <w:lang w:val="es-ES_tradnl"/>
        </w:rPr>
      </w:pPr>
    </w:p>
    <w:p w:rsidR="00BF1286" w:rsidRPr="00B10A0D" w:rsidRDefault="004B1935" w:rsidP="00BF1286">
      <w:pPr>
        <w:pStyle w:val="Figure"/>
        <w:rPr>
          <w:lang w:val="es-ES_tradnl"/>
        </w:rPr>
      </w:pPr>
      <w:r w:rsidRPr="00B10A0D">
        <w:rPr>
          <w:lang w:val="es-ES_tradnl"/>
        </w:rPr>
        <w:object w:dxaOrig="9348" w:dyaOrig="6047">
          <v:shape id="_x0000_i1026" type="#_x0000_t75" style="width:438.6pt;height:283.8pt" o:ole="" o:allowoverlap="f">
            <v:imagedata r:id="rId17" o:title=""/>
          </v:shape>
          <o:OLEObject Type="Embed" ProgID="CorelDRAW.Graphic.14" ShapeID="_x0000_i1026" DrawAspect="Content" ObjectID="_1374395603" r:id="rId18"/>
        </w:object>
      </w:r>
    </w:p>
    <w:p w:rsidR="004B1935" w:rsidRDefault="004B1935" w:rsidP="004B1935">
      <w:pPr>
        <w:rPr>
          <w:lang w:val="es-ES_tradnl"/>
        </w:rPr>
      </w:pPr>
    </w:p>
    <w:p w:rsidR="00BF1286" w:rsidRPr="00B10A0D" w:rsidRDefault="00BF1286" w:rsidP="004B1935">
      <w:pPr>
        <w:rPr>
          <w:lang w:val="es-ES_tradnl"/>
        </w:rPr>
      </w:pPr>
      <w:r w:rsidRPr="00B10A0D">
        <w:rPr>
          <w:lang w:val="es-ES_tradnl"/>
        </w:rPr>
        <w:t>Los subsistemas de encaminamiento y de conmutación central conectan los transceptores de pasarela y las antenas a la parte de la carga útil (an</w:t>
      </w:r>
      <w:r w:rsidR="006E41AF">
        <w:rPr>
          <w:lang w:val="es-ES_tradnl"/>
        </w:rPr>
        <w:t>tenas y transceptores) dedicada</w:t>
      </w:r>
      <w:r w:rsidRPr="00B10A0D">
        <w:rPr>
          <w:lang w:val="es-ES_tradnl"/>
        </w:rPr>
        <w:t xml:space="preserve"> a la prestación del servicio. Los subsistemas de prestación de servicio contienen los enlaces de usuario directos (HAPS-CPE) que están completamente separados de los enlaces de pasarela de las HAPS y son distintos de éstos. La gestión de la red, la conectividad de la red de telecomunicaciones y otras funciones de la red básicas están contenidas en la parte de infraestructura en tierra de la red.</w:t>
      </w:r>
    </w:p>
    <w:p w:rsidR="00BF1286" w:rsidRPr="00B10A0D" w:rsidRDefault="00BF1286" w:rsidP="00CB2C9C">
      <w:pPr>
        <w:rPr>
          <w:lang w:val="es-ES_tradnl"/>
        </w:rPr>
      </w:pPr>
      <w:r w:rsidRPr="00B10A0D">
        <w:rPr>
          <w:lang w:val="es-ES_tradnl"/>
        </w:rPr>
        <w:t>También se necesitará una subred terrena</w:t>
      </w:r>
      <w:r w:rsidR="005D4618">
        <w:rPr>
          <w:lang w:val="es-ES_tradnl"/>
        </w:rPr>
        <w:t>l</w:t>
      </w:r>
      <w:r w:rsidRPr="00B10A0D">
        <w:rPr>
          <w:lang w:val="es-ES_tradnl"/>
        </w:rPr>
        <w:t xml:space="preserve"> de reserva a fin de controlar, integrar y proporcionar concentración y conexión terrenal para todos los enlaces de pasarela a la red central. Cada una de las cinco estaciones de pasarela necesitará un enlace de datos de fibra óptica de línea de base a la red central del orden de 1</w:t>
      </w:r>
      <w:r w:rsidR="00CB2C9C">
        <w:rPr>
          <w:lang w:val="es-ES_tradnl"/>
        </w:rPr>
        <w:t> </w:t>
      </w:r>
      <w:r w:rsidRPr="00B10A0D">
        <w:rPr>
          <w:lang w:val="es-ES_tradnl"/>
        </w:rPr>
        <w:t>Gbit/s por cad</w:t>
      </w:r>
      <w:r w:rsidR="007442D9">
        <w:rPr>
          <w:lang w:val="es-ES_tradnl"/>
        </w:rPr>
        <w:t>a estación terrena. En las Figs</w:t>
      </w:r>
      <w:r w:rsidR="00BD1865">
        <w:rPr>
          <w:lang w:val="es-ES_tradnl"/>
        </w:rPr>
        <w:t>. </w:t>
      </w:r>
      <w:r w:rsidRPr="00B10A0D">
        <w:rPr>
          <w:lang w:val="es-ES_tradnl"/>
        </w:rPr>
        <w:t>1, 2 y 3 se representa la topología de la red de estaciones de pasarela de las HAPS.</w:t>
      </w:r>
    </w:p>
    <w:p w:rsidR="00BF1286" w:rsidRPr="00B10A0D" w:rsidRDefault="00BF1286" w:rsidP="00BF1286">
      <w:pPr>
        <w:pStyle w:val="Heading1"/>
        <w:rPr>
          <w:lang w:val="es-ES_tradnl"/>
        </w:rPr>
      </w:pPr>
      <w:r w:rsidRPr="00B10A0D">
        <w:rPr>
          <w:lang w:val="es-ES_tradnl"/>
        </w:rPr>
        <w:lastRenderedPageBreak/>
        <w:t>4</w:t>
      </w:r>
      <w:r w:rsidRPr="00B10A0D">
        <w:rPr>
          <w:lang w:val="es-ES_tradnl"/>
        </w:rPr>
        <w:tab/>
        <w:t>Descripción y utilización del enlace de pasarela HAPS</w:t>
      </w:r>
    </w:p>
    <w:p w:rsidR="00BF1286" w:rsidRPr="00B10A0D" w:rsidRDefault="00BF1286" w:rsidP="00345FF7">
      <w:pPr>
        <w:rPr>
          <w:lang w:val="es-ES_tradnl"/>
        </w:rPr>
      </w:pPr>
      <w:r w:rsidRPr="00B10A0D">
        <w:rPr>
          <w:lang w:val="es-ES_tradnl"/>
        </w:rPr>
        <w:t>Como se indica en est</w:t>
      </w:r>
      <w:r w:rsidR="007442D9">
        <w:rPr>
          <w:lang w:val="es-ES_tradnl"/>
        </w:rPr>
        <w:t>a</w:t>
      </w:r>
      <w:r w:rsidRPr="00B10A0D">
        <w:rPr>
          <w:lang w:val="es-ES_tradnl"/>
        </w:rPr>
        <w:t xml:space="preserve"> </w:t>
      </w:r>
      <w:r w:rsidR="007442D9">
        <w:rPr>
          <w:lang w:val="es-ES_tradnl"/>
        </w:rPr>
        <w:t>Recomendación</w:t>
      </w:r>
      <w:r w:rsidRPr="00B10A0D">
        <w:rPr>
          <w:lang w:val="es-ES_tradnl"/>
        </w:rPr>
        <w:t>, un enlace de pasarela de la HAPS</w:t>
      </w:r>
      <w:r w:rsidRPr="00B10A0D">
        <w:rPr>
          <w:rStyle w:val="FootnoteReference"/>
          <w:lang w:val="es-ES_tradnl"/>
        </w:rPr>
        <w:footnoteReference w:id="3"/>
      </w:r>
      <w:r w:rsidRPr="00B10A0D">
        <w:rPr>
          <w:lang w:val="es-ES_tradnl"/>
        </w:rPr>
        <w:t xml:space="preserve"> se define como un enlace radioeléctrico unidireccional entre una plataforma HAPS relativamente fija y una estación de pasarela de la HAPS. Específicamente, el enlace de pasarela HAPS consiste en un enlace ascendente (tierra-aire) separado de 80</w:t>
      </w:r>
      <w:r w:rsidR="00345FF7">
        <w:rPr>
          <w:lang w:val="es-ES_tradnl"/>
        </w:rPr>
        <w:t> </w:t>
      </w:r>
      <w:r w:rsidRPr="00B10A0D">
        <w:rPr>
          <w:lang w:val="es-ES_tradnl"/>
        </w:rPr>
        <w:t>MHz y un enlace descendente (aire-tierra) separado de</w:t>
      </w:r>
      <w:r w:rsidR="00345FF7">
        <w:rPr>
          <w:lang w:val="es-ES_tradnl"/>
        </w:rPr>
        <w:t xml:space="preserve"> </w:t>
      </w:r>
      <w:r w:rsidRPr="00B10A0D">
        <w:rPr>
          <w:lang w:val="es-ES_tradnl"/>
        </w:rPr>
        <w:t>80 MHz. En cada una de las anchuras de banda de 80</w:t>
      </w:r>
      <w:r w:rsidR="00BD1865">
        <w:rPr>
          <w:lang w:val="es-ES_tradnl"/>
        </w:rPr>
        <w:t> </w:t>
      </w:r>
      <w:r w:rsidRPr="00B10A0D">
        <w:rPr>
          <w:lang w:val="es-ES_tradnl"/>
        </w:rPr>
        <w:t>MHz, un enlace de pasarela de la HAPS funciona unidireccionalmente y contiene flujos de información, tales como tráfico de usuario final combinado para comunicaciones de voz, datos y vídeo. El enlace de pasarela HAPS también puede contener información de telemedida, seguimiento y control relativa al funcionamiento del propio vehículo HAPS. Cada anchura de banda de pasarela HAPS de 80</w:t>
      </w:r>
      <w:r w:rsidR="00BD1865">
        <w:rPr>
          <w:lang w:val="es-ES_tradnl"/>
        </w:rPr>
        <w:t> </w:t>
      </w:r>
      <w:r w:rsidRPr="00B10A0D">
        <w:rPr>
          <w:lang w:val="es-ES_tradnl"/>
        </w:rPr>
        <w:t>MHz puede dividirse en un cierto número de subcanales, soportando todos los subcanales enlaces radioeléctricos en el mismo sentido (aire-tierra o tierra-aire) y utilizando cualquier método de polarización, modulación y codificación.</w:t>
      </w:r>
    </w:p>
    <w:p w:rsidR="00BF1286" w:rsidRPr="00B10A0D" w:rsidRDefault="00BF1286" w:rsidP="00715809">
      <w:pPr>
        <w:rPr>
          <w:lang w:val="es-ES_tradnl"/>
        </w:rPr>
      </w:pPr>
      <w:r w:rsidRPr="00B10A0D">
        <w:rPr>
          <w:lang w:val="es-ES_tradnl"/>
        </w:rPr>
        <w:t>Una sola plataforma HAPS utilizará un máximo de cinco enlaces de estación de pasarela a fin de soportar la máxima carga de tráfico proyectada para toda esa plataforma. El número de enlaces de pasarela instalados para cada HAPS depende del volumen de tráfico de aplicación de usuario final que la red o el sistema basado en HAPS pueda soportar en modo reserva. A medida que se incrementa el trafico real pueden instalarse más enlaces de pasarela de la misma frecuencia (hasta un máximo de cinco, si es necesario). La Fig.</w:t>
      </w:r>
      <w:r w:rsidR="00715809">
        <w:rPr>
          <w:lang w:val="es-ES_tradnl"/>
        </w:rPr>
        <w:t> </w:t>
      </w:r>
      <w:r w:rsidRPr="00B10A0D">
        <w:rPr>
          <w:lang w:val="es-ES_tradnl"/>
        </w:rPr>
        <w:t>3 ilustra una máxima configuración en tierra de cinco enlaces de pasarela de la misma frecuencia que reutilizan el espectro de frecuencias de 2 × 80 MHz identificado para uso de las HAPS y ésta es la configuración que debe emplearse en los estudios de compartición.</w:t>
      </w:r>
    </w:p>
    <w:p w:rsidR="00BF1286" w:rsidRPr="00B10A0D" w:rsidRDefault="00BF1286" w:rsidP="00715809">
      <w:pPr>
        <w:rPr>
          <w:lang w:val="es-ES_tradnl"/>
        </w:rPr>
      </w:pPr>
      <w:r w:rsidRPr="00B10A0D">
        <w:rPr>
          <w:lang w:val="es-ES_tradnl"/>
        </w:rPr>
        <w:t xml:space="preserve">Las plataformas HAPS estarían separadas del orden de unos 300 km a 1 000 km. Cada estación de pasarela asociada da servicio a una sola HAPS. Normalmente, la retícula de estaciones de pasarela no se solaparía con una retícula de estaciones de pasarela de las HAPS adyacente. La retícula de pasarela probablemente tendrá un diámetro de unos 72 km centrado en las proximidades de punto de tierra del nadir de la HAPS, como se representa en la Fig. 3. Puede observarse en esta configuración de la estación de pasarela (GS) HAPS, que el ángulo de elevación </w:t>
      </w:r>
      <w:r w:rsidRPr="00B10A0D">
        <w:rPr>
          <w:bCs/>
          <w:lang w:val="es-ES_tradnl"/>
        </w:rPr>
        <w:t>Ф</w:t>
      </w:r>
      <w:r w:rsidRPr="00B10A0D">
        <w:rPr>
          <w:lang w:val="es-ES_tradnl"/>
        </w:rPr>
        <w:t xml:space="preserve"> con referencia al nadir de la HAPS es de 30º para la zona UAC mostrada. El ángulo</w:t>
      </w:r>
      <w:r w:rsidR="00715809">
        <w:rPr>
          <w:lang w:val="es-ES_tradnl"/>
        </w:rPr>
        <w:t> </w:t>
      </w:r>
      <w:r w:rsidRPr="00B10A0D">
        <w:rPr>
          <w:bCs/>
          <w:lang w:val="es-ES_tradnl"/>
        </w:rPr>
        <w:t>β</w:t>
      </w:r>
      <w:r w:rsidRPr="00B10A0D">
        <w:rPr>
          <w:lang w:val="es-ES_tradnl"/>
        </w:rPr>
        <w:t xml:space="preserve"> es el ángulo en la estación de pasarela deseada entre la plataforma HAPS y la estación de pasarela interferente y </w:t>
      </w:r>
      <w:r w:rsidRPr="00B10A0D">
        <w:rPr>
          <w:bCs/>
          <w:lang w:val="es-ES_tradnl"/>
        </w:rPr>
        <w:t>α</w:t>
      </w:r>
      <w:r w:rsidRPr="00B10A0D">
        <w:rPr>
          <w:lang w:val="es-ES_tradnl"/>
        </w:rPr>
        <w:t xml:space="preserve"> es el ángulo en la estación de pasarela interferente entre la plataforma HAPS y la estación de pasarela deseada. Los ángulo</w:t>
      </w:r>
      <w:r w:rsidR="00581E88">
        <w:rPr>
          <w:lang w:val="es-ES_tradnl"/>
        </w:rPr>
        <w:t> </w:t>
      </w:r>
      <w:r w:rsidR="007442D9">
        <w:rPr>
          <w:lang w:val="es-ES_tradnl"/>
        </w:rPr>
        <w:sym w:font="Symbol" w:char="F061"/>
      </w:r>
      <w:r w:rsidR="007442D9">
        <w:rPr>
          <w:lang w:val="es-ES_tradnl"/>
        </w:rPr>
        <w:t xml:space="preserve"> </w:t>
      </w:r>
      <w:r w:rsidRPr="00B10A0D">
        <w:rPr>
          <w:lang w:val="es-ES_tradnl"/>
        </w:rPr>
        <w:t xml:space="preserve">y </w:t>
      </w:r>
      <w:r w:rsidR="007442D9">
        <w:rPr>
          <w:lang w:val="es-ES_tradnl"/>
        </w:rPr>
        <w:sym w:font="Symbol" w:char="F062"/>
      </w:r>
      <w:r w:rsidR="007442D9">
        <w:rPr>
          <w:lang w:val="es-ES_tradnl"/>
        </w:rPr>
        <w:t xml:space="preserve"> </w:t>
      </w:r>
      <w:r w:rsidRPr="00B10A0D">
        <w:rPr>
          <w:lang w:val="es-ES_tradnl"/>
        </w:rPr>
        <w:t>son 59,4º y 34,6°, dependiendo de los pares concretos de estaciones de pasarela y de su geometría asociada. El ángulo</w:t>
      </w:r>
      <w:r w:rsidR="00581E88">
        <w:rPr>
          <w:lang w:val="es-ES_tradnl"/>
        </w:rPr>
        <w:t> </w:t>
      </w:r>
      <w:r w:rsidRPr="00B10A0D">
        <w:rPr>
          <w:bCs/>
          <w:lang w:val="es-ES_tradnl"/>
        </w:rPr>
        <w:t>θ</w:t>
      </w:r>
      <w:r w:rsidRPr="00B10A0D">
        <w:rPr>
          <w:lang w:val="es-ES_tradnl"/>
        </w:rPr>
        <w:t>, que es el ángulo en la HAPS entre la estación de pasarela HAPS deseada para ese enlace y una estación de pasarela de las HAPS interferente, es de 61º o 111º. El ángulo </w:t>
      </w:r>
      <w:r w:rsidRPr="00B10A0D">
        <w:rPr>
          <w:bCs/>
          <w:lang w:val="es-ES_tradnl"/>
        </w:rPr>
        <w:t>ω</w:t>
      </w:r>
      <w:r w:rsidRPr="00B10A0D">
        <w:rPr>
          <w:lang w:val="es-ES_tradnl"/>
        </w:rPr>
        <w:t xml:space="preserve"> es el ángulo en el punto de nadir de tierra entre dos estaciones de pasarela cualesquiera. El Cuadro 1 es un resumen de los cuatro ángulos (</w:t>
      </w:r>
      <w:r w:rsidR="007442D9">
        <w:rPr>
          <w:lang w:val="es-ES_tradnl"/>
        </w:rPr>
        <w:sym w:font="Symbol" w:char="F061"/>
      </w:r>
      <w:r w:rsidRPr="00B10A0D">
        <w:rPr>
          <w:bCs/>
          <w:lang w:val="es-ES_tradnl"/>
        </w:rPr>
        <w:t>,</w:t>
      </w:r>
      <w:r w:rsidR="002F62F7">
        <w:rPr>
          <w:bCs/>
          <w:lang w:val="es-ES_tradnl"/>
        </w:rPr>
        <w:t xml:space="preserve"> </w:t>
      </w:r>
      <w:r w:rsidR="007442D9">
        <w:rPr>
          <w:lang w:val="es-ES_tradnl"/>
        </w:rPr>
        <w:sym w:font="Symbol" w:char="F062"/>
      </w:r>
      <w:r w:rsidRPr="00B10A0D">
        <w:rPr>
          <w:bCs/>
          <w:lang w:val="es-ES_tradnl"/>
        </w:rPr>
        <w:t>, θ, Ф</w:t>
      </w:r>
      <w:r w:rsidRPr="00B10A0D">
        <w:rPr>
          <w:lang w:val="es-ES_tradnl"/>
        </w:rPr>
        <w:t xml:space="preserve">) para todas las combinaciones posibles de pares de estaciones de pasarela. El Cuadro 2 resume de los cinco posibles valores para el ángulo </w:t>
      </w:r>
      <w:r w:rsidRPr="00B10A0D">
        <w:rPr>
          <w:bCs/>
          <w:lang w:val="es-ES_tradnl"/>
        </w:rPr>
        <w:t>ω.</w:t>
      </w:r>
    </w:p>
    <w:p w:rsidR="00BF1286" w:rsidRPr="00B10A0D" w:rsidRDefault="00BF1286" w:rsidP="00BF1286">
      <w:pPr>
        <w:pStyle w:val="FigureNo"/>
        <w:rPr>
          <w:lang w:val="es-ES_tradnl"/>
        </w:rPr>
      </w:pPr>
      <w:r w:rsidRPr="00B10A0D">
        <w:rPr>
          <w:lang w:val="es-ES_tradnl"/>
        </w:rPr>
        <w:lastRenderedPageBreak/>
        <w:t>figura 3</w:t>
      </w:r>
    </w:p>
    <w:p w:rsidR="00BF1286" w:rsidRDefault="00BF1286" w:rsidP="00581E88">
      <w:pPr>
        <w:pStyle w:val="Figuretitle"/>
        <w:rPr>
          <w:lang w:val="es-ES_tradnl"/>
        </w:rPr>
      </w:pPr>
      <w:r w:rsidRPr="00B10A0D">
        <w:rPr>
          <w:lang w:val="es-ES_tradnl"/>
        </w:rPr>
        <w:t>Ejemplo de configuración de estación de pasarela HAPS</w:t>
      </w:r>
      <w:r w:rsidR="00581E88">
        <w:rPr>
          <w:lang w:val="es-ES_tradnl"/>
        </w:rPr>
        <w:br/>
      </w:r>
      <w:r w:rsidRPr="00B10A0D">
        <w:rPr>
          <w:lang w:val="es-ES_tradnl"/>
        </w:rPr>
        <w:t>e interferencia</w:t>
      </w:r>
      <w:r w:rsidR="00581E88">
        <w:rPr>
          <w:lang w:val="es-ES_tradnl"/>
        </w:rPr>
        <w:t xml:space="preserve"> </w:t>
      </w:r>
      <w:r w:rsidRPr="00B10A0D">
        <w:rPr>
          <w:lang w:val="es-ES_tradnl"/>
        </w:rPr>
        <w:t>de la red HAPS interna</w:t>
      </w:r>
    </w:p>
    <w:p w:rsidR="0088772B" w:rsidRPr="00E8305B" w:rsidRDefault="0088772B" w:rsidP="0088772B">
      <w:pPr>
        <w:pStyle w:val="Blanc"/>
        <w:rPr>
          <w:lang w:val="es-ES_tradnl"/>
        </w:rPr>
      </w:pPr>
    </w:p>
    <w:p w:rsidR="00BF1286" w:rsidRPr="00B10A0D" w:rsidRDefault="001A76E9" w:rsidP="00BF1286">
      <w:pPr>
        <w:pStyle w:val="Figure"/>
        <w:rPr>
          <w:lang w:val="es-ES_tradnl"/>
        </w:rPr>
      </w:pPr>
      <w:r w:rsidRPr="00B10A0D">
        <w:rPr>
          <w:lang w:val="es-ES_tradnl"/>
        </w:rPr>
        <w:object w:dxaOrig="6875" w:dyaOrig="5255">
          <v:shape id="_x0000_i1027" type="#_x0000_t75" style="width:322.2pt;height:246.6pt" o:ole="" o:allowoverlap="f">
            <v:imagedata r:id="rId19" o:title=""/>
          </v:shape>
          <o:OLEObject Type="Embed" ProgID="CorelDRAW.Graphic.14" ShapeID="_x0000_i1027" DrawAspect="Content" ObjectID="_1374395604" r:id="rId20"/>
        </w:object>
      </w:r>
    </w:p>
    <w:p w:rsidR="00BF1286" w:rsidRDefault="00BF1286" w:rsidP="00BF1286">
      <w:pPr>
        <w:rPr>
          <w:lang w:val="es-ES_tradnl"/>
        </w:rPr>
      </w:pPr>
      <w:r w:rsidRPr="00B10A0D">
        <w:rPr>
          <w:lang w:val="es-ES_tradnl"/>
        </w:rPr>
        <w:t>La Fig. 3 no está representada a escala.</w:t>
      </w:r>
    </w:p>
    <w:p w:rsidR="00581E88" w:rsidRPr="006E41AF" w:rsidRDefault="00581E88" w:rsidP="00581E88">
      <w:pPr>
        <w:pStyle w:val="Blanc"/>
        <w:rPr>
          <w:lang w:val="es-ES_tradnl"/>
        </w:rPr>
      </w:pPr>
    </w:p>
    <w:p w:rsidR="00BF1286" w:rsidRPr="00B10A0D" w:rsidRDefault="00BF1286" w:rsidP="00BF1286">
      <w:pPr>
        <w:pStyle w:val="TableNo"/>
        <w:rPr>
          <w:lang w:val="es-ES_tradnl"/>
        </w:rPr>
      </w:pPr>
      <w:r w:rsidRPr="00B10A0D">
        <w:rPr>
          <w:lang w:val="es-ES_tradnl"/>
        </w:rPr>
        <w:t>CUADRO 1</w:t>
      </w:r>
    </w:p>
    <w:p w:rsidR="00BF1286" w:rsidRPr="00B10A0D" w:rsidRDefault="00BF1286" w:rsidP="00581E88">
      <w:pPr>
        <w:pStyle w:val="Tabletitle"/>
        <w:rPr>
          <w:lang w:val="es-ES_tradnl" w:eastAsia="zh-CN"/>
        </w:rPr>
      </w:pPr>
      <w:r w:rsidRPr="00B10A0D">
        <w:rPr>
          <w:lang w:val="es-ES_tradnl" w:eastAsia="zh-CN"/>
        </w:rPr>
        <w:t>Ángulos del enlace de pasarela HAPS</w:t>
      </w:r>
      <w:r w:rsidR="00581E88">
        <w:rPr>
          <w:lang w:val="es-ES_tradnl" w:eastAsia="zh-CN"/>
        </w:rPr>
        <w:br/>
      </w:r>
      <w:r w:rsidRPr="00B10A0D">
        <w:rPr>
          <w:lang w:val="es-ES_tradnl" w:eastAsia="zh-CN"/>
        </w:rPr>
        <w:t>(grados)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1"/>
        <w:gridCol w:w="851"/>
        <w:gridCol w:w="850"/>
        <w:gridCol w:w="4678"/>
      </w:tblGrid>
      <w:tr w:rsidR="00BF1286" w:rsidRPr="00B10A0D" w:rsidTr="00BF1286">
        <w:trPr>
          <w:jc w:val="center"/>
        </w:trPr>
        <w:tc>
          <w:tcPr>
            <w:tcW w:w="851" w:type="dxa"/>
            <w:tcBorders>
              <w:top w:val="single" w:sz="4" w:space="0" w:color="auto"/>
              <w:bottom w:val="single" w:sz="4" w:space="0" w:color="auto"/>
            </w:tcBorders>
          </w:tcPr>
          <w:p w:rsidR="00BF1286" w:rsidRPr="00B10A0D" w:rsidRDefault="00BF1286" w:rsidP="00BF1286">
            <w:pPr>
              <w:pStyle w:val="Tablehead"/>
              <w:rPr>
                <w:lang w:val="es-ES_tradnl" w:eastAsia="zh-CN"/>
              </w:rPr>
            </w:pPr>
            <w:r w:rsidRPr="00B10A0D">
              <w:rPr>
                <w:lang w:val="es-ES_tradnl" w:eastAsia="zh-CN"/>
              </w:rPr>
              <w:t>Ф</w:t>
            </w:r>
          </w:p>
        </w:tc>
        <w:tc>
          <w:tcPr>
            <w:tcW w:w="851" w:type="dxa"/>
            <w:tcBorders>
              <w:top w:val="single" w:sz="4" w:space="0" w:color="auto"/>
              <w:bottom w:val="single" w:sz="4" w:space="0" w:color="auto"/>
            </w:tcBorders>
          </w:tcPr>
          <w:p w:rsidR="00BF1286" w:rsidRPr="00B10A0D" w:rsidRDefault="00BF1286" w:rsidP="00BF1286">
            <w:pPr>
              <w:pStyle w:val="Tablehead"/>
              <w:rPr>
                <w:lang w:val="es-ES_tradnl" w:eastAsia="zh-CN"/>
              </w:rPr>
            </w:pPr>
            <w:r w:rsidRPr="00B10A0D">
              <w:rPr>
                <w:lang w:val="es-ES_tradnl" w:eastAsia="zh-CN"/>
              </w:rPr>
              <w:t>θ</w:t>
            </w:r>
          </w:p>
        </w:tc>
        <w:tc>
          <w:tcPr>
            <w:tcW w:w="851" w:type="dxa"/>
            <w:tcBorders>
              <w:top w:val="single" w:sz="4" w:space="0" w:color="auto"/>
              <w:bottom w:val="single" w:sz="4" w:space="0" w:color="auto"/>
            </w:tcBorders>
          </w:tcPr>
          <w:p w:rsidR="00BF1286" w:rsidRPr="00B10A0D" w:rsidRDefault="00BF1286" w:rsidP="00BF1286">
            <w:pPr>
              <w:pStyle w:val="Tablehead"/>
              <w:rPr>
                <w:lang w:val="es-ES_tradnl" w:eastAsia="zh-CN"/>
              </w:rPr>
            </w:pPr>
            <w:r w:rsidRPr="00B10A0D">
              <w:rPr>
                <w:lang w:val="es-ES_tradnl" w:eastAsia="zh-CN"/>
              </w:rPr>
              <w:t>β</w:t>
            </w:r>
          </w:p>
        </w:tc>
        <w:tc>
          <w:tcPr>
            <w:tcW w:w="850" w:type="dxa"/>
            <w:tcBorders>
              <w:top w:val="single" w:sz="4" w:space="0" w:color="auto"/>
              <w:bottom w:val="single" w:sz="4" w:space="0" w:color="auto"/>
            </w:tcBorders>
          </w:tcPr>
          <w:p w:rsidR="00BF1286" w:rsidRPr="00B10A0D" w:rsidRDefault="00BF1286" w:rsidP="00BF1286">
            <w:pPr>
              <w:pStyle w:val="Tablehead"/>
              <w:rPr>
                <w:lang w:val="es-ES_tradnl" w:eastAsia="zh-CN"/>
              </w:rPr>
            </w:pPr>
            <w:r w:rsidRPr="00B10A0D">
              <w:rPr>
                <w:lang w:val="es-ES_tradnl" w:eastAsia="zh-CN"/>
              </w:rPr>
              <w:t>α</w:t>
            </w:r>
          </w:p>
        </w:tc>
        <w:tc>
          <w:tcPr>
            <w:tcW w:w="4678" w:type="dxa"/>
            <w:tcBorders>
              <w:top w:val="single" w:sz="4" w:space="0" w:color="auto"/>
              <w:bottom w:val="single" w:sz="4" w:space="0" w:color="auto"/>
            </w:tcBorders>
          </w:tcPr>
          <w:p w:rsidR="00BF1286" w:rsidRPr="00B10A0D" w:rsidRDefault="00BF1286" w:rsidP="00BF1286">
            <w:pPr>
              <w:pStyle w:val="Tablehead"/>
              <w:rPr>
                <w:vertAlign w:val="superscript"/>
                <w:lang w:val="es-ES_tradnl" w:eastAsia="zh-CN"/>
              </w:rPr>
            </w:pPr>
            <w:r w:rsidRPr="00B10A0D">
              <w:rPr>
                <w:lang w:val="es-ES_tradnl" w:eastAsia="zh-CN"/>
              </w:rPr>
              <w:t>Pares de estaciones</w:t>
            </w:r>
            <w:r w:rsidRPr="00B10A0D">
              <w:rPr>
                <w:vertAlign w:val="superscript"/>
                <w:lang w:val="es-ES_tradnl" w:eastAsia="zh-CN"/>
              </w:rPr>
              <w:t>(1)</w:t>
            </w:r>
          </w:p>
        </w:tc>
      </w:tr>
      <w:tr w:rsidR="00BF1286" w:rsidRPr="00B10A0D" w:rsidTr="001A76E9">
        <w:trPr>
          <w:jc w:val="center"/>
        </w:trPr>
        <w:tc>
          <w:tcPr>
            <w:tcW w:w="851" w:type="dxa"/>
            <w:tcBorders>
              <w:top w:val="single" w:sz="4" w:space="0" w:color="auto"/>
            </w:tcBorders>
          </w:tcPr>
          <w:p w:rsidR="00BF1286" w:rsidRPr="00B10A0D" w:rsidRDefault="00BF1286" w:rsidP="001A76E9">
            <w:pPr>
              <w:pStyle w:val="Tabletext"/>
              <w:jc w:val="center"/>
              <w:rPr>
                <w:lang w:val="es-ES_tradnl"/>
              </w:rPr>
            </w:pPr>
            <w:r w:rsidRPr="00B10A0D">
              <w:rPr>
                <w:lang w:val="es-ES_tradnl"/>
              </w:rPr>
              <w:t>30</w:t>
            </w:r>
          </w:p>
        </w:tc>
        <w:tc>
          <w:tcPr>
            <w:tcW w:w="851" w:type="dxa"/>
            <w:tcBorders>
              <w:top w:val="single" w:sz="4" w:space="0" w:color="auto"/>
            </w:tcBorders>
          </w:tcPr>
          <w:p w:rsidR="00BF1286" w:rsidRPr="00B10A0D" w:rsidRDefault="00BF1286" w:rsidP="001A76E9">
            <w:pPr>
              <w:pStyle w:val="Tabletext"/>
              <w:jc w:val="center"/>
              <w:rPr>
                <w:lang w:val="es-ES_tradnl"/>
              </w:rPr>
            </w:pPr>
            <w:r w:rsidRPr="00B10A0D">
              <w:rPr>
                <w:lang w:val="es-ES_tradnl"/>
              </w:rPr>
              <w:t>61</w:t>
            </w:r>
          </w:p>
        </w:tc>
        <w:tc>
          <w:tcPr>
            <w:tcW w:w="851" w:type="dxa"/>
            <w:tcBorders>
              <w:top w:val="single" w:sz="4" w:space="0" w:color="auto"/>
            </w:tcBorders>
          </w:tcPr>
          <w:p w:rsidR="00BF1286" w:rsidRPr="00B10A0D" w:rsidRDefault="00BF1286" w:rsidP="001A76E9">
            <w:pPr>
              <w:pStyle w:val="Tabletext"/>
              <w:jc w:val="center"/>
              <w:rPr>
                <w:lang w:val="es-ES_tradnl"/>
              </w:rPr>
            </w:pPr>
            <w:r w:rsidRPr="00B10A0D">
              <w:rPr>
                <w:lang w:val="es-ES_tradnl"/>
              </w:rPr>
              <w:t>59,4</w:t>
            </w:r>
          </w:p>
        </w:tc>
        <w:tc>
          <w:tcPr>
            <w:tcW w:w="850" w:type="dxa"/>
            <w:tcBorders>
              <w:top w:val="single" w:sz="4" w:space="0" w:color="auto"/>
            </w:tcBorders>
          </w:tcPr>
          <w:p w:rsidR="00BF1286" w:rsidRPr="00B10A0D" w:rsidRDefault="00BF1286" w:rsidP="001A76E9">
            <w:pPr>
              <w:pStyle w:val="Tabletext"/>
              <w:jc w:val="center"/>
              <w:rPr>
                <w:lang w:val="es-ES_tradnl"/>
              </w:rPr>
            </w:pPr>
            <w:r w:rsidRPr="00B10A0D">
              <w:rPr>
                <w:lang w:val="es-ES_tradnl"/>
              </w:rPr>
              <w:t>59,4</w:t>
            </w:r>
          </w:p>
        </w:tc>
        <w:tc>
          <w:tcPr>
            <w:tcW w:w="4678" w:type="dxa"/>
            <w:tcBorders>
              <w:top w:val="single" w:sz="4" w:space="0" w:color="auto"/>
            </w:tcBorders>
          </w:tcPr>
          <w:p w:rsidR="00BF1286" w:rsidRPr="00B10A0D" w:rsidRDefault="00BF1286" w:rsidP="001A76E9">
            <w:pPr>
              <w:pStyle w:val="Tabletext"/>
              <w:jc w:val="center"/>
              <w:rPr>
                <w:lang w:val="es-ES_tradnl"/>
              </w:rPr>
            </w:pPr>
            <w:r w:rsidRPr="00B10A0D">
              <w:rPr>
                <w:lang w:val="es-ES_tradnl"/>
              </w:rPr>
              <w:t>1-2, 2-1, 2-3, 3-2, 3-4, 4-3, 4-5, 5-4, 1-5, 5-1</w:t>
            </w:r>
          </w:p>
        </w:tc>
      </w:tr>
      <w:tr w:rsidR="00BF1286" w:rsidRPr="00B10A0D" w:rsidTr="001A76E9">
        <w:trPr>
          <w:jc w:val="center"/>
        </w:trPr>
        <w:tc>
          <w:tcPr>
            <w:tcW w:w="851" w:type="dxa"/>
            <w:tcBorders>
              <w:bottom w:val="single" w:sz="4" w:space="0" w:color="auto"/>
            </w:tcBorders>
          </w:tcPr>
          <w:p w:rsidR="00BF1286" w:rsidRPr="00B10A0D" w:rsidRDefault="00BF1286" w:rsidP="001A76E9">
            <w:pPr>
              <w:pStyle w:val="Tabletext"/>
              <w:jc w:val="center"/>
              <w:rPr>
                <w:lang w:val="es-ES_tradnl"/>
              </w:rPr>
            </w:pPr>
            <w:r w:rsidRPr="00B10A0D">
              <w:rPr>
                <w:lang w:val="es-ES_tradnl"/>
              </w:rPr>
              <w:t>30</w:t>
            </w:r>
          </w:p>
        </w:tc>
        <w:tc>
          <w:tcPr>
            <w:tcW w:w="851" w:type="dxa"/>
            <w:tcBorders>
              <w:bottom w:val="single" w:sz="4" w:space="0" w:color="auto"/>
            </w:tcBorders>
          </w:tcPr>
          <w:p w:rsidR="00BF1286" w:rsidRPr="00B10A0D" w:rsidRDefault="00BF1286" w:rsidP="001A76E9">
            <w:pPr>
              <w:pStyle w:val="Tabletext"/>
              <w:jc w:val="center"/>
              <w:rPr>
                <w:lang w:val="es-ES_tradnl"/>
              </w:rPr>
            </w:pPr>
            <w:r w:rsidRPr="00B10A0D">
              <w:rPr>
                <w:lang w:val="es-ES_tradnl"/>
              </w:rPr>
              <w:t>111</w:t>
            </w:r>
          </w:p>
        </w:tc>
        <w:tc>
          <w:tcPr>
            <w:tcW w:w="851" w:type="dxa"/>
            <w:tcBorders>
              <w:bottom w:val="single" w:sz="4" w:space="0" w:color="auto"/>
            </w:tcBorders>
          </w:tcPr>
          <w:p w:rsidR="00BF1286" w:rsidRPr="00B10A0D" w:rsidRDefault="00BF1286" w:rsidP="001A76E9">
            <w:pPr>
              <w:pStyle w:val="Tabletext"/>
              <w:jc w:val="center"/>
              <w:rPr>
                <w:lang w:val="es-ES_tradnl"/>
              </w:rPr>
            </w:pPr>
            <w:r w:rsidRPr="00B10A0D">
              <w:rPr>
                <w:lang w:val="es-ES_tradnl"/>
              </w:rPr>
              <w:t>34,6</w:t>
            </w:r>
          </w:p>
        </w:tc>
        <w:tc>
          <w:tcPr>
            <w:tcW w:w="850" w:type="dxa"/>
            <w:tcBorders>
              <w:bottom w:val="single" w:sz="4" w:space="0" w:color="auto"/>
            </w:tcBorders>
          </w:tcPr>
          <w:p w:rsidR="00BF1286" w:rsidRPr="00B10A0D" w:rsidRDefault="00BF1286" w:rsidP="001A76E9">
            <w:pPr>
              <w:pStyle w:val="Tabletext"/>
              <w:jc w:val="center"/>
              <w:rPr>
                <w:lang w:val="es-ES_tradnl"/>
              </w:rPr>
            </w:pPr>
            <w:r w:rsidRPr="00B10A0D">
              <w:rPr>
                <w:lang w:val="es-ES_tradnl"/>
              </w:rPr>
              <w:t>34,6</w:t>
            </w:r>
          </w:p>
        </w:tc>
        <w:tc>
          <w:tcPr>
            <w:tcW w:w="4678" w:type="dxa"/>
            <w:tcBorders>
              <w:bottom w:val="single" w:sz="4" w:space="0" w:color="auto"/>
            </w:tcBorders>
          </w:tcPr>
          <w:p w:rsidR="00BF1286" w:rsidRPr="00B10A0D" w:rsidRDefault="00BF1286" w:rsidP="001A76E9">
            <w:pPr>
              <w:pStyle w:val="Tabletext"/>
              <w:jc w:val="center"/>
              <w:rPr>
                <w:lang w:val="es-ES_tradnl"/>
              </w:rPr>
            </w:pPr>
            <w:r w:rsidRPr="00B10A0D">
              <w:rPr>
                <w:lang w:val="es-ES_tradnl"/>
              </w:rPr>
              <w:t>1-3, 3-1, 2-4, 4-2, 3-5, 5-3, 1-4, 4-1, 2-5, 5-2</w:t>
            </w:r>
          </w:p>
        </w:tc>
      </w:tr>
      <w:tr w:rsidR="00BF1286" w:rsidRPr="00AD1110" w:rsidTr="00BF1286">
        <w:trPr>
          <w:jc w:val="center"/>
        </w:trPr>
        <w:tc>
          <w:tcPr>
            <w:tcW w:w="8081" w:type="dxa"/>
            <w:gridSpan w:val="5"/>
            <w:tcBorders>
              <w:top w:val="single" w:sz="4" w:space="0" w:color="auto"/>
              <w:left w:val="nil"/>
              <w:bottom w:val="nil"/>
              <w:right w:val="nil"/>
            </w:tcBorders>
          </w:tcPr>
          <w:p w:rsidR="00BF1286" w:rsidRPr="00B10A0D" w:rsidRDefault="00BF1286" w:rsidP="00BF1286">
            <w:pPr>
              <w:pStyle w:val="Tablelegend"/>
              <w:rPr>
                <w:lang w:val="es-ES_tradnl" w:eastAsia="zh-CN"/>
              </w:rPr>
            </w:pPr>
            <w:r w:rsidRPr="00B10A0D">
              <w:rPr>
                <w:vertAlign w:val="superscript"/>
                <w:lang w:val="es-ES_tradnl" w:eastAsia="zh-CN"/>
              </w:rPr>
              <w:t>(1)</w:t>
            </w:r>
            <w:r w:rsidRPr="00B10A0D">
              <w:rPr>
                <w:lang w:val="es-ES_tradnl" w:eastAsia="zh-CN"/>
              </w:rPr>
              <w:tab/>
              <w:t>Pares de estaciones X-Y siendo X la estación deseada e Y la estación interferente.</w:t>
            </w:r>
          </w:p>
        </w:tc>
      </w:tr>
    </w:tbl>
    <w:p w:rsidR="00BF1286" w:rsidRPr="00B10A0D" w:rsidRDefault="00BF1286" w:rsidP="00BF1286">
      <w:pPr>
        <w:pStyle w:val="Tablefin"/>
        <w:rPr>
          <w:lang w:val="es-ES_tradnl"/>
        </w:rPr>
      </w:pPr>
    </w:p>
    <w:p w:rsidR="00581E88" w:rsidRPr="006E41AF" w:rsidRDefault="00581E88" w:rsidP="00581E88">
      <w:pPr>
        <w:pStyle w:val="Blanc"/>
        <w:rPr>
          <w:lang w:val="es-ES_tradnl"/>
        </w:rPr>
      </w:pPr>
    </w:p>
    <w:p w:rsidR="00BF1286" w:rsidRPr="00B10A0D" w:rsidRDefault="00BF1286" w:rsidP="00BF1286">
      <w:pPr>
        <w:pStyle w:val="TableNo"/>
        <w:rPr>
          <w:lang w:val="es-ES_tradnl"/>
        </w:rPr>
      </w:pPr>
      <w:r w:rsidRPr="00B10A0D">
        <w:rPr>
          <w:lang w:val="es-ES_tradnl"/>
        </w:rPr>
        <w:t>CUADRO 2</w:t>
      </w:r>
    </w:p>
    <w:p w:rsidR="00BF1286" w:rsidRPr="00B10A0D" w:rsidRDefault="00BF1286" w:rsidP="00581E88">
      <w:pPr>
        <w:pStyle w:val="Tabletitle"/>
        <w:rPr>
          <w:lang w:val="es-ES_tradnl"/>
        </w:rPr>
      </w:pPr>
      <w:r w:rsidRPr="00B10A0D">
        <w:rPr>
          <w:lang w:val="es-ES_tradnl"/>
        </w:rPr>
        <w:t>Ángulos de separación entre estaciones terrenas</w:t>
      </w:r>
      <w:r w:rsidR="00581E88">
        <w:rPr>
          <w:lang w:val="es-ES_tradnl"/>
        </w:rPr>
        <w:br/>
      </w:r>
      <w:r w:rsidRPr="00B10A0D">
        <w:rPr>
          <w:lang w:val="es-ES_tradnl"/>
        </w:rPr>
        <w:t>(grados)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701"/>
        <w:gridCol w:w="2551"/>
      </w:tblGrid>
      <w:tr w:rsidR="00BF1286" w:rsidRPr="00B10A0D" w:rsidTr="00581E88">
        <w:trPr>
          <w:jc w:val="center"/>
        </w:trPr>
        <w:tc>
          <w:tcPr>
            <w:tcW w:w="1701" w:type="dxa"/>
            <w:tcBorders>
              <w:top w:val="single" w:sz="4" w:space="0" w:color="auto"/>
              <w:bottom w:val="single" w:sz="4" w:space="0" w:color="auto"/>
            </w:tcBorders>
            <w:vAlign w:val="center"/>
          </w:tcPr>
          <w:p w:rsidR="00BF1286" w:rsidRPr="00B10A0D" w:rsidRDefault="00BF1286" w:rsidP="00BF1286">
            <w:pPr>
              <w:pStyle w:val="Tablehead"/>
              <w:rPr>
                <w:bCs/>
                <w:iCs/>
                <w:lang w:val="es-ES_tradnl" w:eastAsia="zh-CN"/>
              </w:rPr>
            </w:pPr>
            <w:r w:rsidRPr="00B10A0D">
              <w:rPr>
                <w:bCs/>
                <w:iCs/>
                <w:lang w:val="es-ES_tradnl" w:eastAsia="zh-CN"/>
              </w:rPr>
              <w:sym w:font="Symbol" w:char="F077"/>
            </w:r>
          </w:p>
        </w:tc>
        <w:tc>
          <w:tcPr>
            <w:tcW w:w="2551" w:type="dxa"/>
            <w:tcBorders>
              <w:top w:val="single" w:sz="4" w:space="0" w:color="auto"/>
              <w:bottom w:val="single" w:sz="4" w:space="0" w:color="auto"/>
            </w:tcBorders>
            <w:vAlign w:val="center"/>
          </w:tcPr>
          <w:p w:rsidR="00BF1286" w:rsidRPr="00B10A0D" w:rsidRDefault="00BF1286" w:rsidP="00BF1286">
            <w:pPr>
              <w:pStyle w:val="Tablehead"/>
              <w:rPr>
                <w:bCs/>
                <w:lang w:val="es-ES_tradnl" w:eastAsia="zh-CN"/>
              </w:rPr>
            </w:pPr>
            <w:r w:rsidRPr="00B10A0D">
              <w:rPr>
                <w:bCs/>
                <w:lang w:val="es-ES_tradnl" w:eastAsia="zh-CN"/>
              </w:rPr>
              <w:t>Pares de estaciones</w:t>
            </w:r>
          </w:p>
        </w:tc>
      </w:tr>
      <w:tr w:rsidR="00BF1286" w:rsidRPr="00B10A0D" w:rsidTr="00581E88">
        <w:trPr>
          <w:jc w:val="center"/>
        </w:trPr>
        <w:tc>
          <w:tcPr>
            <w:tcW w:w="1701" w:type="dxa"/>
            <w:tcBorders>
              <w:top w:val="single" w:sz="4" w:space="0" w:color="auto"/>
            </w:tcBorders>
          </w:tcPr>
          <w:p w:rsidR="00BF1286" w:rsidRPr="00B10A0D" w:rsidRDefault="00BF1286" w:rsidP="001A76E9">
            <w:pPr>
              <w:pStyle w:val="Tabletext"/>
              <w:jc w:val="center"/>
              <w:rPr>
                <w:lang w:val="es-ES_tradnl"/>
              </w:rPr>
            </w:pPr>
            <w:r w:rsidRPr="00B10A0D">
              <w:rPr>
                <w:lang w:val="es-ES_tradnl"/>
              </w:rPr>
              <w:t>0</w:t>
            </w:r>
          </w:p>
        </w:tc>
        <w:tc>
          <w:tcPr>
            <w:tcW w:w="2551" w:type="dxa"/>
            <w:tcBorders>
              <w:top w:val="single" w:sz="4" w:space="0" w:color="auto"/>
            </w:tcBorders>
          </w:tcPr>
          <w:p w:rsidR="00BF1286" w:rsidRPr="00B10A0D" w:rsidRDefault="00BF1286" w:rsidP="001A76E9">
            <w:pPr>
              <w:pStyle w:val="Tabletext"/>
              <w:jc w:val="center"/>
              <w:rPr>
                <w:lang w:val="es-ES_tradnl"/>
              </w:rPr>
            </w:pPr>
            <w:r w:rsidRPr="00B10A0D">
              <w:rPr>
                <w:lang w:val="es-ES_tradnl"/>
              </w:rPr>
              <w:t>1-1</w:t>
            </w:r>
          </w:p>
        </w:tc>
      </w:tr>
      <w:tr w:rsidR="00BF1286" w:rsidRPr="00B10A0D" w:rsidTr="00581E88">
        <w:trPr>
          <w:jc w:val="center"/>
        </w:trPr>
        <w:tc>
          <w:tcPr>
            <w:tcW w:w="1701" w:type="dxa"/>
          </w:tcPr>
          <w:p w:rsidR="00BF1286" w:rsidRPr="00B10A0D" w:rsidRDefault="00BF1286" w:rsidP="001A76E9">
            <w:pPr>
              <w:pStyle w:val="Tabletext"/>
              <w:jc w:val="center"/>
              <w:rPr>
                <w:lang w:val="es-ES_tradnl"/>
              </w:rPr>
            </w:pPr>
            <w:r w:rsidRPr="00B10A0D">
              <w:rPr>
                <w:lang w:val="es-ES_tradnl"/>
              </w:rPr>
              <w:t>72</w:t>
            </w:r>
          </w:p>
        </w:tc>
        <w:tc>
          <w:tcPr>
            <w:tcW w:w="2551" w:type="dxa"/>
          </w:tcPr>
          <w:p w:rsidR="00BF1286" w:rsidRPr="00B10A0D" w:rsidRDefault="00BF1286" w:rsidP="001A76E9">
            <w:pPr>
              <w:pStyle w:val="Tabletext"/>
              <w:jc w:val="center"/>
              <w:rPr>
                <w:lang w:val="es-ES_tradnl"/>
              </w:rPr>
            </w:pPr>
            <w:r w:rsidRPr="00B10A0D">
              <w:rPr>
                <w:lang w:val="es-ES_tradnl"/>
              </w:rPr>
              <w:t>1-2</w:t>
            </w:r>
          </w:p>
        </w:tc>
      </w:tr>
      <w:tr w:rsidR="00BF1286" w:rsidRPr="00B10A0D" w:rsidTr="00581E88">
        <w:trPr>
          <w:jc w:val="center"/>
        </w:trPr>
        <w:tc>
          <w:tcPr>
            <w:tcW w:w="1701" w:type="dxa"/>
          </w:tcPr>
          <w:p w:rsidR="00BF1286" w:rsidRPr="00B10A0D" w:rsidRDefault="00BF1286" w:rsidP="001A76E9">
            <w:pPr>
              <w:pStyle w:val="Tabletext"/>
              <w:jc w:val="center"/>
              <w:rPr>
                <w:lang w:val="es-ES_tradnl"/>
              </w:rPr>
            </w:pPr>
            <w:r w:rsidRPr="00B10A0D">
              <w:rPr>
                <w:lang w:val="es-ES_tradnl"/>
              </w:rPr>
              <w:t>144</w:t>
            </w:r>
          </w:p>
        </w:tc>
        <w:tc>
          <w:tcPr>
            <w:tcW w:w="2551" w:type="dxa"/>
          </w:tcPr>
          <w:p w:rsidR="00BF1286" w:rsidRPr="00B10A0D" w:rsidRDefault="00BF1286" w:rsidP="001A76E9">
            <w:pPr>
              <w:pStyle w:val="Tabletext"/>
              <w:jc w:val="center"/>
              <w:rPr>
                <w:lang w:val="es-ES_tradnl"/>
              </w:rPr>
            </w:pPr>
            <w:r w:rsidRPr="00B10A0D">
              <w:rPr>
                <w:lang w:val="es-ES_tradnl"/>
              </w:rPr>
              <w:t>1-3</w:t>
            </w:r>
          </w:p>
        </w:tc>
      </w:tr>
      <w:tr w:rsidR="00BF1286" w:rsidRPr="00B10A0D" w:rsidTr="00581E88">
        <w:trPr>
          <w:jc w:val="center"/>
        </w:trPr>
        <w:tc>
          <w:tcPr>
            <w:tcW w:w="1701" w:type="dxa"/>
          </w:tcPr>
          <w:p w:rsidR="00BF1286" w:rsidRPr="00B10A0D" w:rsidRDefault="00BF1286" w:rsidP="001A76E9">
            <w:pPr>
              <w:pStyle w:val="Tabletext"/>
              <w:jc w:val="center"/>
              <w:rPr>
                <w:lang w:val="es-ES_tradnl"/>
              </w:rPr>
            </w:pPr>
            <w:r w:rsidRPr="00B10A0D">
              <w:rPr>
                <w:lang w:val="es-ES_tradnl"/>
              </w:rPr>
              <w:t>216</w:t>
            </w:r>
          </w:p>
        </w:tc>
        <w:tc>
          <w:tcPr>
            <w:tcW w:w="2551" w:type="dxa"/>
          </w:tcPr>
          <w:p w:rsidR="00BF1286" w:rsidRPr="00B10A0D" w:rsidRDefault="00BF1286" w:rsidP="001A76E9">
            <w:pPr>
              <w:pStyle w:val="Tabletext"/>
              <w:jc w:val="center"/>
              <w:rPr>
                <w:lang w:val="es-ES_tradnl"/>
              </w:rPr>
            </w:pPr>
            <w:r w:rsidRPr="00B10A0D">
              <w:rPr>
                <w:lang w:val="es-ES_tradnl"/>
              </w:rPr>
              <w:t>1-4</w:t>
            </w:r>
          </w:p>
        </w:tc>
      </w:tr>
      <w:tr w:rsidR="00BF1286" w:rsidRPr="00B10A0D" w:rsidTr="00581E88">
        <w:trPr>
          <w:jc w:val="center"/>
        </w:trPr>
        <w:tc>
          <w:tcPr>
            <w:tcW w:w="1701" w:type="dxa"/>
          </w:tcPr>
          <w:p w:rsidR="00BF1286" w:rsidRPr="00B10A0D" w:rsidRDefault="00BF1286" w:rsidP="001A76E9">
            <w:pPr>
              <w:pStyle w:val="Tabletext"/>
              <w:jc w:val="center"/>
              <w:rPr>
                <w:lang w:val="es-ES_tradnl"/>
              </w:rPr>
            </w:pPr>
            <w:r w:rsidRPr="00B10A0D">
              <w:rPr>
                <w:lang w:val="es-ES_tradnl"/>
              </w:rPr>
              <w:t>288</w:t>
            </w:r>
          </w:p>
        </w:tc>
        <w:tc>
          <w:tcPr>
            <w:tcW w:w="2551" w:type="dxa"/>
          </w:tcPr>
          <w:p w:rsidR="00BF1286" w:rsidRPr="00B10A0D" w:rsidRDefault="00BF1286" w:rsidP="001A76E9">
            <w:pPr>
              <w:pStyle w:val="Tabletext"/>
              <w:jc w:val="center"/>
              <w:rPr>
                <w:lang w:val="es-ES_tradnl"/>
              </w:rPr>
            </w:pPr>
            <w:r w:rsidRPr="00B10A0D">
              <w:rPr>
                <w:lang w:val="es-ES_tradnl"/>
              </w:rPr>
              <w:t>1-5</w:t>
            </w:r>
          </w:p>
        </w:tc>
      </w:tr>
    </w:tbl>
    <w:p w:rsidR="00BF1286" w:rsidRPr="00B10A0D" w:rsidRDefault="00BF1286" w:rsidP="00BF1286">
      <w:pPr>
        <w:pStyle w:val="Tablefin"/>
        <w:rPr>
          <w:lang w:val="es-ES_tradnl"/>
        </w:rPr>
      </w:pPr>
    </w:p>
    <w:p w:rsidR="00BF1286" w:rsidRPr="00B10A0D" w:rsidRDefault="00BF1286" w:rsidP="001A76E9">
      <w:pPr>
        <w:pStyle w:val="Heading1"/>
        <w:rPr>
          <w:lang w:val="es-ES_tradnl"/>
        </w:rPr>
      </w:pPr>
      <w:r w:rsidRPr="00B10A0D">
        <w:rPr>
          <w:lang w:val="es-ES_tradnl"/>
        </w:rPr>
        <w:lastRenderedPageBreak/>
        <w:t>5</w:t>
      </w:r>
      <w:r w:rsidRPr="00B10A0D">
        <w:rPr>
          <w:lang w:val="es-ES_tradnl"/>
        </w:rPr>
        <w:tab/>
        <w:t>Identificación y canalización del espectro</w:t>
      </w:r>
    </w:p>
    <w:p w:rsidR="00BF1286" w:rsidRDefault="00BF1286" w:rsidP="00715809">
      <w:pPr>
        <w:rPr>
          <w:lang w:val="es-ES_tradnl"/>
        </w:rPr>
      </w:pPr>
      <w:r w:rsidRPr="00B10A0D">
        <w:rPr>
          <w:lang w:val="es-ES_tradnl"/>
        </w:rPr>
        <w:t>Cabe esperar que para los enlaces de pasarela de las HAPS se identifiquen dos canales de 80 MHz en la banda 5 850</w:t>
      </w:r>
      <w:r w:rsidRPr="00B10A0D">
        <w:rPr>
          <w:lang w:val="es-ES_tradnl"/>
        </w:rPr>
        <w:noBreakHyphen/>
        <w:t>7 075 MHz</w:t>
      </w:r>
      <w:r w:rsidRPr="00B10A0D">
        <w:rPr>
          <w:rStyle w:val="FootnoteReference"/>
          <w:lang w:val="es-ES_tradnl"/>
        </w:rPr>
        <w:footnoteReference w:id="4"/>
      </w:r>
      <w:r w:rsidRPr="00B10A0D">
        <w:rPr>
          <w:lang w:val="es-ES_tradnl"/>
        </w:rPr>
        <w:t xml:space="preserve"> para un total de 160</w:t>
      </w:r>
      <w:r w:rsidR="008A44D2">
        <w:rPr>
          <w:lang w:val="es-ES_tradnl"/>
        </w:rPr>
        <w:t> </w:t>
      </w:r>
      <w:r w:rsidRPr="00B10A0D">
        <w:rPr>
          <w:lang w:val="es-ES_tradnl"/>
        </w:rPr>
        <w:t>MHz. El plan de subcanalización puede utilizarse para dividir cada uno de los canales de 80</w:t>
      </w:r>
      <w:r w:rsidR="008A44D2">
        <w:rPr>
          <w:lang w:val="es-ES_tradnl"/>
        </w:rPr>
        <w:t> </w:t>
      </w:r>
      <w:r w:rsidRPr="00B10A0D">
        <w:rPr>
          <w:lang w:val="es-ES_tradnl"/>
        </w:rPr>
        <w:t>MHz en seis subcanales de 11 MHz equiespaciados separados por bandas de guarda de 2</w:t>
      </w:r>
      <w:r w:rsidR="008A44D2">
        <w:rPr>
          <w:lang w:val="es-ES_tradnl"/>
        </w:rPr>
        <w:t> </w:t>
      </w:r>
      <w:r w:rsidRPr="00B10A0D">
        <w:rPr>
          <w:lang w:val="es-ES_tradnl"/>
        </w:rPr>
        <w:t>MHz, como muestra la Fig. 4. Posiblemente podrían emplearse otros planes de frecuencia de subcanalización</w:t>
      </w:r>
      <w:r w:rsidRPr="00B10A0D">
        <w:rPr>
          <w:rStyle w:val="FootnoteReference"/>
          <w:lang w:val="es-ES_tradnl"/>
        </w:rPr>
        <w:footnoteReference w:id="5"/>
      </w:r>
      <w:r w:rsidRPr="00B10A0D">
        <w:rPr>
          <w:lang w:val="es-ES_tradnl"/>
        </w:rPr>
        <w:t>, pero en los estudios de compartición debe emplearse el plan de canalización mostrado en la Fig. 4. Todos los subcanales, en cada una de las anchuras de banda de 80</w:t>
      </w:r>
      <w:r w:rsidR="00715809">
        <w:rPr>
          <w:lang w:val="es-ES_tradnl"/>
        </w:rPr>
        <w:t> </w:t>
      </w:r>
      <w:r w:rsidRPr="00B10A0D">
        <w:rPr>
          <w:lang w:val="es-ES_tradnl"/>
        </w:rPr>
        <w:t>MHz, se utilizan siempre para acomodar los enlaces radioeléctricos en el mismo sentido. Únicamente se utilizará DDF/MDF.</w:t>
      </w:r>
    </w:p>
    <w:p w:rsidR="00AD1110" w:rsidRPr="00B10A0D" w:rsidRDefault="00AD1110" w:rsidP="008A44D2">
      <w:pPr>
        <w:rPr>
          <w:lang w:val="es-ES_tradnl"/>
        </w:rPr>
      </w:pPr>
    </w:p>
    <w:p w:rsidR="00BF1286" w:rsidRPr="00B10A0D" w:rsidRDefault="00BF1286" w:rsidP="00BF1286">
      <w:pPr>
        <w:pStyle w:val="FigureNo"/>
        <w:rPr>
          <w:lang w:val="es-ES_tradnl"/>
        </w:rPr>
      </w:pPr>
      <w:r w:rsidRPr="00B10A0D">
        <w:rPr>
          <w:lang w:val="es-ES_tradnl"/>
        </w:rPr>
        <w:t>figura 4</w:t>
      </w:r>
    </w:p>
    <w:p w:rsidR="00BF1286" w:rsidRDefault="00BF1286" w:rsidP="00BF1286">
      <w:pPr>
        <w:pStyle w:val="Figuretitle"/>
        <w:rPr>
          <w:lang w:val="es-ES_tradnl"/>
        </w:rPr>
      </w:pPr>
      <w:r w:rsidRPr="00B10A0D">
        <w:rPr>
          <w:lang w:val="es-ES_tradnl"/>
        </w:rPr>
        <w:t>Plan de canalización HAPS para un canal ascendente o descendente</w:t>
      </w:r>
    </w:p>
    <w:p w:rsidR="0088772B" w:rsidRPr="00E8305B" w:rsidRDefault="0088772B" w:rsidP="0088772B">
      <w:pPr>
        <w:pStyle w:val="Blanc"/>
        <w:rPr>
          <w:lang w:val="es-ES_tradnl"/>
        </w:rPr>
      </w:pPr>
    </w:p>
    <w:p w:rsidR="00BF1286" w:rsidRDefault="001A76E9" w:rsidP="00BF1286">
      <w:pPr>
        <w:pStyle w:val="Figure"/>
        <w:rPr>
          <w:lang w:val="es-ES_tradnl"/>
        </w:rPr>
      </w:pPr>
      <w:r w:rsidRPr="00B10A0D">
        <w:rPr>
          <w:lang w:val="es-ES_tradnl"/>
        </w:rPr>
        <w:object w:dxaOrig="5750" w:dyaOrig="2026">
          <v:shape id="_x0000_i1028" type="#_x0000_t75" style="width:269.4pt;height:94.8pt" o:ole="" o:allowoverlap="f">
            <v:imagedata r:id="rId21" o:title=""/>
          </v:shape>
          <o:OLEObject Type="Embed" ProgID="CorelDRAW.Graphic.14" ShapeID="_x0000_i1028" DrawAspect="Content" ObjectID="_1374395605" r:id="rId22"/>
        </w:object>
      </w:r>
    </w:p>
    <w:p w:rsidR="00AD1110" w:rsidRPr="00AD1110" w:rsidRDefault="00AD1110" w:rsidP="00AD1110">
      <w:pPr>
        <w:rPr>
          <w:lang w:val="es-ES_tradnl"/>
        </w:rPr>
      </w:pPr>
    </w:p>
    <w:p w:rsidR="00BF1286" w:rsidRPr="00B10A0D" w:rsidRDefault="00BF1286" w:rsidP="001A76E9">
      <w:pPr>
        <w:rPr>
          <w:lang w:val="es-ES_tradnl"/>
        </w:rPr>
      </w:pPr>
      <w:r w:rsidRPr="00B10A0D">
        <w:rPr>
          <w:lang w:val="es-ES_tradnl"/>
        </w:rPr>
        <w:t>La atribución del espectro para los enlaces de pasarela de las HAPS en la banda 5 850</w:t>
      </w:r>
      <w:r w:rsidRPr="00B10A0D">
        <w:rPr>
          <w:lang w:val="es-ES_tradnl"/>
        </w:rPr>
        <w:noBreakHyphen/>
        <w:t>7 075 MHz dependerá fundamentalmente de factores de interferencia mutua entre los servicios que comparten el espectro. La carga útil HAPS y la arquitectura y el diseño de la estación terrena deben proporcionar la necesaria flexibilidad para que los enlaces de pasarela puedan funcionar virtualmente en cualquier parte de la banda 5 850</w:t>
      </w:r>
      <w:r w:rsidRPr="00B10A0D">
        <w:rPr>
          <w:lang w:val="es-ES_tradnl"/>
        </w:rPr>
        <w:noBreakHyphen/>
        <w:t>7 075 MHz. Los estudios de compartición detallados determinarán el mejor emplazamiento para la identificación del espectro de las HAPS.</w:t>
      </w:r>
    </w:p>
    <w:p w:rsidR="00BF1286" w:rsidRPr="00B10A0D" w:rsidRDefault="00BF1286" w:rsidP="00BF1286">
      <w:pPr>
        <w:rPr>
          <w:lang w:val="es-ES_tradnl"/>
        </w:rPr>
      </w:pPr>
      <w:r w:rsidRPr="00B10A0D">
        <w:rPr>
          <w:lang w:val="es-ES_tradnl"/>
        </w:rPr>
        <w:t>Es importante observar que el espectro de los enlaces de pasarela de las HAPS estaría en una banda de frecuencias distinta que los enlaces de usuario individual entre la plataforma HAPS y sus CPE en tierra, como ilustra la Fig. 1.</w:t>
      </w:r>
    </w:p>
    <w:p w:rsidR="00BF1286" w:rsidRPr="00B10A0D" w:rsidRDefault="00BF1286" w:rsidP="00BF1286">
      <w:pPr>
        <w:pStyle w:val="Heading1"/>
        <w:rPr>
          <w:lang w:val="es-ES_tradnl"/>
        </w:rPr>
      </w:pPr>
      <w:r w:rsidRPr="00B10A0D">
        <w:rPr>
          <w:lang w:val="es-ES_tradnl"/>
        </w:rPr>
        <w:t>6</w:t>
      </w:r>
      <w:r w:rsidRPr="00B10A0D">
        <w:rPr>
          <w:lang w:val="es-ES_tradnl"/>
        </w:rPr>
        <w:tab/>
        <w:t>Características de los enlaces de pasarela de las HAPS</w:t>
      </w:r>
    </w:p>
    <w:p w:rsidR="00BF1286" w:rsidRPr="00B10A0D" w:rsidRDefault="00BF1286" w:rsidP="000971A8">
      <w:pPr>
        <w:rPr>
          <w:lang w:val="es-ES_tradnl"/>
        </w:rPr>
      </w:pPr>
      <w:r w:rsidRPr="00B10A0D">
        <w:rPr>
          <w:lang w:val="es-ES_tradnl"/>
        </w:rPr>
        <w:t>El Cuadro</w:t>
      </w:r>
      <w:r w:rsidR="000971A8">
        <w:rPr>
          <w:lang w:val="es-ES_tradnl"/>
        </w:rPr>
        <w:t> </w:t>
      </w:r>
      <w:r w:rsidRPr="00B10A0D">
        <w:rPr>
          <w:lang w:val="es-ES_tradnl"/>
        </w:rPr>
        <w:t>3 proporciona el análisis de un típico enlace de pasarela de las HAPS para los enlaces ascendentes y descendentes mostrando el valor de diversos parámetros del enlace que utiliza MAQ</w:t>
      </w:r>
      <w:r w:rsidRPr="00B10A0D">
        <w:rPr>
          <w:lang w:val="es-ES_tradnl"/>
        </w:rPr>
        <w:noBreakHyphen/>
        <w:t>64 2/3. Es importante observar que este caso (MAQ</w:t>
      </w:r>
      <w:r w:rsidRPr="00B10A0D">
        <w:rPr>
          <w:lang w:val="es-ES_tradnl"/>
        </w:rPr>
        <w:noBreakHyphen/>
        <w:t>64 2/3 en el Cuadro 3) debe utilizarse en los estudios de compartición para determinar la compatibilidad en la banda de frecuencias</w:t>
      </w:r>
      <w:r w:rsidR="00BD1865">
        <w:rPr>
          <w:lang w:val="es-ES_tradnl"/>
        </w:rPr>
        <w:t xml:space="preserve"> </w:t>
      </w:r>
      <w:r w:rsidRPr="00B10A0D">
        <w:rPr>
          <w:lang w:val="es-ES_tradnl"/>
        </w:rPr>
        <w:t>5 850</w:t>
      </w:r>
      <w:r w:rsidRPr="00B10A0D">
        <w:rPr>
          <w:lang w:val="es-ES_tradnl"/>
        </w:rPr>
        <w:noBreakHyphen/>
        <w:t>7 075 MHz.</w:t>
      </w:r>
    </w:p>
    <w:p w:rsidR="00AD1110" w:rsidRDefault="00AD1110">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BF1286" w:rsidRPr="00B10A0D" w:rsidRDefault="00BF1286" w:rsidP="00715809">
      <w:pPr>
        <w:rPr>
          <w:lang w:val="es-ES_tradnl"/>
        </w:rPr>
      </w:pPr>
      <w:r w:rsidRPr="00B10A0D">
        <w:rPr>
          <w:lang w:val="es-ES_tradnl"/>
        </w:rPr>
        <w:lastRenderedPageBreak/>
        <w:t>El balance del enlace de pasarela se basa en un subcanal de 11</w:t>
      </w:r>
      <w:r w:rsidR="00715809">
        <w:rPr>
          <w:lang w:val="es-ES_tradnl"/>
        </w:rPr>
        <w:t> </w:t>
      </w:r>
      <w:r w:rsidRPr="00B10A0D">
        <w:rPr>
          <w:lang w:val="es-ES_tradnl"/>
        </w:rPr>
        <w:t>MHz (más las bandas de guarda)</w:t>
      </w:r>
      <w:r w:rsidRPr="00B10A0D">
        <w:rPr>
          <w:rStyle w:val="FootnoteReference"/>
          <w:lang w:val="es-ES_tradnl"/>
        </w:rPr>
        <w:footnoteReference w:id="6"/>
      </w:r>
      <w:r w:rsidRPr="00B10A0D">
        <w:rPr>
          <w:lang w:val="es-ES_tradnl"/>
        </w:rPr>
        <w:t xml:space="preserve"> que corresponde a una velocidad binaria del subcanal de 44</w:t>
      </w:r>
      <w:r w:rsidR="00715809">
        <w:rPr>
          <w:lang w:val="es-ES_tradnl"/>
        </w:rPr>
        <w:t> </w:t>
      </w:r>
      <w:r w:rsidRPr="00B10A0D">
        <w:rPr>
          <w:lang w:val="es-ES_tradnl"/>
        </w:rPr>
        <w:t>Mbit/s</w:t>
      </w:r>
      <w:r w:rsidRPr="00B10A0D">
        <w:rPr>
          <w:rStyle w:val="FootnoteReference"/>
          <w:lang w:val="es-ES_tradnl"/>
        </w:rPr>
        <w:footnoteReference w:id="7"/>
      </w:r>
      <w:r w:rsidRPr="00B10A0D">
        <w:rPr>
          <w:lang w:val="es-ES_tradnl"/>
        </w:rPr>
        <w:t xml:space="preserve"> para una MAQ-64 2/3. Una alta disponibilidad y una proporción de errores en los bits con valores del orden del 99,999% y 10</w:t>
      </w:r>
      <w:r w:rsidRPr="00B10A0D">
        <w:rPr>
          <w:vertAlign w:val="superscript"/>
          <w:lang w:val="es-ES_tradnl"/>
        </w:rPr>
        <w:sym w:font="Symbol" w:char="F02D"/>
      </w:r>
      <w:r w:rsidRPr="00B10A0D">
        <w:rPr>
          <w:vertAlign w:val="superscript"/>
          <w:lang w:val="es-ES_tradnl"/>
        </w:rPr>
        <w:t>9</w:t>
      </w:r>
      <w:r w:rsidRPr="00B10A0D">
        <w:rPr>
          <w:lang w:val="es-ES_tradnl"/>
        </w:rPr>
        <w:t>, respectivamente, son importantes para los enlaces de pasarela de manera que pueda lograrse una elevada calidad de servicio para la aplicación del usuario final. Este análisis del enlace calcula la densidad de flujo de potencia (dfp) y el margen en el eje de puntería de las antenas. La dfp y el nivel de potencia radiada se reducirán sustancialmente en función de las características del diagrama de antena y el ángulo de desplazamiento con respecto al eje de puntería. La utilización de antenas de haz conformado puede proporcionar también una reducción adicional de la interferencia mutua. Por tanto, este análisis del balance del enlace es la hipótesis de caso más desfavorable con respecto a la interferencia HAPS provocada a otros sistemas y procedente de los mismos.</w:t>
      </w:r>
    </w:p>
    <w:p w:rsidR="00BF1286" w:rsidRPr="00B10A0D" w:rsidRDefault="00BF1286" w:rsidP="001E68E4">
      <w:pPr>
        <w:rPr>
          <w:lang w:val="es-ES_tradnl"/>
        </w:rPr>
      </w:pPr>
      <w:r w:rsidRPr="00B10A0D">
        <w:rPr>
          <w:lang w:val="es-ES_tradnl"/>
        </w:rPr>
        <w:t>También se incluye en los balances del enlace una evaluación preliminar de la interferencia interna procedente de otros enlaces de pasarela a la misma frecuencia que soportan el mismo sistema HAPS. Se evaluaron los casos de una, tres y cinco estaciones de pasarela en total para determinar el incremento de la interferencia y la correspondiente reducción del margen. Los tres casos de interferencia de estaciones de pasarela (GS) utilizaron 4 GS deseadas y 1 y 2 GS (interferentes) no deseadas. En el caso de MAQ-64 2/3 que aparece en el Cuadro</w:t>
      </w:r>
      <w:r w:rsidR="001E68E4">
        <w:rPr>
          <w:lang w:val="es-ES_tradnl"/>
        </w:rPr>
        <w:t> </w:t>
      </w:r>
      <w:r w:rsidRPr="00B10A0D">
        <w:rPr>
          <w:lang w:val="es-ES_tradnl"/>
        </w:rPr>
        <w:t>3 se empleó un sistema de antenas controladas por fase de alto rendimiento, tanto en la plataforma HAPS como en la estación de pasarela. En el § 8 se describen con detalle los contornos del diagrama de ganancia de antena para este balance del enlace. Este caso debe utilizarse para los estudios de compartición. Cabe señalar que el sistema de antenas controlado por fase utilizado en la plataforma HAPS y en la estación de pasarela reducirá el nivel de interferencia causada a los sistemas de los servicios existentes y logrará una comparación más eficaz con tales servicios. El Cuadro 3 también contiene el balance del enlace para el caso de cielo despejado y se consideró una intensidad de lluvia durante el 0,01% del tiempo</w:t>
      </w:r>
      <w:r w:rsidR="001E68E4">
        <w:rPr>
          <w:lang w:val="es-ES_tradnl"/>
        </w:rPr>
        <w:t> </w:t>
      </w:r>
      <w:r w:rsidRPr="00B10A0D">
        <w:rPr>
          <w:lang w:val="es-ES_tradnl"/>
        </w:rPr>
        <w:t>(R</w:t>
      </w:r>
      <w:r w:rsidRPr="00B10A0D">
        <w:rPr>
          <w:vertAlign w:val="subscript"/>
          <w:lang w:val="es-ES_tradnl"/>
        </w:rPr>
        <w:t>0,01</w:t>
      </w:r>
      <w:r w:rsidRPr="00B10A0D">
        <w:rPr>
          <w:lang w:val="es-ES_tradnl"/>
        </w:rPr>
        <w:t>) de 63 mm/h.</w:t>
      </w:r>
    </w:p>
    <w:p w:rsidR="00BF1286" w:rsidRPr="00B10A0D" w:rsidRDefault="00BF1286" w:rsidP="00AD1110">
      <w:pPr>
        <w:pStyle w:val="TableNo"/>
        <w:keepLines/>
        <w:spacing w:before="0"/>
        <w:rPr>
          <w:lang w:val="es-ES_tradnl"/>
        </w:rPr>
      </w:pPr>
      <w:r w:rsidRPr="00B10A0D">
        <w:rPr>
          <w:lang w:val="es-ES_tradnl"/>
        </w:rPr>
        <w:t>CUADRO 3</w:t>
      </w:r>
    </w:p>
    <w:p w:rsidR="00BF1286" w:rsidRPr="00B10A0D" w:rsidRDefault="00BF1286" w:rsidP="001E68E4">
      <w:pPr>
        <w:pStyle w:val="Tabletitle"/>
        <w:keepLines/>
        <w:rPr>
          <w:lang w:val="es-ES_tradnl"/>
        </w:rPr>
      </w:pPr>
      <w:r w:rsidRPr="00B10A0D">
        <w:rPr>
          <w:lang w:val="es-ES_tradnl"/>
        </w:rPr>
        <w:t xml:space="preserve">Ejemplo de análisis de balance del enlace de una estación </w:t>
      </w:r>
      <w:r w:rsidRPr="00B10A0D">
        <w:rPr>
          <w:lang w:val="es-ES_tradnl"/>
        </w:rPr>
        <w:br/>
      </w:r>
      <w:r w:rsidR="001E68E4" w:rsidRPr="00B10A0D">
        <w:rPr>
          <w:lang w:val="es-ES_tradnl"/>
        </w:rPr>
        <w:t xml:space="preserve">de </w:t>
      </w:r>
      <w:r w:rsidRPr="00B10A0D">
        <w:rPr>
          <w:lang w:val="es-ES_tradnl"/>
        </w:rPr>
        <w:t>pasarela de las HAPS que utiliza MAQ-64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1"/>
        <w:gridCol w:w="1677"/>
        <w:gridCol w:w="1677"/>
        <w:gridCol w:w="1677"/>
        <w:gridCol w:w="1677"/>
      </w:tblGrid>
      <w:tr w:rsidR="00BF1286" w:rsidRPr="001E68E4" w:rsidTr="00E63647">
        <w:trPr>
          <w:jc w:val="center"/>
        </w:trPr>
        <w:tc>
          <w:tcPr>
            <w:tcW w:w="2931" w:type="dxa"/>
            <w:vMerge w:val="restart"/>
            <w:vAlign w:val="center"/>
          </w:tcPr>
          <w:p w:rsidR="00BF1286" w:rsidRPr="001E68E4" w:rsidRDefault="00BF1286" w:rsidP="00E63647">
            <w:pPr>
              <w:pStyle w:val="Tablehead"/>
              <w:keepLines/>
              <w:rPr>
                <w:sz w:val="20"/>
                <w:lang w:val="es-ES_tradnl" w:eastAsia="zh-CN"/>
              </w:rPr>
            </w:pPr>
            <w:r w:rsidRPr="001E68E4">
              <w:rPr>
                <w:sz w:val="20"/>
                <w:lang w:val="es-ES_tradnl" w:eastAsia="zh-CN"/>
              </w:rPr>
              <w:t>Parámetro</w:t>
            </w:r>
          </w:p>
        </w:tc>
        <w:tc>
          <w:tcPr>
            <w:tcW w:w="1677" w:type="dxa"/>
            <w:vAlign w:val="center"/>
          </w:tcPr>
          <w:p w:rsidR="00BF1286" w:rsidRPr="001E68E4" w:rsidRDefault="00BF1286" w:rsidP="001A76E9">
            <w:pPr>
              <w:pStyle w:val="Tablehead"/>
              <w:keepLines/>
              <w:rPr>
                <w:sz w:val="20"/>
                <w:lang w:val="es-ES_tradnl" w:eastAsia="zh-CN"/>
              </w:rPr>
            </w:pPr>
            <w:r w:rsidRPr="001E68E4">
              <w:rPr>
                <w:sz w:val="20"/>
                <w:lang w:val="es-ES_tradnl" w:eastAsia="zh-CN"/>
              </w:rPr>
              <w:t>UAC – Lluvia</w:t>
            </w:r>
          </w:p>
        </w:tc>
        <w:tc>
          <w:tcPr>
            <w:tcW w:w="1677" w:type="dxa"/>
            <w:vAlign w:val="center"/>
          </w:tcPr>
          <w:p w:rsidR="00BF1286" w:rsidRPr="001E68E4" w:rsidRDefault="00BF1286" w:rsidP="001A76E9">
            <w:pPr>
              <w:pStyle w:val="Tablehead"/>
              <w:keepLines/>
              <w:rPr>
                <w:sz w:val="20"/>
                <w:lang w:val="es-ES_tradnl" w:eastAsia="zh-CN"/>
              </w:rPr>
            </w:pPr>
            <w:r w:rsidRPr="001E68E4">
              <w:rPr>
                <w:sz w:val="20"/>
                <w:lang w:val="es-ES_tradnl" w:eastAsia="zh-CN"/>
              </w:rPr>
              <w:t>UAC – Lluvia</w:t>
            </w:r>
          </w:p>
        </w:tc>
        <w:tc>
          <w:tcPr>
            <w:tcW w:w="1677" w:type="dxa"/>
            <w:vAlign w:val="center"/>
          </w:tcPr>
          <w:p w:rsidR="00BF1286" w:rsidRPr="001E68E4" w:rsidRDefault="00BF1286" w:rsidP="001A76E9">
            <w:pPr>
              <w:pStyle w:val="Tablehead"/>
              <w:keepLines/>
              <w:rPr>
                <w:sz w:val="20"/>
                <w:lang w:val="es-ES_tradnl" w:eastAsia="zh-CN"/>
              </w:rPr>
            </w:pPr>
            <w:r w:rsidRPr="001E68E4">
              <w:rPr>
                <w:sz w:val="20"/>
                <w:lang w:val="es-ES_tradnl" w:eastAsia="zh-CN"/>
              </w:rPr>
              <w:t>UAC – Cielo despejado</w:t>
            </w:r>
          </w:p>
        </w:tc>
        <w:tc>
          <w:tcPr>
            <w:tcW w:w="1677" w:type="dxa"/>
            <w:vAlign w:val="center"/>
          </w:tcPr>
          <w:p w:rsidR="00BF1286" w:rsidRPr="001E68E4" w:rsidRDefault="00BF1286" w:rsidP="001A76E9">
            <w:pPr>
              <w:pStyle w:val="Tablehead"/>
              <w:keepLines/>
              <w:rPr>
                <w:sz w:val="20"/>
                <w:lang w:val="es-ES_tradnl" w:eastAsia="zh-CN"/>
              </w:rPr>
            </w:pPr>
            <w:r w:rsidRPr="001E68E4">
              <w:rPr>
                <w:sz w:val="20"/>
                <w:lang w:val="es-ES_tradnl" w:eastAsia="zh-CN"/>
              </w:rPr>
              <w:t>UAC – Cielo despejado</w:t>
            </w:r>
          </w:p>
        </w:tc>
      </w:tr>
      <w:tr w:rsidR="00BF1286" w:rsidRPr="001E68E4" w:rsidTr="00E63647">
        <w:trPr>
          <w:jc w:val="center"/>
        </w:trPr>
        <w:tc>
          <w:tcPr>
            <w:tcW w:w="2931" w:type="dxa"/>
            <w:vMerge/>
          </w:tcPr>
          <w:p w:rsidR="00BF1286" w:rsidRPr="001E68E4" w:rsidRDefault="00BF1286" w:rsidP="001A76E9">
            <w:pPr>
              <w:pStyle w:val="Tablehead"/>
              <w:keepLines/>
              <w:jc w:val="left"/>
              <w:rPr>
                <w:sz w:val="20"/>
                <w:lang w:val="es-ES_tradnl" w:eastAsia="zh-CN"/>
              </w:rPr>
            </w:pPr>
          </w:p>
        </w:tc>
        <w:tc>
          <w:tcPr>
            <w:tcW w:w="1677" w:type="dxa"/>
          </w:tcPr>
          <w:p w:rsidR="00BF1286" w:rsidRPr="001E68E4" w:rsidRDefault="00BF1286" w:rsidP="001A76E9">
            <w:pPr>
              <w:pStyle w:val="Tablehead"/>
              <w:keepLines/>
              <w:rPr>
                <w:sz w:val="20"/>
                <w:lang w:val="es-ES_tradnl" w:eastAsia="zh-CN"/>
              </w:rPr>
            </w:pPr>
            <w:r w:rsidRPr="001E68E4">
              <w:rPr>
                <w:sz w:val="20"/>
                <w:lang w:val="es-ES_tradnl" w:eastAsia="zh-CN"/>
              </w:rPr>
              <w:t>MDT</w:t>
            </w:r>
            <w:r w:rsidRPr="001E68E4">
              <w:rPr>
                <w:sz w:val="20"/>
                <w:lang w:val="es-ES_tradnl" w:eastAsia="zh-CN"/>
              </w:rPr>
              <w:br/>
              <w:t>descendente</w:t>
            </w:r>
            <w:r w:rsidRPr="001E68E4">
              <w:rPr>
                <w:sz w:val="20"/>
                <w:lang w:val="es-ES_tradnl" w:eastAsia="zh-CN"/>
              </w:rPr>
              <w:br/>
              <w:t>(por portadora)</w:t>
            </w:r>
          </w:p>
        </w:tc>
        <w:tc>
          <w:tcPr>
            <w:tcW w:w="1677" w:type="dxa"/>
          </w:tcPr>
          <w:p w:rsidR="00BF1286" w:rsidRPr="001E68E4" w:rsidRDefault="00BF1286" w:rsidP="001A76E9">
            <w:pPr>
              <w:pStyle w:val="Tablehead"/>
              <w:keepLines/>
              <w:rPr>
                <w:sz w:val="20"/>
                <w:lang w:val="es-ES_tradnl" w:eastAsia="zh-CN"/>
              </w:rPr>
            </w:pPr>
            <w:r w:rsidRPr="001E68E4">
              <w:rPr>
                <w:sz w:val="20"/>
                <w:lang w:val="es-ES_tradnl" w:eastAsia="zh-CN"/>
              </w:rPr>
              <w:t xml:space="preserve">MDT </w:t>
            </w:r>
            <w:r w:rsidRPr="001E68E4">
              <w:rPr>
                <w:sz w:val="20"/>
                <w:lang w:val="es-ES_tradnl" w:eastAsia="zh-CN"/>
              </w:rPr>
              <w:br/>
              <w:t>ascendente</w:t>
            </w:r>
            <w:r w:rsidRPr="001E68E4">
              <w:rPr>
                <w:sz w:val="20"/>
                <w:lang w:val="es-ES_tradnl" w:eastAsia="zh-CN"/>
              </w:rPr>
              <w:br/>
              <w:t>(por portadora)</w:t>
            </w:r>
          </w:p>
        </w:tc>
        <w:tc>
          <w:tcPr>
            <w:tcW w:w="1677" w:type="dxa"/>
          </w:tcPr>
          <w:p w:rsidR="00BF1286" w:rsidRPr="001E68E4" w:rsidRDefault="00BF1286" w:rsidP="001A76E9">
            <w:pPr>
              <w:pStyle w:val="Tablehead"/>
              <w:keepLines/>
              <w:rPr>
                <w:sz w:val="20"/>
                <w:lang w:val="es-ES_tradnl" w:eastAsia="zh-CN"/>
              </w:rPr>
            </w:pPr>
            <w:r w:rsidRPr="001E68E4">
              <w:rPr>
                <w:sz w:val="20"/>
                <w:lang w:val="es-ES_tradnl" w:eastAsia="zh-CN"/>
              </w:rPr>
              <w:t xml:space="preserve">MDT </w:t>
            </w:r>
            <w:r w:rsidRPr="001E68E4">
              <w:rPr>
                <w:sz w:val="20"/>
                <w:lang w:val="es-ES_tradnl" w:eastAsia="zh-CN"/>
              </w:rPr>
              <w:br/>
              <w:t>descendente</w:t>
            </w:r>
            <w:r w:rsidRPr="001E68E4">
              <w:rPr>
                <w:sz w:val="20"/>
                <w:lang w:val="es-ES_tradnl" w:eastAsia="zh-CN"/>
              </w:rPr>
              <w:br/>
              <w:t>(por portadora)</w:t>
            </w:r>
          </w:p>
        </w:tc>
        <w:tc>
          <w:tcPr>
            <w:tcW w:w="1677" w:type="dxa"/>
          </w:tcPr>
          <w:p w:rsidR="00BF1286" w:rsidRPr="001E68E4" w:rsidRDefault="00BF1286" w:rsidP="001A76E9">
            <w:pPr>
              <w:pStyle w:val="Tablehead"/>
              <w:keepLines/>
              <w:rPr>
                <w:sz w:val="20"/>
                <w:lang w:val="es-ES_tradnl" w:eastAsia="zh-CN"/>
              </w:rPr>
            </w:pPr>
            <w:r w:rsidRPr="001E68E4">
              <w:rPr>
                <w:sz w:val="20"/>
                <w:lang w:val="es-ES_tradnl" w:eastAsia="zh-CN"/>
              </w:rPr>
              <w:t xml:space="preserve">MDT </w:t>
            </w:r>
            <w:r w:rsidRPr="001E68E4">
              <w:rPr>
                <w:sz w:val="20"/>
                <w:lang w:val="es-ES_tradnl" w:eastAsia="zh-CN"/>
              </w:rPr>
              <w:br/>
              <w:t>ascendente</w:t>
            </w:r>
            <w:r w:rsidRPr="001E68E4">
              <w:rPr>
                <w:sz w:val="20"/>
                <w:lang w:val="es-ES_tradnl" w:eastAsia="zh-CN"/>
              </w:rPr>
              <w:br/>
              <w:t>(por portadora)</w:t>
            </w:r>
          </w:p>
        </w:tc>
      </w:tr>
      <w:tr w:rsidR="00BF1286" w:rsidRPr="001E68E4" w:rsidTr="00E63647">
        <w:trPr>
          <w:jc w:val="center"/>
        </w:trPr>
        <w:tc>
          <w:tcPr>
            <w:tcW w:w="2931" w:type="dxa"/>
          </w:tcPr>
          <w:p w:rsidR="00BF1286" w:rsidRPr="001E68E4" w:rsidRDefault="00BF1286" w:rsidP="00E63647">
            <w:pPr>
              <w:pStyle w:val="Tabletext"/>
              <w:jc w:val="left"/>
              <w:rPr>
                <w:sz w:val="20"/>
                <w:vertAlign w:val="superscript"/>
                <w:lang w:val="es-ES_tradnl" w:eastAsia="zh-CN"/>
              </w:rPr>
            </w:pPr>
            <w:r w:rsidRPr="001E68E4">
              <w:rPr>
                <w:sz w:val="20"/>
                <w:lang w:val="es-ES_tradnl" w:eastAsia="zh-CN"/>
              </w:rPr>
              <w:t>Frecuencia (GHz)</w:t>
            </w:r>
            <w:r w:rsidRPr="001E68E4">
              <w:rPr>
                <w:sz w:val="20"/>
                <w:vertAlign w:val="superscript"/>
                <w:lang w:val="es-ES_tradnl" w:eastAsia="zh-CN"/>
              </w:rPr>
              <w:t>(1)</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6,5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6,6</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6,5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6,6</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Anchura de banda (MHz)</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11</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11</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11</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11</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Potencia de Tx (dBW)</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–22</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–19</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–22</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–19</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Ganancia de antena del Tx (dBi)</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47</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47</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Pérdidas de implementación del hardware (dB)</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4,1</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4,1</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4,1</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4,1</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Ganancia del control de potencia (dB)</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8,0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8,0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0,0</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p.i.r.e. nominal (dBW)</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3,9</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23,9</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3,9</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23,9</w:t>
            </w:r>
          </w:p>
        </w:tc>
      </w:tr>
    </w:tbl>
    <w:p w:rsidR="00AD1110" w:rsidRDefault="00AD1110" w:rsidP="00AD1110">
      <w:pPr>
        <w:pStyle w:val="Tablefin"/>
        <w:rPr>
          <w:lang w:val="es-ES_tradnl"/>
        </w:rPr>
      </w:pPr>
    </w:p>
    <w:p w:rsidR="00AD1110" w:rsidRPr="00B10A0D" w:rsidRDefault="00AD1110" w:rsidP="00AD1110">
      <w:pPr>
        <w:pStyle w:val="TableNo"/>
        <w:keepLines/>
        <w:rPr>
          <w:lang w:val="es-ES_tradnl"/>
        </w:rPr>
      </w:pPr>
      <w:r w:rsidRPr="00B10A0D">
        <w:rPr>
          <w:lang w:val="es-ES_tradnl"/>
        </w:rPr>
        <w:lastRenderedPageBreak/>
        <w:t>CUADRO 3</w:t>
      </w:r>
      <w:r>
        <w:rPr>
          <w:lang w:val="es-ES_tradnl"/>
        </w:rPr>
        <w:t xml:space="preserve"> (</w:t>
      </w:r>
      <w:r w:rsidRPr="005763CC">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1"/>
        <w:gridCol w:w="1677"/>
        <w:gridCol w:w="1677"/>
        <w:gridCol w:w="1677"/>
        <w:gridCol w:w="1677"/>
      </w:tblGrid>
      <w:tr w:rsidR="00AD1110" w:rsidRPr="001E68E4" w:rsidTr="00EE7C69">
        <w:trPr>
          <w:jc w:val="center"/>
        </w:trPr>
        <w:tc>
          <w:tcPr>
            <w:tcW w:w="2931" w:type="dxa"/>
            <w:vMerge w:val="restart"/>
            <w:vAlign w:val="center"/>
          </w:tcPr>
          <w:p w:rsidR="00AD1110" w:rsidRPr="001E68E4" w:rsidRDefault="00AD1110" w:rsidP="00EE7C69">
            <w:pPr>
              <w:pStyle w:val="Tablehead"/>
              <w:keepLines/>
              <w:rPr>
                <w:sz w:val="20"/>
                <w:lang w:val="es-ES_tradnl" w:eastAsia="zh-CN"/>
              </w:rPr>
            </w:pPr>
            <w:r w:rsidRPr="001E68E4">
              <w:rPr>
                <w:sz w:val="20"/>
                <w:lang w:val="es-ES_tradnl" w:eastAsia="zh-CN"/>
              </w:rPr>
              <w:t>Parámetro</w:t>
            </w:r>
          </w:p>
        </w:tc>
        <w:tc>
          <w:tcPr>
            <w:tcW w:w="1677" w:type="dxa"/>
            <w:vAlign w:val="center"/>
          </w:tcPr>
          <w:p w:rsidR="00AD1110" w:rsidRPr="001E68E4" w:rsidRDefault="00AD1110" w:rsidP="00EE7C69">
            <w:pPr>
              <w:pStyle w:val="Tablehead"/>
              <w:keepLines/>
              <w:rPr>
                <w:sz w:val="20"/>
                <w:lang w:val="es-ES_tradnl" w:eastAsia="zh-CN"/>
              </w:rPr>
            </w:pPr>
            <w:r w:rsidRPr="001E68E4">
              <w:rPr>
                <w:sz w:val="20"/>
                <w:lang w:val="es-ES_tradnl" w:eastAsia="zh-CN"/>
              </w:rPr>
              <w:t>UAC – Lluvia</w:t>
            </w:r>
          </w:p>
        </w:tc>
        <w:tc>
          <w:tcPr>
            <w:tcW w:w="1677" w:type="dxa"/>
            <w:vAlign w:val="center"/>
          </w:tcPr>
          <w:p w:rsidR="00AD1110" w:rsidRPr="001E68E4" w:rsidRDefault="00AD1110" w:rsidP="00EE7C69">
            <w:pPr>
              <w:pStyle w:val="Tablehead"/>
              <w:keepLines/>
              <w:rPr>
                <w:sz w:val="20"/>
                <w:lang w:val="es-ES_tradnl" w:eastAsia="zh-CN"/>
              </w:rPr>
            </w:pPr>
            <w:r w:rsidRPr="001E68E4">
              <w:rPr>
                <w:sz w:val="20"/>
                <w:lang w:val="es-ES_tradnl" w:eastAsia="zh-CN"/>
              </w:rPr>
              <w:t>UAC – Lluvia</w:t>
            </w:r>
          </w:p>
        </w:tc>
        <w:tc>
          <w:tcPr>
            <w:tcW w:w="1677" w:type="dxa"/>
            <w:vAlign w:val="center"/>
          </w:tcPr>
          <w:p w:rsidR="00AD1110" w:rsidRPr="001E68E4" w:rsidRDefault="00AD1110" w:rsidP="00EE7C69">
            <w:pPr>
              <w:pStyle w:val="Tablehead"/>
              <w:keepLines/>
              <w:rPr>
                <w:sz w:val="20"/>
                <w:lang w:val="es-ES_tradnl" w:eastAsia="zh-CN"/>
              </w:rPr>
            </w:pPr>
            <w:r w:rsidRPr="001E68E4">
              <w:rPr>
                <w:sz w:val="20"/>
                <w:lang w:val="es-ES_tradnl" w:eastAsia="zh-CN"/>
              </w:rPr>
              <w:t>UAC – Cielo despejado</w:t>
            </w:r>
          </w:p>
        </w:tc>
        <w:tc>
          <w:tcPr>
            <w:tcW w:w="1677" w:type="dxa"/>
            <w:vAlign w:val="center"/>
          </w:tcPr>
          <w:p w:rsidR="00AD1110" w:rsidRPr="001E68E4" w:rsidRDefault="00AD1110" w:rsidP="00EE7C69">
            <w:pPr>
              <w:pStyle w:val="Tablehead"/>
              <w:keepLines/>
              <w:rPr>
                <w:sz w:val="20"/>
                <w:lang w:val="es-ES_tradnl" w:eastAsia="zh-CN"/>
              </w:rPr>
            </w:pPr>
            <w:r w:rsidRPr="001E68E4">
              <w:rPr>
                <w:sz w:val="20"/>
                <w:lang w:val="es-ES_tradnl" w:eastAsia="zh-CN"/>
              </w:rPr>
              <w:t>UAC – Cielo despejado</w:t>
            </w:r>
          </w:p>
        </w:tc>
      </w:tr>
      <w:tr w:rsidR="00AD1110" w:rsidRPr="001E68E4" w:rsidTr="00EE7C69">
        <w:trPr>
          <w:jc w:val="center"/>
        </w:trPr>
        <w:tc>
          <w:tcPr>
            <w:tcW w:w="2931" w:type="dxa"/>
            <w:vMerge/>
          </w:tcPr>
          <w:p w:rsidR="00AD1110" w:rsidRPr="001E68E4" w:rsidRDefault="00AD1110" w:rsidP="00EE7C69">
            <w:pPr>
              <w:pStyle w:val="Tablehead"/>
              <w:keepLines/>
              <w:jc w:val="left"/>
              <w:rPr>
                <w:sz w:val="20"/>
                <w:lang w:val="es-ES_tradnl" w:eastAsia="zh-CN"/>
              </w:rPr>
            </w:pPr>
          </w:p>
        </w:tc>
        <w:tc>
          <w:tcPr>
            <w:tcW w:w="1677" w:type="dxa"/>
          </w:tcPr>
          <w:p w:rsidR="00AD1110" w:rsidRPr="001E68E4" w:rsidRDefault="00AD1110" w:rsidP="00EE7C69">
            <w:pPr>
              <w:pStyle w:val="Tablehead"/>
              <w:keepLines/>
              <w:rPr>
                <w:sz w:val="20"/>
                <w:lang w:val="es-ES_tradnl" w:eastAsia="zh-CN"/>
              </w:rPr>
            </w:pPr>
            <w:r w:rsidRPr="001E68E4">
              <w:rPr>
                <w:sz w:val="20"/>
                <w:lang w:val="es-ES_tradnl" w:eastAsia="zh-CN"/>
              </w:rPr>
              <w:t>MDT</w:t>
            </w:r>
            <w:r w:rsidRPr="001E68E4">
              <w:rPr>
                <w:sz w:val="20"/>
                <w:lang w:val="es-ES_tradnl" w:eastAsia="zh-CN"/>
              </w:rPr>
              <w:br/>
              <w:t>descendente</w:t>
            </w:r>
            <w:r w:rsidRPr="001E68E4">
              <w:rPr>
                <w:sz w:val="20"/>
                <w:lang w:val="es-ES_tradnl" w:eastAsia="zh-CN"/>
              </w:rPr>
              <w:br/>
              <w:t>(por portadora)</w:t>
            </w:r>
          </w:p>
        </w:tc>
        <w:tc>
          <w:tcPr>
            <w:tcW w:w="1677" w:type="dxa"/>
          </w:tcPr>
          <w:p w:rsidR="00AD1110" w:rsidRPr="001E68E4" w:rsidRDefault="00AD1110" w:rsidP="00EE7C69">
            <w:pPr>
              <w:pStyle w:val="Tablehead"/>
              <w:keepLines/>
              <w:rPr>
                <w:sz w:val="20"/>
                <w:lang w:val="es-ES_tradnl" w:eastAsia="zh-CN"/>
              </w:rPr>
            </w:pPr>
            <w:r w:rsidRPr="001E68E4">
              <w:rPr>
                <w:sz w:val="20"/>
                <w:lang w:val="es-ES_tradnl" w:eastAsia="zh-CN"/>
              </w:rPr>
              <w:t xml:space="preserve">MDT </w:t>
            </w:r>
            <w:r w:rsidRPr="001E68E4">
              <w:rPr>
                <w:sz w:val="20"/>
                <w:lang w:val="es-ES_tradnl" w:eastAsia="zh-CN"/>
              </w:rPr>
              <w:br/>
              <w:t>ascendente</w:t>
            </w:r>
            <w:r w:rsidRPr="001E68E4">
              <w:rPr>
                <w:sz w:val="20"/>
                <w:lang w:val="es-ES_tradnl" w:eastAsia="zh-CN"/>
              </w:rPr>
              <w:br/>
              <w:t>(por portadora)</w:t>
            </w:r>
          </w:p>
        </w:tc>
        <w:tc>
          <w:tcPr>
            <w:tcW w:w="1677" w:type="dxa"/>
          </w:tcPr>
          <w:p w:rsidR="00AD1110" w:rsidRPr="001E68E4" w:rsidRDefault="00AD1110" w:rsidP="00EE7C69">
            <w:pPr>
              <w:pStyle w:val="Tablehead"/>
              <w:keepLines/>
              <w:rPr>
                <w:sz w:val="20"/>
                <w:lang w:val="es-ES_tradnl" w:eastAsia="zh-CN"/>
              </w:rPr>
            </w:pPr>
            <w:r w:rsidRPr="001E68E4">
              <w:rPr>
                <w:sz w:val="20"/>
                <w:lang w:val="es-ES_tradnl" w:eastAsia="zh-CN"/>
              </w:rPr>
              <w:t xml:space="preserve">MDT </w:t>
            </w:r>
            <w:r w:rsidRPr="001E68E4">
              <w:rPr>
                <w:sz w:val="20"/>
                <w:lang w:val="es-ES_tradnl" w:eastAsia="zh-CN"/>
              </w:rPr>
              <w:br/>
              <w:t>descendente</w:t>
            </w:r>
            <w:r w:rsidRPr="001E68E4">
              <w:rPr>
                <w:sz w:val="20"/>
                <w:lang w:val="es-ES_tradnl" w:eastAsia="zh-CN"/>
              </w:rPr>
              <w:br/>
              <w:t>(por portadora)</w:t>
            </w:r>
          </w:p>
        </w:tc>
        <w:tc>
          <w:tcPr>
            <w:tcW w:w="1677" w:type="dxa"/>
          </w:tcPr>
          <w:p w:rsidR="00AD1110" w:rsidRPr="001E68E4" w:rsidRDefault="00AD1110" w:rsidP="00EE7C69">
            <w:pPr>
              <w:pStyle w:val="Tablehead"/>
              <w:keepLines/>
              <w:rPr>
                <w:sz w:val="20"/>
                <w:lang w:val="es-ES_tradnl" w:eastAsia="zh-CN"/>
              </w:rPr>
            </w:pPr>
            <w:r w:rsidRPr="001E68E4">
              <w:rPr>
                <w:sz w:val="20"/>
                <w:lang w:val="es-ES_tradnl" w:eastAsia="zh-CN"/>
              </w:rPr>
              <w:t xml:space="preserve">MDT </w:t>
            </w:r>
            <w:r w:rsidRPr="001E68E4">
              <w:rPr>
                <w:sz w:val="20"/>
                <w:lang w:val="es-ES_tradnl" w:eastAsia="zh-CN"/>
              </w:rPr>
              <w:br/>
              <w:t>ascendente</w:t>
            </w:r>
            <w:r w:rsidRPr="001E68E4">
              <w:rPr>
                <w:sz w:val="20"/>
                <w:lang w:val="es-ES_tradnl" w:eastAsia="zh-CN"/>
              </w:rPr>
              <w:br/>
              <w:t>(por portadora)</w:t>
            </w:r>
          </w:p>
        </w:tc>
      </w:tr>
      <w:tr w:rsidR="00BF1286" w:rsidRPr="001E68E4" w:rsidTr="00E63647">
        <w:trPr>
          <w:jc w:val="center"/>
        </w:trPr>
        <w:tc>
          <w:tcPr>
            <w:tcW w:w="2931" w:type="dxa"/>
          </w:tcPr>
          <w:p w:rsidR="00BF1286" w:rsidRPr="001E68E4" w:rsidRDefault="00BF1286" w:rsidP="00E63647">
            <w:pPr>
              <w:pStyle w:val="Tabletext"/>
              <w:jc w:val="left"/>
              <w:rPr>
                <w:sz w:val="20"/>
                <w:vertAlign w:val="superscript"/>
                <w:lang w:val="es-ES_tradnl" w:eastAsia="zh-CN"/>
              </w:rPr>
            </w:pPr>
            <w:r w:rsidRPr="001E68E4">
              <w:rPr>
                <w:sz w:val="20"/>
                <w:lang w:val="es-ES_tradnl" w:eastAsia="zh-CN"/>
              </w:rPr>
              <w:t>p.i.r.e. (dBW) tras el control de potencia</w:t>
            </w:r>
            <w:r w:rsidRPr="001E68E4">
              <w:rPr>
                <w:sz w:val="20"/>
                <w:vertAlign w:val="superscript"/>
                <w:lang w:val="es-ES_tradnl" w:eastAsia="zh-CN"/>
              </w:rPr>
              <w:t>(2)</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11,9</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31,9</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3,9</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23,9</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Distancia oblicua (km)</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42,0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42,0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42,0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42,0</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Pérdidas en el espacio libre (dB)</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141,2</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141,3</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141,2</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141,3</w:t>
            </w:r>
          </w:p>
        </w:tc>
      </w:tr>
      <w:tr w:rsidR="00BF1286" w:rsidRPr="001E68E4" w:rsidTr="00E63647">
        <w:trPr>
          <w:jc w:val="center"/>
        </w:trPr>
        <w:tc>
          <w:tcPr>
            <w:tcW w:w="2931" w:type="dxa"/>
          </w:tcPr>
          <w:p w:rsidR="00BF1286" w:rsidRPr="001E68E4" w:rsidRDefault="00BF1286" w:rsidP="00E63647">
            <w:pPr>
              <w:pStyle w:val="Tabletext"/>
              <w:jc w:val="left"/>
              <w:rPr>
                <w:sz w:val="20"/>
                <w:vertAlign w:val="superscript"/>
                <w:lang w:val="es-ES_tradnl" w:eastAsia="zh-CN"/>
              </w:rPr>
            </w:pPr>
            <w:r w:rsidRPr="001E68E4">
              <w:rPr>
                <w:sz w:val="20"/>
                <w:lang w:val="es-ES_tradnl" w:eastAsia="zh-CN"/>
              </w:rPr>
              <w:t>Pérdidas atmosféricas (dB)</w:t>
            </w:r>
            <w:r w:rsidRPr="001E68E4">
              <w:rPr>
                <w:sz w:val="20"/>
                <w:vertAlign w:val="superscript"/>
                <w:lang w:val="es-ES_tradnl" w:eastAsia="zh-CN"/>
              </w:rPr>
              <w:t>(3)</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0,3</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0,3</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0,3</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0,3</w:t>
            </w:r>
          </w:p>
        </w:tc>
      </w:tr>
      <w:tr w:rsidR="00BF1286" w:rsidRPr="001E68E4" w:rsidTr="00E63647">
        <w:trPr>
          <w:jc w:val="center"/>
        </w:trPr>
        <w:tc>
          <w:tcPr>
            <w:tcW w:w="2931" w:type="dxa"/>
          </w:tcPr>
          <w:p w:rsidR="00BF1286" w:rsidRPr="001E68E4" w:rsidRDefault="00BF1286" w:rsidP="00E63647">
            <w:pPr>
              <w:pStyle w:val="Tabletext"/>
              <w:jc w:val="left"/>
              <w:rPr>
                <w:sz w:val="20"/>
                <w:vertAlign w:val="superscript"/>
                <w:lang w:val="es-ES_tradnl" w:eastAsia="zh-CN"/>
              </w:rPr>
            </w:pPr>
            <w:r w:rsidRPr="001E68E4">
              <w:rPr>
                <w:sz w:val="20"/>
                <w:lang w:val="es-ES_tradnl" w:eastAsia="zh-CN"/>
              </w:rPr>
              <w:t>Atenuación debida a la lluvia (dB) (disponibilidad del 99,999%)</w:t>
            </w:r>
            <w:r w:rsidRPr="001E68E4">
              <w:rPr>
                <w:sz w:val="20"/>
                <w:vertAlign w:val="superscript"/>
                <w:lang w:val="es-ES_tradnl" w:eastAsia="zh-CN"/>
              </w:rPr>
              <w:t>(3)</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9,0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9,5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0,0</w:t>
            </w:r>
          </w:p>
        </w:tc>
      </w:tr>
      <w:tr w:rsidR="00AD1110" w:rsidRPr="001E68E4" w:rsidTr="00EE7C69">
        <w:trPr>
          <w:jc w:val="center"/>
        </w:trPr>
        <w:tc>
          <w:tcPr>
            <w:tcW w:w="2931" w:type="dxa"/>
          </w:tcPr>
          <w:p w:rsidR="00AD1110" w:rsidRPr="001E68E4" w:rsidRDefault="00AD1110" w:rsidP="00EE7C69">
            <w:pPr>
              <w:pStyle w:val="Tabletext"/>
              <w:jc w:val="left"/>
              <w:rPr>
                <w:sz w:val="20"/>
                <w:lang w:val="es-ES_tradnl" w:eastAsia="zh-CN"/>
              </w:rPr>
            </w:pPr>
            <w:r w:rsidRPr="001E68E4">
              <w:rPr>
                <w:sz w:val="20"/>
                <w:lang w:val="es-ES_tradnl" w:eastAsia="zh-CN"/>
              </w:rPr>
              <w:t>dfp en el suelo (dB(W/m</w:t>
            </w:r>
            <w:r w:rsidRPr="001E68E4">
              <w:rPr>
                <w:sz w:val="20"/>
                <w:vertAlign w:val="superscript"/>
                <w:lang w:val="es-ES_tradnl" w:eastAsia="zh-CN"/>
              </w:rPr>
              <w:t>2</w:t>
            </w:r>
            <w:r w:rsidRPr="001E68E4">
              <w:rPr>
                <w:sz w:val="20"/>
                <w:lang w:val="es-ES_tradnl" w:eastAsia="zh-CN"/>
              </w:rPr>
              <w:t xml:space="preserve"> · MHz))</w:t>
            </w:r>
          </w:p>
        </w:tc>
        <w:tc>
          <w:tcPr>
            <w:tcW w:w="1677" w:type="dxa"/>
          </w:tcPr>
          <w:p w:rsidR="00AD1110" w:rsidRPr="001E68E4" w:rsidRDefault="00AD1110" w:rsidP="00EE7C69">
            <w:pPr>
              <w:pStyle w:val="Tabletext"/>
              <w:jc w:val="center"/>
              <w:rPr>
                <w:sz w:val="20"/>
                <w:lang w:val="es-ES_tradnl" w:eastAsia="zh-CN"/>
              </w:rPr>
            </w:pPr>
            <w:r w:rsidRPr="001E68E4">
              <w:rPr>
                <w:sz w:val="20"/>
                <w:lang w:val="es-ES_tradnl" w:eastAsia="zh-CN"/>
              </w:rPr>
              <w:t>–111,2</w:t>
            </w:r>
          </w:p>
        </w:tc>
        <w:tc>
          <w:tcPr>
            <w:tcW w:w="1677" w:type="dxa"/>
          </w:tcPr>
          <w:p w:rsidR="00AD1110" w:rsidRPr="001E68E4" w:rsidRDefault="00AD1110" w:rsidP="00EE7C69">
            <w:pPr>
              <w:pStyle w:val="Tabletext"/>
              <w:jc w:val="center"/>
              <w:rPr>
                <w:sz w:val="20"/>
                <w:lang w:val="es-ES_tradnl" w:eastAsia="zh-CN"/>
              </w:rPr>
            </w:pPr>
          </w:p>
        </w:tc>
        <w:tc>
          <w:tcPr>
            <w:tcW w:w="1677" w:type="dxa"/>
          </w:tcPr>
          <w:p w:rsidR="00AD1110" w:rsidRPr="001E68E4" w:rsidRDefault="00AD1110" w:rsidP="00EE7C69">
            <w:pPr>
              <w:pStyle w:val="Tabletext"/>
              <w:jc w:val="center"/>
              <w:rPr>
                <w:sz w:val="20"/>
                <w:lang w:val="es-ES_tradnl" w:eastAsia="zh-CN"/>
              </w:rPr>
            </w:pPr>
            <w:r w:rsidRPr="001E68E4">
              <w:rPr>
                <w:sz w:val="20"/>
                <w:lang w:val="es-ES_tradnl" w:eastAsia="zh-CN"/>
              </w:rPr>
              <w:t>–110,2</w:t>
            </w:r>
          </w:p>
        </w:tc>
        <w:tc>
          <w:tcPr>
            <w:tcW w:w="1677" w:type="dxa"/>
          </w:tcPr>
          <w:p w:rsidR="00AD1110" w:rsidRPr="001E68E4" w:rsidRDefault="00AD1110" w:rsidP="00EE7C69">
            <w:pPr>
              <w:pStyle w:val="Tabletext"/>
              <w:jc w:val="center"/>
              <w:rPr>
                <w:sz w:val="20"/>
                <w:lang w:val="es-ES_tradnl" w:eastAsia="zh-CN"/>
              </w:rPr>
            </w:pP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i/>
                <w:iCs/>
                <w:sz w:val="20"/>
                <w:lang w:val="es-ES_tradnl" w:eastAsia="zh-CN"/>
              </w:rPr>
              <w:t xml:space="preserve">G/T </w:t>
            </w:r>
            <w:r w:rsidRPr="001E68E4">
              <w:rPr>
                <w:sz w:val="20"/>
                <w:lang w:val="es-ES_tradnl" w:eastAsia="zh-CN"/>
              </w:rPr>
              <w:t>del receptor (dB/K)</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17,5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17,5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0,0</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Ganancia de antena del Rx (dBi)</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47,0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30,0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47,0</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30,0</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Pérdidas de polarización (dB)</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0,5</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0,5</w:t>
            </w:r>
          </w:p>
        </w:tc>
      </w:tr>
      <w:tr w:rsidR="00BF1286" w:rsidRPr="001E68E4" w:rsidTr="00E63647">
        <w:trPr>
          <w:jc w:val="center"/>
        </w:trPr>
        <w:tc>
          <w:tcPr>
            <w:tcW w:w="2931" w:type="dxa"/>
          </w:tcPr>
          <w:p w:rsidR="00BF1286" w:rsidRPr="001E68E4" w:rsidRDefault="00BF1286" w:rsidP="00E63647">
            <w:pPr>
              <w:pStyle w:val="Tabletext"/>
              <w:jc w:val="left"/>
              <w:rPr>
                <w:sz w:val="20"/>
                <w:lang w:val="es-ES_tradnl" w:eastAsia="zh-CN"/>
              </w:rPr>
            </w:pPr>
            <w:r w:rsidRPr="001E68E4">
              <w:rPr>
                <w:sz w:val="20"/>
                <w:lang w:val="es-ES_tradnl" w:eastAsia="zh-CN"/>
              </w:rPr>
              <w:t>Constante de Boltzmann (dB(W/K*Hz))</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–228,6</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–228,6</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–228,6</w:t>
            </w:r>
          </w:p>
        </w:tc>
        <w:tc>
          <w:tcPr>
            <w:tcW w:w="1677" w:type="dxa"/>
          </w:tcPr>
          <w:p w:rsidR="00BF1286" w:rsidRPr="001E68E4" w:rsidRDefault="00BF1286" w:rsidP="00E63647">
            <w:pPr>
              <w:pStyle w:val="Tabletext"/>
              <w:jc w:val="center"/>
              <w:rPr>
                <w:sz w:val="20"/>
                <w:lang w:val="es-ES_tradnl" w:eastAsia="zh-CN"/>
              </w:rPr>
            </w:pPr>
            <w:r w:rsidRPr="001E68E4">
              <w:rPr>
                <w:sz w:val="20"/>
                <w:lang w:val="es-ES_tradnl" w:eastAsia="zh-CN"/>
              </w:rPr>
              <w:t>–228,6</w:t>
            </w:r>
          </w:p>
        </w:tc>
      </w:tr>
      <w:tr w:rsidR="00BF1286" w:rsidRPr="001E68E4" w:rsidTr="00E63647">
        <w:trPr>
          <w:jc w:val="center"/>
        </w:trPr>
        <w:tc>
          <w:tcPr>
            <w:tcW w:w="2931" w:type="dxa"/>
          </w:tcPr>
          <w:p w:rsidR="00BF1286" w:rsidRPr="001E68E4" w:rsidRDefault="00BF1286" w:rsidP="001A76E9">
            <w:pPr>
              <w:pStyle w:val="Tabletext"/>
              <w:jc w:val="left"/>
              <w:rPr>
                <w:sz w:val="20"/>
                <w:lang w:val="es-ES_tradnl" w:eastAsia="zh-CN"/>
              </w:rPr>
            </w:pPr>
            <w:r w:rsidRPr="001E68E4">
              <w:rPr>
                <w:sz w:val="20"/>
                <w:lang w:val="es-ES_tradnl" w:eastAsia="zh-CN"/>
              </w:rPr>
              <w:t>Velocidad binaria (dB(Hz))</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76,4</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76,4</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76,4</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76,4</w:t>
            </w:r>
          </w:p>
        </w:tc>
      </w:tr>
      <w:tr w:rsidR="00BF1286" w:rsidRPr="001E68E4" w:rsidTr="00E63647">
        <w:trPr>
          <w:jc w:val="center"/>
        </w:trPr>
        <w:tc>
          <w:tcPr>
            <w:tcW w:w="2931" w:type="dxa"/>
          </w:tcPr>
          <w:p w:rsidR="00BF1286" w:rsidRPr="001E68E4" w:rsidRDefault="00BF1286" w:rsidP="001A76E9">
            <w:pPr>
              <w:pStyle w:val="Tabletext"/>
              <w:jc w:val="left"/>
              <w:rPr>
                <w:i/>
                <w:iCs/>
                <w:sz w:val="20"/>
                <w:lang w:val="en-US" w:eastAsia="zh-CN"/>
              </w:rPr>
            </w:pPr>
            <w:r w:rsidRPr="001E68E4">
              <w:rPr>
                <w:i/>
                <w:iCs/>
                <w:sz w:val="20"/>
                <w:lang w:val="en-US" w:eastAsia="zh-CN"/>
              </w:rPr>
              <w:t>E</w:t>
            </w:r>
            <w:r w:rsidRPr="001E68E4">
              <w:rPr>
                <w:i/>
                <w:iCs/>
                <w:sz w:val="20"/>
                <w:vertAlign w:val="subscript"/>
                <w:lang w:val="en-US" w:eastAsia="zh-CN"/>
              </w:rPr>
              <w:t>b</w:t>
            </w:r>
            <w:r w:rsidRPr="001E68E4">
              <w:rPr>
                <w:sz w:val="20"/>
                <w:lang w:val="en-US" w:eastAsia="zh-CN"/>
              </w:rPr>
              <w:t>/(</w:t>
            </w:r>
            <w:r w:rsidRPr="001E68E4">
              <w:rPr>
                <w:i/>
                <w:iCs/>
                <w:sz w:val="20"/>
                <w:lang w:val="en-US" w:eastAsia="zh-CN"/>
              </w:rPr>
              <w:t>N</w:t>
            </w:r>
            <w:r w:rsidRPr="001E68E4">
              <w:rPr>
                <w:sz w:val="20"/>
                <w:vertAlign w:val="subscript"/>
                <w:lang w:val="en-US" w:eastAsia="zh-CN"/>
              </w:rPr>
              <w:t>0</w:t>
            </w:r>
            <w:r w:rsidRPr="001E68E4">
              <w:rPr>
                <w:sz w:val="20"/>
                <w:lang w:val="en-US" w:eastAsia="zh-CN"/>
              </w:rPr>
              <w:t xml:space="preserve"> +</w:t>
            </w:r>
            <w:r w:rsidRPr="001E68E4">
              <w:rPr>
                <w:i/>
                <w:iCs/>
                <w:sz w:val="20"/>
                <w:lang w:val="en-US" w:eastAsia="zh-CN"/>
              </w:rPr>
              <w:t xml:space="preserve"> I</w:t>
            </w:r>
            <w:r w:rsidRPr="001E68E4">
              <w:rPr>
                <w:sz w:val="20"/>
                <w:vertAlign w:val="subscript"/>
                <w:lang w:val="en-US" w:eastAsia="zh-CN"/>
              </w:rPr>
              <w:t>0</w:t>
            </w:r>
            <w:r w:rsidRPr="001E68E4">
              <w:rPr>
                <w:sz w:val="20"/>
                <w:lang w:val="en-US" w:eastAsia="zh-CN"/>
              </w:rPr>
              <w:t>) (</w:t>
            </w:r>
            <w:r w:rsidRPr="001E68E4">
              <w:rPr>
                <w:i/>
                <w:iCs/>
                <w:sz w:val="20"/>
                <w:lang w:val="en-US" w:eastAsia="zh-CN"/>
              </w:rPr>
              <w:t xml:space="preserve">I </w:t>
            </w:r>
            <w:r w:rsidRPr="001E68E4">
              <w:rPr>
                <w:sz w:val="20"/>
                <w:lang w:val="en-US" w:eastAsia="zh-CN"/>
              </w:rPr>
              <w:t>= 0)</w:t>
            </w:r>
            <w:r w:rsidRPr="001E68E4">
              <w:rPr>
                <w:i/>
                <w:iCs/>
                <w:sz w:val="20"/>
                <w:lang w:val="en-US" w:eastAsia="zh-CN"/>
              </w:rPr>
              <w:t xml:space="preserve"> </w:t>
            </w:r>
            <w:r w:rsidRPr="001E68E4">
              <w:rPr>
                <w:sz w:val="20"/>
                <w:lang w:val="en-US" w:eastAsia="zh-CN"/>
              </w:rPr>
              <w:t>(dB)</w:t>
            </w:r>
            <w:r w:rsidRPr="001E68E4">
              <w:rPr>
                <w:i/>
                <w:iCs/>
                <w:sz w:val="20"/>
                <w:lang w:val="en-US" w:eastAsia="zh-CN"/>
              </w:rPr>
              <w:br/>
              <w:t>E</w:t>
            </w:r>
            <w:r w:rsidRPr="001E68E4">
              <w:rPr>
                <w:i/>
                <w:iCs/>
                <w:sz w:val="20"/>
                <w:vertAlign w:val="subscript"/>
                <w:lang w:val="en-US" w:eastAsia="zh-CN"/>
              </w:rPr>
              <w:t>b</w:t>
            </w:r>
            <w:r w:rsidRPr="001E68E4">
              <w:rPr>
                <w:sz w:val="20"/>
                <w:lang w:val="en-US" w:eastAsia="zh-CN"/>
              </w:rPr>
              <w:t>/(</w:t>
            </w:r>
            <w:r w:rsidRPr="001E68E4">
              <w:rPr>
                <w:i/>
                <w:iCs/>
                <w:sz w:val="20"/>
                <w:lang w:val="en-US" w:eastAsia="zh-CN"/>
              </w:rPr>
              <w:t>N</w:t>
            </w:r>
            <w:r w:rsidRPr="001E68E4">
              <w:rPr>
                <w:sz w:val="20"/>
                <w:vertAlign w:val="subscript"/>
                <w:lang w:val="en-US" w:eastAsia="zh-CN"/>
              </w:rPr>
              <w:t>0</w:t>
            </w:r>
            <w:r w:rsidRPr="001E68E4">
              <w:rPr>
                <w:i/>
                <w:iCs/>
                <w:sz w:val="20"/>
                <w:lang w:val="en-US" w:eastAsia="zh-CN"/>
              </w:rPr>
              <w:t xml:space="preserve"> </w:t>
            </w:r>
            <w:r w:rsidRPr="001E68E4">
              <w:rPr>
                <w:sz w:val="20"/>
                <w:lang w:val="en-US" w:eastAsia="zh-CN"/>
              </w:rPr>
              <w:t>+</w:t>
            </w:r>
            <w:r w:rsidRPr="001E68E4">
              <w:rPr>
                <w:i/>
                <w:iCs/>
                <w:sz w:val="20"/>
                <w:lang w:val="en-US" w:eastAsia="zh-CN"/>
              </w:rPr>
              <w:t xml:space="preserve"> I</w:t>
            </w:r>
            <w:r w:rsidRPr="001E68E4">
              <w:rPr>
                <w:sz w:val="20"/>
                <w:vertAlign w:val="subscript"/>
                <w:lang w:val="en-US" w:eastAsia="zh-CN"/>
              </w:rPr>
              <w:t>0</w:t>
            </w:r>
            <w:r w:rsidRPr="001E68E4">
              <w:rPr>
                <w:sz w:val="20"/>
                <w:lang w:val="en-US" w:eastAsia="zh-CN"/>
              </w:rPr>
              <w:t>) (3 GS)</w:t>
            </w:r>
            <w:r w:rsidRPr="001E68E4">
              <w:rPr>
                <w:i/>
                <w:iCs/>
                <w:sz w:val="20"/>
                <w:lang w:val="en-US" w:eastAsia="zh-CN"/>
              </w:rPr>
              <w:t xml:space="preserve"> </w:t>
            </w:r>
            <w:r w:rsidRPr="001E68E4">
              <w:rPr>
                <w:sz w:val="20"/>
                <w:lang w:val="en-US" w:eastAsia="zh-CN"/>
              </w:rPr>
              <w:t>(dB)</w:t>
            </w:r>
            <w:r w:rsidRPr="001E68E4">
              <w:rPr>
                <w:i/>
                <w:iCs/>
                <w:sz w:val="20"/>
                <w:lang w:val="en-US" w:eastAsia="zh-CN"/>
              </w:rPr>
              <w:br/>
              <w:t>E</w:t>
            </w:r>
            <w:r w:rsidRPr="001E68E4">
              <w:rPr>
                <w:i/>
                <w:iCs/>
                <w:sz w:val="20"/>
                <w:vertAlign w:val="subscript"/>
                <w:lang w:val="en-US" w:eastAsia="zh-CN"/>
              </w:rPr>
              <w:t>b</w:t>
            </w:r>
            <w:r w:rsidRPr="001E68E4">
              <w:rPr>
                <w:sz w:val="20"/>
                <w:lang w:val="en-US" w:eastAsia="zh-CN"/>
              </w:rPr>
              <w:t>/(</w:t>
            </w:r>
            <w:r w:rsidRPr="001E68E4">
              <w:rPr>
                <w:i/>
                <w:iCs/>
                <w:sz w:val="20"/>
                <w:lang w:val="en-US" w:eastAsia="zh-CN"/>
              </w:rPr>
              <w:t>N</w:t>
            </w:r>
            <w:r w:rsidRPr="001E68E4">
              <w:rPr>
                <w:sz w:val="20"/>
                <w:vertAlign w:val="subscript"/>
                <w:lang w:val="en-US" w:eastAsia="zh-CN"/>
              </w:rPr>
              <w:t>0</w:t>
            </w:r>
            <w:r w:rsidRPr="001E68E4">
              <w:rPr>
                <w:sz w:val="20"/>
                <w:lang w:val="en-US" w:eastAsia="zh-CN"/>
              </w:rPr>
              <w:t xml:space="preserve"> +</w:t>
            </w:r>
            <w:r w:rsidRPr="001E68E4">
              <w:rPr>
                <w:i/>
                <w:iCs/>
                <w:sz w:val="20"/>
                <w:lang w:val="en-US" w:eastAsia="zh-CN"/>
              </w:rPr>
              <w:t xml:space="preserve"> I</w:t>
            </w:r>
            <w:r w:rsidRPr="001E68E4">
              <w:rPr>
                <w:sz w:val="20"/>
                <w:vertAlign w:val="subscript"/>
                <w:lang w:val="en-US" w:eastAsia="zh-CN"/>
              </w:rPr>
              <w:t>0</w:t>
            </w:r>
            <w:r w:rsidRPr="001E68E4">
              <w:rPr>
                <w:sz w:val="20"/>
                <w:lang w:val="en-US" w:eastAsia="zh-CN"/>
              </w:rPr>
              <w:t>) (5 GS)</w:t>
            </w:r>
            <w:r w:rsidRPr="001E68E4">
              <w:rPr>
                <w:i/>
                <w:iCs/>
                <w:sz w:val="20"/>
                <w:lang w:val="en-US" w:eastAsia="zh-CN"/>
              </w:rPr>
              <w:t xml:space="preserve"> </w:t>
            </w:r>
            <w:r w:rsidRPr="001E68E4">
              <w:rPr>
                <w:sz w:val="20"/>
                <w:lang w:val="en-US" w:eastAsia="zh-CN"/>
              </w:rPr>
              <w:t>(dB)</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30,6</w:t>
            </w:r>
            <w:r w:rsidRPr="001E68E4">
              <w:rPr>
                <w:sz w:val="20"/>
                <w:lang w:val="es-ES_tradnl" w:eastAsia="zh-CN"/>
              </w:rPr>
              <w:br/>
              <w:t>29,6</w:t>
            </w:r>
            <w:r w:rsidRPr="001E68E4">
              <w:rPr>
                <w:sz w:val="20"/>
                <w:lang w:val="es-ES_tradnl" w:eastAsia="zh-CN"/>
              </w:rPr>
              <w:br/>
              <w:t>28,6</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32,5</w:t>
            </w:r>
            <w:r w:rsidRPr="001E68E4">
              <w:rPr>
                <w:sz w:val="20"/>
                <w:lang w:val="es-ES_tradnl" w:eastAsia="zh-CN"/>
              </w:rPr>
              <w:br/>
              <w:t>31,5</w:t>
            </w:r>
            <w:r w:rsidRPr="001E68E4">
              <w:rPr>
                <w:sz w:val="20"/>
                <w:lang w:val="es-ES_tradnl" w:eastAsia="zh-CN"/>
              </w:rPr>
              <w:br/>
              <w:t>30,5</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31,6</w:t>
            </w:r>
            <w:r w:rsidRPr="001E68E4">
              <w:rPr>
                <w:sz w:val="20"/>
                <w:lang w:val="es-ES_tradnl" w:eastAsia="zh-CN"/>
              </w:rPr>
              <w:br/>
              <w:t>30,6</w:t>
            </w:r>
            <w:r w:rsidRPr="001E68E4">
              <w:rPr>
                <w:sz w:val="20"/>
                <w:lang w:val="es-ES_tradnl" w:eastAsia="zh-CN"/>
              </w:rPr>
              <w:br/>
              <w:t>29,6</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34,0</w:t>
            </w:r>
            <w:r w:rsidRPr="001E68E4">
              <w:rPr>
                <w:sz w:val="20"/>
                <w:lang w:val="es-ES_tradnl" w:eastAsia="zh-CN"/>
              </w:rPr>
              <w:br/>
              <w:t>33,0</w:t>
            </w:r>
            <w:r w:rsidRPr="001E68E4">
              <w:rPr>
                <w:sz w:val="20"/>
                <w:lang w:val="es-ES_tradnl" w:eastAsia="zh-CN"/>
              </w:rPr>
              <w:br/>
              <w:t>32,0</w:t>
            </w:r>
          </w:p>
        </w:tc>
      </w:tr>
      <w:tr w:rsidR="00BF1286" w:rsidRPr="001E68E4" w:rsidTr="00E63647">
        <w:trPr>
          <w:jc w:val="center"/>
        </w:trPr>
        <w:tc>
          <w:tcPr>
            <w:tcW w:w="2931" w:type="dxa"/>
          </w:tcPr>
          <w:p w:rsidR="00BF1286" w:rsidRPr="001E68E4" w:rsidRDefault="00BF1286" w:rsidP="001E68E4">
            <w:pPr>
              <w:pStyle w:val="Tabletext"/>
              <w:jc w:val="left"/>
              <w:rPr>
                <w:sz w:val="20"/>
                <w:lang w:val="es-ES_tradnl" w:eastAsia="zh-CN"/>
              </w:rPr>
            </w:pPr>
            <w:r w:rsidRPr="001E68E4">
              <w:rPr>
                <w:i/>
                <w:iCs/>
                <w:sz w:val="20"/>
                <w:lang w:val="es-ES_tradnl" w:eastAsia="zh-CN"/>
              </w:rPr>
              <w:t>E</w:t>
            </w:r>
            <w:r w:rsidRPr="001E68E4">
              <w:rPr>
                <w:i/>
                <w:iCs/>
                <w:sz w:val="20"/>
                <w:vertAlign w:val="subscript"/>
                <w:lang w:val="es-ES_tradnl" w:eastAsia="zh-CN"/>
              </w:rPr>
              <w:t>b</w:t>
            </w:r>
            <w:r w:rsidRPr="001E68E4">
              <w:rPr>
                <w:sz w:val="20"/>
                <w:lang w:val="es-ES_tradnl" w:eastAsia="zh-CN"/>
              </w:rPr>
              <w:t>/(</w:t>
            </w:r>
            <w:r w:rsidRPr="001E68E4">
              <w:rPr>
                <w:i/>
                <w:iCs/>
                <w:sz w:val="20"/>
                <w:lang w:val="es-ES_tradnl" w:eastAsia="zh-CN"/>
              </w:rPr>
              <w:t>N</w:t>
            </w:r>
            <w:r w:rsidRPr="001E68E4">
              <w:rPr>
                <w:sz w:val="20"/>
                <w:vertAlign w:val="subscript"/>
                <w:lang w:val="es-ES_tradnl" w:eastAsia="zh-CN"/>
              </w:rPr>
              <w:t>0</w:t>
            </w:r>
            <w:r w:rsidRPr="001E68E4">
              <w:rPr>
                <w:sz w:val="20"/>
                <w:lang w:val="es-ES_tradnl" w:eastAsia="zh-CN"/>
              </w:rPr>
              <w:t xml:space="preserve"> + </w:t>
            </w:r>
            <w:r w:rsidRPr="001E68E4">
              <w:rPr>
                <w:i/>
                <w:iCs/>
                <w:sz w:val="20"/>
                <w:lang w:val="es-ES_tradnl" w:eastAsia="zh-CN"/>
              </w:rPr>
              <w:t>I</w:t>
            </w:r>
            <w:r w:rsidRPr="001E68E4">
              <w:rPr>
                <w:sz w:val="20"/>
                <w:vertAlign w:val="subscript"/>
                <w:lang w:val="es-ES_tradnl" w:eastAsia="zh-CN"/>
              </w:rPr>
              <w:t>0</w:t>
            </w:r>
            <w:r w:rsidRPr="001E68E4">
              <w:rPr>
                <w:sz w:val="20"/>
                <w:lang w:val="es-ES_tradnl" w:eastAsia="zh-CN"/>
              </w:rPr>
              <w:t>) requerida (dB) (MAQ</w:t>
            </w:r>
            <w:r w:rsidR="001E68E4">
              <w:rPr>
                <w:sz w:val="20"/>
                <w:lang w:val="es-ES_tradnl" w:eastAsia="zh-CN"/>
              </w:rPr>
              <w:noBreakHyphen/>
            </w:r>
            <w:r w:rsidRPr="001E68E4">
              <w:rPr>
                <w:sz w:val="20"/>
                <w:lang w:val="es-ES_tradnl" w:eastAsia="zh-CN"/>
              </w:rPr>
              <w:t>64)</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20,3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20,3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20,3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20,3</w:t>
            </w:r>
          </w:p>
        </w:tc>
      </w:tr>
      <w:tr w:rsidR="00BF1286" w:rsidRPr="001E68E4" w:rsidTr="00E63647">
        <w:trPr>
          <w:jc w:val="center"/>
        </w:trPr>
        <w:tc>
          <w:tcPr>
            <w:tcW w:w="2931" w:type="dxa"/>
          </w:tcPr>
          <w:p w:rsidR="00BF1286" w:rsidRPr="001E68E4" w:rsidRDefault="00BF1286" w:rsidP="001E68E4">
            <w:pPr>
              <w:pStyle w:val="Tabletext"/>
              <w:jc w:val="left"/>
              <w:rPr>
                <w:lang w:val="en-US"/>
              </w:rPr>
            </w:pPr>
            <w:r w:rsidRPr="001E68E4">
              <w:rPr>
                <w:i/>
                <w:iCs/>
                <w:sz w:val="20"/>
                <w:lang w:val="en-US" w:eastAsia="zh-CN"/>
              </w:rPr>
              <w:t>C</w:t>
            </w:r>
            <w:r w:rsidRPr="001E68E4">
              <w:rPr>
                <w:sz w:val="20"/>
                <w:lang w:val="en-US" w:eastAsia="zh-CN"/>
              </w:rPr>
              <w:t>/(</w:t>
            </w:r>
            <w:r w:rsidRPr="001E68E4">
              <w:rPr>
                <w:i/>
                <w:iCs/>
                <w:sz w:val="20"/>
                <w:lang w:val="en-US" w:eastAsia="zh-CN"/>
              </w:rPr>
              <w:t>N</w:t>
            </w:r>
            <w:r w:rsidRPr="001E68E4">
              <w:rPr>
                <w:sz w:val="20"/>
                <w:lang w:val="en-US" w:eastAsia="zh-CN"/>
              </w:rPr>
              <w:t>+</w:t>
            </w:r>
            <w:r w:rsidRPr="001E68E4">
              <w:rPr>
                <w:i/>
                <w:iCs/>
                <w:sz w:val="20"/>
                <w:lang w:val="en-US" w:eastAsia="zh-CN"/>
              </w:rPr>
              <w:t>I</w:t>
            </w:r>
            <w:r w:rsidRPr="001E68E4">
              <w:rPr>
                <w:sz w:val="20"/>
                <w:lang w:val="en-US" w:eastAsia="zh-CN"/>
              </w:rPr>
              <w:t>)</w:t>
            </w:r>
            <w:r w:rsidRPr="001E68E4">
              <w:rPr>
                <w:i/>
                <w:iCs/>
                <w:sz w:val="20"/>
                <w:lang w:val="en-US" w:eastAsia="zh-CN"/>
              </w:rPr>
              <w:t xml:space="preserve"> w</w:t>
            </w:r>
            <w:r w:rsidRPr="001E68E4">
              <w:rPr>
                <w:sz w:val="20"/>
                <w:lang w:val="en-US" w:eastAsia="zh-CN"/>
              </w:rPr>
              <w:t>/</w:t>
            </w:r>
            <w:r w:rsidRPr="001E68E4">
              <w:rPr>
                <w:i/>
                <w:iCs/>
                <w:sz w:val="20"/>
                <w:lang w:val="en-US" w:eastAsia="zh-CN"/>
              </w:rPr>
              <w:t xml:space="preserve">I </w:t>
            </w:r>
            <w:r w:rsidRPr="001E68E4">
              <w:rPr>
                <w:sz w:val="20"/>
                <w:lang w:val="en-US" w:eastAsia="zh-CN"/>
              </w:rPr>
              <w:t xml:space="preserve">requerida </w:t>
            </w:r>
            <w:r w:rsidRPr="001E68E4">
              <w:rPr>
                <w:i/>
                <w:iCs/>
                <w:sz w:val="20"/>
                <w:lang w:val="en-US" w:eastAsia="zh-CN"/>
              </w:rPr>
              <w:t>= Itot</w:t>
            </w:r>
            <w:r w:rsidRPr="001E68E4">
              <w:rPr>
                <w:sz w:val="20"/>
                <w:vertAlign w:val="superscript"/>
                <w:lang w:val="en-US" w:eastAsia="zh-CN"/>
              </w:rPr>
              <w:t>(4)</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26,3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26,3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26,3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26,3</w:t>
            </w:r>
          </w:p>
        </w:tc>
      </w:tr>
      <w:tr w:rsidR="00BF1286" w:rsidRPr="001E68E4" w:rsidTr="00E63647">
        <w:trPr>
          <w:jc w:val="center"/>
        </w:trPr>
        <w:tc>
          <w:tcPr>
            <w:tcW w:w="2931" w:type="dxa"/>
          </w:tcPr>
          <w:p w:rsidR="00BF1286" w:rsidRPr="001E68E4" w:rsidRDefault="00BF1286" w:rsidP="001A76E9">
            <w:pPr>
              <w:pStyle w:val="Tabletext"/>
              <w:jc w:val="left"/>
              <w:rPr>
                <w:sz w:val="20"/>
                <w:lang w:val="es-ES_tradnl" w:eastAsia="zh-CN"/>
              </w:rPr>
            </w:pPr>
            <w:r w:rsidRPr="001E68E4">
              <w:rPr>
                <w:sz w:val="20"/>
                <w:lang w:val="es-ES_tradnl" w:eastAsia="zh-CN"/>
              </w:rPr>
              <w:t>Margen (</w:t>
            </w:r>
            <w:r w:rsidRPr="001E68E4">
              <w:rPr>
                <w:i/>
                <w:iCs/>
                <w:sz w:val="20"/>
                <w:lang w:val="es-ES_tradnl" w:eastAsia="zh-CN"/>
              </w:rPr>
              <w:t>I=</w:t>
            </w:r>
            <w:r w:rsidRPr="001E68E4">
              <w:rPr>
                <w:sz w:val="20"/>
                <w:lang w:val="es-ES_tradnl" w:eastAsia="zh-CN"/>
              </w:rPr>
              <w:t>0) (dB)</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10,3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12,2</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11,3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13,7</w:t>
            </w:r>
          </w:p>
        </w:tc>
      </w:tr>
      <w:tr w:rsidR="00BF1286" w:rsidRPr="001E68E4" w:rsidTr="00E63647">
        <w:trPr>
          <w:jc w:val="center"/>
        </w:trPr>
        <w:tc>
          <w:tcPr>
            <w:tcW w:w="2931" w:type="dxa"/>
          </w:tcPr>
          <w:p w:rsidR="00BF1286" w:rsidRPr="001E68E4" w:rsidRDefault="00BF1286" w:rsidP="001A76E9">
            <w:pPr>
              <w:pStyle w:val="Tabletext"/>
              <w:jc w:val="left"/>
              <w:rPr>
                <w:sz w:val="20"/>
                <w:lang w:val="es-ES_tradnl" w:eastAsia="zh-CN"/>
              </w:rPr>
            </w:pPr>
            <w:r w:rsidRPr="001E68E4">
              <w:rPr>
                <w:sz w:val="20"/>
                <w:lang w:val="es-ES_tradnl" w:eastAsia="zh-CN"/>
              </w:rPr>
              <w:t>Margen (3 GS) (dB)</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9,3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11,2</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10,3</w:t>
            </w:r>
          </w:p>
        </w:tc>
        <w:tc>
          <w:tcPr>
            <w:tcW w:w="1677" w:type="dxa"/>
          </w:tcPr>
          <w:p w:rsidR="00BF1286" w:rsidRPr="001E68E4" w:rsidRDefault="00BF1286" w:rsidP="001A76E9">
            <w:pPr>
              <w:pStyle w:val="Tabletext"/>
              <w:jc w:val="center"/>
              <w:rPr>
                <w:sz w:val="20"/>
                <w:lang w:val="es-ES_tradnl" w:eastAsia="zh-CN"/>
              </w:rPr>
            </w:pPr>
            <w:r w:rsidRPr="001E68E4">
              <w:rPr>
                <w:sz w:val="20"/>
                <w:lang w:val="es-ES_tradnl" w:eastAsia="zh-CN"/>
              </w:rPr>
              <w:t>12,7</w:t>
            </w:r>
          </w:p>
        </w:tc>
      </w:tr>
      <w:tr w:rsidR="00BF1286" w:rsidRPr="001E68E4" w:rsidTr="00E63647">
        <w:trPr>
          <w:jc w:val="center"/>
        </w:trPr>
        <w:tc>
          <w:tcPr>
            <w:tcW w:w="2931" w:type="dxa"/>
            <w:tcBorders>
              <w:bottom w:val="single" w:sz="4" w:space="0" w:color="auto"/>
            </w:tcBorders>
          </w:tcPr>
          <w:p w:rsidR="00BF1286" w:rsidRPr="001E68E4" w:rsidRDefault="00BF1286" w:rsidP="001A76E9">
            <w:pPr>
              <w:pStyle w:val="Tabletext"/>
              <w:jc w:val="left"/>
              <w:rPr>
                <w:sz w:val="20"/>
                <w:lang w:val="es-ES_tradnl" w:eastAsia="zh-CN"/>
              </w:rPr>
            </w:pPr>
            <w:r w:rsidRPr="001E68E4">
              <w:rPr>
                <w:sz w:val="20"/>
                <w:lang w:val="es-ES_tradnl" w:eastAsia="zh-CN"/>
              </w:rPr>
              <w:t>Margen (5 GS) (dB)</w:t>
            </w:r>
          </w:p>
        </w:tc>
        <w:tc>
          <w:tcPr>
            <w:tcW w:w="1677" w:type="dxa"/>
            <w:tcBorders>
              <w:bottom w:val="single" w:sz="4" w:space="0" w:color="auto"/>
            </w:tcBorders>
          </w:tcPr>
          <w:p w:rsidR="00BF1286" w:rsidRPr="001E68E4" w:rsidRDefault="00BF1286" w:rsidP="001A76E9">
            <w:pPr>
              <w:pStyle w:val="Tabletext"/>
              <w:jc w:val="center"/>
              <w:rPr>
                <w:sz w:val="20"/>
                <w:lang w:val="es-ES_tradnl" w:eastAsia="zh-CN"/>
              </w:rPr>
            </w:pPr>
            <w:r w:rsidRPr="001E68E4">
              <w:rPr>
                <w:sz w:val="20"/>
                <w:lang w:val="es-ES_tradnl" w:eastAsia="zh-CN"/>
              </w:rPr>
              <w:t>8,3</w:t>
            </w:r>
          </w:p>
        </w:tc>
        <w:tc>
          <w:tcPr>
            <w:tcW w:w="1677" w:type="dxa"/>
            <w:tcBorders>
              <w:bottom w:val="single" w:sz="4" w:space="0" w:color="auto"/>
            </w:tcBorders>
          </w:tcPr>
          <w:p w:rsidR="00BF1286" w:rsidRPr="001E68E4" w:rsidRDefault="00BF1286" w:rsidP="001A76E9">
            <w:pPr>
              <w:pStyle w:val="Tabletext"/>
              <w:jc w:val="center"/>
              <w:rPr>
                <w:sz w:val="20"/>
                <w:lang w:val="es-ES_tradnl" w:eastAsia="zh-CN"/>
              </w:rPr>
            </w:pPr>
            <w:r w:rsidRPr="001E68E4">
              <w:rPr>
                <w:sz w:val="20"/>
                <w:lang w:val="es-ES_tradnl" w:eastAsia="zh-CN"/>
              </w:rPr>
              <w:t>10,2</w:t>
            </w:r>
          </w:p>
        </w:tc>
        <w:tc>
          <w:tcPr>
            <w:tcW w:w="1677" w:type="dxa"/>
            <w:tcBorders>
              <w:bottom w:val="single" w:sz="4" w:space="0" w:color="auto"/>
            </w:tcBorders>
          </w:tcPr>
          <w:p w:rsidR="00BF1286" w:rsidRPr="001E68E4" w:rsidRDefault="00BF1286" w:rsidP="001A76E9">
            <w:pPr>
              <w:pStyle w:val="Tabletext"/>
              <w:jc w:val="center"/>
              <w:rPr>
                <w:sz w:val="20"/>
                <w:lang w:val="es-ES_tradnl" w:eastAsia="zh-CN"/>
              </w:rPr>
            </w:pPr>
            <w:r w:rsidRPr="001E68E4">
              <w:rPr>
                <w:sz w:val="20"/>
                <w:lang w:val="es-ES_tradnl" w:eastAsia="zh-CN"/>
              </w:rPr>
              <w:t>9,3</w:t>
            </w:r>
          </w:p>
        </w:tc>
        <w:tc>
          <w:tcPr>
            <w:tcW w:w="1677" w:type="dxa"/>
            <w:tcBorders>
              <w:bottom w:val="single" w:sz="4" w:space="0" w:color="auto"/>
            </w:tcBorders>
          </w:tcPr>
          <w:p w:rsidR="00BF1286" w:rsidRPr="001E68E4" w:rsidRDefault="00BF1286" w:rsidP="001A76E9">
            <w:pPr>
              <w:pStyle w:val="Tabletext"/>
              <w:jc w:val="center"/>
              <w:rPr>
                <w:sz w:val="20"/>
                <w:lang w:val="es-ES_tradnl" w:eastAsia="zh-CN"/>
              </w:rPr>
            </w:pPr>
            <w:r w:rsidRPr="001E68E4">
              <w:rPr>
                <w:sz w:val="20"/>
                <w:lang w:val="es-ES_tradnl" w:eastAsia="zh-CN"/>
              </w:rPr>
              <w:t>11,7</w:t>
            </w:r>
          </w:p>
        </w:tc>
      </w:tr>
      <w:tr w:rsidR="00BF1286" w:rsidRPr="00AD1110" w:rsidTr="00E63647">
        <w:trPr>
          <w:jc w:val="center"/>
        </w:trPr>
        <w:tc>
          <w:tcPr>
            <w:tcW w:w="9639" w:type="dxa"/>
            <w:gridSpan w:val="5"/>
            <w:tcBorders>
              <w:left w:val="nil"/>
              <w:bottom w:val="nil"/>
              <w:right w:val="nil"/>
            </w:tcBorders>
          </w:tcPr>
          <w:p w:rsidR="00BF1286" w:rsidRPr="001E68E4" w:rsidRDefault="00BF1286" w:rsidP="001A76E9">
            <w:pPr>
              <w:pStyle w:val="Tablelegend"/>
              <w:rPr>
                <w:sz w:val="20"/>
                <w:lang w:val="es-ES_tradnl"/>
              </w:rPr>
            </w:pPr>
            <w:r w:rsidRPr="001E68E4">
              <w:rPr>
                <w:sz w:val="20"/>
                <w:vertAlign w:val="superscript"/>
                <w:lang w:val="es-ES_tradnl"/>
              </w:rPr>
              <w:t>(1)</w:t>
            </w:r>
            <w:r w:rsidRPr="001E68E4">
              <w:rPr>
                <w:sz w:val="20"/>
                <w:vertAlign w:val="superscript"/>
                <w:lang w:val="es-ES_tradnl"/>
              </w:rPr>
              <w:tab/>
            </w:r>
            <w:r w:rsidRPr="001E68E4">
              <w:rPr>
                <w:sz w:val="20"/>
                <w:lang w:val="es-ES_tradnl"/>
              </w:rPr>
              <w:t>La frecuencia especificada en el Cuadro 3 corresponde al centro de la banda 5 850</w:t>
            </w:r>
            <w:r w:rsidRPr="001E68E4">
              <w:rPr>
                <w:sz w:val="20"/>
                <w:lang w:val="es-ES_tradnl"/>
              </w:rPr>
              <w:noBreakHyphen/>
              <w:t>7 075 MHz. La utilización de esta frecuencia (específica) no tiene por objeto predisponer los trabajos del UIT-R con respecto a la identificación del espectro en la citada banda 5 850</w:t>
            </w:r>
            <w:r w:rsidRPr="001E68E4">
              <w:rPr>
                <w:sz w:val="20"/>
                <w:lang w:val="es-ES_tradnl"/>
              </w:rPr>
              <w:noBreakHyphen/>
              <w:t>7 075 MHz para su utilización en los enlaces de pasarela de las HAPS.</w:t>
            </w:r>
          </w:p>
          <w:p w:rsidR="00BF1286" w:rsidRPr="001E68E4" w:rsidRDefault="00BF1286" w:rsidP="001A76E9">
            <w:pPr>
              <w:pStyle w:val="Tablelegend"/>
              <w:rPr>
                <w:sz w:val="20"/>
                <w:lang w:val="es-ES_tradnl"/>
              </w:rPr>
            </w:pPr>
            <w:r w:rsidRPr="001E68E4">
              <w:rPr>
                <w:sz w:val="20"/>
                <w:vertAlign w:val="superscript"/>
                <w:lang w:val="es-ES_tradnl" w:eastAsia="zh-CN"/>
              </w:rPr>
              <w:t>(2)</w:t>
            </w:r>
            <w:r w:rsidRPr="001E68E4">
              <w:rPr>
                <w:sz w:val="20"/>
                <w:lang w:val="es-ES_tradnl" w:eastAsia="zh-CN"/>
              </w:rPr>
              <w:t xml:space="preserve"> </w:t>
            </w:r>
            <w:r w:rsidRPr="001E68E4">
              <w:rPr>
                <w:sz w:val="20"/>
                <w:lang w:val="es-ES_tradnl" w:eastAsia="zh-CN"/>
              </w:rPr>
              <w:tab/>
            </w:r>
            <w:r w:rsidRPr="001E68E4">
              <w:rPr>
                <w:sz w:val="20"/>
                <w:lang w:val="es-ES_tradnl"/>
              </w:rPr>
              <w:t>La p.i.r.e. nominal se refiere al ajuste de potencia inicial. Tras el control automático de potencia (CAP), la potencia del TX se incrementa de 0 a 8 dB, dependiendo del nivel de portadora. Obsérvese que la p.i.r.e. anterior se aplica dentro de la UAC y pueden aplicarse límites reglamentarios y/o de protección contra la interferencia fuera de la UAC. La antena de la plataforma HAPS no deberá apuntar fuera de la UAC.</w:t>
            </w:r>
          </w:p>
          <w:p w:rsidR="00BF1286" w:rsidRPr="001E68E4" w:rsidRDefault="00BF1286" w:rsidP="001A76E9">
            <w:pPr>
              <w:pStyle w:val="Tablelegend"/>
              <w:rPr>
                <w:sz w:val="20"/>
                <w:lang w:val="es-ES_tradnl"/>
              </w:rPr>
            </w:pPr>
            <w:r w:rsidRPr="001E68E4">
              <w:rPr>
                <w:sz w:val="20"/>
                <w:vertAlign w:val="superscript"/>
                <w:lang w:val="es-ES_tradnl" w:eastAsia="zh-CN"/>
              </w:rPr>
              <w:t>(3)</w:t>
            </w:r>
            <w:r w:rsidRPr="001E68E4">
              <w:rPr>
                <w:sz w:val="20"/>
                <w:lang w:val="es-ES_tradnl" w:eastAsia="zh-CN"/>
              </w:rPr>
              <w:tab/>
            </w:r>
            <w:r w:rsidRPr="001E68E4">
              <w:rPr>
                <w:sz w:val="20"/>
                <w:lang w:val="es-ES_tradnl"/>
              </w:rPr>
              <w:t>Atenuación debida a la lluvia y pérdidas atmosféricas como describen las Recomendaciones UIT</w:t>
            </w:r>
            <w:r w:rsidRPr="001E68E4">
              <w:rPr>
                <w:sz w:val="20"/>
                <w:lang w:val="es-ES_tradnl"/>
              </w:rPr>
              <w:noBreakHyphen/>
              <w:t>R P.618 y UIT</w:t>
            </w:r>
            <w:r w:rsidRPr="001E68E4">
              <w:rPr>
                <w:sz w:val="20"/>
                <w:lang w:val="es-ES_tradnl"/>
              </w:rPr>
              <w:noBreakHyphen/>
              <w:t>R SF.1395, respectivamente. Se consideró una intensidad de lluvia durante el 0,01% del tiempo de 63 mm/h.</w:t>
            </w:r>
          </w:p>
          <w:p w:rsidR="00BF1286" w:rsidRPr="001E68E4" w:rsidRDefault="00BF1286" w:rsidP="001A76E9">
            <w:pPr>
              <w:pStyle w:val="Tablelegend"/>
              <w:rPr>
                <w:sz w:val="20"/>
                <w:lang w:val="es-ES_tradnl"/>
              </w:rPr>
            </w:pPr>
            <w:r w:rsidRPr="001E68E4">
              <w:rPr>
                <w:sz w:val="20"/>
                <w:vertAlign w:val="superscript"/>
                <w:lang w:val="es-ES_tradnl"/>
              </w:rPr>
              <w:t>(4)</w:t>
            </w:r>
            <w:r w:rsidRPr="001E68E4">
              <w:rPr>
                <w:sz w:val="20"/>
                <w:vertAlign w:val="superscript"/>
                <w:lang w:val="es-ES_tradnl"/>
              </w:rPr>
              <w:tab/>
            </w:r>
            <w:r w:rsidRPr="001E68E4">
              <w:rPr>
                <w:i/>
                <w:iCs/>
                <w:sz w:val="20"/>
                <w:lang w:val="es-ES_tradnl"/>
              </w:rPr>
              <w:t>C</w:t>
            </w:r>
            <w:r w:rsidRPr="001E68E4">
              <w:rPr>
                <w:sz w:val="20"/>
                <w:lang w:val="es-ES_tradnl"/>
              </w:rPr>
              <w:t>/</w:t>
            </w:r>
            <w:r w:rsidRPr="001E68E4">
              <w:rPr>
                <w:i/>
                <w:iCs/>
                <w:sz w:val="20"/>
                <w:lang w:val="es-ES_tradnl"/>
              </w:rPr>
              <w:t>N</w:t>
            </w:r>
            <w:r w:rsidRPr="001E68E4">
              <w:rPr>
                <w:sz w:val="20"/>
                <w:lang w:val="es-ES_tradnl"/>
              </w:rPr>
              <w:t xml:space="preserve"> = (</w:t>
            </w:r>
            <w:r w:rsidRPr="001E68E4">
              <w:rPr>
                <w:i/>
                <w:sz w:val="20"/>
                <w:lang w:val="es-ES_tradnl"/>
              </w:rPr>
              <w:t>E</w:t>
            </w:r>
            <w:r w:rsidRPr="001E68E4">
              <w:rPr>
                <w:i/>
                <w:sz w:val="20"/>
                <w:vertAlign w:val="subscript"/>
                <w:lang w:val="es-ES_tradnl"/>
              </w:rPr>
              <w:t>b</w:t>
            </w:r>
            <w:r w:rsidRPr="001E68E4">
              <w:rPr>
                <w:sz w:val="20"/>
                <w:lang w:val="es-ES_tradnl"/>
              </w:rPr>
              <w:t>/</w:t>
            </w:r>
            <w:r w:rsidRPr="001E68E4">
              <w:rPr>
                <w:i/>
                <w:sz w:val="20"/>
                <w:lang w:val="es-ES_tradnl"/>
              </w:rPr>
              <w:t>N</w:t>
            </w:r>
            <w:r w:rsidRPr="001E68E4">
              <w:rPr>
                <w:sz w:val="20"/>
                <w:vertAlign w:val="subscript"/>
                <w:lang w:val="es-ES_tradnl"/>
              </w:rPr>
              <w:t>0</w:t>
            </w:r>
            <w:r w:rsidRPr="001E68E4">
              <w:rPr>
                <w:sz w:val="20"/>
                <w:lang w:val="es-ES_tradnl"/>
              </w:rPr>
              <w:t>)</w:t>
            </w:r>
            <w:r w:rsidRPr="001E68E4">
              <w:rPr>
                <w:sz w:val="20"/>
                <w:vertAlign w:val="subscript"/>
                <w:lang w:val="es-ES_tradnl"/>
              </w:rPr>
              <w:t xml:space="preserve"> </w:t>
            </w:r>
            <w:r w:rsidR="001A76E9" w:rsidRPr="001E68E4">
              <w:rPr>
                <w:sz w:val="20"/>
                <w:lang w:val="es-ES_tradnl"/>
              </w:rPr>
              <w:sym w:font="Symbol" w:char="F0D7"/>
            </w:r>
            <w:r w:rsidR="001A76E9" w:rsidRPr="001E68E4">
              <w:rPr>
                <w:sz w:val="20"/>
                <w:vertAlign w:val="subscript"/>
                <w:lang w:val="es-ES_tradnl"/>
              </w:rPr>
              <w:t xml:space="preserve"> </w:t>
            </w:r>
            <w:r w:rsidRPr="001E68E4">
              <w:rPr>
                <w:sz w:val="20"/>
                <w:lang w:val="es-ES_tradnl"/>
              </w:rPr>
              <w:t>(eficacia espectral</w:t>
            </w:r>
            <w:r w:rsidRPr="001E68E4">
              <w:rPr>
                <w:sz w:val="20"/>
                <w:vertAlign w:val="superscript"/>
                <w:lang w:val="es-ES_tradnl"/>
              </w:rPr>
              <w:t>(5)</w:t>
            </w:r>
            <w:r w:rsidRPr="001E68E4">
              <w:rPr>
                <w:sz w:val="20"/>
                <w:lang w:val="es-ES_tradnl"/>
              </w:rPr>
              <w:t>).</w:t>
            </w:r>
          </w:p>
          <w:p w:rsidR="00BF1286" w:rsidRPr="001E68E4" w:rsidRDefault="00BF1286" w:rsidP="001A76E9">
            <w:pPr>
              <w:pStyle w:val="Tablelegend"/>
              <w:rPr>
                <w:sz w:val="20"/>
                <w:lang w:val="es-ES_tradnl" w:eastAsia="zh-CN"/>
              </w:rPr>
            </w:pPr>
            <w:r w:rsidRPr="001E68E4">
              <w:rPr>
                <w:sz w:val="20"/>
                <w:vertAlign w:val="superscript"/>
                <w:lang w:val="es-ES_tradnl"/>
              </w:rPr>
              <w:t>(5)</w:t>
            </w:r>
            <w:r w:rsidRPr="001E68E4">
              <w:rPr>
                <w:sz w:val="20"/>
                <w:lang w:val="es-ES_tradnl"/>
              </w:rPr>
              <w:tab/>
              <w:t>La eficacia espectral es en este caso de 4 bit/s/Hz.</w:t>
            </w:r>
          </w:p>
        </w:tc>
      </w:tr>
    </w:tbl>
    <w:p w:rsidR="00BF1286" w:rsidRPr="00B10A0D" w:rsidRDefault="00BF1286" w:rsidP="00BF1286">
      <w:pPr>
        <w:pStyle w:val="Heading1"/>
        <w:rPr>
          <w:lang w:val="es-ES_tradnl"/>
        </w:rPr>
      </w:pPr>
      <w:r w:rsidRPr="00B10A0D">
        <w:rPr>
          <w:lang w:val="es-ES_tradnl"/>
        </w:rPr>
        <w:t>7</w:t>
      </w:r>
      <w:r w:rsidRPr="00B10A0D">
        <w:rPr>
          <w:lang w:val="es-ES_tradnl"/>
        </w:rPr>
        <w:tab/>
        <w:t>Utilización de la capacidad del enlace de pasarela de las HAPS</w:t>
      </w:r>
    </w:p>
    <w:p w:rsidR="00BF1286" w:rsidRPr="00B10A0D" w:rsidRDefault="00BF1286" w:rsidP="00BF1286">
      <w:pPr>
        <w:rPr>
          <w:lang w:val="es-ES_tradnl"/>
        </w:rPr>
      </w:pPr>
      <w:r w:rsidRPr="00B10A0D">
        <w:rPr>
          <w:lang w:val="es-ES_tradnl"/>
        </w:rPr>
        <w:t>Los enlaces de pasarela proporcionarán capacidad de conectividad de reserva para soportar el tipo de servicio y la aplicación ofrecidos a los usuarios finales y la carga de tráfico de usuario final combinada correspondiente cursada a través de los enlaces de pasarela bidireccionales.</w:t>
      </w:r>
    </w:p>
    <w:p w:rsidR="00BF1286" w:rsidRPr="00B10A0D" w:rsidRDefault="00BF1286" w:rsidP="00715809">
      <w:pPr>
        <w:rPr>
          <w:lang w:val="es-ES_tradnl"/>
        </w:rPr>
      </w:pPr>
      <w:r w:rsidRPr="00B10A0D">
        <w:rPr>
          <w:lang w:val="es-ES_tradnl"/>
        </w:rPr>
        <w:lastRenderedPageBreak/>
        <w:t>El mínimo requisito de capacidad de velocidad binaria del sistema de pasarela total de 2,67 Gbit/s</w:t>
      </w:r>
      <w:r w:rsidRPr="00B10A0D">
        <w:rPr>
          <w:rStyle w:val="FootnoteReference"/>
          <w:lang w:val="es-ES_tradnl"/>
        </w:rPr>
        <w:footnoteReference w:id="8"/>
      </w:r>
      <w:r w:rsidRPr="00B10A0D">
        <w:rPr>
          <w:lang w:val="es-ES_tradnl"/>
        </w:rPr>
        <w:t xml:space="preserve"> se necesitará para soportar la máxima carga de tráfico de usuario del sistema prevista</w:t>
      </w:r>
      <w:r w:rsidRPr="00B10A0D">
        <w:rPr>
          <w:rStyle w:val="FootnoteReference"/>
          <w:lang w:val="es-ES_tradnl"/>
        </w:rPr>
        <w:footnoteReference w:id="9"/>
      </w:r>
      <w:r w:rsidRPr="00B10A0D">
        <w:rPr>
          <w:lang w:val="es-ES_tradnl"/>
        </w:rPr>
        <w:t>. Ello exigirá una considerable reutilización de frecuencias de la identificación de espectro de 160 MHz (2 × 80 MHz o 4 × 40 MHz) actualmente contemplado para el enlace de pasarela utilizado por los sistemas de telecomunicaciones basados en HAPS en la banda 5 850</w:t>
      </w:r>
      <w:r w:rsidRPr="00B10A0D">
        <w:rPr>
          <w:lang w:val="es-ES_tradnl"/>
        </w:rPr>
        <w:noBreakHyphen/>
        <w:t>7 075 MHz. La capacidad de velocidad binaria para los 160 MHz de espectro en la referida banda 5 850</w:t>
      </w:r>
      <w:r w:rsidRPr="00B10A0D">
        <w:rPr>
          <w:lang w:val="es-ES_tradnl"/>
        </w:rPr>
        <w:noBreakHyphen/>
        <w:t>7 075 MHz es de 2,67 Gbit/s, utilizando cinco enlaces de pasarela de la misma frecuencia para cada HAPS, un método de modulación/codificación con una eficacia espectral de 4 bit/s/Hz</w:t>
      </w:r>
      <w:r w:rsidRPr="00B10A0D">
        <w:rPr>
          <w:rStyle w:val="FootnoteReference"/>
          <w:lang w:val="es-ES_tradnl"/>
        </w:rPr>
        <w:footnoteReference w:id="10"/>
      </w:r>
      <w:r w:rsidRPr="00B10A0D">
        <w:rPr>
          <w:lang w:val="es-ES_tradnl"/>
        </w:rPr>
        <w:t xml:space="preserve"> y aproximadamente el 17% para las bandas de guarda. Ello significa que los 160 MHz de espectro se reutilizarán hasta cinco</w:t>
      </w:r>
      <w:r w:rsidR="00692021">
        <w:rPr>
          <w:lang w:val="es-ES_tradnl"/>
        </w:rPr>
        <w:t> </w:t>
      </w:r>
      <w:r w:rsidRPr="00B10A0D">
        <w:rPr>
          <w:lang w:val="es-ES_tradnl"/>
        </w:rPr>
        <w:t>(5) veces para obtener la máxima capacidad del enlace de pasarela de esta utilización del espectro. Los enlaces de pasarela en esta banda están diseñados con esquemas de modulación y codificación que logran una elevada eficacia espectral (por ejemplo, MAQ-64 con una velocidad de codificación de</w:t>
      </w:r>
      <w:r w:rsidR="00692021">
        <w:rPr>
          <w:lang w:val="es-ES_tradnl"/>
        </w:rPr>
        <w:t xml:space="preserve"> </w:t>
      </w:r>
      <w:r w:rsidRPr="00B10A0D">
        <w:rPr>
          <w:lang w:val="es-ES_tradnl"/>
        </w:rPr>
        <w:t>2/3) de manera que se maximice la capacidad de velocidad binaria de cada enlace. La capacidad disponible también debe tener en cuenta los posibles fallos de los enlaces individuales.</w:t>
      </w:r>
    </w:p>
    <w:p w:rsidR="00BF1286" w:rsidRPr="00B10A0D" w:rsidRDefault="00BF1286" w:rsidP="00692021">
      <w:pPr>
        <w:rPr>
          <w:lang w:val="es-ES_tradnl"/>
        </w:rPr>
      </w:pPr>
      <w:r w:rsidRPr="00B10A0D">
        <w:rPr>
          <w:lang w:val="es-ES_tradnl"/>
        </w:rPr>
        <w:t>Es muy importante resaltar que en esta banda no se requerirá espectro adicional superior a los</w:t>
      </w:r>
      <w:r w:rsidR="00692021">
        <w:rPr>
          <w:lang w:val="es-ES_tradnl"/>
        </w:rPr>
        <w:t xml:space="preserve"> </w:t>
      </w:r>
      <w:r w:rsidRPr="00B10A0D">
        <w:rPr>
          <w:lang w:val="es-ES_tradnl"/>
        </w:rPr>
        <w:t>160 MHz y el espectro se reutilizará hasta cinco veces a fin de obtener una notable eficacia de reutilización del espectro.</w:t>
      </w:r>
    </w:p>
    <w:p w:rsidR="00BF1286" w:rsidRPr="00B10A0D" w:rsidRDefault="00BF1286" w:rsidP="00BF1286">
      <w:pPr>
        <w:pStyle w:val="Heading1"/>
        <w:rPr>
          <w:lang w:val="es-ES_tradnl"/>
        </w:rPr>
      </w:pPr>
      <w:r w:rsidRPr="00B10A0D">
        <w:rPr>
          <w:lang w:val="es-ES_tradnl"/>
        </w:rPr>
        <w:t>8</w:t>
      </w:r>
      <w:r w:rsidRPr="00B10A0D">
        <w:rPr>
          <w:lang w:val="es-ES_tradnl"/>
        </w:rPr>
        <w:tab/>
        <w:t>Diagrama de ganancia de antena</w:t>
      </w:r>
    </w:p>
    <w:p w:rsidR="00BF1286" w:rsidRDefault="00BF1286" w:rsidP="00692021">
      <w:pPr>
        <w:rPr>
          <w:lang w:val="es-ES_tradnl"/>
        </w:rPr>
      </w:pPr>
      <w:r w:rsidRPr="00B10A0D">
        <w:rPr>
          <w:lang w:val="es-ES_tradnl"/>
        </w:rPr>
        <w:t>A continuación se describe el diagrama de ganancia de antena utilizado en los balances del enlace aquí indicados. Tanto en la estación (en tierra) de pasarela de las HAPS como en la plataforma (a bordo de aeronave) HAPS se utilizará el sistema de antenas controladas por fase descrito en la Resolución 221 (Rev.CMR-07) y que cumple con las características allí indicadas. A efectos de los estudios de compartición, la ganancia de cresta de las antenas de la plataforma y de la estación terrena es de 30</w:t>
      </w:r>
      <w:r w:rsidR="00692021">
        <w:rPr>
          <w:lang w:val="es-ES_tradnl"/>
        </w:rPr>
        <w:t> </w:t>
      </w:r>
      <w:r w:rsidRPr="00B10A0D">
        <w:rPr>
          <w:lang w:val="es-ES_tradnl"/>
        </w:rPr>
        <w:t>dBi y 47</w:t>
      </w:r>
      <w:r w:rsidR="00692021">
        <w:rPr>
          <w:lang w:val="es-ES_tradnl"/>
        </w:rPr>
        <w:t> </w:t>
      </w:r>
      <w:r w:rsidRPr="00B10A0D">
        <w:rPr>
          <w:lang w:val="es-ES_tradnl"/>
        </w:rPr>
        <w:t>dBi, respectivamente. A continuación se describe la ecuación del contorno del diagrama de radiación de la antena utilizada en la estación de pasarela de las HAPS y la plataforma HAPS y se ilustra en las Figs.</w:t>
      </w:r>
      <w:r w:rsidR="00692021">
        <w:rPr>
          <w:lang w:val="es-ES_tradnl"/>
        </w:rPr>
        <w:t> </w:t>
      </w:r>
      <w:r w:rsidRPr="00B10A0D">
        <w:rPr>
          <w:lang w:val="es-ES_tradnl"/>
        </w:rPr>
        <w:t xml:space="preserve">5 y 6, respectivamente, utilizando un valor </w:t>
      </w:r>
      <w:r w:rsidRPr="00B10A0D">
        <w:rPr>
          <w:i/>
          <w:iCs/>
          <w:lang w:val="es-ES_tradnl"/>
        </w:rPr>
        <w:t>L</w:t>
      </w:r>
      <w:r w:rsidRPr="00B10A0D">
        <w:rPr>
          <w:i/>
          <w:iCs/>
          <w:vertAlign w:val="subscript"/>
          <w:lang w:val="es-ES_tradnl"/>
        </w:rPr>
        <w:t>N</w:t>
      </w:r>
      <w:r w:rsidRPr="00B10A0D">
        <w:rPr>
          <w:lang w:val="es-ES_tradnl"/>
        </w:rPr>
        <w:t xml:space="preserve"> de −25 dB. Este contorno del diagrama de radiación se emplea para los enlaces ascendente y descendente y se basa en un tipo de sistema de antenas controladas por fase que se utilizará para los enlaces de pasarelas de las HAPS.</w:t>
      </w:r>
    </w:p>
    <w:p w:rsidR="001A76E9" w:rsidRPr="007E384A" w:rsidRDefault="001A76E9" w:rsidP="00AD1110">
      <w:pPr>
        <w:pStyle w:val="Equation"/>
        <w:tabs>
          <w:tab w:val="center" w:pos="4111"/>
          <w:tab w:val="center" w:pos="5273"/>
          <w:tab w:val="left" w:pos="5472"/>
          <w:tab w:val="left" w:pos="5783"/>
          <w:tab w:val="left" w:pos="6095"/>
          <w:tab w:val="left" w:pos="6180"/>
        </w:tabs>
        <w:spacing w:before="80"/>
        <w:rPr>
          <w:rFonts w:asciiTheme="majorBidi" w:hAnsiTheme="majorBidi" w:cstheme="majorBidi"/>
          <w:color w:val="000000"/>
          <w:lang w:val="es-ES_tradnl"/>
        </w:rPr>
      </w:pPr>
      <w:r w:rsidRPr="00BD1865">
        <w:rPr>
          <w:rFonts w:asciiTheme="majorBidi" w:hAnsiTheme="majorBidi" w:cstheme="majorBidi"/>
          <w:color w:val="000000"/>
          <w:lang w:val="es-ES_tradnl"/>
        </w:rPr>
        <w:tab/>
      </w:r>
      <w:r w:rsidRPr="007E384A">
        <w:rPr>
          <w:rFonts w:asciiTheme="majorBidi" w:hAnsiTheme="majorBidi" w:cstheme="majorBidi"/>
          <w:i/>
          <w:color w:val="000000"/>
          <w:lang w:val="es-ES_tradnl"/>
        </w:rPr>
        <w:t>G</w:t>
      </w:r>
      <w:r w:rsidRPr="007E384A">
        <w:rPr>
          <w:rFonts w:asciiTheme="majorBidi" w:hAnsiTheme="majorBidi" w:cstheme="majorBidi"/>
          <w:color w:val="000000"/>
          <w:lang w:val="es-ES_tradnl"/>
        </w:rPr>
        <w:t>(</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 xml:space="preserve">) = </w:t>
      </w:r>
      <w:r w:rsidRPr="007E384A">
        <w:rPr>
          <w:rFonts w:asciiTheme="majorBidi" w:hAnsiTheme="majorBidi" w:cstheme="majorBidi"/>
          <w:i/>
          <w:color w:val="000000"/>
          <w:lang w:val="es-ES_tradnl"/>
        </w:rPr>
        <w:t>G</w:t>
      </w:r>
      <w:r w:rsidRPr="007E384A">
        <w:rPr>
          <w:rFonts w:asciiTheme="majorBidi" w:hAnsiTheme="majorBidi" w:cstheme="majorBidi"/>
          <w:i/>
          <w:color w:val="000000"/>
          <w:vertAlign w:val="subscript"/>
          <w:lang w:val="es-ES_tradnl"/>
        </w:rPr>
        <w:t>m</w:t>
      </w:r>
      <w:r w:rsidRPr="007E384A">
        <w:rPr>
          <w:rFonts w:asciiTheme="majorBidi" w:hAnsiTheme="majorBidi" w:cstheme="majorBidi"/>
          <w:color w:val="000000"/>
          <w:lang w:val="es-ES_tradnl"/>
        </w:rPr>
        <w:t xml:space="preserve"> – 3(</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b)</w:t>
      </w:r>
      <w:r w:rsidRPr="007E384A">
        <w:rPr>
          <w:rFonts w:asciiTheme="majorBidi" w:hAnsiTheme="majorBidi" w:cstheme="majorBidi"/>
          <w:color w:val="000000"/>
          <w:vertAlign w:val="superscript"/>
          <w:lang w:val="es-ES_tradnl"/>
        </w:rPr>
        <w:t>2</w:t>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lang w:val="es-ES_tradnl"/>
        </w:rPr>
        <w:tab/>
        <w:t>dBi</w:t>
      </w:r>
      <w:r w:rsidRPr="007E384A">
        <w:rPr>
          <w:rFonts w:asciiTheme="majorBidi" w:hAnsiTheme="majorBidi" w:cstheme="majorBidi"/>
          <w:color w:val="000000"/>
          <w:lang w:val="es-ES_tradnl"/>
        </w:rPr>
        <w:tab/>
        <w:t>para</w:t>
      </w:r>
      <w:r w:rsidRPr="007E384A">
        <w:rPr>
          <w:rFonts w:asciiTheme="majorBidi" w:hAnsiTheme="majorBidi" w:cstheme="majorBidi"/>
          <w:color w:val="000000"/>
          <w:lang w:val="es-ES_tradnl"/>
        </w:rPr>
        <w:tab/>
        <w:t xml:space="preserve"> 0</w:t>
      </w:r>
      <w:r w:rsidRPr="007E384A">
        <w:rPr>
          <w:rFonts w:asciiTheme="majorBidi" w:hAnsiTheme="majorBidi" w:cstheme="majorBidi"/>
          <w:color w:val="000000"/>
          <w:szCs w:val="24"/>
        </w:rPr>
        <w:sym w:font="Symbol" w:char="F0B0"/>
      </w:r>
      <w:r w:rsidRPr="007E384A">
        <w:rPr>
          <w:rFonts w:asciiTheme="majorBidi" w:hAnsiTheme="majorBidi" w:cstheme="majorBidi"/>
          <w:color w:val="000000"/>
          <w:lang w:val="es-ES_tradnl"/>
        </w:rPr>
        <w:tab/>
      </w:r>
      <w:r w:rsidRPr="007E384A">
        <w:rPr>
          <w:rFonts w:asciiTheme="majorBidi" w:hAnsiTheme="majorBidi" w:cstheme="majorBidi"/>
          <w:color w:val="000000"/>
          <w:szCs w:val="24"/>
        </w:rPr>
        <w:sym w:font="Symbol" w:char="F0A3"/>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A3"/>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79"/>
      </w:r>
      <w:r w:rsidRPr="007E384A">
        <w:rPr>
          <w:rFonts w:asciiTheme="majorBidi" w:hAnsiTheme="majorBidi" w:cstheme="majorBidi"/>
          <w:color w:val="000000"/>
          <w:vertAlign w:val="subscript"/>
          <w:lang w:val="es-ES_tradnl"/>
        </w:rPr>
        <w:t>1</w:t>
      </w:r>
    </w:p>
    <w:p w:rsidR="001A76E9" w:rsidRPr="007E384A" w:rsidRDefault="001A76E9" w:rsidP="00AD1110">
      <w:pPr>
        <w:pStyle w:val="Equation"/>
        <w:tabs>
          <w:tab w:val="center" w:pos="4111"/>
          <w:tab w:val="center" w:pos="5273"/>
          <w:tab w:val="left" w:pos="5472"/>
          <w:tab w:val="left" w:pos="5783"/>
          <w:tab w:val="left" w:pos="6095"/>
          <w:tab w:val="left" w:pos="6180"/>
        </w:tabs>
        <w:spacing w:before="80"/>
        <w:rPr>
          <w:rFonts w:asciiTheme="majorBidi" w:hAnsiTheme="majorBidi" w:cstheme="majorBidi"/>
          <w:color w:val="000000"/>
          <w:sz w:val="28"/>
          <w:vertAlign w:val="subscript"/>
          <w:lang w:val="es-ES_tradnl"/>
        </w:rPr>
      </w:pPr>
      <w:r w:rsidRPr="007E384A">
        <w:rPr>
          <w:rFonts w:asciiTheme="majorBidi" w:hAnsiTheme="majorBidi" w:cstheme="majorBidi"/>
          <w:color w:val="000000"/>
          <w:lang w:val="es-ES_tradnl"/>
        </w:rPr>
        <w:tab/>
      </w:r>
      <w:r w:rsidRPr="007E384A">
        <w:rPr>
          <w:rFonts w:asciiTheme="majorBidi" w:hAnsiTheme="majorBidi" w:cstheme="majorBidi"/>
          <w:i/>
          <w:iCs/>
          <w:color w:val="000000"/>
          <w:lang w:val="es-ES_tradnl"/>
        </w:rPr>
        <w:t>G</w:t>
      </w:r>
      <w:r w:rsidRPr="007E384A">
        <w:rPr>
          <w:rFonts w:asciiTheme="majorBidi" w:hAnsiTheme="majorBidi" w:cstheme="majorBidi"/>
          <w:color w:val="000000"/>
          <w:lang w:val="es-ES_tradnl"/>
        </w:rPr>
        <w:t>(</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 xml:space="preserve">) = </w:t>
      </w:r>
      <w:r w:rsidRPr="007E384A">
        <w:rPr>
          <w:rFonts w:asciiTheme="majorBidi" w:hAnsiTheme="majorBidi" w:cstheme="majorBidi"/>
          <w:i/>
          <w:iCs/>
          <w:color w:val="000000"/>
          <w:lang w:val="es-ES_tradnl"/>
        </w:rPr>
        <w:t>G</w:t>
      </w:r>
      <w:r w:rsidRPr="007E384A">
        <w:rPr>
          <w:rFonts w:asciiTheme="majorBidi" w:hAnsiTheme="majorBidi" w:cstheme="majorBidi"/>
          <w:i/>
          <w:iCs/>
          <w:color w:val="000000"/>
          <w:position w:val="-4"/>
          <w:sz w:val="20"/>
          <w:lang w:val="es-ES_tradnl"/>
        </w:rPr>
        <w:t>m</w:t>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rPr>
        <w:t></w:t>
      </w:r>
      <w:r w:rsidR="007E384A" w:rsidRPr="007E384A">
        <w:rPr>
          <w:rFonts w:asciiTheme="majorBidi" w:hAnsiTheme="majorBidi" w:cstheme="majorBidi"/>
          <w:color w:val="000000"/>
          <w:lang w:val="es-ES_tradnl"/>
        </w:rPr>
        <w:t>+</w:t>
      </w:r>
      <w:r w:rsidRPr="007E384A">
        <w:rPr>
          <w:rFonts w:asciiTheme="majorBidi" w:hAnsiTheme="majorBidi" w:cstheme="majorBidi"/>
          <w:color w:val="000000"/>
          <w:lang w:val="es-ES_tradnl"/>
        </w:rPr>
        <w:t xml:space="preserve"> </w:t>
      </w:r>
      <w:r w:rsidRPr="007E384A">
        <w:rPr>
          <w:rFonts w:asciiTheme="majorBidi" w:hAnsiTheme="majorBidi" w:cstheme="majorBidi"/>
          <w:i/>
          <w:iCs/>
          <w:color w:val="000000"/>
          <w:lang w:val="es-ES_tradnl"/>
        </w:rPr>
        <w:t>L</w:t>
      </w:r>
      <w:r w:rsidRPr="007E384A">
        <w:rPr>
          <w:rFonts w:asciiTheme="majorBidi" w:hAnsiTheme="majorBidi" w:cstheme="majorBidi"/>
          <w:i/>
          <w:iCs/>
          <w:color w:val="000000"/>
          <w:position w:val="-4"/>
          <w:sz w:val="20"/>
          <w:lang w:val="es-ES_tradnl"/>
        </w:rPr>
        <w:t>N</w:t>
      </w:r>
      <w:r w:rsidRPr="007E384A">
        <w:rPr>
          <w:rFonts w:asciiTheme="majorBidi" w:hAnsiTheme="majorBidi" w:cstheme="majorBidi"/>
          <w:color w:val="000000"/>
          <w:lang w:val="es-ES_tradnl"/>
        </w:rPr>
        <w:tab/>
        <w:t>dBi</w:t>
      </w:r>
      <w:r w:rsidRPr="007E384A">
        <w:rPr>
          <w:rFonts w:asciiTheme="majorBidi" w:hAnsiTheme="majorBidi" w:cstheme="majorBidi"/>
          <w:color w:val="000000"/>
          <w:lang w:val="es-ES_tradnl"/>
        </w:rPr>
        <w:tab/>
        <w:t>para</w:t>
      </w:r>
      <w:r w:rsidRPr="007E384A">
        <w:rPr>
          <w:rFonts w:asciiTheme="majorBidi" w:hAnsiTheme="majorBidi" w:cstheme="majorBidi"/>
          <w:color w:val="000000"/>
          <w:lang w:val="es-ES_tradnl"/>
        </w:rPr>
        <w:tab/>
      </w:r>
      <w:r w:rsidRPr="007E384A">
        <w:rPr>
          <w:rFonts w:asciiTheme="majorBidi" w:hAnsiTheme="majorBidi" w:cstheme="majorBidi"/>
          <w:color w:val="000000"/>
          <w:szCs w:val="24"/>
        </w:rPr>
        <w:sym w:font="Symbol" w:char="F079"/>
      </w:r>
      <w:r w:rsidRPr="007E384A">
        <w:rPr>
          <w:rFonts w:asciiTheme="majorBidi" w:hAnsiTheme="majorBidi" w:cstheme="majorBidi"/>
          <w:color w:val="000000"/>
          <w:position w:val="-4"/>
          <w:sz w:val="20"/>
          <w:lang w:val="es-ES_tradnl"/>
        </w:rPr>
        <w:t>1</w:t>
      </w:r>
      <w:r w:rsidRPr="007E384A">
        <w:rPr>
          <w:rFonts w:asciiTheme="majorBidi" w:hAnsiTheme="majorBidi" w:cstheme="majorBidi"/>
          <w:color w:val="000000"/>
          <w:lang w:val="es-ES_tradnl"/>
        </w:rPr>
        <w:tab/>
      </w:r>
      <w:r w:rsidRPr="007E384A">
        <w:rPr>
          <w:rFonts w:asciiTheme="majorBidi" w:hAnsiTheme="majorBidi" w:cstheme="majorBidi"/>
          <w:color w:val="000000"/>
          <w:szCs w:val="24"/>
        </w:rPr>
        <w:sym w:font="Symbol" w:char="F03C"/>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A3"/>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79"/>
      </w:r>
      <w:r w:rsidRPr="007E384A">
        <w:rPr>
          <w:rFonts w:asciiTheme="majorBidi" w:hAnsiTheme="majorBidi" w:cstheme="majorBidi"/>
          <w:color w:val="000000"/>
          <w:position w:val="-4"/>
          <w:sz w:val="20"/>
          <w:lang w:val="es-ES_tradnl"/>
        </w:rPr>
        <w:t>2</w:t>
      </w:r>
    </w:p>
    <w:p w:rsidR="001A76E9" w:rsidRPr="007E384A" w:rsidRDefault="001A76E9" w:rsidP="00AD1110">
      <w:pPr>
        <w:pStyle w:val="Equation"/>
        <w:tabs>
          <w:tab w:val="center" w:pos="4111"/>
          <w:tab w:val="center" w:pos="5273"/>
          <w:tab w:val="left" w:pos="5472"/>
          <w:tab w:val="left" w:pos="5783"/>
          <w:tab w:val="left" w:pos="6095"/>
          <w:tab w:val="left" w:pos="6180"/>
        </w:tabs>
        <w:spacing w:before="80"/>
        <w:rPr>
          <w:rFonts w:asciiTheme="majorBidi" w:hAnsiTheme="majorBidi" w:cstheme="majorBidi"/>
          <w:color w:val="000000"/>
          <w:sz w:val="28"/>
          <w:vertAlign w:val="subscript"/>
          <w:lang w:val="es-ES_tradnl"/>
        </w:rPr>
      </w:pPr>
      <w:r w:rsidRPr="007E384A">
        <w:rPr>
          <w:rFonts w:asciiTheme="majorBidi" w:hAnsiTheme="majorBidi" w:cstheme="majorBidi"/>
          <w:color w:val="000000"/>
          <w:lang w:val="es-ES_tradnl"/>
        </w:rPr>
        <w:tab/>
      </w:r>
      <w:r w:rsidRPr="007E384A">
        <w:rPr>
          <w:rFonts w:asciiTheme="majorBidi" w:hAnsiTheme="majorBidi" w:cstheme="majorBidi"/>
          <w:i/>
          <w:iCs/>
          <w:color w:val="000000"/>
          <w:lang w:val="es-ES_tradnl"/>
        </w:rPr>
        <w:t>G</w:t>
      </w:r>
      <w:r w:rsidRPr="007E384A">
        <w:rPr>
          <w:rFonts w:asciiTheme="majorBidi" w:hAnsiTheme="majorBidi" w:cstheme="majorBidi"/>
          <w:color w:val="000000"/>
          <w:lang w:val="es-ES_tradnl"/>
        </w:rPr>
        <w:t>(</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 xml:space="preserve">) = </w:t>
      </w:r>
      <w:r w:rsidRPr="007E384A">
        <w:rPr>
          <w:rFonts w:asciiTheme="majorBidi" w:hAnsiTheme="majorBidi" w:cstheme="majorBidi"/>
          <w:i/>
          <w:iCs/>
          <w:color w:val="000000"/>
          <w:lang w:val="es-ES_tradnl"/>
        </w:rPr>
        <w:t>X</w:t>
      </w:r>
      <w:r w:rsidRPr="007E384A">
        <w:rPr>
          <w:rFonts w:asciiTheme="majorBidi" w:hAnsiTheme="majorBidi" w:cstheme="majorBidi"/>
          <w:color w:val="000000"/>
          <w:lang w:val="es-ES_tradnl"/>
        </w:rPr>
        <w:t xml:space="preserve"> – 60 log (</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w:t>
      </w:r>
      <w:r w:rsidRPr="007E384A">
        <w:rPr>
          <w:rFonts w:asciiTheme="majorBidi" w:hAnsiTheme="majorBidi" w:cstheme="majorBidi"/>
          <w:color w:val="000000"/>
          <w:lang w:val="es-ES_tradnl"/>
        </w:rPr>
        <w:tab/>
        <w:t>dBi</w:t>
      </w:r>
      <w:r w:rsidRPr="007E384A">
        <w:rPr>
          <w:rFonts w:asciiTheme="majorBidi" w:hAnsiTheme="majorBidi" w:cstheme="majorBidi"/>
          <w:color w:val="000000"/>
          <w:lang w:val="es-ES_tradnl"/>
        </w:rPr>
        <w:tab/>
        <w:t>para</w:t>
      </w:r>
      <w:r w:rsidRPr="007E384A">
        <w:rPr>
          <w:rFonts w:asciiTheme="majorBidi" w:hAnsiTheme="majorBidi" w:cstheme="majorBidi"/>
          <w:color w:val="000000"/>
          <w:lang w:val="es-ES_tradnl"/>
        </w:rPr>
        <w:tab/>
      </w:r>
      <w:r w:rsidRPr="007E384A">
        <w:rPr>
          <w:rFonts w:asciiTheme="majorBidi" w:hAnsiTheme="majorBidi" w:cstheme="majorBidi"/>
          <w:color w:val="000000"/>
          <w:szCs w:val="24"/>
        </w:rPr>
        <w:sym w:font="Symbol" w:char="F079"/>
      </w:r>
      <w:r w:rsidRPr="007E384A">
        <w:rPr>
          <w:rFonts w:asciiTheme="majorBidi" w:hAnsiTheme="majorBidi" w:cstheme="majorBidi"/>
          <w:color w:val="000000"/>
          <w:position w:val="-4"/>
          <w:sz w:val="20"/>
          <w:lang w:val="es-ES_tradnl"/>
        </w:rPr>
        <w:t>2</w:t>
      </w:r>
      <w:r w:rsidRPr="007E384A">
        <w:rPr>
          <w:rFonts w:asciiTheme="majorBidi" w:hAnsiTheme="majorBidi" w:cstheme="majorBidi"/>
          <w:color w:val="000000"/>
          <w:lang w:val="es-ES_tradnl"/>
        </w:rPr>
        <w:tab/>
      </w:r>
      <w:r w:rsidRPr="007E384A">
        <w:rPr>
          <w:rFonts w:asciiTheme="majorBidi" w:hAnsiTheme="majorBidi" w:cstheme="majorBidi"/>
          <w:color w:val="000000"/>
          <w:szCs w:val="24"/>
        </w:rPr>
        <w:sym w:font="Symbol" w:char="F03C"/>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79"/>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A3"/>
      </w:r>
      <w:r w:rsidRPr="007E384A">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79"/>
      </w:r>
      <w:r w:rsidRPr="007E384A">
        <w:rPr>
          <w:rFonts w:asciiTheme="majorBidi" w:hAnsiTheme="majorBidi" w:cstheme="majorBidi"/>
          <w:color w:val="000000"/>
          <w:position w:val="-4"/>
          <w:sz w:val="20"/>
          <w:lang w:val="es-ES_tradnl"/>
        </w:rPr>
        <w:t>3</w:t>
      </w:r>
    </w:p>
    <w:p w:rsidR="001A76E9" w:rsidRPr="00BD1865" w:rsidRDefault="001A76E9" w:rsidP="00AD1110">
      <w:pPr>
        <w:pStyle w:val="Equation"/>
        <w:tabs>
          <w:tab w:val="center" w:pos="4111"/>
          <w:tab w:val="center" w:pos="5273"/>
          <w:tab w:val="left" w:pos="5472"/>
          <w:tab w:val="left" w:pos="5783"/>
          <w:tab w:val="left" w:pos="6095"/>
          <w:tab w:val="left" w:pos="6180"/>
        </w:tabs>
        <w:spacing w:before="80"/>
        <w:rPr>
          <w:rFonts w:asciiTheme="majorBidi" w:hAnsiTheme="majorBidi" w:cstheme="majorBidi"/>
          <w:color w:val="000000"/>
          <w:szCs w:val="24"/>
          <w:lang w:val="es-ES_tradnl"/>
        </w:rPr>
      </w:pPr>
      <w:r w:rsidRPr="007E384A">
        <w:rPr>
          <w:rFonts w:asciiTheme="majorBidi" w:hAnsiTheme="majorBidi" w:cstheme="majorBidi"/>
          <w:color w:val="000000"/>
          <w:lang w:val="es-ES_tradnl"/>
        </w:rPr>
        <w:tab/>
      </w:r>
      <w:r w:rsidRPr="00BD1865">
        <w:rPr>
          <w:rFonts w:asciiTheme="majorBidi" w:hAnsiTheme="majorBidi" w:cstheme="majorBidi"/>
          <w:i/>
          <w:iCs/>
          <w:color w:val="000000"/>
          <w:lang w:val="es-ES_tradnl"/>
        </w:rPr>
        <w:t>G</w:t>
      </w:r>
      <w:r w:rsidRPr="00BD1865">
        <w:rPr>
          <w:rFonts w:asciiTheme="majorBidi" w:hAnsiTheme="majorBidi" w:cstheme="majorBidi"/>
          <w:color w:val="000000"/>
          <w:lang w:val="es-ES_tradnl"/>
        </w:rPr>
        <w:t>(</w:t>
      </w:r>
      <w:r w:rsidRPr="007E384A">
        <w:rPr>
          <w:rFonts w:asciiTheme="majorBidi" w:hAnsiTheme="majorBidi" w:cstheme="majorBidi"/>
          <w:color w:val="000000"/>
          <w:szCs w:val="24"/>
        </w:rPr>
        <w:sym w:font="Symbol" w:char="F079"/>
      </w:r>
      <w:r w:rsidRPr="00BD1865">
        <w:rPr>
          <w:rFonts w:asciiTheme="majorBidi" w:hAnsiTheme="majorBidi" w:cstheme="majorBidi"/>
          <w:color w:val="000000"/>
          <w:lang w:val="es-ES_tradnl"/>
        </w:rPr>
        <w:t xml:space="preserve">) = </w:t>
      </w:r>
      <w:r w:rsidRPr="00BD1865">
        <w:rPr>
          <w:rFonts w:asciiTheme="majorBidi" w:hAnsiTheme="majorBidi" w:cstheme="majorBidi"/>
          <w:i/>
          <w:iCs/>
          <w:color w:val="000000"/>
          <w:lang w:val="es-ES_tradnl"/>
        </w:rPr>
        <w:t>L</w:t>
      </w:r>
      <w:r w:rsidRPr="00BD1865">
        <w:rPr>
          <w:rFonts w:asciiTheme="majorBidi" w:hAnsiTheme="majorBidi" w:cstheme="majorBidi"/>
          <w:i/>
          <w:iCs/>
          <w:color w:val="000000"/>
          <w:position w:val="-4"/>
          <w:sz w:val="20"/>
          <w:lang w:val="es-ES_tradnl"/>
        </w:rPr>
        <w:t>F</w:t>
      </w:r>
      <w:r w:rsidRPr="00BD1865">
        <w:rPr>
          <w:rFonts w:asciiTheme="majorBidi" w:hAnsiTheme="majorBidi" w:cstheme="majorBidi"/>
          <w:color w:val="000000"/>
          <w:lang w:val="es-ES_tradnl"/>
        </w:rPr>
        <w:tab/>
        <w:t>dBi</w:t>
      </w:r>
      <w:r w:rsidRPr="00BD1865">
        <w:rPr>
          <w:rFonts w:asciiTheme="majorBidi" w:hAnsiTheme="majorBidi" w:cstheme="majorBidi"/>
          <w:color w:val="000000"/>
          <w:lang w:val="es-ES_tradnl"/>
        </w:rPr>
        <w:tab/>
      </w:r>
      <w:r w:rsidRPr="007E384A">
        <w:rPr>
          <w:rFonts w:asciiTheme="majorBidi" w:hAnsiTheme="majorBidi" w:cstheme="majorBidi"/>
          <w:color w:val="000000"/>
          <w:lang w:val="es-ES_tradnl"/>
        </w:rPr>
        <w:t>para</w:t>
      </w:r>
      <w:r w:rsidRPr="00BD1865">
        <w:rPr>
          <w:rFonts w:asciiTheme="majorBidi" w:hAnsiTheme="majorBidi" w:cstheme="majorBidi"/>
          <w:color w:val="000000"/>
          <w:lang w:val="es-ES_tradnl"/>
        </w:rPr>
        <w:tab/>
      </w:r>
      <w:r w:rsidRPr="007E384A">
        <w:rPr>
          <w:rFonts w:asciiTheme="majorBidi" w:hAnsiTheme="majorBidi" w:cstheme="majorBidi"/>
          <w:color w:val="000000"/>
          <w:szCs w:val="24"/>
        </w:rPr>
        <w:sym w:font="Symbol" w:char="F079"/>
      </w:r>
      <w:r w:rsidRPr="00BD1865">
        <w:rPr>
          <w:rFonts w:asciiTheme="majorBidi" w:hAnsiTheme="majorBidi" w:cstheme="majorBidi"/>
          <w:color w:val="000000"/>
          <w:position w:val="-4"/>
          <w:sz w:val="20"/>
          <w:lang w:val="es-ES_tradnl"/>
        </w:rPr>
        <w:t>3</w:t>
      </w:r>
      <w:r w:rsidRPr="00BD1865">
        <w:rPr>
          <w:rFonts w:asciiTheme="majorBidi" w:hAnsiTheme="majorBidi" w:cstheme="majorBidi"/>
          <w:color w:val="000000"/>
          <w:lang w:val="es-ES_tradnl"/>
        </w:rPr>
        <w:tab/>
      </w:r>
      <w:r w:rsidRPr="007E384A">
        <w:rPr>
          <w:rFonts w:asciiTheme="majorBidi" w:hAnsiTheme="majorBidi" w:cstheme="majorBidi"/>
          <w:color w:val="000000"/>
          <w:szCs w:val="24"/>
        </w:rPr>
        <w:sym w:font="Symbol" w:char="F03C"/>
      </w:r>
      <w:r w:rsidRPr="00BD1865">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79"/>
      </w:r>
      <w:r w:rsidRPr="00BD1865">
        <w:rPr>
          <w:rFonts w:asciiTheme="majorBidi" w:hAnsiTheme="majorBidi" w:cstheme="majorBidi"/>
          <w:color w:val="000000"/>
          <w:lang w:val="es-ES_tradnl"/>
        </w:rPr>
        <w:t xml:space="preserve"> </w:t>
      </w:r>
      <w:r w:rsidRPr="007E384A">
        <w:rPr>
          <w:rFonts w:asciiTheme="majorBidi" w:hAnsiTheme="majorBidi" w:cstheme="majorBidi"/>
          <w:color w:val="000000"/>
          <w:szCs w:val="24"/>
        </w:rPr>
        <w:sym w:font="Symbol" w:char="F0A3"/>
      </w:r>
      <w:r w:rsidRPr="00BD1865">
        <w:rPr>
          <w:rFonts w:asciiTheme="majorBidi" w:hAnsiTheme="majorBidi" w:cstheme="majorBidi"/>
          <w:color w:val="000000"/>
          <w:lang w:val="es-ES_tradnl"/>
        </w:rPr>
        <w:t xml:space="preserve"> 90</w:t>
      </w:r>
      <w:r w:rsidRPr="007E384A">
        <w:rPr>
          <w:rFonts w:asciiTheme="majorBidi" w:hAnsiTheme="majorBidi" w:cstheme="majorBidi"/>
          <w:color w:val="000000"/>
          <w:szCs w:val="24"/>
        </w:rPr>
        <w:sym w:font="Symbol" w:char="F0B0"/>
      </w:r>
    </w:p>
    <w:p w:rsidR="00BF1286" w:rsidRPr="00BD1865" w:rsidRDefault="00BF1286" w:rsidP="00BF1286">
      <w:pPr>
        <w:rPr>
          <w:lang w:val="es-ES_tradnl"/>
        </w:rPr>
      </w:pPr>
      <w:r w:rsidRPr="00BD1865">
        <w:rPr>
          <w:lang w:val="es-ES_tradnl"/>
        </w:rPr>
        <w:lastRenderedPageBreak/>
        <w:t>siendo:</w:t>
      </w:r>
    </w:p>
    <w:p w:rsidR="00BF1286" w:rsidRPr="00B10A0D" w:rsidRDefault="00BF1286" w:rsidP="00BF1286">
      <w:pPr>
        <w:pStyle w:val="Equationlegend"/>
        <w:rPr>
          <w:lang w:val="es-ES_tradnl"/>
        </w:rPr>
      </w:pPr>
      <w:r w:rsidRPr="00BD1865">
        <w:rPr>
          <w:rFonts w:asciiTheme="majorBidi" w:hAnsiTheme="majorBidi" w:cstheme="majorBidi"/>
          <w:i/>
          <w:iCs/>
          <w:lang w:val="es-ES_tradnl"/>
        </w:rPr>
        <w:tab/>
      </w:r>
      <w:r w:rsidRPr="007E384A">
        <w:rPr>
          <w:rFonts w:asciiTheme="majorBidi" w:hAnsiTheme="majorBidi" w:cstheme="majorBidi"/>
          <w:i/>
          <w:iCs/>
          <w:lang w:val="es-ES_tradnl"/>
        </w:rPr>
        <w:t>G</w:t>
      </w:r>
      <w:r w:rsidRPr="007E384A">
        <w:rPr>
          <w:rFonts w:asciiTheme="majorBidi" w:hAnsiTheme="majorBidi" w:cstheme="majorBidi"/>
          <w:lang w:val="es-ES_tradnl"/>
        </w:rPr>
        <w:t>(</w:t>
      </w:r>
      <w:r w:rsidRPr="007E384A">
        <w:rPr>
          <w:rFonts w:asciiTheme="majorBidi" w:hAnsiTheme="majorBidi" w:cstheme="majorBidi"/>
          <w:szCs w:val="24"/>
          <w:lang w:val="es-ES_tradnl"/>
        </w:rPr>
        <w:sym w:font="Symbol" w:char="F079"/>
      </w:r>
      <w:r w:rsidRPr="007E384A">
        <w:rPr>
          <w:rFonts w:asciiTheme="majorBidi" w:hAnsiTheme="majorBidi" w:cstheme="majorBidi"/>
          <w:lang w:val="es-ES_tradnl"/>
        </w:rPr>
        <w:t>)</w:t>
      </w:r>
      <w:r w:rsidR="007E384A">
        <w:rPr>
          <w:rFonts w:asciiTheme="majorBidi" w:hAnsiTheme="majorBidi" w:cstheme="majorBidi"/>
          <w:lang w:val="es-ES_tradnl"/>
        </w:rPr>
        <w:t xml:space="preserve"> </w:t>
      </w:r>
      <w:r w:rsidRPr="007E384A">
        <w:rPr>
          <w:rFonts w:asciiTheme="majorBidi" w:hAnsiTheme="majorBidi" w:cstheme="majorBidi"/>
          <w:lang w:val="es-ES_tradnl"/>
        </w:rPr>
        <w:t>:</w:t>
      </w:r>
      <w:r w:rsidRPr="00B10A0D">
        <w:rPr>
          <w:lang w:val="es-ES_tradnl"/>
        </w:rPr>
        <w:tab/>
        <w:t xml:space="preserve">ganancia en el ángulo </w:t>
      </w:r>
      <w:r w:rsidRPr="00B10A0D">
        <w:rPr>
          <w:szCs w:val="24"/>
          <w:lang w:val="es-ES_tradnl"/>
        </w:rPr>
        <w:sym w:font="Symbol" w:char="F079"/>
      </w:r>
      <w:r w:rsidRPr="00B10A0D">
        <w:rPr>
          <w:lang w:val="es-ES_tradnl"/>
        </w:rPr>
        <w:t xml:space="preserve"> con respecto a la dirección del haz principal (dBi)</w:t>
      </w:r>
    </w:p>
    <w:p w:rsidR="00BF1286" w:rsidRPr="00B10A0D" w:rsidRDefault="00BF1286" w:rsidP="00BF1286">
      <w:pPr>
        <w:pStyle w:val="Equationlegend"/>
        <w:rPr>
          <w:lang w:val="es-ES_tradnl"/>
        </w:rPr>
      </w:pPr>
      <w:r w:rsidRPr="00B10A0D">
        <w:rPr>
          <w:i/>
          <w:iCs/>
          <w:lang w:val="es-ES_tradnl"/>
        </w:rPr>
        <w:tab/>
        <w:t>G</w:t>
      </w:r>
      <w:r w:rsidRPr="00B10A0D">
        <w:rPr>
          <w:i/>
          <w:iCs/>
          <w:position w:val="-4"/>
          <w:sz w:val="20"/>
          <w:lang w:val="es-ES_tradnl"/>
        </w:rPr>
        <w:t>m</w:t>
      </w:r>
      <w:r w:rsidR="007E384A" w:rsidRPr="007E384A">
        <w:rPr>
          <w:i/>
          <w:iCs/>
          <w:position w:val="-4"/>
          <w:szCs w:val="24"/>
          <w:lang w:val="es-ES_tradnl"/>
        </w:rPr>
        <w:t xml:space="preserve"> </w:t>
      </w:r>
      <w:r w:rsidRPr="00B10A0D">
        <w:rPr>
          <w:lang w:val="es-ES_tradnl"/>
        </w:rPr>
        <w:t>:</w:t>
      </w:r>
      <w:r w:rsidRPr="00B10A0D">
        <w:rPr>
          <w:lang w:val="es-ES_tradnl"/>
        </w:rPr>
        <w:tab/>
        <w:t>máxima ganancia en el lóbulo principal (dBi)</w:t>
      </w:r>
    </w:p>
    <w:p w:rsidR="00BF1286" w:rsidRPr="00B10A0D" w:rsidRDefault="00BF1286" w:rsidP="007E384A">
      <w:pPr>
        <w:pStyle w:val="Equationlegend"/>
        <w:rPr>
          <w:lang w:val="es-ES_tradnl"/>
        </w:rPr>
      </w:pPr>
      <w:r w:rsidRPr="00B10A0D">
        <w:rPr>
          <w:rFonts w:ascii="Symbol" w:hAnsi="Symbol"/>
          <w:lang w:val="es-ES_tradnl"/>
        </w:rPr>
        <w:tab/>
      </w:r>
      <w:r w:rsidRPr="007E384A">
        <w:rPr>
          <w:rFonts w:asciiTheme="majorBidi" w:hAnsiTheme="majorBidi" w:cstheme="majorBidi"/>
          <w:szCs w:val="24"/>
          <w:lang w:val="es-ES_tradnl"/>
        </w:rPr>
        <w:sym w:font="Symbol" w:char="F079"/>
      </w:r>
      <w:r w:rsidRPr="00B10A0D">
        <w:rPr>
          <w:i/>
          <w:iCs/>
          <w:position w:val="-4"/>
          <w:sz w:val="20"/>
          <w:lang w:val="es-ES_tradnl"/>
        </w:rPr>
        <w:t>b</w:t>
      </w:r>
      <w:r w:rsidR="007E384A">
        <w:rPr>
          <w:position w:val="-4"/>
          <w:szCs w:val="24"/>
          <w:lang w:val="es-ES_tradnl"/>
        </w:rPr>
        <w:t xml:space="preserve"> </w:t>
      </w:r>
      <w:r w:rsidRPr="00B10A0D">
        <w:rPr>
          <w:lang w:val="es-ES_tradnl"/>
        </w:rPr>
        <w:t xml:space="preserve">: </w:t>
      </w:r>
      <w:r w:rsidRPr="00B10A0D">
        <w:rPr>
          <w:lang w:val="es-ES_tradnl"/>
        </w:rPr>
        <w:tab/>
        <w:t>mitad de la anchura de haz a 3 dB en el plano considerado (3 dB por debajo de </w:t>
      </w:r>
      <w:r w:rsidRPr="00B10A0D">
        <w:rPr>
          <w:i/>
          <w:iCs/>
          <w:lang w:val="es-ES_tradnl"/>
        </w:rPr>
        <w:t>G</w:t>
      </w:r>
      <w:r w:rsidRPr="00B10A0D">
        <w:rPr>
          <w:i/>
          <w:iCs/>
          <w:position w:val="-4"/>
          <w:sz w:val="20"/>
          <w:lang w:val="es-ES_tradnl"/>
        </w:rPr>
        <w:t>m</w:t>
      </w:r>
      <w:r w:rsidRPr="00B10A0D">
        <w:rPr>
          <w:lang w:val="es-ES_tradnl"/>
        </w:rPr>
        <w:t>) (grados)</w:t>
      </w:r>
    </w:p>
    <w:p w:rsidR="00BF1286" w:rsidRPr="00B10A0D" w:rsidRDefault="00BF1286" w:rsidP="00BF1286">
      <w:pPr>
        <w:pStyle w:val="Equationlegend"/>
        <w:rPr>
          <w:lang w:val="es-ES_tradnl"/>
        </w:rPr>
      </w:pPr>
      <w:r w:rsidRPr="00B10A0D">
        <w:rPr>
          <w:i/>
          <w:iCs/>
          <w:lang w:val="es-ES_tradnl"/>
        </w:rPr>
        <w:tab/>
        <w:t>L</w:t>
      </w:r>
      <w:r w:rsidRPr="00B10A0D">
        <w:rPr>
          <w:i/>
          <w:iCs/>
          <w:position w:val="-4"/>
          <w:sz w:val="20"/>
          <w:lang w:val="es-ES_tradnl"/>
        </w:rPr>
        <w:t>N</w:t>
      </w:r>
      <w:r w:rsidR="007E384A">
        <w:rPr>
          <w:position w:val="-4"/>
          <w:szCs w:val="24"/>
          <w:lang w:val="es-ES_tradnl"/>
        </w:rPr>
        <w:t xml:space="preserve"> </w:t>
      </w:r>
      <w:r w:rsidRPr="00B10A0D">
        <w:rPr>
          <w:lang w:val="es-ES_tradnl"/>
        </w:rPr>
        <w:t xml:space="preserve">: </w:t>
      </w:r>
      <w:r w:rsidRPr="00B10A0D">
        <w:rPr>
          <w:lang w:val="es-ES_tradnl"/>
        </w:rPr>
        <w:tab/>
        <w:t>relación entre el nivel del lóbulo lateral más próximo al lóbulo principal (dB) y la ganancia de cresta nominal definida para el sistema, cuyo valor máximo es −25 dB</w:t>
      </w:r>
    </w:p>
    <w:p w:rsidR="00BF1286" w:rsidRPr="00B10A0D" w:rsidRDefault="00BF1286" w:rsidP="00BF1286">
      <w:pPr>
        <w:pStyle w:val="Equationlegend"/>
        <w:rPr>
          <w:lang w:val="es-ES_tradnl"/>
        </w:rPr>
      </w:pPr>
      <w:r w:rsidRPr="00B10A0D">
        <w:rPr>
          <w:i/>
          <w:iCs/>
          <w:lang w:val="es-ES_tradnl"/>
        </w:rPr>
        <w:tab/>
        <w:t>L</w:t>
      </w:r>
      <w:r w:rsidRPr="00B10A0D">
        <w:rPr>
          <w:i/>
          <w:iCs/>
          <w:position w:val="-4"/>
          <w:sz w:val="20"/>
          <w:lang w:val="es-ES_tradnl"/>
        </w:rPr>
        <w:t>F</w:t>
      </w:r>
      <w:r w:rsidR="007E384A">
        <w:rPr>
          <w:i/>
          <w:iCs/>
          <w:position w:val="-4"/>
          <w:sz w:val="20"/>
          <w:lang w:val="es-ES_tradnl"/>
        </w:rPr>
        <w:t xml:space="preserve"> </w:t>
      </w:r>
      <w:r w:rsidRPr="007E384A">
        <w:rPr>
          <w:rFonts w:asciiTheme="majorBidi" w:hAnsiTheme="majorBidi" w:cstheme="majorBidi"/>
          <w:szCs w:val="24"/>
          <w:lang w:val="es-ES_tradnl"/>
        </w:rPr>
        <w:t>:</w:t>
      </w:r>
      <w:r w:rsidRPr="00B10A0D">
        <w:rPr>
          <w:lang w:val="es-ES_tradnl"/>
        </w:rPr>
        <w:tab/>
        <w:t xml:space="preserve">nivel del lóbulo lateral lejano, </w:t>
      </w:r>
      <w:r w:rsidRPr="00B10A0D">
        <w:rPr>
          <w:i/>
          <w:iCs/>
          <w:lang w:val="es-ES_tradnl"/>
        </w:rPr>
        <w:t>G</w:t>
      </w:r>
      <w:r w:rsidRPr="00B10A0D">
        <w:rPr>
          <w:i/>
          <w:iCs/>
          <w:position w:val="-4"/>
          <w:sz w:val="20"/>
          <w:lang w:val="es-ES_tradnl"/>
        </w:rPr>
        <w:t>m</w:t>
      </w:r>
      <w:r w:rsidRPr="00B10A0D">
        <w:rPr>
          <w:lang w:val="es-ES_tradnl"/>
        </w:rPr>
        <w:t> − 73 dBi</w:t>
      </w:r>
    </w:p>
    <w:p w:rsidR="00BF1286" w:rsidRPr="00B10A0D" w:rsidRDefault="00BF1286" w:rsidP="00B73F8A">
      <w:pPr>
        <w:pStyle w:val="Equationlegend"/>
        <w:tabs>
          <w:tab w:val="right" w:pos="4536"/>
        </w:tabs>
        <w:rPr>
          <w:lang w:val="es-ES_tradnl"/>
        </w:rPr>
      </w:pPr>
      <w:r w:rsidRPr="00B10A0D">
        <w:rPr>
          <w:lang w:val="es-ES_tradnl"/>
        </w:rPr>
        <w:tab/>
      </w:r>
      <w:r w:rsidRPr="007E384A">
        <w:rPr>
          <w:rFonts w:asciiTheme="majorBidi" w:hAnsiTheme="majorBidi" w:cstheme="majorBidi"/>
          <w:szCs w:val="24"/>
          <w:lang w:val="es-ES_tradnl"/>
        </w:rPr>
        <w:sym w:font="Symbol" w:char="F079"/>
      </w:r>
      <w:r w:rsidRPr="007E384A">
        <w:rPr>
          <w:rFonts w:asciiTheme="majorBidi" w:hAnsiTheme="majorBidi" w:cstheme="majorBidi"/>
          <w:position w:val="-4"/>
          <w:sz w:val="20"/>
          <w:lang w:val="es-ES_tradnl"/>
        </w:rPr>
        <w:t>1</w:t>
      </w:r>
      <w:r w:rsidRPr="00B10A0D">
        <w:rPr>
          <w:lang w:val="es-ES_tradnl"/>
        </w:rPr>
        <w:t xml:space="preserve"> </w:t>
      </w:r>
      <w:r w:rsidRPr="00B10A0D">
        <w:rPr>
          <w:rFonts w:ascii="Symbol" w:hAnsi="Symbol"/>
          <w:lang w:val="es-ES_tradnl"/>
        </w:rPr>
        <w:t></w:t>
      </w:r>
      <w:r w:rsidRPr="00B10A0D">
        <w:rPr>
          <w:lang w:val="es-ES_tradnl"/>
        </w:rPr>
        <w:t xml:space="preserve"> </w:t>
      </w:r>
      <w:r w:rsidRPr="00B10A0D">
        <w:rPr>
          <w:lang w:val="es-ES_tradnl"/>
        </w:rPr>
        <w:tab/>
      </w:r>
      <w:r w:rsidRPr="00B10A0D">
        <w:rPr>
          <w:szCs w:val="24"/>
          <w:lang w:val="es-ES_tradnl"/>
        </w:rPr>
        <w:sym w:font="Symbol" w:char="F079"/>
      </w:r>
      <w:r w:rsidRPr="00B10A0D">
        <w:rPr>
          <w:i/>
          <w:iCs/>
          <w:position w:val="-4"/>
          <w:sz w:val="20"/>
          <w:lang w:val="es-ES_tradnl"/>
        </w:rPr>
        <w:t>b</w:t>
      </w:r>
      <w:r w:rsidRPr="00B10A0D">
        <w:rPr>
          <w:lang w:val="es-ES_tradnl"/>
        </w:rPr>
        <w:t xml:space="preserve"> </w:t>
      </w:r>
      <w:r w:rsidR="007E384A" w:rsidRPr="007E384A">
        <w:rPr>
          <w:position w:val="-18"/>
          <w:lang w:val="es-ES_tradnl"/>
        </w:rPr>
        <w:object w:dxaOrig="1020" w:dyaOrig="460">
          <v:shape id="_x0000_i1029" type="#_x0000_t75" style="width:51pt;height:22.2pt" o:ole="">
            <v:imagedata r:id="rId23" o:title=""/>
          </v:shape>
          <o:OLEObject Type="Embed" ProgID="Equation.3" ShapeID="_x0000_i1029" DrawAspect="Content" ObjectID="_1374395606" r:id="rId24"/>
        </w:object>
      </w:r>
      <w:r w:rsidRPr="00B10A0D">
        <w:rPr>
          <w:lang w:val="es-ES_tradnl"/>
        </w:rPr>
        <w:tab/>
      </w:r>
      <w:r w:rsidR="007E384A">
        <w:rPr>
          <w:lang w:val="es-ES_tradnl"/>
        </w:rPr>
        <w:tab/>
      </w:r>
      <w:r w:rsidRPr="00B10A0D">
        <w:rPr>
          <w:lang w:val="es-ES_tradnl"/>
        </w:rPr>
        <w:t>grados</w:t>
      </w:r>
    </w:p>
    <w:p w:rsidR="00BF1286" w:rsidRPr="00B10A0D" w:rsidRDefault="00BF1286" w:rsidP="00B73F8A">
      <w:pPr>
        <w:pStyle w:val="Equationlegend"/>
        <w:tabs>
          <w:tab w:val="right" w:pos="4536"/>
        </w:tabs>
        <w:rPr>
          <w:lang w:val="es-ES_tradnl"/>
        </w:rPr>
      </w:pPr>
      <w:r w:rsidRPr="00B10A0D">
        <w:rPr>
          <w:lang w:val="es-ES_tradnl"/>
        </w:rPr>
        <w:tab/>
      </w:r>
      <w:r w:rsidRPr="007E384A">
        <w:rPr>
          <w:rFonts w:asciiTheme="majorBidi" w:hAnsiTheme="majorBidi" w:cstheme="majorBidi"/>
          <w:szCs w:val="24"/>
          <w:lang w:val="es-ES_tradnl"/>
        </w:rPr>
        <w:sym w:font="Symbol" w:char="F079"/>
      </w:r>
      <w:r w:rsidRPr="00B10A0D">
        <w:rPr>
          <w:position w:val="-4"/>
          <w:sz w:val="20"/>
          <w:lang w:val="es-ES_tradnl"/>
        </w:rPr>
        <w:t>2</w:t>
      </w:r>
      <w:r w:rsidRPr="007E384A">
        <w:rPr>
          <w:szCs w:val="24"/>
          <w:lang w:val="es-ES_tradnl"/>
        </w:rPr>
        <w:t xml:space="preserve"> </w:t>
      </w:r>
      <w:r w:rsidRPr="00B10A0D">
        <w:rPr>
          <w:rFonts w:ascii="Symbol" w:hAnsi="Symbol"/>
          <w:lang w:val="es-ES_tradnl"/>
        </w:rPr>
        <w:t></w:t>
      </w:r>
      <w:r w:rsidRPr="00B10A0D">
        <w:rPr>
          <w:lang w:val="es-ES_tradnl"/>
        </w:rPr>
        <w:t xml:space="preserve"> </w:t>
      </w:r>
      <w:r w:rsidRPr="00B10A0D">
        <w:rPr>
          <w:lang w:val="es-ES_tradnl"/>
        </w:rPr>
        <w:tab/>
        <w:t xml:space="preserve">3,745 </w:t>
      </w:r>
      <w:r w:rsidRPr="00B10A0D">
        <w:rPr>
          <w:szCs w:val="24"/>
          <w:lang w:val="es-ES_tradnl"/>
        </w:rPr>
        <w:sym w:font="Symbol" w:char="F079"/>
      </w:r>
      <w:r w:rsidRPr="00B10A0D">
        <w:rPr>
          <w:i/>
          <w:iCs/>
          <w:position w:val="-4"/>
          <w:sz w:val="20"/>
          <w:lang w:val="es-ES_tradnl"/>
        </w:rPr>
        <w:t>b</w:t>
      </w:r>
      <w:r w:rsidRPr="00B10A0D">
        <w:rPr>
          <w:lang w:val="es-ES_tradnl"/>
        </w:rPr>
        <w:tab/>
      </w:r>
      <w:r w:rsidR="007E384A">
        <w:rPr>
          <w:lang w:val="es-ES_tradnl"/>
        </w:rPr>
        <w:tab/>
      </w:r>
      <w:r w:rsidRPr="00B10A0D">
        <w:rPr>
          <w:lang w:val="es-ES_tradnl"/>
        </w:rPr>
        <w:t>grados</w:t>
      </w:r>
    </w:p>
    <w:p w:rsidR="00BF1286" w:rsidRPr="00B10A0D" w:rsidRDefault="00BF1286" w:rsidP="00B73F8A">
      <w:pPr>
        <w:pStyle w:val="Equationlegend"/>
        <w:tabs>
          <w:tab w:val="right" w:pos="4536"/>
        </w:tabs>
        <w:rPr>
          <w:lang w:val="es-ES_tradnl"/>
        </w:rPr>
      </w:pPr>
      <w:r w:rsidRPr="00B10A0D">
        <w:rPr>
          <w:lang w:val="es-ES_tradnl"/>
        </w:rPr>
        <w:tab/>
      </w:r>
      <w:r w:rsidRPr="00B10A0D">
        <w:rPr>
          <w:i/>
          <w:iCs/>
          <w:lang w:val="es-ES_tradnl"/>
        </w:rPr>
        <w:t>X</w:t>
      </w:r>
      <w:r w:rsidRPr="00B10A0D">
        <w:rPr>
          <w:lang w:val="es-ES_tradnl"/>
        </w:rPr>
        <w:t xml:space="preserve"> </w:t>
      </w:r>
      <w:r w:rsidRPr="00B10A0D">
        <w:rPr>
          <w:rFonts w:ascii="Symbol" w:hAnsi="Symbol"/>
          <w:lang w:val="es-ES_tradnl"/>
        </w:rPr>
        <w:t></w:t>
      </w:r>
      <w:r w:rsidRPr="00B10A0D">
        <w:rPr>
          <w:lang w:val="es-ES_tradnl"/>
        </w:rPr>
        <w:t xml:space="preserve"> </w:t>
      </w:r>
      <w:r w:rsidRPr="00B10A0D">
        <w:rPr>
          <w:lang w:val="es-ES_tradnl"/>
        </w:rPr>
        <w:tab/>
      </w:r>
      <w:r w:rsidRPr="00B10A0D">
        <w:rPr>
          <w:i/>
          <w:iCs/>
          <w:lang w:val="es-ES_tradnl"/>
        </w:rPr>
        <w:t>G</w:t>
      </w:r>
      <w:r w:rsidRPr="00B10A0D">
        <w:rPr>
          <w:i/>
          <w:iCs/>
          <w:position w:val="-4"/>
          <w:sz w:val="20"/>
          <w:lang w:val="es-ES_tradnl"/>
        </w:rPr>
        <w:t>m</w:t>
      </w:r>
      <w:r w:rsidRPr="00B10A0D">
        <w:rPr>
          <w:lang w:val="es-ES_tradnl"/>
        </w:rPr>
        <w:t xml:space="preserve"> </w:t>
      </w:r>
      <w:r w:rsidRPr="00B10A0D">
        <w:rPr>
          <w:rFonts w:ascii="Symbol" w:hAnsi="Symbol"/>
          <w:lang w:val="es-ES_tradnl"/>
        </w:rPr>
        <w:t></w:t>
      </w:r>
      <w:r w:rsidRPr="00B10A0D">
        <w:rPr>
          <w:lang w:val="es-ES_tradnl"/>
        </w:rPr>
        <w:t xml:space="preserve"> </w:t>
      </w:r>
      <w:r w:rsidRPr="00B10A0D">
        <w:rPr>
          <w:i/>
          <w:iCs/>
          <w:lang w:val="es-ES_tradnl"/>
        </w:rPr>
        <w:t>L</w:t>
      </w:r>
      <w:r w:rsidRPr="00B10A0D">
        <w:rPr>
          <w:i/>
          <w:iCs/>
          <w:position w:val="-4"/>
          <w:sz w:val="20"/>
          <w:lang w:val="es-ES_tradnl"/>
        </w:rPr>
        <w:t>N</w:t>
      </w:r>
      <w:r w:rsidRPr="00B10A0D">
        <w:rPr>
          <w:lang w:val="es-ES_tradnl"/>
        </w:rPr>
        <w:t xml:space="preserve"> + 60 log (</w:t>
      </w:r>
      <w:r w:rsidRPr="00B10A0D">
        <w:rPr>
          <w:szCs w:val="24"/>
          <w:lang w:val="es-ES_tradnl"/>
        </w:rPr>
        <w:sym w:font="Symbol" w:char="F079"/>
      </w:r>
      <w:r w:rsidRPr="00B10A0D">
        <w:rPr>
          <w:position w:val="-4"/>
          <w:sz w:val="20"/>
          <w:lang w:val="es-ES_tradnl"/>
        </w:rPr>
        <w:t>2</w:t>
      </w:r>
      <w:r w:rsidRPr="00B10A0D">
        <w:rPr>
          <w:lang w:val="es-ES_tradnl"/>
        </w:rPr>
        <w:t>)</w:t>
      </w:r>
      <w:r w:rsidRPr="00B10A0D">
        <w:rPr>
          <w:lang w:val="es-ES_tradnl"/>
        </w:rPr>
        <w:tab/>
      </w:r>
      <w:r w:rsidR="00B73F8A">
        <w:rPr>
          <w:lang w:val="es-ES_tradnl"/>
        </w:rPr>
        <w:tab/>
      </w:r>
      <w:r w:rsidRPr="00B10A0D">
        <w:rPr>
          <w:lang w:val="es-ES_tradnl"/>
        </w:rPr>
        <w:t>dBi</w:t>
      </w:r>
    </w:p>
    <w:p w:rsidR="00BF1286" w:rsidRPr="00B10A0D" w:rsidRDefault="00BF1286" w:rsidP="00B73F8A">
      <w:pPr>
        <w:pStyle w:val="Equationlegend"/>
        <w:tabs>
          <w:tab w:val="right" w:pos="4536"/>
        </w:tabs>
        <w:rPr>
          <w:lang w:val="es-ES_tradnl"/>
        </w:rPr>
      </w:pPr>
      <w:r w:rsidRPr="00B10A0D">
        <w:rPr>
          <w:lang w:val="es-ES_tradnl"/>
        </w:rPr>
        <w:tab/>
      </w:r>
      <w:r w:rsidRPr="007E384A">
        <w:rPr>
          <w:rFonts w:asciiTheme="majorBidi" w:hAnsiTheme="majorBidi" w:cstheme="majorBidi"/>
          <w:szCs w:val="24"/>
          <w:lang w:val="es-ES_tradnl"/>
        </w:rPr>
        <w:sym w:font="Symbol" w:char="F079"/>
      </w:r>
      <w:r w:rsidRPr="00B10A0D">
        <w:rPr>
          <w:position w:val="-4"/>
          <w:sz w:val="20"/>
          <w:lang w:val="es-ES_tradnl"/>
        </w:rPr>
        <w:t>3</w:t>
      </w:r>
      <w:r w:rsidRPr="00B10A0D">
        <w:rPr>
          <w:lang w:val="es-ES_tradnl"/>
        </w:rPr>
        <w:t xml:space="preserve"> = </w:t>
      </w:r>
      <w:r w:rsidRPr="00B10A0D">
        <w:rPr>
          <w:lang w:val="es-ES_tradnl"/>
        </w:rPr>
        <w:tab/>
      </w:r>
      <w:r w:rsidR="007E384A" w:rsidRPr="00B10A0D">
        <w:rPr>
          <w:position w:val="-6"/>
          <w:lang w:val="es-ES_tradnl"/>
        </w:rPr>
        <w:object w:dxaOrig="1219" w:dyaOrig="360">
          <v:shape id="_x0000_i1030" type="#_x0000_t75" style="width:60pt;height:17.4pt" o:ole="">
            <v:imagedata r:id="rId25" o:title=""/>
          </v:shape>
          <o:OLEObject Type="Embed" ProgID="Equation.3" ShapeID="_x0000_i1030" DrawAspect="Content" ObjectID="_1374395607" r:id="rId26"/>
        </w:object>
      </w:r>
      <w:r w:rsidRPr="00B10A0D">
        <w:rPr>
          <w:lang w:val="es-ES_tradnl"/>
        </w:rPr>
        <w:tab/>
      </w:r>
      <w:r w:rsidR="007E384A">
        <w:rPr>
          <w:lang w:val="es-ES_tradnl"/>
        </w:rPr>
        <w:tab/>
      </w:r>
      <w:r w:rsidRPr="00B10A0D">
        <w:rPr>
          <w:lang w:val="es-ES_tradnl"/>
        </w:rPr>
        <w:t>grados.</w:t>
      </w:r>
    </w:p>
    <w:p w:rsidR="00BF1286" w:rsidRPr="00B10A0D" w:rsidRDefault="00BF1286" w:rsidP="00B73F8A">
      <w:pPr>
        <w:tabs>
          <w:tab w:val="left" w:pos="5103"/>
        </w:tabs>
        <w:rPr>
          <w:color w:val="000000"/>
          <w:lang w:val="es-ES_tradnl"/>
        </w:rPr>
      </w:pPr>
      <w:r w:rsidRPr="00B10A0D">
        <w:rPr>
          <w:color w:val="000000"/>
          <w:lang w:val="es-ES_tradnl"/>
        </w:rPr>
        <w:t>La anchura de haz a 3 dB (2</w:t>
      </w:r>
      <w:r w:rsidRPr="00B10A0D">
        <w:rPr>
          <w:color w:val="000000"/>
          <w:szCs w:val="24"/>
          <w:lang w:val="es-ES_tradnl"/>
        </w:rPr>
        <w:sym w:font="Symbol" w:char="F079"/>
      </w:r>
      <w:r w:rsidRPr="00B10A0D">
        <w:rPr>
          <w:i/>
          <w:iCs/>
          <w:color w:val="000000"/>
          <w:position w:val="-4"/>
          <w:sz w:val="20"/>
          <w:lang w:val="es-ES_tradnl"/>
        </w:rPr>
        <w:t>b</w:t>
      </w:r>
      <w:r w:rsidRPr="00B10A0D">
        <w:rPr>
          <w:color w:val="000000"/>
          <w:lang w:val="es-ES_tradnl"/>
        </w:rPr>
        <w:t>) se calcula a partir de:</w:t>
      </w:r>
    </w:p>
    <w:p w:rsidR="00B73F8A" w:rsidRPr="00B10A0D" w:rsidRDefault="00B73F8A" w:rsidP="00B73F8A">
      <w:pPr>
        <w:pStyle w:val="Equationlegend"/>
        <w:tabs>
          <w:tab w:val="right" w:pos="4536"/>
        </w:tabs>
        <w:rPr>
          <w:lang w:val="es-ES_tradnl"/>
        </w:rPr>
      </w:pPr>
      <w:r w:rsidRPr="00B10A0D">
        <w:rPr>
          <w:color w:val="000000"/>
          <w:lang w:val="es-ES_tradnl"/>
        </w:rPr>
        <w:tab/>
        <w:t>(</w:t>
      </w:r>
      <w:r w:rsidRPr="007E384A">
        <w:rPr>
          <w:rFonts w:asciiTheme="majorBidi" w:hAnsiTheme="majorBidi" w:cstheme="majorBidi"/>
          <w:color w:val="000000"/>
          <w:szCs w:val="24"/>
          <w:lang w:val="es-ES_tradnl"/>
        </w:rPr>
        <w:sym w:font="Symbol" w:char="F079"/>
      </w:r>
      <w:r w:rsidRPr="00B10A0D">
        <w:rPr>
          <w:i/>
          <w:iCs/>
          <w:color w:val="000000"/>
          <w:position w:val="-4"/>
          <w:sz w:val="20"/>
          <w:lang w:val="es-ES_tradnl"/>
        </w:rPr>
        <w:t>b</w:t>
      </w:r>
      <w:r w:rsidRPr="00B10A0D">
        <w:rPr>
          <w:color w:val="000000"/>
          <w:lang w:val="es-ES_tradnl"/>
        </w:rPr>
        <w:t>)</w:t>
      </w:r>
      <w:r w:rsidRPr="00B10A0D">
        <w:rPr>
          <w:color w:val="000000"/>
          <w:position w:val="6"/>
          <w:sz w:val="20"/>
          <w:lang w:val="es-ES_tradnl"/>
        </w:rPr>
        <w:t>2</w:t>
      </w:r>
      <w:r>
        <w:rPr>
          <w:color w:val="000000"/>
          <w:lang w:val="es-ES_tradnl"/>
        </w:rPr>
        <w:t> </w:t>
      </w:r>
      <w:r w:rsidRPr="00B10A0D">
        <w:rPr>
          <w:rFonts w:ascii="Symbol" w:hAnsi="Symbol"/>
          <w:color w:val="000000"/>
          <w:lang w:val="es-ES_tradnl"/>
        </w:rPr>
        <w:t></w:t>
      </w:r>
      <w:r>
        <w:rPr>
          <w:color w:val="000000"/>
          <w:lang w:val="es-ES_tradnl"/>
        </w:rPr>
        <w:tab/>
      </w:r>
      <w:r w:rsidRPr="00B10A0D">
        <w:rPr>
          <w:color w:val="000000"/>
          <w:lang w:val="es-ES_tradnl"/>
        </w:rPr>
        <w:t>7</w:t>
      </w:r>
      <w:r w:rsidRPr="00B10A0D">
        <w:rPr>
          <w:rFonts w:ascii="Tms Rmn" w:hAnsi="Tms Rmn"/>
          <w:color w:val="000000"/>
          <w:sz w:val="12"/>
          <w:lang w:val="es-ES_tradnl"/>
        </w:rPr>
        <w:t> </w:t>
      </w:r>
      <w:r w:rsidRPr="00B10A0D">
        <w:rPr>
          <w:color w:val="000000"/>
          <w:lang w:val="es-ES_tradnl"/>
        </w:rPr>
        <w:t>442/(10</w:t>
      </w:r>
      <w:r w:rsidRPr="00B10A0D">
        <w:rPr>
          <w:color w:val="000000"/>
          <w:position w:val="6"/>
          <w:sz w:val="20"/>
          <w:lang w:val="es-ES_tradnl"/>
        </w:rPr>
        <w:t>0,1</w:t>
      </w:r>
      <w:r w:rsidRPr="00B10A0D">
        <w:rPr>
          <w:i/>
          <w:iCs/>
          <w:color w:val="000000"/>
          <w:position w:val="6"/>
          <w:sz w:val="20"/>
          <w:lang w:val="es-ES_tradnl"/>
        </w:rPr>
        <w:t>G</w:t>
      </w:r>
      <w:r w:rsidRPr="00B10A0D">
        <w:rPr>
          <w:i/>
          <w:iCs/>
          <w:color w:val="000000"/>
          <w:position w:val="6"/>
          <w:sz w:val="20"/>
          <w:vertAlign w:val="subscript"/>
          <w:lang w:val="es-ES_tradnl"/>
        </w:rPr>
        <w:t>m</w:t>
      </w:r>
      <w:r w:rsidRPr="00B10A0D">
        <w:rPr>
          <w:color w:val="000000"/>
          <w:lang w:val="es-ES_tradnl"/>
        </w:rPr>
        <w:t>)</w:t>
      </w:r>
      <w:r w:rsidRPr="00B10A0D">
        <w:rPr>
          <w:color w:val="000000"/>
          <w:lang w:val="es-ES_tradnl"/>
        </w:rPr>
        <w:tab/>
      </w:r>
      <w:r>
        <w:rPr>
          <w:color w:val="000000"/>
          <w:lang w:val="es-ES_tradnl"/>
        </w:rPr>
        <w:tab/>
      </w:r>
      <w:r w:rsidRPr="00B10A0D">
        <w:rPr>
          <w:color w:val="000000"/>
          <w:lang w:val="es-ES_tradnl"/>
        </w:rPr>
        <w:t>grados</w:t>
      </w:r>
      <w:r w:rsidRPr="00B10A0D">
        <w:rPr>
          <w:color w:val="000000"/>
          <w:vertAlign w:val="superscript"/>
          <w:lang w:val="es-ES_tradnl"/>
        </w:rPr>
        <w:t>2</w:t>
      </w:r>
      <w:r w:rsidRPr="00B10A0D">
        <w:rPr>
          <w:color w:val="000000"/>
          <w:lang w:val="es-ES_tradnl"/>
        </w:rPr>
        <w:t>.</w:t>
      </w:r>
    </w:p>
    <w:p w:rsidR="00BF1286" w:rsidRPr="00B10A0D" w:rsidRDefault="00BF1286" w:rsidP="00BF1286">
      <w:pPr>
        <w:pStyle w:val="Normalaftertitle"/>
        <w:rPr>
          <w:lang w:val="es-ES_tradnl"/>
        </w:rPr>
      </w:pPr>
      <w:r w:rsidRPr="00B10A0D">
        <w:rPr>
          <w:lang w:val="es-ES_tradnl"/>
        </w:rPr>
        <w:t>De conformidad con el contorno de radiación de antena especificado en la Resolución 221 (Rev.CMR-07), para este sistema de antenas controladas por fase de alto rendimiento se utiliza un régimen de caída de antena de 60 dB por década.</w:t>
      </w:r>
    </w:p>
    <w:p w:rsidR="00BF1286" w:rsidRPr="00B10A0D" w:rsidRDefault="00BF1286" w:rsidP="00BF1286">
      <w:pPr>
        <w:pStyle w:val="FigureNo"/>
        <w:rPr>
          <w:lang w:val="es-ES_tradnl"/>
        </w:rPr>
      </w:pPr>
      <w:r w:rsidRPr="00B10A0D">
        <w:rPr>
          <w:lang w:val="es-ES_tradnl"/>
        </w:rPr>
        <w:t>figura 5</w:t>
      </w:r>
    </w:p>
    <w:p w:rsidR="00BF1286" w:rsidRDefault="00BF1286" w:rsidP="00BF1286">
      <w:pPr>
        <w:pStyle w:val="Figuretitle"/>
        <w:rPr>
          <w:lang w:val="es-ES_tradnl"/>
        </w:rPr>
      </w:pPr>
      <w:r w:rsidRPr="00B10A0D">
        <w:rPr>
          <w:lang w:val="es-ES_tradnl"/>
        </w:rPr>
        <w:t xml:space="preserve">Diagrama de antena de referencia de la estación de pasarela HAPS </w:t>
      </w:r>
      <w:r w:rsidRPr="00B10A0D">
        <w:rPr>
          <w:lang w:val="es-ES_tradnl"/>
        </w:rPr>
        <w:br/>
        <w:t>para una antena de 47 dBi</w:t>
      </w:r>
    </w:p>
    <w:p w:rsidR="00B73F8A" w:rsidRPr="00E8305B" w:rsidRDefault="00B73F8A" w:rsidP="00B73F8A">
      <w:pPr>
        <w:pStyle w:val="Blanc"/>
        <w:rPr>
          <w:lang w:val="es-ES_tradnl"/>
        </w:rPr>
      </w:pPr>
    </w:p>
    <w:p w:rsidR="00BF1286" w:rsidRDefault="007E384A" w:rsidP="00BF1286">
      <w:pPr>
        <w:pStyle w:val="Figure"/>
        <w:rPr>
          <w:lang w:val="es-ES_tradnl"/>
        </w:rPr>
      </w:pPr>
      <w:r w:rsidRPr="00B10A0D">
        <w:rPr>
          <w:lang w:val="es-ES_tradnl"/>
        </w:rPr>
        <w:object w:dxaOrig="7235" w:dyaOrig="6093">
          <v:shape id="_x0000_i1031" type="#_x0000_t75" style="width:339.6pt;height:286.2pt" o:ole="">
            <v:imagedata r:id="rId27" o:title=""/>
          </v:shape>
          <o:OLEObject Type="Embed" ProgID="CorelDRAW.Graphic.14" ShapeID="_x0000_i1031" DrawAspect="Content" ObjectID="_1374395608" r:id="rId28"/>
        </w:object>
      </w:r>
    </w:p>
    <w:p w:rsidR="00BF1286" w:rsidRPr="00B10A0D" w:rsidRDefault="00BF1286" w:rsidP="00BF1286">
      <w:pPr>
        <w:pStyle w:val="FigureNo"/>
        <w:rPr>
          <w:lang w:val="es-ES_tradnl"/>
        </w:rPr>
      </w:pPr>
      <w:r w:rsidRPr="00B10A0D">
        <w:rPr>
          <w:lang w:val="es-ES_tradnl"/>
        </w:rPr>
        <w:lastRenderedPageBreak/>
        <w:t>figura 6</w:t>
      </w:r>
    </w:p>
    <w:p w:rsidR="00BF1286" w:rsidRDefault="00BF1286" w:rsidP="00BF1286">
      <w:pPr>
        <w:pStyle w:val="Figuretitle"/>
        <w:rPr>
          <w:lang w:val="es-ES_tradnl"/>
        </w:rPr>
      </w:pPr>
      <w:r w:rsidRPr="00B10A0D">
        <w:rPr>
          <w:lang w:val="es-ES_tradnl"/>
        </w:rPr>
        <w:t>Diagrama de antena de referencia de la estación en plataforma HAPS</w:t>
      </w:r>
      <w:r w:rsidRPr="00B10A0D">
        <w:rPr>
          <w:lang w:val="es-ES_tradnl"/>
        </w:rPr>
        <w:br/>
        <w:t>para una antena de 30 dBi</w:t>
      </w:r>
    </w:p>
    <w:p w:rsidR="00B73F8A" w:rsidRPr="00E8305B" w:rsidRDefault="00B73F8A" w:rsidP="00B73F8A">
      <w:pPr>
        <w:pStyle w:val="Blanc"/>
        <w:rPr>
          <w:lang w:val="es-ES_tradnl"/>
        </w:rPr>
      </w:pPr>
    </w:p>
    <w:p w:rsidR="00BF1286" w:rsidRPr="00B10A0D" w:rsidRDefault="007E384A" w:rsidP="00BF1286">
      <w:pPr>
        <w:pStyle w:val="Figure"/>
        <w:rPr>
          <w:lang w:val="es-ES_tradnl"/>
        </w:rPr>
      </w:pPr>
      <w:r w:rsidRPr="00B10A0D">
        <w:rPr>
          <w:lang w:val="es-ES_tradnl"/>
        </w:rPr>
        <w:object w:dxaOrig="7313" w:dyaOrig="6225">
          <v:shape id="_x0000_i1032" type="#_x0000_t75" style="width:343.2pt;height:292.2pt" o:ole="">
            <v:imagedata r:id="rId29" o:title=""/>
          </v:shape>
          <o:OLEObject Type="Embed" ProgID="CorelDRAW.Graphic.14" ShapeID="_x0000_i1032" DrawAspect="Content" ObjectID="_1374395609" r:id="rId30"/>
        </w:object>
      </w:r>
    </w:p>
    <w:p w:rsidR="00E63647" w:rsidRDefault="00E63647" w:rsidP="00E63647">
      <w:pPr>
        <w:rPr>
          <w:lang w:val="es-ES_tradnl"/>
        </w:rPr>
      </w:pPr>
    </w:p>
    <w:p w:rsidR="00BF1286" w:rsidRPr="00B10A0D" w:rsidRDefault="00BF1286" w:rsidP="00BF1286">
      <w:pPr>
        <w:pStyle w:val="Heading1"/>
        <w:rPr>
          <w:lang w:val="es-ES_tradnl"/>
        </w:rPr>
      </w:pPr>
      <w:r w:rsidRPr="00B10A0D">
        <w:rPr>
          <w:lang w:val="es-ES_tradnl"/>
        </w:rPr>
        <w:t>9</w:t>
      </w:r>
      <w:r w:rsidRPr="00B10A0D">
        <w:rPr>
          <w:lang w:val="es-ES_tradnl"/>
        </w:rPr>
        <w:tab/>
        <w:t>Modulación adaptativa para los enlaces de pasarela</w:t>
      </w:r>
    </w:p>
    <w:p w:rsidR="00BF1286" w:rsidRPr="00B10A0D" w:rsidRDefault="00BF1286" w:rsidP="00715809">
      <w:pPr>
        <w:rPr>
          <w:lang w:val="es-ES_tradnl"/>
        </w:rPr>
      </w:pPr>
      <w:r w:rsidRPr="00B10A0D">
        <w:rPr>
          <w:lang w:val="es-ES_tradnl"/>
        </w:rPr>
        <w:t xml:space="preserve">Cada enlace de pasarela individual utiliza modulación adaptativa que proporciona capacidad de recuperación al reducir automáticamente el nivel de modulación si aparecen unos niveles más elevados de ruido y de interferencia intermitente. Cada enlace de pasarela puede ajustar su nivel de modulación independientemente de cada uno de los otros enlaces de pasarela y dependiendo del nivel </w:t>
      </w:r>
      <w:r w:rsidRPr="00B10A0D">
        <w:rPr>
          <w:i/>
          <w:iCs/>
          <w:lang w:val="es-ES_tradnl"/>
        </w:rPr>
        <w:t>C</w:t>
      </w:r>
      <w:r w:rsidRPr="00B10A0D">
        <w:rPr>
          <w:lang w:val="es-ES_tradnl"/>
        </w:rPr>
        <w:t>/(</w:t>
      </w:r>
      <w:r w:rsidRPr="00B10A0D">
        <w:rPr>
          <w:i/>
          <w:iCs/>
          <w:lang w:val="es-ES_tradnl"/>
        </w:rPr>
        <w:t>N </w:t>
      </w:r>
      <w:r w:rsidRPr="00B10A0D">
        <w:rPr>
          <w:lang w:val="es-ES_tradnl"/>
        </w:rPr>
        <w:t>+ </w:t>
      </w:r>
      <w:r w:rsidRPr="00B10A0D">
        <w:rPr>
          <w:i/>
          <w:iCs/>
          <w:lang w:val="es-ES_tradnl"/>
        </w:rPr>
        <w:t>I</w:t>
      </w:r>
      <w:r w:rsidRPr="00B10A0D">
        <w:rPr>
          <w:i/>
          <w:iCs/>
          <w:vertAlign w:val="subscript"/>
          <w:lang w:val="es-ES_tradnl"/>
        </w:rPr>
        <w:t>ToT</w:t>
      </w:r>
      <w:r w:rsidRPr="00B10A0D">
        <w:rPr>
          <w:lang w:val="es-ES_tradnl"/>
        </w:rPr>
        <w:t>) que recibe cada uno. El Cuadro</w:t>
      </w:r>
      <w:r w:rsidR="00715809">
        <w:rPr>
          <w:lang w:val="es-ES_tradnl"/>
        </w:rPr>
        <w:t> </w:t>
      </w:r>
      <w:r w:rsidRPr="00B10A0D">
        <w:rPr>
          <w:lang w:val="es-ES_tradnl"/>
        </w:rPr>
        <w:t xml:space="preserve">4 muestra el valor específico de </w:t>
      </w:r>
      <w:r w:rsidRPr="00B10A0D">
        <w:rPr>
          <w:i/>
          <w:iCs/>
          <w:lang w:val="es-ES_tradnl"/>
        </w:rPr>
        <w:t>C</w:t>
      </w:r>
      <w:r w:rsidRPr="00B10A0D">
        <w:rPr>
          <w:lang w:val="es-ES_tradnl"/>
        </w:rPr>
        <w:t>/(</w:t>
      </w:r>
      <w:r w:rsidRPr="00B10A0D">
        <w:rPr>
          <w:i/>
          <w:iCs/>
          <w:lang w:val="es-ES_tradnl"/>
        </w:rPr>
        <w:t>N </w:t>
      </w:r>
      <w:r w:rsidRPr="00B10A0D">
        <w:rPr>
          <w:lang w:val="es-ES_tradnl"/>
        </w:rPr>
        <w:t>+ </w:t>
      </w:r>
      <w:r w:rsidRPr="00B10A0D">
        <w:rPr>
          <w:i/>
          <w:iCs/>
          <w:lang w:val="es-ES_tradnl"/>
        </w:rPr>
        <w:t>I</w:t>
      </w:r>
      <w:r w:rsidRPr="00B10A0D">
        <w:rPr>
          <w:i/>
          <w:iCs/>
          <w:vertAlign w:val="subscript"/>
          <w:lang w:val="es-ES_tradnl"/>
        </w:rPr>
        <w:t>ToT</w:t>
      </w:r>
      <w:r w:rsidRPr="00B10A0D">
        <w:rPr>
          <w:lang w:val="es-ES_tradnl"/>
        </w:rPr>
        <w:t>) necesario para mantener un nivel de modulación de pasarela en particular y la capacidad de un solo enlace para un determinado espectro disponible para el enlace de pasarela. Cada uno de los cinco enlaces de pasarela reutiliza el mismo espectro de 160 MHz.</w:t>
      </w:r>
    </w:p>
    <w:p w:rsidR="00BF1286" w:rsidRPr="00B10A0D" w:rsidRDefault="00BF1286" w:rsidP="00BF1286">
      <w:pPr>
        <w:rPr>
          <w:lang w:val="es-ES_tradnl"/>
        </w:rPr>
      </w:pPr>
      <w:r w:rsidRPr="00B10A0D">
        <w:rPr>
          <w:lang w:val="es-ES_tradnl"/>
        </w:rPr>
        <w:t xml:space="preserve">El valor de </w:t>
      </w:r>
      <w:r w:rsidRPr="00B10A0D">
        <w:rPr>
          <w:i/>
          <w:iCs/>
          <w:lang w:val="es-ES_tradnl"/>
        </w:rPr>
        <w:t>C</w:t>
      </w:r>
      <w:r w:rsidRPr="00B10A0D">
        <w:rPr>
          <w:lang w:val="es-ES_tradnl"/>
        </w:rPr>
        <w:t>/</w:t>
      </w:r>
      <w:r w:rsidRPr="00B10A0D">
        <w:rPr>
          <w:i/>
          <w:iCs/>
          <w:lang w:val="es-ES_tradnl"/>
        </w:rPr>
        <w:t>I</w:t>
      </w:r>
      <w:r w:rsidRPr="00B10A0D">
        <w:rPr>
          <w:i/>
          <w:iCs/>
          <w:vertAlign w:val="subscript"/>
          <w:lang w:val="es-ES_tradnl"/>
        </w:rPr>
        <w:t>EX</w:t>
      </w:r>
      <w:r w:rsidRPr="00B10A0D">
        <w:rPr>
          <w:lang w:val="es-ES_tradnl"/>
        </w:rPr>
        <w:t xml:space="preserve"> a corto plazo no debe ser inferior a 12 dB durante más del 0,001% del tiempo y dicho valor a largo plazo no debe ser menor de 27 dB durante más del 20% del tiempo. Un valor de </w:t>
      </w:r>
      <w:r w:rsidRPr="00B10A0D">
        <w:rPr>
          <w:i/>
          <w:iCs/>
          <w:lang w:val="es-ES_tradnl"/>
        </w:rPr>
        <w:t>C</w:t>
      </w:r>
      <w:r w:rsidRPr="00B10A0D">
        <w:rPr>
          <w:lang w:val="es-ES_tradnl"/>
        </w:rPr>
        <w:t>/</w:t>
      </w:r>
      <w:r w:rsidRPr="00B10A0D">
        <w:rPr>
          <w:i/>
          <w:iCs/>
          <w:lang w:val="es-ES_tradnl"/>
        </w:rPr>
        <w:t>I</w:t>
      </w:r>
      <w:r w:rsidRPr="00B10A0D">
        <w:rPr>
          <w:i/>
          <w:iCs/>
          <w:vertAlign w:val="subscript"/>
          <w:lang w:val="es-ES_tradnl"/>
        </w:rPr>
        <w:t>EX</w:t>
      </w:r>
      <w:r w:rsidRPr="00B10A0D">
        <w:rPr>
          <w:lang w:val="es-ES_tradnl"/>
        </w:rPr>
        <w:t> = 12 dB corresponde a MAQ-16 con codificación 1/2, lo que reduce la capacidad de pasarela de la HAPS única a la mitad (el 50%), como muestra la Fig. 7.</w:t>
      </w:r>
    </w:p>
    <w:p w:rsidR="00BF1286" w:rsidRPr="00B10A0D" w:rsidRDefault="00BF1286" w:rsidP="00BF1286">
      <w:pPr>
        <w:rPr>
          <w:lang w:val="es-ES_tradnl"/>
        </w:rPr>
      </w:pPr>
      <w:r w:rsidRPr="00B10A0D">
        <w:rPr>
          <w:lang w:val="es-ES_tradnl"/>
        </w:rPr>
        <w:t xml:space="preserve">La modulación adaptativa es una tecnología normalizada utilizada en muchos sistemas de comunicaciones a fin de optimizar y obtener disponibilidad y calidad de comunicaciones en canales que experimentan ciertos niveles de congestión intermitentemente a corto o largo plazo. Permite a los enlaces mantener un nivel reducido de comunicaciones cuando hay un considerable volumen de ruido y/o interferencia, mientras que sin modulación adaptativa el enlace no funcionaría por debajo de su mínimo particular requerido </w:t>
      </w:r>
      <w:r w:rsidRPr="00B10A0D">
        <w:rPr>
          <w:i/>
          <w:iCs/>
          <w:lang w:val="es-ES_tradnl"/>
        </w:rPr>
        <w:t>C</w:t>
      </w:r>
      <w:r w:rsidRPr="00B10A0D">
        <w:rPr>
          <w:lang w:val="es-ES_tradnl"/>
        </w:rPr>
        <w:t>/(</w:t>
      </w:r>
      <w:r w:rsidRPr="00B10A0D">
        <w:rPr>
          <w:i/>
          <w:iCs/>
          <w:lang w:val="es-ES_tradnl"/>
        </w:rPr>
        <w:t>N </w:t>
      </w:r>
      <w:r w:rsidRPr="00B10A0D">
        <w:rPr>
          <w:lang w:val="es-ES_tradnl"/>
        </w:rPr>
        <w:t>+ </w:t>
      </w:r>
      <w:r w:rsidRPr="00B10A0D">
        <w:rPr>
          <w:i/>
          <w:iCs/>
          <w:lang w:val="es-ES_tradnl"/>
        </w:rPr>
        <w:t>I</w:t>
      </w:r>
      <w:r w:rsidRPr="00B10A0D">
        <w:rPr>
          <w:i/>
          <w:iCs/>
          <w:vertAlign w:val="subscript"/>
          <w:lang w:val="es-ES_tradnl"/>
        </w:rPr>
        <w:t>ToT</w:t>
      </w:r>
      <w:r w:rsidRPr="00B10A0D">
        <w:rPr>
          <w:lang w:val="es-ES_tradnl"/>
        </w:rPr>
        <w:t>) necesario para explotar ese enlace con su único nivel de modulación designado.</w:t>
      </w:r>
    </w:p>
    <w:p w:rsidR="00BF1286" w:rsidRPr="00B10A0D" w:rsidRDefault="00BF1286" w:rsidP="00BF1286">
      <w:pPr>
        <w:pStyle w:val="TableNo"/>
        <w:rPr>
          <w:lang w:val="es-ES_tradnl"/>
        </w:rPr>
      </w:pPr>
      <w:r w:rsidRPr="00B10A0D">
        <w:rPr>
          <w:lang w:val="es-ES_tradnl"/>
        </w:rPr>
        <w:lastRenderedPageBreak/>
        <w:t>CUADRO 4</w:t>
      </w:r>
    </w:p>
    <w:p w:rsidR="00BF1286" w:rsidRPr="00B10A0D" w:rsidRDefault="00BF1286" w:rsidP="00BF1286">
      <w:pPr>
        <w:pStyle w:val="Tabletitle"/>
        <w:rPr>
          <w:lang w:val="es-ES_tradnl"/>
        </w:rPr>
      </w:pPr>
      <w:r w:rsidRPr="00B10A0D">
        <w:rPr>
          <w:lang w:val="es-ES_tradnl"/>
        </w:rPr>
        <w:t>Capacidad de la pasarela en función de la modulación y la codificación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1660"/>
        <w:gridCol w:w="1660"/>
        <w:gridCol w:w="1936"/>
        <w:gridCol w:w="1338"/>
        <w:gridCol w:w="1385"/>
      </w:tblGrid>
      <w:tr w:rsidR="00BF1286" w:rsidRPr="00AD1110" w:rsidTr="007E384A">
        <w:trPr>
          <w:jc w:val="center"/>
        </w:trPr>
        <w:tc>
          <w:tcPr>
            <w:tcW w:w="1700" w:type="dxa"/>
            <w:vAlign w:val="center"/>
          </w:tcPr>
          <w:p w:rsidR="00BF1286" w:rsidRPr="00B10A0D" w:rsidRDefault="00BF1286" w:rsidP="005A13BC">
            <w:pPr>
              <w:pStyle w:val="Tablehead"/>
              <w:rPr>
                <w:lang w:val="es-ES_tradnl"/>
              </w:rPr>
            </w:pPr>
            <w:r w:rsidRPr="00B10A0D">
              <w:rPr>
                <w:lang w:val="es-ES_tradnl"/>
              </w:rPr>
              <w:t>Modulación del enlace</w:t>
            </w:r>
            <w:r w:rsidR="005A13BC">
              <w:rPr>
                <w:lang w:val="es-ES_tradnl"/>
              </w:rPr>
              <w:br/>
            </w:r>
            <w:r w:rsidRPr="00B10A0D">
              <w:rPr>
                <w:lang w:val="es-ES_tradnl"/>
              </w:rPr>
              <w:t>de pasarela</w:t>
            </w:r>
          </w:p>
        </w:tc>
        <w:tc>
          <w:tcPr>
            <w:tcW w:w="1701" w:type="dxa"/>
            <w:vAlign w:val="center"/>
          </w:tcPr>
          <w:p w:rsidR="00BF1286" w:rsidRPr="00B10A0D" w:rsidRDefault="00BF1286" w:rsidP="005A13BC">
            <w:pPr>
              <w:pStyle w:val="Tablehead"/>
              <w:rPr>
                <w:lang w:val="es-ES_tradnl"/>
              </w:rPr>
            </w:pPr>
            <w:r w:rsidRPr="00B10A0D">
              <w:rPr>
                <w:lang w:val="es-ES_tradnl"/>
              </w:rPr>
              <w:t>Codificación del enlace</w:t>
            </w:r>
            <w:r w:rsidR="005A13BC">
              <w:rPr>
                <w:lang w:val="es-ES_tradnl"/>
              </w:rPr>
              <w:br/>
            </w:r>
            <w:r w:rsidRPr="00B10A0D">
              <w:rPr>
                <w:lang w:val="es-ES_tradnl"/>
              </w:rPr>
              <w:t>de pasarela</w:t>
            </w:r>
          </w:p>
        </w:tc>
        <w:tc>
          <w:tcPr>
            <w:tcW w:w="1701" w:type="dxa"/>
            <w:vAlign w:val="center"/>
          </w:tcPr>
          <w:p w:rsidR="00BF1286" w:rsidRPr="00B10A0D" w:rsidRDefault="00BF1286" w:rsidP="005A13BC">
            <w:pPr>
              <w:pStyle w:val="Tablehead"/>
              <w:rPr>
                <w:vertAlign w:val="subscript"/>
                <w:lang w:val="es-ES_tradnl"/>
              </w:rPr>
            </w:pPr>
            <w:r w:rsidRPr="00B10A0D">
              <w:rPr>
                <w:i/>
                <w:iCs/>
                <w:lang w:val="es-ES_tradnl"/>
              </w:rPr>
              <w:t>C</w:t>
            </w:r>
            <w:r w:rsidRPr="00B10A0D">
              <w:rPr>
                <w:lang w:val="es-ES_tradnl"/>
              </w:rPr>
              <w:t>/(</w:t>
            </w:r>
            <w:r w:rsidRPr="00B10A0D">
              <w:rPr>
                <w:i/>
                <w:iCs/>
                <w:lang w:val="es-ES_tradnl"/>
              </w:rPr>
              <w:t>N </w:t>
            </w:r>
            <w:r w:rsidRPr="00B10A0D">
              <w:rPr>
                <w:lang w:val="es-ES_tradnl"/>
              </w:rPr>
              <w:t>+ </w:t>
            </w:r>
            <w:r w:rsidRPr="00B10A0D">
              <w:rPr>
                <w:i/>
                <w:iCs/>
                <w:lang w:val="es-ES_tradnl"/>
              </w:rPr>
              <w:t>I</w:t>
            </w:r>
            <w:r w:rsidRPr="00B10A0D">
              <w:rPr>
                <w:i/>
                <w:iCs/>
                <w:vertAlign w:val="subscript"/>
                <w:lang w:val="es-ES_tradnl"/>
              </w:rPr>
              <w:t>ToT</w:t>
            </w:r>
            <w:r w:rsidRPr="00B10A0D">
              <w:rPr>
                <w:lang w:val="es-ES_tradnl"/>
              </w:rPr>
              <w:t>)</w:t>
            </w:r>
            <w:r w:rsidRPr="00B10A0D">
              <w:rPr>
                <w:rFonts w:ascii="Times New Roman Bold" w:hAnsi="Times New Roman Bold" w:cs="Times New Roman Bold"/>
                <w:vertAlign w:val="superscript"/>
                <w:lang w:val="es-ES_tradnl"/>
              </w:rPr>
              <w:t>(1)</w:t>
            </w:r>
            <w:r w:rsidRPr="00B10A0D">
              <w:rPr>
                <w:lang w:val="es-ES_tradnl"/>
              </w:rPr>
              <w:t xml:space="preserve"> requerida</w:t>
            </w:r>
            <w:r w:rsidR="005A13BC">
              <w:rPr>
                <w:lang w:val="es-ES_tradnl"/>
              </w:rPr>
              <w:br/>
            </w:r>
            <w:r w:rsidR="005A13BC" w:rsidRPr="00B10A0D">
              <w:rPr>
                <w:lang w:val="es-ES_tradnl"/>
              </w:rPr>
              <w:t>dB</w:t>
            </w:r>
          </w:p>
        </w:tc>
        <w:tc>
          <w:tcPr>
            <w:tcW w:w="1985" w:type="dxa"/>
            <w:vAlign w:val="center"/>
          </w:tcPr>
          <w:p w:rsidR="00BF1286" w:rsidRPr="00B10A0D" w:rsidRDefault="00BF1286" w:rsidP="005A13BC">
            <w:pPr>
              <w:pStyle w:val="Tablehead"/>
              <w:rPr>
                <w:lang w:val="es-ES_tradnl"/>
              </w:rPr>
            </w:pPr>
            <w:r w:rsidRPr="00B10A0D">
              <w:rPr>
                <w:lang w:val="es-ES_tradnl"/>
              </w:rPr>
              <w:t>Capacidad de una pasarela</w:t>
            </w:r>
            <w:r w:rsidRPr="00B10A0D">
              <w:rPr>
                <w:rFonts w:ascii="Times New Roman Bold" w:hAnsi="Times New Roman Bold" w:cs="Times New Roman Bold"/>
                <w:vertAlign w:val="superscript"/>
                <w:lang w:val="es-ES_tradnl"/>
              </w:rPr>
              <w:t>(2)</w:t>
            </w:r>
            <w:r w:rsidR="005A13BC">
              <w:rPr>
                <w:lang w:val="es-ES_tradnl"/>
              </w:rPr>
              <w:br/>
            </w:r>
            <w:r w:rsidRPr="00B10A0D">
              <w:rPr>
                <w:lang w:val="es-ES_tradnl"/>
              </w:rPr>
              <w:t>Mbit/s</w:t>
            </w:r>
          </w:p>
        </w:tc>
        <w:tc>
          <w:tcPr>
            <w:tcW w:w="1370" w:type="dxa"/>
            <w:vAlign w:val="center"/>
          </w:tcPr>
          <w:p w:rsidR="00BF1286" w:rsidRPr="00B10A0D" w:rsidRDefault="00BF1286" w:rsidP="00BF1286">
            <w:pPr>
              <w:pStyle w:val="Tablehead"/>
              <w:rPr>
                <w:lang w:val="es-ES_tradnl"/>
              </w:rPr>
            </w:pPr>
            <w:r w:rsidRPr="00B10A0D">
              <w:rPr>
                <w:lang w:val="es-ES_tradnl"/>
              </w:rPr>
              <w:t>Capacidad de pasarela</w:t>
            </w:r>
            <w:r w:rsidRPr="00B10A0D">
              <w:rPr>
                <w:lang w:val="es-ES_tradnl"/>
              </w:rPr>
              <w:br/>
              <w:t>~ – %</w:t>
            </w:r>
          </w:p>
        </w:tc>
        <w:tc>
          <w:tcPr>
            <w:tcW w:w="1418" w:type="dxa"/>
            <w:vAlign w:val="center"/>
          </w:tcPr>
          <w:p w:rsidR="00BF1286" w:rsidRPr="00B10A0D" w:rsidRDefault="00BF1286" w:rsidP="00BF1286">
            <w:pPr>
              <w:pStyle w:val="Tablehead"/>
              <w:rPr>
                <w:lang w:val="es-ES_tradnl"/>
              </w:rPr>
            </w:pPr>
            <w:r w:rsidRPr="00B10A0D">
              <w:rPr>
                <w:lang w:val="es-ES_tradnl"/>
              </w:rPr>
              <w:t>Eficacia</w:t>
            </w:r>
            <w:r w:rsidR="007E384A">
              <w:rPr>
                <w:lang w:val="es-ES_tradnl"/>
              </w:rPr>
              <w:t xml:space="preserve"> </w:t>
            </w:r>
            <w:r w:rsidRPr="00B10A0D">
              <w:rPr>
                <w:lang w:val="es-ES_tradnl"/>
              </w:rPr>
              <w:br/>
              <w:t xml:space="preserve">específica </w:t>
            </w:r>
            <w:r w:rsidR="005A13BC">
              <w:rPr>
                <w:lang w:val="es-ES_tradnl"/>
              </w:rPr>
              <w:br/>
            </w:r>
            <w:r w:rsidRPr="00B10A0D">
              <w:rPr>
                <w:lang w:val="es-ES_tradnl"/>
              </w:rPr>
              <w:t>bit/s/Hz</w:t>
            </w:r>
          </w:p>
        </w:tc>
      </w:tr>
      <w:tr w:rsidR="00BF1286" w:rsidRPr="005A13BC" w:rsidTr="007E384A">
        <w:trPr>
          <w:jc w:val="center"/>
        </w:trPr>
        <w:tc>
          <w:tcPr>
            <w:tcW w:w="1700" w:type="dxa"/>
          </w:tcPr>
          <w:p w:rsidR="00BF1286" w:rsidRPr="00B10A0D" w:rsidRDefault="00BF1286" w:rsidP="007E384A">
            <w:pPr>
              <w:pStyle w:val="Tabletext"/>
              <w:jc w:val="center"/>
              <w:rPr>
                <w:lang w:val="es-ES_tradnl"/>
              </w:rPr>
            </w:pPr>
            <w:r w:rsidRPr="00B10A0D">
              <w:rPr>
                <w:lang w:val="es-ES_tradnl"/>
              </w:rPr>
              <w:t>MAQ-64</w:t>
            </w:r>
          </w:p>
        </w:tc>
        <w:tc>
          <w:tcPr>
            <w:tcW w:w="1701" w:type="dxa"/>
          </w:tcPr>
          <w:p w:rsidR="00BF1286" w:rsidRPr="00B10A0D" w:rsidRDefault="00BF1286" w:rsidP="007E384A">
            <w:pPr>
              <w:pStyle w:val="Tabletext"/>
              <w:jc w:val="center"/>
              <w:rPr>
                <w:lang w:val="es-ES_tradnl"/>
              </w:rPr>
            </w:pPr>
            <w:r w:rsidRPr="00B10A0D">
              <w:rPr>
                <w:lang w:val="es-ES_tradnl"/>
              </w:rPr>
              <w:t>2/3</w:t>
            </w:r>
          </w:p>
        </w:tc>
        <w:tc>
          <w:tcPr>
            <w:tcW w:w="1701" w:type="dxa"/>
          </w:tcPr>
          <w:p w:rsidR="00BF1286" w:rsidRPr="00B10A0D" w:rsidRDefault="00BF1286" w:rsidP="007E384A">
            <w:pPr>
              <w:pStyle w:val="Tabletext"/>
              <w:jc w:val="center"/>
              <w:rPr>
                <w:lang w:val="es-ES_tradnl"/>
              </w:rPr>
            </w:pPr>
            <w:r w:rsidRPr="00B10A0D">
              <w:rPr>
                <w:lang w:val="es-ES_tradnl"/>
              </w:rPr>
              <w:t>26,3</w:t>
            </w:r>
          </w:p>
        </w:tc>
        <w:tc>
          <w:tcPr>
            <w:tcW w:w="1985" w:type="dxa"/>
          </w:tcPr>
          <w:p w:rsidR="00BF1286" w:rsidRPr="00B10A0D" w:rsidRDefault="00BF1286" w:rsidP="007E384A">
            <w:pPr>
              <w:pStyle w:val="Tabletext"/>
              <w:jc w:val="center"/>
              <w:rPr>
                <w:lang w:val="es-ES_tradnl"/>
              </w:rPr>
            </w:pPr>
            <w:r w:rsidRPr="00B10A0D">
              <w:rPr>
                <w:lang w:val="es-ES_tradnl"/>
              </w:rPr>
              <w:t>533</w:t>
            </w:r>
          </w:p>
        </w:tc>
        <w:tc>
          <w:tcPr>
            <w:tcW w:w="1370" w:type="dxa"/>
          </w:tcPr>
          <w:p w:rsidR="00BF1286" w:rsidRPr="00B10A0D" w:rsidRDefault="00BF1286" w:rsidP="007E384A">
            <w:pPr>
              <w:pStyle w:val="Tabletext"/>
              <w:jc w:val="center"/>
              <w:rPr>
                <w:lang w:val="es-ES_tradnl"/>
              </w:rPr>
            </w:pPr>
            <w:r w:rsidRPr="00B10A0D">
              <w:rPr>
                <w:lang w:val="es-ES_tradnl"/>
              </w:rPr>
              <w:t>100</w:t>
            </w:r>
          </w:p>
        </w:tc>
        <w:tc>
          <w:tcPr>
            <w:tcW w:w="1418" w:type="dxa"/>
          </w:tcPr>
          <w:p w:rsidR="00BF1286" w:rsidRPr="00B10A0D" w:rsidRDefault="00BF1286" w:rsidP="007E384A">
            <w:pPr>
              <w:pStyle w:val="Tabletext"/>
              <w:jc w:val="center"/>
              <w:rPr>
                <w:lang w:val="es-ES_tradnl"/>
              </w:rPr>
            </w:pPr>
            <w:r w:rsidRPr="00B10A0D">
              <w:rPr>
                <w:lang w:val="es-ES_tradnl"/>
              </w:rPr>
              <w:t>4</w:t>
            </w:r>
          </w:p>
        </w:tc>
      </w:tr>
      <w:tr w:rsidR="00BF1286" w:rsidRPr="005A13BC" w:rsidTr="007E384A">
        <w:trPr>
          <w:jc w:val="center"/>
        </w:trPr>
        <w:tc>
          <w:tcPr>
            <w:tcW w:w="1700" w:type="dxa"/>
          </w:tcPr>
          <w:p w:rsidR="00BF1286" w:rsidRPr="00B10A0D" w:rsidRDefault="00BF1286" w:rsidP="007E384A">
            <w:pPr>
              <w:pStyle w:val="Tabletext"/>
              <w:jc w:val="center"/>
              <w:rPr>
                <w:lang w:val="es-ES_tradnl"/>
              </w:rPr>
            </w:pPr>
            <w:r w:rsidRPr="00B10A0D">
              <w:rPr>
                <w:lang w:val="es-ES_tradnl"/>
              </w:rPr>
              <w:t>MAQ-16</w:t>
            </w:r>
          </w:p>
        </w:tc>
        <w:tc>
          <w:tcPr>
            <w:tcW w:w="1701" w:type="dxa"/>
          </w:tcPr>
          <w:p w:rsidR="00BF1286" w:rsidRPr="00B10A0D" w:rsidRDefault="00BF1286" w:rsidP="007E384A">
            <w:pPr>
              <w:pStyle w:val="Tabletext"/>
              <w:jc w:val="center"/>
              <w:rPr>
                <w:lang w:val="es-ES_tradnl"/>
              </w:rPr>
            </w:pPr>
            <w:r w:rsidRPr="00B10A0D">
              <w:rPr>
                <w:lang w:val="es-ES_tradnl"/>
              </w:rPr>
              <w:t>3/4</w:t>
            </w:r>
          </w:p>
        </w:tc>
        <w:tc>
          <w:tcPr>
            <w:tcW w:w="1701" w:type="dxa"/>
          </w:tcPr>
          <w:p w:rsidR="00BF1286" w:rsidRPr="00B10A0D" w:rsidRDefault="00BF1286" w:rsidP="007E384A">
            <w:pPr>
              <w:pStyle w:val="Tabletext"/>
              <w:jc w:val="center"/>
              <w:rPr>
                <w:lang w:val="es-ES_tradnl"/>
              </w:rPr>
            </w:pPr>
            <w:r w:rsidRPr="00B10A0D">
              <w:rPr>
                <w:lang w:val="es-ES_tradnl"/>
              </w:rPr>
              <w:t>20,2</w:t>
            </w:r>
          </w:p>
        </w:tc>
        <w:tc>
          <w:tcPr>
            <w:tcW w:w="1985" w:type="dxa"/>
          </w:tcPr>
          <w:p w:rsidR="00BF1286" w:rsidRPr="00B10A0D" w:rsidRDefault="00BF1286" w:rsidP="007E384A">
            <w:pPr>
              <w:pStyle w:val="Tabletext"/>
              <w:jc w:val="center"/>
              <w:rPr>
                <w:lang w:val="es-ES_tradnl"/>
              </w:rPr>
            </w:pPr>
            <w:r w:rsidRPr="00B10A0D">
              <w:rPr>
                <w:lang w:val="es-ES_tradnl"/>
              </w:rPr>
              <w:t>396</w:t>
            </w:r>
          </w:p>
        </w:tc>
        <w:tc>
          <w:tcPr>
            <w:tcW w:w="1370" w:type="dxa"/>
          </w:tcPr>
          <w:p w:rsidR="00BF1286" w:rsidRPr="00B10A0D" w:rsidRDefault="00BF1286" w:rsidP="007E384A">
            <w:pPr>
              <w:pStyle w:val="Tabletext"/>
              <w:jc w:val="center"/>
              <w:rPr>
                <w:lang w:val="es-ES_tradnl"/>
              </w:rPr>
            </w:pPr>
            <w:r w:rsidRPr="00B10A0D">
              <w:rPr>
                <w:lang w:val="es-ES_tradnl"/>
              </w:rPr>
              <w:t>75</w:t>
            </w:r>
          </w:p>
        </w:tc>
        <w:tc>
          <w:tcPr>
            <w:tcW w:w="1418" w:type="dxa"/>
          </w:tcPr>
          <w:p w:rsidR="00BF1286" w:rsidRPr="00B10A0D" w:rsidRDefault="00BF1286" w:rsidP="007E384A">
            <w:pPr>
              <w:pStyle w:val="Tabletext"/>
              <w:jc w:val="center"/>
              <w:rPr>
                <w:lang w:val="es-ES_tradnl"/>
              </w:rPr>
            </w:pPr>
            <w:r w:rsidRPr="00B10A0D">
              <w:rPr>
                <w:lang w:val="es-ES_tradnl"/>
              </w:rPr>
              <w:t>3</w:t>
            </w:r>
          </w:p>
        </w:tc>
      </w:tr>
      <w:tr w:rsidR="00BF1286" w:rsidRPr="005A13BC" w:rsidTr="007E384A">
        <w:trPr>
          <w:jc w:val="center"/>
        </w:trPr>
        <w:tc>
          <w:tcPr>
            <w:tcW w:w="1700" w:type="dxa"/>
          </w:tcPr>
          <w:p w:rsidR="00BF1286" w:rsidRPr="00B10A0D" w:rsidRDefault="00BF1286" w:rsidP="007E384A">
            <w:pPr>
              <w:pStyle w:val="Tabletext"/>
              <w:jc w:val="center"/>
              <w:rPr>
                <w:lang w:val="es-ES_tradnl"/>
              </w:rPr>
            </w:pPr>
            <w:r w:rsidRPr="00B10A0D">
              <w:rPr>
                <w:lang w:val="es-ES_tradnl"/>
              </w:rPr>
              <w:t>MAQ-16</w:t>
            </w:r>
          </w:p>
        </w:tc>
        <w:tc>
          <w:tcPr>
            <w:tcW w:w="1701" w:type="dxa"/>
          </w:tcPr>
          <w:p w:rsidR="00BF1286" w:rsidRPr="00B10A0D" w:rsidRDefault="00BF1286" w:rsidP="007E384A">
            <w:pPr>
              <w:pStyle w:val="Tabletext"/>
              <w:jc w:val="center"/>
              <w:rPr>
                <w:lang w:val="es-ES_tradnl"/>
              </w:rPr>
            </w:pPr>
            <w:r w:rsidRPr="00B10A0D">
              <w:rPr>
                <w:lang w:val="es-ES_tradnl"/>
              </w:rPr>
              <w:t>1/2</w:t>
            </w:r>
          </w:p>
        </w:tc>
        <w:tc>
          <w:tcPr>
            <w:tcW w:w="1701" w:type="dxa"/>
          </w:tcPr>
          <w:p w:rsidR="00BF1286" w:rsidRPr="00B10A0D" w:rsidRDefault="00BF1286" w:rsidP="007E384A">
            <w:pPr>
              <w:pStyle w:val="Tabletext"/>
              <w:jc w:val="center"/>
              <w:rPr>
                <w:lang w:val="es-ES_tradnl"/>
              </w:rPr>
            </w:pPr>
            <w:r w:rsidRPr="00B10A0D">
              <w:rPr>
                <w:lang w:val="es-ES_tradnl"/>
              </w:rPr>
              <w:t>11,9</w:t>
            </w:r>
          </w:p>
        </w:tc>
        <w:tc>
          <w:tcPr>
            <w:tcW w:w="1985" w:type="dxa"/>
          </w:tcPr>
          <w:p w:rsidR="00BF1286" w:rsidRPr="00B10A0D" w:rsidRDefault="00BF1286" w:rsidP="007E384A">
            <w:pPr>
              <w:pStyle w:val="Tabletext"/>
              <w:jc w:val="center"/>
              <w:rPr>
                <w:lang w:val="es-ES_tradnl"/>
              </w:rPr>
            </w:pPr>
            <w:r w:rsidRPr="00B10A0D">
              <w:rPr>
                <w:lang w:val="es-ES_tradnl"/>
              </w:rPr>
              <w:t>267</w:t>
            </w:r>
          </w:p>
        </w:tc>
        <w:tc>
          <w:tcPr>
            <w:tcW w:w="1370" w:type="dxa"/>
          </w:tcPr>
          <w:p w:rsidR="00BF1286" w:rsidRPr="00B10A0D" w:rsidRDefault="00BF1286" w:rsidP="007E384A">
            <w:pPr>
              <w:pStyle w:val="Tabletext"/>
              <w:jc w:val="center"/>
              <w:rPr>
                <w:lang w:val="es-ES_tradnl"/>
              </w:rPr>
            </w:pPr>
            <w:r w:rsidRPr="00B10A0D">
              <w:rPr>
                <w:lang w:val="es-ES_tradnl"/>
              </w:rPr>
              <w:t>50</w:t>
            </w:r>
          </w:p>
        </w:tc>
        <w:tc>
          <w:tcPr>
            <w:tcW w:w="1418" w:type="dxa"/>
          </w:tcPr>
          <w:p w:rsidR="00BF1286" w:rsidRPr="00B10A0D" w:rsidRDefault="00BF1286" w:rsidP="007E384A">
            <w:pPr>
              <w:pStyle w:val="Tabletext"/>
              <w:jc w:val="center"/>
              <w:rPr>
                <w:lang w:val="es-ES_tradnl"/>
              </w:rPr>
            </w:pPr>
            <w:r w:rsidRPr="00B10A0D">
              <w:rPr>
                <w:lang w:val="es-ES_tradnl"/>
              </w:rPr>
              <w:t>2</w:t>
            </w:r>
          </w:p>
        </w:tc>
      </w:tr>
      <w:tr w:rsidR="00BF1286" w:rsidRPr="005A13BC" w:rsidTr="007E384A">
        <w:trPr>
          <w:jc w:val="center"/>
        </w:trPr>
        <w:tc>
          <w:tcPr>
            <w:tcW w:w="1700" w:type="dxa"/>
          </w:tcPr>
          <w:p w:rsidR="00BF1286" w:rsidRPr="00B10A0D" w:rsidRDefault="00BF1286" w:rsidP="007E384A">
            <w:pPr>
              <w:pStyle w:val="Tabletext"/>
              <w:jc w:val="center"/>
              <w:rPr>
                <w:lang w:val="es-ES_tradnl"/>
              </w:rPr>
            </w:pPr>
            <w:r w:rsidRPr="00B10A0D">
              <w:rPr>
                <w:lang w:val="es-ES_tradnl"/>
              </w:rPr>
              <w:t>MDP-4</w:t>
            </w:r>
          </w:p>
        </w:tc>
        <w:tc>
          <w:tcPr>
            <w:tcW w:w="1701" w:type="dxa"/>
          </w:tcPr>
          <w:p w:rsidR="00BF1286" w:rsidRPr="00B10A0D" w:rsidRDefault="00BF1286" w:rsidP="007E384A">
            <w:pPr>
              <w:pStyle w:val="Tabletext"/>
              <w:jc w:val="center"/>
              <w:rPr>
                <w:lang w:val="es-ES_tradnl"/>
              </w:rPr>
            </w:pPr>
            <w:r w:rsidRPr="00B10A0D">
              <w:rPr>
                <w:lang w:val="es-ES_tradnl"/>
              </w:rPr>
              <w:t>1/2</w:t>
            </w:r>
          </w:p>
        </w:tc>
        <w:tc>
          <w:tcPr>
            <w:tcW w:w="1701" w:type="dxa"/>
          </w:tcPr>
          <w:p w:rsidR="00BF1286" w:rsidRPr="00B10A0D" w:rsidRDefault="00BF1286" w:rsidP="007E384A">
            <w:pPr>
              <w:pStyle w:val="Tabletext"/>
              <w:jc w:val="center"/>
              <w:rPr>
                <w:lang w:val="es-ES_tradnl"/>
              </w:rPr>
            </w:pPr>
            <w:r w:rsidRPr="00B10A0D">
              <w:rPr>
                <w:lang w:val="es-ES_tradnl"/>
              </w:rPr>
              <w:t>4,5</w:t>
            </w:r>
          </w:p>
        </w:tc>
        <w:tc>
          <w:tcPr>
            <w:tcW w:w="1985" w:type="dxa"/>
          </w:tcPr>
          <w:p w:rsidR="00BF1286" w:rsidRPr="00B10A0D" w:rsidRDefault="00BF1286" w:rsidP="007E384A">
            <w:pPr>
              <w:pStyle w:val="Tabletext"/>
              <w:jc w:val="center"/>
              <w:rPr>
                <w:lang w:val="es-ES_tradnl"/>
              </w:rPr>
            </w:pPr>
            <w:r w:rsidRPr="00B10A0D">
              <w:rPr>
                <w:lang w:val="es-ES_tradnl"/>
              </w:rPr>
              <w:t>133</w:t>
            </w:r>
          </w:p>
        </w:tc>
        <w:tc>
          <w:tcPr>
            <w:tcW w:w="1370" w:type="dxa"/>
          </w:tcPr>
          <w:p w:rsidR="00BF1286" w:rsidRPr="00B10A0D" w:rsidRDefault="00BF1286" w:rsidP="007E384A">
            <w:pPr>
              <w:pStyle w:val="Tabletext"/>
              <w:jc w:val="center"/>
              <w:rPr>
                <w:lang w:val="es-ES_tradnl"/>
              </w:rPr>
            </w:pPr>
            <w:r w:rsidRPr="00B10A0D">
              <w:rPr>
                <w:lang w:val="es-ES_tradnl"/>
              </w:rPr>
              <w:t>25</w:t>
            </w:r>
          </w:p>
        </w:tc>
        <w:tc>
          <w:tcPr>
            <w:tcW w:w="1418" w:type="dxa"/>
          </w:tcPr>
          <w:p w:rsidR="00BF1286" w:rsidRPr="00B10A0D" w:rsidRDefault="00BF1286" w:rsidP="007E384A">
            <w:pPr>
              <w:pStyle w:val="Tabletext"/>
              <w:jc w:val="center"/>
              <w:rPr>
                <w:lang w:val="es-ES_tradnl"/>
              </w:rPr>
            </w:pPr>
            <w:r w:rsidRPr="00B10A0D">
              <w:rPr>
                <w:lang w:val="es-ES_tradnl"/>
              </w:rPr>
              <w:t>1</w:t>
            </w:r>
          </w:p>
        </w:tc>
      </w:tr>
      <w:tr w:rsidR="00BF1286" w:rsidRPr="00AD1110" w:rsidTr="007E384A">
        <w:trPr>
          <w:jc w:val="center"/>
        </w:trPr>
        <w:tc>
          <w:tcPr>
            <w:tcW w:w="9875" w:type="dxa"/>
            <w:gridSpan w:val="6"/>
            <w:tcBorders>
              <w:left w:val="nil"/>
              <w:bottom w:val="nil"/>
              <w:right w:val="nil"/>
            </w:tcBorders>
          </w:tcPr>
          <w:p w:rsidR="00BF1286" w:rsidRPr="00BF1286" w:rsidRDefault="00BF1286" w:rsidP="00BF1286">
            <w:pPr>
              <w:pStyle w:val="Tablelegend"/>
              <w:rPr>
                <w:vertAlign w:val="subscript"/>
                <w:lang w:val="en-US"/>
              </w:rPr>
            </w:pPr>
            <w:r w:rsidRPr="00E8305B">
              <w:rPr>
                <w:vertAlign w:val="superscript"/>
                <w:lang w:val="en-US"/>
              </w:rPr>
              <w:t>(1)</w:t>
            </w:r>
            <w:r w:rsidRPr="00E8305B">
              <w:rPr>
                <w:lang w:val="en-US"/>
              </w:rPr>
              <w:tab/>
            </w:r>
            <w:r w:rsidRPr="00E8305B">
              <w:rPr>
                <w:i/>
                <w:iCs/>
                <w:lang w:val="en-US"/>
              </w:rPr>
              <w:t>I</w:t>
            </w:r>
            <w:r w:rsidRPr="00E8305B">
              <w:rPr>
                <w:i/>
                <w:iCs/>
                <w:vertAlign w:val="subscript"/>
                <w:lang w:val="en-US"/>
              </w:rPr>
              <w:t>ToT</w:t>
            </w:r>
            <w:r w:rsidRPr="00E8305B">
              <w:rPr>
                <w:vertAlign w:val="subscript"/>
                <w:lang w:val="en-US"/>
              </w:rPr>
              <w:t xml:space="preserve">  </w:t>
            </w:r>
            <w:r w:rsidRPr="00E8305B">
              <w:rPr>
                <w:lang w:val="en-US"/>
              </w:rPr>
              <w:t xml:space="preserve">= </w:t>
            </w:r>
            <w:r w:rsidRPr="00E8305B">
              <w:rPr>
                <w:i/>
                <w:iCs/>
                <w:lang w:val="en-US"/>
              </w:rPr>
              <w:t xml:space="preserve">I </w:t>
            </w:r>
            <w:r w:rsidRPr="00E8305B">
              <w:rPr>
                <w:i/>
                <w:iCs/>
                <w:vertAlign w:val="subscript"/>
                <w:lang w:val="en-US"/>
              </w:rPr>
              <w:t xml:space="preserve">nGW </w:t>
            </w:r>
            <w:r w:rsidRPr="00E8305B">
              <w:rPr>
                <w:lang w:val="en-US"/>
              </w:rPr>
              <w:t xml:space="preserve">+ </w:t>
            </w:r>
            <w:r w:rsidRPr="00E8305B">
              <w:rPr>
                <w:i/>
                <w:iCs/>
                <w:lang w:val="en-US"/>
              </w:rPr>
              <w:t xml:space="preserve">I </w:t>
            </w:r>
            <w:r w:rsidRPr="00E8305B">
              <w:rPr>
                <w:i/>
                <w:iCs/>
                <w:vertAlign w:val="subscript"/>
                <w:lang w:val="en-US"/>
              </w:rPr>
              <w:t>E</w:t>
            </w:r>
            <w:r w:rsidRPr="00BF1286">
              <w:rPr>
                <w:i/>
                <w:iCs/>
                <w:vertAlign w:val="subscript"/>
                <w:lang w:val="en-US"/>
              </w:rPr>
              <w:t>X</w:t>
            </w:r>
            <w:r w:rsidRPr="00BF1286">
              <w:rPr>
                <w:lang w:val="en-US"/>
              </w:rPr>
              <w:t>.</w:t>
            </w:r>
          </w:p>
          <w:p w:rsidR="00BF1286" w:rsidRPr="00B10A0D" w:rsidRDefault="00BF1286" w:rsidP="005E72CB">
            <w:pPr>
              <w:pStyle w:val="Tablelegend"/>
              <w:spacing w:before="0"/>
              <w:rPr>
                <w:lang w:val="es-ES_tradnl"/>
              </w:rPr>
            </w:pPr>
            <w:r w:rsidRPr="00BF1286">
              <w:rPr>
                <w:lang w:val="en-US"/>
              </w:rPr>
              <w:tab/>
            </w:r>
            <w:r w:rsidRPr="00B10A0D">
              <w:rPr>
                <w:i/>
                <w:iCs/>
                <w:lang w:val="es-ES_tradnl"/>
              </w:rPr>
              <w:t>I</w:t>
            </w:r>
            <w:r w:rsidR="005E72CB">
              <w:rPr>
                <w:i/>
                <w:iCs/>
                <w:lang w:val="es-ES_tradnl"/>
              </w:rPr>
              <w:t> </w:t>
            </w:r>
            <w:r w:rsidRPr="00B10A0D">
              <w:rPr>
                <w:i/>
                <w:iCs/>
                <w:vertAlign w:val="subscript"/>
                <w:lang w:val="es-ES_tradnl"/>
              </w:rPr>
              <w:t>nGW</w:t>
            </w:r>
            <w:r w:rsidRPr="00B10A0D">
              <w:rPr>
                <w:vertAlign w:val="subscript"/>
                <w:lang w:val="es-ES_tradnl"/>
              </w:rPr>
              <w:t xml:space="preserve"> </w:t>
            </w:r>
            <w:r w:rsidRPr="00B10A0D">
              <w:rPr>
                <w:lang w:val="es-ES_tradnl"/>
              </w:rPr>
              <w:t xml:space="preserve"> = autointerferencia procedente de las otras </w:t>
            </w:r>
            <w:r w:rsidRPr="00B10A0D">
              <w:rPr>
                <w:i/>
                <w:iCs/>
                <w:lang w:val="es-ES_tradnl"/>
              </w:rPr>
              <w:t>n </w:t>
            </w:r>
            <w:r w:rsidRPr="00E8305B">
              <w:rPr>
                <w:lang w:val="es-ES_tradnl"/>
              </w:rPr>
              <w:t>−</w:t>
            </w:r>
            <w:r w:rsidRPr="00B10A0D">
              <w:rPr>
                <w:lang w:val="es-ES_tradnl"/>
              </w:rPr>
              <w:t> 1 estaciones de pasarela.</w:t>
            </w:r>
          </w:p>
          <w:p w:rsidR="00BF1286" w:rsidRPr="00B10A0D" w:rsidRDefault="00BF1286" w:rsidP="005E72CB">
            <w:pPr>
              <w:pStyle w:val="Tablelegend"/>
              <w:spacing w:before="0"/>
              <w:rPr>
                <w:lang w:val="es-ES_tradnl"/>
              </w:rPr>
            </w:pPr>
            <w:r w:rsidRPr="00B10A0D">
              <w:rPr>
                <w:lang w:val="es-ES_tradnl"/>
              </w:rPr>
              <w:tab/>
            </w:r>
            <w:r w:rsidRPr="00B10A0D">
              <w:rPr>
                <w:i/>
                <w:iCs/>
                <w:lang w:val="es-ES_tradnl"/>
              </w:rPr>
              <w:t>n</w:t>
            </w:r>
            <w:r w:rsidRPr="00B10A0D">
              <w:rPr>
                <w:lang w:val="es-ES_tradnl"/>
              </w:rPr>
              <w:t xml:space="preserve"> toma el valor de 1 a 5 dependiendo del número de estaciones de pasarela de las HAPS.</w:t>
            </w:r>
          </w:p>
          <w:p w:rsidR="00BF1286" w:rsidRPr="00B10A0D" w:rsidRDefault="00BF1286" w:rsidP="005E72CB">
            <w:pPr>
              <w:pStyle w:val="Tablelegend"/>
              <w:spacing w:before="0"/>
              <w:rPr>
                <w:lang w:val="es-ES_tradnl"/>
              </w:rPr>
            </w:pPr>
            <w:r w:rsidRPr="00B10A0D">
              <w:rPr>
                <w:lang w:val="es-ES_tradnl"/>
              </w:rPr>
              <w:tab/>
            </w:r>
            <w:r w:rsidRPr="00B10A0D">
              <w:rPr>
                <w:i/>
                <w:iCs/>
                <w:lang w:val="es-ES_tradnl"/>
              </w:rPr>
              <w:t>I</w:t>
            </w:r>
            <w:r w:rsidR="005E72CB">
              <w:rPr>
                <w:i/>
                <w:iCs/>
                <w:lang w:val="es-ES_tradnl"/>
              </w:rPr>
              <w:t> </w:t>
            </w:r>
            <w:r w:rsidRPr="00B10A0D">
              <w:rPr>
                <w:i/>
                <w:iCs/>
                <w:vertAlign w:val="subscript"/>
                <w:lang w:val="es-ES_tradnl"/>
              </w:rPr>
              <w:t>EX</w:t>
            </w:r>
            <w:r w:rsidR="005E72CB">
              <w:rPr>
                <w:lang w:val="es-ES_tradnl"/>
              </w:rPr>
              <w:t> </w:t>
            </w:r>
            <w:r w:rsidRPr="00B10A0D">
              <w:rPr>
                <w:lang w:val="es-ES_tradnl"/>
              </w:rPr>
              <w:t>=</w:t>
            </w:r>
            <w:r w:rsidR="005E72CB">
              <w:rPr>
                <w:lang w:val="es-ES_tradnl"/>
              </w:rPr>
              <w:t> </w:t>
            </w:r>
            <w:r w:rsidRPr="00B10A0D">
              <w:rPr>
                <w:lang w:val="es-ES_tradnl"/>
              </w:rPr>
              <w:t>interferencia externa procedente de estaciones terrenas no HAPS y plataformas a bordo de aeronaves.</w:t>
            </w:r>
          </w:p>
          <w:p w:rsidR="00BF1286" w:rsidRPr="00B10A0D" w:rsidRDefault="00BF1286" w:rsidP="005E72CB">
            <w:pPr>
              <w:pStyle w:val="Tablelegend"/>
              <w:spacing w:before="0"/>
              <w:rPr>
                <w:lang w:val="es-ES_tradnl"/>
              </w:rPr>
            </w:pPr>
            <w:r w:rsidRPr="00B10A0D">
              <w:rPr>
                <w:lang w:val="es-ES_tradnl"/>
              </w:rPr>
              <w:tab/>
            </w:r>
            <w:r w:rsidRPr="00B10A0D">
              <w:rPr>
                <w:i/>
                <w:iCs/>
                <w:lang w:val="es-ES_tradnl"/>
              </w:rPr>
              <w:t>I</w:t>
            </w:r>
            <w:r w:rsidR="005E72CB">
              <w:rPr>
                <w:i/>
                <w:iCs/>
                <w:lang w:val="es-ES_tradnl"/>
              </w:rPr>
              <w:t> </w:t>
            </w:r>
            <w:r w:rsidRPr="00B10A0D">
              <w:rPr>
                <w:i/>
                <w:iCs/>
                <w:vertAlign w:val="subscript"/>
                <w:lang w:val="es-ES_tradnl"/>
              </w:rPr>
              <w:t>EX</w:t>
            </w:r>
            <w:r w:rsidRPr="00970021">
              <w:rPr>
                <w:lang w:val="es-ES_tradnl"/>
              </w:rPr>
              <w:t xml:space="preserve"> </w:t>
            </w:r>
            <w:r w:rsidRPr="00B10A0D">
              <w:rPr>
                <w:lang w:val="es-ES_tradnl"/>
              </w:rPr>
              <w:t>=</w:t>
            </w:r>
            <w:r w:rsidR="005E72CB" w:rsidRPr="00970021">
              <w:rPr>
                <w:lang w:val="es-ES_tradnl"/>
              </w:rPr>
              <w:t> </w:t>
            </w:r>
            <w:r w:rsidRPr="00B10A0D">
              <w:rPr>
                <w:i/>
                <w:iCs/>
                <w:lang w:val="es-ES_tradnl"/>
              </w:rPr>
              <w:t>I</w:t>
            </w:r>
            <w:r w:rsidRPr="00B10A0D">
              <w:rPr>
                <w:i/>
                <w:iCs/>
                <w:vertAlign w:val="subscript"/>
                <w:lang w:val="es-ES_tradnl"/>
              </w:rPr>
              <w:t>ES</w:t>
            </w:r>
            <w:r w:rsidRPr="00B10A0D">
              <w:rPr>
                <w:vertAlign w:val="subscript"/>
                <w:lang w:val="es-ES_tradnl"/>
              </w:rPr>
              <w:t xml:space="preserve"> </w:t>
            </w:r>
            <w:r w:rsidRPr="00B10A0D">
              <w:rPr>
                <w:lang w:val="es-ES_tradnl"/>
              </w:rPr>
              <w:t>+</w:t>
            </w:r>
            <w:r w:rsidRPr="00B10A0D">
              <w:rPr>
                <w:i/>
                <w:iCs/>
                <w:lang w:val="es-ES_tradnl"/>
              </w:rPr>
              <w:t xml:space="preserve"> I</w:t>
            </w:r>
            <w:r w:rsidRPr="00B10A0D">
              <w:rPr>
                <w:i/>
                <w:iCs/>
                <w:vertAlign w:val="subscript"/>
                <w:lang w:val="es-ES_tradnl"/>
              </w:rPr>
              <w:t>AS</w:t>
            </w:r>
            <w:r w:rsidRPr="00B10A0D">
              <w:rPr>
                <w:vertAlign w:val="subscript"/>
                <w:lang w:val="es-ES_tradnl"/>
              </w:rPr>
              <w:t xml:space="preserve">  </w:t>
            </w:r>
            <w:r w:rsidRPr="00B10A0D">
              <w:rPr>
                <w:lang w:val="es-ES_tradnl"/>
              </w:rPr>
              <w:t>= interferencia de estación terrena + interferencia de plataforma a bordo de aeronave.</w:t>
            </w:r>
          </w:p>
          <w:p w:rsidR="00BF1286" w:rsidRPr="00B10A0D" w:rsidRDefault="00BF1286" w:rsidP="00BF1286">
            <w:pPr>
              <w:pStyle w:val="Tablelegend"/>
              <w:rPr>
                <w:lang w:val="es-ES_tradnl"/>
              </w:rPr>
            </w:pPr>
            <w:r w:rsidRPr="00B10A0D">
              <w:rPr>
                <w:vertAlign w:val="superscript"/>
                <w:lang w:val="es-ES_tradnl"/>
              </w:rPr>
              <w:t>(2)</w:t>
            </w:r>
            <w:r w:rsidRPr="00B10A0D">
              <w:rPr>
                <w:lang w:val="es-ES_tradnl"/>
              </w:rPr>
              <w:tab/>
              <w:t>Capacidad de cada uno de los cinco enlaces de pasarela.</w:t>
            </w:r>
          </w:p>
          <w:p w:rsidR="00BF1286" w:rsidRPr="00B10A0D" w:rsidRDefault="00BF1286" w:rsidP="00BF1286">
            <w:pPr>
              <w:pStyle w:val="Tablelegend"/>
              <w:rPr>
                <w:lang w:val="es-ES_tradnl"/>
              </w:rPr>
            </w:pPr>
            <w:r w:rsidRPr="00B10A0D">
              <w:rPr>
                <w:lang w:val="es-ES_tradnl"/>
              </w:rPr>
              <w:t xml:space="preserve">~ </w:t>
            </w:r>
            <w:r w:rsidRPr="00B10A0D">
              <w:rPr>
                <w:lang w:val="es-ES_tradnl"/>
              </w:rPr>
              <w:tab/>
              <w:t>Comparado con el caso MAQ-64 2/3.</w:t>
            </w:r>
          </w:p>
        </w:tc>
      </w:tr>
    </w:tbl>
    <w:p w:rsidR="00BF1286" w:rsidRDefault="00BF1286" w:rsidP="007E384A">
      <w:pPr>
        <w:pStyle w:val="Tablefin"/>
        <w:rPr>
          <w:lang w:val="es-ES_tradnl"/>
        </w:rPr>
      </w:pPr>
    </w:p>
    <w:p w:rsidR="00E63647" w:rsidRPr="00E63647" w:rsidRDefault="00E63647" w:rsidP="00E63647">
      <w:pPr>
        <w:rPr>
          <w:lang w:val="es-ES_tradnl"/>
        </w:rPr>
      </w:pPr>
    </w:p>
    <w:p w:rsidR="00BF1286" w:rsidRPr="00B10A0D" w:rsidRDefault="00BF1286" w:rsidP="00715809">
      <w:pPr>
        <w:rPr>
          <w:lang w:val="es-ES_tradnl"/>
        </w:rPr>
      </w:pPr>
      <w:r w:rsidRPr="00B10A0D">
        <w:rPr>
          <w:lang w:val="es-ES_tradnl"/>
        </w:rPr>
        <w:t xml:space="preserve">En el caso básico de cinco enlaces de pasarela ubicados simétricamente, y como muestra el Cuadro 4, un solo enlace de pasarela puede, por ejemplo, experimentar una caída real de </w:t>
      </w:r>
      <w:r w:rsidRPr="00B10A0D">
        <w:rPr>
          <w:i/>
          <w:iCs/>
          <w:lang w:val="es-ES_tradnl"/>
        </w:rPr>
        <w:t>C</w:t>
      </w:r>
      <w:r w:rsidRPr="00B10A0D">
        <w:rPr>
          <w:lang w:val="es-ES_tradnl"/>
        </w:rPr>
        <w:t>/(</w:t>
      </w:r>
      <w:r w:rsidRPr="00B10A0D">
        <w:rPr>
          <w:i/>
          <w:iCs/>
          <w:lang w:val="es-ES_tradnl"/>
        </w:rPr>
        <w:t>N </w:t>
      </w:r>
      <w:r w:rsidRPr="00B10A0D">
        <w:rPr>
          <w:lang w:val="es-ES_tradnl"/>
        </w:rPr>
        <w:t>+ </w:t>
      </w:r>
      <w:r w:rsidRPr="00B10A0D">
        <w:rPr>
          <w:i/>
          <w:iCs/>
          <w:lang w:val="es-ES_tradnl"/>
        </w:rPr>
        <w:t>I</w:t>
      </w:r>
      <w:r w:rsidRPr="00B10A0D">
        <w:rPr>
          <w:i/>
          <w:iCs/>
          <w:vertAlign w:val="subscript"/>
          <w:lang w:val="es-ES_tradnl"/>
        </w:rPr>
        <w:t>ToT</w:t>
      </w:r>
      <w:r w:rsidRPr="00B10A0D">
        <w:rPr>
          <w:lang w:val="es-ES_tradnl"/>
        </w:rPr>
        <w:t>) de 14</w:t>
      </w:r>
      <w:r w:rsidR="00715809">
        <w:rPr>
          <w:lang w:val="es-ES_tradnl"/>
        </w:rPr>
        <w:t> </w:t>
      </w:r>
      <w:bookmarkStart w:id="6" w:name="_GoBack"/>
      <w:bookmarkEnd w:id="6"/>
      <w:r w:rsidRPr="00B10A0D">
        <w:rPr>
          <w:lang w:val="es-ES_tradnl"/>
        </w:rPr>
        <w:t>dB por debajo del nivel requerido para MAQ-64 y mantener aún el 50% de su capacidad funcionando con MAQ</w:t>
      </w:r>
      <w:r w:rsidRPr="00B10A0D">
        <w:rPr>
          <w:lang w:val="es-ES_tradnl"/>
        </w:rPr>
        <w:noBreakHyphen/>
        <w:t>16 1/2. En ese caso, la capacidad de pasarela total para las cinco estaciones de pasarela sería en efecto el 90% de la plena capacidad, incluso con una estación de pasarela funcionando temporalmente al 50% de su capacidad y las otras cuatro a plena capacidad. Esta adaptación de la modulación y la capacidad se ilustra en la Fig. 7. Si dos de los cinco enlaces de pasarela funcionan temporalmente con una capacidad del 25% (con MDP</w:t>
      </w:r>
      <w:r w:rsidRPr="00B10A0D">
        <w:rPr>
          <w:lang w:val="es-ES_tradnl"/>
        </w:rPr>
        <w:noBreakHyphen/>
        <w:t>4 1/2) la capacidad total de los cinco enlaces de pasarela sería el 70% de la capacidad total. Además, si uno de los cinco enlaces se pierde completamente (al 100%) por cualquier razón y los otros cuatro enlaces permanecen con su máxima capacidad, la capacidad total del enlace sería aún del 80%. Si esta reducción de la capacidad no se produce durante a la hora cargada, no sería necesario contar con plena capacidad durante ese periodo de tiempo. Si esto se produce de manera intermitente, pero durante la hora cargada</w:t>
      </w:r>
      <w:r w:rsidRPr="00B10A0D">
        <w:rPr>
          <w:rStyle w:val="FootnoteReference"/>
          <w:lang w:val="es-ES_tradnl"/>
        </w:rPr>
        <w:footnoteReference w:id="11"/>
      </w:r>
      <w:r w:rsidRPr="00B10A0D">
        <w:rPr>
          <w:lang w:val="es-ES_tradnl"/>
        </w:rPr>
        <w:t>, los enlaces de pasarela afectados en particular tendrán que funcionar con una calidad de servicio inferior correspondiente a la menor capacidad hasta que el enlace de pasarela quede restaurado a su capacidad más elevada.</w:t>
      </w:r>
    </w:p>
    <w:p w:rsidR="00BF1286" w:rsidRPr="00B10A0D" w:rsidRDefault="00BF1286" w:rsidP="00BF1286">
      <w:pPr>
        <w:pStyle w:val="FigureNo"/>
        <w:rPr>
          <w:lang w:val="es-ES_tradnl"/>
        </w:rPr>
      </w:pPr>
      <w:r w:rsidRPr="00B10A0D">
        <w:rPr>
          <w:lang w:val="es-ES_tradnl"/>
        </w:rPr>
        <w:lastRenderedPageBreak/>
        <w:t>figura 7</w:t>
      </w:r>
    </w:p>
    <w:p w:rsidR="00BF1286" w:rsidRDefault="00BF1286" w:rsidP="00BF1286">
      <w:pPr>
        <w:pStyle w:val="Figuretitle"/>
        <w:rPr>
          <w:lang w:val="es-ES_tradnl"/>
        </w:rPr>
      </w:pPr>
      <w:r w:rsidRPr="00B10A0D">
        <w:rPr>
          <w:lang w:val="es-ES_tradnl"/>
        </w:rPr>
        <w:t>Ejemplo de adaptación de modulación y capacidad de un enlace de pasarela</w:t>
      </w:r>
    </w:p>
    <w:p w:rsidR="0088772B" w:rsidRPr="00E8305B" w:rsidRDefault="0088772B" w:rsidP="0088772B">
      <w:pPr>
        <w:pStyle w:val="Blanc"/>
        <w:rPr>
          <w:lang w:val="es-ES_tradnl"/>
        </w:rPr>
      </w:pPr>
    </w:p>
    <w:p w:rsidR="00BF1286" w:rsidRPr="00B10A0D" w:rsidRDefault="007E384A" w:rsidP="00BF1286">
      <w:pPr>
        <w:pStyle w:val="Figure"/>
        <w:rPr>
          <w:lang w:val="es-ES_tradnl"/>
        </w:rPr>
      </w:pPr>
      <w:r w:rsidRPr="00B10A0D">
        <w:rPr>
          <w:lang w:val="es-ES_tradnl"/>
        </w:rPr>
        <w:object w:dxaOrig="7345" w:dyaOrig="5635">
          <v:shape id="_x0000_i1033" type="#_x0000_t75" style="width:345pt;height:264.6pt" o:ole="" o:allowoverlap="f">
            <v:imagedata r:id="rId31" o:title=""/>
          </v:shape>
          <o:OLEObject Type="Embed" ProgID="CorelDRAW.Graphic.14" ShapeID="_x0000_i1033" DrawAspect="Content" ObjectID="_1374395610" r:id="rId32"/>
        </w:object>
      </w:r>
    </w:p>
    <w:p w:rsidR="00BF1286" w:rsidRDefault="00BF1286" w:rsidP="00BF1286">
      <w:pPr>
        <w:rPr>
          <w:lang w:val="es-ES_tradnl"/>
        </w:rPr>
      </w:pPr>
    </w:p>
    <w:p w:rsidR="00970021" w:rsidRDefault="00970021" w:rsidP="00BF1286">
      <w:pPr>
        <w:rPr>
          <w:lang w:val="es-ES_tradnl"/>
        </w:rPr>
      </w:pPr>
    </w:p>
    <w:p w:rsidR="007E384A" w:rsidRPr="00B10A0D" w:rsidRDefault="007E384A" w:rsidP="007E384A">
      <w:pPr>
        <w:pStyle w:val="Line"/>
      </w:pPr>
    </w:p>
    <w:sectPr w:rsidR="007E384A" w:rsidRPr="00B10A0D" w:rsidSect="001C787E">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618" w:rsidRDefault="005D4618">
      <w:r>
        <w:separator/>
      </w:r>
    </w:p>
  </w:endnote>
  <w:endnote w:type="continuationSeparator" w:id="0">
    <w:p w:rsidR="005D4618" w:rsidRDefault="005D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618" w:rsidRDefault="005D4618">
      <w:r>
        <w:separator/>
      </w:r>
    </w:p>
  </w:footnote>
  <w:footnote w:type="continuationSeparator" w:id="0">
    <w:p w:rsidR="005D4618" w:rsidRDefault="005D4618">
      <w:r>
        <w:continuationSeparator/>
      </w:r>
    </w:p>
  </w:footnote>
  <w:footnote w:id="1">
    <w:p w:rsidR="005D4618" w:rsidRPr="007D57E2" w:rsidRDefault="005D4618" w:rsidP="00C7116B">
      <w:pPr>
        <w:pStyle w:val="FootnoteText"/>
        <w:rPr>
          <w:lang w:val="es-ES_tradnl"/>
        </w:rPr>
      </w:pPr>
      <w:r w:rsidRPr="003616BF">
        <w:rPr>
          <w:rStyle w:val="FootnoteReference"/>
          <w:lang w:val="es-ES_tradnl"/>
        </w:rPr>
        <w:t>*</w:t>
      </w:r>
      <w:r w:rsidRPr="007D57E2">
        <w:rPr>
          <w:lang w:val="es-ES_tradnl"/>
        </w:rPr>
        <w:t xml:space="preserve"> </w:t>
      </w:r>
      <w:r>
        <w:rPr>
          <w:lang w:val="es-ES_tradnl"/>
        </w:rPr>
        <w:tab/>
        <w:t>Esta Recomendación se ha elaborado con arreglo al punto 1.20 del orden del día de la Conferencia Mundial de Radiocomunicación 2012 (CMR-12). Si la CMR-12 no identifica espectro para los enlaces de pasarela de las estaciones en plataformas a gran altitud, la Recomendación se suprimirá.</w:t>
      </w:r>
    </w:p>
  </w:footnote>
  <w:footnote w:id="2">
    <w:p w:rsidR="005D4618" w:rsidRPr="00226987" w:rsidRDefault="005D4618" w:rsidP="00BF1286">
      <w:pPr>
        <w:pStyle w:val="FootnoteText"/>
        <w:rPr>
          <w:lang w:val="es-ES_tradnl"/>
        </w:rPr>
      </w:pPr>
      <w:r>
        <w:rPr>
          <w:rStyle w:val="FootnoteReference"/>
        </w:rPr>
        <w:footnoteRef/>
      </w:r>
      <w:r w:rsidRPr="00226987">
        <w:rPr>
          <w:lang w:val="es-ES_tradnl"/>
        </w:rPr>
        <w:t xml:space="preserve"> </w:t>
      </w:r>
      <w:r>
        <w:rPr>
          <w:lang w:val="es-ES_tradnl"/>
        </w:rPr>
        <w:tab/>
        <w:t>Véase en la Recomendación UIT-R F.1500 una descripción más detallada de estas zonas de cobertura.</w:t>
      </w:r>
    </w:p>
  </w:footnote>
  <w:footnote w:id="3">
    <w:p w:rsidR="005D4618" w:rsidRPr="00FE0438" w:rsidRDefault="005D4618" w:rsidP="00BF1286">
      <w:pPr>
        <w:pStyle w:val="FootnoteText"/>
        <w:rPr>
          <w:lang w:val="es-ES_tradnl"/>
        </w:rPr>
      </w:pPr>
      <w:r>
        <w:rPr>
          <w:rStyle w:val="FootnoteReference"/>
        </w:rPr>
        <w:footnoteRef/>
      </w:r>
      <w:r w:rsidRPr="00FE0438">
        <w:rPr>
          <w:lang w:val="es-ES_tradnl"/>
        </w:rPr>
        <w:t xml:space="preserve"> </w:t>
      </w:r>
      <w:r>
        <w:rPr>
          <w:lang w:val="es-ES_tradnl"/>
        </w:rPr>
        <w:tab/>
        <w:t>En el ámbito de la presente Recomendación, el «enlace de pasarela HAPS» es un enlace radioeléctrico entre una estación de pasarela terrena HAPS en un emplazamiento determinado y una plataforma HAPS, o viceversa, que cursa información para un enlace de comunicaciones HAPS, incluida la telemedida y el telemando, y proporciona interconexión con otras redes de telecomunicaciones en tierra.</w:t>
      </w:r>
    </w:p>
  </w:footnote>
  <w:footnote w:id="4">
    <w:p w:rsidR="005D4618" w:rsidRPr="00DC35C9" w:rsidRDefault="005D4618" w:rsidP="00BF1286">
      <w:pPr>
        <w:pStyle w:val="FootnoteText"/>
        <w:rPr>
          <w:lang w:val="es-ES_tradnl"/>
        </w:rPr>
      </w:pPr>
      <w:r>
        <w:rPr>
          <w:rStyle w:val="FootnoteReference"/>
        </w:rPr>
        <w:footnoteRef/>
      </w:r>
      <w:r w:rsidRPr="00DC35C9">
        <w:rPr>
          <w:lang w:val="es-ES_tradnl"/>
        </w:rPr>
        <w:t xml:space="preserve"> </w:t>
      </w:r>
      <w:r>
        <w:rPr>
          <w:lang w:val="es-ES_tradnl"/>
        </w:rPr>
        <w:tab/>
        <w:t>Véase la Resolución 734 (Rev.CMR-07).</w:t>
      </w:r>
    </w:p>
  </w:footnote>
  <w:footnote w:id="5">
    <w:p w:rsidR="005D4618" w:rsidRPr="00DC35C9" w:rsidRDefault="005D4618" w:rsidP="00BF1286">
      <w:pPr>
        <w:pStyle w:val="FootnoteText"/>
        <w:rPr>
          <w:lang w:val="es-ES_tradnl"/>
        </w:rPr>
      </w:pPr>
      <w:r>
        <w:rPr>
          <w:rStyle w:val="FootnoteReference"/>
        </w:rPr>
        <w:footnoteRef/>
      </w:r>
      <w:r w:rsidRPr="00DC35C9">
        <w:rPr>
          <w:lang w:val="es-ES_tradnl"/>
        </w:rPr>
        <w:t xml:space="preserve"> </w:t>
      </w:r>
      <w:r>
        <w:rPr>
          <w:lang w:val="es-ES_tradnl"/>
        </w:rPr>
        <w:tab/>
        <w:t>Por ejemplo, dos subcanales de 34 MHz con bandas de guarda de 4 MHz siendo cada subcanal DDF.</w:t>
      </w:r>
    </w:p>
  </w:footnote>
  <w:footnote w:id="6">
    <w:p w:rsidR="005D4618" w:rsidRPr="00A74124" w:rsidRDefault="005D4618" w:rsidP="00BF1286">
      <w:pPr>
        <w:pStyle w:val="FootnoteText"/>
        <w:rPr>
          <w:lang w:val="es-ES_tradnl"/>
        </w:rPr>
      </w:pPr>
      <w:r>
        <w:rPr>
          <w:rStyle w:val="FootnoteReference"/>
        </w:rPr>
        <w:footnoteRef/>
      </w:r>
      <w:r w:rsidRPr="00A74124">
        <w:rPr>
          <w:lang w:val="es-ES_tradnl"/>
        </w:rPr>
        <w:t xml:space="preserve"> </w:t>
      </w:r>
      <w:r w:rsidRPr="00A74124">
        <w:rPr>
          <w:lang w:val="es-ES_tradnl"/>
        </w:rPr>
        <w:tab/>
        <w:t>Un subcanal de 34 MHz (más las bandas de guarda) da lugar al mismo margen del enlace.</w:t>
      </w:r>
    </w:p>
  </w:footnote>
  <w:footnote w:id="7">
    <w:p w:rsidR="005D4618" w:rsidRPr="00A74124" w:rsidRDefault="005D4618" w:rsidP="00BF1286">
      <w:pPr>
        <w:pStyle w:val="FootnoteText"/>
        <w:rPr>
          <w:lang w:val="es-ES_tradnl"/>
        </w:rPr>
      </w:pPr>
      <w:r>
        <w:rPr>
          <w:rStyle w:val="FootnoteReference"/>
        </w:rPr>
        <w:footnoteRef/>
      </w:r>
      <w:r w:rsidRPr="00A74124">
        <w:rPr>
          <w:lang w:val="es-ES_tradnl"/>
        </w:rPr>
        <w:t xml:space="preserve"> </w:t>
      </w:r>
      <w:r>
        <w:rPr>
          <w:lang w:val="es-ES_tradnl"/>
        </w:rPr>
        <w:tab/>
        <w:t>Basada en la utilización de MAQ-64 con velocidad de codificación 2/3 para el enlace de pasarela MDF.</w:t>
      </w:r>
    </w:p>
  </w:footnote>
  <w:footnote w:id="8">
    <w:p w:rsidR="005D4618" w:rsidRPr="00A34FB9" w:rsidRDefault="005D4618" w:rsidP="00BF1286">
      <w:pPr>
        <w:pStyle w:val="FootnoteText"/>
        <w:rPr>
          <w:lang w:val="es-ES_tradnl"/>
        </w:rPr>
      </w:pPr>
      <w:r>
        <w:rPr>
          <w:rStyle w:val="FootnoteReference"/>
        </w:rPr>
        <w:footnoteRef/>
      </w:r>
      <w:r w:rsidRPr="00A34FB9">
        <w:rPr>
          <w:lang w:val="es-ES_tradnl"/>
        </w:rPr>
        <w:t xml:space="preserve"> </w:t>
      </w:r>
      <w:r>
        <w:rPr>
          <w:lang w:val="es-ES_tradnl"/>
        </w:rPr>
        <w:tab/>
        <w:t>La velocidad binaria y la anchura de banda del canal son intercambiables utilizando la eficacia espectral de la codificación y la modulación de canal utilizadas, expresadas en bits por segundo y por hertzio.</w:t>
      </w:r>
    </w:p>
  </w:footnote>
  <w:footnote w:id="9">
    <w:p w:rsidR="005D4618" w:rsidRPr="004B5D4C" w:rsidRDefault="005D4618" w:rsidP="00B73F8A">
      <w:pPr>
        <w:pStyle w:val="FootnoteText"/>
        <w:rPr>
          <w:lang w:val="es-ES_tradnl"/>
        </w:rPr>
      </w:pPr>
      <w:r>
        <w:rPr>
          <w:rStyle w:val="FootnoteReference"/>
        </w:rPr>
        <w:footnoteRef/>
      </w:r>
      <w:r w:rsidRPr="004B5D4C">
        <w:rPr>
          <w:lang w:val="es-ES_tradnl"/>
        </w:rPr>
        <w:t xml:space="preserve"> </w:t>
      </w:r>
      <w:r>
        <w:rPr>
          <w:lang w:val="es-ES_tradnl"/>
        </w:rPr>
        <w:tab/>
        <w:t>El requisito mínimo de 2,67</w:t>
      </w:r>
      <w:r w:rsidR="00B73F8A">
        <w:rPr>
          <w:lang w:val="es-ES_tradnl"/>
        </w:rPr>
        <w:t> </w:t>
      </w:r>
      <w:r>
        <w:rPr>
          <w:lang w:val="es-ES_tradnl"/>
        </w:rPr>
        <w:t>Gbit/s se basa en el caso MAQ-64 2/3 y una capacidad de abonados total de 3 millones por HAPS con 300 000 abonados (el 10%) en línea durante la hora cargada. Se trata de un caso básico de acceso a la voz de usuario fundamentalmente, con un volumen modesto de tráfico de Internet y de datos combinado. Ello corresponde a una capacidad de usuario (no pasarela) de 300 K Erlang utilizando un modelo de trafico Erlang B con un bloqueo del 1%.</w:t>
      </w:r>
    </w:p>
  </w:footnote>
  <w:footnote w:id="10">
    <w:p w:rsidR="005D4618" w:rsidRPr="0089018D" w:rsidRDefault="005D4618" w:rsidP="00B73F8A">
      <w:pPr>
        <w:pStyle w:val="FootnoteText"/>
        <w:rPr>
          <w:lang w:val="es-ES_tradnl"/>
        </w:rPr>
      </w:pPr>
      <w:r>
        <w:rPr>
          <w:rStyle w:val="FootnoteReference"/>
        </w:rPr>
        <w:footnoteRef/>
      </w:r>
      <w:r w:rsidRPr="0089018D">
        <w:rPr>
          <w:lang w:val="es-ES_tradnl"/>
        </w:rPr>
        <w:t xml:space="preserve"> </w:t>
      </w:r>
      <w:r>
        <w:rPr>
          <w:lang w:val="es-ES_tradnl"/>
        </w:rPr>
        <w:tab/>
        <w:t>MAQ-64 con velocidad de codificación 2/3</w:t>
      </w:r>
      <w:r w:rsidR="00B73F8A">
        <w:rPr>
          <w:lang w:val="es-ES_tradnl"/>
        </w:rPr>
        <w:t> </w:t>
      </w:r>
      <w:r>
        <w:rPr>
          <w:lang w:val="es-ES_tradnl"/>
        </w:rPr>
        <w:t>proporciona una eficacia espectral de 4 bit/s/Hz. Cada enlace de pasarela de 160 MHz con esta modulación proporcionará 533 Mbit/s de capacidad de velocidad binaria. Cinco enlaces de pasarela de la misma frecuencia proporcionan una capacidad de pasarela total de 2,67 Gbit/s (533 Mbit/s veces 5 estaciones de pasarela).</w:t>
      </w:r>
    </w:p>
  </w:footnote>
  <w:footnote w:id="11">
    <w:p w:rsidR="005D4618" w:rsidRPr="00240EA0" w:rsidRDefault="005D4618" w:rsidP="00BF1286">
      <w:pPr>
        <w:pStyle w:val="FootnoteText"/>
        <w:rPr>
          <w:lang w:val="es-ES_tradnl"/>
        </w:rPr>
      </w:pPr>
      <w:r>
        <w:rPr>
          <w:rStyle w:val="FootnoteReference"/>
        </w:rPr>
        <w:footnoteRef/>
      </w:r>
      <w:r w:rsidRPr="00240EA0">
        <w:rPr>
          <w:lang w:val="es-ES_tradnl"/>
        </w:rPr>
        <w:t xml:space="preserve"> </w:t>
      </w:r>
      <w:r>
        <w:rPr>
          <w:lang w:val="es-ES_tradnl"/>
        </w:rPr>
        <w:tab/>
        <w:t>Se estima que la hora cargada aparece por término medio durante aproximadamente el 15% del tiempo total en un periodo de 24 horas. Se considera que el nivel de tráfico más bajo en cualquier instante del día es el 20% de la capacidad total.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18" w:rsidRDefault="005D461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18" w:rsidRDefault="005D4618" w:rsidP="00BF1286">
    <w:pPr>
      <w:pStyle w:val="Header"/>
      <w:ind w:right="360" w:firstLine="360"/>
    </w:pPr>
    <w:r>
      <w:rPr>
        <w:noProof/>
        <w:lang w:val="es-ES_tradnl" w:eastAsia="zh-CN"/>
      </w:rPr>
      <w:drawing>
        <wp:anchor distT="0" distB="0" distL="114300" distR="114300" simplePos="0" relativeHeight="251659264" behindDoc="1" locked="0" layoutInCell="1" allowOverlap="1" wp14:anchorId="00BBFC4C" wp14:editId="46CA97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18" w:rsidRDefault="005D4618" w:rsidP="00BF128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15809">
      <w:rPr>
        <w:rStyle w:val="PageNumber"/>
        <w:b/>
        <w:bCs/>
        <w:noProof/>
      </w:rPr>
      <w:t>ii</w:t>
    </w:r>
    <w:r>
      <w:rPr>
        <w:rStyle w:val="PageNumber"/>
        <w:b/>
        <w:bCs/>
      </w:rPr>
      <w:fldChar w:fldCharType="end"/>
    </w:r>
    <w:r>
      <w:tab/>
    </w:r>
    <w:fldSimple w:instr=" DOCPROPERTY &quot;Header&quot; \* MERGEFORMAT ">
      <w:r w:rsidR="00715809" w:rsidRPr="00715809">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15809">
      <w:rPr>
        <w:b/>
        <w:bCs/>
        <w:noProof/>
      </w:rPr>
      <w:t>UIT-R  F.1891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18" w:rsidRDefault="005D4618">
    <w:pPr>
      <w:pStyle w:val="Header"/>
    </w:pPr>
    <w:r>
      <w:tab/>
    </w:r>
    <w:fldSimple w:instr=" DOCPROPERTY &quot;Header&quot; \* MERGEFORMAT ">
      <w:r w:rsidR="00715809" w:rsidRPr="0071580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15809">
      <w:rPr>
        <w:b/>
        <w:bCs/>
        <w:noProof/>
      </w:rPr>
      <w:t>UIT-R  F.1891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18" w:rsidRDefault="005D461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5809">
      <w:rPr>
        <w:rStyle w:val="PageNumber"/>
        <w:b/>
        <w:bCs/>
        <w:noProof/>
        <w:lang w:val="en-US"/>
      </w:rPr>
      <w:t>14</w:t>
    </w:r>
    <w:r>
      <w:rPr>
        <w:rStyle w:val="PageNumber"/>
        <w:b/>
        <w:bCs/>
      </w:rPr>
      <w:fldChar w:fldCharType="end"/>
    </w:r>
    <w:r>
      <w:rPr>
        <w:lang w:val="en-US"/>
      </w:rPr>
      <w:tab/>
    </w:r>
    <w:fldSimple w:instr=" DOCPROPERTY &quot;Header&quot; \* MERGEFORMAT ">
      <w:r w:rsidR="00715809" w:rsidRPr="0071580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15809">
      <w:rPr>
        <w:b/>
        <w:bCs/>
        <w:noProof/>
      </w:rPr>
      <w:t>UIT-R  F.1891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618" w:rsidRDefault="005D4618">
    <w:pPr>
      <w:pStyle w:val="Header"/>
    </w:pPr>
    <w:r>
      <w:tab/>
    </w:r>
    <w:fldSimple w:instr=" DOCPROPERTY &quot;Header&quot; \* MERGEFORMAT ">
      <w:r w:rsidR="00715809" w:rsidRPr="007158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15809">
      <w:rPr>
        <w:b/>
        <w:bCs/>
        <w:noProof/>
      </w:rPr>
      <w:t>UIT-R  F.1891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15809">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209A8"/>
    <w:multiLevelType w:val="hybridMultilevel"/>
    <w:tmpl w:val="1E6462BA"/>
    <w:lvl w:ilvl="0" w:tplc="8632D2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F3A5441"/>
    <w:multiLevelType w:val="hybridMultilevel"/>
    <w:tmpl w:val="7B422A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70970D2"/>
    <w:multiLevelType w:val="hybridMultilevel"/>
    <w:tmpl w:val="059A3BFC"/>
    <w:lvl w:ilvl="0" w:tplc="54A0116C">
      <w:start w:val="7"/>
      <w:numFmt w:val="decimal"/>
      <w:lvlText w:val="%1"/>
      <w:lvlJc w:val="left"/>
      <w:pPr>
        <w:tabs>
          <w:tab w:val="num" w:pos="720"/>
        </w:tabs>
        <w:ind w:left="720" w:hanging="360"/>
      </w:pPr>
      <w:rPr>
        <w:rFonts w:hint="default"/>
      </w:rPr>
    </w:lvl>
    <w:lvl w:ilvl="1" w:tplc="9EC6A5EC">
      <w:start w:val="2"/>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286"/>
    <w:rsid w:val="00082799"/>
    <w:rsid w:val="000971A8"/>
    <w:rsid w:val="000D1CC3"/>
    <w:rsid w:val="001A0474"/>
    <w:rsid w:val="001A76E9"/>
    <w:rsid w:val="001B45C4"/>
    <w:rsid w:val="001C787E"/>
    <w:rsid w:val="001E68E4"/>
    <w:rsid w:val="001F7A87"/>
    <w:rsid w:val="00217EBF"/>
    <w:rsid w:val="002D76C4"/>
    <w:rsid w:val="002F62F7"/>
    <w:rsid w:val="00345FF7"/>
    <w:rsid w:val="003616BF"/>
    <w:rsid w:val="003E220C"/>
    <w:rsid w:val="00473A50"/>
    <w:rsid w:val="004B1935"/>
    <w:rsid w:val="00526A79"/>
    <w:rsid w:val="005763CC"/>
    <w:rsid w:val="00581E88"/>
    <w:rsid w:val="005A13BC"/>
    <w:rsid w:val="005D4618"/>
    <w:rsid w:val="005E72CB"/>
    <w:rsid w:val="00607D68"/>
    <w:rsid w:val="006427B8"/>
    <w:rsid w:val="00692021"/>
    <w:rsid w:val="006E41AF"/>
    <w:rsid w:val="00715809"/>
    <w:rsid w:val="007442D9"/>
    <w:rsid w:val="007468DA"/>
    <w:rsid w:val="007E384A"/>
    <w:rsid w:val="0088772B"/>
    <w:rsid w:val="008A44D2"/>
    <w:rsid w:val="00970021"/>
    <w:rsid w:val="00A21581"/>
    <w:rsid w:val="00A6617B"/>
    <w:rsid w:val="00AB0DC8"/>
    <w:rsid w:val="00AD1110"/>
    <w:rsid w:val="00AF4CAA"/>
    <w:rsid w:val="00B44E24"/>
    <w:rsid w:val="00B73F8A"/>
    <w:rsid w:val="00BA3F65"/>
    <w:rsid w:val="00BD1865"/>
    <w:rsid w:val="00BF1286"/>
    <w:rsid w:val="00C7116B"/>
    <w:rsid w:val="00CB2C9C"/>
    <w:rsid w:val="00DF4176"/>
    <w:rsid w:val="00E63647"/>
    <w:rsid w:val="00E8305B"/>
    <w:rsid w:val="00F973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8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1286"/>
    <w:pPr>
      <w:keepNext/>
      <w:keepLines/>
      <w:spacing w:before="480"/>
      <w:ind w:left="794" w:hanging="794"/>
      <w:outlineLvl w:val="0"/>
    </w:pPr>
    <w:rPr>
      <w:b/>
    </w:rPr>
  </w:style>
  <w:style w:type="paragraph" w:styleId="Heading2">
    <w:name w:val="heading 2"/>
    <w:basedOn w:val="Heading1"/>
    <w:next w:val="Normal"/>
    <w:qFormat/>
    <w:rsid w:val="00BF1286"/>
    <w:pPr>
      <w:spacing w:before="320"/>
      <w:outlineLvl w:val="1"/>
    </w:pPr>
  </w:style>
  <w:style w:type="paragraph" w:styleId="Heading3">
    <w:name w:val="heading 3"/>
    <w:basedOn w:val="Heading1"/>
    <w:next w:val="Normal"/>
    <w:qFormat/>
    <w:rsid w:val="00BF1286"/>
    <w:pPr>
      <w:spacing w:before="200"/>
      <w:outlineLvl w:val="2"/>
    </w:pPr>
  </w:style>
  <w:style w:type="paragraph" w:styleId="Heading4">
    <w:name w:val="heading 4"/>
    <w:basedOn w:val="Heading3"/>
    <w:next w:val="Normal"/>
    <w:qFormat/>
    <w:rsid w:val="00BF1286"/>
    <w:pPr>
      <w:tabs>
        <w:tab w:val="clear" w:pos="794"/>
        <w:tab w:val="left" w:pos="992"/>
      </w:tabs>
      <w:ind w:left="992" w:hanging="992"/>
      <w:outlineLvl w:val="3"/>
    </w:pPr>
  </w:style>
  <w:style w:type="paragraph" w:styleId="Heading5">
    <w:name w:val="heading 5"/>
    <w:basedOn w:val="Heading4"/>
    <w:next w:val="Normal"/>
    <w:qFormat/>
    <w:rsid w:val="00BF1286"/>
    <w:pPr>
      <w:outlineLvl w:val="4"/>
    </w:pPr>
  </w:style>
  <w:style w:type="paragraph" w:styleId="Heading6">
    <w:name w:val="heading 6"/>
    <w:basedOn w:val="Heading4"/>
    <w:next w:val="Normal"/>
    <w:qFormat/>
    <w:rsid w:val="00BF1286"/>
    <w:pPr>
      <w:tabs>
        <w:tab w:val="clear" w:pos="992"/>
        <w:tab w:val="clear" w:pos="1191"/>
      </w:tabs>
      <w:ind w:left="1588" w:hanging="1588"/>
      <w:outlineLvl w:val="5"/>
    </w:pPr>
  </w:style>
  <w:style w:type="paragraph" w:styleId="Heading7">
    <w:name w:val="heading 7"/>
    <w:basedOn w:val="Heading6"/>
    <w:next w:val="Normal"/>
    <w:qFormat/>
    <w:rsid w:val="00BF1286"/>
    <w:pPr>
      <w:outlineLvl w:val="6"/>
    </w:pPr>
  </w:style>
  <w:style w:type="paragraph" w:styleId="Heading8">
    <w:name w:val="heading 8"/>
    <w:basedOn w:val="Heading6"/>
    <w:next w:val="Normal"/>
    <w:qFormat/>
    <w:rsid w:val="00BF1286"/>
    <w:pPr>
      <w:outlineLvl w:val="7"/>
    </w:pPr>
  </w:style>
  <w:style w:type="paragraph" w:styleId="Heading9">
    <w:name w:val="heading 9"/>
    <w:basedOn w:val="Heading6"/>
    <w:next w:val="Normal"/>
    <w:qFormat/>
    <w:rsid w:val="00BF128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128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F128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1286"/>
  </w:style>
  <w:style w:type="paragraph" w:customStyle="1" w:styleId="Headingb">
    <w:name w:val="Heading_b"/>
    <w:basedOn w:val="Heading3"/>
    <w:next w:val="Normal"/>
    <w:rsid w:val="00BF1286"/>
    <w:pPr>
      <w:spacing w:before="160"/>
      <w:ind w:left="0" w:firstLine="0"/>
      <w:outlineLvl w:val="9"/>
    </w:pPr>
  </w:style>
  <w:style w:type="paragraph" w:customStyle="1" w:styleId="Headingi">
    <w:name w:val="Heading_i"/>
    <w:basedOn w:val="Heading3"/>
    <w:next w:val="Normal"/>
    <w:rsid w:val="00BF1286"/>
    <w:pPr>
      <w:spacing w:before="160"/>
      <w:ind w:left="0" w:firstLine="0"/>
    </w:pPr>
    <w:rPr>
      <w:b w:val="0"/>
      <w:i/>
    </w:rPr>
  </w:style>
  <w:style w:type="character" w:customStyle="1" w:styleId="href">
    <w:name w:val="href"/>
    <w:basedOn w:val="DefaultParagraphFont"/>
    <w:rsid w:val="00BF1286"/>
  </w:style>
  <w:style w:type="paragraph" w:customStyle="1" w:styleId="enumlev1">
    <w:name w:val="enumlev1"/>
    <w:basedOn w:val="Normal"/>
    <w:rsid w:val="00BF1286"/>
    <w:pPr>
      <w:spacing w:before="80"/>
      <w:ind w:left="794" w:hanging="794"/>
    </w:pPr>
  </w:style>
  <w:style w:type="paragraph" w:customStyle="1" w:styleId="enumlev2">
    <w:name w:val="enumlev2"/>
    <w:basedOn w:val="enumlev1"/>
    <w:rsid w:val="00BF1286"/>
    <w:pPr>
      <w:ind w:left="1191" w:hanging="397"/>
    </w:pPr>
  </w:style>
  <w:style w:type="paragraph" w:customStyle="1" w:styleId="enumlev3">
    <w:name w:val="enumlev3"/>
    <w:basedOn w:val="enumlev2"/>
    <w:rsid w:val="00BF1286"/>
    <w:pPr>
      <w:ind w:left="1588"/>
    </w:pPr>
  </w:style>
  <w:style w:type="paragraph" w:customStyle="1" w:styleId="Normalaftertitle">
    <w:name w:val="Normal_after_title"/>
    <w:basedOn w:val="Normal"/>
    <w:next w:val="Normal"/>
    <w:rsid w:val="00BF1286"/>
    <w:pPr>
      <w:spacing w:before="320"/>
    </w:pPr>
  </w:style>
  <w:style w:type="paragraph" w:customStyle="1" w:styleId="Note">
    <w:name w:val="Note"/>
    <w:basedOn w:val="Normal"/>
    <w:rsid w:val="00BF12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128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F1286"/>
    <w:pPr>
      <w:spacing w:before="240"/>
    </w:pPr>
    <w:rPr>
      <w:sz w:val="22"/>
      <w:lang w:val="es-ES_tradnl"/>
    </w:rPr>
  </w:style>
  <w:style w:type="paragraph" w:customStyle="1" w:styleId="Recref">
    <w:name w:val="Rec_ref"/>
    <w:basedOn w:val="Normal"/>
    <w:next w:val="Recdate"/>
    <w:rsid w:val="00BF1286"/>
    <w:pPr>
      <w:jc w:val="center"/>
    </w:pPr>
  </w:style>
  <w:style w:type="paragraph" w:customStyle="1" w:styleId="Recdate">
    <w:name w:val="Rec_date"/>
    <w:basedOn w:val="Recref"/>
    <w:next w:val="Normalaftertitle"/>
    <w:rsid w:val="00BF1286"/>
    <w:pPr>
      <w:jc w:val="right"/>
    </w:pPr>
  </w:style>
  <w:style w:type="paragraph" w:customStyle="1" w:styleId="AnnexNoTitle">
    <w:name w:val="Annex_NoTitle"/>
    <w:basedOn w:val="Normal"/>
    <w:next w:val="Normalaftertitle"/>
    <w:rsid w:val="00BF1286"/>
    <w:pPr>
      <w:keepNext/>
      <w:keepLines/>
      <w:spacing w:before="480" w:after="80"/>
      <w:jc w:val="center"/>
    </w:pPr>
    <w:rPr>
      <w:b/>
      <w:sz w:val="28"/>
    </w:rPr>
  </w:style>
  <w:style w:type="paragraph" w:customStyle="1" w:styleId="AppendixNoTitle">
    <w:name w:val="Appendix_NoTitle"/>
    <w:basedOn w:val="AnnexNoTitle"/>
    <w:next w:val="Normal"/>
    <w:rsid w:val="00BF1286"/>
  </w:style>
  <w:style w:type="paragraph" w:customStyle="1" w:styleId="Tablefin">
    <w:name w:val="Table_fin"/>
    <w:basedOn w:val="Normal"/>
    <w:next w:val="Normal"/>
    <w:rsid w:val="00BF1286"/>
    <w:pPr>
      <w:spacing w:before="0"/>
    </w:pPr>
    <w:rPr>
      <w:sz w:val="20"/>
      <w:lang w:val="en-GB"/>
    </w:rPr>
  </w:style>
  <w:style w:type="paragraph" w:customStyle="1" w:styleId="Tablehead">
    <w:name w:val="Table_head"/>
    <w:basedOn w:val="Normal"/>
    <w:next w:val="Normal"/>
    <w:link w:val="TableheadChar"/>
    <w:rsid w:val="00BF12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F12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1286"/>
    <w:pPr>
      <w:keepNext/>
      <w:spacing w:before="360" w:after="120"/>
      <w:jc w:val="center"/>
    </w:pPr>
  </w:style>
  <w:style w:type="paragraph" w:customStyle="1" w:styleId="Tabletext">
    <w:name w:val="Table_text"/>
    <w:basedOn w:val="Normal"/>
    <w:link w:val="TabletextChar"/>
    <w:rsid w:val="00BF12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1286"/>
    <w:pPr>
      <w:tabs>
        <w:tab w:val="clear" w:pos="1191"/>
        <w:tab w:val="clear" w:pos="1588"/>
        <w:tab w:val="clear" w:pos="1985"/>
        <w:tab w:val="center" w:pos="4820"/>
        <w:tab w:val="right" w:pos="9639"/>
      </w:tabs>
    </w:pPr>
  </w:style>
  <w:style w:type="paragraph" w:customStyle="1" w:styleId="Equationlegend">
    <w:name w:val="Equation_legend"/>
    <w:basedOn w:val="NormalIndent"/>
    <w:rsid w:val="00BF12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1286"/>
    <w:pPr>
      <w:ind w:left="794"/>
    </w:pPr>
  </w:style>
  <w:style w:type="paragraph" w:customStyle="1" w:styleId="Figurelegend">
    <w:name w:val="Figure_legend"/>
    <w:basedOn w:val="Normal"/>
    <w:rsid w:val="00BF12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1286"/>
    <w:pPr>
      <w:keepNext/>
      <w:keepLines/>
      <w:spacing w:before="480" w:after="80"/>
      <w:jc w:val="center"/>
    </w:pPr>
    <w:rPr>
      <w:caps/>
      <w:sz w:val="18"/>
    </w:rPr>
  </w:style>
  <w:style w:type="paragraph" w:customStyle="1" w:styleId="tocpart">
    <w:name w:val="tocpart"/>
    <w:basedOn w:val="Normal"/>
    <w:rsid w:val="00BF12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1286"/>
    <w:pPr>
      <w:keepNext/>
      <w:keepLines/>
      <w:spacing w:before="480"/>
      <w:jc w:val="center"/>
    </w:pPr>
    <w:rPr>
      <w:sz w:val="28"/>
    </w:rPr>
  </w:style>
  <w:style w:type="paragraph" w:customStyle="1" w:styleId="Arttitle">
    <w:name w:val="Art_title"/>
    <w:basedOn w:val="Normal"/>
    <w:next w:val="Normalaftertitle"/>
    <w:rsid w:val="00BF1286"/>
    <w:pPr>
      <w:keepNext/>
      <w:keepLines/>
      <w:spacing w:before="240"/>
      <w:jc w:val="center"/>
    </w:pPr>
    <w:rPr>
      <w:b/>
      <w:sz w:val="28"/>
    </w:rPr>
  </w:style>
  <w:style w:type="paragraph" w:customStyle="1" w:styleId="Blanc">
    <w:name w:val="Blanc"/>
    <w:basedOn w:val="Normal"/>
    <w:next w:val="Tabletext"/>
    <w:rsid w:val="00BF128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12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1286"/>
    <w:pPr>
      <w:keepNext/>
      <w:keepLines/>
      <w:spacing w:before="160"/>
      <w:ind w:left="794"/>
    </w:pPr>
    <w:rPr>
      <w:i/>
    </w:rPr>
  </w:style>
  <w:style w:type="paragraph" w:customStyle="1" w:styleId="ChapNo">
    <w:name w:val="Chap_No"/>
    <w:basedOn w:val="ArtNo"/>
    <w:next w:val="Chaptitle"/>
    <w:rsid w:val="00BF1286"/>
    <w:rPr>
      <w:b/>
    </w:rPr>
  </w:style>
  <w:style w:type="paragraph" w:customStyle="1" w:styleId="Chaptitle">
    <w:name w:val="Chap_title"/>
    <w:basedOn w:val="Arttitle"/>
    <w:next w:val="Normalaftertitle"/>
    <w:rsid w:val="00BF1286"/>
  </w:style>
  <w:style w:type="character" w:styleId="FootnoteReference">
    <w:name w:val="footnote reference"/>
    <w:basedOn w:val="DefaultParagraphFont"/>
    <w:semiHidden/>
    <w:rsid w:val="00BF1286"/>
    <w:rPr>
      <w:position w:val="6"/>
      <w:sz w:val="18"/>
    </w:rPr>
  </w:style>
  <w:style w:type="paragraph" w:styleId="FootnoteText">
    <w:name w:val="footnote text"/>
    <w:basedOn w:val="Normal"/>
    <w:semiHidden/>
    <w:rsid w:val="00BF1286"/>
    <w:pPr>
      <w:keepLines/>
      <w:tabs>
        <w:tab w:val="left" w:pos="255"/>
      </w:tabs>
      <w:ind w:left="255" w:hanging="255"/>
    </w:pPr>
    <w:rPr>
      <w:sz w:val="22"/>
    </w:rPr>
  </w:style>
  <w:style w:type="paragraph" w:styleId="Index1">
    <w:name w:val="index 1"/>
    <w:basedOn w:val="Normal"/>
    <w:next w:val="Normal"/>
    <w:semiHidden/>
    <w:rsid w:val="00BF1286"/>
  </w:style>
  <w:style w:type="paragraph" w:styleId="Index2">
    <w:name w:val="index 2"/>
    <w:basedOn w:val="Normal"/>
    <w:next w:val="Normal"/>
    <w:semiHidden/>
    <w:rsid w:val="00BF1286"/>
    <w:pPr>
      <w:ind w:left="283"/>
    </w:pPr>
  </w:style>
  <w:style w:type="paragraph" w:styleId="Index3">
    <w:name w:val="index 3"/>
    <w:basedOn w:val="Normal"/>
    <w:next w:val="Normal"/>
    <w:semiHidden/>
    <w:rsid w:val="00BF1286"/>
    <w:pPr>
      <w:ind w:left="566"/>
    </w:pPr>
  </w:style>
  <w:style w:type="paragraph" w:styleId="IndexHeading">
    <w:name w:val="index heading"/>
    <w:basedOn w:val="Normal"/>
    <w:next w:val="Index1"/>
    <w:semiHidden/>
    <w:rsid w:val="00BF1286"/>
  </w:style>
  <w:style w:type="paragraph" w:customStyle="1" w:styleId="Line">
    <w:name w:val="Line"/>
    <w:basedOn w:val="Normal"/>
    <w:next w:val="Normal"/>
    <w:rsid w:val="00BF12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12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1286"/>
  </w:style>
  <w:style w:type="paragraph" w:customStyle="1" w:styleId="Partref">
    <w:name w:val="Part_ref"/>
    <w:basedOn w:val="Normal"/>
    <w:next w:val="Normal"/>
    <w:rsid w:val="00BF1286"/>
    <w:pPr>
      <w:keepNext/>
      <w:keepLines/>
      <w:spacing w:after="280"/>
      <w:jc w:val="center"/>
    </w:pPr>
  </w:style>
  <w:style w:type="paragraph" w:customStyle="1" w:styleId="Parttitle">
    <w:name w:val="Part_title"/>
    <w:basedOn w:val="Normal"/>
    <w:next w:val="Normalaftertitle"/>
    <w:rsid w:val="00BF12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1286"/>
  </w:style>
  <w:style w:type="paragraph" w:customStyle="1" w:styleId="QuestionNo">
    <w:name w:val="Question_No"/>
    <w:basedOn w:val="RecNo"/>
    <w:next w:val="Normal"/>
    <w:rsid w:val="00BF1286"/>
  </w:style>
  <w:style w:type="paragraph" w:customStyle="1" w:styleId="Questionref">
    <w:name w:val="Question_ref"/>
    <w:basedOn w:val="Recref"/>
    <w:next w:val="Questiondate"/>
    <w:rsid w:val="00BF1286"/>
  </w:style>
  <w:style w:type="paragraph" w:customStyle="1" w:styleId="Questiontitle">
    <w:name w:val="Question_title"/>
    <w:basedOn w:val="Normal"/>
    <w:next w:val="Questionref"/>
    <w:rsid w:val="00BF1286"/>
  </w:style>
  <w:style w:type="paragraph" w:customStyle="1" w:styleId="Reftext">
    <w:name w:val="Ref_text"/>
    <w:basedOn w:val="Normal"/>
    <w:rsid w:val="00BF1286"/>
    <w:pPr>
      <w:ind w:left="794" w:hanging="794"/>
    </w:pPr>
    <w:rPr>
      <w:sz w:val="22"/>
    </w:rPr>
  </w:style>
  <w:style w:type="paragraph" w:customStyle="1" w:styleId="Reftitle">
    <w:name w:val="Ref_title"/>
    <w:basedOn w:val="Normal"/>
    <w:next w:val="Reftext"/>
    <w:rsid w:val="00BF12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1286"/>
  </w:style>
  <w:style w:type="paragraph" w:customStyle="1" w:styleId="RepNo">
    <w:name w:val="Rep_No"/>
    <w:basedOn w:val="RecNo"/>
    <w:next w:val="Reptitle"/>
    <w:rsid w:val="00BF1286"/>
  </w:style>
  <w:style w:type="paragraph" w:customStyle="1" w:styleId="Repref">
    <w:name w:val="Rep_ref"/>
    <w:basedOn w:val="Recref"/>
    <w:next w:val="Repdate"/>
    <w:rsid w:val="00BF1286"/>
  </w:style>
  <w:style w:type="paragraph" w:customStyle="1" w:styleId="Reptitle">
    <w:name w:val="Rep_title"/>
    <w:basedOn w:val="Rectitle"/>
    <w:next w:val="Repref"/>
    <w:rsid w:val="00BF1286"/>
  </w:style>
  <w:style w:type="paragraph" w:customStyle="1" w:styleId="Resdate">
    <w:name w:val="Res_date"/>
    <w:basedOn w:val="Recdate"/>
    <w:next w:val="Normalaftertitle"/>
    <w:rsid w:val="00BF1286"/>
  </w:style>
  <w:style w:type="paragraph" w:customStyle="1" w:styleId="ResNo">
    <w:name w:val="Res_No"/>
    <w:basedOn w:val="RecNo"/>
    <w:next w:val="Restitle"/>
    <w:rsid w:val="00BF1286"/>
  </w:style>
  <w:style w:type="paragraph" w:customStyle="1" w:styleId="Resref">
    <w:name w:val="Res_ref"/>
    <w:basedOn w:val="Recref"/>
    <w:next w:val="Resdate"/>
    <w:rsid w:val="00BF1286"/>
  </w:style>
  <w:style w:type="paragraph" w:customStyle="1" w:styleId="Restitle">
    <w:name w:val="Res_title"/>
    <w:basedOn w:val="Normal"/>
    <w:next w:val="Resref"/>
    <w:rsid w:val="00BF1286"/>
    <w:pPr>
      <w:spacing w:before="240"/>
      <w:jc w:val="center"/>
    </w:pPr>
    <w:rPr>
      <w:b/>
      <w:sz w:val="28"/>
    </w:rPr>
  </w:style>
  <w:style w:type="paragraph" w:customStyle="1" w:styleId="SectionNo">
    <w:name w:val="Section_No"/>
    <w:basedOn w:val="Normal"/>
    <w:next w:val="Normal"/>
    <w:rsid w:val="00BF1286"/>
  </w:style>
  <w:style w:type="paragraph" w:customStyle="1" w:styleId="Sectiontitle">
    <w:name w:val="Section_title"/>
    <w:basedOn w:val="Normal"/>
    <w:next w:val="Normalaftertitle"/>
    <w:rsid w:val="00BF12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1286"/>
    <w:pPr>
      <w:tabs>
        <w:tab w:val="clear" w:pos="794"/>
        <w:tab w:val="clear" w:pos="1191"/>
        <w:tab w:val="clear" w:pos="1588"/>
        <w:tab w:val="clear" w:pos="1985"/>
        <w:tab w:val="right" w:pos="9611"/>
      </w:tabs>
    </w:pPr>
    <w:rPr>
      <w:i/>
    </w:rPr>
  </w:style>
  <w:style w:type="paragraph" w:styleId="TOC1">
    <w:name w:val="toc 1"/>
    <w:basedOn w:val="Normal"/>
    <w:semiHidden/>
    <w:rsid w:val="00BF12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1286"/>
    <w:pPr>
      <w:tabs>
        <w:tab w:val="clear" w:pos="567"/>
        <w:tab w:val="left" w:pos="1276"/>
      </w:tabs>
      <w:spacing w:before="160"/>
      <w:ind w:left="1276" w:hanging="709"/>
    </w:pPr>
  </w:style>
  <w:style w:type="paragraph" w:styleId="TOC3">
    <w:name w:val="toc 3"/>
    <w:basedOn w:val="TOC2"/>
    <w:semiHidden/>
    <w:rsid w:val="00BF1286"/>
    <w:pPr>
      <w:tabs>
        <w:tab w:val="clear" w:pos="1276"/>
        <w:tab w:val="left" w:pos="2155"/>
      </w:tabs>
      <w:ind w:left="2155" w:hanging="879"/>
    </w:pPr>
  </w:style>
  <w:style w:type="paragraph" w:styleId="TOC4">
    <w:name w:val="toc 4"/>
    <w:basedOn w:val="TOC3"/>
    <w:semiHidden/>
    <w:rsid w:val="00BF1286"/>
    <w:pPr>
      <w:tabs>
        <w:tab w:val="left" w:pos="3261"/>
      </w:tabs>
      <w:spacing w:before="80"/>
      <w:ind w:left="3261" w:hanging="993"/>
    </w:pPr>
  </w:style>
  <w:style w:type="paragraph" w:styleId="TOC5">
    <w:name w:val="toc 5"/>
    <w:basedOn w:val="TOC4"/>
    <w:semiHidden/>
    <w:rsid w:val="00BF1286"/>
  </w:style>
  <w:style w:type="paragraph" w:styleId="TOC6">
    <w:name w:val="toc 6"/>
    <w:basedOn w:val="TOC4"/>
    <w:semiHidden/>
    <w:rsid w:val="00BF1286"/>
  </w:style>
  <w:style w:type="paragraph" w:styleId="TOC7">
    <w:name w:val="toc 7"/>
    <w:basedOn w:val="TOC4"/>
    <w:semiHidden/>
    <w:rsid w:val="00BF1286"/>
  </w:style>
  <w:style w:type="paragraph" w:styleId="TOC8">
    <w:name w:val="toc 8"/>
    <w:basedOn w:val="TOC4"/>
    <w:semiHidden/>
    <w:rsid w:val="00BF1286"/>
  </w:style>
  <w:style w:type="paragraph" w:customStyle="1" w:styleId="Rectitle">
    <w:name w:val="Rec_title"/>
    <w:basedOn w:val="Normal"/>
    <w:next w:val="Recref"/>
    <w:rsid w:val="00BF1286"/>
    <w:pPr>
      <w:keepNext/>
      <w:keepLines/>
      <w:spacing w:before="240"/>
      <w:jc w:val="center"/>
    </w:pPr>
    <w:rPr>
      <w:b/>
      <w:sz w:val="28"/>
    </w:rPr>
  </w:style>
  <w:style w:type="paragraph" w:customStyle="1" w:styleId="Annexref">
    <w:name w:val="Annex_ref"/>
    <w:basedOn w:val="Normal"/>
    <w:next w:val="Normalaftertitle"/>
    <w:rsid w:val="00BF1286"/>
    <w:pPr>
      <w:keepNext/>
      <w:keepLines/>
      <w:spacing w:after="280"/>
      <w:jc w:val="center"/>
    </w:pPr>
  </w:style>
  <w:style w:type="paragraph" w:customStyle="1" w:styleId="Appendixref">
    <w:name w:val="Appendix_ref"/>
    <w:basedOn w:val="Annexref"/>
    <w:next w:val="Normalaftertitle"/>
    <w:rsid w:val="00BF1286"/>
  </w:style>
  <w:style w:type="paragraph" w:customStyle="1" w:styleId="Figuretitle">
    <w:name w:val="Figure_title"/>
    <w:basedOn w:val="Normal"/>
    <w:next w:val="Figure"/>
    <w:rsid w:val="00BF128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F1286"/>
    <w:pPr>
      <w:keepNext/>
      <w:spacing w:before="0" w:after="120"/>
      <w:jc w:val="center"/>
    </w:pPr>
    <w:rPr>
      <w:b/>
    </w:rPr>
  </w:style>
  <w:style w:type="paragraph" w:customStyle="1" w:styleId="Summary">
    <w:name w:val="Summary"/>
    <w:basedOn w:val="Normal"/>
    <w:next w:val="Normalaftertitle"/>
    <w:rsid w:val="00BF1286"/>
    <w:pPr>
      <w:spacing w:after="480"/>
    </w:pPr>
    <w:rPr>
      <w:sz w:val="22"/>
      <w:lang w:val="es-ES_tradnl"/>
    </w:rPr>
  </w:style>
  <w:style w:type="paragraph" w:customStyle="1" w:styleId="TableLegendNote">
    <w:name w:val="Table_Legend_Note"/>
    <w:basedOn w:val="Tablelegend"/>
    <w:next w:val="Tablelegend"/>
    <w:rsid w:val="00BF1286"/>
    <w:pPr>
      <w:ind w:left="-85" w:firstLine="0"/>
    </w:pPr>
    <w:rPr>
      <w:lang w:val="en-US"/>
    </w:rPr>
  </w:style>
  <w:style w:type="paragraph" w:customStyle="1" w:styleId="Figure">
    <w:name w:val="Figure"/>
    <w:basedOn w:val="FigureNo"/>
    <w:next w:val="Normal"/>
    <w:rsid w:val="00BF1286"/>
    <w:pPr>
      <w:keepNext w:val="0"/>
      <w:spacing w:before="0" w:after="240"/>
    </w:pPr>
  </w:style>
  <w:style w:type="character" w:styleId="Hyperlink">
    <w:name w:val="Hyperlink"/>
    <w:basedOn w:val="DefaultParagraphFont"/>
    <w:rsid w:val="00BF1286"/>
    <w:rPr>
      <w:color w:val="0000FF"/>
      <w:u w:val="single"/>
    </w:rPr>
  </w:style>
  <w:style w:type="table" w:styleId="TableGrid">
    <w:name w:val="Table Grid"/>
    <w:basedOn w:val="TableNormal"/>
    <w:rsid w:val="00BF12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BF1286"/>
    <w:rPr>
      <w:caps/>
      <w:sz w:val="18"/>
      <w:lang w:val="fr-FR" w:eastAsia="en-US"/>
    </w:rPr>
  </w:style>
  <w:style w:type="paragraph" w:styleId="BalloonText">
    <w:name w:val="Balloon Text"/>
    <w:basedOn w:val="Normal"/>
    <w:link w:val="BalloonTextChar"/>
    <w:rsid w:val="00BF1286"/>
    <w:pPr>
      <w:spacing w:before="0"/>
    </w:pPr>
    <w:rPr>
      <w:rFonts w:ascii="Tahoma" w:hAnsi="Tahoma" w:cs="Tahoma"/>
      <w:sz w:val="16"/>
      <w:szCs w:val="16"/>
    </w:rPr>
  </w:style>
  <w:style w:type="character" w:customStyle="1" w:styleId="BalloonTextChar">
    <w:name w:val="Balloon Text Char"/>
    <w:basedOn w:val="DefaultParagraphFont"/>
    <w:link w:val="BalloonText"/>
    <w:rsid w:val="00BF1286"/>
    <w:rPr>
      <w:rFonts w:ascii="Tahoma" w:hAnsi="Tahoma" w:cs="Tahoma"/>
      <w:sz w:val="16"/>
      <w:szCs w:val="16"/>
      <w:lang w:val="fr-FR" w:eastAsia="en-US"/>
    </w:rPr>
  </w:style>
  <w:style w:type="character" w:customStyle="1" w:styleId="TabletextChar">
    <w:name w:val="Table_text Char"/>
    <w:basedOn w:val="DefaultParagraphFont"/>
    <w:link w:val="Tabletext"/>
    <w:rsid w:val="00BF1286"/>
    <w:rPr>
      <w:sz w:val="22"/>
      <w:lang w:val="fr-FR" w:eastAsia="en-US"/>
    </w:rPr>
  </w:style>
  <w:style w:type="character" w:customStyle="1" w:styleId="TabletitleChar">
    <w:name w:val="Table_title Char"/>
    <w:basedOn w:val="DefaultParagraphFont"/>
    <w:link w:val="Tabletitle"/>
    <w:rsid w:val="00BF1286"/>
    <w:rPr>
      <w:b/>
      <w:sz w:val="24"/>
      <w:lang w:val="fr-FR" w:eastAsia="en-US"/>
    </w:rPr>
  </w:style>
  <w:style w:type="character" w:customStyle="1" w:styleId="TableheadChar">
    <w:name w:val="Table_head Char"/>
    <w:basedOn w:val="DefaultParagraphFont"/>
    <w:link w:val="Tablehead"/>
    <w:locked/>
    <w:rsid w:val="00BF1286"/>
    <w:rPr>
      <w:b/>
      <w:sz w:val="22"/>
      <w:lang w:val="fr-FR" w:eastAsia="en-US"/>
    </w:rPr>
  </w:style>
  <w:style w:type="character" w:customStyle="1" w:styleId="TablelegendChar">
    <w:name w:val="Table_legend Char"/>
    <w:basedOn w:val="TabletextChar"/>
    <w:link w:val="Tablelegend"/>
    <w:locked/>
    <w:rsid w:val="00BF1286"/>
    <w:rPr>
      <w:sz w:val="22"/>
      <w:lang w:val="fr-FR" w:eastAsia="en-US"/>
    </w:rPr>
  </w:style>
  <w:style w:type="character" w:customStyle="1" w:styleId="TableNoChar">
    <w:name w:val="Table_No Char"/>
    <w:basedOn w:val="DefaultParagraphFont"/>
    <w:link w:val="TableNo"/>
    <w:rsid w:val="00BF1286"/>
    <w:rPr>
      <w:sz w:val="24"/>
      <w:lang w:val="fr-FR" w:eastAsia="en-US"/>
    </w:rPr>
  </w:style>
  <w:style w:type="character" w:customStyle="1" w:styleId="EquationChar">
    <w:name w:val="Equation Char"/>
    <w:basedOn w:val="DefaultParagraphFont"/>
    <w:link w:val="Equation"/>
    <w:locked/>
    <w:rsid w:val="00BF128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8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1286"/>
    <w:pPr>
      <w:keepNext/>
      <w:keepLines/>
      <w:spacing w:before="480"/>
      <w:ind w:left="794" w:hanging="794"/>
      <w:outlineLvl w:val="0"/>
    </w:pPr>
    <w:rPr>
      <w:b/>
    </w:rPr>
  </w:style>
  <w:style w:type="paragraph" w:styleId="Heading2">
    <w:name w:val="heading 2"/>
    <w:basedOn w:val="Heading1"/>
    <w:next w:val="Normal"/>
    <w:qFormat/>
    <w:rsid w:val="00BF1286"/>
    <w:pPr>
      <w:spacing w:before="320"/>
      <w:outlineLvl w:val="1"/>
    </w:pPr>
  </w:style>
  <w:style w:type="paragraph" w:styleId="Heading3">
    <w:name w:val="heading 3"/>
    <w:basedOn w:val="Heading1"/>
    <w:next w:val="Normal"/>
    <w:qFormat/>
    <w:rsid w:val="00BF1286"/>
    <w:pPr>
      <w:spacing w:before="200"/>
      <w:outlineLvl w:val="2"/>
    </w:pPr>
  </w:style>
  <w:style w:type="paragraph" w:styleId="Heading4">
    <w:name w:val="heading 4"/>
    <w:basedOn w:val="Heading3"/>
    <w:next w:val="Normal"/>
    <w:qFormat/>
    <w:rsid w:val="00BF1286"/>
    <w:pPr>
      <w:tabs>
        <w:tab w:val="clear" w:pos="794"/>
        <w:tab w:val="left" w:pos="992"/>
      </w:tabs>
      <w:ind w:left="992" w:hanging="992"/>
      <w:outlineLvl w:val="3"/>
    </w:pPr>
  </w:style>
  <w:style w:type="paragraph" w:styleId="Heading5">
    <w:name w:val="heading 5"/>
    <w:basedOn w:val="Heading4"/>
    <w:next w:val="Normal"/>
    <w:qFormat/>
    <w:rsid w:val="00BF1286"/>
    <w:pPr>
      <w:outlineLvl w:val="4"/>
    </w:pPr>
  </w:style>
  <w:style w:type="paragraph" w:styleId="Heading6">
    <w:name w:val="heading 6"/>
    <w:basedOn w:val="Heading4"/>
    <w:next w:val="Normal"/>
    <w:qFormat/>
    <w:rsid w:val="00BF1286"/>
    <w:pPr>
      <w:tabs>
        <w:tab w:val="clear" w:pos="992"/>
        <w:tab w:val="clear" w:pos="1191"/>
      </w:tabs>
      <w:ind w:left="1588" w:hanging="1588"/>
      <w:outlineLvl w:val="5"/>
    </w:pPr>
  </w:style>
  <w:style w:type="paragraph" w:styleId="Heading7">
    <w:name w:val="heading 7"/>
    <w:basedOn w:val="Heading6"/>
    <w:next w:val="Normal"/>
    <w:qFormat/>
    <w:rsid w:val="00BF1286"/>
    <w:pPr>
      <w:outlineLvl w:val="6"/>
    </w:pPr>
  </w:style>
  <w:style w:type="paragraph" w:styleId="Heading8">
    <w:name w:val="heading 8"/>
    <w:basedOn w:val="Heading6"/>
    <w:next w:val="Normal"/>
    <w:qFormat/>
    <w:rsid w:val="00BF1286"/>
    <w:pPr>
      <w:outlineLvl w:val="7"/>
    </w:pPr>
  </w:style>
  <w:style w:type="paragraph" w:styleId="Heading9">
    <w:name w:val="heading 9"/>
    <w:basedOn w:val="Heading6"/>
    <w:next w:val="Normal"/>
    <w:qFormat/>
    <w:rsid w:val="00BF128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128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F128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1286"/>
  </w:style>
  <w:style w:type="paragraph" w:customStyle="1" w:styleId="Headingb">
    <w:name w:val="Heading_b"/>
    <w:basedOn w:val="Heading3"/>
    <w:next w:val="Normal"/>
    <w:rsid w:val="00BF1286"/>
    <w:pPr>
      <w:spacing w:before="160"/>
      <w:ind w:left="0" w:firstLine="0"/>
      <w:outlineLvl w:val="9"/>
    </w:pPr>
  </w:style>
  <w:style w:type="paragraph" w:customStyle="1" w:styleId="Headingi">
    <w:name w:val="Heading_i"/>
    <w:basedOn w:val="Heading3"/>
    <w:next w:val="Normal"/>
    <w:rsid w:val="00BF1286"/>
    <w:pPr>
      <w:spacing w:before="160"/>
      <w:ind w:left="0" w:firstLine="0"/>
    </w:pPr>
    <w:rPr>
      <w:b w:val="0"/>
      <w:i/>
    </w:rPr>
  </w:style>
  <w:style w:type="character" w:customStyle="1" w:styleId="href">
    <w:name w:val="href"/>
    <w:basedOn w:val="DefaultParagraphFont"/>
    <w:rsid w:val="00BF1286"/>
  </w:style>
  <w:style w:type="paragraph" w:customStyle="1" w:styleId="enumlev1">
    <w:name w:val="enumlev1"/>
    <w:basedOn w:val="Normal"/>
    <w:rsid w:val="00BF1286"/>
    <w:pPr>
      <w:spacing w:before="80"/>
      <w:ind w:left="794" w:hanging="794"/>
    </w:pPr>
  </w:style>
  <w:style w:type="paragraph" w:customStyle="1" w:styleId="enumlev2">
    <w:name w:val="enumlev2"/>
    <w:basedOn w:val="enumlev1"/>
    <w:rsid w:val="00BF1286"/>
    <w:pPr>
      <w:ind w:left="1191" w:hanging="397"/>
    </w:pPr>
  </w:style>
  <w:style w:type="paragraph" w:customStyle="1" w:styleId="enumlev3">
    <w:name w:val="enumlev3"/>
    <w:basedOn w:val="enumlev2"/>
    <w:rsid w:val="00BF1286"/>
    <w:pPr>
      <w:ind w:left="1588"/>
    </w:pPr>
  </w:style>
  <w:style w:type="paragraph" w:customStyle="1" w:styleId="Normalaftertitle">
    <w:name w:val="Normal_after_title"/>
    <w:basedOn w:val="Normal"/>
    <w:next w:val="Normal"/>
    <w:rsid w:val="00BF1286"/>
    <w:pPr>
      <w:spacing w:before="320"/>
    </w:pPr>
  </w:style>
  <w:style w:type="paragraph" w:customStyle="1" w:styleId="Note">
    <w:name w:val="Note"/>
    <w:basedOn w:val="Normal"/>
    <w:rsid w:val="00BF12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128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F1286"/>
    <w:pPr>
      <w:spacing w:before="240"/>
    </w:pPr>
    <w:rPr>
      <w:sz w:val="22"/>
      <w:lang w:val="es-ES_tradnl"/>
    </w:rPr>
  </w:style>
  <w:style w:type="paragraph" w:customStyle="1" w:styleId="Recref">
    <w:name w:val="Rec_ref"/>
    <w:basedOn w:val="Normal"/>
    <w:next w:val="Recdate"/>
    <w:rsid w:val="00BF1286"/>
    <w:pPr>
      <w:jc w:val="center"/>
    </w:pPr>
  </w:style>
  <w:style w:type="paragraph" w:customStyle="1" w:styleId="Recdate">
    <w:name w:val="Rec_date"/>
    <w:basedOn w:val="Recref"/>
    <w:next w:val="Normalaftertitle"/>
    <w:rsid w:val="00BF1286"/>
    <w:pPr>
      <w:jc w:val="right"/>
    </w:pPr>
  </w:style>
  <w:style w:type="paragraph" w:customStyle="1" w:styleId="AnnexNoTitle">
    <w:name w:val="Annex_NoTitle"/>
    <w:basedOn w:val="Normal"/>
    <w:next w:val="Normalaftertitle"/>
    <w:rsid w:val="00BF1286"/>
    <w:pPr>
      <w:keepNext/>
      <w:keepLines/>
      <w:spacing w:before="480" w:after="80"/>
      <w:jc w:val="center"/>
    </w:pPr>
    <w:rPr>
      <w:b/>
      <w:sz w:val="28"/>
    </w:rPr>
  </w:style>
  <w:style w:type="paragraph" w:customStyle="1" w:styleId="AppendixNoTitle">
    <w:name w:val="Appendix_NoTitle"/>
    <w:basedOn w:val="AnnexNoTitle"/>
    <w:next w:val="Normal"/>
    <w:rsid w:val="00BF1286"/>
  </w:style>
  <w:style w:type="paragraph" w:customStyle="1" w:styleId="Tablefin">
    <w:name w:val="Table_fin"/>
    <w:basedOn w:val="Normal"/>
    <w:next w:val="Normal"/>
    <w:rsid w:val="00BF1286"/>
    <w:pPr>
      <w:spacing w:before="0"/>
    </w:pPr>
    <w:rPr>
      <w:sz w:val="20"/>
      <w:lang w:val="en-GB"/>
    </w:rPr>
  </w:style>
  <w:style w:type="paragraph" w:customStyle="1" w:styleId="Tablehead">
    <w:name w:val="Table_head"/>
    <w:basedOn w:val="Normal"/>
    <w:next w:val="Normal"/>
    <w:link w:val="TableheadChar"/>
    <w:rsid w:val="00BF12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F12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1286"/>
    <w:pPr>
      <w:keepNext/>
      <w:spacing w:before="360" w:after="120"/>
      <w:jc w:val="center"/>
    </w:pPr>
  </w:style>
  <w:style w:type="paragraph" w:customStyle="1" w:styleId="Tabletext">
    <w:name w:val="Table_text"/>
    <w:basedOn w:val="Normal"/>
    <w:link w:val="TabletextChar"/>
    <w:rsid w:val="00BF12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1286"/>
    <w:pPr>
      <w:tabs>
        <w:tab w:val="clear" w:pos="1191"/>
        <w:tab w:val="clear" w:pos="1588"/>
        <w:tab w:val="clear" w:pos="1985"/>
        <w:tab w:val="center" w:pos="4820"/>
        <w:tab w:val="right" w:pos="9639"/>
      </w:tabs>
    </w:pPr>
  </w:style>
  <w:style w:type="paragraph" w:customStyle="1" w:styleId="Equationlegend">
    <w:name w:val="Equation_legend"/>
    <w:basedOn w:val="NormalIndent"/>
    <w:rsid w:val="00BF12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1286"/>
    <w:pPr>
      <w:ind w:left="794"/>
    </w:pPr>
  </w:style>
  <w:style w:type="paragraph" w:customStyle="1" w:styleId="Figurelegend">
    <w:name w:val="Figure_legend"/>
    <w:basedOn w:val="Normal"/>
    <w:rsid w:val="00BF12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1286"/>
    <w:pPr>
      <w:keepNext/>
      <w:keepLines/>
      <w:spacing w:before="480" w:after="80"/>
      <w:jc w:val="center"/>
    </w:pPr>
    <w:rPr>
      <w:caps/>
      <w:sz w:val="18"/>
    </w:rPr>
  </w:style>
  <w:style w:type="paragraph" w:customStyle="1" w:styleId="tocpart">
    <w:name w:val="tocpart"/>
    <w:basedOn w:val="Normal"/>
    <w:rsid w:val="00BF12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1286"/>
    <w:pPr>
      <w:keepNext/>
      <w:keepLines/>
      <w:spacing w:before="480"/>
      <w:jc w:val="center"/>
    </w:pPr>
    <w:rPr>
      <w:sz w:val="28"/>
    </w:rPr>
  </w:style>
  <w:style w:type="paragraph" w:customStyle="1" w:styleId="Arttitle">
    <w:name w:val="Art_title"/>
    <w:basedOn w:val="Normal"/>
    <w:next w:val="Normalaftertitle"/>
    <w:rsid w:val="00BF1286"/>
    <w:pPr>
      <w:keepNext/>
      <w:keepLines/>
      <w:spacing w:before="240"/>
      <w:jc w:val="center"/>
    </w:pPr>
    <w:rPr>
      <w:b/>
      <w:sz w:val="28"/>
    </w:rPr>
  </w:style>
  <w:style w:type="paragraph" w:customStyle="1" w:styleId="Blanc">
    <w:name w:val="Blanc"/>
    <w:basedOn w:val="Normal"/>
    <w:next w:val="Tabletext"/>
    <w:rsid w:val="00BF128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12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1286"/>
    <w:pPr>
      <w:keepNext/>
      <w:keepLines/>
      <w:spacing w:before="160"/>
      <w:ind w:left="794"/>
    </w:pPr>
    <w:rPr>
      <w:i/>
    </w:rPr>
  </w:style>
  <w:style w:type="paragraph" w:customStyle="1" w:styleId="ChapNo">
    <w:name w:val="Chap_No"/>
    <w:basedOn w:val="ArtNo"/>
    <w:next w:val="Chaptitle"/>
    <w:rsid w:val="00BF1286"/>
    <w:rPr>
      <w:b/>
    </w:rPr>
  </w:style>
  <w:style w:type="paragraph" w:customStyle="1" w:styleId="Chaptitle">
    <w:name w:val="Chap_title"/>
    <w:basedOn w:val="Arttitle"/>
    <w:next w:val="Normalaftertitle"/>
    <w:rsid w:val="00BF1286"/>
  </w:style>
  <w:style w:type="character" w:styleId="FootnoteReference">
    <w:name w:val="footnote reference"/>
    <w:basedOn w:val="DefaultParagraphFont"/>
    <w:semiHidden/>
    <w:rsid w:val="00BF1286"/>
    <w:rPr>
      <w:position w:val="6"/>
      <w:sz w:val="18"/>
    </w:rPr>
  </w:style>
  <w:style w:type="paragraph" w:styleId="FootnoteText">
    <w:name w:val="footnote text"/>
    <w:basedOn w:val="Normal"/>
    <w:semiHidden/>
    <w:rsid w:val="00BF1286"/>
    <w:pPr>
      <w:keepLines/>
      <w:tabs>
        <w:tab w:val="left" w:pos="255"/>
      </w:tabs>
      <w:ind w:left="255" w:hanging="255"/>
    </w:pPr>
    <w:rPr>
      <w:sz w:val="22"/>
    </w:rPr>
  </w:style>
  <w:style w:type="paragraph" w:styleId="Index1">
    <w:name w:val="index 1"/>
    <w:basedOn w:val="Normal"/>
    <w:next w:val="Normal"/>
    <w:semiHidden/>
    <w:rsid w:val="00BF1286"/>
  </w:style>
  <w:style w:type="paragraph" w:styleId="Index2">
    <w:name w:val="index 2"/>
    <w:basedOn w:val="Normal"/>
    <w:next w:val="Normal"/>
    <w:semiHidden/>
    <w:rsid w:val="00BF1286"/>
    <w:pPr>
      <w:ind w:left="283"/>
    </w:pPr>
  </w:style>
  <w:style w:type="paragraph" w:styleId="Index3">
    <w:name w:val="index 3"/>
    <w:basedOn w:val="Normal"/>
    <w:next w:val="Normal"/>
    <w:semiHidden/>
    <w:rsid w:val="00BF1286"/>
    <w:pPr>
      <w:ind w:left="566"/>
    </w:pPr>
  </w:style>
  <w:style w:type="paragraph" w:styleId="IndexHeading">
    <w:name w:val="index heading"/>
    <w:basedOn w:val="Normal"/>
    <w:next w:val="Index1"/>
    <w:semiHidden/>
    <w:rsid w:val="00BF1286"/>
  </w:style>
  <w:style w:type="paragraph" w:customStyle="1" w:styleId="Line">
    <w:name w:val="Line"/>
    <w:basedOn w:val="Normal"/>
    <w:next w:val="Normal"/>
    <w:rsid w:val="00BF12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12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1286"/>
  </w:style>
  <w:style w:type="paragraph" w:customStyle="1" w:styleId="Partref">
    <w:name w:val="Part_ref"/>
    <w:basedOn w:val="Normal"/>
    <w:next w:val="Normal"/>
    <w:rsid w:val="00BF1286"/>
    <w:pPr>
      <w:keepNext/>
      <w:keepLines/>
      <w:spacing w:after="280"/>
      <w:jc w:val="center"/>
    </w:pPr>
  </w:style>
  <w:style w:type="paragraph" w:customStyle="1" w:styleId="Parttitle">
    <w:name w:val="Part_title"/>
    <w:basedOn w:val="Normal"/>
    <w:next w:val="Normalaftertitle"/>
    <w:rsid w:val="00BF12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1286"/>
  </w:style>
  <w:style w:type="paragraph" w:customStyle="1" w:styleId="QuestionNo">
    <w:name w:val="Question_No"/>
    <w:basedOn w:val="RecNo"/>
    <w:next w:val="Normal"/>
    <w:rsid w:val="00BF1286"/>
  </w:style>
  <w:style w:type="paragraph" w:customStyle="1" w:styleId="Questionref">
    <w:name w:val="Question_ref"/>
    <w:basedOn w:val="Recref"/>
    <w:next w:val="Questiondate"/>
    <w:rsid w:val="00BF1286"/>
  </w:style>
  <w:style w:type="paragraph" w:customStyle="1" w:styleId="Questiontitle">
    <w:name w:val="Question_title"/>
    <w:basedOn w:val="Normal"/>
    <w:next w:val="Questionref"/>
    <w:rsid w:val="00BF1286"/>
  </w:style>
  <w:style w:type="paragraph" w:customStyle="1" w:styleId="Reftext">
    <w:name w:val="Ref_text"/>
    <w:basedOn w:val="Normal"/>
    <w:rsid w:val="00BF1286"/>
    <w:pPr>
      <w:ind w:left="794" w:hanging="794"/>
    </w:pPr>
    <w:rPr>
      <w:sz w:val="22"/>
    </w:rPr>
  </w:style>
  <w:style w:type="paragraph" w:customStyle="1" w:styleId="Reftitle">
    <w:name w:val="Ref_title"/>
    <w:basedOn w:val="Normal"/>
    <w:next w:val="Reftext"/>
    <w:rsid w:val="00BF12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1286"/>
  </w:style>
  <w:style w:type="paragraph" w:customStyle="1" w:styleId="RepNo">
    <w:name w:val="Rep_No"/>
    <w:basedOn w:val="RecNo"/>
    <w:next w:val="Reptitle"/>
    <w:rsid w:val="00BF1286"/>
  </w:style>
  <w:style w:type="paragraph" w:customStyle="1" w:styleId="Repref">
    <w:name w:val="Rep_ref"/>
    <w:basedOn w:val="Recref"/>
    <w:next w:val="Repdate"/>
    <w:rsid w:val="00BF1286"/>
  </w:style>
  <w:style w:type="paragraph" w:customStyle="1" w:styleId="Reptitle">
    <w:name w:val="Rep_title"/>
    <w:basedOn w:val="Rectitle"/>
    <w:next w:val="Repref"/>
    <w:rsid w:val="00BF1286"/>
  </w:style>
  <w:style w:type="paragraph" w:customStyle="1" w:styleId="Resdate">
    <w:name w:val="Res_date"/>
    <w:basedOn w:val="Recdate"/>
    <w:next w:val="Normalaftertitle"/>
    <w:rsid w:val="00BF1286"/>
  </w:style>
  <w:style w:type="paragraph" w:customStyle="1" w:styleId="ResNo">
    <w:name w:val="Res_No"/>
    <w:basedOn w:val="RecNo"/>
    <w:next w:val="Restitle"/>
    <w:rsid w:val="00BF1286"/>
  </w:style>
  <w:style w:type="paragraph" w:customStyle="1" w:styleId="Resref">
    <w:name w:val="Res_ref"/>
    <w:basedOn w:val="Recref"/>
    <w:next w:val="Resdate"/>
    <w:rsid w:val="00BF1286"/>
  </w:style>
  <w:style w:type="paragraph" w:customStyle="1" w:styleId="Restitle">
    <w:name w:val="Res_title"/>
    <w:basedOn w:val="Normal"/>
    <w:next w:val="Resref"/>
    <w:rsid w:val="00BF1286"/>
    <w:pPr>
      <w:spacing w:before="240"/>
      <w:jc w:val="center"/>
    </w:pPr>
    <w:rPr>
      <w:b/>
      <w:sz w:val="28"/>
    </w:rPr>
  </w:style>
  <w:style w:type="paragraph" w:customStyle="1" w:styleId="SectionNo">
    <w:name w:val="Section_No"/>
    <w:basedOn w:val="Normal"/>
    <w:next w:val="Normal"/>
    <w:rsid w:val="00BF1286"/>
  </w:style>
  <w:style w:type="paragraph" w:customStyle="1" w:styleId="Sectiontitle">
    <w:name w:val="Section_title"/>
    <w:basedOn w:val="Normal"/>
    <w:next w:val="Normalaftertitle"/>
    <w:rsid w:val="00BF12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1286"/>
    <w:pPr>
      <w:tabs>
        <w:tab w:val="clear" w:pos="794"/>
        <w:tab w:val="clear" w:pos="1191"/>
        <w:tab w:val="clear" w:pos="1588"/>
        <w:tab w:val="clear" w:pos="1985"/>
        <w:tab w:val="right" w:pos="9611"/>
      </w:tabs>
    </w:pPr>
    <w:rPr>
      <w:i/>
    </w:rPr>
  </w:style>
  <w:style w:type="paragraph" w:styleId="TOC1">
    <w:name w:val="toc 1"/>
    <w:basedOn w:val="Normal"/>
    <w:semiHidden/>
    <w:rsid w:val="00BF12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1286"/>
    <w:pPr>
      <w:tabs>
        <w:tab w:val="clear" w:pos="567"/>
        <w:tab w:val="left" w:pos="1276"/>
      </w:tabs>
      <w:spacing w:before="160"/>
      <w:ind w:left="1276" w:hanging="709"/>
    </w:pPr>
  </w:style>
  <w:style w:type="paragraph" w:styleId="TOC3">
    <w:name w:val="toc 3"/>
    <w:basedOn w:val="TOC2"/>
    <w:semiHidden/>
    <w:rsid w:val="00BF1286"/>
    <w:pPr>
      <w:tabs>
        <w:tab w:val="clear" w:pos="1276"/>
        <w:tab w:val="left" w:pos="2155"/>
      </w:tabs>
      <w:ind w:left="2155" w:hanging="879"/>
    </w:pPr>
  </w:style>
  <w:style w:type="paragraph" w:styleId="TOC4">
    <w:name w:val="toc 4"/>
    <w:basedOn w:val="TOC3"/>
    <w:semiHidden/>
    <w:rsid w:val="00BF1286"/>
    <w:pPr>
      <w:tabs>
        <w:tab w:val="left" w:pos="3261"/>
      </w:tabs>
      <w:spacing w:before="80"/>
      <w:ind w:left="3261" w:hanging="993"/>
    </w:pPr>
  </w:style>
  <w:style w:type="paragraph" w:styleId="TOC5">
    <w:name w:val="toc 5"/>
    <w:basedOn w:val="TOC4"/>
    <w:semiHidden/>
    <w:rsid w:val="00BF1286"/>
  </w:style>
  <w:style w:type="paragraph" w:styleId="TOC6">
    <w:name w:val="toc 6"/>
    <w:basedOn w:val="TOC4"/>
    <w:semiHidden/>
    <w:rsid w:val="00BF1286"/>
  </w:style>
  <w:style w:type="paragraph" w:styleId="TOC7">
    <w:name w:val="toc 7"/>
    <w:basedOn w:val="TOC4"/>
    <w:semiHidden/>
    <w:rsid w:val="00BF1286"/>
  </w:style>
  <w:style w:type="paragraph" w:styleId="TOC8">
    <w:name w:val="toc 8"/>
    <w:basedOn w:val="TOC4"/>
    <w:semiHidden/>
    <w:rsid w:val="00BF1286"/>
  </w:style>
  <w:style w:type="paragraph" w:customStyle="1" w:styleId="Rectitle">
    <w:name w:val="Rec_title"/>
    <w:basedOn w:val="Normal"/>
    <w:next w:val="Recref"/>
    <w:rsid w:val="00BF1286"/>
    <w:pPr>
      <w:keepNext/>
      <w:keepLines/>
      <w:spacing w:before="240"/>
      <w:jc w:val="center"/>
    </w:pPr>
    <w:rPr>
      <w:b/>
      <w:sz w:val="28"/>
    </w:rPr>
  </w:style>
  <w:style w:type="paragraph" w:customStyle="1" w:styleId="Annexref">
    <w:name w:val="Annex_ref"/>
    <w:basedOn w:val="Normal"/>
    <w:next w:val="Normalaftertitle"/>
    <w:rsid w:val="00BF1286"/>
    <w:pPr>
      <w:keepNext/>
      <w:keepLines/>
      <w:spacing w:after="280"/>
      <w:jc w:val="center"/>
    </w:pPr>
  </w:style>
  <w:style w:type="paragraph" w:customStyle="1" w:styleId="Appendixref">
    <w:name w:val="Appendix_ref"/>
    <w:basedOn w:val="Annexref"/>
    <w:next w:val="Normalaftertitle"/>
    <w:rsid w:val="00BF1286"/>
  </w:style>
  <w:style w:type="paragraph" w:customStyle="1" w:styleId="Figuretitle">
    <w:name w:val="Figure_title"/>
    <w:basedOn w:val="Normal"/>
    <w:next w:val="Figure"/>
    <w:rsid w:val="00BF128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F1286"/>
    <w:pPr>
      <w:keepNext/>
      <w:spacing w:before="0" w:after="120"/>
      <w:jc w:val="center"/>
    </w:pPr>
    <w:rPr>
      <w:b/>
    </w:rPr>
  </w:style>
  <w:style w:type="paragraph" w:customStyle="1" w:styleId="Summary">
    <w:name w:val="Summary"/>
    <w:basedOn w:val="Normal"/>
    <w:next w:val="Normalaftertitle"/>
    <w:rsid w:val="00BF1286"/>
    <w:pPr>
      <w:spacing w:after="480"/>
    </w:pPr>
    <w:rPr>
      <w:sz w:val="22"/>
      <w:lang w:val="es-ES_tradnl"/>
    </w:rPr>
  </w:style>
  <w:style w:type="paragraph" w:customStyle="1" w:styleId="TableLegendNote">
    <w:name w:val="Table_Legend_Note"/>
    <w:basedOn w:val="Tablelegend"/>
    <w:next w:val="Tablelegend"/>
    <w:rsid w:val="00BF1286"/>
    <w:pPr>
      <w:ind w:left="-85" w:firstLine="0"/>
    </w:pPr>
    <w:rPr>
      <w:lang w:val="en-US"/>
    </w:rPr>
  </w:style>
  <w:style w:type="paragraph" w:customStyle="1" w:styleId="Figure">
    <w:name w:val="Figure"/>
    <w:basedOn w:val="FigureNo"/>
    <w:next w:val="Normal"/>
    <w:rsid w:val="00BF1286"/>
    <w:pPr>
      <w:keepNext w:val="0"/>
      <w:spacing w:before="0" w:after="240"/>
    </w:pPr>
  </w:style>
  <w:style w:type="character" w:styleId="Hyperlink">
    <w:name w:val="Hyperlink"/>
    <w:basedOn w:val="DefaultParagraphFont"/>
    <w:rsid w:val="00BF1286"/>
    <w:rPr>
      <w:color w:val="0000FF"/>
      <w:u w:val="single"/>
    </w:rPr>
  </w:style>
  <w:style w:type="table" w:styleId="TableGrid">
    <w:name w:val="Table Grid"/>
    <w:basedOn w:val="TableNormal"/>
    <w:rsid w:val="00BF12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BF1286"/>
    <w:rPr>
      <w:caps/>
      <w:sz w:val="18"/>
      <w:lang w:val="fr-FR" w:eastAsia="en-US"/>
    </w:rPr>
  </w:style>
  <w:style w:type="paragraph" w:styleId="BalloonText">
    <w:name w:val="Balloon Text"/>
    <w:basedOn w:val="Normal"/>
    <w:link w:val="BalloonTextChar"/>
    <w:rsid w:val="00BF1286"/>
    <w:pPr>
      <w:spacing w:before="0"/>
    </w:pPr>
    <w:rPr>
      <w:rFonts w:ascii="Tahoma" w:hAnsi="Tahoma" w:cs="Tahoma"/>
      <w:sz w:val="16"/>
      <w:szCs w:val="16"/>
    </w:rPr>
  </w:style>
  <w:style w:type="character" w:customStyle="1" w:styleId="BalloonTextChar">
    <w:name w:val="Balloon Text Char"/>
    <w:basedOn w:val="DefaultParagraphFont"/>
    <w:link w:val="BalloonText"/>
    <w:rsid w:val="00BF1286"/>
    <w:rPr>
      <w:rFonts w:ascii="Tahoma" w:hAnsi="Tahoma" w:cs="Tahoma"/>
      <w:sz w:val="16"/>
      <w:szCs w:val="16"/>
      <w:lang w:val="fr-FR" w:eastAsia="en-US"/>
    </w:rPr>
  </w:style>
  <w:style w:type="character" w:customStyle="1" w:styleId="TabletextChar">
    <w:name w:val="Table_text Char"/>
    <w:basedOn w:val="DefaultParagraphFont"/>
    <w:link w:val="Tabletext"/>
    <w:rsid w:val="00BF1286"/>
    <w:rPr>
      <w:sz w:val="22"/>
      <w:lang w:val="fr-FR" w:eastAsia="en-US"/>
    </w:rPr>
  </w:style>
  <w:style w:type="character" w:customStyle="1" w:styleId="TabletitleChar">
    <w:name w:val="Table_title Char"/>
    <w:basedOn w:val="DefaultParagraphFont"/>
    <w:link w:val="Tabletitle"/>
    <w:rsid w:val="00BF1286"/>
    <w:rPr>
      <w:b/>
      <w:sz w:val="24"/>
      <w:lang w:val="fr-FR" w:eastAsia="en-US"/>
    </w:rPr>
  </w:style>
  <w:style w:type="character" w:customStyle="1" w:styleId="TableheadChar">
    <w:name w:val="Table_head Char"/>
    <w:basedOn w:val="DefaultParagraphFont"/>
    <w:link w:val="Tablehead"/>
    <w:locked/>
    <w:rsid w:val="00BF1286"/>
    <w:rPr>
      <w:b/>
      <w:sz w:val="22"/>
      <w:lang w:val="fr-FR" w:eastAsia="en-US"/>
    </w:rPr>
  </w:style>
  <w:style w:type="character" w:customStyle="1" w:styleId="TablelegendChar">
    <w:name w:val="Table_legend Char"/>
    <w:basedOn w:val="TabletextChar"/>
    <w:link w:val="Tablelegend"/>
    <w:locked/>
    <w:rsid w:val="00BF1286"/>
    <w:rPr>
      <w:sz w:val="22"/>
      <w:lang w:val="fr-FR" w:eastAsia="en-US"/>
    </w:rPr>
  </w:style>
  <w:style w:type="character" w:customStyle="1" w:styleId="TableNoChar">
    <w:name w:val="Table_No Char"/>
    <w:basedOn w:val="DefaultParagraphFont"/>
    <w:link w:val="TableNo"/>
    <w:rsid w:val="00BF1286"/>
    <w:rPr>
      <w:sz w:val="24"/>
      <w:lang w:val="fr-FR" w:eastAsia="en-US"/>
    </w:rPr>
  </w:style>
  <w:style w:type="character" w:customStyle="1" w:styleId="EquationChar">
    <w:name w:val="Equation Char"/>
    <w:basedOn w:val="DefaultParagraphFont"/>
    <w:link w:val="Equation"/>
    <w:locked/>
    <w:rsid w:val="00BF128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4ACC8-E0D7-4852-AFA7-A361A68C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233</TotalTime>
  <Pages>16</Pages>
  <Words>5202</Words>
  <Characters>26401</Characters>
  <Application>Microsoft Office Word</Application>
  <DocSecurity>0</DocSecurity>
  <Lines>800</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38</cp:revision>
  <cp:lastPrinted>2011-08-08T14:52:00Z</cp:lastPrinted>
  <dcterms:created xsi:type="dcterms:W3CDTF">2011-07-13T07:02:00Z</dcterms:created>
  <dcterms:modified xsi:type="dcterms:W3CDTF">2011-08-09T09:43:00Z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