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76CD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276CD5">
              <w:rPr>
                <w:rFonts w:ascii="Tahoma" w:hAnsi="Tahoma" w:cs="Tahoma"/>
                <w:b/>
                <w:bCs/>
                <w:iCs/>
                <w:color w:val="243285"/>
                <w:sz w:val="36"/>
                <w:szCs w:val="36"/>
              </w:rPr>
              <w:t>1891</w:t>
            </w:r>
          </w:p>
          <w:p w:rsidR="00FE79FE" w:rsidRPr="004F65E4" w:rsidRDefault="00FE79FE" w:rsidP="00276CD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76CD5">
              <w:rPr>
                <w:rFonts w:ascii="Tahoma" w:hAnsi="Tahoma" w:cs="Tahoma"/>
                <w:b/>
                <w:bCs/>
                <w:iCs/>
                <w:color w:val="243285"/>
                <w:szCs w:val="24"/>
              </w:rPr>
              <w:t>05</w:t>
            </w:r>
            <w:r w:rsidRPr="004F65E4">
              <w:rPr>
                <w:rFonts w:ascii="Tahoma" w:hAnsi="Tahoma" w:cs="Tahoma"/>
                <w:b/>
                <w:bCs/>
                <w:iCs/>
                <w:color w:val="243285"/>
                <w:szCs w:val="24"/>
              </w:rPr>
              <w:t>/</w:t>
            </w:r>
            <w:r w:rsidR="00276CD5">
              <w:rPr>
                <w:rFonts w:ascii="Tahoma" w:hAnsi="Tahoma" w:cs="Tahoma"/>
                <w:b/>
                <w:bCs/>
                <w:iCs/>
                <w:color w:val="243285"/>
                <w:szCs w:val="24"/>
              </w:rPr>
              <w:t>2011</w:t>
            </w:r>
            <w:r w:rsidRPr="004F65E4">
              <w:rPr>
                <w:rFonts w:ascii="Tahoma" w:hAnsi="Tahoma" w:cs="Tahoma"/>
                <w:b/>
                <w:bCs/>
                <w:iCs/>
                <w:color w:val="243285"/>
                <w:szCs w:val="24"/>
              </w:rPr>
              <w:t>)</w:t>
            </w:r>
          </w:p>
        </w:tc>
      </w:tr>
      <w:tr w:rsidR="00FE79FE" w:rsidRPr="00AC18B2">
        <w:tc>
          <w:tcPr>
            <w:tcW w:w="10089" w:type="dxa"/>
          </w:tcPr>
          <w:p w:rsidR="00013002" w:rsidRPr="00276CD5"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76CD5" w:rsidP="00276CD5">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Technical and operational characteristics</w:t>
            </w:r>
            <w:r>
              <w:rPr>
                <w:rFonts w:ascii="Tahoma" w:hAnsi="Tahoma" w:cs="Tahoma"/>
                <w:b/>
                <w:bCs/>
                <w:iCs/>
                <w:color w:val="243285"/>
                <w:sz w:val="44"/>
                <w:szCs w:val="44"/>
                <w:lang w:val="en-US"/>
              </w:rPr>
              <w:br/>
              <w:t>of gateway links in the fixed service</w:t>
            </w:r>
            <w:r>
              <w:rPr>
                <w:rFonts w:ascii="Tahoma" w:hAnsi="Tahoma" w:cs="Tahoma"/>
                <w:b/>
                <w:bCs/>
                <w:iCs/>
                <w:color w:val="243285"/>
                <w:sz w:val="44"/>
                <w:szCs w:val="44"/>
                <w:lang w:val="en-US"/>
              </w:rPr>
              <w:br/>
              <w:t>using high altitude platform stations</w:t>
            </w:r>
            <w:r>
              <w:rPr>
                <w:rFonts w:ascii="Tahoma" w:hAnsi="Tahoma" w:cs="Tahoma"/>
                <w:b/>
                <w:bCs/>
                <w:iCs/>
                <w:color w:val="243285"/>
                <w:sz w:val="44"/>
                <w:szCs w:val="44"/>
                <w:lang w:val="en-US"/>
              </w:rPr>
              <w:br/>
              <w:t>in the band 5 850-7 075 MHz to be</w:t>
            </w:r>
            <w:r>
              <w:rPr>
                <w:rFonts w:ascii="Tahoma" w:hAnsi="Tahoma" w:cs="Tahoma"/>
                <w:b/>
                <w:bCs/>
                <w:iCs/>
                <w:color w:val="243285"/>
                <w:sz w:val="44"/>
                <w:szCs w:val="44"/>
                <w:lang w:val="en-US"/>
              </w:rPr>
              <w:br/>
              <w:t>used in sharing studies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276CD5" w:rsidRDefault="00677965" w:rsidP="00677965">
            <w:pPr>
              <w:spacing w:before="80" w:line="280" w:lineRule="exact"/>
              <w:ind w:right="640"/>
              <w:rPr>
                <w:rFonts w:ascii="Tahoma" w:hAnsi="Tahoma" w:cs="Tahoma"/>
                <w:b/>
                <w:bCs/>
                <w:iCs/>
                <w:color w:val="243285"/>
                <w:sz w:val="32"/>
                <w:szCs w:val="32"/>
                <w:lang w:val="en-US"/>
              </w:rPr>
            </w:pPr>
          </w:p>
          <w:p w:rsidR="00677965" w:rsidRPr="00276CD5" w:rsidRDefault="00677965" w:rsidP="00677965">
            <w:pPr>
              <w:spacing w:before="80" w:line="280" w:lineRule="exact"/>
              <w:ind w:right="640"/>
              <w:rPr>
                <w:rFonts w:ascii="Tahoma" w:hAnsi="Tahoma" w:cs="Tahoma"/>
                <w:b/>
                <w:bCs/>
                <w:iCs/>
                <w:color w:val="243285"/>
                <w:sz w:val="32"/>
                <w:szCs w:val="32"/>
                <w:lang w:val="en-US"/>
              </w:rPr>
            </w:pPr>
          </w:p>
          <w:p w:rsidR="00677965" w:rsidRPr="00276CD5"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C18B2">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C18B2"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C18B2"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C18B2">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C18B2">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0269CE">
        <w:rPr>
          <w:sz w:val="20"/>
          <w:lang w:val="en-US"/>
        </w:rPr>
        <w:t>1</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6A75CC">
        <w:rPr>
          <w:sz w:val="20"/>
          <w:lang w:val="en-US"/>
        </w:rPr>
        <w:t>1</w:t>
      </w:r>
      <w:r w:rsidR="000269CE">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276CD5" w:rsidP="00276CD5">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1891</w:t>
      </w:r>
      <w:r>
        <w:rPr>
          <w:rStyle w:val="FootnoteReference"/>
          <w:lang w:val="en-US"/>
        </w:rPr>
        <w:footnoteReference w:customMarkFollows="1" w:id="1"/>
        <w:t>*</w:t>
      </w:r>
    </w:p>
    <w:p w:rsidR="00276CD5" w:rsidRPr="00276CD5" w:rsidRDefault="00276CD5" w:rsidP="00CE4640">
      <w:pPr>
        <w:pStyle w:val="Rectitle"/>
        <w:rPr>
          <w:lang w:val="en-US"/>
        </w:rPr>
      </w:pPr>
      <w:r w:rsidRPr="00276CD5">
        <w:rPr>
          <w:lang w:val="en-US"/>
        </w:rPr>
        <w:t>Technical and operational characteristics of gateway links in the fixed service</w:t>
      </w:r>
      <w:r w:rsidR="00CE4640">
        <w:rPr>
          <w:lang w:val="en-US"/>
        </w:rPr>
        <w:br/>
      </w:r>
      <w:r w:rsidRPr="00276CD5">
        <w:rPr>
          <w:lang w:val="en-US"/>
        </w:rPr>
        <w:t>using high altitude platform stations in the band 5 850-7 075 MHz</w:t>
      </w:r>
      <w:r w:rsidRPr="00276CD5">
        <w:rPr>
          <w:lang w:val="en-US"/>
        </w:rPr>
        <w:br/>
        <w:t xml:space="preserve">to be used in sharing studies </w:t>
      </w:r>
    </w:p>
    <w:p w:rsidR="00CE4640" w:rsidRDefault="00CE4640" w:rsidP="00276CD5">
      <w:pPr>
        <w:pStyle w:val="Recdate"/>
        <w:rPr>
          <w:lang w:val="en-US"/>
        </w:rPr>
      </w:pPr>
    </w:p>
    <w:p w:rsidR="00276CD5" w:rsidRDefault="00CE4640" w:rsidP="00276CD5">
      <w:pPr>
        <w:pStyle w:val="Recdate"/>
        <w:rPr>
          <w:lang w:val="en-US"/>
        </w:rPr>
      </w:pPr>
      <w:r>
        <w:rPr>
          <w:lang w:val="en-US"/>
        </w:rPr>
        <w:t>(2011)</w:t>
      </w:r>
    </w:p>
    <w:p w:rsidR="00276CD5" w:rsidRPr="005C78FA" w:rsidRDefault="00276CD5" w:rsidP="00CE4640">
      <w:pPr>
        <w:pStyle w:val="HeadingSum"/>
        <w:rPr>
          <w:sz w:val="24"/>
          <w:lang w:val="en-US"/>
        </w:rPr>
      </w:pPr>
      <w:r w:rsidRPr="005C78FA">
        <w:rPr>
          <w:sz w:val="24"/>
          <w:lang w:val="en-US"/>
        </w:rPr>
        <w:t>Scope</w:t>
      </w:r>
    </w:p>
    <w:p w:rsidR="00276CD5" w:rsidRPr="00CE4640" w:rsidRDefault="00276CD5" w:rsidP="00CE4640">
      <w:pPr>
        <w:pStyle w:val="Summary"/>
        <w:rPr>
          <w:sz w:val="24"/>
          <w:lang w:val="en-US"/>
        </w:rPr>
      </w:pPr>
      <w:r w:rsidRPr="005C78FA">
        <w:rPr>
          <w:sz w:val="24"/>
          <w:lang w:val="en-US"/>
        </w:rPr>
        <w:t xml:space="preserve">This Recommendation </w:t>
      </w:r>
      <w:r w:rsidRPr="005C78FA">
        <w:rPr>
          <w:sz w:val="24"/>
          <w:lang w:val="en-US" w:eastAsia="ko-KR"/>
        </w:rPr>
        <w:t xml:space="preserve">provides the technical and operational characteristics of high altitude platform stations (HAPS) gateway links in the fixed service (FS) in the band 5 850-7 075 MHz. It is intended to provide administrations with information on HAPS gateway links for use in sharing studies with conventional types of FS systems and with systems and networks of other services in the band above and in adjacent bands. </w:t>
      </w:r>
      <w:r w:rsidRPr="00CE4640">
        <w:rPr>
          <w:sz w:val="24"/>
          <w:lang w:val="en-US" w:eastAsia="ko-KR"/>
        </w:rPr>
        <w:t xml:space="preserve">Information on the relationship between gateway links and user links can also be found in this </w:t>
      </w:r>
      <w:r w:rsidR="00CE4640" w:rsidRPr="00CE4640">
        <w:rPr>
          <w:sz w:val="24"/>
          <w:lang w:val="en-US" w:eastAsia="ko-KR"/>
        </w:rPr>
        <w:t>tex</w:t>
      </w:r>
      <w:r w:rsidRPr="00CE4640">
        <w:rPr>
          <w:sz w:val="24"/>
          <w:lang w:val="en-US" w:eastAsia="ko-KR"/>
        </w:rPr>
        <w:t>t.</w:t>
      </w:r>
    </w:p>
    <w:p w:rsidR="00276CD5" w:rsidRPr="00276CD5" w:rsidRDefault="00276CD5" w:rsidP="00276CD5">
      <w:pPr>
        <w:pStyle w:val="Normalaftertitle"/>
        <w:rPr>
          <w:lang w:val="en-US"/>
        </w:rPr>
      </w:pPr>
      <w:r w:rsidRPr="00276CD5">
        <w:rPr>
          <w:lang w:val="en-US"/>
        </w:rPr>
        <w:t>The ITU Radiocommunication Assembly,</w:t>
      </w:r>
    </w:p>
    <w:p w:rsidR="00276CD5" w:rsidRPr="00276CD5" w:rsidRDefault="00276CD5" w:rsidP="00276CD5">
      <w:pPr>
        <w:pStyle w:val="Call"/>
        <w:rPr>
          <w:lang w:val="en-US"/>
        </w:rPr>
      </w:pPr>
      <w:r w:rsidRPr="00276CD5">
        <w:rPr>
          <w:lang w:val="en-US"/>
        </w:rPr>
        <w:t>considering</w:t>
      </w:r>
    </w:p>
    <w:p w:rsidR="00276CD5" w:rsidRPr="00276CD5" w:rsidRDefault="00276CD5" w:rsidP="00276CD5">
      <w:pPr>
        <w:rPr>
          <w:lang w:val="en-US" w:eastAsia="ko-KR"/>
        </w:rPr>
      </w:pPr>
      <w:r w:rsidRPr="00276CD5">
        <w:rPr>
          <w:iCs/>
          <w:lang w:val="en-US" w:eastAsia="ko-KR"/>
        </w:rPr>
        <w:t>a)</w:t>
      </w:r>
      <w:r w:rsidRPr="00276CD5">
        <w:rPr>
          <w:lang w:val="en-US" w:eastAsia="ko-KR"/>
        </w:rPr>
        <w:tab/>
        <w:t>that WRC-07 recognized that it would be desirable to have greater flexibility in the choice of spectrum for gateway operations in support of HAPS networks;</w:t>
      </w:r>
    </w:p>
    <w:p w:rsidR="00276CD5" w:rsidRPr="00276CD5" w:rsidRDefault="00276CD5" w:rsidP="00276CD5">
      <w:pPr>
        <w:rPr>
          <w:lang w:val="en-US" w:eastAsia="ko-KR"/>
        </w:rPr>
      </w:pPr>
      <w:r w:rsidRPr="00276CD5">
        <w:rPr>
          <w:iCs/>
          <w:lang w:val="en-US" w:eastAsia="ko-KR"/>
        </w:rPr>
        <w:t>b</w:t>
      </w:r>
      <w:r w:rsidRPr="00276CD5">
        <w:rPr>
          <w:iCs/>
          <w:lang w:val="en-US"/>
        </w:rPr>
        <w:t>)</w:t>
      </w:r>
      <w:r w:rsidRPr="00276CD5">
        <w:rPr>
          <w:lang w:val="en-US"/>
        </w:rPr>
        <w:tab/>
        <w:t xml:space="preserve">that WRC-07 requested the studies </w:t>
      </w:r>
      <w:r w:rsidRPr="00276CD5">
        <w:rPr>
          <w:lang w:val="en-US" w:eastAsia="ko-KR"/>
        </w:rPr>
        <w:t>to consider identification of</w:t>
      </w:r>
      <w:r w:rsidRPr="00276CD5">
        <w:rPr>
          <w:lang w:val="en-US"/>
        </w:rPr>
        <w:t xml:space="preserve"> spectrum for </w:t>
      </w:r>
      <w:r w:rsidRPr="00276CD5">
        <w:rPr>
          <w:lang w:val="en-US" w:eastAsia="ko-KR"/>
        </w:rPr>
        <w:t xml:space="preserve">HAPS </w:t>
      </w:r>
      <w:r w:rsidRPr="00276CD5">
        <w:rPr>
          <w:lang w:val="en-US"/>
        </w:rPr>
        <w:t xml:space="preserve">gateway links in the range 5 850-7 075 MHz; </w:t>
      </w:r>
    </w:p>
    <w:p w:rsidR="00276CD5" w:rsidRPr="00276CD5" w:rsidRDefault="00276CD5" w:rsidP="00276CD5">
      <w:pPr>
        <w:rPr>
          <w:lang w:val="en-US"/>
        </w:rPr>
      </w:pPr>
      <w:r w:rsidRPr="00276CD5">
        <w:rPr>
          <w:iCs/>
          <w:lang w:val="en-US" w:eastAsia="ko-KR"/>
        </w:rPr>
        <w:t>c</w:t>
      </w:r>
      <w:r w:rsidRPr="00276CD5">
        <w:rPr>
          <w:iCs/>
          <w:lang w:val="en-US"/>
        </w:rPr>
        <w:t>)</w:t>
      </w:r>
      <w:r w:rsidRPr="00276CD5">
        <w:rPr>
          <w:lang w:val="en-US"/>
        </w:rPr>
        <w:tab/>
        <w:t xml:space="preserve">that </w:t>
      </w:r>
      <w:r w:rsidRPr="00276CD5">
        <w:rPr>
          <w:lang w:val="en-US" w:eastAsia="ko-KR"/>
        </w:rPr>
        <w:t>HAPS</w:t>
      </w:r>
      <w:r w:rsidRPr="00276CD5">
        <w:rPr>
          <w:lang w:val="en-US"/>
        </w:rPr>
        <w:t xml:space="preserve"> gateway links could be used to support operations in the fixed and mobile services;</w:t>
      </w:r>
    </w:p>
    <w:p w:rsidR="00276CD5" w:rsidRPr="00276CD5" w:rsidRDefault="00276CD5" w:rsidP="00276CD5">
      <w:pPr>
        <w:rPr>
          <w:lang w:val="en-US"/>
        </w:rPr>
      </w:pPr>
      <w:r w:rsidRPr="00276CD5">
        <w:rPr>
          <w:iCs/>
          <w:lang w:val="en-US" w:eastAsia="ko-KR"/>
        </w:rPr>
        <w:t>d</w:t>
      </w:r>
      <w:r w:rsidRPr="00276CD5">
        <w:rPr>
          <w:iCs/>
          <w:lang w:val="en-US"/>
        </w:rPr>
        <w:t>)</w:t>
      </w:r>
      <w:r w:rsidRPr="00276CD5">
        <w:rPr>
          <w:lang w:val="en-US"/>
        </w:rPr>
        <w:tab/>
        <w:t xml:space="preserve">that </w:t>
      </w:r>
      <w:r w:rsidRPr="00276CD5">
        <w:rPr>
          <w:lang w:val="en-US" w:eastAsia="ko-KR"/>
        </w:rPr>
        <w:t>HAPS gateway links</w:t>
      </w:r>
      <w:r w:rsidRPr="00276CD5">
        <w:rPr>
          <w:lang w:val="en-US"/>
        </w:rPr>
        <w:t xml:space="preserve"> in this band would need to share with systems operating in the fixed, mobile, and fixed-satellite services</w:t>
      </w:r>
      <w:r w:rsidRPr="00276CD5">
        <w:rPr>
          <w:lang w:val="en-US" w:eastAsia="ko-KR"/>
        </w:rPr>
        <w:t xml:space="preserve"> and may have an impact on passive services such as the Earth exploration-satellite service (EESS) and radio astronomy</w:t>
      </w:r>
      <w:r w:rsidRPr="00276CD5">
        <w:rPr>
          <w:lang w:val="en-US"/>
        </w:rPr>
        <w:t>;</w:t>
      </w:r>
    </w:p>
    <w:p w:rsidR="00276CD5" w:rsidRPr="00276CD5" w:rsidRDefault="00276CD5" w:rsidP="00276CD5">
      <w:pPr>
        <w:rPr>
          <w:lang w:val="en-US"/>
        </w:rPr>
      </w:pPr>
      <w:r w:rsidRPr="00276CD5">
        <w:rPr>
          <w:iCs/>
          <w:lang w:val="en-US"/>
        </w:rPr>
        <w:t>e)</w:t>
      </w:r>
      <w:r w:rsidRPr="00276CD5">
        <w:rPr>
          <w:lang w:val="en-US"/>
        </w:rPr>
        <w:tab/>
        <w:t xml:space="preserve">that gateway links in a HAPS system would be limited in number and would need to employ higher performance antennas and higher transmitted power in comparison with user links, which would permit the use of higher order modulation methods and more complex coding; </w:t>
      </w:r>
    </w:p>
    <w:p w:rsidR="00276CD5" w:rsidRPr="00276CD5" w:rsidRDefault="00276CD5" w:rsidP="00276CD5">
      <w:pPr>
        <w:rPr>
          <w:lang w:val="en-US"/>
        </w:rPr>
      </w:pPr>
      <w:r w:rsidRPr="00276CD5">
        <w:rPr>
          <w:iCs/>
          <w:lang w:val="en-US"/>
        </w:rPr>
        <w:t>f)</w:t>
      </w:r>
      <w:r w:rsidRPr="00276CD5">
        <w:rPr>
          <w:lang w:val="en-US"/>
        </w:rPr>
        <w:tab/>
        <w:t xml:space="preserve">that based on </w:t>
      </w:r>
      <w:r w:rsidRPr="00276CD5">
        <w:rPr>
          <w:i/>
          <w:lang w:val="en-US"/>
        </w:rPr>
        <w:t xml:space="preserve">considering </w:t>
      </w:r>
      <w:r w:rsidRPr="00276CD5">
        <w:rPr>
          <w:iCs/>
          <w:lang w:val="en-US"/>
        </w:rPr>
        <w:t>e</w:t>
      </w:r>
      <w:r w:rsidRPr="00276CD5">
        <w:rPr>
          <w:lang w:val="en-US"/>
        </w:rPr>
        <w:t>), HAPS gateway links would be more spectrally efficient than the user links;</w:t>
      </w:r>
    </w:p>
    <w:p w:rsidR="00276CD5" w:rsidRPr="00276CD5" w:rsidRDefault="00276CD5" w:rsidP="00276CD5">
      <w:pPr>
        <w:rPr>
          <w:lang w:val="en-US"/>
        </w:rPr>
      </w:pPr>
      <w:r w:rsidRPr="00276CD5">
        <w:rPr>
          <w:iCs/>
          <w:lang w:val="en-US"/>
        </w:rPr>
        <w:t>g)</w:t>
      </w:r>
      <w:r w:rsidRPr="00276CD5">
        <w:rPr>
          <w:lang w:val="en-US"/>
        </w:rPr>
        <w:tab/>
        <w:t>that technical and operational characteristics of HAPS gateway links</w:t>
      </w:r>
      <w:r w:rsidRPr="00276CD5">
        <w:rPr>
          <w:lang w:val="en-US" w:eastAsia="ko-KR"/>
        </w:rPr>
        <w:t xml:space="preserve"> in the FS</w:t>
      </w:r>
      <w:r w:rsidRPr="00276CD5">
        <w:rPr>
          <w:lang w:val="en-US"/>
        </w:rPr>
        <w:t xml:space="preserve"> are required in order to perform studies of sharing </w:t>
      </w:r>
      <w:r w:rsidRPr="00276CD5">
        <w:rPr>
          <w:lang w:val="en-US" w:eastAsia="ko-KR"/>
        </w:rPr>
        <w:t xml:space="preserve">with other types of FS system and with systems and networks of other services </w:t>
      </w:r>
      <w:r w:rsidRPr="00276CD5">
        <w:rPr>
          <w:lang w:val="en-US"/>
        </w:rPr>
        <w:t>in the 5 850-7 075 MHz band, as well as to take into account the out-of-band emissions to or from services in nearby or adjacent bands,</w:t>
      </w:r>
    </w:p>
    <w:p w:rsidR="00276CD5" w:rsidRPr="00276CD5" w:rsidRDefault="00276CD5" w:rsidP="00276CD5">
      <w:pPr>
        <w:pStyle w:val="Call"/>
        <w:rPr>
          <w:lang w:val="en-US"/>
        </w:rPr>
      </w:pPr>
      <w:r w:rsidRPr="00276CD5">
        <w:rPr>
          <w:lang w:val="en-US"/>
        </w:rPr>
        <w:t>recognizing</w:t>
      </w:r>
    </w:p>
    <w:p w:rsidR="00276CD5" w:rsidRPr="00276CD5" w:rsidRDefault="00276CD5" w:rsidP="00276CD5">
      <w:pPr>
        <w:rPr>
          <w:lang w:val="en-US"/>
        </w:rPr>
      </w:pPr>
      <w:r w:rsidRPr="00276CD5">
        <w:rPr>
          <w:iCs/>
          <w:lang w:val="en-US"/>
        </w:rPr>
        <w:t>a)</w:t>
      </w:r>
      <w:r w:rsidRPr="00276CD5">
        <w:rPr>
          <w:lang w:val="en-US"/>
        </w:rPr>
        <w:tab/>
        <w:t>that Resolution 734 (Rev.WRC-07) considered that it is desirable to have adequate provision for gateway links to serve HAPS operations;</w:t>
      </w:r>
    </w:p>
    <w:p w:rsidR="00276CD5" w:rsidRPr="00276CD5" w:rsidRDefault="00276CD5" w:rsidP="00276CD5">
      <w:pPr>
        <w:rPr>
          <w:lang w:val="en-US"/>
        </w:rPr>
      </w:pPr>
      <w:r w:rsidRPr="00276CD5">
        <w:rPr>
          <w:iCs/>
          <w:lang w:val="en-US"/>
        </w:rPr>
        <w:lastRenderedPageBreak/>
        <w:t>b)</w:t>
      </w:r>
      <w:r w:rsidRPr="00276CD5">
        <w:rPr>
          <w:lang w:val="en-US"/>
        </w:rPr>
        <w:tab/>
        <w:t>that Resolution 734 (Rev.WRC-07) also resolved to invite ITU</w:t>
      </w:r>
      <w:r w:rsidRPr="00276CD5">
        <w:rPr>
          <w:lang w:val="en-US"/>
        </w:rPr>
        <w:noBreakHyphen/>
        <w:t>R to extend sharing studies, with a view to identifying two channels of 80 MHz each for gateway links for HAPS in the range from 5 850-7 075 MHz, in bands already allocated to the fixed service, while ensuring the protection of existing services,</w:t>
      </w:r>
    </w:p>
    <w:p w:rsidR="00276CD5" w:rsidRPr="00276CD5" w:rsidRDefault="00276CD5" w:rsidP="00276CD5">
      <w:pPr>
        <w:pStyle w:val="Call"/>
        <w:rPr>
          <w:lang w:val="en-US"/>
        </w:rPr>
      </w:pPr>
      <w:r w:rsidRPr="00276CD5">
        <w:rPr>
          <w:lang w:val="en-US"/>
        </w:rPr>
        <w:t>recommends</w:t>
      </w:r>
    </w:p>
    <w:p w:rsidR="00276CD5" w:rsidRPr="00276CD5" w:rsidRDefault="00CE4640" w:rsidP="00276CD5">
      <w:pPr>
        <w:rPr>
          <w:lang w:val="en-US"/>
        </w:rPr>
      </w:pPr>
      <w:r w:rsidRPr="00CE4640">
        <w:rPr>
          <w:b/>
          <w:bCs/>
          <w:lang w:val="en-US"/>
        </w:rPr>
        <w:t>1</w:t>
      </w:r>
      <w:r>
        <w:rPr>
          <w:lang w:val="en-US"/>
        </w:rPr>
        <w:tab/>
      </w:r>
      <w:r w:rsidR="00276CD5" w:rsidRPr="00276CD5">
        <w:rPr>
          <w:lang w:val="en-US"/>
        </w:rPr>
        <w:t xml:space="preserve">that the technical and operational characteristics of HAPS gateway links as </w:t>
      </w:r>
      <w:r w:rsidR="00276CD5" w:rsidRPr="00276CD5">
        <w:rPr>
          <w:lang w:val="en-US" w:eastAsia="ko-KR"/>
        </w:rPr>
        <w:t xml:space="preserve">contained </w:t>
      </w:r>
      <w:r w:rsidR="00276CD5" w:rsidRPr="00276CD5">
        <w:rPr>
          <w:lang w:val="en-US"/>
        </w:rPr>
        <w:t>in Annex </w:t>
      </w:r>
      <w:r w:rsidR="00276CD5" w:rsidRPr="00276CD5">
        <w:rPr>
          <w:lang w:val="en-US" w:eastAsia="ko-KR"/>
        </w:rPr>
        <w:t xml:space="preserve">1 to this Recommendation </w:t>
      </w:r>
      <w:r w:rsidR="00276CD5" w:rsidRPr="00276CD5">
        <w:rPr>
          <w:lang w:val="en-US"/>
        </w:rPr>
        <w:t xml:space="preserve">should be used in analysing the feasibility of sharing </w:t>
      </w:r>
      <w:r w:rsidR="00276CD5" w:rsidRPr="00276CD5">
        <w:rPr>
          <w:lang w:val="en-US" w:eastAsia="ko-KR"/>
        </w:rPr>
        <w:t>involving HAPS gateway links</w:t>
      </w:r>
      <w:r w:rsidR="00276CD5" w:rsidRPr="00276CD5">
        <w:rPr>
          <w:lang w:val="en-US"/>
        </w:rPr>
        <w:t xml:space="preserve"> in the frequency range from 5 850-7 075 MHz.</w:t>
      </w:r>
    </w:p>
    <w:p w:rsidR="00276CD5" w:rsidRDefault="00276CD5" w:rsidP="00276CD5">
      <w:pPr>
        <w:rPr>
          <w:lang w:val="en-US"/>
        </w:rPr>
      </w:pPr>
    </w:p>
    <w:p w:rsidR="00276CD5" w:rsidRPr="00CE4640" w:rsidRDefault="00276CD5" w:rsidP="00CE4640">
      <w:pPr>
        <w:pStyle w:val="AnnexNoTitle"/>
        <w:rPr>
          <w:lang w:val="en-US"/>
        </w:rPr>
      </w:pPr>
      <w:r w:rsidRPr="00CE4640">
        <w:rPr>
          <w:lang w:val="en-US"/>
        </w:rPr>
        <w:t>Annex</w:t>
      </w:r>
      <w:r w:rsidRPr="00CE4640">
        <w:rPr>
          <w:lang w:val="en-US" w:eastAsia="ko-KR"/>
        </w:rPr>
        <w:t xml:space="preserve"> 1</w:t>
      </w:r>
      <w:r w:rsidR="00CE4640" w:rsidRPr="00CE4640">
        <w:rPr>
          <w:lang w:val="en-US" w:eastAsia="ko-KR"/>
        </w:rPr>
        <w:br/>
      </w:r>
      <w:r w:rsidR="00CE4640">
        <w:rPr>
          <w:lang w:val="en-US" w:eastAsia="ko-KR"/>
        </w:rPr>
        <w:br/>
      </w:r>
      <w:r w:rsidRPr="00CE4640">
        <w:rPr>
          <w:lang w:val="en-US"/>
        </w:rPr>
        <w:t xml:space="preserve">Technical and operational characteristics of gateway links </w:t>
      </w:r>
      <w:r w:rsidRPr="00CE4640">
        <w:rPr>
          <w:lang w:val="en-US" w:eastAsia="ko-KR"/>
        </w:rPr>
        <w:t>for</w:t>
      </w:r>
      <w:r w:rsidRPr="00CE4640">
        <w:rPr>
          <w:lang w:val="en-US" w:eastAsia="ko-KR"/>
        </w:rPr>
        <w:br/>
      </w:r>
      <w:r w:rsidRPr="00CE4640">
        <w:rPr>
          <w:lang w:val="en-US"/>
        </w:rPr>
        <w:t xml:space="preserve">high altitude platform stations in the </w:t>
      </w:r>
      <w:r w:rsidRPr="00CE4640">
        <w:rPr>
          <w:lang w:val="en-US" w:eastAsia="ko-KR"/>
        </w:rPr>
        <w:t>fixed service</w:t>
      </w:r>
      <w:r w:rsidRPr="00CE4640">
        <w:rPr>
          <w:lang w:val="en-US" w:eastAsia="ko-KR"/>
        </w:rPr>
        <w:br/>
      </w:r>
      <w:r w:rsidRPr="00CE4640">
        <w:rPr>
          <w:lang w:val="en-US"/>
        </w:rPr>
        <w:t>operating in the 5 850-7 075 MHz band</w:t>
      </w:r>
    </w:p>
    <w:p w:rsidR="00276CD5" w:rsidRPr="00276CD5" w:rsidRDefault="00276CD5" w:rsidP="00276CD5">
      <w:pPr>
        <w:pStyle w:val="Heading1"/>
        <w:rPr>
          <w:lang w:val="en-US"/>
        </w:rPr>
      </w:pPr>
      <w:r w:rsidRPr="00276CD5">
        <w:rPr>
          <w:lang w:val="en-US"/>
        </w:rPr>
        <w:t>1</w:t>
      </w:r>
      <w:r w:rsidRPr="00276CD5">
        <w:rPr>
          <w:lang w:val="en-US"/>
        </w:rPr>
        <w:tab/>
        <w:t>Introduction</w:t>
      </w:r>
    </w:p>
    <w:p w:rsidR="00276CD5" w:rsidRPr="00276CD5" w:rsidRDefault="00276CD5" w:rsidP="00276CD5">
      <w:pPr>
        <w:rPr>
          <w:lang w:val="en-US"/>
        </w:rPr>
      </w:pPr>
      <w:r w:rsidRPr="00276CD5">
        <w:rPr>
          <w:rFonts w:eastAsia="Gulim"/>
          <w:lang w:val="en-US"/>
        </w:rPr>
        <w:t>The technical and operational characteristics of the HAPS system described herein are based on a realizable generic design of the HAPS payload, stratospheric platform and network.</w:t>
      </w:r>
    </w:p>
    <w:p w:rsidR="00276CD5" w:rsidRPr="00276CD5" w:rsidRDefault="00276CD5" w:rsidP="00276CD5">
      <w:pPr>
        <w:pStyle w:val="Heading1"/>
        <w:rPr>
          <w:lang w:val="en-US"/>
        </w:rPr>
      </w:pPr>
      <w:r w:rsidRPr="00276CD5">
        <w:rPr>
          <w:lang w:val="en-US" w:eastAsia="ko-KR"/>
        </w:rPr>
        <w:t>2</w:t>
      </w:r>
      <w:r w:rsidRPr="00276CD5">
        <w:rPr>
          <w:lang w:val="en-US"/>
        </w:rPr>
        <w:tab/>
        <w:t>HAPS platform stability</w:t>
      </w:r>
    </w:p>
    <w:p w:rsidR="00276CD5" w:rsidRPr="00276CD5" w:rsidRDefault="00276CD5" w:rsidP="00276CD5">
      <w:pPr>
        <w:rPr>
          <w:lang w:val="en-US"/>
        </w:rPr>
      </w:pPr>
      <w:r w:rsidRPr="00276CD5">
        <w:rPr>
          <w:lang w:val="en-US"/>
        </w:rPr>
        <w:t xml:space="preserve">HAPS obtains its movement stability, relative to the Earth, by controlled flight in the low-density, steady flowing, low-velocity and non-turbulent air stream that exists at particular stratospheric altitudes. HAPS operates at a nominally fixed location in the stratosphere at a height of 20 to </w:t>
      </w:r>
      <w:smartTag w:uri="urn:schemas-microsoft-com:office:smarttags" w:element="metricconverter">
        <w:smartTagPr>
          <w:attr w:name="ProductID" w:val="25ﾠkm"/>
        </w:smartTagPr>
        <w:r w:rsidRPr="00276CD5">
          <w:rPr>
            <w:lang w:val="en-US"/>
          </w:rPr>
          <w:t>25</w:t>
        </w:r>
        <w:r w:rsidRPr="00276CD5">
          <w:rPr>
            <w:rFonts w:ascii="Tms Rmn" w:hAnsi="Tms Rmn"/>
            <w:lang w:val="en-US"/>
          </w:rPr>
          <w:t> km</w:t>
        </w:r>
      </w:smartTag>
      <w:r w:rsidRPr="00276CD5">
        <w:rPr>
          <w:lang w:val="en-US"/>
        </w:rPr>
        <w:t>. The relatively smooth flowing air stream combined with state-of-the-art propulsion, aerodynamic, thermodynamic and material design will provide a stable and controlled flight that will result in accurate position maintenance and minimal axial (pitch, roll, yaw) rotation. The rate of change of the velocity of stratospheric winds is well within the capability of the propulsion and control systems of the platform to maintain the desired position and heading. The same levels of stability, altitude and position maintenance can be achieved by the heavier-than-air (HTA) and lighter-than-air (LTA) platforms.</w:t>
      </w:r>
    </w:p>
    <w:p w:rsidR="00276CD5" w:rsidRPr="00276CD5" w:rsidRDefault="00276CD5" w:rsidP="00CE4640">
      <w:pPr>
        <w:rPr>
          <w:lang w:val="en-US"/>
        </w:rPr>
      </w:pPr>
      <w:r w:rsidRPr="00276CD5">
        <w:rPr>
          <w:lang w:val="en-US"/>
        </w:rPr>
        <w:t>Typically HAPS will maintain its position to well within 0.5 km, will have less than 1/2</w:t>
      </w:r>
      <w:r w:rsidR="00CE4640">
        <w:rPr>
          <w:lang w:val="en-US"/>
        </w:rPr>
        <w:t>°/h</w:t>
      </w:r>
      <w:r w:rsidRPr="00276CD5">
        <w:rPr>
          <w:lang w:val="en-US"/>
        </w:rPr>
        <w:t xml:space="preserve"> change in heading, will have changes of altitude less than 45 m/h and will have virtually no axial rotation. In addition, the application of electronically steerable beam-forming antennas on the HAPS and at its ground stations will further add to the directivity, selectivity and effectiveness of the gateway links and easily neutralize any minimal platform movement. </w:t>
      </w:r>
    </w:p>
    <w:p w:rsidR="00276CD5" w:rsidRPr="00276CD5" w:rsidRDefault="00276CD5" w:rsidP="00276CD5">
      <w:pPr>
        <w:pStyle w:val="Heading1"/>
        <w:rPr>
          <w:lang w:val="en-US"/>
        </w:rPr>
      </w:pPr>
      <w:r w:rsidRPr="00276CD5">
        <w:rPr>
          <w:lang w:val="en-US" w:eastAsia="ko-KR"/>
        </w:rPr>
        <w:t>3</w:t>
      </w:r>
      <w:r w:rsidRPr="00276CD5">
        <w:rPr>
          <w:lang w:val="en-US"/>
        </w:rPr>
        <w:tab/>
        <w:t>HAPS network architecture</w:t>
      </w:r>
    </w:p>
    <w:p w:rsidR="00276CD5" w:rsidRPr="00276CD5" w:rsidRDefault="00276CD5" w:rsidP="00CE4640">
      <w:pPr>
        <w:rPr>
          <w:lang w:val="en-US"/>
        </w:rPr>
      </w:pPr>
      <w:r w:rsidRPr="00276CD5">
        <w:rPr>
          <w:lang w:val="en-US"/>
        </w:rPr>
        <w:t xml:space="preserve">HAPS have the capability of carrying a large variety of wireless communication payloads that can deliver high-capacity broadband services to end users. The high-level HAPS telecommunication network architecture is shown in Fig. 1, and described in more detail in this, and other, sections that follow. There are two types of links between the payload and the ground equipment: gateway links and </w:t>
      </w:r>
      <w:r w:rsidRPr="00276CD5">
        <w:rPr>
          <w:lang w:val="en-US" w:eastAsia="ko-KR"/>
        </w:rPr>
        <w:t>user</w:t>
      </w:r>
      <w:r w:rsidRPr="00276CD5">
        <w:rPr>
          <w:lang w:val="en-US"/>
        </w:rPr>
        <w:t xml:space="preserve"> links. This </w:t>
      </w:r>
      <w:r w:rsidR="00CE4640">
        <w:rPr>
          <w:lang w:val="en-US"/>
        </w:rPr>
        <w:t>tex</w:t>
      </w:r>
      <w:r w:rsidRPr="00276CD5">
        <w:rPr>
          <w:lang w:val="en-US"/>
        </w:rPr>
        <w:t>t only describes the technical and operational characteristics of the HAPS gateway links which are proposed to operate in the 5 850-7 075 MHz band.</w:t>
      </w:r>
    </w:p>
    <w:p w:rsidR="00276CD5" w:rsidRPr="00276CD5" w:rsidRDefault="00276CD5" w:rsidP="00276CD5">
      <w:pPr>
        <w:pStyle w:val="FigureNo"/>
        <w:rPr>
          <w:lang w:val="en-US"/>
        </w:rPr>
      </w:pPr>
      <w:r w:rsidRPr="00276CD5">
        <w:rPr>
          <w:lang w:val="en-US"/>
        </w:rPr>
        <w:lastRenderedPageBreak/>
        <w:t>Figure 1</w:t>
      </w:r>
    </w:p>
    <w:p w:rsidR="00276CD5" w:rsidRDefault="00276CD5" w:rsidP="00276CD5">
      <w:pPr>
        <w:pStyle w:val="Figuretitle"/>
        <w:rPr>
          <w:lang w:val="en-US"/>
        </w:rPr>
      </w:pPr>
      <w:r w:rsidRPr="00276CD5">
        <w:rPr>
          <w:lang w:val="en-US"/>
        </w:rPr>
        <w:t>HAPS network configuration including gateway links and user links</w:t>
      </w:r>
    </w:p>
    <w:p w:rsidR="00CE4640" w:rsidRPr="00CE4640" w:rsidRDefault="00AC18B2" w:rsidP="00CE4640">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8pt;height:326.4pt">
            <v:imagedata r:id="rId15" o:title=""/>
          </v:shape>
        </w:pict>
      </w:r>
    </w:p>
    <w:p w:rsidR="0035133C" w:rsidRDefault="0035133C" w:rsidP="00276CD5">
      <w:pPr>
        <w:rPr>
          <w:lang w:val="en-US"/>
        </w:rPr>
      </w:pPr>
    </w:p>
    <w:p w:rsidR="00276CD5" w:rsidRPr="00276CD5" w:rsidRDefault="00276CD5" w:rsidP="00276CD5">
      <w:pPr>
        <w:rPr>
          <w:highlight w:val="yellow"/>
          <w:lang w:val="en-US"/>
        </w:rPr>
      </w:pPr>
      <w:r w:rsidRPr="00276CD5">
        <w:rPr>
          <w:lang w:val="en-US"/>
        </w:rPr>
        <w:t xml:space="preserve">For the </w:t>
      </w:r>
      <w:r w:rsidRPr="00276CD5">
        <w:rPr>
          <w:lang w:val="en-US" w:eastAsia="ko-KR"/>
        </w:rPr>
        <w:t>user</w:t>
      </w:r>
      <w:r w:rsidRPr="00276CD5">
        <w:rPr>
          <w:lang w:val="en-US"/>
        </w:rPr>
        <w:t xml:space="preserve"> links, the communication is between the platform and </w:t>
      </w:r>
      <w:r w:rsidRPr="00276CD5">
        <w:rPr>
          <w:lang w:val="en-US" w:eastAsia="ko-KR"/>
        </w:rPr>
        <w:t>customer premises equipment (CPE)</w:t>
      </w:r>
      <w:r w:rsidRPr="00276CD5">
        <w:rPr>
          <w:lang w:val="en-US"/>
        </w:rPr>
        <w:t xml:space="preserve"> on the ground in a cellular arrangement permitting substantial frequency</w:t>
      </w:r>
      <w:r w:rsidRPr="00276CD5">
        <w:rPr>
          <w:lang w:val="en-US" w:eastAsia="ko-KR"/>
        </w:rPr>
        <w:t xml:space="preserve"> reuse</w:t>
      </w:r>
      <w:r w:rsidRPr="00276CD5">
        <w:rPr>
          <w:lang w:val="en-US"/>
        </w:rPr>
        <w:t xml:space="preserve">. The </w:t>
      </w:r>
      <w:r w:rsidRPr="00276CD5">
        <w:rPr>
          <w:lang w:val="en-US" w:eastAsia="ko-KR"/>
        </w:rPr>
        <w:t>CPE</w:t>
      </w:r>
      <w:r w:rsidRPr="00276CD5">
        <w:rPr>
          <w:lang w:val="en-US"/>
        </w:rPr>
        <w:t xml:space="preserve"> </w:t>
      </w:r>
      <w:r w:rsidRPr="00276CD5">
        <w:rPr>
          <w:lang w:val="en-US" w:eastAsia="ko-KR"/>
        </w:rPr>
        <w:t>is</w:t>
      </w:r>
      <w:r w:rsidRPr="00276CD5">
        <w:rPr>
          <w:lang w:val="en-US"/>
        </w:rPr>
        <w:t xml:space="preserve"> described as being within one of three zones: urban, suburban and rural area coverage (UAC, SAC and RAC, respectively)</w:t>
      </w:r>
      <w:r w:rsidRPr="00AE09A0">
        <w:rPr>
          <w:rStyle w:val="FootnoteReference"/>
        </w:rPr>
        <w:footnoteReference w:id="2"/>
      </w:r>
      <w:r w:rsidRPr="00276CD5">
        <w:rPr>
          <w:lang w:val="en-US"/>
        </w:rPr>
        <w:t xml:space="preserve">. </w:t>
      </w:r>
      <w:r w:rsidRPr="00276CD5">
        <w:rPr>
          <w:lang w:val="en-US" w:eastAsia="ko-KR"/>
        </w:rPr>
        <w:t>HAPS CPE may communicate with the payload on the HAPS platform directly and communications between HAPS CPE is switched by the payload containing a large switch through the user links. The transmitted signal from a HAPS CPE is transferred into the receiving section of payload in the HAPS platform. The on-board switch in the payload determines the cell to link the signal. Then, it is transferred to the cell in which other HAPS CPE to be connected exists.</w:t>
      </w:r>
      <w:r w:rsidRPr="00276CD5">
        <w:rPr>
          <w:lang w:val="en-US"/>
        </w:rPr>
        <w:t xml:space="preserve"> It is emphasized that the user links utilize frequency spectrum outside of the 5 850-7 075 MHz band in accordance with the relevant provisions of the RR.</w:t>
      </w:r>
      <w:r w:rsidRPr="00276CD5">
        <w:rPr>
          <w:lang w:val="en-US" w:eastAsia="ko-KR"/>
        </w:rPr>
        <w:t xml:space="preserve"> </w:t>
      </w:r>
      <w:r w:rsidRPr="00276CD5">
        <w:rPr>
          <w:lang w:val="en-US"/>
        </w:rPr>
        <w:t xml:space="preserve">For </w:t>
      </w:r>
      <w:r w:rsidRPr="00276CD5">
        <w:rPr>
          <w:lang w:val="en-US" w:eastAsia="ko-KR"/>
        </w:rPr>
        <w:t xml:space="preserve">the </w:t>
      </w:r>
      <w:r w:rsidRPr="00276CD5">
        <w:rPr>
          <w:lang w:val="en-US"/>
        </w:rPr>
        <w:t>gateway links, communication is established in the 5 850-7 075 MHz band between the platform and gateway stations on the ground, located in the UAC, which provide interconnection with other telecommunication networks.</w:t>
      </w:r>
    </w:p>
    <w:p w:rsidR="00276CD5" w:rsidRPr="00276CD5" w:rsidRDefault="00276CD5" w:rsidP="005C78FA">
      <w:pPr>
        <w:rPr>
          <w:lang w:val="en-US"/>
        </w:rPr>
      </w:pPr>
      <w:r w:rsidRPr="00276CD5">
        <w:rPr>
          <w:lang w:val="en-US"/>
        </w:rPr>
        <w:t xml:space="preserve">The HAPS telecommunication payload architecture consists of six basic subsystems as depicted in Fig. 2. </w:t>
      </w:r>
    </w:p>
    <w:p w:rsidR="00276CD5" w:rsidRPr="005C78FA" w:rsidRDefault="00276CD5" w:rsidP="00276CD5">
      <w:pPr>
        <w:pStyle w:val="FigureNo"/>
        <w:rPr>
          <w:lang w:val="en-US"/>
        </w:rPr>
      </w:pPr>
      <w:r w:rsidRPr="005C78FA">
        <w:rPr>
          <w:lang w:val="en-US"/>
        </w:rPr>
        <w:lastRenderedPageBreak/>
        <w:t>FIGURE 2</w:t>
      </w:r>
    </w:p>
    <w:p w:rsidR="00276CD5" w:rsidRPr="005C78FA" w:rsidRDefault="00276CD5" w:rsidP="00BE0958">
      <w:pPr>
        <w:pStyle w:val="Figuretitle"/>
        <w:rPr>
          <w:lang w:val="en-US"/>
        </w:rPr>
      </w:pPr>
      <w:r w:rsidRPr="005C78FA">
        <w:rPr>
          <w:lang w:val="en-US"/>
        </w:rPr>
        <w:t>HAPS telecommunication network architecture</w:t>
      </w:r>
    </w:p>
    <w:p w:rsidR="00BE0958" w:rsidRPr="005C78FA" w:rsidRDefault="00AC18B2" w:rsidP="00BE0958">
      <w:pPr>
        <w:pStyle w:val="Figure"/>
        <w:rPr>
          <w:lang w:val="en-US"/>
        </w:rPr>
      </w:pPr>
      <w:r>
        <w:rPr>
          <w:lang w:val="en-US"/>
        </w:rPr>
        <w:pict>
          <v:shape id="_x0000_i1026" type="#_x0000_t75" style="width:438.6pt;height:284.4pt">
            <v:imagedata r:id="rId16" o:title=""/>
          </v:shape>
        </w:pict>
      </w:r>
    </w:p>
    <w:p w:rsidR="00C936C9" w:rsidRDefault="00C936C9" w:rsidP="00276CD5">
      <w:pPr>
        <w:rPr>
          <w:lang w:val="en-US"/>
        </w:rPr>
      </w:pPr>
    </w:p>
    <w:p w:rsidR="00276CD5" w:rsidRPr="00276CD5" w:rsidRDefault="00276CD5" w:rsidP="00276CD5">
      <w:pPr>
        <w:rPr>
          <w:lang w:val="en-US"/>
        </w:rPr>
      </w:pPr>
      <w:r w:rsidRPr="00276CD5">
        <w:rPr>
          <w:lang w:val="en-US"/>
        </w:rPr>
        <w:t>The central switching and routing subsystems connect the gateway transceivers and antennas to the service delivery portion of the payload (antennas and transceivers). The service delivery subsystems contain the direct user links (HAPS-CPE) which are completely separate and different from the HAPS</w:t>
      </w:r>
      <w:r w:rsidRPr="00276CD5">
        <w:rPr>
          <w:lang w:val="en-US" w:eastAsia="ko-KR"/>
        </w:rPr>
        <w:t xml:space="preserve"> </w:t>
      </w:r>
      <w:r w:rsidRPr="00276CD5">
        <w:rPr>
          <w:lang w:val="en-US"/>
        </w:rPr>
        <w:t xml:space="preserve">gateway links. Network management, telecommunication network connectivity, and other core network functions are contained in the ground infrastructure portion of the network. </w:t>
      </w:r>
    </w:p>
    <w:p w:rsidR="00276CD5" w:rsidRPr="00276CD5" w:rsidRDefault="00276CD5" w:rsidP="00276CD5">
      <w:pPr>
        <w:rPr>
          <w:lang w:val="en-US"/>
        </w:rPr>
      </w:pPr>
      <w:r w:rsidRPr="00276CD5">
        <w:rPr>
          <w:lang w:val="en-US"/>
        </w:rPr>
        <w:t>A backhaul terrestrial sub-network will also be required to control, integrate and provide a terrestrial concentration and connection for all of the gateway links to the core network. Each of the five gateway stations will need a baseline fibre optic data link to the core network on the order of 1 Gbit/s per GS. The HAPS gateway station networ</w:t>
      </w:r>
      <w:r w:rsidR="00BA7F7B">
        <w:rPr>
          <w:lang w:val="en-US"/>
        </w:rPr>
        <w:t>k topology is described in Figs</w:t>
      </w:r>
      <w:r w:rsidRPr="00276CD5">
        <w:rPr>
          <w:lang w:val="en-US"/>
        </w:rPr>
        <w:t> 1, 2 and 3.</w:t>
      </w:r>
    </w:p>
    <w:p w:rsidR="00276CD5" w:rsidRPr="00276CD5" w:rsidRDefault="00276CD5" w:rsidP="00276CD5">
      <w:pPr>
        <w:pStyle w:val="Heading1"/>
        <w:rPr>
          <w:lang w:val="en-US"/>
        </w:rPr>
      </w:pPr>
      <w:r w:rsidRPr="00276CD5">
        <w:rPr>
          <w:lang w:val="en-US"/>
        </w:rPr>
        <w:t>4</w:t>
      </w:r>
      <w:r w:rsidRPr="00276CD5">
        <w:rPr>
          <w:lang w:val="en-US"/>
        </w:rPr>
        <w:tab/>
        <w:t>HAPS gateway link description and use</w:t>
      </w:r>
    </w:p>
    <w:p w:rsidR="00276CD5" w:rsidRPr="00276CD5" w:rsidRDefault="00276CD5" w:rsidP="00276CD5">
      <w:pPr>
        <w:rPr>
          <w:lang w:val="en-US"/>
        </w:rPr>
      </w:pPr>
      <w:r w:rsidRPr="00276CD5">
        <w:rPr>
          <w:lang w:val="en-US"/>
        </w:rPr>
        <w:t>As applied in this document, a HAPS gateway link is defined</w:t>
      </w:r>
      <w:r w:rsidRPr="00AE09A0">
        <w:rPr>
          <w:rStyle w:val="FootnoteReference"/>
        </w:rPr>
        <w:footnoteReference w:id="3"/>
      </w:r>
      <w:r w:rsidRPr="00276CD5">
        <w:rPr>
          <w:lang w:val="en-US"/>
        </w:rPr>
        <w:t xml:space="preserve"> as a one-way radio link between a relatively fixed HAPS </w:t>
      </w:r>
      <w:r w:rsidRPr="00276CD5">
        <w:rPr>
          <w:lang w:val="en-US" w:eastAsia="ko-KR"/>
        </w:rPr>
        <w:t xml:space="preserve">platform </w:t>
      </w:r>
      <w:r w:rsidRPr="00276CD5">
        <w:rPr>
          <w:lang w:val="en-US"/>
        </w:rPr>
        <w:t xml:space="preserve">and a HAPS </w:t>
      </w:r>
      <w:r w:rsidRPr="00276CD5">
        <w:rPr>
          <w:lang w:val="en-US" w:eastAsia="ko-KR"/>
        </w:rPr>
        <w:t>gateway</w:t>
      </w:r>
      <w:r w:rsidRPr="00276CD5">
        <w:rPr>
          <w:lang w:val="en-US"/>
        </w:rPr>
        <w:t xml:space="preserve"> station. Specifically, the HAPS gateway link consists of a separate 80 MHz (ground-to-air) uplink and a separate 80 MHz (air-to-ground) downlink. Within each 80 MHz bandwidth, a HAPS gateway link operates unidirectionally and contains information flows, such as aggregated end-user traffic for voice, data and video communications. Telemetry, tracking, command and control information related to the operation of the HAPS vehicle itself can also be contained in the HAPS gateway link. Each 80 MHz HAPS gateway bandwidth, may be divided into a number of subchannels, with all subchannels supporting </w:t>
      </w:r>
      <w:r w:rsidRPr="00276CD5">
        <w:rPr>
          <w:lang w:val="en-US"/>
        </w:rPr>
        <w:lastRenderedPageBreak/>
        <w:t>radio links in the same (air-to-ground or ground-to-air) direction using any polarization, modulation and coding methods.</w:t>
      </w:r>
    </w:p>
    <w:p w:rsidR="00276CD5" w:rsidRPr="00276CD5" w:rsidRDefault="00276CD5" w:rsidP="00276CD5">
      <w:pPr>
        <w:rPr>
          <w:lang w:val="en-US" w:eastAsia="ko-KR"/>
        </w:rPr>
      </w:pPr>
      <w:r w:rsidRPr="00276CD5">
        <w:rPr>
          <w:lang w:val="en-US"/>
        </w:rPr>
        <w:t xml:space="preserve">A single HAPS platform will use a maximum of five gateway station links to support the maximum projected traffic load for that entire single platform. The number of </w:t>
      </w:r>
      <w:r w:rsidRPr="00276CD5">
        <w:rPr>
          <w:lang w:val="en-US" w:eastAsia="ko-KR"/>
        </w:rPr>
        <w:t>gateway links</w:t>
      </w:r>
      <w:r w:rsidRPr="00276CD5">
        <w:rPr>
          <w:lang w:val="en-US"/>
        </w:rPr>
        <w:t xml:space="preserve"> deployed for each HAPS depends on the amount of end-user application traffic the HAPS-based network or system must support on a backhaul basis. As the actual traffic increases, more same-frequency </w:t>
      </w:r>
      <w:r w:rsidRPr="00276CD5">
        <w:rPr>
          <w:lang w:val="en-US" w:eastAsia="ko-KR"/>
        </w:rPr>
        <w:t>gateway links</w:t>
      </w:r>
      <w:r w:rsidRPr="00276CD5">
        <w:rPr>
          <w:lang w:val="en-US"/>
        </w:rPr>
        <w:t xml:space="preserve"> can be deployed (</w:t>
      </w:r>
      <w:r w:rsidRPr="00276CD5">
        <w:rPr>
          <w:iCs/>
          <w:lang w:val="en-US"/>
        </w:rPr>
        <w:t>up to a maximum of five, as needed)</w:t>
      </w:r>
      <w:r w:rsidRPr="00276CD5">
        <w:rPr>
          <w:lang w:val="en-US"/>
        </w:rPr>
        <w:t xml:space="preserve">. Figure 3 illustrates a maximum ground configuration of five same-frequency </w:t>
      </w:r>
      <w:r w:rsidRPr="00276CD5">
        <w:rPr>
          <w:lang w:val="en-US" w:eastAsia="ko-KR"/>
        </w:rPr>
        <w:t xml:space="preserve">gateway </w:t>
      </w:r>
      <w:r w:rsidRPr="00276CD5">
        <w:rPr>
          <w:lang w:val="en-US"/>
        </w:rPr>
        <w:t xml:space="preserve">links that reuse the </w:t>
      </w:r>
      <w:r w:rsidRPr="00276CD5">
        <w:rPr>
          <w:lang w:val="en-US" w:eastAsia="ko-KR"/>
        </w:rPr>
        <w:t>2</w:t>
      </w:r>
      <w:r w:rsidRPr="00276CD5">
        <w:rPr>
          <w:lang w:val="en-US"/>
        </w:rPr>
        <w:t> × </w:t>
      </w:r>
      <w:r w:rsidRPr="00276CD5">
        <w:rPr>
          <w:lang w:val="en-US" w:eastAsia="ko-KR"/>
        </w:rPr>
        <w:t>80</w:t>
      </w:r>
      <w:r w:rsidRPr="00276CD5">
        <w:rPr>
          <w:lang w:val="en-US"/>
        </w:rPr>
        <w:t> MHz frequency spectrum identified for HAPS use,</w:t>
      </w:r>
      <w:r w:rsidRPr="00276CD5">
        <w:rPr>
          <w:lang w:val="en-US" w:eastAsia="ko-KR"/>
        </w:rPr>
        <w:t xml:space="preserve"> and this configuration should be used in sharing studies.</w:t>
      </w:r>
    </w:p>
    <w:p w:rsidR="00276CD5" w:rsidRDefault="00276CD5" w:rsidP="005C78FA">
      <w:pPr>
        <w:rPr>
          <w:lang w:val="en-US"/>
        </w:rPr>
      </w:pPr>
      <w:r w:rsidRPr="00276CD5">
        <w:rPr>
          <w:lang w:val="en-US"/>
        </w:rPr>
        <w:t xml:space="preserve">HAPS platforms would be on the order of about 300 km to 1 000 km apart. Each associated gateway station serves a single HAPS. Typically, the gateway station grid would not overlap with an adjacent HAPS gateway station grid. </w:t>
      </w:r>
      <w:r w:rsidRPr="00CE4640">
        <w:rPr>
          <w:lang w:val="en-US"/>
        </w:rPr>
        <w:t xml:space="preserve">The gateway grid will likely be within an approximately 72 km diameter circle centred close to the nadir ground point of the HAPS as illustrated in Fig. 3. As shown in this HAPS gateway station (GS) configuration, the elevation angle </w:t>
      </w:r>
      <w:r w:rsidRPr="00AE09A0">
        <w:rPr>
          <w:bCs/>
        </w:rPr>
        <w:t>Ф</w:t>
      </w:r>
      <w:r w:rsidRPr="00CE4640">
        <w:rPr>
          <w:lang w:val="en-US"/>
        </w:rPr>
        <w:t xml:space="preserve"> referenced to the HAPS nadir is 30</w:t>
      </w:r>
      <w:r w:rsidR="005C78FA">
        <w:rPr>
          <w:lang w:val="en-US"/>
        </w:rPr>
        <w:t>°</w:t>
      </w:r>
      <w:r w:rsidRPr="00CE4640">
        <w:rPr>
          <w:lang w:val="en-US"/>
        </w:rPr>
        <w:t xml:space="preserve"> for the UAC zone shown. </w:t>
      </w:r>
      <w:r w:rsidRPr="00AE09A0">
        <w:rPr>
          <w:bCs/>
        </w:rPr>
        <w:t>β</w:t>
      </w:r>
      <w:r w:rsidRPr="00CE4640">
        <w:rPr>
          <w:lang w:val="en-US"/>
        </w:rPr>
        <w:t xml:space="preserve"> is the angle at the wanted </w:t>
      </w:r>
      <w:r w:rsidRPr="00CE4640">
        <w:rPr>
          <w:lang w:val="en-US" w:eastAsia="ko-KR"/>
        </w:rPr>
        <w:t>gateway station</w:t>
      </w:r>
      <w:r w:rsidRPr="00CE4640">
        <w:rPr>
          <w:lang w:val="en-US"/>
        </w:rPr>
        <w:t xml:space="preserve"> between the HAPS </w:t>
      </w:r>
      <w:r w:rsidRPr="00CE4640">
        <w:rPr>
          <w:lang w:val="en-US" w:eastAsia="ko-KR"/>
        </w:rPr>
        <w:t xml:space="preserve">platform </w:t>
      </w:r>
      <w:r w:rsidRPr="00CE4640">
        <w:rPr>
          <w:lang w:val="en-US"/>
        </w:rPr>
        <w:t xml:space="preserve">and interfering </w:t>
      </w:r>
      <w:r w:rsidRPr="00CE4640">
        <w:rPr>
          <w:lang w:val="en-US" w:eastAsia="ko-KR"/>
        </w:rPr>
        <w:t>gateway station</w:t>
      </w:r>
      <w:r w:rsidRPr="00CE4640">
        <w:rPr>
          <w:lang w:val="en-US"/>
        </w:rPr>
        <w:t xml:space="preserve">. </w:t>
      </w:r>
      <w:r w:rsidRPr="00AE09A0">
        <w:rPr>
          <w:bCs/>
        </w:rPr>
        <w:t>α</w:t>
      </w:r>
      <w:r w:rsidRPr="00CE4640">
        <w:rPr>
          <w:lang w:val="en-US"/>
        </w:rPr>
        <w:t xml:space="preserve"> is the angle at interfering </w:t>
      </w:r>
      <w:r w:rsidRPr="00CE4640">
        <w:rPr>
          <w:lang w:val="en-US" w:eastAsia="ko-KR"/>
        </w:rPr>
        <w:t>gateway station</w:t>
      </w:r>
      <w:r w:rsidRPr="00CE4640">
        <w:rPr>
          <w:lang w:val="en-US"/>
        </w:rPr>
        <w:t>, between the HAPS</w:t>
      </w:r>
      <w:r w:rsidRPr="00CE4640">
        <w:rPr>
          <w:lang w:val="en-US" w:eastAsia="ko-KR"/>
        </w:rPr>
        <w:t xml:space="preserve"> platform</w:t>
      </w:r>
      <w:r w:rsidRPr="00CE4640">
        <w:rPr>
          <w:lang w:val="en-US"/>
        </w:rPr>
        <w:t xml:space="preserve"> and the wanted </w:t>
      </w:r>
      <w:r w:rsidRPr="00CE4640">
        <w:rPr>
          <w:lang w:val="en-US" w:eastAsia="ko-KR"/>
        </w:rPr>
        <w:t>gateway station</w:t>
      </w:r>
      <w:r w:rsidRPr="00CE4640">
        <w:rPr>
          <w:lang w:val="en-US"/>
        </w:rPr>
        <w:t xml:space="preserve">. Angles </w:t>
      </w:r>
      <w:r w:rsidRPr="00AE09A0">
        <w:rPr>
          <w:bCs/>
        </w:rPr>
        <w:t>α</w:t>
      </w:r>
      <w:r w:rsidRPr="00CE4640">
        <w:rPr>
          <w:lang w:val="en-US"/>
        </w:rPr>
        <w:t xml:space="preserve"> and </w:t>
      </w:r>
      <w:r w:rsidRPr="00AE09A0">
        <w:rPr>
          <w:bCs/>
        </w:rPr>
        <w:t>β</w:t>
      </w:r>
      <w:r w:rsidRPr="00CE4640">
        <w:rPr>
          <w:lang w:val="en-US"/>
        </w:rPr>
        <w:t xml:space="preserve"> are 59.4 or 34.6</w:t>
      </w:r>
      <w:r w:rsidR="005C78FA">
        <w:rPr>
          <w:lang w:val="en-US"/>
        </w:rPr>
        <w:t>°</w:t>
      </w:r>
      <w:r w:rsidRPr="00CE4640">
        <w:rPr>
          <w:lang w:val="en-US"/>
        </w:rPr>
        <w:t xml:space="preserve">, depending on the particular </w:t>
      </w:r>
      <w:r w:rsidRPr="00CE4640">
        <w:rPr>
          <w:lang w:val="en-US" w:eastAsia="ko-KR"/>
        </w:rPr>
        <w:t>gateway</w:t>
      </w:r>
      <w:r w:rsidRPr="00CE4640">
        <w:rPr>
          <w:lang w:val="en-US"/>
        </w:rPr>
        <w:t xml:space="preserve"> station pairs and their associated geometry. </w:t>
      </w:r>
      <w:r w:rsidRPr="00AE09A0">
        <w:rPr>
          <w:bCs/>
        </w:rPr>
        <w:t>θ</w:t>
      </w:r>
      <w:r w:rsidRPr="00CE4640">
        <w:rPr>
          <w:lang w:val="en-US"/>
        </w:rPr>
        <w:t xml:space="preserve">, which is the angle at the HAPS between the wanted HAPS </w:t>
      </w:r>
      <w:r w:rsidRPr="00CE4640">
        <w:rPr>
          <w:lang w:val="en-US" w:eastAsia="ko-KR"/>
        </w:rPr>
        <w:t>gateway</w:t>
      </w:r>
      <w:r w:rsidRPr="00CE4640">
        <w:rPr>
          <w:lang w:val="en-US"/>
        </w:rPr>
        <w:t xml:space="preserve"> station for that link and a particular interfering HAPS </w:t>
      </w:r>
      <w:r w:rsidRPr="00CE4640">
        <w:rPr>
          <w:lang w:val="en-US" w:eastAsia="ko-KR"/>
        </w:rPr>
        <w:t>gateway</w:t>
      </w:r>
      <w:r w:rsidRPr="00CE4640">
        <w:rPr>
          <w:lang w:val="en-US"/>
        </w:rPr>
        <w:t xml:space="preserve"> station, is 61 or 111</w:t>
      </w:r>
      <w:r w:rsidR="005C78FA">
        <w:rPr>
          <w:lang w:val="en-US"/>
        </w:rPr>
        <w:t>°</w:t>
      </w:r>
      <w:r w:rsidRPr="00CE4640">
        <w:rPr>
          <w:lang w:val="en-US"/>
        </w:rPr>
        <w:t xml:space="preserve">. </w:t>
      </w:r>
      <w:r w:rsidRPr="00AE09A0">
        <w:rPr>
          <w:bCs/>
        </w:rPr>
        <w:t>ω</w:t>
      </w:r>
      <w:r w:rsidRPr="00CE4640">
        <w:rPr>
          <w:lang w:val="en-US"/>
        </w:rPr>
        <w:t xml:space="preserve"> is the angle at the ground nadir point between any two </w:t>
      </w:r>
      <w:r w:rsidRPr="00CE4640">
        <w:rPr>
          <w:lang w:val="en-US" w:eastAsia="ko-KR"/>
        </w:rPr>
        <w:t>gateway stations</w:t>
      </w:r>
      <w:r w:rsidRPr="00CE4640">
        <w:rPr>
          <w:lang w:val="en-US"/>
        </w:rPr>
        <w:t>. Table 1 is a summary of the four angles (</w:t>
      </w:r>
      <w:r w:rsidRPr="00AE09A0">
        <w:rPr>
          <w:bCs/>
        </w:rPr>
        <w:t>α</w:t>
      </w:r>
      <w:r w:rsidRPr="00CE4640">
        <w:rPr>
          <w:bCs/>
          <w:lang w:val="en-US"/>
        </w:rPr>
        <w:t xml:space="preserve">, </w:t>
      </w:r>
      <w:r w:rsidRPr="00AE09A0">
        <w:rPr>
          <w:bCs/>
        </w:rPr>
        <w:t>β</w:t>
      </w:r>
      <w:r w:rsidRPr="00CE4640">
        <w:rPr>
          <w:bCs/>
          <w:lang w:val="en-US"/>
        </w:rPr>
        <w:t xml:space="preserve">, </w:t>
      </w:r>
      <w:r w:rsidRPr="00AE09A0">
        <w:rPr>
          <w:bCs/>
        </w:rPr>
        <w:t>θ</w:t>
      </w:r>
      <w:r w:rsidRPr="00CE4640">
        <w:rPr>
          <w:bCs/>
          <w:lang w:val="en-US"/>
        </w:rPr>
        <w:t xml:space="preserve">, </w:t>
      </w:r>
      <w:r w:rsidRPr="00AE09A0">
        <w:rPr>
          <w:bCs/>
        </w:rPr>
        <w:t>Ф</w:t>
      </w:r>
      <w:r w:rsidRPr="00CE4640">
        <w:rPr>
          <w:lang w:val="en-US"/>
        </w:rPr>
        <w:t xml:space="preserve">) for all the various combinations of </w:t>
      </w:r>
      <w:r w:rsidRPr="00CE4640">
        <w:rPr>
          <w:lang w:val="en-US" w:eastAsia="ko-KR"/>
        </w:rPr>
        <w:t>gateway</w:t>
      </w:r>
      <w:r w:rsidRPr="00CE4640">
        <w:rPr>
          <w:lang w:val="en-US"/>
        </w:rPr>
        <w:t xml:space="preserve"> station pairs. Table 2 is a summary of the five possible angles for </w:t>
      </w:r>
      <w:r w:rsidRPr="00AE09A0">
        <w:rPr>
          <w:bCs/>
        </w:rPr>
        <w:t>ω</w:t>
      </w:r>
      <w:r w:rsidRPr="00CE4640">
        <w:rPr>
          <w:lang w:val="en-US"/>
        </w:rPr>
        <w:t>.</w:t>
      </w:r>
    </w:p>
    <w:p w:rsidR="00C936C9" w:rsidRPr="00CE4640" w:rsidRDefault="00C936C9" w:rsidP="005C78FA">
      <w:pPr>
        <w:rPr>
          <w:lang w:val="en-US" w:eastAsia="ko-KR"/>
        </w:rPr>
      </w:pPr>
    </w:p>
    <w:p w:rsidR="00276CD5" w:rsidRPr="00CE4640" w:rsidRDefault="00276CD5" w:rsidP="00276CD5">
      <w:pPr>
        <w:pStyle w:val="FigureNo"/>
        <w:rPr>
          <w:lang w:val="en-US"/>
        </w:rPr>
      </w:pPr>
      <w:r w:rsidRPr="00CE4640">
        <w:rPr>
          <w:lang w:val="en-US"/>
        </w:rPr>
        <w:t>FIGURE 3</w:t>
      </w:r>
    </w:p>
    <w:p w:rsidR="00276CD5" w:rsidRDefault="00276CD5" w:rsidP="00BA7F7B">
      <w:pPr>
        <w:pStyle w:val="Figuretitle"/>
        <w:rPr>
          <w:lang w:val="en-US" w:eastAsia="ko-KR"/>
        </w:rPr>
      </w:pPr>
      <w:r w:rsidRPr="00CE4640">
        <w:rPr>
          <w:lang w:val="en-US"/>
        </w:rPr>
        <w:t>Example</w:t>
      </w:r>
      <w:r w:rsidRPr="00CE4640">
        <w:rPr>
          <w:lang w:val="en-US" w:eastAsia="ko-KR"/>
        </w:rPr>
        <w:t xml:space="preserve"> of HAPS gateway station configuration</w:t>
      </w:r>
      <w:r w:rsidR="00BA7F7B">
        <w:rPr>
          <w:lang w:val="en-US" w:eastAsia="ko-KR"/>
        </w:rPr>
        <w:br/>
      </w:r>
      <w:r w:rsidRPr="00CE4640">
        <w:rPr>
          <w:lang w:val="en-US" w:eastAsia="ko-KR"/>
        </w:rPr>
        <w:t>and</w:t>
      </w:r>
      <w:r w:rsidR="00BA7F7B">
        <w:rPr>
          <w:lang w:val="en-US" w:eastAsia="ko-KR"/>
        </w:rPr>
        <w:t xml:space="preserve"> </w:t>
      </w:r>
      <w:r w:rsidRPr="00CE4640">
        <w:rPr>
          <w:lang w:val="en-US" w:eastAsia="ko-KR"/>
        </w:rPr>
        <w:t>internal HAPS network interference</w:t>
      </w:r>
    </w:p>
    <w:p w:rsidR="00BA7F7B" w:rsidRPr="00BA7F7B" w:rsidRDefault="00AC18B2" w:rsidP="00BA7F7B">
      <w:pPr>
        <w:pStyle w:val="Figure"/>
        <w:rPr>
          <w:lang w:val="en-US" w:eastAsia="ko-KR"/>
        </w:rPr>
      </w:pPr>
      <w:r>
        <w:rPr>
          <w:lang w:val="en-US" w:eastAsia="ko-KR"/>
        </w:rPr>
        <w:pict>
          <v:shape id="_x0000_i1027" type="#_x0000_t75" style="width:322.2pt;height:246.6pt">
            <v:imagedata r:id="rId17" o:title=""/>
          </v:shape>
        </w:pict>
      </w:r>
    </w:p>
    <w:p w:rsidR="00276CD5" w:rsidRPr="00CE4640" w:rsidRDefault="00276CD5" w:rsidP="00C936C9">
      <w:pPr>
        <w:pStyle w:val="Normalaftertitle"/>
        <w:keepNext/>
        <w:rPr>
          <w:b/>
          <w:bCs/>
          <w:sz w:val="28"/>
          <w:szCs w:val="28"/>
          <w:lang w:val="en-US" w:eastAsia="ko-KR"/>
        </w:rPr>
      </w:pPr>
      <w:r w:rsidRPr="00CE4640">
        <w:rPr>
          <w:lang w:val="en-US"/>
        </w:rPr>
        <w:lastRenderedPageBreak/>
        <w:t>It should be emphasized that Fig. 3 is not to scale.</w:t>
      </w:r>
      <w:r w:rsidRPr="00CE4640">
        <w:rPr>
          <w:lang w:val="en-US" w:eastAsia="ko-KR"/>
        </w:rPr>
        <w:t xml:space="preserve"> </w:t>
      </w:r>
    </w:p>
    <w:p w:rsidR="00276CD5" w:rsidRDefault="00BA7F7B" w:rsidP="00276CD5">
      <w:pPr>
        <w:pStyle w:val="TableNo"/>
        <w:rPr>
          <w:lang w:val="en-US"/>
        </w:rPr>
      </w:pPr>
      <w:r w:rsidRPr="00CE4640">
        <w:rPr>
          <w:lang w:val="en-US"/>
        </w:rPr>
        <w:t>TABLE</w:t>
      </w:r>
      <w:r w:rsidR="00276CD5" w:rsidRPr="00CE4640">
        <w:rPr>
          <w:lang w:val="en-US"/>
        </w:rPr>
        <w:t xml:space="preserve"> 1</w:t>
      </w:r>
    </w:p>
    <w:p w:rsidR="00AC18B2" w:rsidRPr="00A97C6A" w:rsidRDefault="00AC18B2" w:rsidP="00AC18B2">
      <w:pPr>
        <w:pStyle w:val="Tabletitle"/>
        <w:rPr>
          <w:lang w:val="en-US" w:eastAsia="zh-CN"/>
        </w:rPr>
      </w:pPr>
      <w:r w:rsidRPr="00A97C6A">
        <w:rPr>
          <w:lang w:val="en-US" w:eastAsia="zh-CN"/>
        </w:rPr>
        <w:t>HAPS gateway link angles (degrees)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1"/>
        <w:gridCol w:w="851"/>
        <w:gridCol w:w="850"/>
        <w:gridCol w:w="4678"/>
      </w:tblGrid>
      <w:tr w:rsidR="00AC18B2" w:rsidRPr="005A02DA" w:rsidTr="008D7776">
        <w:trPr>
          <w:jc w:val="center"/>
        </w:trPr>
        <w:tc>
          <w:tcPr>
            <w:tcW w:w="851" w:type="dxa"/>
            <w:tcBorders>
              <w:top w:val="single" w:sz="4" w:space="0" w:color="auto"/>
              <w:bottom w:val="single" w:sz="4" w:space="0" w:color="auto"/>
            </w:tcBorders>
          </w:tcPr>
          <w:p w:rsidR="00AC18B2" w:rsidRPr="005A02DA" w:rsidRDefault="00AC18B2" w:rsidP="005A02DA">
            <w:pPr>
              <w:pStyle w:val="Tablehead"/>
              <w:rPr>
                <w:lang w:eastAsia="zh-CN"/>
              </w:rPr>
            </w:pPr>
            <w:r w:rsidRPr="005A02DA">
              <w:rPr>
                <w:lang w:eastAsia="zh-CN"/>
              </w:rPr>
              <w:t>Ф</w:t>
            </w:r>
          </w:p>
        </w:tc>
        <w:tc>
          <w:tcPr>
            <w:tcW w:w="851" w:type="dxa"/>
            <w:tcBorders>
              <w:top w:val="single" w:sz="4" w:space="0" w:color="auto"/>
              <w:bottom w:val="single" w:sz="4" w:space="0" w:color="auto"/>
            </w:tcBorders>
          </w:tcPr>
          <w:p w:rsidR="00AC18B2" w:rsidRPr="005A02DA" w:rsidRDefault="00AC18B2" w:rsidP="005A02DA">
            <w:pPr>
              <w:pStyle w:val="Tablehead"/>
              <w:rPr>
                <w:lang w:eastAsia="zh-CN"/>
              </w:rPr>
            </w:pPr>
            <w:r w:rsidRPr="005A02DA">
              <w:rPr>
                <w:lang w:eastAsia="zh-CN"/>
              </w:rPr>
              <w:t>θ</w:t>
            </w:r>
          </w:p>
        </w:tc>
        <w:tc>
          <w:tcPr>
            <w:tcW w:w="851" w:type="dxa"/>
            <w:tcBorders>
              <w:top w:val="single" w:sz="4" w:space="0" w:color="auto"/>
              <w:bottom w:val="single" w:sz="4" w:space="0" w:color="auto"/>
            </w:tcBorders>
          </w:tcPr>
          <w:p w:rsidR="00AC18B2" w:rsidRPr="005A02DA" w:rsidRDefault="00AC18B2" w:rsidP="005A02DA">
            <w:pPr>
              <w:pStyle w:val="Tablehead"/>
              <w:rPr>
                <w:lang w:eastAsia="zh-CN"/>
              </w:rPr>
            </w:pPr>
            <w:r w:rsidRPr="005A02DA">
              <w:rPr>
                <w:lang w:eastAsia="zh-CN"/>
              </w:rPr>
              <w:t>β</w:t>
            </w:r>
          </w:p>
        </w:tc>
        <w:tc>
          <w:tcPr>
            <w:tcW w:w="850" w:type="dxa"/>
            <w:tcBorders>
              <w:top w:val="single" w:sz="4" w:space="0" w:color="auto"/>
              <w:bottom w:val="single" w:sz="4" w:space="0" w:color="auto"/>
            </w:tcBorders>
          </w:tcPr>
          <w:p w:rsidR="00AC18B2" w:rsidRPr="005A02DA" w:rsidRDefault="00AC18B2" w:rsidP="005A02DA">
            <w:pPr>
              <w:pStyle w:val="Tablehead"/>
              <w:rPr>
                <w:lang w:eastAsia="zh-CN"/>
              </w:rPr>
            </w:pPr>
            <w:r w:rsidRPr="005A02DA">
              <w:rPr>
                <w:lang w:eastAsia="zh-CN"/>
              </w:rPr>
              <w:t>α</w:t>
            </w:r>
          </w:p>
        </w:tc>
        <w:tc>
          <w:tcPr>
            <w:tcW w:w="4678" w:type="dxa"/>
            <w:tcBorders>
              <w:top w:val="single" w:sz="4" w:space="0" w:color="auto"/>
              <w:bottom w:val="single" w:sz="4" w:space="0" w:color="auto"/>
            </w:tcBorders>
          </w:tcPr>
          <w:p w:rsidR="00AC18B2" w:rsidRPr="005A02DA" w:rsidRDefault="00AC18B2" w:rsidP="005A02DA">
            <w:pPr>
              <w:pStyle w:val="Tablehead"/>
              <w:rPr>
                <w:vertAlign w:val="superscript"/>
                <w:lang w:eastAsia="zh-CN"/>
              </w:rPr>
            </w:pPr>
            <w:r w:rsidRPr="005A02DA">
              <w:rPr>
                <w:lang w:eastAsia="zh-CN"/>
              </w:rPr>
              <w:t>Station pairs</w:t>
            </w:r>
            <w:r w:rsidRPr="005A02DA">
              <w:rPr>
                <w:vertAlign w:val="superscript"/>
                <w:lang w:eastAsia="zh-CN"/>
              </w:rPr>
              <w:t>(1)</w:t>
            </w:r>
          </w:p>
        </w:tc>
      </w:tr>
      <w:tr w:rsidR="00AC18B2" w:rsidRPr="005A02DA" w:rsidTr="008D7776">
        <w:trPr>
          <w:jc w:val="center"/>
        </w:trPr>
        <w:tc>
          <w:tcPr>
            <w:tcW w:w="851" w:type="dxa"/>
            <w:tcBorders>
              <w:top w:val="single" w:sz="4" w:space="0" w:color="auto"/>
            </w:tcBorders>
          </w:tcPr>
          <w:p w:rsidR="00AC18B2" w:rsidRPr="005A02DA" w:rsidRDefault="00AC18B2" w:rsidP="005A02DA">
            <w:pPr>
              <w:pStyle w:val="Tabletext"/>
              <w:jc w:val="center"/>
            </w:pPr>
            <w:r w:rsidRPr="005A02DA">
              <w:t>30</w:t>
            </w:r>
          </w:p>
        </w:tc>
        <w:tc>
          <w:tcPr>
            <w:tcW w:w="851" w:type="dxa"/>
            <w:tcBorders>
              <w:top w:val="single" w:sz="4" w:space="0" w:color="auto"/>
            </w:tcBorders>
          </w:tcPr>
          <w:p w:rsidR="00AC18B2" w:rsidRPr="005A02DA" w:rsidRDefault="00AC18B2" w:rsidP="005A02DA">
            <w:pPr>
              <w:pStyle w:val="Tabletext"/>
              <w:jc w:val="center"/>
            </w:pPr>
            <w:r w:rsidRPr="005A02DA">
              <w:t>61</w:t>
            </w:r>
          </w:p>
        </w:tc>
        <w:tc>
          <w:tcPr>
            <w:tcW w:w="851" w:type="dxa"/>
            <w:tcBorders>
              <w:top w:val="single" w:sz="4" w:space="0" w:color="auto"/>
            </w:tcBorders>
          </w:tcPr>
          <w:p w:rsidR="00AC18B2" w:rsidRPr="005A02DA" w:rsidRDefault="00AC18B2" w:rsidP="005A02DA">
            <w:pPr>
              <w:pStyle w:val="Tabletext"/>
              <w:jc w:val="center"/>
            </w:pPr>
            <w:r w:rsidRPr="005A02DA">
              <w:t>59.4</w:t>
            </w:r>
          </w:p>
        </w:tc>
        <w:tc>
          <w:tcPr>
            <w:tcW w:w="850" w:type="dxa"/>
            <w:tcBorders>
              <w:top w:val="single" w:sz="4" w:space="0" w:color="auto"/>
            </w:tcBorders>
          </w:tcPr>
          <w:p w:rsidR="00AC18B2" w:rsidRPr="005A02DA" w:rsidRDefault="00AC18B2" w:rsidP="005A02DA">
            <w:pPr>
              <w:pStyle w:val="Tabletext"/>
              <w:jc w:val="center"/>
            </w:pPr>
            <w:r w:rsidRPr="005A02DA">
              <w:t>59.4</w:t>
            </w:r>
          </w:p>
        </w:tc>
        <w:tc>
          <w:tcPr>
            <w:tcW w:w="4678" w:type="dxa"/>
            <w:tcBorders>
              <w:top w:val="single" w:sz="4" w:space="0" w:color="auto"/>
            </w:tcBorders>
          </w:tcPr>
          <w:p w:rsidR="00AC18B2" w:rsidRPr="005A02DA" w:rsidRDefault="00AC18B2" w:rsidP="005A02DA">
            <w:pPr>
              <w:pStyle w:val="Tabletext"/>
              <w:jc w:val="center"/>
            </w:pPr>
            <w:r w:rsidRPr="005A02DA">
              <w:t>1-2, 2-1, 2-3, 3-2, 3-4, 4-3, 4-5, 5-4, 1-5, 5-1</w:t>
            </w:r>
          </w:p>
        </w:tc>
      </w:tr>
      <w:tr w:rsidR="00AC18B2" w:rsidRPr="005A02DA" w:rsidTr="008D7776">
        <w:trPr>
          <w:jc w:val="center"/>
        </w:trPr>
        <w:tc>
          <w:tcPr>
            <w:tcW w:w="851" w:type="dxa"/>
            <w:tcBorders>
              <w:bottom w:val="single" w:sz="4" w:space="0" w:color="auto"/>
            </w:tcBorders>
          </w:tcPr>
          <w:p w:rsidR="00AC18B2" w:rsidRPr="005A02DA" w:rsidRDefault="00AC18B2" w:rsidP="005A02DA">
            <w:pPr>
              <w:pStyle w:val="Tabletext"/>
              <w:jc w:val="center"/>
            </w:pPr>
            <w:r w:rsidRPr="005A02DA">
              <w:t>30</w:t>
            </w:r>
          </w:p>
        </w:tc>
        <w:tc>
          <w:tcPr>
            <w:tcW w:w="851" w:type="dxa"/>
            <w:tcBorders>
              <w:bottom w:val="single" w:sz="4" w:space="0" w:color="auto"/>
            </w:tcBorders>
          </w:tcPr>
          <w:p w:rsidR="00AC18B2" w:rsidRPr="005A02DA" w:rsidRDefault="00AC18B2" w:rsidP="005A02DA">
            <w:pPr>
              <w:pStyle w:val="Tabletext"/>
              <w:jc w:val="center"/>
            </w:pPr>
            <w:r w:rsidRPr="005A02DA">
              <w:t>111</w:t>
            </w:r>
          </w:p>
        </w:tc>
        <w:tc>
          <w:tcPr>
            <w:tcW w:w="851" w:type="dxa"/>
            <w:tcBorders>
              <w:bottom w:val="single" w:sz="4" w:space="0" w:color="auto"/>
            </w:tcBorders>
          </w:tcPr>
          <w:p w:rsidR="00AC18B2" w:rsidRPr="005A02DA" w:rsidRDefault="00AC18B2" w:rsidP="005A02DA">
            <w:pPr>
              <w:pStyle w:val="Tabletext"/>
              <w:jc w:val="center"/>
            </w:pPr>
            <w:r w:rsidRPr="005A02DA">
              <w:t>34.6</w:t>
            </w:r>
          </w:p>
        </w:tc>
        <w:tc>
          <w:tcPr>
            <w:tcW w:w="850" w:type="dxa"/>
            <w:tcBorders>
              <w:bottom w:val="single" w:sz="4" w:space="0" w:color="auto"/>
            </w:tcBorders>
          </w:tcPr>
          <w:p w:rsidR="00AC18B2" w:rsidRPr="005A02DA" w:rsidRDefault="00AC18B2" w:rsidP="005A02DA">
            <w:pPr>
              <w:pStyle w:val="Tabletext"/>
              <w:jc w:val="center"/>
            </w:pPr>
            <w:r w:rsidRPr="005A02DA">
              <w:t>34.6</w:t>
            </w:r>
          </w:p>
        </w:tc>
        <w:tc>
          <w:tcPr>
            <w:tcW w:w="4678" w:type="dxa"/>
            <w:tcBorders>
              <w:bottom w:val="single" w:sz="4" w:space="0" w:color="auto"/>
            </w:tcBorders>
          </w:tcPr>
          <w:p w:rsidR="00AC18B2" w:rsidRPr="005A02DA" w:rsidRDefault="00AC18B2" w:rsidP="005A02DA">
            <w:pPr>
              <w:pStyle w:val="Tabletext"/>
              <w:jc w:val="center"/>
            </w:pPr>
            <w:r w:rsidRPr="005A02DA">
              <w:t>1-3, 3-1, 2-4, 4-2, 3-5, 5-3, 1-4, 4-1, 2-5, 5-2</w:t>
            </w:r>
          </w:p>
        </w:tc>
      </w:tr>
      <w:tr w:rsidR="005A02DA" w:rsidRPr="005A02DA" w:rsidTr="008D7776">
        <w:trPr>
          <w:jc w:val="center"/>
        </w:trPr>
        <w:tc>
          <w:tcPr>
            <w:tcW w:w="8081" w:type="dxa"/>
            <w:gridSpan w:val="5"/>
            <w:tcBorders>
              <w:top w:val="single" w:sz="4" w:space="0" w:color="auto"/>
              <w:left w:val="nil"/>
              <w:bottom w:val="nil"/>
              <w:right w:val="nil"/>
            </w:tcBorders>
          </w:tcPr>
          <w:p w:rsidR="005A02DA" w:rsidRPr="005A02DA" w:rsidRDefault="005A02DA" w:rsidP="005A02DA">
            <w:pPr>
              <w:pStyle w:val="Tablelegend"/>
              <w:rPr>
                <w:lang w:val="en-US" w:eastAsia="zh-CN"/>
              </w:rPr>
            </w:pPr>
            <w:r w:rsidRPr="005A02DA">
              <w:rPr>
                <w:vertAlign w:val="superscript"/>
                <w:lang w:val="en-US" w:eastAsia="zh-CN"/>
              </w:rPr>
              <w:t>(1)</w:t>
            </w:r>
            <w:r w:rsidRPr="005A02DA">
              <w:rPr>
                <w:lang w:val="en-US" w:eastAsia="zh-CN"/>
              </w:rPr>
              <w:tab/>
              <w:t>Station pairs X-Y where X is the wanted station and Y is the interfering station.</w:t>
            </w:r>
          </w:p>
        </w:tc>
      </w:tr>
    </w:tbl>
    <w:p w:rsidR="00AC18B2" w:rsidRDefault="00AC18B2" w:rsidP="005A02DA">
      <w:pPr>
        <w:pStyle w:val="Tablefin"/>
      </w:pPr>
    </w:p>
    <w:p w:rsidR="0035133C" w:rsidRPr="0035133C" w:rsidRDefault="0035133C" w:rsidP="0035133C">
      <w:pPr>
        <w:rPr>
          <w:lang w:val="en-GB"/>
        </w:rPr>
      </w:pPr>
    </w:p>
    <w:p w:rsidR="00276CD5" w:rsidRPr="005A02DA" w:rsidRDefault="00BA7F7B" w:rsidP="00276CD5">
      <w:pPr>
        <w:pStyle w:val="TableNo"/>
        <w:rPr>
          <w:lang w:val="en-US"/>
        </w:rPr>
      </w:pPr>
      <w:r w:rsidRPr="005A02DA">
        <w:rPr>
          <w:lang w:val="en-US"/>
        </w:rPr>
        <w:t>TABLE</w:t>
      </w:r>
      <w:r w:rsidR="00276CD5" w:rsidRPr="005A02DA">
        <w:rPr>
          <w:lang w:val="en-US"/>
        </w:rPr>
        <w:t xml:space="preserve"> 2</w:t>
      </w:r>
    </w:p>
    <w:p w:rsidR="005A02DA" w:rsidRPr="005A02DA" w:rsidRDefault="005A02DA" w:rsidP="005A02DA">
      <w:pPr>
        <w:pStyle w:val="Tabletitle"/>
        <w:rPr>
          <w:lang w:val="en-US"/>
        </w:rPr>
      </w:pPr>
      <w:r w:rsidRPr="005A02DA">
        <w:rPr>
          <w:lang w:val="en-US"/>
        </w:rPr>
        <w:t>Ground station separation angles (degrees)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34"/>
        <w:gridCol w:w="1985"/>
      </w:tblGrid>
      <w:tr w:rsidR="005A02DA" w:rsidRPr="005A02DA" w:rsidTr="008D7776">
        <w:trPr>
          <w:jc w:val="center"/>
        </w:trPr>
        <w:tc>
          <w:tcPr>
            <w:tcW w:w="1134" w:type="dxa"/>
            <w:tcBorders>
              <w:top w:val="single" w:sz="4" w:space="0" w:color="auto"/>
              <w:bottom w:val="single" w:sz="4" w:space="0" w:color="auto"/>
            </w:tcBorders>
          </w:tcPr>
          <w:p w:rsidR="005A02DA" w:rsidRPr="005A02DA" w:rsidRDefault="005A02DA" w:rsidP="005A02DA">
            <w:pPr>
              <w:pStyle w:val="Tablehead"/>
              <w:rPr>
                <w:bCs/>
                <w:iCs/>
                <w:lang w:eastAsia="zh-CN"/>
              </w:rPr>
            </w:pPr>
            <w:r w:rsidRPr="005A02DA">
              <w:rPr>
                <w:bCs/>
                <w:iCs/>
                <w:lang w:eastAsia="zh-CN"/>
              </w:rPr>
              <w:sym w:font="Symbol" w:char="F077"/>
            </w:r>
          </w:p>
        </w:tc>
        <w:tc>
          <w:tcPr>
            <w:tcW w:w="1985" w:type="dxa"/>
            <w:tcBorders>
              <w:top w:val="single" w:sz="4" w:space="0" w:color="auto"/>
              <w:bottom w:val="single" w:sz="4" w:space="0" w:color="auto"/>
            </w:tcBorders>
          </w:tcPr>
          <w:p w:rsidR="005A02DA" w:rsidRPr="005A02DA" w:rsidRDefault="005A02DA" w:rsidP="005A02DA">
            <w:pPr>
              <w:pStyle w:val="Tablehead"/>
              <w:rPr>
                <w:bCs/>
                <w:lang w:eastAsia="zh-CN"/>
              </w:rPr>
            </w:pPr>
            <w:r w:rsidRPr="005A02DA">
              <w:rPr>
                <w:bCs/>
                <w:lang w:eastAsia="zh-CN"/>
              </w:rPr>
              <w:t>Station pairs</w:t>
            </w:r>
          </w:p>
        </w:tc>
      </w:tr>
      <w:tr w:rsidR="005A02DA" w:rsidRPr="005A02DA" w:rsidTr="008D7776">
        <w:trPr>
          <w:jc w:val="center"/>
        </w:trPr>
        <w:tc>
          <w:tcPr>
            <w:tcW w:w="1134" w:type="dxa"/>
            <w:tcBorders>
              <w:top w:val="single" w:sz="4" w:space="0" w:color="auto"/>
            </w:tcBorders>
          </w:tcPr>
          <w:p w:rsidR="005A02DA" w:rsidRPr="005A02DA" w:rsidRDefault="005A02DA" w:rsidP="005A02DA">
            <w:pPr>
              <w:pStyle w:val="Tabletext"/>
              <w:jc w:val="center"/>
            </w:pPr>
            <w:r w:rsidRPr="005A02DA">
              <w:t>0</w:t>
            </w:r>
          </w:p>
        </w:tc>
        <w:tc>
          <w:tcPr>
            <w:tcW w:w="1985" w:type="dxa"/>
            <w:tcBorders>
              <w:top w:val="single" w:sz="4" w:space="0" w:color="auto"/>
            </w:tcBorders>
          </w:tcPr>
          <w:p w:rsidR="005A02DA" w:rsidRPr="005A02DA" w:rsidRDefault="005A02DA" w:rsidP="005A02DA">
            <w:pPr>
              <w:pStyle w:val="Tabletext"/>
              <w:jc w:val="center"/>
            </w:pPr>
            <w:r w:rsidRPr="005A02DA">
              <w:t>1-1</w:t>
            </w:r>
          </w:p>
        </w:tc>
      </w:tr>
      <w:tr w:rsidR="005A02DA" w:rsidRPr="005A02DA" w:rsidTr="008D7776">
        <w:trPr>
          <w:jc w:val="center"/>
        </w:trPr>
        <w:tc>
          <w:tcPr>
            <w:tcW w:w="1134" w:type="dxa"/>
          </w:tcPr>
          <w:p w:rsidR="005A02DA" w:rsidRPr="005A02DA" w:rsidRDefault="005A02DA" w:rsidP="005A02DA">
            <w:pPr>
              <w:pStyle w:val="Tabletext"/>
              <w:jc w:val="center"/>
            </w:pPr>
            <w:r w:rsidRPr="005A02DA">
              <w:t>72</w:t>
            </w:r>
          </w:p>
        </w:tc>
        <w:tc>
          <w:tcPr>
            <w:tcW w:w="1985" w:type="dxa"/>
          </w:tcPr>
          <w:p w:rsidR="005A02DA" w:rsidRPr="005A02DA" w:rsidRDefault="005A02DA" w:rsidP="005A02DA">
            <w:pPr>
              <w:pStyle w:val="Tabletext"/>
              <w:jc w:val="center"/>
            </w:pPr>
            <w:r w:rsidRPr="005A02DA">
              <w:t>1-2</w:t>
            </w:r>
          </w:p>
        </w:tc>
      </w:tr>
      <w:tr w:rsidR="005A02DA" w:rsidRPr="005A02DA" w:rsidTr="008D7776">
        <w:trPr>
          <w:jc w:val="center"/>
        </w:trPr>
        <w:tc>
          <w:tcPr>
            <w:tcW w:w="1134" w:type="dxa"/>
          </w:tcPr>
          <w:p w:rsidR="005A02DA" w:rsidRPr="005A02DA" w:rsidRDefault="005A02DA" w:rsidP="005A02DA">
            <w:pPr>
              <w:pStyle w:val="Tabletext"/>
              <w:jc w:val="center"/>
            </w:pPr>
            <w:r w:rsidRPr="005A02DA">
              <w:t>144</w:t>
            </w:r>
          </w:p>
        </w:tc>
        <w:tc>
          <w:tcPr>
            <w:tcW w:w="1985" w:type="dxa"/>
          </w:tcPr>
          <w:p w:rsidR="005A02DA" w:rsidRPr="005A02DA" w:rsidRDefault="005A02DA" w:rsidP="005A02DA">
            <w:pPr>
              <w:pStyle w:val="Tabletext"/>
              <w:jc w:val="center"/>
            </w:pPr>
            <w:r w:rsidRPr="005A02DA">
              <w:t>1-3</w:t>
            </w:r>
          </w:p>
        </w:tc>
      </w:tr>
      <w:tr w:rsidR="005A02DA" w:rsidRPr="005A02DA" w:rsidTr="008D7776">
        <w:trPr>
          <w:jc w:val="center"/>
        </w:trPr>
        <w:tc>
          <w:tcPr>
            <w:tcW w:w="1134" w:type="dxa"/>
          </w:tcPr>
          <w:p w:rsidR="005A02DA" w:rsidRPr="005A02DA" w:rsidRDefault="005A02DA" w:rsidP="005A02DA">
            <w:pPr>
              <w:pStyle w:val="Tabletext"/>
              <w:jc w:val="center"/>
            </w:pPr>
            <w:r w:rsidRPr="005A02DA">
              <w:t>216</w:t>
            </w:r>
          </w:p>
        </w:tc>
        <w:tc>
          <w:tcPr>
            <w:tcW w:w="1985" w:type="dxa"/>
          </w:tcPr>
          <w:p w:rsidR="005A02DA" w:rsidRPr="005A02DA" w:rsidRDefault="005A02DA" w:rsidP="005A02DA">
            <w:pPr>
              <w:pStyle w:val="Tabletext"/>
              <w:jc w:val="center"/>
            </w:pPr>
            <w:r w:rsidRPr="005A02DA">
              <w:t>1-4</w:t>
            </w:r>
          </w:p>
        </w:tc>
      </w:tr>
      <w:tr w:rsidR="005A02DA" w:rsidRPr="005A02DA" w:rsidTr="008D7776">
        <w:trPr>
          <w:jc w:val="center"/>
        </w:trPr>
        <w:tc>
          <w:tcPr>
            <w:tcW w:w="1134" w:type="dxa"/>
          </w:tcPr>
          <w:p w:rsidR="005A02DA" w:rsidRPr="005A02DA" w:rsidRDefault="005A02DA" w:rsidP="005A02DA">
            <w:pPr>
              <w:pStyle w:val="Tabletext"/>
              <w:jc w:val="center"/>
            </w:pPr>
            <w:r w:rsidRPr="005A02DA">
              <w:t>288</w:t>
            </w:r>
          </w:p>
        </w:tc>
        <w:tc>
          <w:tcPr>
            <w:tcW w:w="1985" w:type="dxa"/>
          </w:tcPr>
          <w:p w:rsidR="005A02DA" w:rsidRPr="005A02DA" w:rsidRDefault="005A02DA" w:rsidP="005A02DA">
            <w:pPr>
              <w:pStyle w:val="Tabletext"/>
              <w:jc w:val="center"/>
            </w:pPr>
            <w:r w:rsidRPr="005A02DA">
              <w:t>1-5</w:t>
            </w:r>
          </w:p>
        </w:tc>
      </w:tr>
    </w:tbl>
    <w:p w:rsidR="00276CD5" w:rsidRPr="00AE09A0" w:rsidRDefault="00276CD5" w:rsidP="005A02DA">
      <w:pPr>
        <w:pStyle w:val="Tablefin"/>
      </w:pPr>
    </w:p>
    <w:p w:rsidR="00276CD5" w:rsidRPr="00CE4640" w:rsidRDefault="00276CD5" w:rsidP="00276CD5">
      <w:pPr>
        <w:pStyle w:val="Heading1"/>
        <w:rPr>
          <w:lang w:val="en-US"/>
        </w:rPr>
      </w:pPr>
      <w:r w:rsidRPr="00CE4640">
        <w:rPr>
          <w:lang w:val="en-US" w:eastAsia="ko-KR"/>
        </w:rPr>
        <w:t>5</w:t>
      </w:r>
      <w:r w:rsidRPr="00CE4640">
        <w:rPr>
          <w:lang w:val="en-US"/>
        </w:rPr>
        <w:tab/>
        <w:t>Spectrum identification and channelization</w:t>
      </w:r>
    </w:p>
    <w:p w:rsidR="00276CD5" w:rsidRDefault="00276CD5" w:rsidP="005C78FA">
      <w:pPr>
        <w:rPr>
          <w:lang w:val="en-US"/>
        </w:rPr>
      </w:pPr>
      <w:r w:rsidRPr="00CE4640">
        <w:rPr>
          <w:lang w:val="en-US"/>
        </w:rPr>
        <w:t>The spectrum identification for the HAPS gateway links is expected to be two 80 MHz channels in the 5 850-7 075 MHz band</w:t>
      </w:r>
      <w:r w:rsidRPr="00AE09A0">
        <w:rPr>
          <w:rStyle w:val="FootnoteReference"/>
        </w:rPr>
        <w:footnoteReference w:id="4"/>
      </w:r>
      <w:r w:rsidRPr="00CE4640">
        <w:rPr>
          <w:lang w:val="en-US"/>
        </w:rPr>
        <w:t xml:space="preserve"> for a total of 160 MHz. The subchannelization plan can be used to divide each 80 MHz channel into six </w:t>
      </w:r>
      <w:r w:rsidRPr="00CE4640">
        <w:rPr>
          <w:lang w:val="en-US" w:eastAsia="ko-KR"/>
        </w:rPr>
        <w:t xml:space="preserve">equally spaced </w:t>
      </w:r>
      <w:r w:rsidRPr="00CE4640">
        <w:rPr>
          <w:lang w:val="en-US"/>
        </w:rPr>
        <w:t xml:space="preserve">11 MHz subchannels </w:t>
      </w:r>
      <w:r w:rsidRPr="00CE4640">
        <w:rPr>
          <w:lang w:val="en-US" w:eastAsia="ko-KR"/>
        </w:rPr>
        <w:t>separated by</w:t>
      </w:r>
      <w:r w:rsidRPr="00CE4640">
        <w:rPr>
          <w:lang w:val="en-US"/>
        </w:rPr>
        <w:t xml:space="preserve"> </w:t>
      </w:r>
      <w:r w:rsidRPr="00CE4640">
        <w:rPr>
          <w:lang w:val="en-US" w:eastAsia="ko-KR"/>
        </w:rPr>
        <w:t xml:space="preserve">2 MHz </w:t>
      </w:r>
      <w:r w:rsidRPr="00CE4640">
        <w:rPr>
          <w:lang w:val="en-US"/>
        </w:rPr>
        <w:t>guardbands</w:t>
      </w:r>
      <w:r w:rsidRPr="00CE4640">
        <w:rPr>
          <w:lang w:val="en-US" w:eastAsia="ko-KR"/>
        </w:rPr>
        <w:t xml:space="preserve"> as shown in Fig. 4. </w:t>
      </w:r>
      <w:r w:rsidRPr="00CE4640">
        <w:rPr>
          <w:lang w:val="en-US"/>
        </w:rPr>
        <w:t>Other subchannelization frequency plans could possibly</w:t>
      </w:r>
      <w:r w:rsidRPr="00AE09A0">
        <w:rPr>
          <w:rStyle w:val="FootnoteReference"/>
        </w:rPr>
        <w:footnoteReference w:id="5"/>
      </w:r>
      <w:r w:rsidRPr="00CE4640">
        <w:rPr>
          <w:lang w:val="en-US"/>
        </w:rPr>
        <w:t xml:space="preserve"> be utilized but the channelization plan shown in Fig. 4 should be utilized in the sharing studies. All subchannels, within each 80 MHz bandwidth, are always utilized to accommodate radio links in the same direction. Only FDD/FDM will be used.</w:t>
      </w:r>
    </w:p>
    <w:p w:rsidR="00276CD5" w:rsidRPr="00CE4640" w:rsidRDefault="00276CD5" w:rsidP="00276CD5">
      <w:pPr>
        <w:pStyle w:val="FigureNo"/>
        <w:rPr>
          <w:lang w:val="en-US" w:eastAsia="ko-KR"/>
        </w:rPr>
      </w:pPr>
      <w:r w:rsidRPr="00CE4640">
        <w:rPr>
          <w:lang w:val="en-US"/>
        </w:rPr>
        <w:t xml:space="preserve">FIGURE </w:t>
      </w:r>
      <w:r w:rsidRPr="00CE4640">
        <w:rPr>
          <w:lang w:val="en-US" w:eastAsia="ko-KR"/>
        </w:rPr>
        <w:t>4</w:t>
      </w:r>
    </w:p>
    <w:p w:rsidR="00276CD5" w:rsidRDefault="00276CD5" w:rsidP="00276CD5">
      <w:pPr>
        <w:pStyle w:val="Figuretitle"/>
        <w:rPr>
          <w:lang w:val="en-US" w:eastAsia="ko-KR"/>
        </w:rPr>
      </w:pPr>
      <w:r w:rsidRPr="00CE4640">
        <w:rPr>
          <w:lang w:val="en-US" w:eastAsia="ko-KR"/>
        </w:rPr>
        <w:t>HAPS channelization plan for an up or down channel</w:t>
      </w:r>
    </w:p>
    <w:p w:rsidR="00BA7F7B" w:rsidRPr="00BA7F7B" w:rsidRDefault="00AC18B2" w:rsidP="00BA7F7B">
      <w:pPr>
        <w:pStyle w:val="Figure"/>
        <w:rPr>
          <w:lang w:val="en-US" w:eastAsia="ko-KR"/>
        </w:rPr>
      </w:pPr>
      <w:r>
        <w:rPr>
          <w:lang w:val="en-US" w:eastAsia="ko-KR"/>
        </w:rPr>
        <w:pict>
          <v:shape id="_x0000_i1028" type="#_x0000_t75" style="width:269.4pt;height:94.8pt">
            <v:imagedata r:id="rId18" o:title=""/>
          </v:shape>
        </w:pict>
      </w:r>
    </w:p>
    <w:p w:rsidR="00276CD5" w:rsidRPr="00CE4640" w:rsidRDefault="00276CD5" w:rsidP="00276CD5">
      <w:pPr>
        <w:rPr>
          <w:lang w:val="en-US"/>
        </w:rPr>
      </w:pPr>
      <w:r w:rsidRPr="00CE4640">
        <w:rPr>
          <w:lang w:val="en-US"/>
        </w:rPr>
        <w:lastRenderedPageBreak/>
        <w:t>The location of the spectrum</w:t>
      </w:r>
      <w:r w:rsidRPr="00CE4640">
        <w:rPr>
          <w:lang w:val="en-US" w:eastAsia="ko-KR"/>
        </w:rPr>
        <w:t xml:space="preserve"> for </w:t>
      </w:r>
      <w:r w:rsidRPr="00CE4640">
        <w:rPr>
          <w:lang w:val="en-US"/>
        </w:rPr>
        <w:t xml:space="preserve">HAPS </w:t>
      </w:r>
      <w:r w:rsidRPr="00CE4640">
        <w:rPr>
          <w:lang w:val="en-US" w:eastAsia="ko-KR"/>
        </w:rPr>
        <w:t xml:space="preserve">gateway links </w:t>
      </w:r>
      <w:r w:rsidRPr="00CE4640">
        <w:rPr>
          <w:lang w:val="en-US"/>
        </w:rPr>
        <w:t xml:space="preserve">within the 5 850-7 075 MHz band will largely be dependent on mutual interference factors among the services sharing the spectrum. The HAPS payload and ground station architecture and design provide the flexibility to operate the gateway links virtually anywhere in the 5 850-7 075 MHz band. The subsequent detailed sharing studies will determine the best location for the HAPS spectrum identification. </w:t>
      </w:r>
    </w:p>
    <w:p w:rsidR="00276CD5" w:rsidRPr="00CE4640" w:rsidRDefault="00276CD5" w:rsidP="00276CD5">
      <w:pPr>
        <w:rPr>
          <w:lang w:val="en-US"/>
        </w:rPr>
      </w:pPr>
      <w:r w:rsidRPr="00CE4640">
        <w:rPr>
          <w:lang w:val="en-US"/>
        </w:rPr>
        <w:t xml:space="preserve">It is important to note that the HAPS gateway </w:t>
      </w:r>
      <w:r w:rsidRPr="00CE4640">
        <w:rPr>
          <w:lang w:val="en-US" w:eastAsia="ko-KR"/>
        </w:rPr>
        <w:t xml:space="preserve">links </w:t>
      </w:r>
      <w:r w:rsidRPr="00CE4640">
        <w:rPr>
          <w:lang w:val="en-US"/>
        </w:rPr>
        <w:t xml:space="preserve">spectrum would be in a different frequency band than the individual user links between the HAPS </w:t>
      </w:r>
      <w:r w:rsidRPr="00CE4640">
        <w:rPr>
          <w:lang w:val="en-US" w:eastAsia="ko-KR"/>
        </w:rPr>
        <w:t xml:space="preserve">platform </w:t>
      </w:r>
      <w:r w:rsidRPr="00CE4640">
        <w:rPr>
          <w:lang w:val="en-US"/>
        </w:rPr>
        <w:t xml:space="preserve">and </w:t>
      </w:r>
      <w:r w:rsidRPr="00CE4640">
        <w:rPr>
          <w:lang w:val="en-US" w:eastAsia="ko-KR"/>
        </w:rPr>
        <w:t xml:space="preserve">its </w:t>
      </w:r>
      <w:r w:rsidRPr="00CE4640">
        <w:rPr>
          <w:lang w:val="en-US"/>
        </w:rPr>
        <w:t xml:space="preserve">CPE </w:t>
      </w:r>
      <w:r w:rsidRPr="00CE4640">
        <w:rPr>
          <w:lang w:val="en-US" w:eastAsia="ko-KR"/>
        </w:rPr>
        <w:t xml:space="preserve">on the </w:t>
      </w:r>
      <w:r w:rsidRPr="00CE4640">
        <w:rPr>
          <w:lang w:val="en-US"/>
        </w:rPr>
        <w:t xml:space="preserve">ground as illustrated in Fig. 1. </w:t>
      </w:r>
    </w:p>
    <w:p w:rsidR="00276CD5" w:rsidRPr="00CE4640" w:rsidRDefault="00276CD5" w:rsidP="00276CD5">
      <w:pPr>
        <w:pStyle w:val="Heading1"/>
        <w:rPr>
          <w:lang w:val="en-US"/>
        </w:rPr>
      </w:pPr>
      <w:r w:rsidRPr="00CE4640">
        <w:rPr>
          <w:lang w:val="en-US" w:eastAsia="ko-KR"/>
        </w:rPr>
        <w:t>6</w:t>
      </w:r>
      <w:r w:rsidRPr="00CE4640">
        <w:rPr>
          <w:lang w:val="en-US"/>
        </w:rPr>
        <w:tab/>
        <w:t>HAPS gateway link characteristics</w:t>
      </w:r>
    </w:p>
    <w:p w:rsidR="00276CD5" w:rsidRPr="00CE4640" w:rsidRDefault="00276CD5" w:rsidP="005C78FA">
      <w:pPr>
        <w:rPr>
          <w:lang w:val="en-US"/>
        </w:rPr>
      </w:pPr>
      <w:r w:rsidRPr="00CE4640">
        <w:rPr>
          <w:lang w:val="en-US"/>
        </w:rPr>
        <w:t>Table</w:t>
      </w:r>
      <w:r w:rsidR="005C78FA">
        <w:rPr>
          <w:lang w:val="en-US"/>
        </w:rPr>
        <w:t xml:space="preserve"> </w:t>
      </w:r>
      <w:r w:rsidRPr="00CE4640">
        <w:rPr>
          <w:lang w:val="en-US"/>
        </w:rPr>
        <w:t xml:space="preserve">3 provides the link analysis for a typical HAPS gateway </w:t>
      </w:r>
      <w:r w:rsidRPr="00CE4640">
        <w:rPr>
          <w:lang w:val="en-US" w:eastAsia="ko-KR"/>
        </w:rPr>
        <w:t xml:space="preserve">link for both </w:t>
      </w:r>
      <w:r w:rsidRPr="00CE4640">
        <w:rPr>
          <w:lang w:val="en-US"/>
        </w:rPr>
        <w:t>up- and downlink</w:t>
      </w:r>
      <w:r w:rsidRPr="00CE4640">
        <w:rPr>
          <w:lang w:val="en-US" w:eastAsia="ko-KR"/>
        </w:rPr>
        <w:t>s</w:t>
      </w:r>
      <w:r w:rsidRPr="00CE4640">
        <w:rPr>
          <w:lang w:val="en-US"/>
        </w:rPr>
        <w:t xml:space="preserve"> showing the value of various parameters of the link using 64</w:t>
      </w:r>
      <w:r w:rsidR="005C78FA">
        <w:rPr>
          <w:lang w:val="en-US"/>
        </w:rPr>
        <w:t>-</w:t>
      </w:r>
      <w:r w:rsidRPr="00CE4640">
        <w:rPr>
          <w:lang w:val="en-US"/>
        </w:rPr>
        <w:t xml:space="preserve">QAM 2/3 modulation. </w:t>
      </w:r>
      <w:r w:rsidRPr="00CE4640">
        <w:rPr>
          <w:lang w:val="en-US" w:eastAsia="ko-KR"/>
        </w:rPr>
        <w:t>It is important to note that t</w:t>
      </w:r>
      <w:r w:rsidRPr="00CE4640">
        <w:rPr>
          <w:lang w:val="en-US"/>
        </w:rPr>
        <w:t xml:space="preserve">his case </w:t>
      </w:r>
      <w:r w:rsidRPr="00CE4640">
        <w:rPr>
          <w:lang w:val="en-US" w:eastAsia="ko-KR"/>
        </w:rPr>
        <w:t>(64</w:t>
      </w:r>
      <w:r w:rsidR="005C78FA">
        <w:rPr>
          <w:lang w:val="en-US" w:eastAsia="ko-KR"/>
        </w:rPr>
        <w:t>-</w:t>
      </w:r>
      <w:r w:rsidRPr="00CE4640">
        <w:rPr>
          <w:lang w:val="en-US" w:eastAsia="ko-KR"/>
        </w:rPr>
        <w:t xml:space="preserve">QAM 2/3 case in Table 3) </w:t>
      </w:r>
      <w:r w:rsidRPr="00CE4640">
        <w:rPr>
          <w:lang w:val="en-US"/>
        </w:rPr>
        <w:t xml:space="preserve">should be used in the sharing studies to determine compatibility in the frequency band 5 850-7 075 MHz. </w:t>
      </w:r>
    </w:p>
    <w:p w:rsidR="00276CD5" w:rsidRPr="00CE4640" w:rsidRDefault="00276CD5" w:rsidP="005C78FA">
      <w:pPr>
        <w:rPr>
          <w:lang w:val="en-US"/>
        </w:rPr>
      </w:pPr>
      <w:r w:rsidRPr="00CE4640">
        <w:rPr>
          <w:lang w:val="en-US"/>
        </w:rPr>
        <w:t>The gateway link budget is based on an 11 MHz subchannel (plus guardbands)</w:t>
      </w:r>
      <w:r w:rsidRPr="00AE09A0">
        <w:rPr>
          <w:rStyle w:val="FootnoteReference"/>
        </w:rPr>
        <w:footnoteReference w:id="6"/>
      </w:r>
      <w:r w:rsidRPr="00CE4640">
        <w:rPr>
          <w:lang w:val="en-US"/>
        </w:rPr>
        <w:t xml:space="preserve"> which corresponds to a 44 Mbit/s</w:t>
      </w:r>
      <w:r w:rsidRPr="00AE09A0">
        <w:rPr>
          <w:rStyle w:val="FootnoteReference"/>
        </w:rPr>
        <w:footnoteReference w:id="7"/>
      </w:r>
      <w:r w:rsidRPr="00CE4640">
        <w:rPr>
          <w:lang w:val="en-US"/>
        </w:rPr>
        <w:t xml:space="preserve"> subchannel bit rate for 64</w:t>
      </w:r>
      <w:r w:rsidR="005C78FA">
        <w:rPr>
          <w:lang w:val="en-US"/>
        </w:rPr>
        <w:t>-</w:t>
      </w:r>
      <w:r w:rsidRPr="00CE4640">
        <w:rPr>
          <w:lang w:val="en-US"/>
        </w:rPr>
        <w:t>QAM 2/3. High availability and bit-error rat</w:t>
      </w:r>
      <w:r w:rsidRPr="00CE4640">
        <w:rPr>
          <w:lang w:val="en-US" w:eastAsia="ko-KR"/>
        </w:rPr>
        <w:t>io</w:t>
      </w:r>
      <w:r w:rsidRPr="00CE4640">
        <w:rPr>
          <w:lang w:val="en-US"/>
        </w:rPr>
        <w:t>, on the order of 99.999% and 10</w:t>
      </w:r>
      <w:r w:rsidRPr="00CE4640">
        <w:rPr>
          <w:vertAlign w:val="superscript"/>
          <w:lang w:val="en-US"/>
        </w:rPr>
        <w:t>−9</w:t>
      </w:r>
      <w:r w:rsidRPr="00CE4640">
        <w:rPr>
          <w:lang w:val="en-US"/>
        </w:rPr>
        <w:t xml:space="preserve"> respectively, are important for the gateway links so as to allow a high grade of service for the end user application and service being provided. This link analysis calculates the power flux-density (pfd) and margin at the boresight of the antennas. The pfd and radiated power level will be substantially reduced as a function of the antenna pattern characteristics and the offset angle from boresight. The use of beam-forming antennas can also provide additional mutual interference mitigation. Therefore, this link budget analysis is a worst-case scenario with regard to HAPS interference to and from other systems. </w:t>
      </w:r>
    </w:p>
    <w:p w:rsidR="00276CD5" w:rsidRPr="00CE4640" w:rsidRDefault="00276CD5" w:rsidP="005C78FA">
      <w:pPr>
        <w:rPr>
          <w:lang w:val="en-US" w:eastAsia="ko-KR"/>
        </w:rPr>
      </w:pPr>
      <w:r w:rsidRPr="00CE4640">
        <w:rPr>
          <w:lang w:val="en-US"/>
        </w:rPr>
        <w:t>Also included in the link budgets is a preliminary assessment of the internal interference from other same-frequency gateway links supporting the same HAPS</w:t>
      </w:r>
      <w:r w:rsidRPr="00CE4640">
        <w:rPr>
          <w:lang w:val="en-US" w:eastAsia="ko-KR"/>
        </w:rPr>
        <w:t xml:space="preserve"> system</w:t>
      </w:r>
      <w:r w:rsidRPr="00CE4640">
        <w:rPr>
          <w:lang w:val="en-US"/>
        </w:rPr>
        <w:t>. The cases of one, three and five total gateway stations were evaluated to determine the increase in interference and the corresponding reduction of margin. The three GS interference cases used wanted GS 4 and unwanted (interfering) GS 1 and 2. In the 64</w:t>
      </w:r>
      <w:r w:rsidR="005C78FA">
        <w:rPr>
          <w:lang w:val="en-US"/>
        </w:rPr>
        <w:t>-</w:t>
      </w:r>
      <w:r w:rsidRPr="00CE4640">
        <w:rPr>
          <w:lang w:val="en-US"/>
        </w:rPr>
        <w:t>QAM 2/3 case shown in Table 3 a high performance phased array antenna is used in both the HAPS</w:t>
      </w:r>
      <w:r w:rsidRPr="00CE4640">
        <w:rPr>
          <w:lang w:val="en-US" w:eastAsia="ko-KR"/>
        </w:rPr>
        <w:t xml:space="preserve"> platform</w:t>
      </w:r>
      <w:r w:rsidRPr="00CE4640">
        <w:rPr>
          <w:lang w:val="en-US"/>
        </w:rPr>
        <w:t xml:space="preserve"> and the GS. The antenna gain pattern masks used for this link budget are described in detail in </w:t>
      </w:r>
      <w:r w:rsidR="005C78FA">
        <w:rPr>
          <w:lang w:val="en-US"/>
        </w:rPr>
        <w:t>§</w:t>
      </w:r>
      <w:r w:rsidRPr="00CE4640">
        <w:rPr>
          <w:lang w:val="en-US"/>
        </w:rPr>
        <w:t> 8 herein.</w:t>
      </w:r>
      <w:r w:rsidRPr="00CE4640">
        <w:rPr>
          <w:lang w:val="en-US" w:eastAsia="ko-KR"/>
        </w:rPr>
        <w:t xml:space="preserve"> This case should be used for sharing studies. It is noted that the phased array antenna employed on the HAPS platform and GS will reduce the level of interference to systems of existing services and achieve more effective sharing with such services. Table</w:t>
      </w:r>
      <w:r w:rsidRPr="00CE4640">
        <w:rPr>
          <w:lang w:val="en-US"/>
        </w:rPr>
        <w:t> </w:t>
      </w:r>
      <w:r w:rsidRPr="00CE4640">
        <w:rPr>
          <w:lang w:val="en-US" w:eastAsia="ko-KR"/>
        </w:rPr>
        <w:t xml:space="preserve">3 also contains the link budget for a clear sky and a </w:t>
      </w:r>
      <w:r w:rsidRPr="00CE4640">
        <w:rPr>
          <w:lang w:val="en-US"/>
        </w:rPr>
        <w:t>0.01% rain rate (R</w:t>
      </w:r>
      <w:r w:rsidRPr="00CE4640">
        <w:rPr>
          <w:vertAlign w:val="subscript"/>
          <w:lang w:val="en-US"/>
        </w:rPr>
        <w:t>0.01</w:t>
      </w:r>
      <w:r w:rsidRPr="00CE4640">
        <w:rPr>
          <w:lang w:val="en-US"/>
        </w:rPr>
        <w:t>) was taken to be 63 mm/h</w:t>
      </w:r>
      <w:r w:rsidRPr="00CE4640">
        <w:rPr>
          <w:lang w:val="en-US" w:eastAsia="ko-KR"/>
        </w:rPr>
        <w:t>.</w:t>
      </w:r>
    </w:p>
    <w:p w:rsidR="0035133C" w:rsidRDefault="0035133C" w:rsidP="00276CD5">
      <w:pPr>
        <w:pStyle w:val="TableNo"/>
        <w:rPr>
          <w:lang w:val="en-US"/>
        </w:rPr>
      </w:pPr>
      <w:r>
        <w:rPr>
          <w:lang w:val="en-US"/>
        </w:rPr>
        <w:br w:type="page"/>
      </w:r>
    </w:p>
    <w:p w:rsidR="00276CD5" w:rsidRPr="00CE4640" w:rsidRDefault="00BA7F7B" w:rsidP="00276CD5">
      <w:pPr>
        <w:pStyle w:val="TableNo"/>
        <w:rPr>
          <w:lang w:val="en-US"/>
        </w:rPr>
      </w:pPr>
      <w:r w:rsidRPr="00CE4640">
        <w:rPr>
          <w:lang w:val="en-US"/>
        </w:rPr>
        <w:lastRenderedPageBreak/>
        <w:t>TABLE</w:t>
      </w:r>
      <w:r w:rsidR="00276CD5" w:rsidRPr="00CE4640">
        <w:rPr>
          <w:lang w:val="en-US"/>
        </w:rPr>
        <w:t xml:space="preserve"> 3</w:t>
      </w:r>
    </w:p>
    <w:p w:rsidR="00276CD5" w:rsidRDefault="00276CD5" w:rsidP="00276CD5">
      <w:pPr>
        <w:pStyle w:val="Tabletitle"/>
        <w:rPr>
          <w:lang w:val="en-US"/>
        </w:rPr>
      </w:pPr>
      <w:r w:rsidRPr="00CE4640">
        <w:rPr>
          <w:lang w:val="en-US"/>
        </w:rPr>
        <w:t>Example of HAPS gateway station link budget analysis using 64</w:t>
      </w:r>
      <w:r w:rsidRPr="00CE4640">
        <w:rPr>
          <w:lang w:val="en-US"/>
        </w:rPr>
        <w:noBreakHyphen/>
        <w:t>QAM 2/3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9"/>
        <w:gridCol w:w="1559"/>
        <w:gridCol w:w="1701"/>
        <w:gridCol w:w="1701"/>
      </w:tblGrid>
      <w:tr w:rsidR="005A02DA" w:rsidRPr="005A02DA" w:rsidTr="008D7776">
        <w:trPr>
          <w:jc w:val="center"/>
        </w:trPr>
        <w:tc>
          <w:tcPr>
            <w:tcW w:w="3119" w:type="dxa"/>
            <w:vMerge w:val="restart"/>
            <w:vAlign w:val="center"/>
          </w:tcPr>
          <w:p w:rsidR="005A02DA" w:rsidRPr="005A02DA" w:rsidRDefault="005A02DA" w:rsidP="005A02DA">
            <w:pPr>
              <w:pStyle w:val="Tablehead"/>
              <w:rPr>
                <w:sz w:val="20"/>
                <w:lang w:eastAsia="zh-CN"/>
              </w:rPr>
            </w:pPr>
            <w:r w:rsidRPr="005A02DA">
              <w:rPr>
                <w:sz w:val="20"/>
                <w:lang w:eastAsia="zh-CN"/>
              </w:rPr>
              <w:t>Item</w:t>
            </w:r>
          </w:p>
        </w:tc>
        <w:tc>
          <w:tcPr>
            <w:tcW w:w="1559" w:type="dxa"/>
          </w:tcPr>
          <w:p w:rsidR="005A02DA" w:rsidRPr="005A02DA" w:rsidRDefault="005A02DA" w:rsidP="005A02DA">
            <w:pPr>
              <w:pStyle w:val="Tablehead"/>
              <w:rPr>
                <w:sz w:val="20"/>
                <w:lang w:eastAsia="zh-CN"/>
              </w:rPr>
            </w:pPr>
            <w:r w:rsidRPr="005A02DA">
              <w:rPr>
                <w:sz w:val="20"/>
                <w:lang w:eastAsia="zh-CN"/>
              </w:rPr>
              <w:t>UAC – Rain</w:t>
            </w:r>
          </w:p>
        </w:tc>
        <w:tc>
          <w:tcPr>
            <w:tcW w:w="1559" w:type="dxa"/>
          </w:tcPr>
          <w:p w:rsidR="005A02DA" w:rsidRPr="005A02DA" w:rsidRDefault="005A02DA" w:rsidP="005A02DA">
            <w:pPr>
              <w:pStyle w:val="Tablehead"/>
              <w:rPr>
                <w:sz w:val="20"/>
                <w:lang w:eastAsia="zh-CN"/>
              </w:rPr>
            </w:pPr>
            <w:r w:rsidRPr="005A02DA">
              <w:rPr>
                <w:sz w:val="20"/>
                <w:lang w:eastAsia="zh-CN"/>
              </w:rPr>
              <w:t>UAC – Rain</w:t>
            </w:r>
          </w:p>
        </w:tc>
        <w:tc>
          <w:tcPr>
            <w:tcW w:w="1701" w:type="dxa"/>
          </w:tcPr>
          <w:p w:rsidR="005A02DA" w:rsidRPr="005A02DA" w:rsidRDefault="005A02DA" w:rsidP="005A02DA">
            <w:pPr>
              <w:pStyle w:val="Tablehead"/>
              <w:rPr>
                <w:sz w:val="20"/>
                <w:lang w:eastAsia="zh-CN"/>
              </w:rPr>
            </w:pPr>
            <w:r w:rsidRPr="005A02DA">
              <w:rPr>
                <w:sz w:val="20"/>
                <w:lang w:eastAsia="zh-CN"/>
              </w:rPr>
              <w:t>UAC – Clear Sky</w:t>
            </w:r>
          </w:p>
        </w:tc>
        <w:tc>
          <w:tcPr>
            <w:tcW w:w="1701" w:type="dxa"/>
          </w:tcPr>
          <w:p w:rsidR="005A02DA" w:rsidRPr="005A02DA" w:rsidRDefault="005A02DA" w:rsidP="005A02DA">
            <w:pPr>
              <w:pStyle w:val="Tablehead"/>
              <w:rPr>
                <w:sz w:val="20"/>
                <w:lang w:eastAsia="zh-CN"/>
              </w:rPr>
            </w:pPr>
            <w:r w:rsidRPr="005A02DA">
              <w:rPr>
                <w:sz w:val="20"/>
                <w:lang w:eastAsia="zh-CN"/>
              </w:rPr>
              <w:t>UAC – Clear Sky</w:t>
            </w:r>
          </w:p>
        </w:tc>
      </w:tr>
      <w:tr w:rsidR="005A02DA" w:rsidRPr="005A02DA" w:rsidTr="008D7776">
        <w:trPr>
          <w:jc w:val="center"/>
        </w:trPr>
        <w:tc>
          <w:tcPr>
            <w:tcW w:w="3119" w:type="dxa"/>
            <w:vMerge/>
          </w:tcPr>
          <w:p w:rsidR="005A02DA" w:rsidRPr="005A02DA" w:rsidRDefault="005A02DA" w:rsidP="005A02DA">
            <w:pPr>
              <w:pStyle w:val="Tablehead"/>
              <w:rPr>
                <w:sz w:val="20"/>
                <w:lang w:eastAsia="zh-CN"/>
              </w:rPr>
            </w:pPr>
          </w:p>
        </w:tc>
        <w:tc>
          <w:tcPr>
            <w:tcW w:w="1559" w:type="dxa"/>
          </w:tcPr>
          <w:p w:rsidR="005A02DA" w:rsidRPr="005A02DA" w:rsidRDefault="005A02DA" w:rsidP="005A02DA">
            <w:pPr>
              <w:pStyle w:val="Tablehead"/>
              <w:rPr>
                <w:sz w:val="20"/>
                <w:lang w:val="en-US" w:eastAsia="zh-CN"/>
              </w:rPr>
            </w:pPr>
            <w:r w:rsidRPr="005A02DA">
              <w:rPr>
                <w:sz w:val="20"/>
                <w:lang w:val="en-US" w:eastAsia="zh-CN"/>
              </w:rPr>
              <w:t>TDM down</w:t>
            </w:r>
            <w:r w:rsidRPr="005A02DA">
              <w:rPr>
                <w:sz w:val="20"/>
                <w:lang w:val="en-US" w:eastAsia="zh-CN"/>
              </w:rPr>
              <w:br/>
              <w:t>(per carrier)</w:t>
            </w:r>
          </w:p>
        </w:tc>
        <w:tc>
          <w:tcPr>
            <w:tcW w:w="1559" w:type="dxa"/>
          </w:tcPr>
          <w:p w:rsidR="005A02DA" w:rsidRPr="005A02DA" w:rsidRDefault="005A02DA" w:rsidP="005A02DA">
            <w:pPr>
              <w:pStyle w:val="Tablehead"/>
              <w:rPr>
                <w:sz w:val="20"/>
                <w:lang w:val="en-US" w:eastAsia="zh-CN"/>
              </w:rPr>
            </w:pPr>
            <w:r w:rsidRPr="005A02DA">
              <w:rPr>
                <w:sz w:val="20"/>
                <w:lang w:val="en-US" w:eastAsia="zh-CN"/>
              </w:rPr>
              <w:t>TDM up</w:t>
            </w:r>
            <w:r w:rsidRPr="005A02DA">
              <w:rPr>
                <w:sz w:val="20"/>
                <w:lang w:val="en-US" w:eastAsia="zh-CN"/>
              </w:rPr>
              <w:br/>
              <w:t>(per carrier)</w:t>
            </w:r>
          </w:p>
        </w:tc>
        <w:tc>
          <w:tcPr>
            <w:tcW w:w="1701" w:type="dxa"/>
          </w:tcPr>
          <w:p w:rsidR="005A02DA" w:rsidRPr="005A02DA" w:rsidRDefault="005A02DA" w:rsidP="005A02DA">
            <w:pPr>
              <w:pStyle w:val="Tablehead"/>
              <w:rPr>
                <w:sz w:val="20"/>
                <w:lang w:val="en-US" w:eastAsia="zh-CN"/>
              </w:rPr>
            </w:pPr>
            <w:r w:rsidRPr="005A02DA">
              <w:rPr>
                <w:sz w:val="20"/>
                <w:lang w:val="en-US" w:eastAsia="zh-CN"/>
              </w:rPr>
              <w:t>TDM down</w:t>
            </w:r>
            <w:r w:rsidRPr="005A02DA">
              <w:rPr>
                <w:sz w:val="20"/>
                <w:lang w:val="en-US" w:eastAsia="zh-CN"/>
              </w:rPr>
              <w:br/>
              <w:t>(per carrier)</w:t>
            </w:r>
          </w:p>
        </w:tc>
        <w:tc>
          <w:tcPr>
            <w:tcW w:w="1701" w:type="dxa"/>
          </w:tcPr>
          <w:p w:rsidR="005A02DA" w:rsidRPr="005A02DA" w:rsidRDefault="005A02DA" w:rsidP="005A02DA">
            <w:pPr>
              <w:pStyle w:val="Tablehead"/>
              <w:rPr>
                <w:sz w:val="20"/>
                <w:lang w:val="en-US" w:eastAsia="zh-CN"/>
              </w:rPr>
            </w:pPr>
            <w:r w:rsidRPr="005A02DA">
              <w:rPr>
                <w:sz w:val="20"/>
                <w:lang w:val="en-US" w:eastAsia="zh-CN"/>
              </w:rPr>
              <w:t>TDM up</w:t>
            </w:r>
            <w:r w:rsidRPr="005A02DA">
              <w:rPr>
                <w:sz w:val="20"/>
                <w:lang w:val="en-US" w:eastAsia="zh-CN"/>
              </w:rPr>
              <w:br/>
              <w:t>(per carrier)</w:t>
            </w:r>
          </w:p>
        </w:tc>
      </w:tr>
      <w:tr w:rsidR="005A02DA" w:rsidRPr="005A02DA" w:rsidTr="008D7776">
        <w:trPr>
          <w:jc w:val="center"/>
        </w:trPr>
        <w:tc>
          <w:tcPr>
            <w:tcW w:w="3119" w:type="dxa"/>
          </w:tcPr>
          <w:p w:rsidR="005A02DA" w:rsidRPr="005A02DA" w:rsidRDefault="005A02DA" w:rsidP="005A02DA">
            <w:pPr>
              <w:pStyle w:val="Tabletext"/>
              <w:jc w:val="left"/>
              <w:rPr>
                <w:sz w:val="20"/>
                <w:vertAlign w:val="superscript"/>
                <w:lang w:val="en-US" w:eastAsia="zh-CN"/>
              </w:rPr>
            </w:pPr>
            <w:r w:rsidRPr="005A02DA">
              <w:rPr>
                <w:sz w:val="20"/>
                <w:lang w:val="en-US" w:eastAsia="zh-CN"/>
              </w:rPr>
              <w:t>Frequency (GHz)</w:t>
            </w:r>
            <w:r w:rsidRPr="005A02DA">
              <w:rPr>
                <w:sz w:val="20"/>
                <w:vertAlign w:val="superscript"/>
                <w:lang w:val="en-US" w:eastAsia="zh-CN"/>
              </w:rPr>
              <w:t>(1)</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6.5</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6.6</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6.5</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6.6</w:t>
            </w:r>
          </w:p>
        </w:tc>
      </w:tr>
      <w:tr w:rsidR="005A02DA" w:rsidRPr="005A02DA" w:rsidTr="008D7776">
        <w:trPr>
          <w:jc w:val="center"/>
        </w:trPr>
        <w:tc>
          <w:tcPr>
            <w:tcW w:w="3119" w:type="dxa"/>
          </w:tcPr>
          <w:p w:rsidR="005A02DA" w:rsidRPr="005A02DA" w:rsidRDefault="005A02DA" w:rsidP="005A02DA">
            <w:pPr>
              <w:pStyle w:val="Tabletext"/>
              <w:jc w:val="left"/>
              <w:rPr>
                <w:sz w:val="20"/>
                <w:lang w:val="en-US" w:eastAsia="zh-CN"/>
              </w:rPr>
            </w:pPr>
            <w:r w:rsidRPr="005A02DA">
              <w:rPr>
                <w:sz w:val="20"/>
                <w:lang w:val="en-US" w:eastAsia="zh-CN"/>
              </w:rPr>
              <w:t>Bandwidth (MHz)</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11</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11</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11</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11</w:t>
            </w:r>
          </w:p>
        </w:tc>
      </w:tr>
      <w:tr w:rsidR="005A02DA" w:rsidRPr="005A02DA" w:rsidTr="008D7776">
        <w:trPr>
          <w:jc w:val="center"/>
        </w:trPr>
        <w:tc>
          <w:tcPr>
            <w:tcW w:w="3119" w:type="dxa"/>
          </w:tcPr>
          <w:p w:rsidR="005A02DA" w:rsidRPr="005A02DA" w:rsidRDefault="005A02DA" w:rsidP="005A02DA">
            <w:pPr>
              <w:pStyle w:val="Tabletext"/>
              <w:jc w:val="left"/>
              <w:rPr>
                <w:sz w:val="20"/>
                <w:lang w:val="en-US" w:eastAsia="zh-CN"/>
              </w:rPr>
            </w:pPr>
            <w:r w:rsidRPr="005A02DA">
              <w:rPr>
                <w:sz w:val="20"/>
                <w:lang w:val="en-US" w:eastAsia="zh-CN"/>
              </w:rPr>
              <w:t>Tx power (dBW)</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–22</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–19</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–22</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–19</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val="en-US" w:eastAsia="zh-CN"/>
              </w:rPr>
              <w:t>Tx ante</w:t>
            </w:r>
            <w:r w:rsidRPr="005A02DA">
              <w:rPr>
                <w:sz w:val="20"/>
                <w:lang w:eastAsia="zh-CN"/>
              </w:rPr>
              <w:t>nna gain (dBi)</w:t>
            </w:r>
          </w:p>
        </w:tc>
        <w:tc>
          <w:tcPr>
            <w:tcW w:w="1559" w:type="dxa"/>
          </w:tcPr>
          <w:p w:rsidR="005A02DA" w:rsidRPr="005A02DA" w:rsidRDefault="005A02DA" w:rsidP="005A02DA">
            <w:pPr>
              <w:pStyle w:val="Tabletext"/>
              <w:jc w:val="center"/>
              <w:rPr>
                <w:sz w:val="20"/>
                <w:lang w:eastAsia="zh-CN"/>
              </w:rPr>
            </w:pPr>
            <w:r w:rsidRPr="005A02DA">
              <w:rPr>
                <w:sz w:val="20"/>
                <w:lang w:eastAsia="zh-CN"/>
              </w:rPr>
              <w:t>30</w:t>
            </w:r>
          </w:p>
        </w:tc>
        <w:tc>
          <w:tcPr>
            <w:tcW w:w="1559" w:type="dxa"/>
          </w:tcPr>
          <w:p w:rsidR="005A02DA" w:rsidRPr="005A02DA" w:rsidRDefault="005A02DA" w:rsidP="005A02DA">
            <w:pPr>
              <w:pStyle w:val="Tabletext"/>
              <w:jc w:val="center"/>
              <w:rPr>
                <w:sz w:val="20"/>
                <w:lang w:eastAsia="zh-CN"/>
              </w:rPr>
            </w:pPr>
            <w:r w:rsidRPr="005A02DA">
              <w:rPr>
                <w:sz w:val="20"/>
                <w:lang w:eastAsia="zh-CN"/>
              </w:rPr>
              <w:t>47</w:t>
            </w:r>
          </w:p>
        </w:tc>
        <w:tc>
          <w:tcPr>
            <w:tcW w:w="1701" w:type="dxa"/>
          </w:tcPr>
          <w:p w:rsidR="005A02DA" w:rsidRPr="005A02DA" w:rsidRDefault="005A02DA" w:rsidP="005A02DA">
            <w:pPr>
              <w:pStyle w:val="Tabletext"/>
              <w:jc w:val="center"/>
              <w:rPr>
                <w:sz w:val="20"/>
                <w:lang w:eastAsia="zh-CN"/>
              </w:rPr>
            </w:pPr>
            <w:r w:rsidRPr="005A02DA">
              <w:rPr>
                <w:sz w:val="20"/>
                <w:lang w:eastAsia="zh-CN"/>
              </w:rPr>
              <w:t>30</w:t>
            </w:r>
          </w:p>
        </w:tc>
        <w:tc>
          <w:tcPr>
            <w:tcW w:w="1701" w:type="dxa"/>
          </w:tcPr>
          <w:p w:rsidR="005A02DA" w:rsidRPr="005A02DA" w:rsidRDefault="005A02DA" w:rsidP="005A02DA">
            <w:pPr>
              <w:pStyle w:val="Tabletext"/>
              <w:jc w:val="center"/>
              <w:rPr>
                <w:sz w:val="20"/>
                <w:lang w:eastAsia="zh-CN"/>
              </w:rPr>
            </w:pPr>
            <w:r w:rsidRPr="005A02DA">
              <w:rPr>
                <w:sz w:val="20"/>
                <w:lang w:eastAsia="zh-CN"/>
              </w:rPr>
              <w:t>47</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Hardware implementation loss (dB)</w:t>
            </w:r>
          </w:p>
        </w:tc>
        <w:tc>
          <w:tcPr>
            <w:tcW w:w="1559" w:type="dxa"/>
          </w:tcPr>
          <w:p w:rsidR="005A02DA" w:rsidRPr="005A02DA" w:rsidRDefault="005A02DA" w:rsidP="005A02DA">
            <w:pPr>
              <w:pStyle w:val="Tabletext"/>
              <w:jc w:val="center"/>
              <w:rPr>
                <w:sz w:val="20"/>
                <w:lang w:eastAsia="zh-CN"/>
              </w:rPr>
            </w:pPr>
            <w:r w:rsidRPr="005A02DA">
              <w:rPr>
                <w:sz w:val="20"/>
                <w:lang w:eastAsia="zh-CN"/>
              </w:rPr>
              <w:t>4.1</w:t>
            </w:r>
          </w:p>
        </w:tc>
        <w:tc>
          <w:tcPr>
            <w:tcW w:w="1559" w:type="dxa"/>
          </w:tcPr>
          <w:p w:rsidR="005A02DA" w:rsidRPr="005A02DA" w:rsidRDefault="005A02DA" w:rsidP="005A02DA">
            <w:pPr>
              <w:pStyle w:val="Tabletext"/>
              <w:jc w:val="center"/>
              <w:rPr>
                <w:sz w:val="20"/>
                <w:lang w:eastAsia="zh-CN"/>
              </w:rPr>
            </w:pPr>
            <w:r w:rsidRPr="005A02DA">
              <w:rPr>
                <w:sz w:val="20"/>
                <w:lang w:eastAsia="zh-CN"/>
              </w:rPr>
              <w:t>4.1</w:t>
            </w:r>
          </w:p>
        </w:tc>
        <w:tc>
          <w:tcPr>
            <w:tcW w:w="1701" w:type="dxa"/>
          </w:tcPr>
          <w:p w:rsidR="005A02DA" w:rsidRPr="005A02DA" w:rsidRDefault="005A02DA" w:rsidP="005A02DA">
            <w:pPr>
              <w:pStyle w:val="Tabletext"/>
              <w:jc w:val="center"/>
              <w:rPr>
                <w:sz w:val="20"/>
                <w:lang w:eastAsia="zh-CN"/>
              </w:rPr>
            </w:pPr>
            <w:r w:rsidRPr="005A02DA">
              <w:rPr>
                <w:sz w:val="20"/>
                <w:lang w:eastAsia="zh-CN"/>
              </w:rPr>
              <w:t>4.1</w:t>
            </w:r>
          </w:p>
        </w:tc>
        <w:tc>
          <w:tcPr>
            <w:tcW w:w="1701" w:type="dxa"/>
          </w:tcPr>
          <w:p w:rsidR="005A02DA" w:rsidRPr="005A02DA" w:rsidRDefault="005A02DA" w:rsidP="005A02DA">
            <w:pPr>
              <w:pStyle w:val="Tabletext"/>
              <w:jc w:val="center"/>
              <w:rPr>
                <w:sz w:val="20"/>
                <w:lang w:eastAsia="zh-CN"/>
              </w:rPr>
            </w:pPr>
            <w:r w:rsidRPr="005A02DA">
              <w:rPr>
                <w:sz w:val="20"/>
                <w:lang w:eastAsia="zh-CN"/>
              </w:rPr>
              <w:t>4.1</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Power control gain (dB)</w:t>
            </w:r>
          </w:p>
        </w:tc>
        <w:tc>
          <w:tcPr>
            <w:tcW w:w="1559" w:type="dxa"/>
          </w:tcPr>
          <w:p w:rsidR="005A02DA" w:rsidRPr="005A02DA" w:rsidRDefault="005A02DA" w:rsidP="005A02DA">
            <w:pPr>
              <w:pStyle w:val="Tabletext"/>
              <w:jc w:val="center"/>
              <w:rPr>
                <w:sz w:val="20"/>
                <w:lang w:eastAsia="zh-CN"/>
              </w:rPr>
            </w:pPr>
            <w:r w:rsidRPr="005A02DA">
              <w:rPr>
                <w:sz w:val="20"/>
                <w:lang w:eastAsia="zh-CN"/>
              </w:rPr>
              <w:t>8.0</w:t>
            </w:r>
          </w:p>
        </w:tc>
        <w:tc>
          <w:tcPr>
            <w:tcW w:w="1559" w:type="dxa"/>
          </w:tcPr>
          <w:p w:rsidR="005A02DA" w:rsidRPr="005A02DA" w:rsidRDefault="005A02DA" w:rsidP="005A02DA">
            <w:pPr>
              <w:pStyle w:val="Tabletext"/>
              <w:jc w:val="center"/>
              <w:rPr>
                <w:sz w:val="20"/>
                <w:lang w:eastAsia="zh-CN"/>
              </w:rPr>
            </w:pPr>
            <w:r w:rsidRPr="005A02DA">
              <w:rPr>
                <w:sz w:val="20"/>
                <w:lang w:eastAsia="zh-CN"/>
              </w:rPr>
              <w:t>8.0</w:t>
            </w:r>
          </w:p>
        </w:tc>
        <w:tc>
          <w:tcPr>
            <w:tcW w:w="1701" w:type="dxa"/>
          </w:tcPr>
          <w:p w:rsidR="005A02DA" w:rsidRPr="005A02DA" w:rsidRDefault="005A02DA" w:rsidP="005A02DA">
            <w:pPr>
              <w:pStyle w:val="Tabletext"/>
              <w:jc w:val="center"/>
              <w:rPr>
                <w:sz w:val="20"/>
                <w:lang w:eastAsia="zh-CN"/>
              </w:rPr>
            </w:pPr>
            <w:r w:rsidRPr="005A02DA">
              <w:rPr>
                <w:sz w:val="20"/>
                <w:lang w:eastAsia="zh-CN"/>
              </w:rPr>
              <w:t>0.0</w:t>
            </w:r>
          </w:p>
        </w:tc>
        <w:tc>
          <w:tcPr>
            <w:tcW w:w="1701" w:type="dxa"/>
          </w:tcPr>
          <w:p w:rsidR="005A02DA" w:rsidRPr="005A02DA" w:rsidRDefault="005A02DA" w:rsidP="005A02DA">
            <w:pPr>
              <w:pStyle w:val="Tabletext"/>
              <w:jc w:val="center"/>
              <w:rPr>
                <w:sz w:val="20"/>
                <w:lang w:eastAsia="zh-CN"/>
              </w:rPr>
            </w:pPr>
            <w:r w:rsidRPr="005A02DA">
              <w:rPr>
                <w:sz w:val="20"/>
                <w:lang w:eastAsia="zh-CN"/>
              </w:rPr>
              <w:t>0.0</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Nominal e.i.r.p. (dBW)</w:t>
            </w:r>
          </w:p>
        </w:tc>
        <w:tc>
          <w:tcPr>
            <w:tcW w:w="1559" w:type="dxa"/>
          </w:tcPr>
          <w:p w:rsidR="005A02DA" w:rsidRPr="005A02DA" w:rsidRDefault="005A02DA" w:rsidP="005A02DA">
            <w:pPr>
              <w:pStyle w:val="Tabletext"/>
              <w:jc w:val="center"/>
              <w:rPr>
                <w:sz w:val="20"/>
                <w:lang w:eastAsia="zh-CN"/>
              </w:rPr>
            </w:pPr>
            <w:r w:rsidRPr="005A02DA">
              <w:rPr>
                <w:sz w:val="20"/>
                <w:lang w:eastAsia="zh-CN"/>
              </w:rPr>
              <w:t>3.9</w:t>
            </w:r>
          </w:p>
        </w:tc>
        <w:tc>
          <w:tcPr>
            <w:tcW w:w="1559" w:type="dxa"/>
          </w:tcPr>
          <w:p w:rsidR="005A02DA" w:rsidRPr="005A02DA" w:rsidRDefault="005A02DA" w:rsidP="005A02DA">
            <w:pPr>
              <w:pStyle w:val="Tabletext"/>
              <w:jc w:val="center"/>
              <w:rPr>
                <w:sz w:val="20"/>
                <w:lang w:eastAsia="zh-CN"/>
              </w:rPr>
            </w:pPr>
            <w:r w:rsidRPr="005A02DA">
              <w:rPr>
                <w:sz w:val="20"/>
                <w:lang w:eastAsia="zh-CN"/>
              </w:rPr>
              <w:t>23.9</w:t>
            </w:r>
          </w:p>
        </w:tc>
        <w:tc>
          <w:tcPr>
            <w:tcW w:w="1701" w:type="dxa"/>
          </w:tcPr>
          <w:p w:rsidR="005A02DA" w:rsidRPr="005A02DA" w:rsidRDefault="005A02DA" w:rsidP="005A02DA">
            <w:pPr>
              <w:pStyle w:val="Tabletext"/>
              <w:jc w:val="center"/>
              <w:rPr>
                <w:sz w:val="20"/>
                <w:lang w:eastAsia="zh-CN"/>
              </w:rPr>
            </w:pPr>
            <w:r w:rsidRPr="005A02DA">
              <w:rPr>
                <w:sz w:val="20"/>
                <w:lang w:eastAsia="zh-CN"/>
              </w:rPr>
              <w:t>3.9</w:t>
            </w:r>
          </w:p>
        </w:tc>
        <w:tc>
          <w:tcPr>
            <w:tcW w:w="1701" w:type="dxa"/>
          </w:tcPr>
          <w:p w:rsidR="005A02DA" w:rsidRPr="005A02DA" w:rsidRDefault="005A02DA" w:rsidP="005A02DA">
            <w:pPr>
              <w:pStyle w:val="Tabletext"/>
              <w:jc w:val="center"/>
              <w:rPr>
                <w:sz w:val="20"/>
                <w:lang w:eastAsia="zh-CN"/>
              </w:rPr>
            </w:pPr>
            <w:r w:rsidRPr="005A02DA">
              <w:rPr>
                <w:sz w:val="20"/>
                <w:lang w:eastAsia="zh-CN"/>
              </w:rPr>
              <w:t>23.9</w:t>
            </w:r>
          </w:p>
        </w:tc>
      </w:tr>
      <w:tr w:rsidR="005A02DA" w:rsidRPr="005A02DA" w:rsidTr="008D7776">
        <w:trPr>
          <w:jc w:val="center"/>
        </w:trPr>
        <w:tc>
          <w:tcPr>
            <w:tcW w:w="3119" w:type="dxa"/>
          </w:tcPr>
          <w:p w:rsidR="005A02DA" w:rsidRPr="005A02DA" w:rsidRDefault="005A02DA" w:rsidP="005A02DA">
            <w:pPr>
              <w:pStyle w:val="Tabletext"/>
              <w:jc w:val="left"/>
              <w:rPr>
                <w:sz w:val="20"/>
                <w:vertAlign w:val="superscript"/>
                <w:lang w:val="en-US" w:eastAsia="zh-CN"/>
              </w:rPr>
            </w:pPr>
            <w:r w:rsidRPr="005A02DA">
              <w:rPr>
                <w:sz w:val="20"/>
                <w:lang w:val="en-US" w:eastAsia="zh-CN"/>
              </w:rPr>
              <w:t>e.i.r.p. (dBW) after power control</w:t>
            </w:r>
            <w:r w:rsidRPr="005A02DA">
              <w:rPr>
                <w:sz w:val="20"/>
                <w:vertAlign w:val="superscript"/>
                <w:lang w:val="en-US" w:eastAsia="zh-CN"/>
              </w:rPr>
              <w:t>(2)</w:t>
            </w:r>
          </w:p>
        </w:tc>
        <w:tc>
          <w:tcPr>
            <w:tcW w:w="1559" w:type="dxa"/>
          </w:tcPr>
          <w:p w:rsidR="005A02DA" w:rsidRPr="005A02DA" w:rsidRDefault="005A02DA" w:rsidP="005A02DA">
            <w:pPr>
              <w:pStyle w:val="Tabletext"/>
              <w:jc w:val="center"/>
              <w:rPr>
                <w:sz w:val="20"/>
                <w:lang w:eastAsia="zh-CN"/>
              </w:rPr>
            </w:pPr>
            <w:r w:rsidRPr="005A02DA">
              <w:rPr>
                <w:sz w:val="20"/>
                <w:lang w:eastAsia="zh-CN"/>
              </w:rPr>
              <w:t>11.9</w:t>
            </w:r>
          </w:p>
        </w:tc>
        <w:tc>
          <w:tcPr>
            <w:tcW w:w="1559" w:type="dxa"/>
          </w:tcPr>
          <w:p w:rsidR="005A02DA" w:rsidRPr="005A02DA" w:rsidRDefault="005A02DA" w:rsidP="005A02DA">
            <w:pPr>
              <w:pStyle w:val="Tabletext"/>
              <w:jc w:val="center"/>
              <w:rPr>
                <w:sz w:val="20"/>
                <w:lang w:eastAsia="zh-CN"/>
              </w:rPr>
            </w:pPr>
            <w:r w:rsidRPr="005A02DA">
              <w:rPr>
                <w:sz w:val="20"/>
                <w:lang w:eastAsia="zh-CN"/>
              </w:rPr>
              <w:t>31.9</w:t>
            </w:r>
          </w:p>
        </w:tc>
        <w:tc>
          <w:tcPr>
            <w:tcW w:w="1701" w:type="dxa"/>
          </w:tcPr>
          <w:p w:rsidR="005A02DA" w:rsidRPr="005A02DA" w:rsidRDefault="005A02DA" w:rsidP="005A02DA">
            <w:pPr>
              <w:pStyle w:val="Tabletext"/>
              <w:jc w:val="center"/>
              <w:rPr>
                <w:sz w:val="20"/>
                <w:lang w:eastAsia="zh-CN"/>
              </w:rPr>
            </w:pPr>
            <w:r w:rsidRPr="005A02DA">
              <w:rPr>
                <w:sz w:val="20"/>
                <w:lang w:eastAsia="zh-CN"/>
              </w:rPr>
              <w:t>3.9</w:t>
            </w:r>
          </w:p>
        </w:tc>
        <w:tc>
          <w:tcPr>
            <w:tcW w:w="1701" w:type="dxa"/>
          </w:tcPr>
          <w:p w:rsidR="005A02DA" w:rsidRPr="005A02DA" w:rsidRDefault="005A02DA" w:rsidP="005A02DA">
            <w:pPr>
              <w:pStyle w:val="Tabletext"/>
              <w:jc w:val="center"/>
              <w:rPr>
                <w:sz w:val="20"/>
                <w:lang w:eastAsia="zh-CN"/>
              </w:rPr>
            </w:pPr>
            <w:r w:rsidRPr="005A02DA">
              <w:rPr>
                <w:sz w:val="20"/>
                <w:lang w:eastAsia="zh-CN"/>
              </w:rPr>
              <w:t>23.9</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Slant range (km)</w:t>
            </w:r>
          </w:p>
        </w:tc>
        <w:tc>
          <w:tcPr>
            <w:tcW w:w="1559" w:type="dxa"/>
          </w:tcPr>
          <w:p w:rsidR="005A02DA" w:rsidRPr="005A02DA" w:rsidRDefault="005A02DA" w:rsidP="005A02DA">
            <w:pPr>
              <w:pStyle w:val="Tabletext"/>
              <w:jc w:val="center"/>
              <w:rPr>
                <w:sz w:val="20"/>
                <w:lang w:eastAsia="zh-CN"/>
              </w:rPr>
            </w:pPr>
            <w:r w:rsidRPr="005A02DA">
              <w:rPr>
                <w:sz w:val="20"/>
                <w:lang w:eastAsia="zh-CN"/>
              </w:rPr>
              <w:t>42.0</w:t>
            </w:r>
          </w:p>
        </w:tc>
        <w:tc>
          <w:tcPr>
            <w:tcW w:w="1559" w:type="dxa"/>
          </w:tcPr>
          <w:p w:rsidR="005A02DA" w:rsidRPr="005A02DA" w:rsidRDefault="005A02DA" w:rsidP="005A02DA">
            <w:pPr>
              <w:pStyle w:val="Tabletext"/>
              <w:jc w:val="center"/>
              <w:rPr>
                <w:sz w:val="20"/>
                <w:lang w:eastAsia="zh-CN"/>
              </w:rPr>
            </w:pPr>
            <w:r w:rsidRPr="005A02DA">
              <w:rPr>
                <w:sz w:val="20"/>
                <w:lang w:eastAsia="zh-CN"/>
              </w:rPr>
              <w:t>42.0</w:t>
            </w:r>
          </w:p>
        </w:tc>
        <w:tc>
          <w:tcPr>
            <w:tcW w:w="1701" w:type="dxa"/>
          </w:tcPr>
          <w:p w:rsidR="005A02DA" w:rsidRPr="005A02DA" w:rsidRDefault="005A02DA" w:rsidP="005A02DA">
            <w:pPr>
              <w:pStyle w:val="Tabletext"/>
              <w:jc w:val="center"/>
              <w:rPr>
                <w:sz w:val="20"/>
                <w:lang w:eastAsia="zh-CN"/>
              </w:rPr>
            </w:pPr>
            <w:r w:rsidRPr="005A02DA">
              <w:rPr>
                <w:sz w:val="20"/>
                <w:lang w:eastAsia="zh-CN"/>
              </w:rPr>
              <w:t>42.0</w:t>
            </w:r>
          </w:p>
        </w:tc>
        <w:tc>
          <w:tcPr>
            <w:tcW w:w="1701" w:type="dxa"/>
          </w:tcPr>
          <w:p w:rsidR="005A02DA" w:rsidRPr="005A02DA" w:rsidRDefault="005A02DA" w:rsidP="005A02DA">
            <w:pPr>
              <w:pStyle w:val="Tabletext"/>
              <w:jc w:val="center"/>
              <w:rPr>
                <w:sz w:val="20"/>
                <w:lang w:eastAsia="zh-CN"/>
              </w:rPr>
            </w:pPr>
            <w:r w:rsidRPr="005A02DA">
              <w:rPr>
                <w:sz w:val="20"/>
                <w:lang w:eastAsia="zh-CN"/>
              </w:rPr>
              <w:t>42.0</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Free space loss (dB)</w:t>
            </w:r>
          </w:p>
        </w:tc>
        <w:tc>
          <w:tcPr>
            <w:tcW w:w="1559" w:type="dxa"/>
          </w:tcPr>
          <w:p w:rsidR="005A02DA" w:rsidRPr="005A02DA" w:rsidRDefault="005A02DA" w:rsidP="005A02DA">
            <w:pPr>
              <w:pStyle w:val="Tabletext"/>
              <w:jc w:val="center"/>
              <w:rPr>
                <w:sz w:val="20"/>
                <w:lang w:eastAsia="zh-CN"/>
              </w:rPr>
            </w:pPr>
            <w:r w:rsidRPr="005A02DA">
              <w:rPr>
                <w:sz w:val="20"/>
                <w:lang w:eastAsia="zh-CN"/>
              </w:rPr>
              <w:t>141.2</w:t>
            </w:r>
          </w:p>
        </w:tc>
        <w:tc>
          <w:tcPr>
            <w:tcW w:w="1559" w:type="dxa"/>
          </w:tcPr>
          <w:p w:rsidR="005A02DA" w:rsidRPr="005A02DA" w:rsidRDefault="005A02DA" w:rsidP="005A02DA">
            <w:pPr>
              <w:pStyle w:val="Tabletext"/>
              <w:jc w:val="center"/>
              <w:rPr>
                <w:sz w:val="20"/>
                <w:lang w:eastAsia="zh-CN"/>
              </w:rPr>
            </w:pPr>
            <w:r w:rsidRPr="005A02DA">
              <w:rPr>
                <w:sz w:val="20"/>
                <w:lang w:eastAsia="zh-CN"/>
              </w:rPr>
              <w:t>141.3</w:t>
            </w:r>
          </w:p>
        </w:tc>
        <w:tc>
          <w:tcPr>
            <w:tcW w:w="1701" w:type="dxa"/>
          </w:tcPr>
          <w:p w:rsidR="005A02DA" w:rsidRPr="005A02DA" w:rsidRDefault="005A02DA" w:rsidP="005A02DA">
            <w:pPr>
              <w:pStyle w:val="Tabletext"/>
              <w:jc w:val="center"/>
              <w:rPr>
                <w:sz w:val="20"/>
                <w:lang w:eastAsia="zh-CN"/>
              </w:rPr>
            </w:pPr>
            <w:r w:rsidRPr="005A02DA">
              <w:rPr>
                <w:sz w:val="20"/>
                <w:lang w:eastAsia="zh-CN"/>
              </w:rPr>
              <w:t>141.2</w:t>
            </w:r>
          </w:p>
        </w:tc>
        <w:tc>
          <w:tcPr>
            <w:tcW w:w="1701" w:type="dxa"/>
          </w:tcPr>
          <w:p w:rsidR="005A02DA" w:rsidRPr="005A02DA" w:rsidRDefault="005A02DA" w:rsidP="005A02DA">
            <w:pPr>
              <w:pStyle w:val="Tabletext"/>
              <w:jc w:val="center"/>
              <w:rPr>
                <w:sz w:val="20"/>
                <w:lang w:eastAsia="zh-CN"/>
              </w:rPr>
            </w:pPr>
            <w:r w:rsidRPr="005A02DA">
              <w:rPr>
                <w:sz w:val="20"/>
                <w:lang w:eastAsia="zh-CN"/>
              </w:rPr>
              <w:t>141.3</w:t>
            </w:r>
          </w:p>
        </w:tc>
      </w:tr>
      <w:tr w:rsidR="005A02DA" w:rsidRPr="005A02DA" w:rsidTr="008D7776">
        <w:trPr>
          <w:jc w:val="center"/>
        </w:trPr>
        <w:tc>
          <w:tcPr>
            <w:tcW w:w="3119" w:type="dxa"/>
          </w:tcPr>
          <w:p w:rsidR="005A02DA" w:rsidRPr="005A02DA" w:rsidRDefault="005A02DA" w:rsidP="005A02DA">
            <w:pPr>
              <w:pStyle w:val="Tabletext"/>
              <w:jc w:val="left"/>
              <w:rPr>
                <w:sz w:val="20"/>
                <w:vertAlign w:val="superscript"/>
                <w:lang w:eastAsia="zh-CN"/>
              </w:rPr>
            </w:pPr>
            <w:r w:rsidRPr="005A02DA">
              <w:rPr>
                <w:sz w:val="20"/>
                <w:lang w:eastAsia="zh-CN"/>
              </w:rPr>
              <w:t>Atmospheric loss (dB)</w:t>
            </w:r>
            <w:r w:rsidRPr="005A02DA">
              <w:rPr>
                <w:sz w:val="20"/>
                <w:vertAlign w:val="superscript"/>
                <w:lang w:eastAsia="zh-CN"/>
              </w:rPr>
              <w:t>(3)</w:t>
            </w:r>
          </w:p>
        </w:tc>
        <w:tc>
          <w:tcPr>
            <w:tcW w:w="1559" w:type="dxa"/>
          </w:tcPr>
          <w:p w:rsidR="005A02DA" w:rsidRPr="005A02DA" w:rsidRDefault="005A02DA" w:rsidP="005A02DA">
            <w:pPr>
              <w:pStyle w:val="Tabletext"/>
              <w:jc w:val="center"/>
              <w:rPr>
                <w:sz w:val="20"/>
                <w:lang w:eastAsia="zh-CN"/>
              </w:rPr>
            </w:pPr>
            <w:r w:rsidRPr="005A02DA">
              <w:rPr>
                <w:sz w:val="20"/>
                <w:lang w:eastAsia="zh-CN"/>
              </w:rPr>
              <w:t>0.3</w:t>
            </w:r>
          </w:p>
        </w:tc>
        <w:tc>
          <w:tcPr>
            <w:tcW w:w="1559" w:type="dxa"/>
          </w:tcPr>
          <w:p w:rsidR="005A02DA" w:rsidRPr="005A02DA" w:rsidRDefault="005A02DA" w:rsidP="005A02DA">
            <w:pPr>
              <w:pStyle w:val="Tabletext"/>
              <w:jc w:val="center"/>
              <w:rPr>
                <w:sz w:val="20"/>
                <w:lang w:eastAsia="zh-CN"/>
              </w:rPr>
            </w:pPr>
            <w:r w:rsidRPr="005A02DA">
              <w:rPr>
                <w:sz w:val="20"/>
                <w:lang w:eastAsia="zh-CN"/>
              </w:rPr>
              <w:t>0.3</w:t>
            </w:r>
          </w:p>
        </w:tc>
        <w:tc>
          <w:tcPr>
            <w:tcW w:w="1701" w:type="dxa"/>
          </w:tcPr>
          <w:p w:rsidR="005A02DA" w:rsidRPr="005A02DA" w:rsidRDefault="005A02DA" w:rsidP="005A02DA">
            <w:pPr>
              <w:pStyle w:val="Tabletext"/>
              <w:jc w:val="center"/>
              <w:rPr>
                <w:sz w:val="20"/>
                <w:lang w:eastAsia="zh-CN"/>
              </w:rPr>
            </w:pPr>
            <w:r w:rsidRPr="005A02DA">
              <w:rPr>
                <w:sz w:val="20"/>
                <w:lang w:eastAsia="zh-CN"/>
              </w:rPr>
              <w:t>0.3</w:t>
            </w:r>
          </w:p>
        </w:tc>
        <w:tc>
          <w:tcPr>
            <w:tcW w:w="1701" w:type="dxa"/>
          </w:tcPr>
          <w:p w:rsidR="005A02DA" w:rsidRPr="005A02DA" w:rsidRDefault="005A02DA" w:rsidP="005A02DA">
            <w:pPr>
              <w:pStyle w:val="Tabletext"/>
              <w:jc w:val="center"/>
              <w:rPr>
                <w:sz w:val="20"/>
                <w:lang w:eastAsia="zh-CN"/>
              </w:rPr>
            </w:pPr>
            <w:r w:rsidRPr="005A02DA">
              <w:rPr>
                <w:sz w:val="20"/>
                <w:lang w:eastAsia="zh-CN"/>
              </w:rPr>
              <w:t>0.3</w:t>
            </w:r>
          </w:p>
        </w:tc>
      </w:tr>
      <w:tr w:rsidR="005A02DA" w:rsidRPr="005A02DA" w:rsidTr="008D7776">
        <w:trPr>
          <w:jc w:val="center"/>
        </w:trPr>
        <w:tc>
          <w:tcPr>
            <w:tcW w:w="3119" w:type="dxa"/>
          </w:tcPr>
          <w:p w:rsidR="005A02DA" w:rsidRPr="005A02DA" w:rsidRDefault="005A02DA" w:rsidP="005A02DA">
            <w:pPr>
              <w:pStyle w:val="Tabletext"/>
              <w:jc w:val="left"/>
              <w:rPr>
                <w:sz w:val="20"/>
                <w:vertAlign w:val="superscript"/>
                <w:lang w:eastAsia="zh-CN"/>
              </w:rPr>
            </w:pPr>
            <w:r w:rsidRPr="005A02DA">
              <w:rPr>
                <w:sz w:val="20"/>
                <w:lang w:eastAsia="zh-CN"/>
              </w:rPr>
              <w:t>Rain attenuation (dB) (99.999% availability)</w:t>
            </w:r>
            <w:r w:rsidRPr="005A02DA">
              <w:rPr>
                <w:sz w:val="20"/>
                <w:vertAlign w:val="superscript"/>
                <w:lang w:eastAsia="zh-CN"/>
              </w:rPr>
              <w:t>(3)</w:t>
            </w:r>
          </w:p>
        </w:tc>
        <w:tc>
          <w:tcPr>
            <w:tcW w:w="1559" w:type="dxa"/>
          </w:tcPr>
          <w:p w:rsidR="005A02DA" w:rsidRPr="005A02DA" w:rsidRDefault="005A02DA" w:rsidP="005A02DA">
            <w:pPr>
              <w:pStyle w:val="Tabletext"/>
              <w:jc w:val="center"/>
              <w:rPr>
                <w:sz w:val="20"/>
                <w:lang w:eastAsia="zh-CN"/>
              </w:rPr>
            </w:pPr>
            <w:r w:rsidRPr="005A02DA">
              <w:rPr>
                <w:sz w:val="20"/>
                <w:lang w:eastAsia="zh-CN"/>
              </w:rPr>
              <w:t>9.0</w:t>
            </w:r>
          </w:p>
        </w:tc>
        <w:tc>
          <w:tcPr>
            <w:tcW w:w="1559" w:type="dxa"/>
          </w:tcPr>
          <w:p w:rsidR="005A02DA" w:rsidRPr="005A02DA" w:rsidRDefault="005A02DA" w:rsidP="005A02DA">
            <w:pPr>
              <w:pStyle w:val="Tabletext"/>
              <w:jc w:val="center"/>
              <w:rPr>
                <w:sz w:val="20"/>
                <w:lang w:eastAsia="zh-CN"/>
              </w:rPr>
            </w:pPr>
            <w:r w:rsidRPr="005A02DA">
              <w:rPr>
                <w:sz w:val="20"/>
                <w:lang w:eastAsia="zh-CN"/>
              </w:rPr>
              <w:t>9.5</w:t>
            </w:r>
          </w:p>
        </w:tc>
        <w:tc>
          <w:tcPr>
            <w:tcW w:w="1701" w:type="dxa"/>
          </w:tcPr>
          <w:p w:rsidR="005A02DA" w:rsidRPr="005A02DA" w:rsidRDefault="005A02DA" w:rsidP="005A02DA">
            <w:pPr>
              <w:pStyle w:val="Tabletext"/>
              <w:jc w:val="center"/>
              <w:rPr>
                <w:sz w:val="20"/>
                <w:lang w:eastAsia="zh-CN"/>
              </w:rPr>
            </w:pPr>
            <w:r w:rsidRPr="005A02DA">
              <w:rPr>
                <w:sz w:val="20"/>
                <w:lang w:eastAsia="zh-CN"/>
              </w:rPr>
              <w:t>0.0</w:t>
            </w:r>
          </w:p>
        </w:tc>
        <w:tc>
          <w:tcPr>
            <w:tcW w:w="1701" w:type="dxa"/>
          </w:tcPr>
          <w:p w:rsidR="005A02DA" w:rsidRPr="005A02DA" w:rsidRDefault="005A02DA" w:rsidP="005A02DA">
            <w:pPr>
              <w:pStyle w:val="Tabletext"/>
              <w:jc w:val="center"/>
              <w:rPr>
                <w:sz w:val="20"/>
                <w:lang w:eastAsia="zh-CN"/>
              </w:rPr>
            </w:pPr>
            <w:r w:rsidRPr="005A02DA">
              <w:rPr>
                <w:sz w:val="20"/>
                <w:lang w:eastAsia="zh-CN"/>
              </w:rPr>
              <w:t>0.0</w:t>
            </w:r>
          </w:p>
        </w:tc>
      </w:tr>
      <w:tr w:rsidR="005A02DA" w:rsidRPr="005A02DA" w:rsidTr="008D7776">
        <w:trPr>
          <w:jc w:val="center"/>
        </w:trPr>
        <w:tc>
          <w:tcPr>
            <w:tcW w:w="3119" w:type="dxa"/>
          </w:tcPr>
          <w:p w:rsidR="005A02DA" w:rsidRPr="005A02DA" w:rsidRDefault="005A02DA" w:rsidP="005A02DA">
            <w:pPr>
              <w:pStyle w:val="Tabletext"/>
              <w:jc w:val="left"/>
              <w:rPr>
                <w:sz w:val="20"/>
                <w:lang w:val="en-US" w:eastAsia="zh-CN"/>
              </w:rPr>
            </w:pPr>
            <w:r w:rsidRPr="005A02DA">
              <w:rPr>
                <w:sz w:val="20"/>
                <w:lang w:val="en-US" w:eastAsia="zh-CN"/>
              </w:rPr>
              <w:t>pfd on the ground (dB(W/m</w:t>
            </w:r>
            <w:r w:rsidRPr="005A02DA">
              <w:rPr>
                <w:sz w:val="20"/>
                <w:vertAlign w:val="superscript"/>
                <w:lang w:val="en-US" w:eastAsia="zh-CN"/>
              </w:rPr>
              <w:t>2</w:t>
            </w:r>
            <w:r w:rsidRPr="005A02DA">
              <w:rPr>
                <w:sz w:val="20"/>
                <w:lang w:val="en-US" w:eastAsia="zh-CN"/>
              </w:rPr>
              <w:t xml:space="preserve"> · MHz))</w:t>
            </w:r>
          </w:p>
        </w:tc>
        <w:tc>
          <w:tcPr>
            <w:tcW w:w="1559" w:type="dxa"/>
          </w:tcPr>
          <w:p w:rsidR="005A02DA" w:rsidRPr="005A02DA" w:rsidRDefault="005A02DA" w:rsidP="005A02DA">
            <w:pPr>
              <w:pStyle w:val="Tabletext"/>
              <w:jc w:val="center"/>
              <w:rPr>
                <w:sz w:val="20"/>
                <w:lang w:eastAsia="zh-CN"/>
              </w:rPr>
            </w:pPr>
            <w:r w:rsidRPr="005A02DA">
              <w:rPr>
                <w:sz w:val="20"/>
                <w:lang w:eastAsia="zh-CN"/>
              </w:rPr>
              <w:t>–111.2</w:t>
            </w:r>
          </w:p>
        </w:tc>
        <w:tc>
          <w:tcPr>
            <w:tcW w:w="1559" w:type="dxa"/>
          </w:tcPr>
          <w:p w:rsidR="005A02DA" w:rsidRPr="005A02DA" w:rsidRDefault="005A02DA" w:rsidP="005A02DA">
            <w:pPr>
              <w:pStyle w:val="Tabletext"/>
              <w:jc w:val="center"/>
              <w:rPr>
                <w:sz w:val="20"/>
                <w:lang w:eastAsia="zh-CN"/>
              </w:rPr>
            </w:pPr>
          </w:p>
        </w:tc>
        <w:tc>
          <w:tcPr>
            <w:tcW w:w="1701" w:type="dxa"/>
          </w:tcPr>
          <w:p w:rsidR="005A02DA" w:rsidRPr="005A02DA" w:rsidRDefault="005A02DA" w:rsidP="005A02DA">
            <w:pPr>
              <w:pStyle w:val="Tabletext"/>
              <w:jc w:val="center"/>
              <w:rPr>
                <w:sz w:val="20"/>
                <w:lang w:eastAsia="zh-CN"/>
              </w:rPr>
            </w:pPr>
            <w:r w:rsidRPr="005A02DA">
              <w:rPr>
                <w:sz w:val="20"/>
                <w:lang w:eastAsia="zh-CN"/>
              </w:rPr>
              <w:t>–110.2</w:t>
            </w:r>
          </w:p>
        </w:tc>
        <w:tc>
          <w:tcPr>
            <w:tcW w:w="1701" w:type="dxa"/>
          </w:tcPr>
          <w:p w:rsidR="005A02DA" w:rsidRPr="005A02DA" w:rsidRDefault="005A02DA" w:rsidP="005A02DA">
            <w:pPr>
              <w:pStyle w:val="Tabletext"/>
              <w:jc w:val="center"/>
              <w:rPr>
                <w:sz w:val="20"/>
                <w:lang w:eastAsia="zh-CN"/>
              </w:rPr>
            </w:pPr>
          </w:p>
        </w:tc>
      </w:tr>
      <w:tr w:rsidR="005A02DA" w:rsidRPr="005A02DA" w:rsidTr="008D7776">
        <w:trPr>
          <w:jc w:val="center"/>
        </w:trPr>
        <w:tc>
          <w:tcPr>
            <w:tcW w:w="3119" w:type="dxa"/>
          </w:tcPr>
          <w:p w:rsidR="005A02DA" w:rsidRPr="005A02DA" w:rsidRDefault="005A02DA" w:rsidP="005A02DA">
            <w:pPr>
              <w:pStyle w:val="Tabletext"/>
              <w:jc w:val="left"/>
              <w:rPr>
                <w:sz w:val="20"/>
                <w:lang w:val="en-US" w:eastAsia="zh-CN"/>
              </w:rPr>
            </w:pPr>
            <w:r w:rsidRPr="005A02DA">
              <w:rPr>
                <w:sz w:val="20"/>
                <w:lang w:val="en-US" w:eastAsia="zh-CN"/>
              </w:rPr>
              <w:t xml:space="preserve">Receiver </w:t>
            </w:r>
            <w:r w:rsidRPr="005A02DA">
              <w:rPr>
                <w:i/>
                <w:iCs/>
                <w:sz w:val="20"/>
                <w:lang w:val="en-US" w:eastAsia="zh-CN"/>
              </w:rPr>
              <w:t xml:space="preserve">G/T </w:t>
            </w:r>
            <w:r w:rsidRPr="005A02DA">
              <w:rPr>
                <w:sz w:val="20"/>
                <w:lang w:val="en-US" w:eastAsia="zh-CN"/>
              </w:rPr>
              <w:t>(dB/K)</w:t>
            </w:r>
          </w:p>
        </w:tc>
        <w:tc>
          <w:tcPr>
            <w:tcW w:w="1559" w:type="dxa"/>
          </w:tcPr>
          <w:p w:rsidR="005A02DA" w:rsidRPr="005A02DA" w:rsidRDefault="005A02DA" w:rsidP="005A02DA">
            <w:pPr>
              <w:pStyle w:val="Tabletext"/>
              <w:jc w:val="center"/>
              <w:rPr>
                <w:sz w:val="20"/>
                <w:lang w:eastAsia="zh-CN"/>
              </w:rPr>
            </w:pPr>
            <w:r w:rsidRPr="005A02DA">
              <w:rPr>
                <w:sz w:val="20"/>
                <w:lang w:eastAsia="zh-CN"/>
              </w:rPr>
              <w:t>17.5</w:t>
            </w:r>
          </w:p>
        </w:tc>
        <w:tc>
          <w:tcPr>
            <w:tcW w:w="1559" w:type="dxa"/>
          </w:tcPr>
          <w:p w:rsidR="005A02DA" w:rsidRPr="005A02DA" w:rsidRDefault="005A02DA" w:rsidP="005A02DA">
            <w:pPr>
              <w:pStyle w:val="Tabletext"/>
              <w:jc w:val="center"/>
              <w:rPr>
                <w:sz w:val="20"/>
                <w:lang w:eastAsia="zh-CN"/>
              </w:rPr>
            </w:pPr>
            <w:r w:rsidRPr="005A02DA">
              <w:rPr>
                <w:sz w:val="20"/>
                <w:lang w:eastAsia="zh-CN"/>
              </w:rPr>
              <w:t>0.0</w:t>
            </w:r>
          </w:p>
        </w:tc>
        <w:tc>
          <w:tcPr>
            <w:tcW w:w="1701" w:type="dxa"/>
          </w:tcPr>
          <w:p w:rsidR="005A02DA" w:rsidRPr="005A02DA" w:rsidRDefault="005A02DA" w:rsidP="005A02DA">
            <w:pPr>
              <w:pStyle w:val="Tabletext"/>
              <w:jc w:val="center"/>
              <w:rPr>
                <w:sz w:val="20"/>
                <w:lang w:eastAsia="zh-CN"/>
              </w:rPr>
            </w:pPr>
            <w:r w:rsidRPr="005A02DA">
              <w:rPr>
                <w:sz w:val="20"/>
                <w:lang w:eastAsia="zh-CN"/>
              </w:rPr>
              <w:t>17.5</w:t>
            </w:r>
          </w:p>
        </w:tc>
        <w:tc>
          <w:tcPr>
            <w:tcW w:w="1701" w:type="dxa"/>
          </w:tcPr>
          <w:p w:rsidR="005A02DA" w:rsidRPr="005A02DA" w:rsidRDefault="005A02DA" w:rsidP="005A02DA">
            <w:pPr>
              <w:pStyle w:val="Tabletext"/>
              <w:jc w:val="center"/>
              <w:rPr>
                <w:sz w:val="20"/>
                <w:lang w:eastAsia="zh-CN"/>
              </w:rPr>
            </w:pPr>
            <w:r w:rsidRPr="005A02DA">
              <w:rPr>
                <w:sz w:val="20"/>
                <w:lang w:eastAsia="zh-CN"/>
              </w:rPr>
              <w:t>0.0</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Rx antenna gain (dBi)</w:t>
            </w:r>
          </w:p>
        </w:tc>
        <w:tc>
          <w:tcPr>
            <w:tcW w:w="1559" w:type="dxa"/>
          </w:tcPr>
          <w:p w:rsidR="005A02DA" w:rsidRPr="005A02DA" w:rsidRDefault="005A02DA" w:rsidP="005A02DA">
            <w:pPr>
              <w:pStyle w:val="Tabletext"/>
              <w:jc w:val="center"/>
              <w:rPr>
                <w:sz w:val="20"/>
                <w:lang w:eastAsia="zh-CN"/>
              </w:rPr>
            </w:pPr>
            <w:r w:rsidRPr="005A02DA">
              <w:rPr>
                <w:sz w:val="20"/>
                <w:lang w:eastAsia="zh-CN"/>
              </w:rPr>
              <w:t>47.0</w:t>
            </w:r>
          </w:p>
        </w:tc>
        <w:tc>
          <w:tcPr>
            <w:tcW w:w="1559" w:type="dxa"/>
          </w:tcPr>
          <w:p w:rsidR="005A02DA" w:rsidRPr="005A02DA" w:rsidRDefault="005A02DA" w:rsidP="005A02DA">
            <w:pPr>
              <w:pStyle w:val="Tabletext"/>
              <w:jc w:val="center"/>
              <w:rPr>
                <w:sz w:val="20"/>
                <w:lang w:eastAsia="zh-CN"/>
              </w:rPr>
            </w:pPr>
            <w:r w:rsidRPr="005A02DA">
              <w:rPr>
                <w:sz w:val="20"/>
                <w:lang w:eastAsia="zh-CN"/>
              </w:rPr>
              <w:t>30.0</w:t>
            </w:r>
          </w:p>
        </w:tc>
        <w:tc>
          <w:tcPr>
            <w:tcW w:w="1701" w:type="dxa"/>
          </w:tcPr>
          <w:p w:rsidR="005A02DA" w:rsidRPr="005A02DA" w:rsidRDefault="005A02DA" w:rsidP="005A02DA">
            <w:pPr>
              <w:pStyle w:val="Tabletext"/>
              <w:jc w:val="center"/>
              <w:rPr>
                <w:sz w:val="20"/>
                <w:lang w:eastAsia="zh-CN"/>
              </w:rPr>
            </w:pPr>
            <w:r w:rsidRPr="005A02DA">
              <w:rPr>
                <w:sz w:val="20"/>
                <w:lang w:eastAsia="zh-CN"/>
              </w:rPr>
              <w:t>47.0</w:t>
            </w:r>
          </w:p>
        </w:tc>
        <w:tc>
          <w:tcPr>
            <w:tcW w:w="1701" w:type="dxa"/>
          </w:tcPr>
          <w:p w:rsidR="005A02DA" w:rsidRPr="005A02DA" w:rsidRDefault="005A02DA" w:rsidP="005A02DA">
            <w:pPr>
              <w:pStyle w:val="Tabletext"/>
              <w:jc w:val="center"/>
              <w:rPr>
                <w:sz w:val="20"/>
                <w:lang w:eastAsia="zh-CN"/>
              </w:rPr>
            </w:pPr>
            <w:r w:rsidRPr="005A02DA">
              <w:rPr>
                <w:sz w:val="20"/>
                <w:lang w:eastAsia="zh-CN"/>
              </w:rPr>
              <w:t>30.0</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Polarization loss (dB)</w:t>
            </w:r>
          </w:p>
        </w:tc>
        <w:tc>
          <w:tcPr>
            <w:tcW w:w="1559" w:type="dxa"/>
          </w:tcPr>
          <w:p w:rsidR="005A02DA" w:rsidRPr="005A02DA" w:rsidRDefault="005A02DA" w:rsidP="005A02DA">
            <w:pPr>
              <w:pStyle w:val="Tabletext"/>
              <w:jc w:val="center"/>
              <w:rPr>
                <w:sz w:val="20"/>
                <w:lang w:eastAsia="zh-CN"/>
              </w:rPr>
            </w:pPr>
            <w:r w:rsidRPr="005A02DA">
              <w:rPr>
                <w:sz w:val="20"/>
                <w:lang w:eastAsia="zh-CN"/>
              </w:rPr>
              <w:t>0.5</w:t>
            </w:r>
          </w:p>
        </w:tc>
        <w:tc>
          <w:tcPr>
            <w:tcW w:w="1559" w:type="dxa"/>
          </w:tcPr>
          <w:p w:rsidR="005A02DA" w:rsidRPr="005A02DA" w:rsidRDefault="005A02DA" w:rsidP="005A02DA">
            <w:pPr>
              <w:pStyle w:val="Tabletext"/>
              <w:jc w:val="center"/>
              <w:rPr>
                <w:sz w:val="20"/>
                <w:lang w:eastAsia="zh-CN"/>
              </w:rPr>
            </w:pPr>
            <w:r w:rsidRPr="005A02DA">
              <w:rPr>
                <w:sz w:val="20"/>
                <w:lang w:eastAsia="zh-CN"/>
              </w:rPr>
              <w:t>0.5</w:t>
            </w:r>
          </w:p>
        </w:tc>
        <w:tc>
          <w:tcPr>
            <w:tcW w:w="1701" w:type="dxa"/>
          </w:tcPr>
          <w:p w:rsidR="005A02DA" w:rsidRPr="005A02DA" w:rsidRDefault="005A02DA" w:rsidP="005A02DA">
            <w:pPr>
              <w:pStyle w:val="Tabletext"/>
              <w:jc w:val="center"/>
              <w:rPr>
                <w:sz w:val="20"/>
                <w:lang w:eastAsia="zh-CN"/>
              </w:rPr>
            </w:pPr>
            <w:r w:rsidRPr="005A02DA">
              <w:rPr>
                <w:sz w:val="20"/>
                <w:lang w:eastAsia="zh-CN"/>
              </w:rPr>
              <w:t>0.5</w:t>
            </w:r>
          </w:p>
        </w:tc>
        <w:tc>
          <w:tcPr>
            <w:tcW w:w="1701" w:type="dxa"/>
          </w:tcPr>
          <w:p w:rsidR="005A02DA" w:rsidRPr="005A02DA" w:rsidRDefault="005A02DA" w:rsidP="005A02DA">
            <w:pPr>
              <w:pStyle w:val="Tabletext"/>
              <w:jc w:val="center"/>
              <w:rPr>
                <w:sz w:val="20"/>
                <w:lang w:eastAsia="zh-CN"/>
              </w:rPr>
            </w:pPr>
            <w:r w:rsidRPr="005A02DA">
              <w:rPr>
                <w:sz w:val="20"/>
                <w:lang w:eastAsia="zh-CN"/>
              </w:rPr>
              <w:t>0.5</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Boltzmann’s constant (dB(W/K*Hz))</w:t>
            </w:r>
          </w:p>
        </w:tc>
        <w:tc>
          <w:tcPr>
            <w:tcW w:w="1559" w:type="dxa"/>
          </w:tcPr>
          <w:p w:rsidR="005A02DA" w:rsidRPr="005A02DA" w:rsidRDefault="005A02DA" w:rsidP="005A02DA">
            <w:pPr>
              <w:pStyle w:val="Tabletext"/>
              <w:jc w:val="center"/>
              <w:rPr>
                <w:sz w:val="20"/>
                <w:lang w:eastAsia="zh-CN"/>
              </w:rPr>
            </w:pPr>
            <w:r w:rsidRPr="005A02DA">
              <w:rPr>
                <w:sz w:val="20"/>
                <w:lang w:eastAsia="zh-CN"/>
              </w:rPr>
              <w:t>–228.6</w:t>
            </w:r>
          </w:p>
        </w:tc>
        <w:tc>
          <w:tcPr>
            <w:tcW w:w="1559" w:type="dxa"/>
          </w:tcPr>
          <w:p w:rsidR="005A02DA" w:rsidRPr="005A02DA" w:rsidRDefault="005A02DA" w:rsidP="005A02DA">
            <w:pPr>
              <w:pStyle w:val="Tabletext"/>
              <w:jc w:val="center"/>
              <w:rPr>
                <w:sz w:val="20"/>
                <w:lang w:eastAsia="zh-CN"/>
              </w:rPr>
            </w:pPr>
            <w:r w:rsidRPr="005A02DA">
              <w:rPr>
                <w:sz w:val="20"/>
                <w:lang w:eastAsia="zh-CN"/>
              </w:rPr>
              <w:t>–228.6</w:t>
            </w:r>
          </w:p>
        </w:tc>
        <w:tc>
          <w:tcPr>
            <w:tcW w:w="1701" w:type="dxa"/>
          </w:tcPr>
          <w:p w:rsidR="005A02DA" w:rsidRPr="005A02DA" w:rsidRDefault="005A02DA" w:rsidP="005A02DA">
            <w:pPr>
              <w:pStyle w:val="Tabletext"/>
              <w:jc w:val="center"/>
              <w:rPr>
                <w:sz w:val="20"/>
                <w:lang w:eastAsia="zh-CN"/>
              </w:rPr>
            </w:pPr>
            <w:r w:rsidRPr="005A02DA">
              <w:rPr>
                <w:sz w:val="20"/>
                <w:lang w:eastAsia="zh-CN"/>
              </w:rPr>
              <w:t>–228.6</w:t>
            </w:r>
          </w:p>
        </w:tc>
        <w:tc>
          <w:tcPr>
            <w:tcW w:w="1701" w:type="dxa"/>
          </w:tcPr>
          <w:p w:rsidR="005A02DA" w:rsidRPr="005A02DA" w:rsidRDefault="005A02DA" w:rsidP="005A02DA">
            <w:pPr>
              <w:pStyle w:val="Tabletext"/>
              <w:jc w:val="center"/>
              <w:rPr>
                <w:sz w:val="20"/>
                <w:lang w:eastAsia="zh-CN"/>
              </w:rPr>
            </w:pPr>
            <w:r w:rsidRPr="005A02DA">
              <w:rPr>
                <w:sz w:val="20"/>
                <w:lang w:eastAsia="zh-CN"/>
              </w:rPr>
              <w:t>–228.6</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Bit rate (dB(Hz))</w:t>
            </w:r>
          </w:p>
        </w:tc>
        <w:tc>
          <w:tcPr>
            <w:tcW w:w="1559" w:type="dxa"/>
          </w:tcPr>
          <w:p w:rsidR="005A02DA" w:rsidRPr="005A02DA" w:rsidRDefault="005A02DA" w:rsidP="005A02DA">
            <w:pPr>
              <w:pStyle w:val="Tabletext"/>
              <w:jc w:val="center"/>
              <w:rPr>
                <w:sz w:val="20"/>
                <w:lang w:eastAsia="zh-CN"/>
              </w:rPr>
            </w:pPr>
            <w:r w:rsidRPr="005A02DA">
              <w:rPr>
                <w:sz w:val="20"/>
                <w:lang w:eastAsia="zh-CN"/>
              </w:rPr>
              <w:t>76.4</w:t>
            </w:r>
          </w:p>
        </w:tc>
        <w:tc>
          <w:tcPr>
            <w:tcW w:w="1559" w:type="dxa"/>
          </w:tcPr>
          <w:p w:rsidR="005A02DA" w:rsidRPr="005A02DA" w:rsidRDefault="005A02DA" w:rsidP="005A02DA">
            <w:pPr>
              <w:pStyle w:val="Tabletext"/>
              <w:jc w:val="center"/>
              <w:rPr>
                <w:sz w:val="20"/>
                <w:lang w:eastAsia="zh-CN"/>
              </w:rPr>
            </w:pPr>
            <w:r w:rsidRPr="005A02DA">
              <w:rPr>
                <w:sz w:val="20"/>
                <w:lang w:eastAsia="zh-CN"/>
              </w:rPr>
              <w:t>76.4</w:t>
            </w:r>
          </w:p>
        </w:tc>
        <w:tc>
          <w:tcPr>
            <w:tcW w:w="1701" w:type="dxa"/>
          </w:tcPr>
          <w:p w:rsidR="005A02DA" w:rsidRPr="005A02DA" w:rsidRDefault="005A02DA" w:rsidP="005A02DA">
            <w:pPr>
              <w:pStyle w:val="Tabletext"/>
              <w:jc w:val="center"/>
              <w:rPr>
                <w:sz w:val="20"/>
                <w:lang w:eastAsia="zh-CN"/>
              </w:rPr>
            </w:pPr>
            <w:r w:rsidRPr="005A02DA">
              <w:rPr>
                <w:sz w:val="20"/>
                <w:lang w:eastAsia="zh-CN"/>
              </w:rPr>
              <w:t>76.4</w:t>
            </w:r>
          </w:p>
        </w:tc>
        <w:tc>
          <w:tcPr>
            <w:tcW w:w="1701" w:type="dxa"/>
          </w:tcPr>
          <w:p w:rsidR="005A02DA" w:rsidRPr="005A02DA" w:rsidRDefault="005A02DA" w:rsidP="005A02DA">
            <w:pPr>
              <w:pStyle w:val="Tabletext"/>
              <w:jc w:val="center"/>
              <w:rPr>
                <w:sz w:val="20"/>
                <w:lang w:eastAsia="zh-CN"/>
              </w:rPr>
            </w:pPr>
            <w:r w:rsidRPr="005A02DA">
              <w:rPr>
                <w:sz w:val="20"/>
                <w:lang w:eastAsia="zh-CN"/>
              </w:rPr>
              <w:t>76.4</w:t>
            </w:r>
          </w:p>
        </w:tc>
      </w:tr>
      <w:tr w:rsidR="005A02DA" w:rsidRPr="005A02DA" w:rsidTr="008D7776">
        <w:trPr>
          <w:jc w:val="center"/>
        </w:trPr>
        <w:tc>
          <w:tcPr>
            <w:tcW w:w="3119" w:type="dxa"/>
          </w:tcPr>
          <w:p w:rsidR="005A02DA" w:rsidRPr="005A02DA" w:rsidRDefault="005A02DA" w:rsidP="005A02DA">
            <w:pPr>
              <w:pStyle w:val="Tabletext"/>
              <w:jc w:val="left"/>
              <w:rPr>
                <w:i/>
                <w:iCs/>
                <w:sz w:val="20"/>
                <w:lang w:val="en-US" w:eastAsia="zh-CN"/>
              </w:rPr>
            </w:pPr>
            <w:r w:rsidRPr="005A02DA">
              <w:rPr>
                <w:i/>
                <w:iCs/>
                <w:sz w:val="20"/>
                <w:lang w:val="en-US" w:eastAsia="zh-CN"/>
              </w:rPr>
              <w:t>E</w:t>
            </w:r>
            <w:r w:rsidRPr="005A02DA">
              <w:rPr>
                <w:i/>
                <w:iCs/>
                <w:sz w:val="20"/>
                <w:vertAlign w:val="subscript"/>
                <w:lang w:val="en-US" w:eastAsia="zh-CN"/>
              </w:rPr>
              <w:t>b</w:t>
            </w:r>
            <w:r w:rsidRPr="005A02DA">
              <w:rPr>
                <w:i/>
                <w:iCs/>
                <w:sz w:val="20"/>
                <w:lang w:val="en-US" w:eastAsia="zh-CN"/>
              </w:rPr>
              <w:t>/(N</w:t>
            </w:r>
            <w:r w:rsidRPr="005A02DA">
              <w:rPr>
                <w:sz w:val="20"/>
                <w:vertAlign w:val="subscript"/>
                <w:lang w:val="en-US" w:eastAsia="zh-CN"/>
              </w:rPr>
              <w:t>0</w:t>
            </w:r>
            <w:r w:rsidRPr="005A02DA">
              <w:rPr>
                <w:sz w:val="20"/>
                <w:lang w:val="en-US" w:eastAsia="zh-CN"/>
              </w:rPr>
              <w:t xml:space="preserve"> </w:t>
            </w:r>
            <w:r w:rsidRPr="005A02DA">
              <w:rPr>
                <w:i/>
                <w:iCs/>
                <w:sz w:val="20"/>
                <w:lang w:val="en-US" w:eastAsia="zh-CN"/>
              </w:rPr>
              <w:t>+ I</w:t>
            </w:r>
            <w:r w:rsidRPr="005A02DA">
              <w:rPr>
                <w:sz w:val="20"/>
                <w:vertAlign w:val="subscript"/>
                <w:lang w:val="en-US" w:eastAsia="zh-CN"/>
              </w:rPr>
              <w:t>0</w:t>
            </w:r>
            <w:r w:rsidRPr="005A02DA">
              <w:rPr>
                <w:i/>
                <w:iCs/>
                <w:sz w:val="20"/>
                <w:lang w:val="en-US" w:eastAsia="zh-CN"/>
              </w:rPr>
              <w:t xml:space="preserve">) (I </w:t>
            </w:r>
            <w:r w:rsidRPr="005A02DA">
              <w:rPr>
                <w:sz w:val="20"/>
                <w:lang w:val="en-US" w:eastAsia="zh-CN"/>
              </w:rPr>
              <w:t>= 0</w:t>
            </w:r>
            <w:r w:rsidRPr="005A02DA">
              <w:rPr>
                <w:i/>
                <w:iCs/>
                <w:sz w:val="20"/>
                <w:lang w:val="en-US" w:eastAsia="zh-CN"/>
              </w:rPr>
              <w:t xml:space="preserve">) </w:t>
            </w:r>
            <w:r w:rsidRPr="005A02DA">
              <w:rPr>
                <w:sz w:val="20"/>
                <w:lang w:val="en-US" w:eastAsia="zh-CN"/>
              </w:rPr>
              <w:t>(dB)</w:t>
            </w:r>
            <w:r w:rsidRPr="005A02DA">
              <w:rPr>
                <w:i/>
                <w:iCs/>
                <w:sz w:val="20"/>
                <w:lang w:val="en-US" w:eastAsia="zh-CN"/>
              </w:rPr>
              <w:br/>
              <w:t>E</w:t>
            </w:r>
            <w:r w:rsidRPr="005A02DA">
              <w:rPr>
                <w:i/>
                <w:iCs/>
                <w:sz w:val="20"/>
                <w:vertAlign w:val="subscript"/>
                <w:lang w:val="en-US" w:eastAsia="zh-CN"/>
              </w:rPr>
              <w:t>b</w:t>
            </w:r>
            <w:r w:rsidRPr="005A02DA">
              <w:rPr>
                <w:i/>
                <w:iCs/>
                <w:sz w:val="20"/>
                <w:lang w:val="en-US" w:eastAsia="zh-CN"/>
              </w:rPr>
              <w:t>/(N</w:t>
            </w:r>
            <w:r w:rsidRPr="005A02DA">
              <w:rPr>
                <w:sz w:val="20"/>
                <w:vertAlign w:val="subscript"/>
                <w:lang w:val="en-US" w:eastAsia="zh-CN"/>
              </w:rPr>
              <w:t>0</w:t>
            </w:r>
            <w:r w:rsidRPr="005A02DA">
              <w:rPr>
                <w:i/>
                <w:iCs/>
                <w:sz w:val="20"/>
                <w:lang w:val="en-US" w:eastAsia="zh-CN"/>
              </w:rPr>
              <w:t xml:space="preserve"> + I</w:t>
            </w:r>
            <w:r w:rsidRPr="005A02DA">
              <w:rPr>
                <w:sz w:val="20"/>
                <w:vertAlign w:val="subscript"/>
                <w:lang w:val="en-US" w:eastAsia="zh-CN"/>
              </w:rPr>
              <w:t>0</w:t>
            </w:r>
            <w:r w:rsidRPr="005A02DA">
              <w:rPr>
                <w:i/>
                <w:iCs/>
                <w:sz w:val="20"/>
                <w:lang w:val="en-US" w:eastAsia="zh-CN"/>
              </w:rPr>
              <w:t xml:space="preserve">) (3 GS) </w:t>
            </w:r>
            <w:r w:rsidRPr="005A02DA">
              <w:rPr>
                <w:sz w:val="20"/>
                <w:lang w:val="en-US" w:eastAsia="zh-CN"/>
              </w:rPr>
              <w:t>(dB)</w:t>
            </w:r>
            <w:r w:rsidRPr="005A02DA">
              <w:rPr>
                <w:i/>
                <w:iCs/>
                <w:sz w:val="20"/>
                <w:lang w:val="en-US" w:eastAsia="zh-CN"/>
              </w:rPr>
              <w:br/>
              <w:t>E</w:t>
            </w:r>
            <w:r w:rsidRPr="005A02DA">
              <w:rPr>
                <w:i/>
                <w:iCs/>
                <w:sz w:val="20"/>
                <w:vertAlign w:val="subscript"/>
                <w:lang w:val="en-US" w:eastAsia="zh-CN"/>
              </w:rPr>
              <w:t>b</w:t>
            </w:r>
            <w:r w:rsidRPr="005A02DA">
              <w:rPr>
                <w:i/>
                <w:iCs/>
                <w:sz w:val="20"/>
                <w:lang w:val="en-US" w:eastAsia="zh-CN"/>
              </w:rPr>
              <w:t>/(N</w:t>
            </w:r>
            <w:r w:rsidRPr="005A02DA">
              <w:rPr>
                <w:sz w:val="20"/>
                <w:vertAlign w:val="subscript"/>
                <w:lang w:val="en-US" w:eastAsia="zh-CN"/>
              </w:rPr>
              <w:t>0</w:t>
            </w:r>
            <w:r w:rsidRPr="005A02DA">
              <w:rPr>
                <w:sz w:val="20"/>
                <w:lang w:val="en-US" w:eastAsia="zh-CN"/>
              </w:rPr>
              <w:t xml:space="preserve"> </w:t>
            </w:r>
            <w:r w:rsidRPr="005A02DA">
              <w:rPr>
                <w:i/>
                <w:iCs/>
                <w:sz w:val="20"/>
                <w:lang w:val="en-US" w:eastAsia="zh-CN"/>
              </w:rPr>
              <w:t>+ I</w:t>
            </w:r>
            <w:r w:rsidRPr="005A02DA">
              <w:rPr>
                <w:sz w:val="20"/>
                <w:vertAlign w:val="subscript"/>
                <w:lang w:val="en-US" w:eastAsia="zh-CN"/>
              </w:rPr>
              <w:t>0</w:t>
            </w:r>
            <w:r w:rsidRPr="005A02DA">
              <w:rPr>
                <w:i/>
                <w:iCs/>
                <w:sz w:val="20"/>
                <w:lang w:val="en-US" w:eastAsia="zh-CN"/>
              </w:rPr>
              <w:t xml:space="preserve">) (5 GS) </w:t>
            </w:r>
            <w:r w:rsidRPr="005A02DA">
              <w:rPr>
                <w:sz w:val="20"/>
                <w:lang w:val="en-US" w:eastAsia="zh-CN"/>
              </w:rPr>
              <w:t>(dB)</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30.6</w:t>
            </w:r>
            <w:r w:rsidRPr="005A02DA">
              <w:rPr>
                <w:sz w:val="20"/>
                <w:lang w:val="en-US" w:eastAsia="zh-CN"/>
              </w:rPr>
              <w:br/>
              <w:t>29.6</w:t>
            </w:r>
            <w:r w:rsidRPr="005A02DA">
              <w:rPr>
                <w:sz w:val="20"/>
                <w:lang w:val="en-US" w:eastAsia="zh-CN"/>
              </w:rPr>
              <w:br/>
              <w:t>28.6</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32.5</w:t>
            </w:r>
            <w:r w:rsidRPr="005A02DA">
              <w:rPr>
                <w:sz w:val="20"/>
                <w:lang w:val="en-US" w:eastAsia="zh-CN"/>
              </w:rPr>
              <w:br/>
              <w:t>31.5</w:t>
            </w:r>
            <w:r w:rsidRPr="005A02DA">
              <w:rPr>
                <w:sz w:val="20"/>
                <w:lang w:val="en-US" w:eastAsia="zh-CN"/>
              </w:rPr>
              <w:br/>
              <w:t>30.5</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31.6</w:t>
            </w:r>
            <w:r w:rsidRPr="005A02DA">
              <w:rPr>
                <w:sz w:val="20"/>
                <w:lang w:val="en-US" w:eastAsia="zh-CN"/>
              </w:rPr>
              <w:br/>
              <w:t>30.6</w:t>
            </w:r>
            <w:r w:rsidRPr="005A02DA">
              <w:rPr>
                <w:sz w:val="20"/>
                <w:lang w:val="en-US" w:eastAsia="zh-CN"/>
              </w:rPr>
              <w:br/>
              <w:t>29.6</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34.0</w:t>
            </w:r>
            <w:r w:rsidRPr="005A02DA">
              <w:rPr>
                <w:sz w:val="20"/>
                <w:lang w:val="en-US" w:eastAsia="zh-CN"/>
              </w:rPr>
              <w:br/>
              <w:t>33.0</w:t>
            </w:r>
            <w:r w:rsidRPr="005A02DA">
              <w:rPr>
                <w:sz w:val="20"/>
                <w:lang w:val="en-US" w:eastAsia="zh-CN"/>
              </w:rPr>
              <w:br/>
              <w:t>32.0</w:t>
            </w:r>
          </w:p>
        </w:tc>
      </w:tr>
      <w:tr w:rsidR="005A02DA" w:rsidRPr="005A02DA" w:rsidTr="008D7776">
        <w:trPr>
          <w:jc w:val="center"/>
        </w:trPr>
        <w:tc>
          <w:tcPr>
            <w:tcW w:w="3119" w:type="dxa"/>
          </w:tcPr>
          <w:p w:rsidR="005A02DA" w:rsidRPr="005A02DA" w:rsidRDefault="005A02DA" w:rsidP="005A02DA">
            <w:pPr>
              <w:pStyle w:val="Tabletext"/>
              <w:jc w:val="left"/>
              <w:rPr>
                <w:sz w:val="20"/>
                <w:lang w:val="en-US" w:eastAsia="zh-CN"/>
              </w:rPr>
            </w:pPr>
            <w:r w:rsidRPr="005A02DA">
              <w:rPr>
                <w:sz w:val="20"/>
                <w:lang w:val="en-US" w:eastAsia="zh-CN"/>
              </w:rPr>
              <w:t xml:space="preserve">Required </w:t>
            </w:r>
            <w:r w:rsidRPr="005A02DA">
              <w:rPr>
                <w:i/>
                <w:iCs/>
                <w:sz w:val="20"/>
                <w:lang w:val="en-US" w:eastAsia="zh-CN"/>
              </w:rPr>
              <w:t>E</w:t>
            </w:r>
            <w:r w:rsidRPr="005A02DA">
              <w:rPr>
                <w:i/>
                <w:iCs/>
                <w:sz w:val="20"/>
                <w:vertAlign w:val="subscript"/>
                <w:lang w:val="en-US" w:eastAsia="zh-CN"/>
              </w:rPr>
              <w:t>b</w:t>
            </w:r>
            <w:r w:rsidRPr="005A02DA">
              <w:rPr>
                <w:sz w:val="20"/>
                <w:lang w:val="en-US" w:eastAsia="zh-CN"/>
              </w:rPr>
              <w:t>/(</w:t>
            </w:r>
            <w:r w:rsidRPr="005A02DA">
              <w:rPr>
                <w:i/>
                <w:iCs/>
                <w:sz w:val="20"/>
                <w:lang w:val="en-US" w:eastAsia="zh-CN"/>
              </w:rPr>
              <w:t>N</w:t>
            </w:r>
            <w:r w:rsidRPr="005A02DA">
              <w:rPr>
                <w:sz w:val="20"/>
                <w:vertAlign w:val="subscript"/>
                <w:lang w:val="en-US" w:eastAsia="zh-CN"/>
              </w:rPr>
              <w:t>0</w:t>
            </w:r>
            <w:r w:rsidRPr="005A02DA">
              <w:rPr>
                <w:sz w:val="20"/>
                <w:lang w:val="en-US" w:eastAsia="zh-CN"/>
              </w:rPr>
              <w:t xml:space="preserve"> + </w:t>
            </w:r>
            <w:r w:rsidRPr="005A02DA">
              <w:rPr>
                <w:i/>
                <w:iCs/>
                <w:sz w:val="20"/>
                <w:lang w:val="en-US" w:eastAsia="zh-CN"/>
              </w:rPr>
              <w:t>I</w:t>
            </w:r>
            <w:r w:rsidRPr="005A02DA">
              <w:rPr>
                <w:sz w:val="20"/>
                <w:vertAlign w:val="subscript"/>
                <w:lang w:val="en-US" w:eastAsia="zh-CN"/>
              </w:rPr>
              <w:t>0</w:t>
            </w:r>
            <w:r w:rsidRPr="005A02DA">
              <w:rPr>
                <w:sz w:val="20"/>
                <w:lang w:val="en-US" w:eastAsia="zh-CN"/>
              </w:rPr>
              <w:t>) (dB)</w:t>
            </w:r>
            <w:r>
              <w:rPr>
                <w:sz w:val="20"/>
                <w:lang w:val="en-US" w:eastAsia="zh-CN"/>
              </w:rPr>
              <w:t xml:space="preserve"> </w:t>
            </w:r>
            <w:r w:rsidRPr="005A02DA">
              <w:rPr>
                <w:sz w:val="20"/>
                <w:lang w:val="en-US" w:eastAsia="zh-CN"/>
              </w:rPr>
              <w:t>(64</w:t>
            </w:r>
            <w:r>
              <w:rPr>
                <w:sz w:val="20"/>
                <w:lang w:val="en-US" w:eastAsia="zh-CN"/>
              </w:rPr>
              <w:noBreakHyphen/>
            </w:r>
            <w:r w:rsidRPr="005A02DA">
              <w:rPr>
                <w:sz w:val="20"/>
                <w:lang w:val="en-US" w:eastAsia="zh-CN"/>
              </w:rPr>
              <w:t>QAM)</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20.3</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20.3</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20.3</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20.3</w:t>
            </w:r>
          </w:p>
        </w:tc>
      </w:tr>
      <w:tr w:rsidR="005A02DA" w:rsidRPr="005A02DA" w:rsidTr="008D7776">
        <w:trPr>
          <w:jc w:val="center"/>
        </w:trPr>
        <w:tc>
          <w:tcPr>
            <w:tcW w:w="3119" w:type="dxa"/>
          </w:tcPr>
          <w:p w:rsidR="005A02DA" w:rsidRPr="005A02DA" w:rsidRDefault="005A02DA" w:rsidP="005A02DA">
            <w:pPr>
              <w:pStyle w:val="Tabletext"/>
              <w:jc w:val="left"/>
              <w:rPr>
                <w:sz w:val="20"/>
                <w:lang w:val="en-US" w:eastAsia="zh-CN"/>
              </w:rPr>
            </w:pPr>
            <w:r w:rsidRPr="005A02DA">
              <w:rPr>
                <w:sz w:val="20"/>
                <w:lang w:val="en-US" w:eastAsia="zh-CN"/>
              </w:rPr>
              <w:t xml:space="preserve">Required </w:t>
            </w:r>
            <w:r w:rsidRPr="005A02DA">
              <w:rPr>
                <w:i/>
                <w:iCs/>
                <w:sz w:val="20"/>
                <w:lang w:val="en-US" w:eastAsia="zh-CN"/>
              </w:rPr>
              <w:t>C/(N+I) w/I = Itot</w:t>
            </w:r>
            <w:r w:rsidRPr="005A02DA">
              <w:rPr>
                <w:sz w:val="20"/>
                <w:vertAlign w:val="superscript"/>
                <w:lang w:val="en-US" w:eastAsia="zh-CN"/>
              </w:rPr>
              <w:t>(4)</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26.3</w:t>
            </w:r>
          </w:p>
        </w:tc>
        <w:tc>
          <w:tcPr>
            <w:tcW w:w="1559" w:type="dxa"/>
          </w:tcPr>
          <w:p w:rsidR="005A02DA" w:rsidRPr="005A02DA" w:rsidRDefault="005A02DA" w:rsidP="005A02DA">
            <w:pPr>
              <w:pStyle w:val="Tabletext"/>
              <w:jc w:val="center"/>
              <w:rPr>
                <w:sz w:val="20"/>
                <w:lang w:val="en-US" w:eastAsia="zh-CN"/>
              </w:rPr>
            </w:pPr>
            <w:r w:rsidRPr="005A02DA">
              <w:rPr>
                <w:sz w:val="20"/>
                <w:lang w:val="en-US" w:eastAsia="zh-CN"/>
              </w:rPr>
              <w:t>26.3</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26.3</w:t>
            </w:r>
          </w:p>
        </w:tc>
        <w:tc>
          <w:tcPr>
            <w:tcW w:w="1701" w:type="dxa"/>
          </w:tcPr>
          <w:p w:rsidR="005A02DA" w:rsidRPr="005A02DA" w:rsidRDefault="005A02DA" w:rsidP="005A02DA">
            <w:pPr>
              <w:pStyle w:val="Tabletext"/>
              <w:jc w:val="center"/>
              <w:rPr>
                <w:sz w:val="20"/>
                <w:lang w:val="en-US" w:eastAsia="zh-CN"/>
              </w:rPr>
            </w:pPr>
            <w:r w:rsidRPr="005A02DA">
              <w:rPr>
                <w:sz w:val="20"/>
                <w:lang w:val="en-US" w:eastAsia="zh-CN"/>
              </w:rPr>
              <w:t>26.3</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val="en-US" w:eastAsia="zh-CN"/>
              </w:rPr>
              <w:t>M</w:t>
            </w:r>
            <w:r w:rsidRPr="005A02DA">
              <w:rPr>
                <w:sz w:val="20"/>
                <w:lang w:eastAsia="zh-CN"/>
              </w:rPr>
              <w:t>argin (</w:t>
            </w:r>
            <w:r w:rsidRPr="005A02DA">
              <w:rPr>
                <w:i/>
                <w:iCs/>
                <w:sz w:val="20"/>
                <w:lang w:eastAsia="zh-CN"/>
              </w:rPr>
              <w:t>I=</w:t>
            </w:r>
            <w:r w:rsidRPr="005A02DA">
              <w:rPr>
                <w:sz w:val="20"/>
                <w:lang w:eastAsia="zh-CN"/>
              </w:rPr>
              <w:t>0) (dB)</w:t>
            </w:r>
          </w:p>
        </w:tc>
        <w:tc>
          <w:tcPr>
            <w:tcW w:w="1559" w:type="dxa"/>
          </w:tcPr>
          <w:p w:rsidR="005A02DA" w:rsidRPr="005A02DA" w:rsidRDefault="005A02DA" w:rsidP="005A02DA">
            <w:pPr>
              <w:pStyle w:val="Tabletext"/>
              <w:jc w:val="center"/>
              <w:rPr>
                <w:sz w:val="20"/>
                <w:lang w:eastAsia="zh-CN"/>
              </w:rPr>
            </w:pPr>
            <w:r w:rsidRPr="005A02DA">
              <w:rPr>
                <w:sz w:val="20"/>
                <w:lang w:eastAsia="zh-CN"/>
              </w:rPr>
              <w:t>10.3</w:t>
            </w:r>
          </w:p>
        </w:tc>
        <w:tc>
          <w:tcPr>
            <w:tcW w:w="1559" w:type="dxa"/>
          </w:tcPr>
          <w:p w:rsidR="005A02DA" w:rsidRPr="005A02DA" w:rsidRDefault="005A02DA" w:rsidP="005A02DA">
            <w:pPr>
              <w:pStyle w:val="Tabletext"/>
              <w:jc w:val="center"/>
              <w:rPr>
                <w:sz w:val="20"/>
                <w:lang w:eastAsia="zh-CN"/>
              </w:rPr>
            </w:pPr>
            <w:r w:rsidRPr="005A02DA">
              <w:rPr>
                <w:sz w:val="20"/>
                <w:lang w:eastAsia="zh-CN"/>
              </w:rPr>
              <w:t>12.2</w:t>
            </w:r>
          </w:p>
        </w:tc>
        <w:tc>
          <w:tcPr>
            <w:tcW w:w="1701" w:type="dxa"/>
          </w:tcPr>
          <w:p w:rsidR="005A02DA" w:rsidRPr="005A02DA" w:rsidRDefault="005A02DA" w:rsidP="005A02DA">
            <w:pPr>
              <w:pStyle w:val="Tabletext"/>
              <w:jc w:val="center"/>
              <w:rPr>
                <w:sz w:val="20"/>
                <w:lang w:eastAsia="zh-CN"/>
              </w:rPr>
            </w:pPr>
            <w:r w:rsidRPr="005A02DA">
              <w:rPr>
                <w:sz w:val="20"/>
                <w:lang w:eastAsia="zh-CN"/>
              </w:rPr>
              <w:t>11.3</w:t>
            </w:r>
          </w:p>
        </w:tc>
        <w:tc>
          <w:tcPr>
            <w:tcW w:w="1701" w:type="dxa"/>
          </w:tcPr>
          <w:p w:rsidR="005A02DA" w:rsidRPr="005A02DA" w:rsidRDefault="005A02DA" w:rsidP="005A02DA">
            <w:pPr>
              <w:pStyle w:val="Tabletext"/>
              <w:jc w:val="center"/>
              <w:rPr>
                <w:sz w:val="20"/>
                <w:lang w:eastAsia="zh-CN"/>
              </w:rPr>
            </w:pPr>
            <w:r w:rsidRPr="005A02DA">
              <w:rPr>
                <w:sz w:val="20"/>
                <w:lang w:eastAsia="zh-CN"/>
              </w:rPr>
              <w:t>13.7</w:t>
            </w:r>
          </w:p>
        </w:tc>
      </w:tr>
      <w:tr w:rsidR="005A02DA" w:rsidRPr="005A02DA" w:rsidTr="008D7776">
        <w:trPr>
          <w:jc w:val="center"/>
        </w:trPr>
        <w:tc>
          <w:tcPr>
            <w:tcW w:w="3119" w:type="dxa"/>
          </w:tcPr>
          <w:p w:rsidR="005A02DA" w:rsidRPr="005A02DA" w:rsidRDefault="005A02DA" w:rsidP="005A02DA">
            <w:pPr>
              <w:pStyle w:val="Tabletext"/>
              <w:jc w:val="left"/>
              <w:rPr>
                <w:sz w:val="20"/>
                <w:lang w:eastAsia="zh-CN"/>
              </w:rPr>
            </w:pPr>
            <w:r w:rsidRPr="005A02DA">
              <w:rPr>
                <w:sz w:val="20"/>
                <w:lang w:eastAsia="zh-CN"/>
              </w:rPr>
              <w:t>Margin (3 GS) (dB)</w:t>
            </w:r>
          </w:p>
        </w:tc>
        <w:tc>
          <w:tcPr>
            <w:tcW w:w="1559" w:type="dxa"/>
          </w:tcPr>
          <w:p w:rsidR="005A02DA" w:rsidRPr="005A02DA" w:rsidRDefault="005A02DA" w:rsidP="005A02DA">
            <w:pPr>
              <w:pStyle w:val="Tabletext"/>
              <w:jc w:val="center"/>
              <w:rPr>
                <w:sz w:val="20"/>
                <w:lang w:eastAsia="zh-CN"/>
              </w:rPr>
            </w:pPr>
            <w:r w:rsidRPr="005A02DA">
              <w:rPr>
                <w:sz w:val="20"/>
                <w:lang w:eastAsia="zh-CN"/>
              </w:rPr>
              <w:t>9.3</w:t>
            </w:r>
          </w:p>
        </w:tc>
        <w:tc>
          <w:tcPr>
            <w:tcW w:w="1559" w:type="dxa"/>
          </w:tcPr>
          <w:p w:rsidR="005A02DA" w:rsidRPr="005A02DA" w:rsidRDefault="005A02DA" w:rsidP="005A02DA">
            <w:pPr>
              <w:pStyle w:val="Tabletext"/>
              <w:jc w:val="center"/>
              <w:rPr>
                <w:sz w:val="20"/>
                <w:lang w:eastAsia="zh-CN"/>
              </w:rPr>
            </w:pPr>
            <w:r w:rsidRPr="005A02DA">
              <w:rPr>
                <w:sz w:val="20"/>
                <w:lang w:eastAsia="zh-CN"/>
              </w:rPr>
              <w:t>11.2</w:t>
            </w:r>
          </w:p>
        </w:tc>
        <w:tc>
          <w:tcPr>
            <w:tcW w:w="1701" w:type="dxa"/>
          </w:tcPr>
          <w:p w:rsidR="005A02DA" w:rsidRPr="005A02DA" w:rsidRDefault="005A02DA" w:rsidP="005A02DA">
            <w:pPr>
              <w:pStyle w:val="Tabletext"/>
              <w:jc w:val="center"/>
              <w:rPr>
                <w:sz w:val="20"/>
                <w:lang w:eastAsia="zh-CN"/>
              </w:rPr>
            </w:pPr>
            <w:r w:rsidRPr="005A02DA">
              <w:rPr>
                <w:sz w:val="20"/>
                <w:lang w:eastAsia="zh-CN"/>
              </w:rPr>
              <w:t>10.3</w:t>
            </w:r>
          </w:p>
        </w:tc>
        <w:tc>
          <w:tcPr>
            <w:tcW w:w="1701" w:type="dxa"/>
          </w:tcPr>
          <w:p w:rsidR="005A02DA" w:rsidRPr="005A02DA" w:rsidRDefault="005A02DA" w:rsidP="005A02DA">
            <w:pPr>
              <w:pStyle w:val="Tabletext"/>
              <w:jc w:val="center"/>
              <w:rPr>
                <w:sz w:val="20"/>
                <w:lang w:eastAsia="zh-CN"/>
              </w:rPr>
            </w:pPr>
            <w:r w:rsidRPr="005A02DA">
              <w:rPr>
                <w:sz w:val="20"/>
                <w:lang w:eastAsia="zh-CN"/>
              </w:rPr>
              <w:t>12.7</w:t>
            </w:r>
          </w:p>
        </w:tc>
      </w:tr>
      <w:tr w:rsidR="005A02DA" w:rsidRPr="005A02DA" w:rsidTr="008D7776">
        <w:trPr>
          <w:jc w:val="center"/>
        </w:trPr>
        <w:tc>
          <w:tcPr>
            <w:tcW w:w="3119" w:type="dxa"/>
            <w:tcBorders>
              <w:bottom w:val="single" w:sz="4" w:space="0" w:color="auto"/>
            </w:tcBorders>
          </w:tcPr>
          <w:p w:rsidR="005A02DA" w:rsidRPr="005A02DA" w:rsidRDefault="005A02DA" w:rsidP="005A02DA">
            <w:pPr>
              <w:pStyle w:val="Tabletext"/>
              <w:jc w:val="left"/>
              <w:rPr>
                <w:sz w:val="20"/>
                <w:lang w:eastAsia="zh-CN"/>
              </w:rPr>
            </w:pPr>
            <w:r w:rsidRPr="005A02DA">
              <w:rPr>
                <w:sz w:val="20"/>
                <w:lang w:eastAsia="zh-CN"/>
              </w:rPr>
              <w:t>Margin (5 GS) (dB)</w:t>
            </w:r>
          </w:p>
        </w:tc>
        <w:tc>
          <w:tcPr>
            <w:tcW w:w="1559" w:type="dxa"/>
            <w:tcBorders>
              <w:bottom w:val="single" w:sz="4" w:space="0" w:color="auto"/>
            </w:tcBorders>
          </w:tcPr>
          <w:p w:rsidR="005A02DA" w:rsidRPr="005A02DA" w:rsidRDefault="005A02DA" w:rsidP="005A02DA">
            <w:pPr>
              <w:pStyle w:val="Tabletext"/>
              <w:jc w:val="center"/>
              <w:rPr>
                <w:sz w:val="20"/>
                <w:lang w:eastAsia="zh-CN"/>
              </w:rPr>
            </w:pPr>
            <w:r w:rsidRPr="005A02DA">
              <w:rPr>
                <w:sz w:val="20"/>
                <w:lang w:eastAsia="zh-CN"/>
              </w:rPr>
              <w:t>8.3</w:t>
            </w:r>
          </w:p>
        </w:tc>
        <w:tc>
          <w:tcPr>
            <w:tcW w:w="1559" w:type="dxa"/>
            <w:tcBorders>
              <w:bottom w:val="single" w:sz="4" w:space="0" w:color="auto"/>
            </w:tcBorders>
          </w:tcPr>
          <w:p w:rsidR="005A02DA" w:rsidRPr="005A02DA" w:rsidRDefault="005A02DA" w:rsidP="005A02DA">
            <w:pPr>
              <w:pStyle w:val="Tabletext"/>
              <w:jc w:val="center"/>
              <w:rPr>
                <w:sz w:val="20"/>
                <w:lang w:eastAsia="zh-CN"/>
              </w:rPr>
            </w:pPr>
            <w:r w:rsidRPr="005A02DA">
              <w:rPr>
                <w:sz w:val="20"/>
                <w:lang w:eastAsia="zh-CN"/>
              </w:rPr>
              <w:t>10.2</w:t>
            </w:r>
          </w:p>
        </w:tc>
        <w:tc>
          <w:tcPr>
            <w:tcW w:w="1701" w:type="dxa"/>
            <w:tcBorders>
              <w:bottom w:val="single" w:sz="4" w:space="0" w:color="auto"/>
            </w:tcBorders>
          </w:tcPr>
          <w:p w:rsidR="005A02DA" w:rsidRPr="005A02DA" w:rsidRDefault="005A02DA" w:rsidP="005A02DA">
            <w:pPr>
              <w:pStyle w:val="Tabletext"/>
              <w:jc w:val="center"/>
              <w:rPr>
                <w:sz w:val="20"/>
                <w:lang w:eastAsia="zh-CN"/>
              </w:rPr>
            </w:pPr>
            <w:r w:rsidRPr="005A02DA">
              <w:rPr>
                <w:sz w:val="20"/>
                <w:lang w:eastAsia="zh-CN"/>
              </w:rPr>
              <w:t>9.3</w:t>
            </w:r>
          </w:p>
        </w:tc>
        <w:tc>
          <w:tcPr>
            <w:tcW w:w="1701" w:type="dxa"/>
            <w:tcBorders>
              <w:bottom w:val="single" w:sz="4" w:space="0" w:color="auto"/>
            </w:tcBorders>
          </w:tcPr>
          <w:p w:rsidR="005A02DA" w:rsidRPr="005A02DA" w:rsidRDefault="005A02DA" w:rsidP="005A02DA">
            <w:pPr>
              <w:pStyle w:val="Tabletext"/>
              <w:jc w:val="center"/>
              <w:rPr>
                <w:sz w:val="20"/>
                <w:lang w:eastAsia="zh-CN"/>
              </w:rPr>
            </w:pPr>
            <w:r w:rsidRPr="005A02DA">
              <w:rPr>
                <w:sz w:val="20"/>
                <w:lang w:eastAsia="zh-CN"/>
              </w:rPr>
              <w:t>11.7</w:t>
            </w:r>
          </w:p>
        </w:tc>
      </w:tr>
      <w:tr w:rsidR="005A02DA" w:rsidRPr="00B43A0F" w:rsidTr="008D7776">
        <w:trPr>
          <w:jc w:val="center"/>
        </w:trPr>
        <w:tc>
          <w:tcPr>
            <w:tcW w:w="9639" w:type="dxa"/>
            <w:gridSpan w:val="5"/>
            <w:tcBorders>
              <w:left w:val="nil"/>
              <w:bottom w:val="nil"/>
              <w:right w:val="nil"/>
            </w:tcBorders>
          </w:tcPr>
          <w:p w:rsidR="005A02DA" w:rsidRDefault="00B43A0F" w:rsidP="005A02DA">
            <w:pPr>
              <w:pStyle w:val="Tablelegend"/>
              <w:rPr>
                <w:sz w:val="20"/>
                <w:lang w:val="en-US"/>
              </w:rPr>
            </w:pPr>
            <w:r w:rsidRPr="005A02DA">
              <w:rPr>
                <w:sz w:val="20"/>
                <w:vertAlign w:val="superscript"/>
                <w:lang w:val="en-US"/>
              </w:rPr>
              <w:t>(1)</w:t>
            </w:r>
            <w:r w:rsidRPr="005A02DA">
              <w:rPr>
                <w:sz w:val="20"/>
                <w:vertAlign w:val="superscript"/>
                <w:lang w:val="en-US"/>
              </w:rPr>
              <w:tab/>
            </w:r>
            <w:r w:rsidRPr="005A02DA">
              <w:rPr>
                <w:sz w:val="20"/>
                <w:lang w:val="en-US"/>
              </w:rPr>
              <w:t>The frequency specified in Table 3 corresponds to the centre of the 5 850-7 075 MHz band. The use of this (specific) frequency is not intended to bias the work of ITU-R with regard to the identification of the spectrum within the 5 850-7 075 MHz band for use by HAPS gateway links.</w:t>
            </w:r>
          </w:p>
          <w:p w:rsidR="00B43A0F" w:rsidRDefault="00B43A0F" w:rsidP="005A02DA">
            <w:pPr>
              <w:pStyle w:val="Tablelegend"/>
              <w:rPr>
                <w:sz w:val="20"/>
                <w:lang w:val="en-US"/>
              </w:rPr>
            </w:pPr>
            <w:r w:rsidRPr="005A02DA">
              <w:rPr>
                <w:sz w:val="20"/>
                <w:vertAlign w:val="superscript"/>
                <w:lang w:val="en-US" w:eastAsia="zh-CN"/>
              </w:rPr>
              <w:t>(2)</w:t>
            </w:r>
            <w:r w:rsidRPr="005A02DA">
              <w:rPr>
                <w:sz w:val="20"/>
                <w:lang w:val="en-US" w:eastAsia="zh-CN"/>
              </w:rPr>
              <w:t xml:space="preserve"> </w:t>
            </w:r>
            <w:r w:rsidRPr="005A02DA">
              <w:rPr>
                <w:sz w:val="20"/>
                <w:lang w:val="en-US" w:eastAsia="zh-CN"/>
              </w:rPr>
              <w:tab/>
            </w:r>
            <w:r w:rsidRPr="005A02DA">
              <w:rPr>
                <w:sz w:val="20"/>
                <w:lang w:val="en-US"/>
              </w:rPr>
              <w:t>Nominal e.i.r.p. denotes the initial power setting. After automatic power control (APC), the TX power is increased by from 0 to up to 8 dB, depending on the carrier level. Note that the e.i.r.p. above applies within the UAC, and regulatory and/or interference protection limits may apply outside the UAC. The HAPS platform antenna will not point outside of the UAC.</w:t>
            </w:r>
          </w:p>
          <w:p w:rsidR="00B43A0F" w:rsidRDefault="00B43A0F" w:rsidP="005A02DA">
            <w:pPr>
              <w:pStyle w:val="Tablelegend"/>
              <w:rPr>
                <w:sz w:val="20"/>
                <w:lang w:val="en-US"/>
              </w:rPr>
            </w:pPr>
            <w:r>
              <w:rPr>
                <w:sz w:val="20"/>
                <w:vertAlign w:val="superscript"/>
                <w:lang w:val="en-US" w:eastAsia="zh-CN"/>
              </w:rPr>
              <w:t>(</w:t>
            </w:r>
            <w:r w:rsidRPr="005A02DA">
              <w:rPr>
                <w:sz w:val="20"/>
                <w:vertAlign w:val="superscript"/>
                <w:lang w:val="en-US" w:eastAsia="zh-CN"/>
              </w:rPr>
              <w:t>3)</w:t>
            </w:r>
            <w:r w:rsidRPr="005A02DA">
              <w:rPr>
                <w:sz w:val="20"/>
                <w:lang w:val="en-US" w:eastAsia="zh-CN"/>
              </w:rPr>
              <w:tab/>
            </w:r>
            <w:r w:rsidRPr="005A02DA">
              <w:rPr>
                <w:sz w:val="20"/>
                <w:lang w:val="en-US"/>
              </w:rPr>
              <w:t>Rain attenuation and atmospheric loss as described in Recommendations ITU</w:t>
            </w:r>
            <w:r w:rsidRPr="005A02DA">
              <w:rPr>
                <w:sz w:val="20"/>
                <w:lang w:val="en-US"/>
              </w:rPr>
              <w:noBreakHyphen/>
              <w:t>R P.618 and ITU</w:t>
            </w:r>
            <w:r w:rsidRPr="005A02DA">
              <w:rPr>
                <w:sz w:val="20"/>
                <w:lang w:val="en-US"/>
              </w:rPr>
              <w:noBreakHyphen/>
              <w:t>R SF.1395 respectively. The 0.01% rain rate was taken to be 63 mm/h.</w:t>
            </w:r>
          </w:p>
          <w:p w:rsidR="00B43A0F" w:rsidRDefault="00B43A0F" w:rsidP="005A02DA">
            <w:pPr>
              <w:pStyle w:val="Tablelegend"/>
              <w:rPr>
                <w:sz w:val="20"/>
                <w:lang w:val="en-US"/>
              </w:rPr>
            </w:pPr>
            <w:r w:rsidRPr="00815551">
              <w:rPr>
                <w:sz w:val="20"/>
                <w:vertAlign w:val="superscript"/>
                <w:lang w:val="en-US"/>
              </w:rPr>
              <w:t>(4)</w:t>
            </w:r>
            <w:r w:rsidRPr="00815551">
              <w:rPr>
                <w:sz w:val="20"/>
                <w:vertAlign w:val="superscript"/>
                <w:lang w:val="en-US"/>
              </w:rPr>
              <w:tab/>
            </w:r>
            <w:r w:rsidRPr="00815551">
              <w:rPr>
                <w:sz w:val="20"/>
                <w:lang w:val="en-US"/>
              </w:rPr>
              <w:t>C/N = (</w:t>
            </w:r>
            <w:r w:rsidRPr="00815551">
              <w:rPr>
                <w:i/>
                <w:sz w:val="20"/>
                <w:lang w:val="en-US"/>
              </w:rPr>
              <w:t>E</w:t>
            </w:r>
            <w:r w:rsidRPr="00815551">
              <w:rPr>
                <w:i/>
                <w:sz w:val="20"/>
                <w:vertAlign w:val="subscript"/>
                <w:lang w:val="en-US"/>
              </w:rPr>
              <w:t>b</w:t>
            </w:r>
            <w:r w:rsidRPr="00815551">
              <w:rPr>
                <w:sz w:val="20"/>
                <w:lang w:val="en-US"/>
              </w:rPr>
              <w:t>/</w:t>
            </w:r>
            <w:r w:rsidRPr="00815551">
              <w:rPr>
                <w:i/>
                <w:sz w:val="20"/>
                <w:lang w:val="en-US"/>
              </w:rPr>
              <w:t>N</w:t>
            </w:r>
            <w:r w:rsidRPr="00815551">
              <w:rPr>
                <w:sz w:val="20"/>
                <w:vertAlign w:val="subscript"/>
                <w:lang w:val="en-US"/>
              </w:rPr>
              <w:t>0</w:t>
            </w:r>
            <w:r w:rsidRPr="00815551">
              <w:rPr>
                <w:sz w:val="20"/>
                <w:lang w:val="en-US"/>
              </w:rPr>
              <w:t>)</w:t>
            </w:r>
            <w:r w:rsidRPr="00815551">
              <w:rPr>
                <w:sz w:val="20"/>
                <w:vertAlign w:val="subscript"/>
                <w:lang w:val="en-US"/>
              </w:rPr>
              <w:t xml:space="preserve"> </w:t>
            </w:r>
            <w:r w:rsidRPr="00815551">
              <w:rPr>
                <w:rFonts w:ascii="Times New Roman Bold" w:hAnsi="Times New Roman Bold" w:cs="Times New Roman Bold"/>
                <w:sz w:val="20"/>
                <w:lang w:val="en-US"/>
              </w:rPr>
              <w:t>•</w:t>
            </w:r>
            <w:r w:rsidRPr="00815551">
              <w:rPr>
                <w:sz w:val="20"/>
                <w:lang w:val="en-US"/>
              </w:rPr>
              <w:t xml:space="preserve"> (spectral efficiency</w:t>
            </w:r>
            <w:r w:rsidRPr="005319E2">
              <w:rPr>
                <w:sz w:val="20"/>
                <w:vertAlign w:val="superscript"/>
                <w:lang w:val="en-US"/>
              </w:rPr>
              <w:t>(5)</w:t>
            </w:r>
            <w:r w:rsidRPr="00815551">
              <w:rPr>
                <w:sz w:val="20"/>
                <w:lang w:val="en-US"/>
              </w:rPr>
              <w:t>)</w:t>
            </w:r>
            <w:r>
              <w:rPr>
                <w:sz w:val="20"/>
                <w:lang w:val="en-US"/>
              </w:rPr>
              <w:t>.</w:t>
            </w:r>
          </w:p>
          <w:p w:rsidR="00B43A0F" w:rsidRPr="00B43A0F" w:rsidRDefault="00B43A0F" w:rsidP="005A02DA">
            <w:pPr>
              <w:pStyle w:val="Tablelegend"/>
              <w:rPr>
                <w:lang w:val="en-US" w:eastAsia="zh-CN"/>
              </w:rPr>
            </w:pPr>
            <w:r w:rsidRPr="005319E2">
              <w:rPr>
                <w:sz w:val="20"/>
                <w:vertAlign w:val="superscript"/>
                <w:lang w:val="en-US"/>
              </w:rPr>
              <w:t>(5)</w:t>
            </w:r>
            <w:r w:rsidRPr="005319E2">
              <w:rPr>
                <w:sz w:val="20"/>
                <w:lang w:val="en-US"/>
              </w:rPr>
              <w:tab/>
            </w:r>
            <w:r w:rsidRPr="005A02DA">
              <w:rPr>
                <w:sz w:val="20"/>
                <w:lang w:val="en-US"/>
              </w:rPr>
              <w:t>The spectral efficiency in this case is 4 bit/s/Hz.</w:t>
            </w:r>
          </w:p>
        </w:tc>
      </w:tr>
    </w:tbl>
    <w:p w:rsidR="00276CD5" w:rsidRPr="005A02DA" w:rsidRDefault="00276CD5" w:rsidP="00B43A0F">
      <w:pPr>
        <w:pStyle w:val="Tablefin"/>
      </w:pPr>
    </w:p>
    <w:p w:rsidR="00276CD5" w:rsidRPr="00CE4640" w:rsidRDefault="00276CD5" w:rsidP="00276CD5">
      <w:pPr>
        <w:pStyle w:val="Heading1"/>
        <w:rPr>
          <w:lang w:val="en-US"/>
        </w:rPr>
      </w:pPr>
      <w:r w:rsidRPr="00CE4640">
        <w:rPr>
          <w:lang w:val="en-US" w:eastAsia="ko-KR"/>
        </w:rPr>
        <w:lastRenderedPageBreak/>
        <w:t>7</w:t>
      </w:r>
      <w:r w:rsidRPr="00CE4640">
        <w:rPr>
          <w:lang w:val="en-US"/>
        </w:rPr>
        <w:tab/>
        <w:t>HAPS gateway link capacity utilization</w:t>
      </w:r>
    </w:p>
    <w:p w:rsidR="00276CD5" w:rsidRPr="00CE4640" w:rsidRDefault="00276CD5" w:rsidP="00C936C9">
      <w:pPr>
        <w:keepNext/>
        <w:rPr>
          <w:lang w:val="en-US"/>
        </w:rPr>
      </w:pPr>
      <w:r w:rsidRPr="00CE4640">
        <w:rPr>
          <w:lang w:val="en-US"/>
        </w:rPr>
        <w:t>The gateway links will provide the backhaul connectivity capacity to support the type service and application being offered to end users and the associated aggregated end-user traffic load funnelled through the bidirectional gateway links.</w:t>
      </w:r>
    </w:p>
    <w:p w:rsidR="00276CD5" w:rsidRPr="00CE4640" w:rsidRDefault="00276CD5" w:rsidP="00276CD5">
      <w:pPr>
        <w:rPr>
          <w:lang w:val="en-US"/>
        </w:rPr>
      </w:pPr>
      <w:r w:rsidRPr="00CE4640">
        <w:rPr>
          <w:lang w:val="en-US"/>
        </w:rPr>
        <w:t xml:space="preserve">The </w:t>
      </w:r>
      <w:r w:rsidRPr="00CE4640">
        <w:rPr>
          <w:iCs/>
          <w:lang w:val="en-US"/>
        </w:rPr>
        <w:t>minimum</w:t>
      </w:r>
      <w:r w:rsidRPr="00CE4640">
        <w:rPr>
          <w:lang w:val="en-US"/>
        </w:rPr>
        <w:t xml:space="preserve"> total system gateway bit rate capacity requirement of 2.67 Gbit/s</w:t>
      </w:r>
      <w:r w:rsidRPr="00AE09A0">
        <w:rPr>
          <w:rStyle w:val="FootnoteReference"/>
        </w:rPr>
        <w:footnoteReference w:id="8"/>
      </w:r>
      <w:r w:rsidRPr="00CE4640">
        <w:rPr>
          <w:lang w:val="en-US"/>
        </w:rPr>
        <w:t xml:space="preserve"> will be needed to support the projected maximum system user traffic load</w:t>
      </w:r>
      <w:r w:rsidRPr="00AE09A0">
        <w:rPr>
          <w:rStyle w:val="FootnoteReference"/>
        </w:rPr>
        <w:footnoteReference w:id="9"/>
      </w:r>
      <w:r w:rsidRPr="00CE4640">
        <w:rPr>
          <w:lang w:val="en-US"/>
        </w:rPr>
        <w:t>. This will require considerable frequency reuse of the 160 MHz (2 × 80 MHz or 4 × 40 MHz) spectrum identification currently contemplated for gateway link use by HAPS-based telecommunication systems in the 5 850-7 075 MHz band. The bit-rate capability for the 160 MHz of spectrum in the 5 850-7 075 MHz band is 2.67 Gbit/s, utilizing five same-frequency gateway links for each HAPS, a modulation/coding method that has a spectral efficiency of 4 bit/s/Hz</w:t>
      </w:r>
      <w:r w:rsidRPr="00AE09A0">
        <w:rPr>
          <w:rStyle w:val="FootnoteReference"/>
        </w:rPr>
        <w:footnoteReference w:id="10"/>
      </w:r>
      <w:r w:rsidRPr="00CE4640">
        <w:rPr>
          <w:lang w:val="en-US"/>
        </w:rPr>
        <w:t xml:space="preserve"> and about 17% for guardbands. That means the 160 MHz spectrum will be reused up to five (5) times to obtain the maximum gateway link capability from this spectrum utilization. The gateway links in this band are designed with modulation and coding schemes that obtain high spectral efficiency (e.g. 64</w:t>
      </w:r>
      <w:r w:rsidRPr="00CE4640">
        <w:rPr>
          <w:lang w:val="en-US"/>
        </w:rPr>
        <w:noBreakHyphen/>
        <w:t>QAM with 2/3 coding rate) so as to maximize the</w:t>
      </w:r>
      <w:r w:rsidRPr="00CE4640">
        <w:rPr>
          <w:i/>
          <w:iCs/>
          <w:lang w:val="en-US"/>
        </w:rPr>
        <w:t xml:space="preserve"> </w:t>
      </w:r>
      <w:r w:rsidRPr="00CE4640">
        <w:rPr>
          <w:iCs/>
          <w:lang w:val="en-US"/>
        </w:rPr>
        <w:t>bit-rate capability</w:t>
      </w:r>
      <w:r w:rsidRPr="00CE4640">
        <w:rPr>
          <w:lang w:val="en-US"/>
        </w:rPr>
        <w:t xml:space="preserve"> of each link. The available capability must also take into account the potential individual link failures. </w:t>
      </w:r>
    </w:p>
    <w:p w:rsidR="00276CD5" w:rsidRPr="00CE4640" w:rsidRDefault="00276CD5" w:rsidP="00276CD5">
      <w:pPr>
        <w:rPr>
          <w:lang w:val="en-US"/>
        </w:rPr>
      </w:pPr>
      <w:r w:rsidRPr="00CE4640">
        <w:rPr>
          <w:lang w:val="en-US"/>
        </w:rPr>
        <w:t>Most importantly, no additional 5 850-7 075 MHz spectrum beyond the 160 MHz will be required in this band and the spectrum will be reused up to five times so as to obtain a substantial amount of spectral reuse efficiency.</w:t>
      </w:r>
    </w:p>
    <w:p w:rsidR="00276CD5" w:rsidRPr="00CE4640" w:rsidRDefault="00276CD5" w:rsidP="00276CD5">
      <w:pPr>
        <w:pStyle w:val="Heading1"/>
        <w:rPr>
          <w:lang w:val="en-US"/>
        </w:rPr>
      </w:pPr>
      <w:r w:rsidRPr="00CE4640">
        <w:rPr>
          <w:lang w:val="en-US" w:eastAsia="ko-KR"/>
        </w:rPr>
        <w:t>8</w:t>
      </w:r>
      <w:r w:rsidRPr="00CE4640">
        <w:rPr>
          <w:lang w:val="en-US"/>
        </w:rPr>
        <w:tab/>
        <w:t>Antenna gain pattern</w:t>
      </w:r>
    </w:p>
    <w:p w:rsidR="00276CD5" w:rsidRPr="00CE4640" w:rsidRDefault="00276CD5" w:rsidP="00597AE8">
      <w:pPr>
        <w:rPr>
          <w:lang w:val="en-US"/>
        </w:rPr>
      </w:pPr>
      <w:r w:rsidRPr="00CE4640">
        <w:rPr>
          <w:lang w:val="en-US"/>
        </w:rPr>
        <w:t xml:space="preserve">Described below is the antenna radiation pattern that is used in the link budgets provided herein. A phased array as described in, and that complies with, Resolution 221 </w:t>
      </w:r>
      <w:r w:rsidRPr="00CE4640">
        <w:rPr>
          <w:lang w:val="en-US" w:eastAsia="ko-KR"/>
        </w:rPr>
        <w:t>(Rev.WRC-07)</w:t>
      </w:r>
      <w:r w:rsidRPr="00CE4640">
        <w:rPr>
          <w:lang w:val="en-US"/>
        </w:rPr>
        <w:t xml:space="preserve"> will be used in both the HAPS gateway (ground) station and in the HAPS (airborne) platform. For the purposes of sharing studies, the peak gain of the platform and ground station antennas are 30 dBi and 47 dBi, respectively. The antenna radiation pattern mask equation used for the HAPS </w:t>
      </w:r>
      <w:r w:rsidRPr="00CE4640">
        <w:rPr>
          <w:lang w:val="en-US" w:eastAsia="ko-KR"/>
        </w:rPr>
        <w:t>gateway</w:t>
      </w:r>
      <w:r w:rsidRPr="00CE4640">
        <w:rPr>
          <w:lang w:val="en-US"/>
        </w:rPr>
        <w:t xml:space="preserve"> station and HAPS platform is described below and illustrated in Figs 5 and 6 respectively using </w:t>
      </w:r>
      <w:r w:rsidRPr="00CE4640">
        <w:rPr>
          <w:i/>
          <w:iCs/>
          <w:lang w:val="en-US"/>
        </w:rPr>
        <w:t>L</w:t>
      </w:r>
      <w:r w:rsidRPr="00CE4640">
        <w:rPr>
          <w:i/>
          <w:iCs/>
          <w:vertAlign w:val="subscript"/>
          <w:lang w:val="en-US"/>
        </w:rPr>
        <w:t>N</w:t>
      </w:r>
      <w:r w:rsidRPr="00CE4640">
        <w:rPr>
          <w:lang w:val="en-US"/>
        </w:rPr>
        <w:t xml:space="preserve"> of −25 dB. This radiation pattern mask is used for both the up- and downlink</w:t>
      </w:r>
      <w:r w:rsidRPr="00CE4640">
        <w:rPr>
          <w:lang w:val="en-US" w:eastAsia="ko-KR"/>
        </w:rPr>
        <w:t>s</w:t>
      </w:r>
      <w:r w:rsidRPr="00CE4640">
        <w:rPr>
          <w:lang w:val="en-US"/>
        </w:rPr>
        <w:t xml:space="preserve"> and is based on a phased array type antenna that will be used for the HAPS gateway links. </w:t>
      </w:r>
    </w:p>
    <w:p w:rsidR="00C936C9" w:rsidRDefault="00C936C9" w:rsidP="00C936C9">
      <w:pPr>
        <w:pStyle w:val="Blanc"/>
      </w:pPr>
    </w:p>
    <w:p w:rsidR="00276CD5" w:rsidRPr="00CE4640" w:rsidRDefault="00276CD5" w:rsidP="00276CD5">
      <w:pPr>
        <w:pStyle w:val="Equation"/>
        <w:tabs>
          <w:tab w:val="center" w:pos="4111"/>
          <w:tab w:val="center" w:pos="5273"/>
          <w:tab w:val="left" w:pos="5472"/>
          <w:tab w:val="left" w:pos="5783"/>
          <w:tab w:val="left" w:pos="6095"/>
          <w:tab w:val="left" w:pos="6180"/>
        </w:tabs>
        <w:spacing w:before="80"/>
        <w:rPr>
          <w:color w:val="000000"/>
          <w:lang w:val="en-US"/>
        </w:rPr>
      </w:pPr>
      <w:r w:rsidRPr="00CE4640">
        <w:rPr>
          <w:color w:val="000000"/>
          <w:lang w:val="en-US"/>
        </w:rPr>
        <w:tab/>
      </w:r>
      <w:r w:rsidRPr="00CE4640">
        <w:rPr>
          <w:i/>
          <w:color w:val="000000"/>
          <w:lang w:val="en-US"/>
        </w:rPr>
        <w:t>G</w:t>
      </w:r>
      <w:r w:rsidRPr="00CE4640">
        <w:rPr>
          <w:color w:val="000000"/>
          <w:lang w:val="en-US"/>
        </w:rPr>
        <w:t>(</w:t>
      </w:r>
      <w:r w:rsidRPr="00AE09A0">
        <w:rPr>
          <w:color w:val="000000"/>
          <w:szCs w:val="24"/>
        </w:rPr>
        <w:sym w:font="Symbol" w:char="F079"/>
      </w:r>
      <w:r w:rsidRPr="00CE4640">
        <w:rPr>
          <w:color w:val="000000"/>
          <w:lang w:val="en-US"/>
        </w:rPr>
        <w:t xml:space="preserve">) = </w:t>
      </w:r>
      <w:r w:rsidRPr="00CE4640">
        <w:rPr>
          <w:i/>
          <w:color w:val="000000"/>
          <w:lang w:val="en-US"/>
        </w:rPr>
        <w:t>G</w:t>
      </w:r>
      <w:r w:rsidRPr="00CE4640">
        <w:rPr>
          <w:i/>
          <w:color w:val="000000"/>
          <w:vertAlign w:val="subscript"/>
          <w:lang w:val="en-US"/>
        </w:rPr>
        <w:t>m</w:t>
      </w:r>
      <w:r w:rsidRPr="00CE4640">
        <w:rPr>
          <w:color w:val="000000"/>
          <w:lang w:val="en-US"/>
        </w:rPr>
        <w:t xml:space="preserve"> – 3(</w:t>
      </w:r>
      <w:r w:rsidRPr="00AE09A0">
        <w:rPr>
          <w:color w:val="000000"/>
          <w:szCs w:val="24"/>
        </w:rPr>
        <w:sym w:font="Symbol" w:char="F079"/>
      </w:r>
      <w:r w:rsidRPr="00CE4640">
        <w:rPr>
          <w:color w:val="000000"/>
          <w:lang w:val="en-US"/>
        </w:rPr>
        <w:t>/</w:t>
      </w:r>
      <w:r w:rsidRPr="00AE09A0">
        <w:rPr>
          <w:color w:val="000000"/>
          <w:szCs w:val="24"/>
        </w:rPr>
        <w:sym w:font="Symbol" w:char="F079"/>
      </w:r>
      <w:r w:rsidRPr="00CE4640">
        <w:rPr>
          <w:color w:val="000000"/>
          <w:lang w:val="en-US"/>
        </w:rPr>
        <w:t>b)</w:t>
      </w:r>
      <w:r w:rsidRPr="00CE4640">
        <w:rPr>
          <w:color w:val="000000"/>
          <w:vertAlign w:val="superscript"/>
          <w:lang w:val="en-US"/>
        </w:rPr>
        <w:t>2</w:t>
      </w:r>
      <w:r w:rsidRPr="00CE4640">
        <w:rPr>
          <w:color w:val="000000"/>
          <w:lang w:val="en-US"/>
        </w:rPr>
        <w:t xml:space="preserve"> </w:t>
      </w:r>
      <w:r w:rsidRPr="00CE4640">
        <w:rPr>
          <w:color w:val="000000"/>
          <w:lang w:val="en-US"/>
        </w:rPr>
        <w:tab/>
        <w:t>dBi</w:t>
      </w:r>
      <w:r w:rsidRPr="00CE4640">
        <w:rPr>
          <w:color w:val="000000"/>
          <w:lang w:val="en-US"/>
        </w:rPr>
        <w:tab/>
        <w:t>for</w:t>
      </w:r>
      <w:r w:rsidRPr="00CE4640">
        <w:rPr>
          <w:color w:val="000000"/>
          <w:lang w:val="en-US"/>
        </w:rPr>
        <w:tab/>
        <w:t xml:space="preserve"> 0</w:t>
      </w:r>
      <w:r w:rsidRPr="00AE09A0">
        <w:rPr>
          <w:color w:val="000000"/>
          <w:szCs w:val="24"/>
        </w:rPr>
        <w:sym w:font="Symbol" w:char="F0B0"/>
      </w:r>
      <w:r w:rsidRPr="00CE4640">
        <w:rPr>
          <w:color w:val="000000"/>
          <w:lang w:val="en-US"/>
        </w:rPr>
        <w:tab/>
      </w:r>
      <w:r w:rsidRPr="00AE09A0">
        <w:rPr>
          <w:color w:val="000000"/>
          <w:szCs w:val="24"/>
        </w:rPr>
        <w:sym w:font="Symbol" w:char="F0A3"/>
      </w:r>
      <w:r w:rsidRPr="00CE4640">
        <w:rPr>
          <w:color w:val="000000"/>
          <w:lang w:val="en-US"/>
        </w:rPr>
        <w:t xml:space="preserve"> </w:t>
      </w:r>
      <w:r w:rsidRPr="00AE09A0">
        <w:rPr>
          <w:color w:val="000000"/>
          <w:szCs w:val="24"/>
        </w:rPr>
        <w:sym w:font="Symbol" w:char="F079"/>
      </w:r>
      <w:r w:rsidRPr="00CE4640">
        <w:rPr>
          <w:color w:val="000000"/>
          <w:lang w:val="en-US"/>
        </w:rPr>
        <w:t xml:space="preserve"> </w:t>
      </w:r>
      <w:r w:rsidRPr="00AE09A0">
        <w:rPr>
          <w:color w:val="000000"/>
          <w:szCs w:val="24"/>
        </w:rPr>
        <w:sym w:font="Symbol" w:char="F0A3"/>
      </w:r>
      <w:r w:rsidRPr="00CE4640">
        <w:rPr>
          <w:color w:val="000000"/>
          <w:lang w:val="en-US"/>
        </w:rPr>
        <w:t xml:space="preserve"> </w:t>
      </w:r>
      <w:r w:rsidRPr="00AE09A0">
        <w:rPr>
          <w:color w:val="000000"/>
          <w:szCs w:val="24"/>
        </w:rPr>
        <w:sym w:font="Symbol" w:char="F079"/>
      </w:r>
      <w:r w:rsidRPr="00CE4640">
        <w:rPr>
          <w:color w:val="000000"/>
          <w:vertAlign w:val="subscript"/>
          <w:lang w:val="en-US"/>
        </w:rPr>
        <w:t>1</w:t>
      </w:r>
    </w:p>
    <w:p w:rsidR="00276CD5" w:rsidRPr="00CE4640" w:rsidRDefault="00276CD5" w:rsidP="00276CD5">
      <w:pPr>
        <w:pStyle w:val="Equation"/>
        <w:tabs>
          <w:tab w:val="center" w:pos="4111"/>
          <w:tab w:val="center" w:pos="5273"/>
          <w:tab w:val="left" w:pos="5472"/>
          <w:tab w:val="left" w:pos="5783"/>
          <w:tab w:val="left" w:pos="6095"/>
          <w:tab w:val="left" w:pos="6180"/>
        </w:tabs>
        <w:spacing w:before="80"/>
        <w:rPr>
          <w:color w:val="000000"/>
          <w:sz w:val="28"/>
          <w:vertAlign w:val="subscript"/>
          <w:lang w:val="en-US"/>
        </w:rPr>
      </w:pPr>
      <w:r w:rsidRPr="00CE4640">
        <w:rPr>
          <w:color w:val="000000"/>
          <w:lang w:val="en-US"/>
        </w:rPr>
        <w:tab/>
      </w:r>
      <w:r w:rsidRPr="00CE4640">
        <w:rPr>
          <w:i/>
          <w:iCs/>
          <w:color w:val="000000"/>
          <w:lang w:val="en-US"/>
        </w:rPr>
        <w:t>G</w:t>
      </w:r>
      <w:r w:rsidRPr="00CE4640">
        <w:rPr>
          <w:color w:val="000000"/>
          <w:lang w:val="en-US"/>
        </w:rPr>
        <w:t>(</w:t>
      </w:r>
      <w:r w:rsidRPr="00AE09A0">
        <w:rPr>
          <w:rFonts w:ascii="Symbol" w:hAnsi="Symbol"/>
          <w:color w:val="000000"/>
          <w:szCs w:val="24"/>
        </w:rPr>
        <w:sym w:font="Symbol" w:char="F079"/>
      </w:r>
      <w:r w:rsidRPr="00CE4640">
        <w:rPr>
          <w:color w:val="000000"/>
          <w:lang w:val="en-US"/>
        </w:rPr>
        <w:t xml:space="preserve">) = </w:t>
      </w:r>
      <w:r w:rsidRPr="00CE4640">
        <w:rPr>
          <w:i/>
          <w:iCs/>
          <w:color w:val="000000"/>
          <w:lang w:val="en-US"/>
        </w:rPr>
        <w:t>G</w:t>
      </w:r>
      <w:r w:rsidRPr="00CE4640">
        <w:rPr>
          <w:i/>
          <w:iCs/>
          <w:color w:val="000000"/>
          <w:position w:val="-4"/>
          <w:sz w:val="20"/>
          <w:lang w:val="en-US"/>
        </w:rPr>
        <w:t>m</w:t>
      </w:r>
      <w:r w:rsidRPr="00CE4640">
        <w:rPr>
          <w:color w:val="000000"/>
          <w:lang w:val="en-US"/>
        </w:rPr>
        <w:t xml:space="preserve"> </w:t>
      </w:r>
      <w:r w:rsidRPr="00AE09A0">
        <w:rPr>
          <w:rFonts w:ascii="Symbol" w:hAnsi="Symbol"/>
          <w:color w:val="000000"/>
        </w:rPr>
        <w:t></w:t>
      </w:r>
      <w:r w:rsidRPr="00CE4640">
        <w:rPr>
          <w:color w:val="000000"/>
          <w:lang w:val="en-US"/>
        </w:rPr>
        <w:t xml:space="preserve"> </w:t>
      </w:r>
      <w:r w:rsidRPr="00CE4640">
        <w:rPr>
          <w:i/>
          <w:iCs/>
          <w:color w:val="000000"/>
          <w:lang w:val="en-US"/>
        </w:rPr>
        <w:t>L</w:t>
      </w:r>
      <w:r w:rsidRPr="00CE4640">
        <w:rPr>
          <w:i/>
          <w:iCs/>
          <w:color w:val="000000"/>
          <w:position w:val="-4"/>
          <w:sz w:val="20"/>
          <w:lang w:val="en-US"/>
        </w:rPr>
        <w:t>N</w:t>
      </w:r>
      <w:r w:rsidRPr="00CE4640">
        <w:rPr>
          <w:color w:val="000000"/>
          <w:lang w:val="en-US"/>
        </w:rPr>
        <w:tab/>
        <w:t>dBi</w:t>
      </w:r>
      <w:r w:rsidRPr="00CE4640">
        <w:rPr>
          <w:color w:val="000000"/>
          <w:lang w:val="en-US"/>
        </w:rPr>
        <w:tab/>
        <w:t>for</w:t>
      </w:r>
      <w:r w:rsidRPr="00CE4640">
        <w:rPr>
          <w:color w:val="000000"/>
          <w:lang w:val="en-US"/>
        </w:rPr>
        <w:tab/>
      </w:r>
      <w:r w:rsidRPr="00AE09A0">
        <w:rPr>
          <w:color w:val="000000"/>
          <w:szCs w:val="24"/>
        </w:rPr>
        <w:sym w:font="Symbol" w:char="F079"/>
      </w:r>
      <w:r w:rsidRPr="00CE4640">
        <w:rPr>
          <w:color w:val="000000"/>
          <w:position w:val="-4"/>
          <w:sz w:val="20"/>
          <w:lang w:val="en-US"/>
        </w:rPr>
        <w:t>1</w:t>
      </w:r>
      <w:r w:rsidRPr="00CE4640">
        <w:rPr>
          <w:color w:val="000000"/>
          <w:lang w:val="en-US"/>
        </w:rPr>
        <w:tab/>
      </w:r>
      <w:r w:rsidRPr="00AE09A0">
        <w:rPr>
          <w:rFonts w:ascii="Symbol" w:hAnsi="Symbol"/>
          <w:color w:val="000000"/>
          <w:szCs w:val="24"/>
        </w:rPr>
        <w:sym w:font="Symbol" w:char="F03C"/>
      </w:r>
      <w:r w:rsidRPr="00CE4640">
        <w:rPr>
          <w:color w:val="000000"/>
          <w:lang w:val="en-US"/>
        </w:rPr>
        <w:t xml:space="preserve"> </w:t>
      </w:r>
      <w:r w:rsidRPr="00AE09A0">
        <w:rPr>
          <w:rFonts w:ascii="Symbol" w:hAnsi="Symbol"/>
          <w:color w:val="000000"/>
          <w:szCs w:val="24"/>
        </w:rPr>
        <w:sym w:font="Symbol" w:char="F079"/>
      </w:r>
      <w:r w:rsidRPr="00CE4640">
        <w:rPr>
          <w:color w:val="000000"/>
          <w:lang w:val="en-US"/>
        </w:rPr>
        <w:t xml:space="preserve"> </w:t>
      </w:r>
      <w:r w:rsidRPr="00AE09A0">
        <w:rPr>
          <w:color w:val="000000"/>
          <w:szCs w:val="24"/>
        </w:rPr>
        <w:sym w:font="Symbol" w:char="F0A3"/>
      </w:r>
      <w:r w:rsidRPr="00CE4640">
        <w:rPr>
          <w:color w:val="000000"/>
          <w:lang w:val="en-US"/>
        </w:rPr>
        <w:t xml:space="preserve"> </w:t>
      </w:r>
      <w:r w:rsidRPr="00AE09A0">
        <w:rPr>
          <w:rFonts w:ascii="Symbol" w:hAnsi="Symbol"/>
          <w:color w:val="000000"/>
          <w:szCs w:val="24"/>
        </w:rPr>
        <w:sym w:font="Symbol" w:char="F079"/>
      </w:r>
      <w:r w:rsidRPr="00CE4640">
        <w:rPr>
          <w:color w:val="000000"/>
          <w:position w:val="-4"/>
          <w:sz w:val="20"/>
          <w:lang w:val="en-US"/>
        </w:rPr>
        <w:t>2</w:t>
      </w:r>
    </w:p>
    <w:p w:rsidR="00276CD5" w:rsidRPr="00CE4640" w:rsidRDefault="00276CD5" w:rsidP="00276CD5">
      <w:pPr>
        <w:pStyle w:val="Equation"/>
        <w:tabs>
          <w:tab w:val="center" w:pos="4111"/>
          <w:tab w:val="center" w:pos="5273"/>
          <w:tab w:val="left" w:pos="5472"/>
          <w:tab w:val="left" w:pos="5783"/>
          <w:tab w:val="left" w:pos="6095"/>
          <w:tab w:val="left" w:pos="6180"/>
        </w:tabs>
        <w:spacing w:before="80"/>
        <w:rPr>
          <w:color w:val="000000"/>
          <w:sz w:val="28"/>
          <w:vertAlign w:val="subscript"/>
          <w:lang w:val="en-US"/>
        </w:rPr>
      </w:pPr>
      <w:r w:rsidRPr="00CE4640">
        <w:rPr>
          <w:color w:val="000000"/>
          <w:lang w:val="en-US"/>
        </w:rPr>
        <w:tab/>
      </w:r>
      <w:r w:rsidRPr="00CE4640">
        <w:rPr>
          <w:i/>
          <w:iCs/>
          <w:color w:val="000000"/>
          <w:lang w:val="en-US"/>
        </w:rPr>
        <w:t>G</w:t>
      </w:r>
      <w:r w:rsidRPr="00CE4640">
        <w:rPr>
          <w:color w:val="000000"/>
          <w:lang w:val="en-US"/>
        </w:rPr>
        <w:t>(</w:t>
      </w:r>
      <w:r w:rsidRPr="00AE09A0">
        <w:rPr>
          <w:rFonts w:ascii="Symbol" w:hAnsi="Symbol"/>
          <w:color w:val="000000"/>
          <w:szCs w:val="24"/>
        </w:rPr>
        <w:sym w:font="Symbol" w:char="F079"/>
      </w:r>
      <w:r w:rsidRPr="00CE4640">
        <w:rPr>
          <w:color w:val="000000"/>
          <w:lang w:val="en-US"/>
        </w:rPr>
        <w:t xml:space="preserve">) = </w:t>
      </w:r>
      <w:r w:rsidRPr="00CE4640">
        <w:rPr>
          <w:i/>
          <w:iCs/>
          <w:color w:val="000000"/>
          <w:lang w:val="en-US"/>
        </w:rPr>
        <w:t>X</w:t>
      </w:r>
      <w:r w:rsidRPr="00CE4640">
        <w:rPr>
          <w:color w:val="000000"/>
          <w:lang w:val="en-US"/>
        </w:rPr>
        <w:t xml:space="preserve"> – 60 log (</w:t>
      </w:r>
      <w:r w:rsidRPr="00AE09A0">
        <w:rPr>
          <w:rFonts w:ascii="Symbol" w:hAnsi="Symbol"/>
          <w:color w:val="000000"/>
          <w:szCs w:val="24"/>
        </w:rPr>
        <w:sym w:font="Symbol" w:char="F079"/>
      </w:r>
      <w:r w:rsidRPr="00CE4640">
        <w:rPr>
          <w:color w:val="000000"/>
          <w:lang w:val="en-US"/>
        </w:rPr>
        <w:t>)</w:t>
      </w:r>
      <w:r w:rsidRPr="00CE4640">
        <w:rPr>
          <w:color w:val="000000"/>
          <w:lang w:val="en-US"/>
        </w:rPr>
        <w:tab/>
        <w:t>dBi</w:t>
      </w:r>
      <w:r w:rsidRPr="00CE4640">
        <w:rPr>
          <w:color w:val="000000"/>
          <w:lang w:val="en-US"/>
        </w:rPr>
        <w:tab/>
        <w:t>for</w:t>
      </w:r>
      <w:r w:rsidRPr="00CE4640">
        <w:rPr>
          <w:color w:val="000000"/>
          <w:lang w:val="en-US"/>
        </w:rPr>
        <w:tab/>
      </w:r>
      <w:r w:rsidRPr="00AE09A0">
        <w:rPr>
          <w:rFonts w:ascii="Symbol" w:hAnsi="Symbol"/>
          <w:color w:val="000000"/>
          <w:szCs w:val="24"/>
        </w:rPr>
        <w:sym w:font="Symbol" w:char="F079"/>
      </w:r>
      <w:r w:rsidRPr="00CE4640">
        <w:rPr>
          <w:color w:val="000000"/>
          <w:position w:val="-4"/>
          <w:sz w:val="20"/>
          <w:lang w:val="en-US"/>
        </w:rPr>
        <w:t>2</w:t>
      </w:r>
      <w:r w:rsidRPr="00CE4640">
        <w:rPr>
          <w:color w:val="000000"/>
          <w:lang w:val="en-US"/>
        </w:rPr>
        <w:tab/>
      </w:r>
      <w:r w:rsidRPr="00AE09A0">
        <w:rPr>
          <w:rFonts w:ascii="Symbol" w:hAnsi="Symbol"/>
          <w:color w:val="000000"/>
          <w:szCs w:val="24"/>
        </w:rPr>
        <w:sym w:font="Symbol" w:char="F03C"/>
      </w:r>
      <w:r w:rsidRPr="00CE4640">
        <w:rPr>
          <w:color w:val="000000"/>
          <w:lang w:val="en-US"/>
        </w:rPr>
        <w:t xml:space="preserve"> </w:t>
      </w:r>
      <w:r w:rsidRPr="00AE09A0">
        <w:rPr>
          <w:rFonts w:ascii="Symbol" w:hAnsi="Symbol"/>
          <w:color w:val="000000"/>
          <w:szCs w:val="24"/>
        </w:rPr>
        <w:sym w:font="Symbol" w:char="F079"/>
      </w:r>
      <w:r w:rsidRPr="00CE4640">
        <w:rPr>
          <w:color w:val="000000"/>
          <w:lang w:val="en-US"/>
        </w:rPr>
        <w:t xml:space="preserve"> </w:t>
      </w:r>
      <w:r w:rsidRPr="00AE09A0">
        <w:rPr>
          <w:rFonts w:ascii="Symbol" w:hAnsi="Symbol"/>
          <w:color w:val="000000"/>
          <w:szCs w:val="24"/>
        </w:rPr>
        <w:sym w:font="Symbol" w:char="F0A3"/>
      </w:r>
      <w:r w:rsidRPr="00CE4640">
        <w:rPr>
          <w:color w:val="000000"/>
          <w:lang w:val="en-US"/>
        </w:rPr>
        <w:t xml:space="preserve"> </w:t>
      </w:r>
      <w:r w:rsidRPr="00AE09A0">
        <w:rPr>
          <w:rFonts w:ascii="Symbol" w:hAnsi="Symbol"/>
          <w:color w:val="000000"/>
          <w:szCs w:val="24"/>
        </w:rPr>
        <w:sym w:font="Symbol" w:char="F079"/>
      </w:r>
      <w:r w:rsidRPr="00CE4640">
        <w:rPr>
          <w:color w:val="000000"/>
          <w:position w:val="-4"/>
          <w:sz w:val="20"/>
          <w:lang w:val="en-US"/>
        </w:rPr>
        <w:t>3</w:t>
      </w:r>
    </w:p>
    <w:p w:rsidR="00276CD5" w:rsidRPr="00CE4640" w:rsidRDefault="00276CD5" w:rsidP="00276CD5">
      <w:pPr>
        <w:pStyle w:val="Equation"/>
        <w:tabs>
          <w:tab w:val="center" w:pos="4111"/>
          <w:tab w:val="center" w:pos="5273"/>
          <w:tab w:val="left" w:pos="5472"/>
          <w:tab w:val="left" w:pos="5783"/>
          <w:tab w:val="left" w:pos="6095"/>
          <w:tab w:val="left" w:pos="6180"/>
        </w:tabs>
        <w:spacing w:before="80"/>
        <w:rPr>
          <w:color w:val="000000"/>
          <w:sz w:val="28"/>
          <w:vertAlign w:val="subscript"/>
          <w:lang w:val="en-US"/>
        </w:rPr>
      </w:pPr>
      <w:r w:rsidRPr="00CE4640">
        <w:rPr>
          <w:color w:val="000000"/>
          <w:lang w:val="en-US"/>
        </w:rPr>
        <w:tab/>
      </w:r>
      <w:r w:rsidRPr="00CE4640">
        <w:rPr>
          <w:i/>
          <w:iCs/>
          <w:color w:val="000000"/>
          <w:lang w:val="en-US"/>
        </w:rPr>
        <w:t>G</w:t>
      </w:r>
      <w:r w:rsidRPr="00CE4640">
        <w:rPr>
          <w:color w:val="000000"/>
          <w:lang w:val="en-US"/>
        </w:rPr>
        <w:t>(</w:t>
      </w:r>
      <w:r w:rsidRPr="00AE09A0">
        <w:rPr>
          <w:rFonts w:ascii="Symbol" w:hAnsi="Symbol"/>
          <w:color w:val="000000"/>
          <w:szCs w:val="24"/>
        </w:rPr>
        <w:sym w:font="Symbol" w:char="F079"/>
      </w:r>
      <w:r w:rsidRPr="00CE4640">
        <w:rPr>
          <w:color w:val="000000"/>
          <w:lang w:val="en-US"/>
        </w:rPr>
        <w:t xml:space="preserve">) = </w:t>
      </w:r>
      <w:r w:rsidRPr="00CE4640">
        <w:rPr>
          <w:i/>
          <w:iCs/>
          <w:color w:val="000000"/>
          <w:lang w:val="en-US"/>
        </w:rPr>
        <w:t>L</w:t>
      </w:r>
      <w:r w:rsidRPr="00CE4640">
        <w:rPr>
          <w:i/>
          <w:iCs/>
          <w:color w:val="000000"/>
          <w:position w:val="-4"/>
          <w:sz w:val="20"/>
          <w:lang w:val="en-US"/>
        </w:rPr>
        <w:t>F</w:t>
      </w:r>
      <w:r w:rsidRPr="00CE4640">
        <w:rPr>
          <w:color w:val="000000"/>
          <w:lang w:val="en-US"/>
        </w:rPr>
        <w:tab/>
        <w:t>dBi</w:t>
      </w:r>
      <w:r w:rsidRPr="00CE4640">
        <w:rPr>
          <w:color w:val="000000"/>
          <w:lang w:val="en-US"/>
        </w:rPr>
        <w:tab/>
        <w:t>for</w:t>
      </w:r>
      <w:r w:rsidRPr="00CE4640">
        <w:rPr>
          <w:color w:val="000000"/>
          <w:lang w:val="en-US"/>
        </w:rPr>
        <w:tab/>
      </w:r>
      <w:r w:rsidRPr="00AE09A0">
        <w:rPr>
          <w:rFonts w:ascii="Symbol" w:hAnsi="Symbol"/>
          <w:color w:val="000000"/>
          <w:szCs w:val="24"/>
        </w:rPr>
        <w:sym w:font="Symbol" w:char="F079"/>
      </w:r>
      <w:r w:rsidRPr="00CE4640">
        <w:rPr>
          <w:color w:val="000000"/>
          <w:position w:val="-4"/>
          <w:sz w:val="20"/>
          <w:lang w:val="en-US"/>
        </w:rPr>
        <w:t>3</w:t>
      </w:r>
      <w:r w:rsidRPr="00CE4640">
        <w:rPr>
          <w:color w:val="000000"/>
          <w:lang w:val="en-US"/>
        </w:rPr>
        <w:tab/>
      </w:r>
      <w:r w:rsidRPr="00AE09A0">
        <w:rPr>
          <w:rFonts w:ascii="Symbol" w:hAnsi="Symbol"/>
          <w:color w:val="000000"/>
          <w:szCs w:val="24"/>
        </w:rPr>
        <w:sym w:font="Symbol" w:char="F03C"/>
      </w:r>
      <w:r w:rsidRPr="00CE4640">
        <w:rPr>
          <w:color w:val="000000"/>
          <w:lang w:val="en-US"/>
        </w:rPr>
        <w:t xml:space="preserve"> </w:t>
      </w:r>
      <w:r w:rsidRPr="00AE09A0">
        <w:rPr>
          <w:rFonts w:ascii="Symbol" w:hAnsi="Symbol"/>
          <w:color w:val="000000"/>
          <w:szCs w:val="24"/>
        </w:rPr>
        <w:sym w:font="Symbol" w:char="F079"/>
      </w:r>
      <w:r w:rsidRPr="00CE4640">
        <w:rPr>
          <w:color w:val="000000"/>
          <w:lang w:val="en-US"/>
        </w:rPr>
        <w:t xml:space="preserve"> </w:t>
      </w:r>
      <w:r w:rsidRPr="00AE09A0">
        <w:rPr>
          <w:rFonts w:ascii="Symbol" w:hAnsi="Symbol"/>
          <w:color w:val="000000"/>
          <w:szCs w:val="24"/>
        </w:rPr>
        <w:sym w:font="Symbol" w:char="F0A3"/>
      </w:r>
      <w:r w:rsidRPr="00CE4640">
        <w:rPr>
          <w:color w:val="000000"/>
          <w:lang w:val="en-US"/>
        </w:rPr>
        <w:t xml:space="preserve"> 90</w:t>
      </w:r>
      <w:r w:rsidRPr="00AE09A0">
        <w:rPr>
          <w:rFonts w:ascii="Symbol" w:hAnsi="Symbol"/>
          <w:color w:val="000000"/>
          <w:szCs w:val="24"/>
        </w:rPr>
        <w:sym w:font="Symbol" w:char="F0B0"/>
      </w:r>
    </w:p>
    <w:p w:rsidR="00276CD5" w:rsidRPr="00CE4640" w:rsidRDefault="00276CD5" w:rsidP="00C936C9">
      <w:pPr>
        <w:keepNext/>
        <w:rPr>
          <w:lang w:val="en-US"/>
        </w:rPr>
      </w:pPr>
      <w:r w:rsidRPr="00CE4640">
        <w:rPr>
          <w:lang w:val="en-US"/>
        </w:rPr>
        <w:lastRenderedPageBreak/>
        <w:t>where:</w:t>
      </w:r>
    </w:p>
    <w:p w:rsidR="00276CD5" w:rsidRPr="00AE09A0" w:rsidRDefault="00276CD5" w:rsidP="00276CD5">
      <w:pPr>
        <w:pStyle w:val="Equationlegend"/>
      </w:pPr>
      <w:r w:rsidRPr="00AE09A0">
        <w:rPr>
          <w:i/>
          <w:iCs/>
        </w:rPr>
        <w:tab/>
        <w:t>G</w:t>
      </w:r>
      <w:r w:rsidRPr="00AE09A0">
        <w:t>(</w:t>
      </w:r>
      <w:r w:rsidRPr="00AE09A0">
        <w:rPr>
          <w:rFonts w:ascii="Symbol" w:hAnsi="Symbol"/>
          <w:szCs w:val="24"/>
        </w:rPr>
        <w:sym w:font="Symbol" w:char="F079"/>
      </w:r>
      <w:r w:rsidRPr="00AE09A0">
        <w:t>)</w:t>
      </w:r>
      <w:r w:rsidRPr="00AE09A0">
        <w:rPr>
          <w:rFonts w:ascii="Tms Rmn" w:hAnsi="Tms Rmn"/>
          <w:sz w:val="12"/>
        </w:rPr>
        <w:t xml:space="preserve">  </w:t>
      </w:r>
      <w:r w:rsidRPr="00AE09A0">
        <w:t>:</w:t>
      </w:r>
      <w:r w:rsidRPr="00AE09A0">
        <w:tab/>
        <w:t xml:space="preserve">gain at the angle </w:t>
      </w:r>
      <w:r w:rsidRPr="00AE09A0">
        <w:rPr>
          <w:szCs w:val="24"/>
        </w:rPr>
        <w:sym w:font="Symbol" w:char="F079"/>
      </w:r>
      <w:r w:rsidRPr="00AE09A0">
        <w:t xml:space="preserve"> from the main beam direction (dBi)</w:t>
      </w:r>
    </w:p>
    <w:p w:rsidR="00276CD5" w:rsidRPr="00AE09A0" w:rsidRDefault="00276CD5" w:rsidP="00276CD5">
      <w:pPr>
        <w:pStyle w:val="Equationlegend"/>
      </w:pPr>
      <w:r w:rsidRPr="00AE09A0">
        <w:rPr>
          <w:i/>
          <w:iCs/>
        </w:rPr>
        <w:tab/>
        <w:t>G</w:t>
      </w:r>
      <w:r w:rsidRPr="00AE09A0">
        <w:rPr>
          <w:i/>
          <w:iCs/>
          <w:position w:val="-4"/>
          <w:sz w:val="20"/>
        </w:rPr>
        <w:t>m</w:t>
      </w:r>
      <w:r w:rsidRPr="00AE09A0">
        <w:rPr>
          <w:rFonts w:ascii="Tms Rmn" w:hAnsi="Tms Rmn"/>
          <w:sz w:val="12"/>
        </w:rPr>
        <w:t xml:space="preserve"> </w:t>
      </w:r>
      <w:r w:rsidRPr="00AE09A0">
        <w:t>:</w:t>
      </w:r>
      <w:r w:rsidRPr="00AE09A0">
        <w:tab/>
        <w:t>maximum gain in the main lobe (dBi)</w:t>
      </w:r>
    </w:p>
    <w:p w:rsidR="00276CD5" w:rsidRPr="00AE09A0" w:rsidRDefault="00276CD5" w:rsidP="00276CD5">
      <w:pPr>
        <w:pStyle w:val="Equationlegend"/>
      </w:pPr>
      <w:r w:rsidRPr="00AE09A0">
        <w:rPr>
          <w:rFonts w:ascii="Symbol" w:hAnsi="Symbol"/>
        </w:rPr>
        <w:tab/>
      </w:r>
      <w:r w:rsidRPr="00AE09A0">
        <w:rPr>
          <w:rFonts w:ascii="Symbol" w:hAnsi="Symbol"/>
          <w:szCs w:val="24"/>
        </w:rPr>
        <w:sym w:font="Symbol" w:char="F079"/>
      </w:r>
      <w:r w:rsidRPr="00AE09A0">
        <w:rPr>
          <w:i/>
          <w:iCs/>
          <w:position w:val="-4"/>
          <w:sz w:val="20"/>
        </w:rPr>
        <w:t>b</w:t>
      </w:r>
      <w:r w:rsidRPr="00AE09A0">
        <w:t xml:space="preserve">: </w:t>
      </w:r>
      <w:r w:rsidRPr="00AE09A0">
        <w:tab/>
        <w:t xml:space="preserve">one half of the 3 dB beamwidth in the plane considered (3 dB below </w:t>
      </w:r>
      <w:r w:rsidRPr="00AE09A0">
        <w:rPr>
          <w:i/>
          <w:iCs/>
        </w:rPr>
        <w:t>G</w:t>
      </w:r>
      <w:r w:rsidRPr="00AE09A0">
        <w:rPr>
          <w:i/>
          <w:iCs/>
          <w:position w:val="-4"/>
          <w:sz w:val="20"/>
        </w:rPr>
        <w:t>m</w:t>
      </w:r>
      <w:r w:rsidRPr="00AE09A0">
        <w:t>) (degrees)</w:t>
      </w:r>
    </w:p>
    <w:p w:rsidR="00276CD5" w:rsidRPr="00AE09A0" w:rsidRDefault="00276CD5" w:rsidP="00276CD5">
      <w:pPr>
        <w:pStyle w:val="Equationlegend"/>
      </w:pPr>
      <w:r w:rsidRPr="00AE09A0">
        <w:rPr>
          <w:i/>
          <w:iCs/>
        </w:rPr>
        <w:tab/>
        <w:t>L</w:t>
      </w:r>
      <w:r w:rsidRPr="00AE09A0">
        <w:rPr>
          <w:i/>
          <w:iCs/>
          <w:position w:val="-4"/>
          <w:sz w:val="20"/>
        </w:rPr>
        <w:t>N</w:t>
      </w:r>
      <w:r w:rsidRPr="00AE09A0">
        <w:rPr>
          <w:rFonts w:ascii="Tms Rmn" w:hAnsi="Tms Rmn"/>
          <w:sz w:val="12"/>
        </w:rPr>
        <w:t> </w:t>
      </w:r>
      <w:r w:rsidRPr="00AE09A0">
        <w:t xml:space="preserve">: </w:t>
      </w:r>
      <w:r w:rsidRPr="00AE09A0">
        <w:tab/>
        <w:t>near side-lobe level (dB) relative to the peak gain required by the system design, and has a maximum value of −25 dB</w:t>
      </w:r>
    </w:p>
    <w:p w:rsidR="00276CD5" w:rsidRPr="00AE09A0" w:rsidRDefault="00276CD5" w:rsidP="00276CD5">
      <w:pPr>
        <w:pStyle w:val="Equationlegend"/>
      </w:pPr>
      <w:r w:rsidRPr="00AE09A0">
        <w:rPr>
          <w:i/>
          <w:iCs/>
        </w:rPr>
        <w:tab/>
        <w:t>L</w:t>
      </w:r>
      <w:r w:rsidRPr="00AE09A0">
        <w:rPr>
          <w:i/>
          <w:iCs/>
          <w:position w:val="-4"/>
          <w:sz w:val="20"/>
        </w:rPr>
        <w:t>F</w:t>
      </w:r>
      <w:r w:rsidRPr="00AE09A0">
        <w:rPr>
          <w:rFonts w:ascii="Tms Rmn" w:hAnsi="Tms Rmn"/>
          <w:sz w:val="12"/>
        </w:rPr>
        <w:t xml:space="preserve"> </w:t>
      </w:r>
      <w:r w:rsidRPr="00AE09A0">
        <w:t>:</w:t>
      </w:r>
      <w:r w:rsidRPr="00AE09A0">
        <w:tab/>
        <w:t xml:space="preserve">far side-lobe level, </w:t>
      </w:r>
      <w:r w:rsidRPr="00AE09A0">
        <w:rPr>
          <w:i/>
          <w:iCs/>
        </w:rPr>
        <w:t>G</w:t>
      </w:r>
      <w:r w:rsidRPr="00AE09A0">
        <w:rPr>
          <w:i/>
          <w:iCs/>
          <w:position w:val="-4"/>
          <w:sz w:val="20"/>
        </w:rPr>
        <w:t>m</w:t>
      </w:r>
      <w:r w:rsidRPr="00AE09A0">
        <w:t> − 73 dBi</w:t>
      </w:r>
    </w:p>
    <w:p w:rsidR="00276CD5" w:rsidRPr="00AE09A0" w:rsidRDefault="00276CD5" w:rsidP="00276CD5">
      <w:pPr>
        <w:pStyle w:val="Equationlegend"/>
      </w:pPr>
      <w:r w:rsidRPr="00AE09A0">
        <w:tab/>
      </w:r>
      <w:r w:rsidRPr="00AE09A0">
        <w:rPr>
          <w:rFonts w:ascii="Symbol" w:hAnsi="Symbol"/>
          <w:szCs w:val="24"/>
        </w:rPr>
        <w:sym w:font="Symbol" w:char="F079"/>
      </w:r>
      <w:r w:rsidRPr="00AE09A0">
        <w:rPr>
          <w:position w:val="-4"/>
          <w:sz w:val="20"/>
        </w:rPr>
        <w:t>1</w:t>
      </w:r>
      <w:r w:rsidRPr="00AE09A0">
        <w:t xml:space="preserve"> </w:t>
      </w:r>
      <w:r w:rsidRPr="00AE09A0">
        <w:rPr>
          <w:rFonts w:ascii="Symbol" w:hAnsi="Symbol"/>
        </w:rPr>
        <w:t></w:t>
      </w:r>
      <w:r w:rsidRPr="00AE09A0">
        <w:t xml:space="preserve"> </w:t>
      </w:r>
      <w:r w:rsidRPr="00AE09A0">
        <w:tab/>
      </w:r>
      <w:r w:rsidRPr="00AE09A0">
        <w:rPr>
          <w:szCs w:val="24"/>
        </w:rPr>
        <w:sym w:font="Symbol" w:char="F079"/>
      </w:r>
      <w:r w:rsidRPr="00AE09A0">
        <w:rPr>
          <w:i/>
          <w:iCs/>
          <w:position w:val="-4"/>
          <w:sz w:val="20"/>
        </w:rPr>
        <w:t>b</w:t>
      </w:r>
      <w:r w:rsidRPr="00AE09A0">
        <w:t xml:space="preserve"> </w:t>
      </w:r>
      <w:r w:rsidRPr="00AE09A0">
        <w:rPr>
          <w:position w:val="-16"/>
        </w:rPr>
        <w:object w:dxaOrig="960" w:dyaOrig="420">
          <v:shape id="_x0000_i1029" type="#_x0000_t75" style="width:48pt;height:21pt" o:ole="">
            <v:imagedata r:id="rId19" o:title=""/>
          </v:shape>
          <o:OLEObject Type="Embed" ProgID="Equation.3" ShapeID="_x0000_i1029" DrawAspect="Content" ObjectID="_1368614604" r:id="rId20"/>
        </w:object>
      </w:r>
      <w:r w:rsidRPr="00AE09A0">
        <w:tab/>
        <w:t>degrees</w:t>
      </w:r>
    </w:p>
    <w:p w:rsidR="00276CD5" w:rsidRPr="00AE09A0" w:rsidRDefault="00276CD5" w:rsidP="00276CD5">
      <w:pPr>
        <w:pStyle w:val="Equationlegend"/>
      </w:pPr>
      <w:r w:rsidRPr="00AE09A0">
        <w:tab/>
      </w:r>
      <w:r w:rsidRPr="00AE09A0">
        <w:rPr>
          <w:rFonts w:ascii="Symbol" w:hAnsi="Symbol"/>
          <w:szCs w:val="24"/>
        </w:rPr>
        <w:sym w:font="Symbol" w:char="F079"/>
      </w:r>
      <w:r w:rsidRPr="00AE09A0">
        <w:rPr>
          <w:position w:val="-4"/>
          <w:sz w:val="20"/>
        </w:rPr>
        <w:t>2</w:t>
      </w:r>
      <w:r w:rsidRPr="00AE09A0">
        <w:rPr>
          <w:sz w:val="28"/>
          <w:vertAlign w:val="subscript"/>
        </w:rPr>
        <w:t xml:space="preserve"> </w:t>
      </w:r>
      <w:r w:rsidRPr="00AE09A0">
        <w:rPr>
          <w:rFonts w:ascii="Symbol" w:hAnsi="Symbol"/>
        </w:rPr>
        <w:t></w:t>
      </w:r>
      <w:r w:rsidRPr="00AE09A0">
        <w:t xml:space="preserve"> </w:t>
      </w:r>
      <w:r w:rsidRPr="00AE09A0">
        <w:tab/>
        <w:t xml:space="preserve">3.745 </w:t>
      </w:r>
      <w:r w:rsidRPr="00AE09A0">
        <w:rPr>
          <w:szCs w:val="24"/>
        </w:rPr>
        <w:sym w:font="Symbol" w:char="F079"/>
      </w:r>
      <w:r w:rsidRPr="00AE09A0">
        <w:rPr>
          <w:i/>
          <w:iCs/>
          <w:position w:val="-4"/>
          <w:sz w:val="20"/>
        </w:rPr>
        <w:t>b</w:t>
      </w:r>
      <w:r w:rsidRPr="00AE09A0">
        <w:t xml:space="preserve">    </w:t>
      </w:r>
      <w:r w:rsidRPr="00AE09A0">
        <w:tab/>
        <w:t>degrees</w:t>
      </w:r>
    </w:p>
    <w:p w:rsidR="00276CD5" w:rsidRPr="00AE09A0" w:rsidRDefault="00276CD5" w:rsidP="00276CD5">
      <w:pPr>
        <w:pStyle w:val="Equationlegend"/>
      </w:pPr>
      <w:r w:rsidRPr="00AE09A0">
        <w:tab/>
      </w:r>
      <w:r w:rsidRPr="00AE09A0">
        <w:rPr>
          <w:i/>
          <w:iCs/>
        </w:rPr>
        <w:t>X</w:t>
      </w:r>
      <w:r w:rsidRPr="00AE09A0">
        <w:t xml:space="preserve"> </w:t>
      </w:r>
      <w:r w:rsidRPr="00AE09A0">
        <w:rPr>
          <w:rFonts w:ascii="Symbol" w:hAnsi="Symbol"/>
        </w:rPr>
        <w:t></w:t>
      </w:r>
      <w:r w:rsidRPr="00AE09A0">
        <w:t xml:space="preserve"> </w:t>
      </w:r>
      <w:r w:rsidRPr="00AE09A0">
        <w:tab/>
      </w:r>
      <w:r w:rsidRPr="00AE09A0">
        <w:rPr>
          <w:i/>
          <w:iCs/>
        </w:rPr>
        <w:t>G</w:t>
      </w:r>
      <w:r w:rsidRPr="00AE09A0">
        <w:rPr>
          <w:i/>
          <w:iCs/>
          <w:position w:val="-4"/>
          <w:sz w:val="20"/>
        </w:rPr>
        <w:t>m</w:t>
      </w:r>
      <w:r w:rsidRPr="00AE09A0">
        <w:t xml:space="preserve"> </w:t>
      </w:r>
      <w:r w:rsidRPr="00AE09A0">
        <w:rPr>
          <w:rFonts w:ascii="Symbol" w:hAnsi="Symbol"/>
        </w:rPr>
        <w:t></w:t>
      </w:r>
      <w:r w:rsidRPr="00AE09A0">
        <w:t xml:space="preserve"> </w:t>
      </w:r>
      <w:r w:rsidRPr="00AE09A0">
        <w:rPr>
          <w:i/>
          <w:iCs/>
        </w:rPr>
        <w:t>L</w:t>
      </w:r>
      <w:r w:rsidRPr="00AE09A0">
        <w:rPr>
          <w:i/>
          <w:iCs/>
          <w:position w:val="-4"/>
          <w:sz w:val="20"/>
        </w:rPr>
        <w:t>N</w:t>
      </w:r>
      <w:r w:rsidRPr="00AE09A0">
        <w:t xml:space="preserve"> + 60 log (</w:t>
      </w:r>
      <w:r w:rsidRPr="00AE09A0">
        <w:rPr>
          <w:szCs w:val="24"/>
        </w:rPr>
        <w:sym w:font="Symbol" w:char="F079"/>
      </w:r>
      <w:r w:rsidRPr="00AE09A0">
        <w:rPr>
          <w:position w:val="-4"/>
          <w:sz w:val="20"/>
        </w:rPr>
        <w:t>2</w:t>
      </w:r>
      <w:r w:rsidRPr="00AE09A0">
        <w:t>)   dBi</w:t>
      </w:r>
    </w:p>
    <w:p w:rsidR="00276CD5" w:rsidRPr="00AE09A0" w:rsidRDefault="00276CD5" w:rsidP="00276CD5">
      <w:pPr>
        <w:pStyle w:val="Equationlegend"/>
      </w:pPr>
      <w:r w:rsidRPr="00AE09A0">
        <w:tab/>
      </w:r>
      <w:r w:rsidRPr="00AE09A0">
        <w:rPr>
          <w:rFonts w:ascii="Symbol" w:hAnsi="Symbol"/>
          <w:szCs w:val="24"/>
        </w:rPr>
        <w:sym w:font="Symbol" w:char="F079"/>
      </w:r>
      <w:r w:rsidRPr="00AE09A0">
        <w:rPr>
          <w:position w:val="-4"/>
          <w:sz w:val="20"/>
        </w:rPr>
        <w:t>3</w:t>
      </w:r>
      <w:r w:rsidRPr="00AE09A0">
        <w:t xml:space="preserve"> = </w:t>
      </w:r>
      <w:r w:rsidRPr="00AE09A0">
        <w:tab/>
      </w:r>
      <w:r w:rsidRPr="00AE09A0">
        <w:rPr>
          <w:position w:val="-6"/>
        </w:rPr>
        <w:object w:dxaOrig="1280" w:dyaOrig="380">
          <v:shape id="_x0000_i1030" type="#_x0000_t75" style="width:63pt;height:18.6pt" o:ole="">
            <v:imagedata r:id="rId21" o:title=""/>
          </v:shape>
          <o:OLEObject Type="Embed" ProgID="Equation.3" ShapeID="_x0000_i1030" DrawAspect="Content" ObjectID="_1368614605" r:id="rId22"/>
        </w:object>
      </w:r>
      <w:r w:rsidRPr="00AE09A0">
        <w:tab/>
        <w:t>degrees.</w:t>
      </w:r>
    </w:p>
    <w:p w:rsidR="00276CD5" w:rsidRPr="00CE4640" w:rsidRDefault="00276CD5" w:rsidP="00276CD5">
      <w:pPr>
        <w:rPr>
          <w:color w:val="000000"/>
          <w:lang w:val="en-US"/>
        </w:rPr>
      </w:pPr>
      <w:r w:rsidRPr="00CE4640">
        <w:rPr>
          <w:color w:val="000000"/>
          <w:lang w:val="en-US"/>
        </w:rPr>
        <w:t>The 3 dB beamwidth (2</w:t>
      </w:r>
      <w:r w:rsidRPr="00AE09A0">
        <w:rPr>
          <w:color w:val="000000"/>
          <w:szCs w:val="24"/>
        </w:rPr>
        <w:sym w:font="Symbol" w:char="F079"/>
      </w:r>
      <w:r w:rsidRPr="00CE4640">
        <w:rPr>
          <w:i/>
          <w:iCs/>
          <w:color w:val="000000"/>
          <w:position w:val="-4"/>
          <w:sz w:val="20"/>
          <w:lang w:val="en-US"/>
        </w:rPr>
        <w:t>b</w:t>
      </w:r>
      <w:r w:rsidRPr="00CE4640">
        <w:rPr>
          <w:color w:val="000000"/>
          <w:lang w:val="en-US"/>
        </w:rPr>
        <w:t>) is estimated by:</w:t>
      </w:r>
    </w:p>
    <w:p w:rsidR="00276CD5" w:rsidRPr="00CE4640" w:rsidRDefault="00276CD5" w:rsidP="00276CD5">
      <w:pPr>
        <w:pStyle w:val="Equation"/>
        <w:tabs>
          <w:tab w:val="left" w:pos="1418"/>
          <w:tab w:val="right" w:pos="1814"/>
          <w:tab w:val="left" w:pos="1985"/>
          <w:tab w:val="left" w:pos="3686"/>
          <w:tab w:val="left" w:pos="4536"/>
        </w:tabs>
        <w:rPr>
          <w:color w:val="000000"/>
          <w:lang w:val="en-US"/>
        </w:rPr>
      </w:pPr>
      <w:r w:rsidRPr="00CE4640">
        <w:rPr>
          <w:color w:val="000000"/>
          <w:lang w:val="en-US"/>
        </w:rPr>
        <w:tab/>
        <w:t>(</w:t>
      </w:r>
      <w:r w:rsidRPr="00AE09A0">
        <w:rPr>
          <w:rFonts w:ascii="Symbol" w:hAnsi="Symbol"/>
          <w:color w:val="000000"/>
          <w:szCs w:val="24"/>
        </w:rPr>
        <w:sym w:font="Symbol" w:char="F079"/>
      </w:r>
      <w:r w:rsidRPr="00CE4640">
        <w:rPr>
          <w:i/>
          <w:iCs/>
          <w:color w:val="000000"/>
          <w:position w:val="-4"/>
          <w:sz w:val="20"/>
          <w:lang w:val="en-US"/>
        </w:rPr>
        <w:t>b</w:t>
      </w:r>
      <w:r w:rsidRPr="00CE4640">
        <w:rPr>
          <w:color w:val="000000"/>
          <w:lang w:val="en-US"/>
        </w:rPr>
        <w:t>)</w:t>
      </w:r>
      <w:r w:rsidRPr="00CE4640">
        <w:rPr>
          <w:color w:val="000000"/>
          <w:position w:val="6"/>
          <w:sz w:val="20"/>
          <w:lang w:val="en-US"/>
        </w:rPr>
        <w:t>2</w:t>
      </w:r>
      <w:r w:rsidRPr="00CE4640">
        <w:rPr>
          <w:color w:val="000000"/>
          <w:lang w:val="en-US"/>
        </w:rPr>
        <w:t xml:space="preserve"> </w:t>
      </w:r>
      <w:r w:rsidRPr="00AE09A0">
        <w:rPr>
          <w:rFonts w:ascii="Symbol" w:hAnsi="Symbol"/>
          <w:color w:val="000000"/>
        </w:rPr>
        <w:t></w:t>
      </w:r>
      <w:r w:rsidRPr="00CE4640">
        <w:rPr>
          <w:color w:val="000000"/>
          <w:lang w:val="en-US"/>
        </w:rPr>
        <w:t xml:space="preserve"> 7</w:t>
      </w:r>
      <w:r w:rsidRPr="00CE4640">
        <w:rPr>
          <w:rFonts w:ascii="Tms Rmn" w:hAnsi="Tms Rmn"/>
          <w:color w:val="000000"/>
          <w:sz w:val="12"/>
          <w:lang w:val="en-US"/>
        </w:rPr>
        <w:t> </w:t>
      </w:r>
      <w:r w:rsidRPr="00CE4640">
        <w:rPr>
          <w:color w:val="000000"/>
          <w:lang w:val="en-US"/>
        </w:rPr>
        <w:t>442/(10</w:t>
      </w:r>
      <w:r w:rsidRPr="00CE4640">
        <w:rPr>
          <w:color w:val="000000"/>
          <w:position w:val="6"/>
          <w:sz w:val="20"/>
          <w:lang w:val="en-US"/>
        </w:rPr>
        <w:t>0.1</w:t>
      </w:r>
      <w:r w:rsidRPr="00CE4640">
        <w:rPr>
          <w:i/>
          <w:iCs/>
          <w:color w:val="000000"/>
          <w:position w:val="6"/>
          <w:sz w:val="20"/>
          <w:lang w:val="en-US"/>
        </w:rPr>
        <w:t>G</w:t>
      </w:r>
      <w:r w:rsidRPr="00CE4640">
        <w:rPr>
          <w:i/>
          <w:iCs/>
          <w:color w:val="000000"/>
          <w:position w:val="6"/>
          <w:sz w:val="20"/>
          <w:vertAlign w:val="subscript"/>
          <w:lang w:val="en-US"/>
        </w:rPr>
        <w:t>m</w:t>
      </w:r>
      <w:r w:rsidRPr="00CE4640">
        <w:rPr>
          <w:color w:val="000000"/>
          <w:lang w:val="en-US"/>
        </w:rPr>
        <w:t>)</w:t>
      </w:r>
      <w:r w:rsidRPr="00CE4640">
        <w:rPr>
          <w:color w:val="000000"/>
          <w:lang w:val="en-US"/>
        </w:rPr>
        <w:tab/>
        <w:t>degrees</w:t>
      </w:r>
      <w:r w:rsidRPr="00CE4640">
        <w:rPr>
          <w:color w:val="000000"/>
          <w:vertAlign w:val="superscript"/>
          <w:lang w:val="en-US"/>
        </w:rPr>
        <w:t>2</w:t>
      </w:r>
      <w:r w:rsidR="00597AE8">
        <w:rPr>
          <w:color w:val="000000"/>
          <w:lang w:val="en-US"/>
        </w:rPr>
        <w:t>.</w:t>
      </w:r>
    </w:p>
    <w:p w:rsidR="00276CD5" w:rsidRDefault="00276CD5" w:rsidP="00276CD5">
      <w:pPr>
        <w:rPr>
          <w:bCs/>
          <w:lang w:val="en-US"/>
        </w:rPr>
      </w:pPr>
      <w:r w:rsidRPr="00CE4640">
        <w:rPr>
          <w:lang w:val="en-US"/>
        </w:rPr>
        <w:t xml:space="preserve">The antenna roll-off factor of 60 dB per decade is used for these high performance multibeam phased array antennas in accordance with the antenna radiation mask as specified in Resolution </w:t>
      </w:r>
      <w:r w:rsidRPr="00CE4640">
        <w:rPr>
          <w:bCs/>
          <w:lang w:val="en-US"/>
        </w:rPr>
        <w:t xml:space="preserve">221 </w:t>
      </w:r>
      <w:r w:rsidRPr="00CE4640">
        <w:rPr>
          <w:bCs/>
          <w:lang w:val="en-US" w:eastAsia="ko-KR"/>
        </w:rPr>
        <w:t>(Rev.WRC-07)</w:t>
      </w:r>
      <w:r w:rsidRPr="00CE4640">
        <w:rPr>
          <w:bCs/>
          <w:lang w:val="en-US"/>
        </w:rPr>
        <w:t>.</w:t>
      </w:r>
    </w:p>
    <w:p w:rsidR="00C936C9" w:rsidRPr="00CE4640" w:rsidRDefault="00C936C9" w:rsidP="00276CD5">
      <w:pPr>
        <w:rPr>
          <w:lang w:val="en-US"/>
        </w:rPr>
      </w:pPr>
    </w:p>
    <w:p w:rsidR="00276CD5" w:rsidRPr="00CE4640" w:rsidRDefault="00276CD5" w:rsidP="00276CD5">
      <w:pPr>
        <w:pStyle w:val="FigureNo"/>
        <w:rPr>
          <w:lang w:val="en-US"/>
        </w:rPr>
      </w:pPr>
      <w:r w:rsidRPr="00CE4640">
        <w:rPr>
          <w:lang w:val="en-US"/>
        </w:rPr>
        <w:t>Figure 5</w:t>
      </w:r>
    </w:p>
    <w:p w:rsidR="00276CD5" w:rsidRDefault="00276CD5" w:rsidP="00276CD5">
      <w:pPr>
        <w:pStyle w:val="Figuretitle"/>
        <w:rPr>
          <w:lang w:val="en-US"/>
        </w:rPr>
      </w:pPr>
      <w:r w:rsidRPr="00CE4640">
        <w:rPr>
          <w:lang w:val="en-US"/>
        </w:rPr>
        <w:t>HAPS gateway station reference antenna pattern for 47 dBi antenna</w:t>
      </w:r>
    </w:p>
    <w:p w:rsidR="00BA7F7B" w:rsidRPr="00BA7F7B" w:rsidRDefault="00AC18B2" w:rsidP="00BA7F7B">
      <w:pPr>
        <w:pStyle w:val="Figure"/>
        <w:rPr>
          <w:lang w:val="en-US"/>
        </w:rPr>
      </w:pPr>
      <w:r>
        <w:rPr>
          <w:lang w:val="en-US"/>
        </w:rPr>
        <w:pict>
          <v:shape id="_x0000_i1031" type="#_x0000_t75" style="width:339.6pt;height:300pt">
            <v:imagedata r:id="rId23" o:title=""/>
          </v:shape>
        </w:pict>
      </w:r>
    </w:p>
    <w:p w:rsidR="00276CD5" w:rsidRPr="00CE4640" w:rsidRDefault="00276CD5" w:rsidP="00BA7F7B">
      <w:pPr>
        <w:pStyle w:val="FigureNo"/>
        <w:rPr>
          <w:lang w:val="en-US"/>
        </w:rPr>
      </w:pPr>
      <w:r w:rsidRPr="00CE4640">
        <w:rPr>
          <w:lang w:val="en-US"/>
        </w:rPr>
        <w:lastRenderedPageBreak/>
        <w:t>Figure 6</w:t>
      </w:r>
    </w:p>
    <w:p w:rsidR="00276CD5" w:rsidRDefault="00276CD5" w:rsidP="00276CD5">
      <w:pPr>
        <w:pStyle w:val="Figuretitle"/>
        <w:rPr>
          <w:lang w:val="en-US"/>
        </w:rPr>
      </w:pPr>
      <w:r w:rsidRPr="00CE4640">
        <w:rPr>
          <w:lang w:val="en-US"/>
        </w:rPr>
        <w:t>HAPS platform station reference antenna pattern for 30 dBi antenna</w:t>
      </w:r>
    </w:p>
    <w:p w:rsidR="00BA7F7B" w:rsidRPr="00BA7F7B" w:rsidRDefault="00AC18B2" w:rsidP="00BA7F7B">
      <w:pPr>
        <w:pStyle w:val="Figure"/>
        <w:rPr>
          <w:lang w:val="en-US"/>
        </w:rPr>
      </w:pPr>
      <w:r>
        <w:rPr>
          <w:lang w:val="en-US"/>
        </w:rPr>
        <w:pict>
          <v:shape id="_x0000_i1032" type="#_x0000_t75" style="width:343.8pt;height:307.8pt">
            <v:imagedata r:id="rId24" o:title=""/>
          </v:shape>
        </w:pict>
      </w:r>
    </w:p>
    <w:p w:rsidR="00C936C9" w:rsidRDefault="00C936C9" w:rsidP="00C936C9">
      <w:pPr>
        <w:rPr>
          <w:lang w:val="en-US" w:eastAsia="ko-KR"/>
        </w:rPr>
      </w:pPr>
    </w:p>
    <w:p w:rsidR="00276CD5" w:rsidRPr="00CE4640" w:rsidRDefault="00276CD5" w:rsidP="00276CD5">
      <w:pPr>
        <w:pStyle w:val="Heading1"/>
        <w:rPr>
          <w:lang w:val="en-US"/>
        </w:rPr>
      </w:pPr>
      <w:r w:rsidRPr="00CE4640">
        <w:rPr>
          <w:szCs w:val="24"/>
          <w:lang w:val="en-US" w:eastAsia="ko-KR"/>
        </w:rPr>
        <w:t>9</w:t>
      </w:r>
      <w:r w:rsidRPr="00CE4640">
        <w:rPr>
          <w:szCs w:val="24"/>
          <w:lang w:val="en-US" w:eastAsia="ko-KR"/>
        </w:rPr>
        <w:tab/>
      </w:r>
      <w:r w:rsidRPr="00CE4640">
        <w:rPr>
          <w:lang w:val="en-US"/>
        </w:rPr>
        <w:t>Adaptive modulation for gateway links</w:t>
      </w:r>
    </w:p>
    <w:p w:rsidR="00276CD5" w:rsidRPr="00CE4640" w:rsidRDefault="00276CD5" w:rsidP="00276CD5">
      <w:pPr>
        <w:rPr>
          <w:lang w:val="en-US"/>
        </w:rPr>
      </w:pPr>
      <w:r w:rsidRPr="00CE4640">
        <w:rPr>
          <w:lang w:val="en-US"/>
        </w:rPr>
        <w:t xml:space="preserve">Each individual gateway link uses adaptive modulation which provides capacity resilience by automatically reducing the modulation level in the event of higher intermittent interference and noise levels. Each gateway link can adjust its modulation level independent of each other gateway link and depending on the </w:t>
      </w:r>
      <w:r w:rsidRPr="00CE4640">
        <w:rPr>
          <w:i/>
          <w:iCs/>
          <w:lang w:val="en-US"/>
        </w:rPr>
        <w:t>C</w:t>
      </w:r>
      <w:r w:rsidRPr="00CE4640">
        <w:rPr>
          <w:lang w:val="en-US"/>
        </w:rPr>
        <w:t>/(</w:t>
      </w:r>
      <w:r w:rsidRPr="00CE4640">
        <w:rPr>
          <w:i/>
          <w:iCs/>
          <w:lang w:val="en-US"/>
        </w:rPr>
        <w:t>N </w:t>
      </w:r>
      <w:r w:rsidRPr="00CE4640">
        <w:rPr>
          <w:lang w:val="en-US"/>
        </w:rPr>
        <w:t>+ </w:t>
      </w:r>
      <w:r w:rsidRPr="00CE4640">
        <w:rPr>
          <w:i/>
          <w:iCs/>
          <w:lang w:val="en-US"/>
        </w:rPr>
        <w:t>I</w:t>
      </w:r>
      <w:r w:rsidRPr="00CE4640">
        <w:rPr>
          <w:i/>
          <w:iCs/>
          <w:vertAlign w:val="subscript"/>
          <w:lang w:val="en-US"/>
        </w:rPr>
        <w:t>ToT</w:t>
      </w:r>
      <w:r w:rsidRPr="00CE4640">
        <w:rPr>
          <w:lang w:val="en-US"/>
        </w:rPr>
        <w:t xml:space="preserve">) level each one receives. Table 4 shows the specific </w:t>
      </w:r>
      <w:r w:rsidRPr="00CE4640">
        <w:rPr>
          <w:i/>
          <w:iCs/>
          <w:lang w:val="en-US"/>
        </w:rPr>
        <w:t>C</w:t>
      </w:r>
      <w:r w:rsidRPr="00CE4640">
        <w:rPr>
          <w:lang w:val="en-US"/>
        </w:rPr>
        <w:t>/(</w:t>
      </w:r>
      <w:r w:rsidRPr="00CE4640">
        <w:rPr>
          <w:i/>
          <w:iCs/>
          <w:lang w:val="en-US"/>
        </w:rPr>
        <w:t>N </w:t>
      </w:r>
      <w:r w:rsidRPr="00CE4640">
        <w:rPr>
          <w:lang w:val="en-US"/>
        </w:rPr>
        <w:t>+ </w:t>
      </w:r>
      <w:r w:rsidRPr="00CE4640">
        <w:rPr>
          <w:i/>
          <w:iCs/>
          <w:lang w:val="en-US"/>
        </w:rPr>
        <w:t>I</w:t>
      </w:r>
      <w:r w:rsidRPr="00CE4640">
        <w:rPr>
          <w:i/>
          <w:iCs/>
          <w:vertAlign w:val="subscript"/>
          <w:lang w:val="en-US"/>
        </w:rPr>
        <w:t>ToT</w:t>
      </w:r>
      <w:r w:rsidRPr="00CE4640">
        <w:rPr>
          <w:lang w:val="en-US"/>
        </w:rPr>
        <w:t>) needed to maintain a particular gateway modulation level and the single-link capacity for a given gateway link spectrum available. Each of the five gateway links reuses the same 160 MHz spectrum.</w:t>
      </w:r>
    </w:p>
    <w:p w:rsidR="00C936C9" w:rsidRDefault="00C936C9" w:rsidP="00C936C9">
      <w:pPr>
        <w:rPr>
          <w:lang w:val="en-US"/>
        </w:rPr>
      </w:pPr>
      <w:r w:rsidRPr="00597AE8">
        <w:rPr>
          <w:lang w:val="en-US"/>
        </w:rPr>
        <w:t xml:space="preserve">The short-term </w:t>
      </w:r>
      <w:r w:rsidRPr="00597AE8">
        <w:rPr>
          <w:i/>
          <w:iCs/>
          <w:lang w:val="en-US"/>
        </w:rPr>
        <w:t>C</w:t>
      </w:r>
      <w:r w:rsidRPr="00597AE8">
        <w:rPr>
          <w:lang w:val="en-US"/>
        </w:rPr>
        <w:t>/</w:t>
      </w:r>
      <w:r w:rsidRPr="00597AE8">
        <w:rPr>
          <w:i/>
          <w:iCs/>
          <w:lang w:val="en-US"/>
        </w:rPr>
        <w:t>I</w:t>
      </w:r>
      <w:r w:rsidRPr="00597AE8">
        <w:rPr>
          <w:i/>
          <w:iCs/>
          <w:vertAlign w:val="subscript"/>
          <w:lang w:val="en-US"/>
        </w:rPr>
        <w:t>EX</w:t>
      </w:r>
      <w:r w:rsidRPr="00597AE8">
        <w:rPr>
          <w:lang w:val="en-US"/>
        </w:rPr>
        <w:t xml:space="preserve"> should not be smaller than 12 dB for more than 0.001% of the time and the long-term </w:t>
      </w:r>
      <w:r w:rsidRPr="00597AE8">
        <w:rPr>
          <w:i/>
          <w:iCs/>
          <w:lang w:val="en-US"/>
        </w:rPr>
        <w:t>C</w:t>
      </w:r>
      <w:r w:rsidRPr="00597AE8">
        <w:rPr>
          <w:lang w:val="en-US"/>
        </w:rPr>
        <w:t>/</w:t>
      </w:r>
      <w:r w:rsidRPr="00597AE8">
        <w:rPr>
          <w:i/>
          <w:iCs/>
          <w:lang w:val="en-US"/>
        </w:rPr>
        <w:t>I</w:t>
      </w:r>
      <w:r w:rsidRPr="00597AE8">
        <w:rPr>
          <w:i/>
          <w:iCs/>
          <w:vertAlign w:val="subscript"/>
          <w:lang w:val="en-US"/>
        </w:rPr>
        <w:t>EX</w:t>
      </w:r>
      <w:r w:rsidRPr="00597AE8">
        <w:rPr>
          <w:lang w:val="en-US"/>
        </w:rPr>
        <w:t xml:space="preserve"> should not be less than 27 dB for more than 20% of the time. </w:t>
      </w:r>
      <w:r w:rsidRPr="00597AE8">
        <w:rPr>
          <w:i/>
          <w:iCs/>
          <w:lang w:val="en-US"/>
        </w:rPr>
        <w:t>C</w:t>
      </w:r>
      <w:r w:rsidRPr="00597AE8">
        <w:rPr>
          <w:lang w:val="en-US"/>
        </w:rPr>
        <w:t>/</w:t>
      </w:r>
      <w:r w:rsidRPr="00597AE8">
        <w:rPr>
          <w:i/>
          <w:iCs/>
          <w:lang w:val="en-US"/>
        </w:rPr>
        <w:t>I</w:t>
      </w:r>
      <w:r w:rsidRPr="00597AE8">
        <w:rPr>
          <w:i/>
          <w:iCs/>
          <w:vertAlign w:val="subscript"/>
          <w:lang w:val="en-US"/>
        </w:rPr>
        <w:t>EX</w:t>
      </w:r>
      <w:r w:rsidRPr="00597AE8">
        <w:rPr>
          <w:lang w:val="en-US"/>
        </w:rPr>
        <w:t xml:space="preserve"> = 12 dB corresponds to 16-QAM with 1/2 coding, which reduces the </w:t>
      </w:r>
      <w:r w:rsidRPr="00597AE8">
        <w:rPr>
          <w:i/>
          <w:iCs/>
          <w:lang w:val="en-US"/>
        </w:rPr>
        <w:t>single</w:t>
      </w:r>
      <w:r w:rsidRPr="00597AE8">
        <w:rPr>
          <w:lang w:val="en-US"/>
        </w:rPr>
        <w:t xml:space="preserve"> HAPS gateway capacity by 2 (or</w:t>
      </w:r>
      <w:r>
        <w:rPr>
          <w:lang w:val="en-US"/>
        </w:rPr>
        <w:t> </w:t>
      </w:r>
      <w:r w:rsidRPr="00597AE8">
        <w:rPr>
          <w:lang w:val="en-US"/>
        </w:rPr>
        <w:t>50%) as shown in Fig. 7.</w:t>
      </w:r>
    </w:p>
    <w:p w:rsidR="00C936C9" w:rsidRPr="00CE4640" w:rsidRDefault="00C936C9" w:rsidP="00C936C9">
      <w:pPr>
        <w:rPr>
          <w:lang w:val="en-US"/>
        </w:rPr>
      </w:pPr>
      <w:r w:rsidRPr="00CE4640">
        <w:rPr>
          <w:lang w:val="en-US"/>
        </w:rPr>
        <w:t xml:space="preserve">Adaptive modulation is a standard technology used in many communication systems so as to optimize and obtain communication availability and performance for channels that experience certain levels of congestion intermittently on a short- or long-term basis. It allows links to maintain a reduced level of communications when there is considerable noise and/or interference, whereas without adaptive modulation the link would not function below its particular minimum required </w:t>
      </w:r>
      <w:r w:rsidRPr="00CE4640">
        <w:rPr>
          <w:i/>
          <w:iCs/>
          <w:lang w:val="en-US"/>
        </w:rPr>
        <w:t>C</w:t>
      </w:r>
      <w:r w:rsidRPr="00CE4640">
        <w:rPr>
          <w:lang w:val="en-US"/>
        </w:rPr>
        <w:t>/(</w:t>
      </w:r>
      <w:r w:rsidRPr="00CE4640">
        <w:rPr>
          <w:i/>
          <w:iCs/>
          <w:lang w:val="en-US"/>
        </w:rPr>
        <w:t>N </w:t>
      </w:r>
      <w:r w:rsidRPr="00CE4640">
        <w:rPr>
          <w:lang w:val="en-US"/>
        </w:rPr>
        <w:t>+ </w:t>
      </w:r>
      <w:r w:rsidRPr="00CE4640">
        <w:rPr>
          <w:i/>
          <w:iCs/>
          <w:lang w:val="en-US"/>
        </w:rPr>
        <w:t>I</w:t>
      </w:r>
      <w:r w:rsidRPr="00CE4640">
        <w:rPr>
          <w:i/>
          <w:iCs/>
          <w:vertAlign w:val="subscript"/>
          <w:lang w:val="en-US"/>
        </w:rPr>
        <w:t>ToT</w:t>
      </w:r>
      <w:r w:rsidRPr="00CE4640">
        <w:rPr>
          <w:lang w:val="en-US"/>
        </w:rPr>
        <w:t>) needed to operate that link at its single designated modulation level.</w:t>
      </w:r>
    </w:p>
    <w:p w:rsidR="00276CD5" w:rsidRPr="00CE4640" w:rsidRDefault="00BA7F7B" w:rsidP="00276CD5">
      <w:pPr>
        <w:pStyle w:val="TableNo"/>
        <w:rPr>
          <w:lang w:val="en-US"/>
        </w:rPr>
      </w:pPr>
      <w:r w:rsidRPr="00CE4640">
        <w:rPr>
          <w:lang w:val="en-US"/>
        </w:rPr>
        <w:lastRenderedPageBreak/>
        <w:t>TABLE</w:t>
      </w:r>
      <w:r w:rsidR="00276CD5" w:rsidRPr="00CE4640">
        <w:rPr>
          <w:lang w:val="en-US"/>
        </w:rPr>
        <w:t xml:space="preserve"> 4</w:t>
      </w:r>
    </w:p>
    <w:p w:rsidR="00276CD5" w:rsidRPr="00CE4640" w:rsidRDefault="00276CD5" w:rsidP="00276CD5">
      <w:pPr>
        <w:pStyle w:val="Tabletitle"/>
        <w:rPr>
          <w:lang w:val="en-US"/>
        </w:rPr>
      </w:pPr>
      <w:r w:rsidRPr="00CE4640">
        <w:rPr>
          <w:lang w:val="en-US"/>
        </w:rPr>
        <w:t>Gateway capacity vs. modulation and coding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701"/>
        <w:gridCol w:w="1701"/>
        <w:gridCol w:w="1985"/>
        <w:gridCol w:w="1134"/>
        <w:gridCol w:w="1418"/>
      </w:tblGrid>
      <w:tr w:rsidR="00276CD5" w:rsidRPr="00AC18B2" w:rsidTr="00107063">
        <w:trPr>
          <w:jc w:val="center"/>
        </w:trPr>
        <w:tc>
          <w:tcPr>
            <w:tcW w:w="1700" w:type="dxa"/>
          </w:tcPr>
          <w:p w:rsidR="00276CD5" w:rsidRPr="00AE09A0" w:rsidRDefault="00276CD5" w:rsidP="003E4C58">
            <w:pPr>
              <w:pStyle w:val="Tablehead"/>
            </w:pPr>
            <w:r w:rsidRPr="00AE09A0">
              <w:t>Gateway link modulation</w:t>
            </w:r>
          </w:p>
        </w:tc>
        <w:tc>
          <w:tcPr>
            <w:tcW w:w="1701" w:type="dxa"/>
          </w:tcPr>
          <w:p w:rsidR="00276CD5" w:rsidRPr="00AE09A0" w:rsidRDefault="00276CD5" w:rsidP="003E4C58">
            <w:pPr>
              <w:pStyle w:val="Tablehead"/>
            </w:pPr>
            <w:r w:rsidRPr="00AE09A0">
              <w:t>Gateway link coding</w:t>
            </w:r>
          </w:p>
        </w:tc>
        <w:tc>
          <w:tcPr>
            <w:tcW w:w="1701" w:type="dxa"/>
          </w:tcPr>
          <w:p w:rsidR="00276CD5" w:rsidRPr="00CE4640" w:rsidRDefault="00276CD5" w:rsidP="000F5BD6">
            <w:pPr>
              <w:pStyle w:val="Tablehead"/>
              <w:rPr>
                <w:vertAlign w:val="subscript"/>
                <w:lang w:val="en-US"/>
              </w:rPr>
            </w:pPr>
            <w:r w:rsidRPr="00CE4640">
              <w:rPr>
                <w:lang w:val="en-US"/>
              </w:rPr>
              <w:t xml:space="preserve">Required </w:t>
            </w:r>
            <w:r w:rsidRPr="00CE4640">
              <w:rPr>
                <w:i/>
                <w:iCs/>
                <w:lang w:val="en-US"/>
              </w:rPr>
              <w:t>C</w:t>
            </w:r>
            <w:r w:rsidRPr="00CE4640">
              <w:rPr>
                <w:lang w:val="en-US"/>
              </w:rPr>
              <w:t>/(</w:t>
            </w:r>
            <w:r w:rsidRPr="00CE4640">
              <w:rPr>
                <w:i/>
                <w:iCs/>
                <w:lang w:val="en-US"/>
              </w:rPr>
              <w:t>N </w:t>
            </w:r>
            <w:r w:rsidRPr="00CE4640">
              <w:rPr>
                <w:lang w:val="en-US"/>
              </w:rPr>
              <w:t>+ </w:t>
            </w:r>
            <w:r w:rsidRPr="00CE4640">
              <w:rPr>
                <w:i/>
                <w:iCs/>
                <w:lang w:val="en-US"/>
              </w:rPr>
              <w:t>I</w:t>
            </w:r>
            <w:r w:rsidRPr="00CE4640">
              <w:rPr>
                <w:i/>
                <w:iCs/>
                <w:vertAlign w:val="subscript"/>
                <w:lang w:val="en-US"/>
              </w:rPr>
              <w:t>ToT</w:t>
            </w:r>
            <w:r w:rsidRPr="00CE4640">
              <w:rPr>
                <w:lang w:val="en-US"/>
              </w:rPr>
              <w:t>)</w:t>
            </w:r>
            <w:r w:rsidR="000F5BD6" w:rsidRPr="000F5BD6">
              <w:rPr>
                <w:rFonts w:ascii="Times New Roman Bold" w:hAnsi="Times New Roman Bold" w:cs="Times New Roman Bold"/>
                <w:vertAlign w:val="superscript"/>
                <w:lang w:val="en-US"/>
              </w:rPr>
              <w:t>(1)</w:t>
            </w:r>
            <w:r w:rsidRPr="00CE4640">
              <w:rPr>
                <w:lang w:val="en-US"/>
              </w:rPr>
              <w:t xml:space="preserve"> dB</w:t>
            </w:r>
          </w:p>
        </w:tc>
        <w:tc>
          <w:tcPr>
            <w:tcW w:w="1985" w:type="dxa"/>
          </w:tcPr>
          <w:p w:rsidR="00276CD5" w:rsidRPr="00CE4640" w:rsidRDefault="00276CD5" w:rsidP="000F5BD6">
            <w:pPr>
              <w:pStyle w:val="Tablehead"/>
              <w:rPr>
                <w:lang w:val="en-US"/>
              </w:rPr>
            </w:pPr>
            <w:r w:rsidRPr="00CE4640">
              <w:rPr>
                <w:lang w:val="en-US"/>
              </w:rPr>
              <w:t>One gateway capacity</w:t>
            </w:r>
            <w:r w:rsidR="000F5BD6" w:rsidRPr="000F5BD6">
              <w:rPr>
                <w:rFonts w:ascii="Times New Roman Bold" w:hAnsi="Times New Roman Bold" w:cs="Times New Roman Bold"/>
                <w:vertAlign w:val="superscript"/>
                <w:lang w:val="en-US"/>
              </w:rPr>
              <w:t>(2)</w:t>
            </w:r>
            <w:r w:rsidRPr="00CE4640">
              <w:rPr>
                <w:lang w:val="en-US"/>
              </w:rPr>
              <w:t xml:space="preserve"> Mbit/s</w:t>
            </w:r>
          </w:p>
        </w:tc>
        <w:tc>
          <w:tcPr>
            <w:tcW w:w="1134" w:type="dxa"/>
          </w:tcPr>
          <w:p w:rsidR="00276CD5" w:rsidRPr="00AE09A0" w:rsidRDefault="00276CD5" w:rsidP="006B2133">
            <w:pPr>
              <w:pStyle w:val="Tablehead"/>
            </w:pPr>
            <w:r w:rsidRPr="00AE09A0">
              <w:t>Gateway capacity</w:t>
            </w:r>
            <w:r w:rsidRPr="00AE09A0">
              <w:br/>
              <w:t>~</w:t>
            </w:r>
            <w:r w:rsidR="006B2133">
              <w:t> –</w:t>
            </w:r>
            <w:r w:rsidRPr="00AE09A0">
              <w:t xml:space="preserve"> %</w:t>
            </w:r>
          </w:p>
        </w:tc>
        <w:tc>
          <w:tcPr>
            <w:tcW w:w="1418" w:type="dxa"/>
          </w:tcPr>
          <w:p w:rsidR="00276CD5" w:rsidRPr="00CE4640" w:rsidRDefault="00276CD5" w:rsidP="003E4C58">
            <w:pPr>
              <w:pStyle w:val="Tablehead"/>
              <w:rPr>
                <w:lang w:val="en-US"/>
              </w:rPr>
            </w:pPr>
            <w:r w:rsidRPr="00CE4640">
              <w:rPr>
                <w:lang w:val="en-US"/>
              </w:rPr>
              <w:t>Spec. eff. bit/s/Hz</w:t>
            </w:r>
          </w:p>
        </w:tc>
      </w:tr>
      <w:tr w:rsidR="00276CD5" w:rsidRPr="00AE09A0" w:rsidTr="00107063">
        <w:trPr>
          <w:jc w:val="center"/>
        </w:trPr>
        <w:tc>
          <w:tcPr>
            <w:tcW w:w="1700" w:type="dxa"/>
          </w:tcPr>
          <w:p w:rsidR="00276CD5" w:rsidRPr="00AE09A0" w:rsidRDefault="00276CD5" w:rsidP="00107063">
            <w:pPr>
              <w:pStyle w:val="Tabletext"/>
              <w:keepNext/>
              <w:jc w:val="center"/>
            </w:pPr>
            <w:r w:rsidRPr="00AE09A0">
              <w:t>64</w:t>
            </w:r>
            <w:r w:rsidR="00107063">
              <w:t>-</w:t>
            </w:r>
            <w:r w:rsidRPr="00AE09A0">
              <w:t>QAM</w:t>
            </w:r>
          </w:p>
        </w:tc>
        <w:tc>
          <w:tcPr>
            <w:tcW w:w="1701" w:type="dxa"/>
          </w:tcPr>
          <w:p w:rsidR="00276CD5" w:rsidRPr="00AE09A0" w:rsidRDefault="00276CD5" w:rsidP="003E4C58">
            <w:pPr>
              <w:pStyle w:val="Tabletext"/>
              <w:keepNext/>
              <w:jc w:val="center"/>
            </w:pPr>
            <w:r w:rsidRPr="00AE09A0">
              <w:t>2/3</w:t>
            </w:r>
          </w:p>
        </w:tc>
        <w:tc>
          <w:tcPr>
            <w:tcW w:w="1701" w:type="dxa"/>
          </w:tcPr>
          <w:p w:rsidR="00276CD5" w:rsidRPr="00AE09A0" w:rsidRDefault="00276CD5" w:rsidP="003E4C58">
            <w:pPr>
              <w:pStyle w:val="Tabletext"/>
              <w:keepNext/>
              <w:jc w:val="center"/>
            </w:pPr>
            <w:r w:rsidRPr="00AE09A0">
              <w:t>26.3</w:t>
            </w:r>
          </w:p>
        </w:tc>
        <w:tc>
          <w:tcPr>
            <w:tcW w:w="1985" w:type="dxa"/>
          </w:tcPr>
          <w:p w:rsidR="00276CD5" w:rsidRPr="00AE09A0" w:rsidRDefault="00276CD5" w:rsidP="003E4C58">
            <w:pPr>
              <w:pStyle w:val="Tabletext"/>
              <w:keepNext/>
              <w:jc w:val="center"/>
            </w:pPr>
            <w:r w:rsidRPr="00AE09A0">
              <w:t>533</w:t>
            </w:r>
          </w:p>
        </w:tc>
        <w:tc>
          <w:tcPr>
            <w:tcW w:w="1134" w:type="dxa"/>
          </w:tcPr>
          <w:p w:rsidR="00276CD5" w:rsidRPr="00AE09A0" w:rsidRDefault="00276CD5" w:rsidP="003E4C58">
            <w:pPr>
              <w:pStyle w:val="Tabletext"/>
              <w:keepNext/>
              <w:jc w:val="center"/>
            </w:pPr>
            <w:r w:rsidRPr="00AE09A0">
              <w:t>100</w:t>
            </w:r>
          </w:p>
        </w:tc>
        <w:tc>
          <w:tcPr>
            <w:tcW w:w="1418" w:type="dxa"/>
          </w:tcPr>
          <w:p w:rsidR="00276CD5" w:rsidRPr="00AE09A0" w:rsidRDefault="00276CD5" w:rsidP="003E4C58">
            <w:pPr>
              <w:pStyle w:val="Tabletext"/>
              <w:keepNext/>
              <w:jc w:val="center"/>
            </w:pPr>
            <w:r w:rsidRPr="00AE09A0">
              <w:t>4</w:t>
            </w:r>
          </w:p>
        </w:tc>
      </w:tr>
      <w:tr w:rsidR="00276CD5" w:rsidRPr="00AE09A0" w:rsidTr="00107063">
        <w:trPr>
          <w:jc w:val="center"/>
        </w:trPr>
        <w:tc>
          <w:tcPr>
            <w:tcW w:w="1700" w:type="dxa"/>
          </w:tcPr>
          <w:p w:rsidR="00276CD5" w:rsidRPr="00AE09A0" w:rsidRDefault="00276CD5" w:rsidP="003E4C58">
            <w:pPr>
              <w:pStyle w:val="Tabletext"/>
              <w:keepNext/>
              <w:jc w:val="center"/>
            </w:pPr>
            <w:r w:rsidRPr="00AE09A0">
              <w:t>16</w:t>
            </w:r>
            <w:r w:rsidR="00107063">
              <w:t>-</w:t>
            </w:r>
            <w:r w:rsidRPr="00AE09A0">
              <w:t>QAM</w:t>
            </w:r>
          </w:p>
        </w:tc>
        <w:tc>
          <w:tcPr>
            <w:tcW w:w="1701" w:type="dxa"/>
          </w:tcPr>
          <w:p w:rsidR="00276CD5" w:rsidRPr="00AE09A0" w:rsidRDefault="00276CD5" w:rsidP="003E4C58">
            <w:pPr>
              <w:pStyle w:val="Tabletext"/>
              <w:keepNext/>
              <w:jc w:val="center"/>
            </w:pPr>
            <w:r w:rsidRPr="00AE09A0">
              <w:t>3/4</w:t>
            </w:r>
          </w:p>
        </w:tc>
        <w:tc>
          <w:tcPr>
            <w:tcW w:w="1701" w:type="dxa"/>
          </w:tcPr>
          <w:p w:rsidR="00276CD5" w:rsidRPr="00AE09A0" w:rsidRDefault="00276CD5" w:rsidP="003E4C58">
            <w:pPr>
              <w:pStyle w:val="Tabletext"/>
              <w:keepNext/>
              <w:jc w:val="center"/>
            </w:pPr>
            <w:r w:rsidRPr="00AE09A0">
              <w:t>20.2</w:t>
            </w:r>
          </w:p>
        </w:tc>
        <w:tc>
          <w:tcPr>
            <w:tcW w:w="1985" w:type="dxa"/>
          </w:tcPr>
          <w:p w:rsidR="00276CD5" w:rsidRPr="00AE09A0" w:rsidRDefault="00276CD5" w:rsidP="003E4C58">
            <w:pPr>
              <w:pStyle w:val="Tabletext"/>
              <w:keepNext/>
              <w:jc w:val="center"/>
            </w:pPr>
            <w:r w:rsidRPr="00AE09A0">
              <w:t>396</w:t>
            </w:r>
          </w:p>
        </w:tc>
        <w:tc>
          <w:tcPr>
            <w:tcW w:w="1134" w:type="dxa"/>
          </w:tcPr>
          <w:p w:rsidR="00276CD5" w:rsidRPr="00AE09A0" w:rsidRDefault="00276CD5" w:rsidP="003E4C58">
            <w:pPr>
              <w:pStyle w:val="Tabletext"/>
              <w:keepNext/>
              <w:jc w:val="center"/>
            </w:pPr>
            <w:r w:rsidRPr="00AE09A0">
              <w:t>75</w:t>
            </w:r>
          </w:p>
        </w:tc>
        <w:tc>
          <w:tcPr>
            <w:tcW w:w="1418" w:type="dxa"/>
          </w:tcPr>
          <w:p w:rsidR="00276CD5" w:rsidRPr="00AE09A0" w:rsidRDefault="00276CD5" w:rsidP="003E4C58">
            <w:pPr>
              <w:pStyle w:val="Tabletext"/>
              <w:keepNext/>
              <w:jc w:val="center"/>
            </w:pPr>
            <w:r w:rsidRPr="00AE09A0">
              <w:t>3</w:t>
            </w:r>
          </w:p>
        </w:tc>
      </w:tr>
      <w:tr w:rsidR="00276CD5" w:rsidRPr="00AE09A0" w:rsidTr="00107063">
        <w:trPr>
          <w:jc w:val="center"/>
        </w:trPr>
        <w:tc>
          <w:tcPr>
            <w:tcW w:w="1700" w:type="dxa"/>
          </w:tcPr>
          <w:p w:rsidR="00276CD5" w:rsidRPr="00AE09A0" w:rsidRDefault="00276CD5" w:rsidP="003E4C58">
            <w:pPr>
              <w:pStyle w:val="Tabletext"/>
              <w:keepNext/>
              <w:jc w:val="center"/>
            </w:pPr>
            <w:r w:rsidRPr="00AE09A0">
              <w:t>16</w:t>
            </w:r>
            <w:r w:rsidR="00107063">
              <w:t>-</w:t>
            </w:r>
            <w:r w:rsidRPr="00AE09A0">
              <w:t>QAM</w:t>
            </w:r>
          </w:p>
        </w:tc>
        <w:tc>
          <w:tcPr>
            <w:tcW w:w="1701" w:type="dxa"/>
          </w:tcPr>
          <w:p w:rsidR="00276CD5" w:rsidRPr="00AE09A0" w:rsidRDefault="00276CD5" w:rsidP="003E4C58">
            <w:pPr>
              <w:pStyle w:val="Tabletext"/>
              <w:keepNext/>
              <w:jc w:val="center"/>
            </w:pPr>
            <w:r w:rsidRPr="00AE09A0">
              <w:t>1/2</w:t>
            </w:r>
          </w:p>
        </w:tc>
        <w:tc>
          <w:tcPr>
            <w:tcW w:w="1701" w:type="dxa"/>
          </w:tcPr>
          <w:p w:rsidR="00276CD5" w:rsidRPr="00AE09A0" w:rsidRDefault="00276CD5" w:rsidP="003E4C58">
            <w:pPr>
              <w:pStyle w:val="Tabletext"/>
              <w:keepNext/>
              <w:jc w:val="center"/>
            </w:pPr>
            <w:r w:rsidRPr="00AE09A0">
              <w:t>11.9</w:t>
            </w:r>
          </w:p>
        </w:tc>
        <w:tc>
          <w:tcPr>
            <w:tcW w:w="1985" w:type="dxa"/>
          </w:tcPr>
          <w:p w:rsidR="00276CD5" w:rsidRPr="00AE09A0" w:rsidRDefault="00276CD5" w:rsidP="003E4C58">
            <w:pPr>
              <w:pStyle w:val="Tabletext"/>
              <w:keepNext/>
              <w:jc w:val="center"/>
            </w:pPr>
            <w:r w:rsidRPr="00AE09A0">
              <w:t>267</w:t>
            </w:r>
          </w:p>
        </w:tc>
        <w:tc>
          <w:tcPr>
            <w:tcW w:w="1134" w:type="dxa"/>
          </w:tcPr>
          <w:p w:rsidR="00276CD5" w:rsidRPr="00AE09A0" w:rsidRDefault="00276CD5" w:rsidP="003E4C58">
            <w:pPr>
              <w:pStyle w:val="Tabletext"/>
              <w:keepNext/>
              <w:jc w:val="center"/>
            </w:pPr>
            <w:r w:rsidRPr="00AE09A0">
              <w:t>50</w:t>
            </w:r>
          </w:p>
        </w:tc>
        <w:tc>
          <w:tcPr>
            <w:tcW w:w="1418" w:type="dxa"/>
          </w:tcPr>
          <w:p w:rsidR="00276CD5" w:rsidRPr="00AE09A0" w:rsidRDefault="00276CD5" w:rsidP="003E4C58">
            <w:pPr>
              <w:pStyle w:val="Tabletext"/>
              <w:keepNext/>
              <w:jc w:val="center"/>
            </w:pPr>
            <w:r w:rsidRPr="00AE09A0">
              <w:t>2</w:t>
            </w:r>
          </w:p>
        </w:tc>
      </w:tr>
      <w:tr w:rsidR="00276CD5" w:rsidRPr="00AE09A0" w:rsidTr="00107063">
        <w:trPr>
          <w:jc w:val="center"/>
        </w:trPr>
        <w:tc>
          <w:tcPr>
            <w:tcW w:w="1700" w:type="dxa"/>
          </w:tcPr>
          <w:p w:rsidR="00276CD5" w:rsidRPr="00AE09A0" w:rsidRDefault="00276CD5" w:rsidP="003E4C58">
            <w:pPr>
              <w:pStyle w:val="Tabletext"/>
              <w:keepNext/>
              <w:jc w:val="center"/>
            </w:pPr>
            <w:r w:rsidRPr="00AE09A0">
              <w:t>QPSK</w:t>
            </w:r>
          </w:p>
        </w:tc>
        <w:tc>
          <w:tcPr>
            <w:tcW w:w="1701" w:type="dxa"/>
          </w:tcPr>
          <w:p w:rsidR="00276CD5" w:rsidRPr="00AE09A0" w:rsidRDefault="00276CD5" w:rsidP="003E4C58">
            <w:pPr>
              <w:pStyle w:val="Tabletext"/>
              <w:keepNext/>
              <w:jc w:val="center"/>
            </w:pPr>
            <w:r w:rsidRPr="00AE09A0">
              <w:t>1/2</w:t>
            </w:r>
          </w:p>
        </w:tc>
        <w:tc>
          <w:tcPr>
            <w:tcW w:w="1701" w:type="dxa"/>
          </w:tcPr>
          <w:p w:rsidR="00276CD5" w:rsidRPr="00AE09A0" w:rsidRDefault="00276CD5" w:rsidP="003E4C58">
            <w:pPr>
              <w:pStyle w:val="Tabletext"/>
              <w:keepNext/>
              <w:jc w:val="center"/>
            </w:pPr>
            <w:r w:rsidRPr="00AE09A0">
              <w:t>4.5</w:t>
            </w:r>
          </w:p>
        </w:tc>
        <w:tc>
          <w:tcPr>
            <w:tcW w:w="1985" w:type="dxa"/>
          </w:tcPr>
          <w:p w:rsidR="00276CD5" w:rsidRPr="00AE09A0" w:rsidRDefault="00276CD5" w:rsidP="003E4C58">
            <w:pPr>
              <w:pStyle w:val="Tabletext"/>
              <w:keepNext/>
              <w:jc w:val="center"/>
            </w:pPr>
            <w:r w:rsidRPr="00AE09A0">
              <w:t>133</w:t>
            </w:r>
          </w:p>
        </w:tc>
        <w:tc>
          <w:tcPr>
            <w:tcW w:w="1134" w:type="dxa"/>
          </w:tcPr>
          <w:p w:rsidR="00276CD5" w:rsidRPr="00AE09A0" w:rsidRDefault="00276CD5" w:rsidP="003E4C58">
            <w:pPr>
              <w:pStyle w:val="Tabletext"/>
              <w:keepNext/>
              <w:jc w:val="center"/>
            </w:pPr>
            <w:r w:rsidRPr="00AE09A0">
              <w:t>25</w:t>
            </w:r>
          </w:p>
        </w:tc>
        <w:tc>
          <w:tcPr>
            <w:tcW w:w="1418" w:type="dxa"/>
          </w:tcPr>
          <w:p w:rsidR="00276CD5" w:rsidRPr="00AE09A0" w:rsidRDefault="00276CD5" w:rsidP="003E4C58">
            <w:pPr>
              <w:pStyle w:val="Tabletext"/>
              <w:keepNext/>
              <w:jc w:val="center"/>
            </w:pPr>
            <w:r w:rsidRPr="00AE09A0">
              <w:t>1</w:t>
            </w:r>
          </w:p>
        </w:tc>
      </w:tr>
      <w:tr w:rsidR="00276CD5" w:rsidRPr="005C78FA" w:rsidTr="00597AE8">
        <w:trPr>
          <w:jc w:val="center"/>
        </w:trPr>
        <w:tc>
          <w:tcPr>
            <w:tcW w:w="9639" w:type="dxa"/>
            <w:gridSpan w:val="6"/>
            <w:tcBorders>
              <w:left w:val="nil"/>
              <w:bottom w:val="nil"/>
              <w:right w:val="nil"/>
            </w:tcBorders>
          </w:tcPr>
          <w:p w:rsidR="00276CD5" w:rsidRPr="00CE4640" w:rsidRDefault="00107063" w:rsidP="00107063">
            <w:pPr>
              <w:pStyle w:val="Tablelegend"/>
              <w:rPr>
                <w:vertAlign w:val="subscript"/>
                <w:lang w:val="en-US"/>
              </w:rPr>
            </w:pPr>
            <w:r w:rsidRPr="00107063">
              <w:rPr>
                <w:vertAlign w:val="superscript"/>
                <w:lang w:val="en-US"/>
              </w:rPr>
              <w:t>(1)</w:t>
            </w:r>
            <w:r w:rsidR="00276CD5" w:rsidRPr="00CE4640">
              <w:rPr>
                <w:lang w:val="en-US"/>
              </w:rPr>
              <w:tab/>
            </w:r>
            <w:r w:rsidR="00276CD5" w:rsidRPr="00CE4640">
              <w:rPr>
                <w:i/>
                <w:iCs/>
                <w:lang w:val="en-US"/>
              </w:rPr>
              <w:t>I</w:t>
            </w:r>
            <w:r w:rsidR="00276CD5" w:rsidRPr="00CE4640">
              <w:rPr>
                <w:i/>
                <w:iCs/>
                <w:vertAlign w:val="subscript"/>
                <w:lang w:val="en-US"/>
              </w:rPr>
              <w:t>ToT</w:t>
            </w:r>
            <w:r w:rsidR="00276CD5" w:rsidRPr="00CE4640">
              <w:rPr>
                <w:vertAlign w:val="subscript"/>
                <w:lang w:val="en-US"/>
              </w:rPr>
              <w:t xml:space="preserve"> </w:t>
            </w:r>
            <w:r>
              <w:rPr>
                <w:vertAlign w:val="subscript"/>
                <w:lang w:val="en-US"/>
              </w:rPr>
              <w:t xml:space="preserve"> </w:t>
            </w:r>
            <w:r w:rsidR="00276CD5" w:rsidRPr="00CE4640">
              <w:rPr>
                <w:lang w:val="en-US"/>
              </w:rPr>
              <w:t xml:space="preserve">= </w:t>
            </w:r>
            <w:r w:rsidR="00276CD5" w:rsidRPr="00CE4640">
              <w:rPr>
                <w:i/>
                <w:iCs/>
                <w:lang w:val="en-US"/>
              </w:rPr>
              <w:t xml:space="preserve">I </w:t>
            </w:r>
            <w:r w:rsidR="00276CD5" w:rsidRPr="00CE4640">
              <w:rPr>
                <w:i/>
                <w:iCs/>
                <w:vertAlign w:val="subscript"/>
                <w:lang w:val="en-US"/>
              </w:rPr>
              <w:t xml:space="preserve">nGW </w:t>
            </w:r>
            <w:r w:rsidR="00276CD5" w:rsidRPr="00CE4640">
              <w:rPr>
                <w:lang w:val="en-US"/>
              </w:rPr>
              <w:t xml:space="preserve">+ </w:t>
            </w:r>
            <w:r w:rsidR="00276CD5" w:rsidRPr="00CE4640">
              <w:rPr>
                <w:i/>
                <w:iCs/>
                <w:lang w:val="en-US"/>
              </w:rPr>
              <w:t xml:space="preserve">I </w:t>
            </w:r>
            <w:r w:rsidR="00276CD5" w:rsidRPr="00CE4640">
              <w:rPr>
                <w:i/>
                <w:iCs/>
                <w:vertAlign w:val="subscript"/>
                <w:lang w:val="en-US"/>
              </w:rPr>
              <w:t>EX</w:t>
            </w:r>
            <w:r w:rsidR="00276CD5" w:rsidRPr="00CE4640">
              <w:rPr>
                <w:lang w:val="en-US"/>
              </w:rPr>
              <w:t>.</w:t>
            </w:r>
          </w:p>
          <w:p w:rsidR="00276CD5" w:rsidRPr="00CE4640" w:rsidRDefault="00276CD5" w:rsidP="00107063">
            <w:pPr>
              <w:pStyle w:val="Tablelegend"/>
              <w:spacing w:before="0"/>
              <w:rPr>
                <w:lang w:val="en-US"/>
              </w:rPr>
            </w:pPr>
            <w:r w:rsidRPr="00CE4640">
              <w:rPr>
                <w:lang w:val="en-US"/>
              </w:rPr>
              <w:tab/>
            </w:r>
            <w:r w:rsidRPr="00CE4640">
              <w:rPr>
                <w:i/>
                <w:iCs/>
                <w:lang w:val="en-US"/>
              </w:rPr>
              <w:t xml:space="preserve">I </w:t>
            </w:r>
            <w:r w:rsidRPr="00CE4640">
              <w:rPr>
                <w:i/>
                <w:iCs/>
                <w:vertAlign w:val="subscript"/>
                <w:lang w:val="en-US"/>
              </w:rPr>
              <w:t>nGW</w:t>
            </w:r>
            <w:r w:rsidRPr="00CE4640">
              <w:rPr>
                <w:vertAlign w:val="subscript"/>
                <w:lang w:val="en-US"/>
              </w:rPr>
              <w:t xml:space="preserve"> </w:t>
            </w:r>
            <w:r w:rsidRPr="00CE4640">
              <w:rPr>
                <w:lang w:val="en-US"/>
              </w:rPr>
              <w:t xml:space="preserve"> =  self interference from other </w:t>
            </w:r>
            <w:r w:rsidRPr="00CE4640">
              <w:rPr>
                <w:i/>
                <w:iCs/>
                <w:lang w:val="en-US"/>
              </w:rPr>
              <w:t>n </w:t>
            </w:r>
            <w:r w:rsidRPr="00CE4640">
              <w:rPr>
                <w:lang w:val="en-US"/>
              </w:rPr>
              <w:t>− 1 gateway stations.</w:t>
            </w:r>
          </w:p>
          <w:p w:rsidR="00276CD5" w:rsidRPr="00CE4640" w:rsidRDefault="00276CD5" w:rsidP="00107063">
            <w:pPr>
              <w:pStyle w:val="Tablelegend"/>
              <w:spacing w:before="0"/>
              <w:rPr>
                <w:lang w:val="en-US"/>
              </w:rPr>
            </w:pPr>
            <w:r w:rsidRPr="00CE4640">
              <w:rPr>
                <w:lang w:val="en-US"/>
              </w:rPr>
              <w:tab/>
            </w:r>
            <w:r w:rsidRPr="00CE4640">
              <w:rPr>
                <w:i/>
                <w:iCs/>
                <w:lang w:val="en-US"/>
              </w:rPr>
              <w:t>n</w:t>
            </w:r>
            <w:r w:rsidRPr="00CE4640">
              <w:rPr>
                <w:lang w:val="en-US"/>
              </w:rPr>
              <w:t xml:space="preserve"> is equal to from 1 to 5 depending on the number of HAPS gateway stations.</w:t>
            </w:r>
          </w:p>
          <w:p w:rsidR="00276CD5" w:rsidRPr="00CE4640" w:rsidRDefault="00276CD5" w:rsidP="00107063">
            <w:pPr>
              <w:pStyle w:val="Tablelegend"/>
              <w:spacing w:before="0"/>
              <w:rPr>
                <w:lang w:val="en-US"/>
              </w:rPr>
            </w:pPr>
            <w:r w:rsidRPr="00CE4640">
              <w:rPr>
                <w:lang w:val="en-US"/>
              </w:rPr>
              <w:tab/>
            </w:r>
            <w:r w:rsidRPr="00CE4640">
              <w:rPr>
                <w:i/>
                <w:iCs/>
                <w:lang w:val="en-US"/>
              </w:rPr>
              <w:t xml:space="preserve">I </w:t>
            </w:r>
            <w:r w:rsidRPr="00CE4640">
              <w:rPr>
                <w:i/>
                <w:iCs/>
                <w:vertAlign w:val="subscript"/>
                <w:lang w:val="en-US"/>
              </w:rPr>
              <w:t>EX</w:t>
            </w:r>
            <w:r w:rsidRPr="00CE4640">
              <w:rPr>
                <w:lang w:val="en-US"/>
              </w:rPr>
              <w:t xml:space="preserve"> = external interference from non-HAPS earth station and airborne platform.</w:t>
            </w:r>
          </w:p>
          <w:p w:rsidR="00276CD5" w:rsidRDefault="00276CD5" w:rsidP="00107063">
            <w:pPr>
              <w:pStyle w:val="Tablelegend"/>
              <w:spacing w:before="0"/>
              <w:rPr>
                <w:lang w:val="en-US"/>
              </w:rPr>
            </w:pPr>
            <w:r w:rsidRPr="00CE4640">
              <w:rPr>
                <w:lang w:val="en-US"/>
              </w:rPr>
              <w:tab/>
            </w:r>
            <w:r w:rsidRPr="00CE4640">
              <w:rPr>
                <w:i/>
                <w:iCs/>
                <w:lang w:val="en-US"/>
              </w:rPr>
              <w:t xml:space="preserve">I </w:t>
            </w:r>
            <w:r w:rsidRPr="00CE4640">
              <w:rPr>
                <w:i/>
                <w:iCs/>
                <w:vertAlign w:val="subscript"/>
                <w:lang w:val="en-US"/>
              </w:rPr>
              <w:t>EX</w:t>
            </w:r>
            <w:r w:rsidRPr="00CE4640">
              <w:rPr>
                <w:lang w:val="en-US"/>
              </w:rPr>
              <w:t xml:space="preserve"> = </w:t>
            </w:r>
            <w:r w:rsidRPr="00CE4640">
              <w:rPr>
                <w:i/>
                <w:iCs/>
                <w:lang w:val="en-US"/>
              </w:rPr>
              <w:t>I</w:t>
            </w:r>
            <w:r w:rsidRPr="00CE4640">
              <w:rPr>
                <w:i/>
                <w:iCs/>
                <w:vertAlign w:val="subscript"/>
                <w:lang w:val="en-US"/>
              </w:rPr>
              <w:t>ES</w:t>
            </w:r>
            <w:r w:rsidRPr="00CE4640">
              <w:rPr>
                <w:vertAlign w:val="subscript"/>
                <w:lang w:val="en-US"/>
              </w:rPr>
              <w:t xml:space="preserve"> </w:t>
            </w:r>
            <w:r w:rsidRPr="00CE4640">
              <w:rPr>
                <w:lang w:val="en-US"/>
              </w:rPr>
              <w:t>+</w:t>
            </w:r>
            <w:r w:rsidRPr="00CE4640">
              <w:rPr>
                <w:i/>
                <w:iCs/>
                <w:lang w:val="en-US"/>
              </w:rPr>
              <w:t xml:space="preserve"> I</w:t>
            </w:r>
            <w:r w:rsidRPr="00CE4640">
              <w:rPr>
                <w:i/>
                <w:iCs/>
                <w:vertAlign w:val="subscript"/>
                <w:lang w:val="en-US"/>
              </w:rPr>
              <w:t>AS</w:t>
            </w:r>
            <w:r w:rsidRPr="00CE4640">
              <w:rPr>
                <w:vertAlign w:val="subscript"/>
                <w:lang w:val="en-US"/>
              </w:rPr>
              <w:t xml:space="preserve">  </w:t>
            </w:r>
            <w:r w:rsidRPr="00CE4640">
              <w:rPr>
                <w:lang w:val="en-US"/>
              </w:rPr>
              <w:t>= earth station interference + airborne station interference.</w:t>
            </w:r>
          </w:p>
          <w:p w:rsidR="00107063" w:rsidRDefault="00107063" w:rsidP="00107063">
            <w:pPr>
              <w:pStyle w:val="Tablelegend"/>
              <w:rPr>
                <w:lang w:val="en-US"/>
              </w:rPr>
            </w:pPr>
            <w:r w:rsidRPr="00107063">
              <w:rPr>
                <w:vertAlign w:val="superscript"/>
                <w:lang w:val="en-US"/>
              </w:rPr>
              <w:t>(2)</w:t>
            </w:r>
            <w:r w:rsidRPr="00CE4640">
              <w:rPr>
                <w:lang w:val="en-US"/>
              </w:rPr>
              <w:tab/>
              <w:t>Capacity of each of the five gateway links.</w:t>
            </w:r>
          </w:p>
          <w:p w:rsidR="00107063" w:rsidRPr="00CE4640" w:rsidRDefault="00107063" w:rsidP="00107063">
            <w:pPr>
              <w:pStyle w:val="Tablelegend"/>
              <w:spacing w:before="0"/>
              <w:rPr>
                <w:lang w:val="en-US"/>
              </w:rPr>
            </w:pPr>
            <w:r w:rsidRPr="00CE4640">
              <w:rPr>
                <w:lang w:val="en-US"/>
              </w:rPr>
              <w:t xml:space="preserve">~ </w:t>
            </w:r>
            <w:r w:rsidRPr="00CE4640">
              <w:rPr>
                <w:lang w:val="en-US"/>
              </w:rPr>
              <w:tab/>
              <w:t>Compared to 64</w:t>
            </w:r>
            <w:r>
              <w:rPr>
                <w:lang w:val="en-US"/>
              </w:rPr>
              <w:t>-</w:t>
            </w:r>
            <w:r w:rsidRPr="00CE4640">
              <w:rPr>
                <w:lang w:val="en-US"/>
              </w:rPr>
              <w:t>QAM 2/3 case.</w:t>
            </w:r>
          </w:p>
        </w:tc>
      </w:tr>
    </w:tbl>
    <w:p w:rsidR="00BA7F7B" w:rsidRDefault="00BA7F7B" w:rsidP="00BA7F7B">
      <w:pPr>
        <w:pStyle w:val="Tablefin"/>
      </w:pPr>
    </w:p>
    <w:p w:rsidR="00C936C9" w:rsidRPr="00C936C9" w:rsidRDefault="00C936C9" w:rsidP="00C936C9">
      <w:pPr>
        <w:rPr>
          <w:lang w:val="en-GB"/>
        </w:rPr>
      </w:pPr>
    </w:p>
    <w:p w:rsidR="00276CD5" w:rsidRPr="00CE4640" w:rsidRDefault="00276CD5" w:rsidP="00276CD5">
      <w:pPr>
        <w:rPr>
          <w:lang w:val="en-US"/>
        </w:rPr>
      </w:pPr>
      <w:r w:rsidRPr="00CE4640">
        <w:rPr>
          <w:lang w:val="en-US"/>
        </w:rPr>
        <w:t xml:space="preserve">In the baseline case of five symmetrically located gateway links, and as shown in Table 4, a single gateway link can for example have the actual </w:t>
      </w:r>
      <w:r w:rsidRPr="00CE4640">
        <w:rPr>
          <w:i/>
          <w:iCs/>
          <w:lang w:val="en-US"/>
        </w:rPr>
        <w:t>C</w:t>
      </w:r>
      <w:r w:rsidRPr="00CE4640">
        <w:rPr>
          <w:lang w:val="en-US"/>
        </w:rPr>
        <w:t>/(</w:t>
      </w:r>
      <w:r w:rsidRPr="00CE4640">
        <w:rPr>
          <w:i/>
          <w:iCs/>
          <w:lang w:val="en-US"/>
        </w:rPr>
        <w:t>N </w:t>
      </w:r>
      <w:r w:rsidRPr="00CE4640">
        <w:rPr>
          <w:lang w:val="en-US"/>
        </w:rPr>
        <w:t>+ </w:t>
      </w:r>
      <w:r w:rsidRPr="00CE4640">
        <w:rPr>
          <w:i/>
          <w:iCs/>
          <w:lang w:val="en-US"/>
        </w:rPr>
        <w:t>I</w:t>
      </w:r>
      <w:r w:rsidRPr="00CE4640">
        <w:rPr>
          <w:i/>
          <w:iCs/>
          <w:vertAlign w:val="subscript"/>
          <w:lang w:val="en-US"/>
        </w:rPr>
        <w:t>ToT</w:t>
      </w:r>
      <w:r w:rsidRPr="00CE4640">
        <w:rPr>
          <w:lang w:val="en-US"/>
        </w:rPr>
        <w:t>) drop as much as 14 dB below its required amount for 64-QAM and still maintain 50% of its capacity by operating at 16-QAM 1/2. In that case, the total gateway capacity for the five gateway stations would in effect be 90% of full capacity, even with one gateway station temporarily operating at 50% of its capacity and the other four at full capacity. This modulation and capacity adaptation is illustrated in Fig. 7. If as much as two of the five gateway links are temporarily operating at as low as 25% (at QPSK 1/2), then the total capacity of the five gateway links would be operating at as much as 70% of total capacity. In addition, if one of the five links is completely (100%) lost for whatever reason and the other four links remain at maximum capacity, the total link capacity will still be 80%. If this capacity reduction does not occur at the busy hour, then there would not be a need to have the full capacity for that period of time. If it occurs intermittently, but at the busy hour</w:t>
      </w:r>
      <w:r w:rsidRPr="00AE09A0">
        <w:rPr>
          <w:rStyle w:val="FootnoteReference"/>
        </w:rPr>
        <w:footnoteReference w:id="11"/>
      </w:r>
      <w:r w:rsidRPr="00CE4640">
        <w:rPr>
          <w:lang w:val="en-US"/>
        </w:rPr>
        <w:t>, then the particular affected gateway links will have to operate at a lower grade of service corresponding to the lower capacity until the gateway link is restored to a higher capacity.</w:t>
      </w:r>
    </w:p>
    <w:p w:rsidR="00276CD5" w:rsidRPr="005C78FA" w:rsidRDefault="00276CD5" w:rsidP="00276CD5">
      <w:pPr>
        <w:pStyle w:val="FigureNo"/>
        <w:rPr>
          <w:lang w:val="en-US"/>
        </w:rPr>
      </w:pPr>
      <w:r w:rsidRPr="005C78FA">
        <w:rPr>
          <w:lang w:val="en-US"/>
        </w:rPr>
        <w:lastRenderedPageBreak/>
        <w:t>Figure 7</w:t>
      </w:r>
    </w:p>
    <w:p w:rsidR="00BA7F7B" w:rsidRDefault="00BA7F7B" w:rsidP="00BA7F7B">
      <w:pPr>
        <w:pStyle w:val="Figuretitle"/>
        <w:rPr>
          <w:lang w:val="en-US"/>
        </w:rPr>
      </w:pPr>
      <w:r w:rsidRPr="00BA7F7B">
        <w:rPr>
          <w:lang w:val="en-US"/>
        </w:rPr>
        <w:t xml:space="preserve">Gateway </w:t>
      </w:r>
      <w:r w:rsidR="00597AE8" w:rsidRPr="00BA7F7B">
        <w:rPr>
          <w:lang w:val="en-US"/>
        </w:rPr>
        <w:t>l</w:t>
      </w:r>
      <w:r w:rsidRPr="00BA7F7B">
        <w:rPr>
          <w:lang w:val="en-US"/>
        </w:rPr>
        <w:t xml:space="preserve">ink </w:t>
      </w:r>
      <w:r w:rsidR="00597AE8" w:rsidRPr="00BA7F7B">
        <w:rPr>
          <w:lang w:val="en-US"/>
        </w:rPr>
        <w:t>m</w:t>
      </w:r>
      <w:r w:rsidRPr="00BA7F7B">
        <w:rPr>
          <w:lang w:val="en-US"/>
        </w:rPr>
        <w:t xml:space="preserve">odulation and </w:t>
      </w:r>
      <w:r w:rsidR="00597AE8" w:rsidRPr="00BA7F7B">
        <w:rPr>
          <w:lang w:val="en-US"/>
        </w:rPr>
        <w:t>c</w:t>
      </w:r>
      <w:r w:rsidRPr="00BA7F7B">
        <w:rPr>
          <w:lang w:val="en-US"/>
        </w:rPr>
        <w:t xml:space="preserve">apacity </w:t>
      </w:r>
      <w:r w:rsidR="00597AE8" w:rsidRPr="00BA7F7B">
        <w:rPr>
          <w:lang w:val="en-US"/>
        </w:rPr>
        <w:t>a</w:t>
      </w:r>
      <w:r w:rsidRPr="00BA7F7B">
        <w:rPr>
          <w:lang w:val="en-US"/>
        </w:rPr>
        <w:t xml:space="preserve">daption </w:t>
      </w:r>
      <w:r w:rsidR="00597AE8" w:rsidRPr="00BA7F7B">
        <w:rPr>
          <w:lang w:val="en-US"/>
        </w:rPr>
        <w:t>e</w:t>
      </w:r>
      <w:r w:rsidRPr="00BA7F7B">
        <w:rPr>
          <w:lang w:val="en-US"/>
        </w:rPr>
        <w:t>xample</w:t>
      </w:r>
    </w:p>
    <w:p w:rsidR="00597AE8" w:rsidRPr="00597AE8" w:rsidRDefault="00597AE8" w:rsidP="00597AE8">
      <w:pPr>
        <w:pStyle w:val="Blanc"/>
      </w:pPr>
    </w:p>
    <w:p w:rsidR="00BA7F7B" w:rsidRPr="00BA7F7B" w:rsidRDefault="00AC18B2" w:rsidP="00BA7F7B">
      <w:pPr>
        <w:pStyle w:val="Figure"/>
        <w:rPr>
          <w:lang w:val="en-US"/>
        </w:rPr>
      </w:pPr>
      <w:r>
        <w:rPr>
          <w:lang w:val="en-US"/>
        </w:rPr>
        <w:pict>
          <v:shape id="_x0000_i1033" type="#_x0000_t75" style="width:341.4pt;height:264.6pt">
            <v:imagedata r:id="rId25" o:title=""/>
          </v:shape>
        </w:pict>
      </w:r>
    </w:p>
    <w:p w:rsidR="00276CD5" w:rsidRDefault="00276CD5" w:rsidP="00276CD5">
      <w:pPr>
        <w:rPr>
          <w:lang w:val="en-US"/>
        </w:rPr>
      </w:pPr>
    </w:p>
    <w:p w:rsidR="00276CD5" w:rsidRDefault="00276CD5" w:rsidP="00276CD5">
      <w:pPr>
        <w:rPr>
          <w:lang w:val="en-US"/>
        </w:rPr>
      </w:pPr>
    </w:p>
    <w:p w:rsidR="00276CD5" w:rsidRPr="00276CD5" w:rsidRDefault="00276CD5" w:rsidP="00276CD5">
      <w:pPr>
        <w:pStyle w:val="Line"/>
      </w:pPr>
    </w:p>
    <w:sectPr w:rsidR="00276CD5" w:rsidRPr="00276CD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2DA" w:rsidRDefault="005A02DA">
      <w:r>
        <w:separator/>
      </w:r>
    </w:p>
  </w:endnote>
  <w:endnote w:type="continuationSeparator" w:id="0">
    <w:p w:rsidR="005A02DA" w:rsidRDefault="005A0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2DA" w:rsidRDefault="005A02DA">
      <w:r>
        <w:separator/>
      </w:r>
    </w:p>
  </w:footnote>
  <w:footnote w:type="continuationSeparator" w:id="0">
    <w:p w:rsidR="005A02DA" w:rsidRDefault="005A02DA">
      <w:r>
        <w:continuationSeparator/>
      </w:r>
    </w:p>
  </w:footnote>
  <w:footnote w:id="1">
    <w:p w:rsidR="005A02DA" w:rsidRPr="00276CD5" w:rsidRDefault="005A02DA" w:rsidP="00CE4640">
      <w:pPr>
        <w:pStyle w:val="FootnoteText"/>
        <w:rPr>
          <w:lang w:val="en-US"/>
        </w:rPr>
      </w:pPr>
      <w:r w:rsidRPr="00276CD5">
        <w:rPr>
          <w:rStyle w:val="FootnoteReference"/>
          <w:lang w:val="en-US"/>
        </w:rPr>
        <w:t>*</w:t>
      </w:r>
      <w:r w:rsidRPr="00276CD5">
        <w:rPr>
          <w:lang w:val="en-US"/>
        </w:rPr>
        <w:tab/>
        <w:t>This Recommendation has been prepared in support of World Radiocommunication Conference 2012 (WRC-12) Agenda item 1.20. In the event that WRC-12 does not identify spectrum for gateway links for high altitude platform stations in this band, the Recommendation will be suppressed.</w:t>
      </w:r>
    </w:p>
  </w:footnote>
  <w:footnote w:id="2">
    <w:p w:rsidR="005A02DA" w:rsidRPr="00CE4640" w:rsidRDefault="005A02DA" w:rsidP="00BA7F7B">
      <w:pPr>
        <w:pStyle w:val="FootnoteText"/>
        <w:rPr>
          <w:lang w:val="en-US"/>
        </w:rPr>
      </w:pPr>
      <w:r w:rsidRPr="001B0F0F">
        <w:rPr>
          <w:rStyle w:val="FootnoteReference"/>
        </w:rPr>
        <w:footnoteRef/>
      </w:r>
      <w:r w:rsidRPr="00CE4640">
        <w:rPr>
          <w:lang w:val="en-US"/>
        </w:rPr>
        <w:tab/>
        <w:t>See Recommendation ITU</w:t>
      </w:r>
      <w:r w:rsidRPr="00CE4640">
        <w:rPr>
          <w:lang w:val="en-US"/>
        </w:rPr>
        <w:noBreakHyphen/>
        <w:t>R F.1500 for a more detailed description of these coverage areas.</w:t>
      </w:r>
    </w:p>
  </w:footnote>
  <w:footnote w:id="3">
    <w:p w:rsidR="005A02DA" w:rsidRPr="006D773D" w:rsidRDefault="005A02DA" w:rsidP="00BA7F7B">
      <w:pPr>
        <w:pStyle w:val="FootnoteText"/>
        <w:rPr>
          <w:lang w:val="en-US"/>
        </w:rPr>
      </w:pPr>
      <w:r>
        <w:rPr>
          <w:rStyle w:val="FootnoteReference"/>
        </w:rPr>
        <w:footnoteRef/>
      </w:r>
      <w:r w:rsidRPr="00CE4640">
        <w:rPr>
          <w:lang w:val="en-US"/>
        </w:rPr>
        <w:t xml:space="preserve"> </w:t>
      </w:r>
      <w:r>
        <w:rPr>
          <w:lang w:val="en-US"/>
        </w:rPr>
        <w:tab/>
      </w:r>
      <w:r w:rsidRPr="00CE4640">
        <w:rPr>
          <w:lang w:val="en-US"/>
        </w:rPr>
        <w:t xml:space="preserve">In the scope of this Recommendation, the “HAPS gateway link” is a radio link from a HAPS ground-based gateway station at a given location to a HAPS platform, or vice versa, conveying information for a HAPS communication link including telemetry and telecommand, and providing interconnection with other ground telecommunication networks. </w:t>
      </w:r>
    </w:p>
  </w:footnote>
  <w:footnote w:id="4">
    <w:p w:rsidR="005A02DA" w:rsidRPr="00CE4640" w:rsidRDefault="005A02DA" w:rsidP="00BA7F7B">
      <w:pPr>
        <w:pStyle w:val="FootnoteText"/>
        <w:rPr>
          <w:lang w:val="en-US"/>
        </w:rPr>
      </w:pPr>
      <w:r w:rsidRPr="001B0F0F">
        <w:rPr>
          <w:rStyle w:val="FootnoteReference"/>
        </w:rPr>
        <w:footnoteRef/>
      </w:r>
      <w:r w:rsidRPr="00CE4640">
        <w:rPr>
          <w:lang w:val="en-US"/>
        </w:rPr>
        <w:tab/>
        <w:t xml:space="preserve">See Resolution </w:t>
      </w:r>
      <w:r w:rsidRPr="00CE4640">
        <w:rPr>
          <w:bCs/>
          <w:lang w:val="en-US"/>
        </w:rPr>
        <w:t>734 (Rev.WRC-07)</w:t>
      </w:r>
      <w:r w:rsidRPr="00CE4640">
        <w:rPr>
          <w:lang w:val="en-US"/>
        </w:rPr>
        <w:t>.</w:t>
      </w:r>
    </w:p>
  </w:footnote>
  <w:footnote w:id="5">
    <w:p w:rsidR="005A02DA" w:rsidRPr="006D773D" w:rsidRDefault="005A02DA" w:rsidP="00BA7F7B">
      <w:pPr>
        <w:pStyle w:val="FootnoteText"/>
        <w:rPr>
          <w:lang w:val="en-US"/>
        </w:rPr>
      </w:pPr>
      <w:r>
        <w:rPr>
          <w:rStyle w:val="FootnoteReference"/>
        </w:rPr>
        <w:footnoteRef/>
      </w:r>
      <w:r w:rsidRPr="00CE4640">
        <w:rPr>
          <w:lang w:val="en-US"/>
        </w:rPr>
        <w:t xml:space="preserve"> </w:t>
      </w:r>
      <w:r>
        <w:rPr>
          <w:lang w:val="en-US"/>
        </w:rPr>
        <w:tab/>
      </w:r>
      <w:r w:rsidRPr="00CE4640">
        <w:rPr>
          <w:lang w:val="en-US"/>
        </w:rPr>
        <w:t>For example, two 34 MHz subchannels with 4 MHz guardbands and each subchannel being FDD.</w:t>
      </w:r>
    </w:p>
  </w:footnote>
  <w:footnote w:id="6">
    <w:p w:rsidR="005A02DA" w:rsidRPr="00CE4640" w:rsidRDefault="005A02DA" w:rsidP="00BA7F7B">
      <w:pPr>
        <w:pStyle w:val="FootnoteText"/>
        <w:rPr>
          <w:lang w:val="en-US"/>
        </w:rPr>
      </w:pPr>
      <w:r w:rsidRPr="001B0F0F">
        <w:rPr>
          <w:rStyle w:val="FootnoteReference"/>
        </w:rPr>
        <w:footnoteRef/>
      </w:r>
      <w:r w:rsidRPr="00CE4640">
        <w:rPr>
          <w:lang w:val="en-US"/>
        </w:rPr>
        <w:tab/>
        <w:t>A 34 MHz subchannel (plus guardbands) results in the same link margin.</w:t>
      </w:r>
    </w:p>
  </w:footnote>
  <w:footnote w:id="7">
    <w:p w:rsidR="005A02DA" w:rsidRPr="00CE4640" w:rsidRDefault="005A02DA" w:rsidP="00BA7F7B">
      <w:pPr>
        <w:pStyle w:val="FootnoteText"/>
        <w:rPr>
          <w:lang w:val="en-US"/>
        </w:rPr>
      </w:pPr>
      <w:r w:rsidRPr="001B0F0F">
        <w:rPr>
          <w:rStyle w:val="FootnoteReference"/>
        </w:rPr>
        <w:footnoteRef/>
      </w:r>
      <w:r w:rsidRPr="00CE4640">
        <w:rPr>
          <w:lang w:val="en-US"/>
        </w:rPr>
        <w:tab/>
        <w:t>Based on utilizing 64</w:t>
      </w:r>
      <w:r w:rsidRPr="00CE4640">
        <w:rPr>
          <w:lang w:val="en-US"/>
        </w:rPr>
        <w:noBreakHyphen/>
        <w:t xml:space="preserve">QAM modulation with a 2/3 coding rate for the FDM gateway link. </w:t>
      </w:r>
    </w:p>
  </w:footnote>
  <w:footnote w:id="8">
    <w:p w:rsidR="005A02DA" w:rsidRPr="006D773D" w:rsidRDefault="005A02DA" w:rsidP="003155E3">
      <w:pPr>
        <w:pStyle w:val="FootnoteText"/>
        <w:rPr>
          <w:lang w:val="en-US"/>
        </w:rPr>
      </w:pPr>
      <w:r>
        <w:rPr>
          <w:rStyle w:val="FootnoteReference"/>
        </w:rPr>
        <w:footnoteRef/>
      </w:r>
      <w:r>
        <w:rPr>
          <w:lang w:val="en-US"/>
        </w:rPr>
        <w:tab/>
      </w:r>
      <w:r w:rsidRPr="00CE4640">
        <w:rPr>
          <w:lang w:val="en-US"/>
        </w:rPr>
        <w:t>Bit rate and channel bandwidth are interchangeable using the spectral efficiency of the channel modulation and coding used, expressed in bits per second per hertz.</w:t>
      </w:r>
    </w:p>
  </w:footnote>
  <w:footnote w:id="9">
    <w:p w:rsidR="005A02DA" w:rsidRPr="006D773D" w:rsidRDefault="005A02DA" w:rsidP="003155E3">
      <w:pPr>
        <w:pStyle w:val="FootnoteText"/>
        <w:rPr>
          <w:lang w:val="en-US"/>
        </w:rPr>
      </w:pPr>
      <w:r>
        <w:rPr>
          <w:rStyle w:val="FootnoteReference"/>
        </w:rPr>
        <w:footnoteRef/>
      </w:r>
      <w:r>
        <w:rPr>
          <w:lang w:val="en-US"/>
        </w:rPr>
        <w:tab/>
      </w:r>
      <w:r w:rsidRPr="00CE4640">
        <w:rPr>
          <w:lang w:val="en-US"/>
        </w:rPr>
        <w:t>The 2.67 Gbit/s minimum requirement is based on the 64-QAM 2/3 case and a total subscriber capacity of 3 million per HAPS with 300 thousand (10%) subscribers on-line during the busy hour. This is for a baseline case of primarily voice-user access with a modest amount of Internet and data traffic mixed in. This corresponds to a user (not gateway) capacity of 300 K Erlangs using an Erlang B traffic model with 1% blocking.</w:t>
      </w:r>
    </w:p>
  </w:footnote>
  <w:footnote w:id="10">
    <w:p w:rsidR="005A02DA" w:rsidRPr="00CE4640" w:rsidRDefault="005A02DA" w:rsidP="00BA7F7B">
      <w:pPr>
        <w:pStyle w:val="FootnoteText"/>
        <w:rPr>
          <w:lang w:val="en-US"/>
        </w:rPr>
      </w:pPr>
      <w:r>
        <w:rPr>
          <w:rStyle w:val="FootnoteReference"/>
        </w:rPr>
        <w:footnoteRef/>
      </w:r>
      <w:r>
        <w:rPr>
          <w:lang w:val="en-US"/>
        </w:rPr>
        <w:tab/>
      </w:r>
      <w:r w:rsidRPr="00CE4640">
        <w:rPr>
          <w:lang w:val="en-US"/>
        </w:rPr>
        <w:t>64</w:t>
      </w:r>
      <w:r w:rsidRPr="00CE4640">
        <w:rPr>
          <w:lang w:val="en-US"/>
        </w:rPr>
        <w:noBreakHyphen/>
        <w:t>QAM modulation with a coding rate of 2/3 provides a spectral efficiency of 4 bit/s/Hz. Each 160 MHz gateway link with this modulation will provide 533 Mbit/s of bit-rate capacity. Five same-frequency gateway links provide a total gateway capacity of 2.67 Gbit/s (533 Mbit/s times 5 GS).</w:t>
      </w:r>
    </w:p>
  </w:footnote>
  <w:footnote w:id="11">
    <w:p w:rsidR="005A02DA" w:rsidRPr="006D773D" w:rsidRDefault="005A02DA" w:rsidP="00597AE8">
      <w:pPr>
        <w:pStyle w:val="FootnoteText"/>
        <w:rPr>
          <w:lang w:val="en-US"/>
        </w:rPr>
      </w:pPr>
      <w:r>
        <w:rPr>
          <w:rStyle w:val="FootnoteReference"/>
        </w:rPr>
        <w:footnoteRef/>
      </w:r>
      <w:r w:rsidRPr="00597AE8">
        <w:rPr>
          <w:lang w:val="en-US"/>
        </w:rPr>
        <w:tab/>
      </w:r>
      <w:r w:rsidRPr="00CE4640">
        <w:rPr>
          <w:lang w:val="en-US"/>
        </w:rPr>
        <w:t>The busy hour is estimated to occur an average of about 15% of the time total during a 24 h period. The lowest traffic level at any time of the day is estimated to be 20% of total capacity.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DA" w:rsidRDefault="005A02D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DA" w:rsidRDefault="005A02DA" w:rsidP="00B033C8">
    <w:pPr>
      <w:pStyle w:val="Header"/>
      <w:ind w:right="360" w:firstLine="360"/>
    </w:pPr>
    <w:r>
      <w:rPr>
        <w:noProof/>
        <w:lang w:val="en-US" w:eastAsia="zh-CN"/>
      </w:rPr>
      <w:drawing>
        <wp:anchor distT="0" distB="0" distL="114300" distR="114300" simplePos="0" relativeHeight="251657728" behindDoc="1" locked="0" layoutInCell="1" allowOverlap="1" wp14:anchorId="324F3F19" wp14:editId="253475C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DA" w:rsidRPr="00FC42AF" w:rsidRDefault="005A02D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5133C">
      <w:rPr>
        <w:rStyle w:val="PageNumber"/>
        <w:b/>
        <w:bCs/>
        <w:noProof/>
      </w:rPr>
      <w:t>8</w:t>
    </w:r>
    <w:r>
      <w:rPr>
        <w:rStyle w:val="PageNumber"/>
        <w:b/>
        <w:bCs/>
      </w:rPr>
      <w:fldChar w:fldCharType="end"/>
    </w:r>
    <w:r w:rsidRPr="00FC42AF">
      <w:tab/>
    </w:r>
    <w:fldSimple w:instr=" DOCPROPERTY &quot;Header&quot; \* MERGEFORMAT ">
      <w:r w:rsidR="0035133C" w:rsidRPr="0035133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5133C">
      <w:rPr>
        <w:b/>
        <w:bCs/>
        <w:noProof/>
      </w:rPr>
      <w:t>ITU-R  F.1891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DA" w:rsidRDefault="005A02DA">
    <w:pPr>
      <w:pStyle w:val="Header"/>
    </w:pPr>
    <w:r>
      <w:tab/>
    </w:r>
    <w:fldSimple w:instr=" DOCPROPERTY &quot;Header&quot; \* MERGEFORMAT ">
      <w:r w:rsidR="0035133C" w:rsidRPr="0035133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133C">
      <w:rPr>
        <w:b/>
        <w:bCs/>
        <w:noProof/>
      </w:rPr>
      <w:t>ITU-R  F.1891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133C">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7BF4"/>
    <w:rsid w:val="00072484"/>
    <w:rsid w:val="00096612"/>
    <w:rsid w:val="000A4386"/>
    <w:rsid w:val="000B7683"/>
    <w:rsid w:val="000D0677"/>
    <w:rsid w:val="000E6A6E"/>
    <w:rsid w:val="000F5BD6"/>
    <w:rsid w:val="00102934"/>
    <w:rsid w:val="00107063"/>
    <w:rsid w:val="00123703"/>
    <w:rsid w:val="00147110"/>
    <w:rsid w:val="001511A6"/>
    <w:rsid w:val="002058CE"/>
    <w:rsid w:val="002165F1"/>
    <w:rsid w:val="00276CD5"/>
    <w:rsid w:val="00276D21"/>
    <w:rsid w:val="00296D7F"/>
    <w:rsid w:val="002B3CF6"/>
    <w:rsid w:val="002C768A"/>
    <w:rsid w:val="002D76C4"/>
    <w:rsid w:val="002F5199"/>
    <w:rsid w:val="003155E3"/>
    <w:rsid w:val="0035133C"/>
    <w:rsid w:val="00356B5D"/>
    <w:rsid w:val="003E4C58"/>
    <w:rsid w:val="00413059"/>
    <w:rsid w:val="004133D8"/>
    <w:rsid w:val="00420DFD"/>
    <w:rsid w:val="00437A76"/>
    <w:rsid w:val="00470E28"/>
    <w:rsid w:val="004934C5"/>
    <w:rsid w:val="004F65E4"/>
    <w:rsid w:val="00556548"/>
    <w:rsid w:val="00586EF8"/>
    <w:rsid w:val="00597AE8"/>
    <w:rsid w:val="005A02DA"/>
    <w:rsid w:val="005B49AB"/>
    <w:rsid w:val="005B50E7"/>
    <w:rsid w:val="005C78FA"/>
    <w:rsid w:val="005E7B4F"/>
    <w:rsid w:val="00601882"/>
    <w:rsid w:val="00607D68"/>
    <w:rsid w:val="00613212"/>
    <w:rsid w:val="006149B1"/>
    <w:rsid w:val="00677965"/>
    <w:rsid w:val="00680D2B"/>
    <w:rsid w:val="00681B32"/>
    <w:rsid w:val="006A75CC"/>
    <w:rsid w:val="006B1D2B"/>
    <w:rsid w:val="006B2133"/>
    <w:rsid w:val="006E1131"/>
    <w:rsid w:val="006E2037"/>
    <w:rsid w:val="006E6199"/>
    <w:rsid w:val="00712870"/>
    <w:rsid w:val="0071310B"/>
    <w:rsid w:val="00743D85"/>
    <w:rsid w:val="00753CF4"/>
    <w:rsid w:val="007565CC"/>
    <w:rsid w:val="00763B9A"/>
    <w:rsid w:val="00794726"/>
    <w:rsid w:val="007A6AA8"/>
    <w:rsid w:val="007D224F"/>
    <w:rsid w:val="00807436"/>
    <w:rsid w:val="008310C9"/>
    <w:rsid w:val="00853CC5"/>
    <w:rsid w:val="008C1BAC"/>
    <w:rsid w:val="008C7848"/>
    <w:rsid w:val="008D7776"/>
    <w:rsid w:val="00906589"/>
    <w:rsid w:val="00906AD6"/>
    <w:rsid w:val="00917AF2"/>
    <w:rsid w:val="0092418A"/>
    <w:rsid w:val="00934ED7"/>
    <w:rsid w:val="009543C3"/>
    <w:rsid w:val="00966E1B"/>
    <w:rsid w:val="009947C0"/>
    <w:rsid w:val="009F2D2C"/>
    <w:rsid w:val="00A11CB5"/>
    <w:rsid w:val="00A31928"/>
    <w:rsid w:val="00A51727"/>
    <w:rsid w:val="00A62A14"/>
    <w:rsid w:val="00A6617B"/>
    <w:rsid w:val="00A71FE5"/>
    <w:rsid w:val="00A971A1"/>
    <w:rsid w:val="00AA3AD8"/>
    <w:rsid w:val="00AB0DC8"/>
    <w:rsid w:val="00AC18B2"/>
    <w:rsid w:val="00AC5993"/>
    <w:rsid w:val="00B033C8"/>
    <w:rsid w:val="00B33425"/>
    <w:rsid w:val="00B43A0F"/>
    <w:rsid w:val="00B44E24"/>
    <w:rsid w:val="00B54ECC"/>
    <w:rsid w:val="00B714F3"/>
    <w:rsid w:val="00B87B6B"/>
    <w:rsid w:val="00BA7F7B"/>
    <w:rsid w:val="00BC5D77"/>
    <w:rsid w:val="00BE0958"/>
    <w:rsid w:val="00BF487A"/>
    <w:rsid w:val="00C46BD9"/>
    <w:rsid w:val="00C55258"/>
    <w:rsid w:val="00C73560"/>
    <w:rsid w:val="00C936C9"/>
    <w:rsid w:val="00CB0F14"/>
    <w:rsid w:val="00CD659B"/>
    <w:rsid w:val="00CE0A43"/>
    <w:rsid w:val="00CE4640"/>
    <w:rsid w:val="00CE7A98"/>
    <w:rsid w:val="00D83556"/>
    <w:rsid w:val="00DF4176"/>
    <w:rsid w:val="00E0487F"/>
    <w:rsid w:val="00E17240"/>
    <w:rsid w:val="00E406BD"/>
    <w:rsid w:val="00E74595"/>
    <w:rsid w:val="00EB7C57"/>
    <w:rsid w:val="00ED2695"/>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46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4640"/>
    <w:pPr>
      <w:keepNext/>
      <w:keepLines/>
      <w:spacing w:before="480"/>
      <w:ind w:left="794" w:hanging="794"/>
      <w:outlineLvl w:val="0"/>
    </w:pPr>
    <w:rPr>
      <w:b/>
    </w:rPr>
  </w:style>
  <w:style w:type="paragraph" w:styleId="Heading2">
    <w:name w:val="heading 2"/>
    <w:basedOn w:val="Heading1"/>
    <w:next w:val="Normal"/>
    <w:qFormat/>
    <w:rsid w:val="00CE4640"/>
    <w:pPr>
      <w:spacing w:before="320"/>
      <w:outlineLvl w:val="1"/>
    </w:pPr>
  </w:style>
  <w:style w:type="paragraph" w:styleId="Heading3">
    <w:name w:val="heading 3"/>
    <w:basedOn w:val="Heading1"/>
    <w:next w:val="Normal"/>
    <w:qFormat/>
    <w:rsid w:val="00CE4640"/>
    <w:pPr>
      <w:spacing w:before="200"/>
      <w:outlineLvl w:val="2"/>
    </w:pPr>
  </w:style>
  <w:style w:type="paragraph" w:styleId="Heading4">
    <w:name w:val="heading 4"/>
    <w:basedOn w:val="Heading3"/>
    <w:next w:val="Normal"/>
    <w:qFormat/>
    <w:rsid w:val="00CE4640"/>
    <w:pPr>
      <w:tabs>
        <w:tab w:val="clear" w:pos="794"/>
        <w:tab w:val="left" w:pos="992"/>
      </w:tabs>
      <w:ind w:left="992" w:hanging="992"/>
      <w:outlineLvl w:val="3"/>
    </w:pPr>
  </w:style>
  <w:style w:type="paragraph" w:styleId="Heading5">
    <w:name w:val="heading 5"/>
    <w:basedOn w:val="Heading4"/>
    <w:next w:val="Normal"/>
    <w:qFormat/>
    <w:rsid w:val="00CE4640"/>
    <w:pPr>
      <w:outlineLvl w:val="4"/>
    </w:pPr>
  </w:style>
  <w:style w:type="paragraph" w:styleId="Heading6">
    <w:name w:val="heading 6"/>
    <w:basedOn w:val="Heading4"/>
    <w:next w:val="Normal"/>
    <w:qFormat/>
    <w:rsid w:val="00CE4640"/>
    <w:pPr>
      <w:tabs>
        <w:tab w:val="clear" w:pos="992"/>
        <w:tab w:val="clear" w:pos="1191"/>
      </w:tabs>
      <w:ind w:left="1588" w:hanging="1588"/>
      <w:outlineLvl w:val="5"/>
    </w:pPr>
  </w:style>
  <w:style w:type="paragraph" w:styleId="Heading7">
    <w:name w:val="heading 7"/>
    <w:basedOn w:val="Heading6"/>
    <w:next w:val="Normal"/>
    <w:qFormat/>
    <w:rsid w:val="00CE4640"/>
    <w:pPr>
      <w:outlineLvl w:val="6"/>
    </w:pPr>
  </w:style>
  <w:style w:type="paragraph" w:styleId="Heading8">
    <w:name w:val="heading 8"/>
    <w:basedOn w:val="Heading6"/>
    <w:next w:val="Normal"/>
    <w:qFormat/>
    <w:rsid w:val="00CE4640"/>
    <w:pPr>
      <w:outlineLvl w:val="7"/>
    </w:pPr>
  </w:style>
  <w:style w:type="paragraph" w:styleId="Heading9">
    <w:name w:val="heading 9"/>
    <w:basedOn w:val="Heading6"/>
    <w:next w:val="Normal"/>
    <w:qFormat/>
    <w:rsid w:val="00CE46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464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46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4640"/>
  </w:style>
  <w:style w:type="paragraph" w:customStyle="1" w:styleId="Headingb">
    <w:name w:val="Heading_b"/>
    <w:basedOn w:val="Heading3"/>
    <w:next w:val="Normal"/>
    <w:link w:val="HeadingbChar"/>
    <w:rsid w:val="00CE4640"/>
    <w:pPr>
      <w:spacing w:before="160"/>
      <w:ind w:left="0" w:firstLine="0"/>
      <w:outlineLvl w:val="9"/>
    </w:pPr>
  </w:style>
  <w:style w:type="paragraph" w:customStyle="1" w:styleId="Headingi">
    <w:name w:val="Heading_i"/>
    <w:basedOn w:val="Heading3"/>
    <w:next w:val="Normal"/>
    <w:rsid w:val="00CE4640"/>
    <w:pPr>
      <w:spacing w:before="160"/>
      <w:ind w:left="0" w:firstLine="0"/>
    </w:pPr>
    <w:rPr>
      <w:b w:val="0"/>
      <w:i/>
    </w:rPr>
  </w:style>
  <w:style w:type="character" w:customStyle="1" w:styleId="href">
    <w:name w:val="href"/>
    <w:basedOn w:val="DefaultParagraphFont"/>
    <w:rsid w:val="00CE4640"/>
  </w:style>
  <w:style w:type="paragraph" w:customStyle="1" w:styleId="AnnexNoTitle">
    <w:name w:val="Annex_NoTitle"/>
    <w:basedOn w:val="Normal"/>
    <w:next w:val="Normalaftertitle"/>
    <w:rsid w:val="00CE4640"/>
    <w:pPr>
      <w:keepNext/>
      <w:keepLines/>
      <w:spacing w:before="480" w:after="80"/>
      <w:jc w:val="center"/>
    </w:pPr>
    <w:rPr>
      <w:b/>
      <w:sz w:val="28"/>
    </w:rPr>
  </w:style>
  <w:style w:type="paragraph" w:customStyle="1" w:styleId="Normalaftertitle">
    <w:name w:val="Normal_after_title"/>
    <w:basedOn w:val="Normal"/>
    <w:next w:val="Normal"/>
    <w:link w:val="NormalaftertitleChar"/>
    <w:rsid w:val="00CE4640"/>
    <w:pPr>
      <w:spacing w:before="320"/>
    </w:pPr>
  </w:style>
  <w:style w:type="paragraph" w:customStyle="1" w:styleId="enumlev2">
    <w:name w:val="enumlev2"/>
    <w:basedOn w:val="enumlev1"/>
    <w:rsid w:val="00CE4640"/>
    <w:pPr>
      <w:ind w:left="1191" w:hanging="397"/>
    </w:pPr>
  </w:style>
  <w:style w:type="paragraph" w:customStyle="1" w:styleId="enumlev1">
    <w:name w:val="enumlev1"/>
    <w:basedOn w:val="Normal"/>
    <w:rsid w:val="00CE4640"/>
    <w:pPr>
      <w:spacing w:before="80"/>
      <w:ind w:left="794" w:hanging="794"/>
    </w:pPr>
  </w:style>
  <w:style w:type="paragraph" w:customStyle="1" w:styleId="enumlev3">
    <w:name w:val="enumlev3"/>
    <w:basedOn w:val="enumlev2"/>
    <w:rsid w:val="00CE4640"/>
    <w:pPr>
      <w:ind w:left="1588"/>
    </w:pPr>
  </w:style>
  <w:style w:type="paragraph" w:customStyle="1" w:styleId="Note">
    <w:name w:val="Note"/>
    <w:basedOn w:val="Normal"/>
    <w:rsid w:val="00CE46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464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E4640"/>
    <w:pPr>
      <w:keepNext/>
      <w:keepLines/>
      <w:spacing w:before="240"/>
      <w:jc w:val="center"/>
    </w:pPr>
    <w:rPr>
      <w:b/>
      <w:sz w:val="28"/>
    </w:rPr>
  </w:style>
  <w:style w:type="paragraph" w:customStyle="1" w:styleId="Recref">
    <w:name w:val="Rec_ref"/>
    <w:basedOn w:val="Normal"/>
    <w:next w:val="Recdate"/>
    <w:rsid w:val="00CE4640"/>
    <w:pPr>
      <w:jc w:val="center"/>
    </w:pPr>
  </w:style>
  <w:style w:type="paragraph" w:customStyle="1" w:styleId="Recdate">
    <w:name w:val="Rec_date"/>
    <w:basedOn w:val="Recref"/>
    <w:next w:val="Normalaftertitle"/>
    <w:rsid w:val="00CE4640"/>
    <w:pPr>
      <w:jc w:val="right"/>
    </w:pPr>
  </w:style>
  <w:style w:type="paragraph" w:customStyle="1" w:styleId="HeadingSum">
    <w:name w:val="Heading_Sum"/>
    <w:basedOn w:val="Headingb"/>
    <w:next w:val="Normal"/>
    <w:rsid w:val="00CE4640"/>
    <w:pPr>
      <w:spacing w:before="240"/>
    </w:pPr>
    <w:rPr>
      <w:sz w:val="22"/>
      <w:lang w:val="es-ES_tradnl"/>
    </w:rPr>
  </w:style>
  <w:style w:type="paragraph" w:customStyle="1" w:styleId="AppendixNoTitle">
    <w:name w:val="Appendix_NoTitle"/>
    <w:basedOn w:val="AnnexNoTitle"/>
    <w:next w:val="Normal"/>
    <w:rsid w:val="00CE4640"/>
  </w:style>
  <w:style w:type="paragraph" w:customStyle="1" w:styleId="Tablefin">
    <w:name w:val="Table_fin"/>
    <w:basedOn w:val="Normal"/>
    <w:next w:val="Normal"/>
    <w:rsid w:val="00CE4640"/>
    <w:pPr>
      <w:spacing w:before="0"/>
    </w:pPr>
    <w:rPr>
      <w:sz w:val="20"/>
      <w:lang w:val="en-GB"/>
    </w:rPr>
  </w:style>
  <w:style w:type="paragraph" w:customStyle="1" w:styleId="Tablehead">
    <w:name w:val="Table_head"/>
    <w:basedOn w:val="Normal"/>
    <w:next w:val="Normal"/>
    <w:link w:val="TableheadChar"/>
    <w:rsid w:val="00CE46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4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E4640"/>
    <w:pPr>
      <w:keepNext/>
      <w:spacing w:before="360" w:after="120"/>
      <w:jc w:val="center"/>
    </w:pPr>
  </w:style>
  <w:style w:type="paragraph" w:customStyle="1" w:styleId="Tabletext">
    <w:name w:val="Table_text"/>
    <w:basedOn w:val="Normal"/>
    <w:link w:val="TabletextChar"/>
    <w:rsid w:val="00CE4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E4640"/>
    <w:pPr>
      <w:tabs>
        <w:tab w:val="clear" w:pos="1191"/>
        <w:tab w:val="clear" w:pos="1588"/>
        <w:tab w:val="clear" w:pos="1985"/>
        <w:tab w:val="center" w:pos="4820"/>
        <w:tab w:val="right" w:pos="9639"/>
      </w:tabs>
    </w:pPr>
  </w:style>
  <w:style w:type="paragraph" w:customStyle="1" w:styleId="Equationlegend">
    <w:name w:val="Equation_legend"/>
    <w:basedOn w:val="NormalIndent"/>
    <w:rsid w:val="00CE46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4640"/>
    <w:pPr>
      <w:ind w:left="794"/>
    </w:pPr>
  </w:style>
  <w:style w:type="paragraph" w:customStyle="1" w:styleId="Figurelegend">
    <w:name w:val="Figure_legend"/>
    <w:basedOn w:val="Normal"/>
    <w:rsid w:val="00CE46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E4640"/>
    <w:pPr>
      <w:keepNext/>
      <w:keepLines/>
      <w:spacing w:before="480" w:after="80"/>
      <w:jc w:val="center"/>
    </w:pPr>
    <w:rPr>
      <w:caps/>
      <w:sz w:val="18"/>
    </w:rPr>
  </w:style>
  <w:style w:type="paragraph" w:customStyle="1" w:styleId="Figuretitle">
    <w:name w:val="Figure_title"/>
    <w:basedOn w:val="Normal"/>
    <w:next w:val="Figure"/>
    <w:link w:val="FiguretitleChar"/>
    <w:rsid w:val="00CE4640"/>
    <w:pPr>
      <w:keepNext/>
      <w:spacing w:before="0" w:after="120"/>
      <w:jc w:val="center"/>
    </w:pPr>
    <w:rPr>
      <w:rFonts w:ascii="Times New Roman Bold" w:hAnsi="Times New Roman Bold"/>
      <w:b/>
      <w:sz w:val="18"/>
    </w:rPr>
  </w:style>
  <w:style w:type="paragraph" w:customStyle="1" w:styleId="Figure">
    <w:name w:val="Figure"/>
    <w:basedOn w:val="FigureNo"/>
    <w:next w:val="Normal"/>
    <w:rsid w:val="00CE4640"/>
    <w:pPr>
      <w:keepNext w:val="0"/>
      <w:spacing w:before="0" w:after="240"/>
    </w:pPr>
  </w:style>
  <w:style w:type="paragraph" w:customStyle="1" w:styleId="tocpart">
    <w:name w:val="tocpart"/>
    <w:basedOn w:val="Normal"/>
    <w:rsid w:val="00CE46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4640"/>
    <w:pPr>
      <w:keepNext/>
      <w:keepLines/>
      <w:spacing w:before="480"/>
      <w:jc w:val="center"/>
    </w:pPr>
    <w:rPr>
      <w:sz w:val="28"/>
    </w:rPr>
  </w:style>
  <w:style w:type="paragraph" w:customStyle="1" w:styleId="Arttitle">
    <w:name w:val="Art_title"/>
    <w:basedOn w:val="Normal"/>
    <w:next w:val="Normalaftertitle"/>
    <w:rsid w:val="00CE4640"/>
    <w:pPr>
      <w:keepNext/>
      <w:keepLines/>
      <w:spacing w:before="240"/>
      <w:jc w:val="center"/>
    </w:pPr>
    <w:rPr>
      <w:b/>
      <w:sz w:val="28"/>
    </w:rPr>
  </w:style>
  <w:style w:type="paragraph" w:customStyle="1" w:styleId="Blanc">
    <w:name w:val="Blanc"/>
    <w:basedOn w:val="Normal"/>
    <w:next w:val="Tabletext"/>
    <w:rsid w:val="00CE46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46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E4640"/>
    <w:pPr>
      <w:keepNext/>
      <w:keepLines/>
      <w:spacing w:before="160"/>
      <w:ind w:left="794"/>
    </w:pPr>
    <w:rPr>
      <w:i/>
    </w:rPr>
  </w:style>
  <w:style w:type="paragraph" w:customStyle="1" w:styleId="ChapNo">
    <w:name w:val="Chap_No"/>
    <w:basedOn w:val="ArtNo"/>
    <w:next w:val="Chaptitle"/>
    <w:rsid w:val="00CE4640"/>
    <w:rPr>
      <w:b/>
    </w:rPr>
  </w:style>
  <w:style w:type="paragraph" w:customStyle="1" w:styleId="Chaptitle">
    <w:name w:val="Chap_title"/>
    <w:basedOn w:val="Arttitle"/>
    <w:next w:val="Normalaftertitle"/>
    <w:rsid w:val="00CE4640"/>
  </w:style>
  <w:style w:type="character" w:styleId="FootnoteReference">
    <w:name w:val="footnote reference"/>
    <w:basedOn w:val="DefaultParagraphFont"/>
    <w:rsid w:val="00CE4640"/>
    <w:rPr>
      <w:position w:val="6"/>
      <w:sz w:val="18"/>
    </w:rPr>
  </w:style>
  <w:style w:type="paragraph" w:styleId="FootnoteText">
    <w:name w:val="footnote text"/>
    <w:basedOn w:val="Normal"/>
    <w:link w:val="FootnoteTextChar"/>
    <w:rsid w:val="00CE4640"/>
    <w:pPr>
      <w:keepLines/>
      <w:tabs>
        <w:tab w:val="left" w:pos="255"/>
      </w:tabs>
      <w:ind w:left="255" w:hanging="255"/>
    </w:pPr>
    <w:rPr>
      <w:sz w:val="22"/>
    </w:rPr>
  </w:style>
  <w:style w:type="paragraph" w:styleId="Index1">
    <w:name w:val="index 1"/>
    <w:basedOn w:val="Normal"/>
    <w:next w:val="Normal"/>
    <w:semiHidden/>
    <w:rsid w:val="00CE4640"/>
  </w:style>
  <w:style w:type="paragraph" w:styleId="Index2">
    <w:name w:val="index 2"/>
    <w:basedOn w:val="Normal"/>
    <w:next w:val="Normal"/>
    <w:semiHidden/>
    <w:rsid w:val="00CE4640"/>
    <w:pPr>
      <w:ind w:left="283"/>
    </w:pPr>
  </w:style>
  <w:style w:type="paragraph" w:styleId="Index3">
    <w:name w:val="index 3"/>
    <w:basedOn w:val="Normal"/>
    <w:next w:val="Normal"/>
    <w:semiHidden/>
    <w:rsid w:val="00CE4640"/>
    <w:pPr>
      <w:ind w:left="566"/>
    </w:pPr>
  </w:style>
  <w:style w:type="paragraph" w:styleId="IndexHeading">
    <w:name w:val="index heading"/>
    <w:basedOn w:val="Normal"/>
    <w:next w:val="Index1"/>
    <w:semiHidden/>
    <w:rsid w:val="00CE4640"/>
  </w:style>
  <w:style w:type="paragraph" w:customStyle="1" w:styleId="Line">
    <w:name w:val="Line"/>
    <w:basedOn w:val="Normal"/>
    <w:next w:val="Normal"/>
    <w:rsid w:val="00CE46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46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4640"/>
  </w:style>
  <w:style w:type="paragraph" w:customStyle="1" w:styleId="Partref">
    <w:name w:val="Part_ref"/>
    <w:basedOn w:val="Normal"/>
    <w:next w:val="Normal"/>
    <w:rsid w:val="00CE4640"/>
    <w:pPr>
      <w:keepNext/>
      <w:keepLines/>
      <w:spacing w:after="280"/>
      <w:jc w:val="center"/>
    </w:pPr>
  </w:style>
  <w:style w:type="paragraph" w:customStyle="1" w:styleId="Parttitle">
    <w:name w:val="Part_title"/>
    <w:basedOn w:val="Normal"/>
    <w:next w:val="Normalaftertitle"/>
    <w:rsid w:val="00CE46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4640"/>
  </w:style>
  <w:style w:type="paragraph" w:customStyle="1" w:styleId="QuestionNo">
    <w:name w:val="Question_No"/>
    <w:basedOn w:val="RecNo"/>
    <w:next w:val="Normal"/>
    <w:rsid w:val="00CE4640"/>
  </w:style>
  <w:style w:type="paragraph" w:customStyle="1" w:styleId="Questionref">
    <w:name w:val="Question_ref"/>
    <w:basedOn w:val="Recref"/>
    <w:next w:val="Questiondate"/>
    <w:rsid w:val="00CE4640"/>
  </w:style>
  <w:style w:type="paragraph" w:customStyle="1" w:styleId="Questiontitle">
    <w:name w:val="Question_title"/>
    <w:basedOn w:val="Normal"/>
    <w:next w:val="Questionref"/>
    <w:rsid w:val="00CE4640"/>
  </w:style>
  <w:style w:type="paragraph" w:customStyle="1" w:styleId="Reftext">
    <w:name w:val="Ref_text"/>
    <w:basedOn w:val="Normal"/>
    <w:rsid w:val="00CE4640"/>
    <w:pPr>
      <w:ind w:left="794" w:hanging="794"/>
    </w:pPr>
    <w:rPr>
      <w:sz w:val="22"/>
    </w:rPr>
  </w:style>
  <w:style w:type="paragraph" w:customStyle="1" w:styleId="Reftitle">
    <w:name w:val="Ref_title"/>
    <w:basedOn w:val="Normal"/>
    <w:next w:val="Reftext"/>
    <w:rsid w:val="00CE46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4640"/>
  </w:style>
  <w:style w:type="paragraph" w:customStyle="1" w:styleId="RepNo">
    <w:name w:val="Rep_No"/>
    <w:basedOn w:val="RecNo"/>
    <w:next w:val="Reptitle"/>
    <w:rsid w:val="00CE4640"/>
  </w:style>
  <w:style w:type="paragraph" w:customStyle="1" w:styleId="Reptitle">
    <w:name w:val="Rep_title"/>
    <w:basedOn w:val="Rectitle"/>
    <w:next w:val="Repref"/>
    <w:rsid w:val="00CE4640"/>
  </w:style>
  <w:style w:type="paragraph" w:customStyle="1" w:styleId="Repref">
    <w:name w:val="Rep_ref"/>
    <w:basedOn w:val="Recref"/>
    <w:next w:val="Repdate"/>
    <w:rsid w:val="00CE4640"/>
  </w:style>
  <w:style w:type="paragraph" w:customStyle="1" w:styleId="Resdate">
    <w:name w:val="Res_date"/>
    <w:basedOn w:val="Recdate"/>
    <w:next w:val="Normalaftertitle"/>
    <w:rsid w:val="00CE4640"/>
  </w:style>
  <w:style w:type="paragraph" w:customStyle="1" w:styleId="ResNo">
    <w:name w:val="Res_No"/>
    <w:basedOn w:val="RecNo"/>
    <w:next w:val="Restitle"/>
    <w:rsid w:val="00CE4640"/>
  </w:style>
  <w:style w:type="paragraph" w:customStyle="1" w:styleId="Restitle">
    <w:name w:val="Res_title"/>
    <w:basedOn w:val="Normal"/>
    <w:next w:val="Resref"/>
    <w:rsid w:val="00CE4640"/>
    <w:pPr>
      <w:spacing w:before="240"/>
      <w:jc w:val="center"/>
    </w:pPr>
    <w:rPr>
      <w:b/>
      <w:sz w:val="28"/>
    </w:rPr>
  </w:style>
  <w:style w:type="paragraph" w:customStyle="1" w:styleId="Resref">
    <w:name w:val="Res_ref"/>
    <w:basedOn w:val="Recref"/>
    <w:next w:val="Resdate"/>
    <w:rsid w:val="00CE4640"/>
  </w:style>
  <w:style w:type="paragraph" w:customStyle="1" w:styleId="SectionNo">
    <w:name w:val="Section_No"/>
    <w:basedOn w:val="Normal"/>
    <w:next w:val="Normal"/>
    <w:rsid w:val="00CE4640"/>
  </w:style>
  <w:style w:type="paragraph" w:customStyle="1" w:styleId="Sectiontitle">
    <w:name w:val="Section_title"/>
    <w:basedOn w:val="Normal"/>
    <w:next w:val="Normalaftertitle"/>
    <w:rsid w:val="00CE46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4640"/>
    <w:pPr>
      <w:tabs>
        <w:tab w:val="clear" w:pos="794"/>
        <w:tab w:val="clear" w:pos="1191"/>
        <w:tab w:val="clear" w:pos="1588"/>
        <w:tab w:val="clear" w:pos="1985"/>
        <w:tab w:val="right" w:pos="9611"/>
      </w:tabs>
    </w:pPr>
    <w:rPr>
      <w:i/>
    </w:rPr>
  </w:style>
  <w:style w:type="paragraph" w:styleId="TOC1">
    <w:name w:val="toc 1"/>
    <w:basedOn w:val="Normal"/>
    <w:semiHidden/>
    <w:rsid w:val="00CE46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4640"/>
    <w:pPr>
      <w:tabs>
        <w:tab w:val="clear" w:pos="567"/>
        <w:tab w:val="left" w:pos="1276"/>
      </w:tabs>
      <w:spacing w:before="160"/>
      <w:ind w:left="1276" w:hanging="709"/>
    </w:pPr>
  </w:style>
  <w:style w:type="paragraph" w:styleId="TOC3">
    <w:name w:val="toc 3"/>
    <w:basedOn w:val="TOC2"/>
    <w:semiHidden/>
    <w:rsid w:val="00CE4640"/>
    <w:pPr>
      <w:tabs>
        <w:tab w:val="clear" w:pos="1276"/>
        <w:tab w:val="left" w:pos="2155"/>
      </w:tabs>
      <w:ind w:left="2155" w:hanging="879"/>
    </w:pPr>
  </w:style>
  <w:style w:type="paragraph" w:styleId="TOC4">
    <w:name w:val="toc 4"/>
    <w:basedOn w:val="TOC3"/>
    <w:semiHidden/>
    <w:rsid w:val="00CE4640"/>
    <w:pPr>
      <w:tabs>
        <w:tab w:val="left" w:pos="3261"/>
      </w:tabs>
      <w:spacing w:before="80"/>
      <w:ind w:left="3261" w:hanging="993"/>
    </w:pPr>
  </w:style>
  <w:style w:type="paragraph" w:styleId="TOC5">
    <w:name w:val="toc 5"/>
    <w:basedOn w:val="TOC4"/>
    <w:semiHidden/>
    <w:rsid w:val="00CE4640"/>
  </w:style>
  <w:style w:type="paragraph" w:styleId="TOC6">
    <w:name w:val="toc 6"/>
    <w:basedOn w:val="TOC4"/>
    <w:semiHidden/>
    <w:rsid w:val="00CE4640"/>
  </w:style>
  <w:style w:type="paragraph" w:styleId="TOC7">
    <w:name w:val="toc 7"/>
    <w:basedOn w:val="TOC4"/>
    <w:semiHidden/>
    <w:rsid w:val="00CE4640"/>
  </w:style>
  <w:style w:type="paragraph" w:styleId="TOC8">
    <w:name w:val="toc 8"/>
    <w:basedOn w:val="TOC4"/>
    <w:semiHidden/>
    <w:rsid w:val="00CE4640"/>
  </w:style>
  <w:style w:type="paragraph" w:customStyle="1" w:styleId="Annexref">
    <w:name w:val="Annex_ref"/>
    <w:basedOn w:val="Normal"/>
    <w:next w:val="Normalaftertitle"/>
    <w:rsid w:val="00CE4640"/>
    <w:pPr>
      <w:keepNext/>
      <w:keepLines/>
      <w:spacing w:after="280"/>
      <w:jc w:val="center"/>
    </w:pPr>
  </w:style>
  <w:style w:type="paragraph" w:customStyle="1" w:styleId="Appendixref">
    <w:name w:val="Appendix_ref"/>
    <w:basedOn w:val="Annexref"/>
    <w:next w:val="Normalaftertitle"/>
    <w:rsid w:val="00CE4640"/>
  </w:style>
  <w:style w:type="paragraph" w:customStyle="1" w:styleId="Tabletitle">
    <w:name w:val="Table_title"/>
    <w:basedOn w:val="Normal"/>
    <w:next w:val="Tablehead"/>
    <w:link w:val="TabletitleChar"/>
    <w:rsid w:val="00CE4640"/>
    <w:pPr>
      <w:keepNext/>
      <w:spacing w:before="0" w:after="120"/>
      <w:jc w:val="center"/>
    </w:pPr>
    <w:rPr>
      <w:b/>
    </w:rPr>
  </w:style>
  <w:style w:type="paragraph" w:customStyle="1" w:styleId="Summary">
    <w:name w:val="Summary"/>
    <w:basedOn w:val="Normal"/>
    <w:next w:val="Normalaftertitle"/>
    <w:rsid w:val="00CE464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E4640"/>
    <w:pPr>
      <w:ind w:left="-85" w:firstLine="0"/>
    </w:pPr>
    <w:rPr>
      <w:lang w:val="en-US"/>
    </w:rPr>
  </w:style>
  <w:style w:type="character" w:customStyle="1" w:styleId="FootnoteTextChar">
    <w:name w:val="Footnote Text Char"/>
    <w:basedOn w:val="DefaultParagraphFont"/>
    <w:link w:val="FootnoteText"/>
    <w:rsid w:val="00CE4640"/>
    <w:rPr>
      <w:sz w:val="22"/>
      <w:lang w:val="fr-FR" w:eastAsia="en-US"/>
    </w:rPr>
  </w:style>
  <w:style w:type="character" w:customStyle="1" w:styleId="NormalaftertitleChar">
    <w:name w:val="Normal_after_title Char"/>
    <w:basedOn w:val="DefaultParagraphFont"/>
    <w:link w:val="Normalaftertitle"/>
    <w:locked/>
    <w:rsid w:val="00276CD5"/>
    <w:rPr>
      <w:sz w:val="24"/>
      <w:lang w:val="fr-FR" w:eastAsia="en-US"/>
    </w:rPr>
  </w:style>
  <w:style w:type="character" w:customStyle="1" w:styleId="CallChar">
    <w:name w:val="Call Char"/>
    <w:basedOn w:val="DefaultParagraphFont"/>
    <w:link w:val="Call"/>
    <w:locked/>
    <w:rsid w:val="00276CD5"/>
    <w:rPr>
      <w:i/>
      <w:sz w:val="24"/>
      <w:lang w:val="fr-FR" w:eastAsia="en-US"/>
    </w:rPr>
  </w:style>
  <w:style w:type="character" w:customStyle="1" w:styleId="EquationChar">
    <w:name w:val="Equation Char"/>
    <w:basedOn w:val="DefaultParagraphFont"/>
    <w:link w:val="Equation"/>
    <w:locked/>
    <w:rsid w:val="00276CD5"/>
    <w:rPr>
      <w:sz w:val="24"/>
      <w:lang w:val="fr-FR" w:eastAsia="en-US"/>
    </w:rPr>
  </w:style>
  <w:style w:type="character" w:customStyle="1" w:styleId="TabletextChar">
    <w:name w:val="Table_text Char"/>
    <w:basedOn w:val="DefaultParagraphFont"/>
    <w:link w:val="Tabletext"/>
    <w:rsid w:val="00276CD5"/>
    <w:rPr>
      <w:sz w:val="22"/>
      <w:lang w:val="fr-FR" w:eastAsia="en-US"/>
    </w:rPr>
  </w:style>
  <w:style w:type="character" w:customStyle="1" w:styleId="TabletitleChar">
    <w:name w:val="Table_title Char"/>
    <w:basedOn w:val="DefaultParagraphFont"/>
    <w:link w:val="Tabletitle"/>
    <w:rsid w:val="00276CD5"/>
    <w:rPr>
      <w:b/>
      <w:sz w:val="24"/>
      <w:lang w:val="fr-FR" w:eastAsia="en-US"/>
    </w:rPr>
  </w:style>
  <w:style w:type="character" w:customStyle="1" w:styleId="FiguretitleChar">
    <w:name w:val="Figure_title Char"/>
    <w:basedOn w:val="DefaultParagraphFont"/>
    <w:link w:val="Figuretitle"/>
    <w:locked/>
    <w:rsid w:val="00276CD5"/>
    <w:rPr>
      <w:rFonts w:ascii="Times New Roman Bold" w:hAnsi="Times New Roman Bold"/>
      <w:b/>
      <w:sz w:val="18"/>
      <w:lang w:val="fr-FR" w:eastAsia="en-US"/>
    </w:rPr>
  </w:style>
  <w:style w:type="character" w:customStyle="1" w:styleId="FigureNoChar">
    <w:name w:val="Figure_No Char"/>
    <w:basedOn w:val="DefaultParagraphFont"/>
    <w:link w:val="FigureNo"/>
    <w:locked/>
    <w:rsid w:val="00276CD5"/>
    <w:rPr>
      <w:caps/>
      <w:sz w:val="18"/>
      <w:lang w:val="fr-FR" w:eastAsia="en-US"/>
    </w:rPr>
  </w:style>
  <w:style w:type="character" w:customStyle="1" w:styleId="RectitleChar">
    <w:name w:val="Rec_title Char"/>
    <w:basedOn w:val="DefaultParagraphFont"/>
    <w:link w:val="Rectitle"/>
    <w:locked/>
    <w:rsid w:val="00276CD5"/>
    <w:rPr>
      <w:b/>
      <w:sz w:val="28"/>
      <w:lang w:val="fr-FR" w:eastAsia="en-US"/>
    </w:rPr>
  </w:style>
  <w:style w:type="character" w:customStyle="1" w:styleId="TableheadChar">
    <w:name w:val="Table_head Char"/>
    <w:basedOn w:val="DefaultParagraphFont"/>
    <w:link w:val="Tablehead"/>
    <w:locked/>
    <w:rsid w:val="00276CD5"/>
    <w:rPr>
      <w:b/>
      <w:sz w:val="22"/>
      <w:lang w:val="fr-FR" w:eastAsia="en-US"/>
    </w:rPr>
  </w:style>
  <w:style w:type="character" w:customStyle="1" w:styleId="TablelegendChar">
    <w:name w:val="Table_legend Char"/>
    <w:basedOn w:val="TabletextChar"/>
    <w:link w:val="Tablelegend"/>
    <w:locked/>
    <w:rsid w:val="00276CD5"/>
    <w:rPr>
      <w:sz w:val="22"/>
      <w:lang w:val="fr-FR" w:eastAsia="en-US"/>
    </w:rPr>
  </w:style>
  <w:style w:type="character" w:customStyle="1" w:styleId="TableNoChar">
    <w:name w:val="Table_No Char"/>
    <w:basedOn w:val="DefaultParagraphFont"/>
    <w:link w:val="TableNo"/>
    <w:rsid w:val="00276CD5"/>
    <w:rPr>
      <w:sz w:val="24"/>
      <w:lang w:val="fr-FR" w:eastAsia="en-US"/>
    </w:rPr>
  </w:style>
  <w:style w:type="character" w:customStyle="1" w:styleId="HeadingbChar">
    <w:name w:val="Heading_b Char"/>
    <w:basedOn w:val="DefaultParagraphFont"/>
    <w:link w:val="Headingb"/>
    <w:locked/>
    <w:rsid w:val="00276CD5"/>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46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4640"/>
    <w:pPr>
      <w:keepNext/>
      <w:keepLines/>
      <w:spacing w:before="480"/>
      <w:ind w:left="794" w:hanging="794"/>
      <w:outlineLvl w:val="0"/>
    </w:pPr>
    <w:rPr>
      <w:b/>
    </w:rPr>
  </w:style>
  <w:style w:type="paragraph" w:styleId="Heading2">
    <w:name w:val="heading 2"/>
    <w:basedOn w:val="Heading1"/>
    <w:next w:val="Normal"/>
    <w:qFormat/>
    <w:rsid w:val="00CE4640"/>
    <w:pPr>
      <w:spacing w:before="320"/>
      <w:outlineLvl w:val="1"/>
    </w:pPr>
  </w:style>
  <w:style w:type="paragraph" w:styleId="Heading3">
    <w:name w:val="heading 3"/>
    <w:basedOn w:val="Heading1"/>
    <w:next w:val="Normal"/>
    <w:qFormat/>
    <w:rsid w:val="00CE4640"/>
    <w:pPr>
      <w:spacing w:before="200"/>
      <w:outlineLvl w:val="2"/>
    </w:pPr>
  </w:style>
  <w:style w:type="paragraph" w:styleId="Heading4">
    <w:name w:val="heading 4"/>
    <w:basedOn w:val="Heading3"/>
    <w:next w:val="Normal"/>
    <w:qFormat/>
    <w:rsid w:val="00CE4640"/>
    <w:pPr>
      <w:tabs>
        <w:tab w:val="clear" w:pos="794"/>
        <w:tab w:val="left" w:pos="992"/>
      </w:tabs>
      <w:ind w:left="992" w:hanging="992"/>
      <w:outlineLvl w:val="3"/>
    </w:pPr>
  </w:style>
  <w:style w:type="paragraph" w:styleId="Heading5">
    <w:name w:val="heading 5"/>
    <w:basedOn w:val="Heading4"/>
    <w:next w:val="Normal"/>
    <w:qFormat/>
    <w:rsid w:val="00CE4640"/>
    <w:pPr>
      <w:outlineLvl w:val="4"/>
    </w:pPr>
  </w:style>
  <w:style w:type="paragraph" w:styleId="Heading6">
    <w:name w:val="heading 6"/>
    <w:basedOn w:val="Heading4"/>
    <w:next w:val="Normal"/>
    <w:qFormat/>
    <w:rsid w:val="00CE4640"/>
    <w:pPr>
      <w:tabs>
        <w:tab w:val="clear" w:pos="992"/>
        <w:tab w:val="clear" w:pos="1191"/>
      </w:tabs>
      <w:ind w:left="1588" w:hanging="1588"/>
      <w:outlineLvl w:val="5"/>
    </w:pPr>
  </w:style>
  <w:style w:type="paragraph" w:styleId="Heading7">
    <w:name w:val="heading 7"/>
    <w:basedOn w:val="Heading6"/>
    <w:next w:val="Normal"/>
    <w:qFormat/>
    <w:rsid w:val="00CE4640"/>
    <w:pPr>
      <w:outlineLvl w:val="6"/>
    </w:pPr>
  </w:style>
  <w:style w:type="paragraph" w:styleId="Heading8">
    <w:name w:val="heading 8"/>
    <w:basedOn w:val="Heading6"/>
    <w:next w:val="Normal"/>
    <w:qFormat/>
    <w:rsid w:val="00CE4640"/>
    <w:pPr>
      <w:outlineLvl w:val="7"/>
    </w:pPr>
  </w:style>
  <w:style w:type="paragraph" w:styleId="Heading9">
    <w:name w:val="heading 9"/>
    <w:basedOn w:val="Heading6"/>
    <w:next w:val="Normal"/>
    <w:qFormat/>
    <w:rsid w:val="00CE46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464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46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4640"/>
  </w:style>
  <w:style w:type="paragraph" w:customStyle="1" w:styleId="Headingb">
    <w:name w:val="Heading_b"/>
    <w:basedOn w:val="Heading3"/>
    <w:next w:val="Normal"/>
    <w:link w:val="HeadingbChar"/>
    <w:rsid w:val="00CE4640"/>
    <w:pPr>
      <w:spacing w:before="160"/>
      <w:ind w:left="0" w:firstLine="0"/>
      <w:outlineLvl w:val="9"/>
    </w:pPr>
  </w:style>
  <w:style w:type="paragraph" w:customStyle="1" w:styleId="Headingi">
    <w:name w:val="Heading_i"/>
    <w:basedOn w:val="Heading3"/>
    <w:next w:val="Normal"/>
    <w:rsid w:val="00CE4640"/>
    <w:pPr>
      <w:spacing w:before="160"/>
      <w:ind w:left="0" w:firstLine="0"/>
    </w:pPr>
    <w:rPr>
      <w:b w:val="0"/>
      <w:i/>
    </w:rPr>
  </w:style>
  <w:style w:type="character" w:customStyle="1" w:styleId="href">
    <w:name w:val="href"/>
    <w:basedOn w:val="DefaultParagraphFont"/>
    <w:rsid w:val="00CE4640"/>
  </w:style>
  <w:style w:type="paragraph" w:customStyle="1" w:styleId="AnnexNoTitle">
    <w:name w:val="Annex_NoTitle"/>
    <w:basedOn w:val="Normal"/>
    <w:next w:val="Normalaftertitle"/>
    <w:rsid w:val="00CE4640"/>
    <w:pPr>
      <w:keepNext/>
      <w:keepLines/>
      <w:spacing w:before="480" w:after="80"/>
      <w:jc w:val="center"/>
    </w:pPr>
    <w:rPr>
      <w:b/>
      <w:sz w:val="28"/>
    </w:rPr>
  </w:style>
  <w:style w:type="paragraph" w:customStyle="1" w:styleId="Normalaftertitle">
    <w:name w:val="Normal_after_title"/>
    <w:basedOn w:val="Normal"/>
    <w:next w:val="Normal"/>
    <w:link w:val="NormalaftertitleChar"/>
    <w:rsid w:val="00CE4640"/>
    <w:pPr>
      <w:spacing w:before="320"/>
    </w:pPr>
  </w:style>
  <w:style w:type="paragraph" w:customStyle="1" w:styleId="enumlev2">
    <w:name w:val="enumlev2"/>
    <w:basedOn w:val="enumlev1"/>
    <w:rsid w:val="00CE4640"/>
    <w:pPr>
      <w:ind w:left="1191" w:hanging="397"/>
    </w:pPr>
  </w:style>
  <w:style w:type="paragraph" w:customStyle="1" w:styleId="enumlev1">
    <w:name w:val="enumlev1"/>
    <w:basedOn w:val="Normal"/>
    <w:rsid w:val="00CE4640"/>
    <w:pPr>
      <w:spacing w:before="80"/>
      <w:ind w:left="794" w:hanging="794"/>
    </w:pPr>
  </w:style>
  <w:style w:type="paragraph" w:customStyle="1" w:styleId="enumlev3">
    <w:name w:val="enumlev3"/>
    <w:basedOn w:val="enumlev2"/>
    <w:rsid w:val="00CE4640"/>
    <w:pPr>
      <w:ind w:left="1588"/>
    </w:pPr>
  </w:style>
  <w:style w:type="paragraph" w:customStyle="1" w:styleId="Note">
    <w:name w:val="Note"/>
    <w:basedOn w:val="Normal"/>
    <w:rsid w:val="00CE46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464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E4640"/>
    <w:pPr>
      <w:keepNext/>
      <w:keepLines/>
      <w:spacing w:before="240"/>
      <w:jc w:val="center"/>
    </w:pPr>
    <w:rPr>
      <w:b/>
      <w:sz w:val="28"/>
    </w:rPr>
  </w:style>
  <w:style w:type="paragraph" w:customStyle="1" w:styleId="Recref">
    <w:name w:val="Rec_ref"/>
    <w:basedOn w:val="Normal"/>
    <w:next w:val="Recdate"/>
    <w:rsid w:val="00CE4640"/>
    <w:pPr>
      <w:jc w:val="center"/>
    </w:pPr>
  </w:style>
  <w:style w:type="paragraph" w:customStyle="1" w:styleId="Recdate">
    <w:name w:val="Rec_date"/>
    <w:basedOn w:val="Recref"/>
    <w:next w:val="Normalaftertitle"/>
    <w:rsid w:val="00CE4640"/>
    <w:pPr>
      <w:jc w:val="right"/>
    </w:pPr>
  </w:style>
  <w:style w:type="paragraph" w:customStyle="1" w:styleId="HeadingSum">
    <w:name w:val="Heading_Sum"/>
    <w:basedOn w:val="Headingb"/>
    <w:next w:val="Normal"/>
    <w:rsid w:val="00CE4640"/>
    <w:pPr>
      <w:spacing w:before="240"/>
    </w:pPr>
    <w:rPr>
      <w:sz w:val="22"/>
      <w:lang w:val="es-ES_tradnl"/>
    </w:rPr>
  </w:style>
  <w:style w:type="paragraph" w:customStyle="1" w:styleId="AppendixNoTitle">
    <w:name w:val="Appendix_NoTitle"/>
    <w:basedOn w:val="AnnexNoTitle"/>
    <w:next w:val="Normal"/>
    <w:rsid w:val="00CE4640"/>
  </w:style>
  <w:style w:type="paragraph" w:customStyle="1" w:styleId="Tablefin">
    <w:name w:val="Table_fin"/>
    <w:basedOn w:val="Normal"/>
    <w:next w:val="Normal"/>
    <w:rsid w:val="00CE4640"/>
    <w:pPr>
      <w:spacing w:before="0"/>
    </w:pPr>
    <w:rPr>
      <w:sz w:val="20"/>
      <w:lang w:val="en-GB"/>
    </w:rPr>
  </w:style>
  <w:style w:type="paragraph" w:customStyle="1" w:styleId="Tablehead">
    <w:name w:val="Table_head"/>
    <w:basedOn w:val="Normal"/>
    <w:next w:val="Normal"/>
    <w:link w:val="TableheadChar"/>
    <w:rsid w:val="00CE46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4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E4640"/>
    <w:pPr>
      <w:keepNext/>
      <w:spacing w:before="360" w:after="120"/>
      <w:jc w:val="center"/>
    </w:pPr>
  </w:style>
  <w:style w:type="paragraph" w:customStyle="1" w:styleId="Tabletext">
    <w:name w:val="Table_text"/>
    <w:basedOn w:val="Normal"/>
    <w:link w:val="TabletextChar"/>
    <w:rsid w:val="00CE4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E4640"/>
    <w:pPr>
      <w:tabs>
        <w:tab w:val="clear" w:pos="1191"/>
        <w:tab w:val="clear" w:pos="1588"/>
        <w:tab w:val="clear" w:pos="1985"/>
        <w:tab w:val="center" w:pos="4820"/>
        <w:tab w:val="right" w:pos="9639"/>
      </w:tabs>
    </w:pPr>
  </w:style>
  <w:style w:type="paragraph" w:customStyle="1" w:styleId="Equationlegend">
    <w:name w:val="Equation_legend"/>
    <w:basedOn w:val="NormalIndent"/>
    <w:rsid w:val="00CE46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4640"/>
    <w:pPr>
      <w:ind w:left="794"/>
    </w:pPr>
  </w:style>
  <w:style w:type="paragraph" w:customStyle="1" w:styleId="Figurelegend">
    <w:name w:val="Figure_legend"/>
    <w:basedOn w:val="Normal"/>
    <w:rsid w:val="00CE46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E4640"/>
    <w:pPr>
      <w:keepNext/>
      <w:keepLines/>
      <w:spacing w:before="480" w:after="80"/>
      <w:jc w:val="center"/>
    </w:pPr>
    <w:rPr>
      <w:caps/>
      <w:sz w:val="18"/>
    </w:rPr>
  </w:style>
  <w:style w:type="paragraph" w:customStyle="1" w:styleId="Figuretitle">
    <w:name w:val="Figure_title"/>
    <w:basedOn w:val="Normal"/>
    <w:next w:val="Figure"/>
    <w:link w:val="FiguretitleChar"/>
    <w:rsid w:val="00CE4640"/>
    <w:pPr>
      <w:keepNext/>
      <w:spacing w:before="0" w:after="120"/>
      <w:jc w:val="center"/>
    </w:pPr>
    <w:rPr>
      <w:rFonts w:ascii="Times New Roman Bold" w:hAnsi="Times New Roman Bold"/>
      <w:b/>
      <w:sz w:val="18"/>
    </w:rPr>
  </w:style>
  <w:style w:type="paragraph" w:customStyle="1" w:styleId="Figure">
    <w:name w:val="Figure"/>
    <w:basedOn w:val="FigureNo"/>
    <w:next w:val="Normal"/>
    <w:rsid w:val="00CE4640"/>
    <w:pPr>
      <w:keepNext w:val="0"/>
      <w:spacing w:before="0" w:after="240"/>
    </w:pPr>
  </w:style>
  <w:style w:type="paragraph" w:customStyle="1" w:styleId="tocpart">
    <w:name w:val="tocpart"/>
    <w:basedOn w:val="Normal"/>
    <w:rsid w:val="00CE46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4640"/>
    <w:pPr>
      <w:keepNext/>
      <w:keepLines/>
      <w:spacing w:before="480"/>
      <w:jc w:val="center"/>
    </w:pPr>
    <w:rPr>
      <w:sz w:val="28"/>
    </w:rPr>
  </w:style>
  <w:style w:type="paragraph" w:customStyle="1" w:styleId="Arttitle">
    <w:name w:val="Art_title"/>
    <w:basedOn w:val="Normal"/>
    <w:next w:val="Normalaftertitle"/>
    <w:rsid w:val="00CE4640"/>
    <w:pPr>
      <w:keepNext/>
      <w:keepLines/>
      <w:spacing w:before="240"/>
      <w:jc w:val="center"/>
    </w:pPr>
    <w:rPr>
      <w:b/>
      <w:sz w:val="28"/>
    </w:rPr>
  </w:style>
  <w:style w:type="paragraph" w:customStyle="1" w:styleId="Blanc">
    <w:name w:val="Blanc"/>
    <w:basedOn w:val="Normal"/>
    <w:next w:val="Tabletext"/>
    <w:rsid w:val="00CE46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46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E4640"/>
    <w:pPr>
      <w:keepNext/>
      <w:keepLines/>
      <w:spacing w:before="160"/>
      <w:ind w:left="794"/>
    </w:pPr>
    <w:rPr>
      <w:i/>
    </w:rPr>
  </w:style>
  <w:style w:type="paragraph" w:customStyle="1" w:styleId="ChapNo">
    <w:name w:val="Chap_No"/>
    <w:basedOn w:val="ArtNo"/>
    <w:next w:val="Chaptitle"/>
    <w:rsid w:val="00CE4640"/>
    <w:rPr>
      <w:b/>
    </w:rPr>
  </w:style>
  <w:style w:type="paragraph" w:customStyle="1" w:styleId="Chaptitle">
    <w:name w:val="Chap_title"/>
    <w:basedOn w:val="Arttitle"/>
    <w:next w:val="Normalaftertitle"/>
    <w:rsid w:val="00CE4640"/>
  </w:style>
  <w:style w:type="character" w:styleId="FootnoteReference">
    <w:name w:val="footnote reference"/>
    <w:basedOn w:val="DefaultParagraphFont"/>
    <w:rsid w:val="00CE4640"/>
    <w:rPr>
      <w:position w:val="6"/>
      <w:sz w:val="18"/>
    </w:rPr>
  </w:style>
  <w:style w:type="paragraph" w:styleId="FootnoteText">
    <w:name w:val="footnote text"/>
    <w:basedOn w:val="Normal"/>
    <w:link w:val="FootnoteTextChar"/>
    <w:rsid w:val="00CE4640"/>
    <w:pPr>
      <w:keepLines/>
      <w:tabs>
        <w:tab w:val="left" w:pos="255"/>
      </w:tabs>
      <w:ind w:left="255" w:hanging="255"/>
    </w:pPr>
    <w:rPr>
      <w:sz w:val="22"/>
    </w:rPr>
  </w:style>
  <w:style w:type="paragraph" w:styleId="Index1">
    <w:name w:val="index 1"/>
    <w:basedOn w:val="Normal"/>
    <w:next w:val="Normal"/>
    <w:semiHidden/>
    <w:rsid w:val="00CE4640"/>
  </w:style>
  <w:style w:type="paragraph" w:styleId="Index2">
    <w:name w:val="index 2"/>
    <w:basedOn w:val="Normal"/>
    <w:next w:val="Normal"/>
    <w:semiHidden/>
    <w:rsid w:val="00CE4640"/>
    <w:pPr>
      <w:ind w:left="283"/>
    </w:pPr>
  </w:style>
  <w:style w:type="paragraph" w:styleId="Index3">
    <w:name w:val="index 3"/>
    <w:basedOn w:val="Normal"/>
    <w:next w:val="Normal"/>
    <w:semiHidden/>
    <w:rsid w:val="00CE4640"/>
    <w:pPr>
      <w:ind w:left="566"/>
    </w:pPr>
  </w:style>
  <w:style w:type="paragraph" w:styleId="IndexHeading">
    <w:name w:val="index heading"/>
    <w:basedOn w:val="Normal"/>
    <w:next w:val="Index1"/>
    <w:semiHidden/>
    <w:rsid w:val="00CE4640"/>
  </w:style>
  <w:style w:type="paragraph" w:customStyle="1" w:styleId="Line">
    <w:name w:val="Line"/>
    <w:basedOn w:val="Normal"/>
    <w:next w:val="Normal"/>
    <w:rsid w:val="00CE46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46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4640"/>
  </w:style>
  <w:style w:type="paragraph" w:customStyle="1" w:styleId="Partref">
    <w:name w:val="Part_ref"/>
    <w:basedOn w:val="Normal"/>
    <w:next w:val="Normal"/>
    <w:rsid w:val="00CE4640"/>
    <w:pPr>
      <w:keepNext/>
      <w:keepLines/>
      <w:spacing w:after="280"/>
      <w:jc w:val="center"/>
    </w:pPr>
  </w:style>
  <w:style w:type="paragraph" w:customStyle="1" w:styleId="Parttitle">
    <w:name w:val="Part_title"/>
    <w:basedOn w:val="Normal"/>
    <w:next w:val="Normalaftertitle"/>
    <w:rsid w:val="00CE46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4640"/>
  </w:style>
  <w:style w:type="paragraph" w:customStyle="1" w:styleId="QuestionNo">
    <w:name w:val="Question_No"/>
    <w:basedOn w:val="RecNo"/>
    <w:next w:val="Normal"/>
    <w:rsid w:val="00CE4640"/>
  </w:style>
  <w:style w:type="paragraph" w:customStyle="1" w:styleId="Questionref">
    <w:name w:val="Question_ref"/>
    <w:basedOn w:val="Recref"/>
    <w:next w:val="Questiondate"/>
    <w:rsid w:val="00CE4640"/>
  </w:style>
  <w:style w:type="paragraph" w:customStyle="1" w:styleId="Questiontitle">
    <w:name w:val="Question_title"/>
    <w:basedOn w:val="Normal"/>
    <w:next w:val="Questionref"/>
    <w:rsid w:val="00CE4640"/>
  </w:style>
  <w:style w:type="paragraph" w:customStyle="1" w:styleId="Reftext">
    <w:name w:val="Ref_text"/>
    <w:basedOn w:val="Normal"/>
    <w:rsid w:val="00CE4640"/>
    <w:pPr>
      <w:ind w:left="794" w:hanging="794"/>
    </w:pPr>
    <w:rPr>
      <w:sz w:val="22"/>
    </w:rPr>
  </w:style>
  <w:style w:type="paragraph" w:customStyle="1" w:styleId="Reftitle">
    <w:name w:val="Ref_title"/>
    <w:basedOn w:val="Normal"/>
    <w:next w:val="Reftext"/>
    <w:rsid w:val="00CE46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4640"/>
  </w:style>
  <w:style w:type="paragraph" w:customStyle="1" w:styleId="RepNo">
    <w:name w:val="Rep_No"/>
    <w:basedOn w:val="RecNo"/>
    <w:next w:val="Reptitle"/>
    <w:rsid w:val="00CE4640"/>
  </w:style>
  <w:style w:type="paragraph" w:customStyle="1" w:styleId="Reptitle">
    <w:name w:val="Rep_title"/>
    <w:basedOn w:val="Rectitle"/>
    <w:next w:val="Repref"/>
    <w:rsid w:val="00CE4640"/>
  </w:style>
  <w:style w:type="paragraph" w:customStyle="1" w:styleId="Repref">
    <w:name w:val="Rep_ref"/>
    <w:basedOn w:val="Recref"/>
    <w:next w:val="Repdate"/>
    <w:rsid w:val="00CE4640"/>
  </w:style>
  <w:style w:type="paragraph" w:customStyle="1" w:styleId="Resdate">
    <w:name w:val="Res_date"/>
    <w:basedOn w:val="Recdate"/>
    <w:next w:val="Normalaftertitle"/>
    <w:rsid w:val="00CE4640"/>
  </w:style>
  <w:style w:type="paragraph" w:customStyle="1" w:styleId="ResNo">
    <w:name w:val="Res_No"/>
    <w:basedOn w:val="RecNo"/>
    <w:next w:val="Restitle"/>
    <w:rsid w:val="00CE4640"/>
  </w:style>
  <w:style w:type="paragraph" w:customStyle="1" w:styleId="Restitle">
    <w:name w:val="Res_title"/>
    <w:basedOn w:val="Normal"/>
    <w:next w:val="Resref"/>
    <w:rsid w:val="00CE4640"/>
    <w:pPr>
      <w:spacing w:before="240"/>
      <w:jc w:val="center"/>
    </w:pPr>
    <w:rPr>
      <w:b/>
      <w:sz w:val="28"/>
    </w:rPr>
  </w:style>
  <w:style w:type="paragraph" w:customStyle="1" w:styleId="Resref">
    <w:name w:val="Res_ref"/>
    <w:basedOn w:val="Recref"/>
    <w:next w:val="Resdate"/>
    <w:rsid w:val="00CE4640"/>
  </w:style>
  <w:style w:type="paragraph" w:customStyle="1" w:styleId="SectionNo">
    <w:name w:val="Section_No"/>
    <w:basedOn w:val="Normal"/>
    <w:next w:val="Normal"/>
    <w:rsid w:val="00CE4640"/>
  </w:style>
  <w:style w:type="paragraph" w:customStyle="1" w:styleId="Sectiontitle">
    <w:name w:val="Section_title"/>
    <w:basedOn w:val="Normal"/>
    <w:next w:val="Normalaftertitle"/>
    <w:rsid w:val="00CE46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4640"/>
    <w:pPr>
      <w:tabs>
        <w:tab w:val="clear" w:pos="794"/>
        <w:tab w:val="clear" w:pos="1191"/>
        <w:tab w:val="clear" w:pos="1588"/>
        <w:tab w:val="clear" w:pos="1985"/>
        <w:tab w:val="right" w:pos="9611"/>
      </w:tabs>
    </w:pPr>
    <w:rPr>
      <w:i/>
    </w:rPr>
  </w:style>
  <w:style w:type="paragraph" w:styleId="TOC1">
    <w:name w:val="toc 1"/>
    <w:basedOn w:val="Normal"/>
    <w:semiHidden/>
    <w:rsid w:val="00CE46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4640"/>
    <w:pPr>
      <w:tabs>
        <w:tab w:val="clear" w:pos="567"/>
        <w:tab w:val="left" w:pos="1276"/>
      </w:tabs>
      <w:spacing w:before="160"/>
      <w:ind w:left="1276" w:hanging="709"/>
    </w:pPr>
  </w:style>
  <w:style w:type="paragraph" w:styleId="TOC3">
    <w:name w:val="toc 3"/>
    <w:basedOn w:val="TOC2"/>
    <w:semiHidden/>
    <w:rsid w:val="00CE4640"/>
    <w:pPr>
      <w:tabs>
        <w:tab w:val="clear" w:pos="1276"/>
        <w:tab w:val="left" w:pos="2155"/>
      </w:tabs>
      <w:ind w:left="2155" w:hanging="879"/>
    </w:pPr>
  </w:style>
  <w:style w:type="paragraph" w:styleId="TOC4">
    <w:name w:val="toc 4"/>
    <w:basedOn w:val="TOC3"/>
    <w:semiHidden/>
    <w:rsid w:val="00CE4640"/>
    <w:pPr>
      <w:tabs>
        <w:tab w:val="left" w:pos="3261"/>
      </w:tabs>
      <w:spacing w:before="80"/>
      <w:ind w:left="3261" w:hanging="993"/>
    </w:pPr>
  </w:style>
  <w:style w:type="paragraph" w:styleId="TOC5">
    <w:name w:val="toc 5"/>
    <w:basedOn w:val="TOC4"/>
    <w:semiHidden/>
    <w:rsid w:val="00CE4640"/>
  </w:style>
  <w:style w:type="paragraph" w:styleId="TOC6">
    <w:name w:val="toc 6"/>
    <w:basedOn w:val="TOC4"/>
    <w:semiHidden/>
    <w:rsid w:val="00CE4640"/>
  </w:style>
  <w:style w:type="paragraph" w:styleId="TOC7">
    <w:name w:val="toc 7"/>
    <w:basedOn w:val="TOC4"/>
    <w:semiHidden/>
    <w:rsid w:val="00CE4640"/>
  </w:style>
  <w:style w:type="paragraph" w:styleId="TOC8">
    <w:name w:val="toc 8"/>
    <w:basedOn w:val="TOC4"/>
    <w:semiHidden/>
    <w:rsid w:val="00CE4640"/>
  </w:style>
  <w:style w:type="paragraph" w:customStyle="1" w:styleId="Annexref">
    <w:name w:val="Annex_ref"/>
    <w:basedOn w:val="Normal"/>
    <w:next w:val="Normalaftertitle"/>
    <w:rsid w:val="00CE4640"/>
    <w:pPr>
      <w:keepNext/>
      <w:keepLines/>
      <w:spacing w:after="280"/>
      <w:jc w:val="center"/>
    </w:pPr>
  </w:style>
  <w:style w:type="paragraph" w:customStyle="1" w:styleId="Appendixref">
    <w:name w:val="Appendix_ref"/>
    <w:basedOn w:val="Annexref"/>
    <w:next w:val="Normalaftertitle"/>
    <w:rsid w:val="00CE4640"/>
  </w:style>
  <w:style w:type="paragraph" w:customStyle="1" w:styleId="Tabletitle">
    <w:name w:val="Table_title"/>
    <w:basedOn w:val="Normal"/>
    <w:next w:val="Tablehead"/>
    <w:link w:val="TabletitleChar"/>
    <w:rsid w:val="00CE4640"/>
    <w:pPr>
      <w:keepNext/>
      <w:spacing w:before="0" w:after="120"/>
      <w:jc w:val="center"/>
    </w:pPr>
    <w:rPr>
      <w:b/>
    </w:rPr>
  </w:style>
  <w:style w:type="paragraph" w:customStyle="1" w:styleId="Summary">
    <w:name w:val="Summary"/>
    <w:basedOn w:val="Normal"/>
    <w:next w:val="Normalaftertitle"/>
    <w:rsid w:val="00CE464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E4640"/>
    <w:pPr>
      <w:ind w:left="-85" w:firstLine="0"/>
    </w:pPr>
    <w:rPr>
      <w:lang w:val="en-US"/>
    </w:rPr>
  </w:style>
  <w:style w:type="character" w:customStyle="1" w:styleId="FootnoteTextChar">
    <w:name w:val="Footnote Text Char"/>
    <w:basedOn w:val="DefaultParagraphFont"/>
    <w:link w:val="FootnoteText"/>
    <w:rsid w:val="00CE4640"/>
    <w:rPr>
      <w:sz w:val="22"/>
      <w:lang w:val="fr-FR" w:eastAsia="en-US"/>
    </w:rPr>
  </w:style>
  <w:style w:type="character" w:customStyle="1" w:styleId="NormalaftertitleChar">
    <w:name w:val="Normal_after_title Char"/>
    <w:basedOn w:val="DefaultParagraphFont"/>
    <w:link w:val="Normalaftertitle"/>
    <w:locked/>
    <w:rsid w:val="00276CD5"/>
    <w:rPr>
      <w:sz w:val="24"/>
      <w:lang w:val="fr-FR" w:eastAsia="en-US"/>
    </w:rPr>
  </w:style>
  <w:style w:type="character" w:customStyle="1" w:styleId="CallChar">
    <w:name w:val="Call Char"/>
    <w:basedOn w:val="DefaultParagraphFont"/>
    <w:link w:val="Call"/>
    <w:locked/>
    <w:rsid w:val="00276CD5"/>
    <w:rPr>
      <w:i/>
      <w:sz w:val="24"/>
      <w:lang w:val="fr-FR" w:eastAsia="en-US"/>
    </w:rPr>
  </w:style>
  <w:style w:type="character" w:customStyle="1" w:styleId="EquationChar">
    <w:name w:val="Equation Char"/>
    <w:basedOn w:val="DefaultParagraphFont"/>
    <w:link w:val="Equation"/>
    <w:locked/>
    <w:rsid w:val="00276CD5"/>
    <w:rPr>
      <w:sz w:val="24"/>
      <w:lang w:val="fr-FR" w:eastAsia="en-US"/>
    </w:rPr>
  </w:style>
  <w:style w:type="character" w:customStyle="1" w:styleId="TabletextChar">
    <w:name w:val="Table_text Char"/>
    <w:basedOn w:val="DefaultParagraphFont"/>
    <w:link w:val="Tabletext"/>
    <w:rsid w:val="00276CD5"/>
    <w:rPr>
      <w:sz w:val="22"/>
      <w:lang w:val="fr-FR" w:eastAsia="en-US"/>
    </w:rPr>
  </w:style>
  <w:style w:type="character" w:customStyle="1" w:styleId="TabletitleChar">
    <w:name w:val="Table_title Char"/>
    <w:basedOn w:val="DefaultParagraphFont"/>
    <w:link w:val="Tabletitle"/>
    <w:rsid w:val="00276CD5"/>
    <w:rPr>
      <w:b/>
      <w:sz w:val="24"/>
      <w:lang w:val="fr-FR" w:eastAsia="en-US"/>
    </w:rPr>
  </w:style>
  <w:style w:type="character" w:customStyle="1" w:styleId="FiguretitleChar">
    <w:name w:val="Figure_title Char"/>
    <w:basedOn w:val="DefaultParagraphFont"/>
    <w:link w:val="Figuretitle"/>
    <w:locked/>
    <w:rsid w:val="00276CD5"/>
    <w:rPr>
      <w:rFonts w:ascii="Times New Roman Bold" w:hAnsi="Times New Roman Bold"/>
      <w:b/>
      <w:sz w:val="18"/>
      <w:lang w:val="fr-FR" w:eastAsia="en-US"/>
    </w:rPr>
  </w:style>
  <w:style w:type="character" w:customStyle="1" w:styleId="FigureNoChar">
    <w:name w:val="Figure_No Char"/>
    <w:basedOn w:val="DefaultParagraphFont"/>
    <w:link w:val="FigureNo"/>
    <w:locked/>
    <w:rsid w:val="00276CD5"/>
    <w:rPr>
      <w:caps/>
      <w:sz w:val="18"/>
      <w:lang w:val="fr-FR" w:eastAsia="en-US"/>
    </w:rPr>
  </w:style>
  <w:style w:type="character" w:customStyle="1" w:styleId="RectitleChar">
    <w:name w:val="Rec_title Char"/>
    <w:basedOn w:val="DefaultParagraphFont"/>
    <w:link w:val="Rectitle"/>
    <w:locked/>
    <w:rsid w:val="00276CD5"/>
    <w:rPr>
      <w:b/>
      <w:sz w:val="28"/>
      <w:lang w:val="fr-FR" w:eastAsia="en-US"/>
    </w:rPr>
  </w:style>
  <w:style w:type="character" w:customStyle="1" w:styleId="TableheadChar">
    <w:name w:val="Table_head Char"/>
    <w:basedOn w:val="DefaultParagraphFont"/>
    <w:link w:val="Tablehead"/>
    <w:locked/>
    <w:rsid w:val="00276CD5"/>
    <w:rPr>
      <w:b/>
      <w:sz w:val="22"/>
      <w:lang w:val="fr-FR" w:eastAsia="en-US"/>
    </w:rPr>
  </w:style>
  <w:style w:type="character" w:customStyle="1" w:styleId="TablelegendChar">
    <w:name w:val="Table_legend Char"/>
    <w:basedOn w:val="TabletextChar"/>
    <w:link w:val="Tablelegend"/>
    <w:locked/>
    <w:rsid w:val="00276CD5"/>
    <w:rPr>
      <w:sz w:val="22"/>
      <w:lang w:val="fr-FR" w:eastAsia="en-US"/>
    </w:rPr>
  </w:style>
  <w:style w:type="character" w:customStyle="1" w:styleId="TableNoChar">
    <w:name w:val="Table_No Char"/>
    <w:basedOn w:val="DefaultParagraphFont"/>
    <w:link w:val="TableNo"/>
    <w:rsid w:val="00276CD5"/>
    <w:rPr>
      <w:sz w:val="24"/>
      <w:lang w:val="fr-FR" w:eastAsia="en-US"/>
    </w:rPr>
  </w:style>
  <w:style w:type="character" w:customStyle="1" w:styleId="HeadingbChar">
    <w:name w:val="Heading_b Char"/>
    <w:basedOn w:val="DefaultParagraphFont"/>
    <w:link w:val="Headingb"/>
    <w:locked/>
    <w:rsid w:val="00276CD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F6CCA-FAF2-4ED8-92E7-4A625F35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199</TotalTime>
  <Pages>15</Pages>
  <Words>4284</Words>
  <Characters>21933</Characters>
  <Application>Microsoft Office Word</Application>
  <DocSecurity>0</DocSecurity>
  <Lines>626</Lines>
  <Paragraphs>37</Paragraphs>
  <ScaleCrop>false</ScaleCrop>
  <HeadingPairs>
    <vt:vector size="2" baseType="variant">
      <vt:variant>
        <vt:lpstr>Title</vt:lpstr>
      </vt:variant>
      <vt:variant>
        <vt:i4>1</vt:i4>
      </vt:variant>
    </vt:vector>
  </HeadingPairs>
  <TitlesOfParts>
    <vt:vector size="1" baseType="lpstr">
      <vt:lpstr>RECOMMENDATION  ITU-R  F.1891* - Technical and operational characteristics of gateway links in the fixed service using high altitude platform stations in the band 5 850-7 075 MHz to be used in sharing studies</vt:lpstr>
    </vt:vector>
  </TitlesOfParts>
  <Manager/>
  <Company>ITU</Company>
  <LinksUpToDate>false</LinksUpToDate>
  <CharactersWithSpaces>26180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F.1891* - Technical and operational characteristics of gateway links in the fixed service using high altitude platform stations in the band 5 850-7 075 MHz to be used in sharing studies</dc:title>
  <dc:subject>Serie F = Servicio fijo</dc:subject>
  <dc:creator>Oficina de Radiocomunicaciones del UIT (BR)</dc:creator>
  <cp:keywords>F,1891*</cp:keywords>
  <dc:description>Santosbo, 19.05.2011, MSB106309</dc:description>
  <cp:lastModifiedBy>santosbo</cp:lastModifiedBy>
  <cp:revision>16</cp:revision>
  <cp:lastPrinted>2009-06-26T13:19:00Z</cp:lastPrinted>
  <dcterms:created xsi:type="dcterms:W3CDTF">2011-05-19T11:43:00Z</dcterms:created>
  <dcterms:modified xsi:type="dcterms:W3CDTF">2011-06-03T11:55:00Z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May 2011</vt:lpwstr>
  </property>
</Properties>
</file>